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firstLine="0" w:firstLineChars="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xml:space="preserve">证券代码：002871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证券简称：伟隆股份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w:t>
      </w:r>
      <w:r>
        <w:rPr>
          <w:rFonts w:hint="default" w:cs="Times New Roman" w:asciiTheme="minorEastAsia" w:hAnsiTheme="minorEastAsia" w:eastAsiaTheme="minorEastAsia"/>
          <w:sz w:val="21"/>
          <w:szCs w:val="21"/>
          <w:lang w:val="en-US"/>
        </w:rPr>
        <w:t xml:space="preserve">  </w:t>
      </w:r>
      <w:r>
        <w:rPr>
          <w:rFonts w:hint="eastAsia" w:cs="Times New Roman" w:asciiTheme="minorEastAsia" w:hAnsiTheme="minorEastAsia" w:eastAsiaTheme="minorEastAsia"/>
          <w:sz w:val="21"/>
          <w:szCs w:val="21"/>
        </w:rPr>
        <w:t xml:space="preserve">     公告编号：202</w:t>
      </w:r>
      <w:r>
        <w:rPr>
          <w:rFonts w:hint="default" w:cs="Times New Roman" w:asciiTheme="minorEastAsia" w:hAnsiTheme="minorEastAsia" w:eastAsiaTheme="minorEastAsia"/>
          <w:sz w:val="21"/>
          <w:szCs w:val="21"/>
          <w:lang w:val="en-US"/>
        </w:rPr>
        <w:t>4</w:t>
      </w:r>
      <w:r>
        <w:rPr>
          <w:rFonts w:hint="eastAsia" w:cs="Times New Roman" w:asciiTheme="minorEastAsia" w:hAnsiTheme="minorEastAsia" w:eastAsiaTheme="minorEastAsia"/>
          <w:sz w:val="21"/>
          <w:szCs w:val="21"/>
        </w:rPr>
        <w:t>-0</w:t>
      </w:r>
      <w:r>
        <w:rPr>
          <w:rFonts w:hint="default" w:cs="Times New Roman" w:asciiTheme="minorEastAsia" w:hAnsiTheme="minorEastAsia" w:eastAsiaTheme="minorEastAsia"/>
          <w:sz w:val="21"/>
          <w:szCs w:val="21"/>
          <w:lang w:val="en-US"/>
        </w:rPr>
        <w:t>1</w:t>
      </w:r>
      <w:r>
        <w:rPr>
          <w:rFonts w:cs="Times New Roman" w:asciiTheme="minorEastAsia" w:hAnsiTheme="minorEastAsia" w:eastAsiaTheme="minorEastAsia"/>
          <w:sz w:val="21"/>
          <w:szCs w:val="21"/>
        </w:rPr>
        <w:t>4</w:t>
      </w:r>
    </w:p>
    <w:p>
      <w:pPr>
        <w:spacing w:before="120" w:after="120"/>
        <w:ind w:firstLine="562"/>
        <w:jc w:val="center"/>
        <w:rPr>
          <w:rFonts w:asciiTheme="minorEastAsia" w:hAnsiTheme="minorEastAsia" w:eastAsiaTheme="minorEastAsia"/>
          <w:b/>
          <w:bCs/>
          <w:sz w:val="28"/>
        </w:rPr>
      </w:pPr>
      <w:r>
        <w:rPr>
          <w:rFonts w:hint="eastAsia" w:asciiTheme="minorEastAsia" w:hAnsiTheme="minorEastAsia" w:eastAsiaTheme="minorEastAsia"/>
          <w:b/>
          <w:bCs/>
          <w:sz w:val="28"/>
        </w:rPr>
        <w:t>青岛伟隆阀门股份有限公司</w:t>
      </w:r>
    </w:p>
    <w:p>
      <w:pPr>
        <w:spacing w:before="120" w:after="120"/>
        <w:ind w:firstLine="562"/>
        <w:jc w:val="center"/>
        <w:rPr>
          <w:rFonts w:asciiTheme="minorEastAsia" w:hAnsiTheme="minorEastAsia" w:eastAsiaTheme="minorEastAsia"/>
          <w:b/>
          <w:bCs/>
          <w:sz w:val="28"/>
        </w:rPr>
      </w:pPr>
      <w:r>
        <w:rPr>
          <w:rFonts w:hint="eastAsia" w:asciiTheme="minorEastAsia" w:hAnsiTheme="minorEastAsia" w:eastAsiaTheme="minorEastAsia"/>
          <w:b/>
          <w:bCs/>
          <w:sz w:val="28"/>
          <w:lang w:eastAsia="zh-CN"/>
        </w:rPr>
        <w:t>第四届董事会第三十一次会</w:t>
      </w:r>
      <w:r>
        <w:rPr>
          <w:rFonts w:hint="eastAsia" w:asciiTheme="minorEastAsia" w:hAnsiTheme="minorEastAsia" w:eastAsiaTheme="minorEastAsia"/>
          <w:b/>
          <w:bCs/>
          <w:sz w:val="28"/>
        </w:rPr>
        <w:t>议决议的公告</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autoSpaceDE w:val="0"/>
              <w:autoSpaceDN w:val="0"/>
              <w:spacing w:before="0" w:beforeLines="-2147483648" w:beforeAutospacing="0" w:after="0" w:afterLines="-2147483648" w:afterAutospacing="0" w:line="360" w:lineRule="auto"/>
              <w:ind w:left="0" w:right="0" w:firstLine="480" w:firstLineChars="200"/>
              <w:rPr>
                <w:rFonts w:hint="eastAsia" w:ascii="宋体" w:hAnsi="宋体" w:eastAsia="宋体" w:cs="宋体"/>
                <w:kern w:val="2"/>
                <w:sz w:val="24"/>
                <w:szCs w:val="22"/>
              </w:rPr>
            </w:pPr>
            <w:r>
              <w:rPr>
                <w:rFonts w:hint="eastAsia" w:ascii="宋体" w:hAnsi="宋体" w:eastAsia="宋体" w:cs="宋体"/>
                <w:kern w:val="2"/>
                <w:sz w:val="24"/>
                <w:szCs w:val="22"/>
              </w:rPr>
              <w:t>本公司及董事会全体成员保证信息披露内容的真实、准确和完整，没有虚假记载、误导性陈述或重大遗漏。</w:t>
            </w:r>
          </w:p>
        </w:tc>
      </w:tr>
    </w:tbl>
    <w:p>
      <w:pPr>
        <w:spacing w:before="120" w:after="120"/>
        <w:ind w:firstLine="482"/>
        <w:rPr>
          <w:rFonts w:hint="eastAsia" w:ascii="Times New Roman" w:hAnsi="Times New Roman"/>
          <w:b/>
          <w:szCs w:val="23"/>
        </w:rPr>
      </w:pPr>
    </w:p>
    <w:p>
      <w:pPr>
        <w:spacing w:before="120" w:after="120"/>
        <w:ind w:firstLine="482"/>
        <w:rPr>
          <w:rFonts w:ascii="Times New Roman" w:hAnsi="Times New Roman"/>
          <w:b/>
          <w:szCs w:val="23"/>
        </w:rPr>
      </w:pPr>
      <w:r>
        <w:rPr>
          <w:rFonts w:hint="eastAsia" w:ascii="Times New Roman" w:hAnsi="Times New Roman"/>
          <w:b/>
          <w:szCs w:val="23"/>
        </w:rPr>
        <w:t>一、董事会会议召开情况</w:t>
      </w:r>
    </w:p>
    <w:p>
      <w:pPr>
        <w:spacing w:before="120" w:after="120"/>
        <w:ind w:firstLine="480"/>
        <w:rPr>
          <w:rFonts w:ascii="Times New Roman" w:hAnsi="Times New Roman"/>
          <w:szCs w:val="23"/>
        </w:rPr>
      </w:pPr>
      <w:r>
        <w:rPr>
          <w:rFonts w:hint="eastAsia" w:ascii="Times New Roman" w:hAnsi="Times New Roman"/>
          <w:szCs w:val="23"/>
        </w:rPr>
        <w:t>青岛伟隆阀门股份有限公司（以下称“公司”）</w:t>
      </w:r>
      <w:r>
        <w:rPr>
          <w:rFonts w:hint="eastAsia" w:ascii="Times New Roman" w:hAnsi="Times New Roman"/>
          <w:szCs w:val="23"/>
          <w:lang w:eastAsia="zh-CN"/>
        </w:rPr>
        <w:t>第四届董事会第三十一次会</w:t>
      </w:r>
      <w:r>
        <w:rPr>
          <w:rFonts w:hint="eastAsia" w:ascii="Times New Roman" w:hAnsi="Times New Roman"/>
          <w:szCs w:val="23"/>
        </w:rPr>
        <w:t>议通知于</w:t>
      </w:r>
      <w:r>
        <w:rPr>
          <w:rFonts w:hint="eastAsia" w:ascii="Times New Roman" w:hAnsi="Times New Roman"/>
          <w:szCs w:val="23"/>
          <w:lang w:eastAsia="zh-CN"/>
        </w:rPr>
        <w:t>2024年2月1日</w:t>
      </w:r>
      <w:r>
        <w:rPr>
          <w:rFonts w:hint="eastAsia" w:ascii="Times New Roman" w:hAnsi="Times New Roman"/>
          <w:szCs w:val="23"/>
        </w:rPr>
        <w:t>通过专人送达、电子邮件等方式送达给董事、监事和高级管理人员。会议于</w:t>
      </w:r>
      <w:r>
        <w:rPr>
          <w:rFonts w:hint="eastAsia" w:ascii="Times New Roman" w:hAnsi="Times New Roman"/>
          <w:szCs w:val="23"/>
          <w:lang w:eastAsia="zh-CN"/>
        </w:rPr>
        <w:t>2024年2月7日下午</w:t>
      </w:r>
      <w:r>
        <w:rPr>
          <w:rFonts w:hint="eastAsia" w:ascii="Times New Roman" w:hAnsi="Times New Roman"/>
          <w:szCs w:val="23"/>
          <w:lang w:val="en-US" w:eastAsia="zh-CN"/>
        </w:rPr>
        <w:t>2</w:t>
      </w:r>
      <w:r>
        <w:rPr>
          <w:rFonts w:hint="eastAsia" w:ascii="Times New Roman" w:hAnsi="Times New Roman"/>
          <w:szCs w:val="23"/>
        </w:rPr>
        <w:t>时在公司会议室以现场和通讯方式召开。本次会议应到董事7名，实到7名。会议由董事长范庆伟先生召集和主持，公司监事、高管列席会议。会议的召集、召开及表决程序符合《中华人民共和国公司法》及《青岛伟隆阀门股份有限公司章程》的规定，合法有效。</w:t>
      </w:r>
    </w:p>
    <w:p>
      <w:pPr>
        <w:spacing w:before="120" w:after="120"/>
        <w:ind w:firstLine="482"/>
        <w:rPr>
          <w:rFonts w:ascii="Times New Roman" w:hAnsi="Times New Roman"/>
          <w:b/>
          <w:szCs w:val="23"/>
        </w:rPr>
      </w:pPr>
      <w:r>
        <w:rPr>
          <w:rFonts w:hint="eastAsia" w:ascii="Times New Roman" w:hAnsi="Times New Roman"/>
          <w:b/>
          <w:szCs w:val="23"/>
        </w:rPr>
        <w:t>二、董事会会议审议情况</w:t>
      </w:r>
    </w:p>
    <w:p>
      <w:pPr>
        <w:spacing w:before="120" w:after="120"/>
        <w:ind w:firstLine="480"/>
        <w:rPr>
          <w:rFonts w:ascii="Times New Roman" w:hAnsi="Times New Roman"/>
          <w:szCs w:val="23"/>
        </w:rPr>
      </w:pPr>
      <w:r>
        <w:rPr>
          <w:rFonts w:hint="eastAsia" w:ascii="Times New Roman" w:hAnsi="Times New Roman"/>
          <w:szCs w:val="23"/>
        </w:rPr>
        <w:t>经与会董事充分的讨论和审议本次会议议案并表决，形成如下决议：</w:t>
      </w:r>
    </w:p>
    <w:p>
      <w:pPr>
        <w:spacing w:before="120" w:after="120"/>
        <w:ind w:firstLine="482"/>
        <w:rPr>
          <w:rFonts w:ascii="Times New Roman" w:hAnsi="Times New Roman"/>
          <w:b/>
          <w:szCs w:val="23"/>
        </w:rPr>
      </w:pPr>
      <w:r>
        <w:rPr>
          <w:rFonts w:hint="eastAsia" w:ascii="Times New Roman" w:hAnsi="Times New Roman"/>
          <w:b/>
          <w:szCs w:val="23"/>
        </w:rPr>
        <w:t>（</w:t>
      </w:r>
      <w:r>
        <w:rPr>
          <w:rFonts w:hint="eastAsia" w:ascii="Times New Roman" w:hAnsi="Times New Roman"/>
          <w:b/>
          <w:szCs w:val="23"/>
          <w:lang w:eastAsia="zh-CN"/>
        </w:rPr>
        <w:t>一</w:t>
      </w:r>
      <w:r>
        <w:rPr>
          <w:rFonts w:hint="eastAsia" w:ascii="Times New Roman" w:hAnsi="Times New Roman"/>
          <w:b/>
          <w:szCs w:val="23"/>
        </w:rPr>
        <w:t>）审议通过《</w:t>
      </w:r>
      <w:r>
        <w:rPr>
          <w:rFonts w:hint="eastAsia" w:ascii="Times New Roman" w:hAnsi="Times New Roman" w:eastAsia="宋体" w:cs="Times New Roman"/>
          <w:b/>
          <w:bCs/>
          <w:sz w:val="24"/>
          <w:szCs w:val="24"/>
          <w14:ligatures w14:val="none"/>
        </w:rPr>
        <w:t>关于终止投资设立合资公司暨投资设立全资子公司的</w:t>
      </w:r>
      <w:r>
        <w:rPr>
          <w:rFonts w:ascii="Times New Roman" w:hAnsi="Times New Roman" w:eastAsia="宋体" w:cs="Times New Roman"/>
          <w:b/>
          <w:bCs/>
          <w:sz w:val="24"/>
          <w:szCs w:val="24"/>
          <w14:ligatures w14:val="none"/>
        </w:rPr>
        <w:t>议案</w:t>
      </w:r>
      <w:r>
        <w:rPr>
          <w:rFonts w:hint="eastAsia" w:ascii="Times New Roman" w:hAnsi="Times New Roman"/>
          <w:b/>
          <w:szCs w:val="23"/>
        </w:rPr>
        <w:t>》</w:t>
      </w:r>
    </w:p>
    <w:p>
      <w:pPr>
        <w:pStyle w:val="2"/>
        <w:numPr>
          <w:ilvl w:val="0"/>
          <w:numId w:val="0"/>
        </w:numPr>
        <w:spacing w:before="120" w:after="120" w:line="360" w:lineRule="auto"/>
        <w:ind w:firstLine="420"/>
      </w:pPr>
      <w:bookmarkStart w:id="0" w:name="_Hlk123721754"/>
      <w:r>
        <w:rPr>
          <w:rFonts w:hint="eastAsia"/>
          <w:lang w:val="en-US" w:eastAsia="zh-CN"/>
        </w:rPr>
        <w:t>公司</w:t>
      </w:r>
      <w:r>
        <w:rPr>
          <w:rFonts w:hint="eastAsia"/>
        </w:rPr>
        <w:t>于2023年5月11日召开第四届董事会第二十二次会议，审议通过了《关于增资境外全资子公司并对外投资设立境外合资公司的议案》，同意公司以现金向全资子公司伟隆（香港）实业有限公司（以下简称“香港伟隆”）增资255万美元，同时香港伟隆出资255万美元或其他等值货币（折合约1,760万元人民币或956万沙特里亚尔）与YASTEM公司在沙特阿拉伯设立合资公司。股东香港伟隆、YASTEM公司分别持有合资公司51%、49%的股权。合资公司设立后将成为香港伟隆控股子公司并纳入公司合并报表范围。本次交易不属于关联交易和重大资产重组事项，在公司董事会决策权限范围内，无需提交股东大会审议批准。截止目前，公司尚未对香港伟隆进行增资，合资公司也尚未成立。</w:t>
      </w:r>
    </w:p>
    <w:p>
      <w:pPr>
        <w:pStyle w:val="2"/>
        <w:numPr>
          <w:ilvl w:val="0"/>
          <w:numId w:val="0"/>
        </w:numPr>
        <w:spacing w:before="120" w:after="120" w:line="360" w:lineRule="auto"/>
        <w:ind w:firstLine="420"/>
      </w:pPr>
      <w:r>
        <w:rPr>
          <w:rFonts w:hint="eastAsia"/>
        </w:rPr>
        <w:t>根据公司实际经营的需要，公司拟终止设立合资公司的投资，改由公司投资设立全资子公司。</w:t>
      </w:r>
    </w:p>
    <w:p>
      <w:pPr>
        <w:pStyle w:val="2"/>
        <w:numPr>
          <w:ilvl w:val="0"/>
          <w:numId w:val="0"/>
        </w:numPr>
        <w:spacing w:before="120" w:after="120" w:line="360" w:lineRule="auto"/>
        <w:ind w:firstLine="420"/>
      </w:pPr>
      <w:r>
        <w:rPr>
          <w:rFonts w:hint="eastAsia"/>
        </w:rPr>
        <w:t>公司拟以现金的形式向香港伟隆增资1,000万美元，同时，香港伟隆拟出资1,000万美元在沙特阿拉伯设立全资子公司——伟隆</w:t>
      </w:r>
      <w:r>
        <w:rPr>
          <w:rFonts w:hint="eastAsia"/>
          <w:lang w:val="en-US" w:eastAsia="zh-CN"/>
        </w:rPr>
        <w:t>沙特</w:t>
      </w:r>
      <w:r>
        <w:rPr>
          <w:rFonts w:hint="eastAsia"/>
        </w:rPr>
        <w:t xml:space="preserve">有限公司(WEFLO </w:t>
      </w:r>
      <w:r>
        <w:rPr>
          <w:rFonts w:hint="eastAsia"/>
          <w:lang w:val="en-US" w:eastAsia="zh-CN"/>
        </w:rPr>
        <w:t>Saudi</w:t>
      </w:r>
      <w:r>
        <w:rPr>
          <w:rFonts w:hint="eastAsia"/>
        </w:rPr>
        <w:t xml:space="preserve"> Ltd.)（以下简称“</w:t>
      </w:r>
      <w:r>
        <w:rPr>
          <w:rFonts w:hint="eastAsia"/>
          <w:lang w:val="en-US" w:eastAsia="zh-CN"/>
        </w:rPr>
        <w:t>沙特</w:t>
      </w:r>
      <w:r>
        <w:rPr>
          <w:rFonts w:hint="eastAsia"/>
        </w:rPr>
        <w:t>子公司”）（</w:t>
      </w:r>
      <w:r>
        <w:rPr>
          <w:rFonts w:hint="eastAsia"/>
          <w:lang w:val="en-US" w:eastAsia="zh-CN"/>
        </w:rPr>
        <w:t>沙特</w:t>
      </w:r>
      <w:bookmarkStart w:id="3" w:name="_GoBack"/>
      <w:bookmarkEnd w:id="3"/>
      <w:r>
        <w:rPr>
          <w:rFonts w:hint="eastAsia"/>
        </w:rPr>
        <w:t>子公司名称最终以沙特工商部门核准登记名称为准）。股东香港伟隆持有子公司100%的股权。阿拉伯子公司设立后将成为香港伟隆全资子公司并纳入公司合并报表范围。</w:t>
      </w:r>
    </w:p>
    <w:p>
      <w:pPr>
        <w:widowControl w:val="0"/>
        <w:spacing w:before="120" w:after="120"/>
        <w:ind w:firstLine="480"/>
        <w:rPr>
          <w:rFonts w:ascii="Times New Roman" w:hAnsi="Times New Roman" w:cs="Times New Roman"/>
          <w:kern w:val="2"/>
        </w:rPr>
      </w:pPr>
      <w:r>
        <w:rPr>
          <w:rFonts w:hint="eastAsia" w:ascii="Times New Roman" w:hAnsi="Times New Roman" w:cs="Times New Roman"/>
          <w:kern w:val="2"/>
        </w:rPr>
        <w:t>具体内容详见巨潮资讯网（</w:t>
      </w:r>
      <w:r>
        <w:rPr>
          <w:rFonts w:ascii="Times New Roman" w:hAnsi="Times New Roman" w:cs="Times New Roman"/>
          <w:kern w:val="2"/>
        </w:rPr>
        <w:t>www.cninfo.com.cn）</w:t>
      </w:r>
      <w:r>
        <w:rPr>
          <w:rFonts w:hint="eastAsia" w:ascii="Times New Roman" w:hAnsi="Times New Roman" w:cs="Times New Roman"/>
          <w:kern w:val="2"/>
        </w:rPr>
        <w:t>披露的《关于终止投资设立合资公司暨投资设立全资子公司的公告》</w:t>
      </w:r>
      <w:r>
        <w:rPr>
          <w:rFonts w:hint="eastAsia" w:ascii="Times New Roman" w:hAnsi="Times New Roman" w:cs="Times New Roman"/>
          <w:kern w:val="2"/>
          <w:lang w:eastAsia="zh-CN"/>
        </w:rPr>
        <w:t>（</w:t>
      </w:r>
      <w:r>
        <w:rPr>
          <w:rFonts w:hint="eastAsia" w:ascii="Times New Roman" w:hAnsi="Times New Roman" w:cs="Times New Roman"/>
          <w:kern w:val="2"/>
          <w:lang w:val="en-US" w:eastAsia="zh-CN"/>
        </w:rPr>
        <w:t>公告编号：2024-015</w:t>
      </w:r>
      <w:r>
        <w:rPr>
          <w:rFonts w:hint="eastAsia" w:ascii="Times New Roman" w:hAnsi="Times New Roman" w:cs="Times New Roman"/>
          <w:kern w:val="2"/>
          <w:lang w:eastAsia="zh-CN"/>
        </w:rPr>
        <w:t>）</w:t>
      </w:r>
      <w:r>
        <w:rPr>
          <w:rFonts w:hint="eastAsia" w:ascii="Times New Roman" w:hAnsi="Times New Roman" w:cs="Times New Roman"/>
          <w:kern w:val="2"/>
        </w:rPr>
        <w:t>。</w:t>
      </w:r>
    </w:p>
    <w:bookmarkEnd w:id="0"/>
    <w:p>
      <w:pPr>
        <w:pStyle w:val="21"/>
        <w:spacing w:before="120" w:after="120"/>
        <w:ind w:firstLine="482"/>
        <w:rPr>
          <w:b/>
          <w:sz w:val="24"/>
        </w:rPr>
      </w:pPr>
      <w:bookmarkStart w:id="1" w:name="_Hlk123587891"/>
      <w:bookmarkStart w:id="2" w:name="_Hlk124693974"/>
      <w:r>
        <w:rPr>
          <w:rFonts w:hint="eastAsia"/>
          <w:b/>
          <w:sz w:val="24"/>
        </w:rPr>
        <w:t>表决结果：同意7票，弃权0票，反对0票。获得通过。</w:t>
      </w:r>
    </w:p>
    <w:bookmarkEnd w:id="1"/>
    <w:bookmarkEnd w:id="2"/>
    <w:p>
      <w:pPr>
        <w:spacing w:before="120" w:after="120"/>
        <w:ind w:firstLine="482"/>
        <w:rPr>
          <w:rFonts w:ascii="Times New Roman" w:hAnsi="Times New Roman"/>
          <w:b/>
          <w:szCs w:val="23"/>
        </w:rPr>
      </w:pPr>
      <w:r>
        <w:rPr>
          <w:rFonts w:hint="eastAsia" w:ascii="Times New Roman" w:hAnsi="Times New Roman"/>
          <w:b/>
          <w:szCs w:val="23"/>
        </w:rPr>
        <w:t>三、备查文件</w:t>
      </w:r>
    </w:p>
    <w:p>
      <w:pPr>
        <w:spacing w:before="156" w:beforeLines="50" w:after="156" w:afterLines="50"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1、《青岛伟隆阀门股份有限公司第</w:t>
      </w:r>
      <w:r>
        <w:rPr>
          <w:rFonts w:hint="eastAsia" w:ascii="Times New Roman" w:hAnsi="Times New Roman"/>
          <w:sz w:val="24"/>
          <w:szCs w:val="24"/>
          <w:lang w:eastAsia="zh-CN"/>
        </w:rPr>
        <w:t>四届董事会第三十一次会</w:t>
      </w:r>
      <w:r>
        <w:rPr>
          <w:rFonts w:hint="eastAsia" w:ascii="Times New Roman" w:hAnsi="Times New Roman" w:eastAsia="宋体"/>
          <w:sz w:val="24"/>
          <w:szCs w:val="24"/>
        </w:rPr>
        <w:t>议决议》；</w:t>
      </w:r>
    </w:p>
    <w:p>
      <w:pPr>
        <w:spacing w:before="120" w:after="120"/>
        <w:ind w:firstLine="480"/>
        <w:rPr>
          <w:rFonts w:ascii="Times New Roman" w:hAnsi="Times New Roman"/>
          <w:szCs w:val="23"/>
        </w:rPr>
      </w:pPr>
      <w:r>
        <w:rPr>
          <w:rFonts w:hint="eastAsia" w:ascii="Times New Roman" w:hAnsi="Times New Roman"/>
          <w:szCs w:val="23"/>
        </w:rPr>
        <w:t>特此公告。</w:t>
      </w:r>
    </w:p>
    <w:p>
      <w:pPr>
        <w:wordWrap w:val="0"/>
        <w:spacing w:before="120" w:after="120"/>
        <w:ind w:firstLine="4560" w:firstLineChars="1900"/>
        <w:jc w:val="right"/>
        <w:rPr>
          <w:rFonts w:hint="default" w:ascii="Times New Roman" w:hAnsi="Times New Roman" w:eastAsia="宋体"/>
          <w:lang w:val="en-US" w:eastAsia="zh-CN"/>
        </w:rPr>
      </w:pPr>
      <w:r>
        <w:rPr>
          <w:rFonts w:hint="eastAsia" w:ascii="Times New Roman" w:hAnsi="Times New Roman"/>
        </w:rPr>
        <w:t>青岛伟隆阀门股份有限公司董事会202</w:t>
      </w:r>
      <w:r>
        <w:rPr>
          <w:rFonts w:hint="eastAsia" w:ascii="Times New Roman" w:hAnsi="Times New Roman"/>
          <w:lang w:val="en-US" w:eastAsia="zh-CN"/>
        </w:rPr>
        <w:t>4</w:t>
      </w:r>
      <w:r>
        <w:rPr>
          <w:rFonts w:hint="eastAsia" w:ascii="Times New Roman" w:hAnsi="Times New Roman"/>
        </w:rPr>
        <w:t>年</w:t>
      </w:r>
      <w:r>
        <w:rPr>
          <w:rFonts w:hint="eastAsia" w:ascii="Times New Roman" w:hAnsi="Times New Roman"/>
          <w:lang w:val="en-US" w:eastAsia="zh-CN"/>
        </w:rPr>
        <w:t>2</w:t>
      </w:r>
      <w:r>
        <w:rPr>
          <w:rFonts w:hint="eastAsia" w:ascii="Times New Roman" w:hAnsi="Times New Roman"/>
        </w:rPr>
        <w:t>月</w:t>
      </w:r>
      <w:r>
        <w:rPr>
          <w:rFonts w:hint="eastAsia" w:ascii="Times New Roman" w:hAnsi="Times New Roman"/>
          <w:lang w:val="en-US" w:eastAsia="zh-CN"/>
        </w:rPr>
        <w:t>8</w:t>
      </w:r>
      <w:r>
        <w:rPr>
          <w:rFonts w:hint="eastAsia" w:ascii="Times New Roman" w:hAnsi="Times New Roman"/>
        </w:rPr>
        <w:t>日</w:t>
      </w:r>
      <w:r>
        <w:rPr>
          <w:rFonts w:hint="eastAsia" w:ascii="Times New Roman" w:hAnsi="Times New Roman"/>
          <w:lang w:val="en-US" w:eastAsia="zh-CN"/>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627440"/>
      <w:docPartObj>
        <w:docPartGallery w:val="autotext"/>
      </w:docPartObj>
    </w:sdtPr>
    <w:sdtContent>
      <w:p>
        <w:pPr>
          <w:pStyle w:val="6"/>
          <w:spacing w:before="120" w:after="120"/>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MTM0NDU5NzAzZDhkN2QyZDEwNzA5MDU5OTBjMzAifQ=="/>
  </w:docVars>
  <w:rsids>
    <w:rsidRoot w:val="00172A27"/>
    <w:rsid w:val="00002287"/>
    <w:rsid w:val="000133CD"/>
    <w:rsid w:val="00020F1C"/>
    <w:rsid w:val="00022A9E"/>
    <w:rsid w:val="00023BAC"/>
    <w:rsid w:val="00031AFA"/>
    <w:rsid w:val="00034103"/>
    <w:rsid w:val="00042D35"/>
    <w:rsid w:val="00057EB4"/>
    <w:rsid w:val="00074DD9"/>
    <w:rsid w:val="00075EE2"/>
    <w:rsid w:val="00080C5D"/>
    <w:rsid w:val="00083826"/>
    <w:rsid w:val="00087BE3"/>
    <w:rsid w:val="0009105D"/>
    <w:rsid w:val="0009255B"/>
    <w:rsid w:val="000A0FB4"/>
    <w:rsid w:val="000B01D7"/>
    <w:rsid w:val="000B2414"/>
    <w:rsid w:val="000B2C71"/>
    <w:rsid w:val="000B5CC8"/>
    <w:rsid w:val="000B6DBF"/>
    <w:rsid w:val="000C2AFB"/>
    <w:rsid w:val="000C6274"/>
    <w:rsid w:val="000D4AE4"/>
    <w:rsid w:val="000D6589"/>
    <w:rsid w:val="000E2111"/>
    <w:rsid w:val="000E3FA3"/>
    <w:rsid w:val="000E4EF4"/>
    <w:rsid w:val="000F5C6E"/>
    <w:rsid w:val="000F6EB5"/>
    <w:rsid w:val="00100F35"/>
    <w:rsid w:val="0010482D"/>
    <w:rsid w:val="00105553"/>
    <w:rsid w:val="0010568E"/>
    <w:rsid w:val="001118CE"/>
    <w:rsid w:val="00115BE8"/>
    <w:rsid w:val="00121BA8"/>
    <w:rsid w:val="00123DE7"/>
    <w:rsid w:val="001306E7"/>
    <w:rsid w:val="00140D0E"/>
    <w:rsid w:val="001420CB"/>
    <w:rsid w:val="0014411C"/>
    <w:rsid w:val="00154A83"/>
    <w:rsid w:val="001624EA"/>
    <w:rsid w:val="0016383F"/>
    <w:rsid w:val="00166112"/>
    <w:rsid w:val="00172A27"/>
    <w:rsid w:val="0017757A"/>
    <w:rsid w:val="001840A0"/>
    <w:rsid w:val="00191D6D"/>
    <w:rsid w:val="001A23CA"/>
    <w:rsid w:val="001B0EAD"/>
    <w:rsid w:val="001B33ED"/>
    <w:rsid w:val="001C0510"/>
    <w:rsid w:val="001C2D84"/>
    <w:rsid w:val="001C3023"/>
    <w:rsid w:val="001C4F3D"/>
    <w:rsid w:val="001C59F6"/>
    <w:rsid w:val="001C72E9"/>
    <w:rsid w:val="001C75CC"/>
    <w:rsid w:val="001D4D05"/>
    <w:rsid w:val="001E386D"/>
    <w:rsid w:val="001E4C2B"/>
    <w:rsid w:val="001E5BA2"/>
    <w:rsid w:val="001E7A4C"/>
    <w:rsid w:val="001F18B8"/>
    <w:rsid w:val="00205726"/>
    <w:rsid w:val="0021711F"/>
    <w:rsid w:val="002268D0"/>
    <w:rsid w:val="00236462"/>
    <w:rsid w:val="00236EE3"/>
    <w:rsid w:val="002370B1"/>
    <w:rsid w:val="00244FB7"/>
    <w:rsid w:val="00250AB8"/>
    <w:rsid w:val="00256DE7"/>
    <w:rsid w:val="00263DBE"/>
    <w:rsid w:val="0027512C"/>
    <w:rsid w:val="00276B4F"/>
    <w:rsid w:val="002823A2"/>
    <w:rsid w:val="002858DA"/>
    <w:rsid w:val="00285CE5"/>
    <w:rsid w:val="00296EBB"/>
    <w:rsid w:val="002A12A7"/>
    <w:rsid w:val="002A61D4"/>
    <w:rsid w:val="002B0EBD"/>
    <w:rsid w:val="002C3FAC"/>
    <w:rsid w:val="002C6188"/>
    <w:rsid w:val="002C6F74"/>
    <w:rsid w:val="002D0B26"/>
    <w:rsid w:val="002D107B"/>
    <w:rsid w:val="002D7614"/>
    <w:rsid w:val="002E00F1"/>
    <w:rsid w:val="002E0F0C"/>
    <w:rsid w:val="002E1A29"/>
    <w:rsid w:val="002E2E5E"/>
    <w:rsid w:val="002F0E27"/>
    <w:rsid w:val="002F48D1"/>
    <w:rsid w:val="002F6919"/>
    <w:rsid w:val="002F7410"/>
    <w:rsid w:val="00304F62"/>
    <w:rsid w:val="00305829"/>
    <w:rsid w:val="00307003"/>
    <w:rsid w:val="00315304"/>
    <w:rsid w:val="00320D5B"/>
    <w:rsid w:val="0032185D"/>
    <w:rsid w:val="00322965"/>
    <w:rsid w:val="00323B43"/>
    <w:rsid w:val="00326AEC"/>
    <w:rsid w:val="00330707"/>
    <w:rsid w:val="00343109"/>
    <w:rsid w:val="00351C24"/>
    <w:rsid w:val="00371FC3"/>
    <w:rsid w:val="00372A1B"/>
    <w:rsid w:val="003836CA"/>
    <w:rsid w:val="003861A5"/>
    <w:rsid w:val="0039237D"/>
    <w:rsid w:val="00397139"/>
    <w:rsid w:val="003B3D60"/>
    <w:rsid w:val="003B4D37"/>
    <w:rsid w:val="003B4DB1"/>
    <w:rsid w:val="003C37B5"/>
    <w:rsid w:val="003D0346"/>
    <w:rsid w:val="003D27E1"/>
    <w:rsid w:val="003D2E87"/>
    <w:rsid w:val="003D37D8"/>
    <w:rsid w:val="003E6E49"/>
    <w:rsid w:val="003F252B"/>
    <w:rsid w:val="003F5A48"/>
    <w:rsid w:val="004026E7"/>
    <w:rsid w:val="004054E9"/>
    <w:rsid w:val="00405E3D"/>
    <w:rsid w:val="0040741E"/>
    <w:rsid w:val="00407B06"/>
    <w:rsid w:val="00412EC7"/>
    <w:rsid w:val="004164C3"/>
    <w:rsid w:val="00421227"/>
    <w:rsid w:val="00422A0A"/>
    <w:rsid w:val="00424778"/>
    <w:rsid w:val="00426133"/>
    <w:rsid w:val="00430C7C"/>
    <w:rsid w:val="00431DD2"/>
    <w:rsid w:val="0043348C"/>
    <w:rsid w:val="004358AB"/>
    <w:rsid w:val="0044073D"/>
    <w:rsid w:val="00441BA4"/>
    <w:rsid w:val="0044283A"/>
    <w:rsid w:val="004435DA"/>
    <w:rsid w:val="00446109"/>
    <w:rsid w:val="004474F9"/>
    <w:rsid w:val="004543EA"/>
    <w:rsid w:val="004562BF"/>
    <w:rsid w:val="00456BF2"/>
    <w:rsid w:val="00461DAC"/>
    <w:rsid w:val="00474557"/>
    <w:rsid w:val="00476F90"/>
    <w:rsid w:val="00495F8C"/>
    <w:rsid w:val="004A0AEE"/>
    <w:rsid w:val="004A7847"/>
    <w:rsid w:val="004B5670"/>
    <w:rsid w:val="004B5F5B"/>
    <w:rsid w:val="004C3138"/>
    <w:rsid w:val="004C6E03"/>
    <w:rsid w:val="004D00D5"/>
    <w:rsid w:val="004D0418"/>
    <w:rsid w:val="004D481D"/>
    <w:rsid w:val="004D4CF5"/>
    <w:rsid w:val="004D5652"/>
    <w:rsid w:val="004E1A97"/>
    <w:rsid w:val="00501BD4"/>
    <w:rsid w:val="00504912"/>
    <w:rsid w:val="00505C9A"/>
    <w:rsid w:val="00507ECA"/>
    <w:rsid w:val="00510EDA"/>
    <w:rsid w:val="00516B02"/>
    <w:rsid w:val="0051752B"/>
    <w:rsid w:val="00520810"/>
    <w:rsid w:val="00522FA3"/>
    <w:rsid w:val="00524718"/>
    <w:rsid w:val="00524884"/>
    <w:rsid w:val="005303FD"/>
    <w:rsid w:val="00534A0B"/>
    <w:rsid w:val="0053526A"/>
    <w:rsid w:val="00541A74"/>
    <w:rsid w:val="00542AE7"/>
    <w:rsid w:val="00542EC3"/>
    <w:rsid w:val="005451C1"/>
    <w:rsid w:val="00547A07"/>
    <w:rsid w:val="0055022B"/>
    <w:rsid w:val="00550399"/>
    <w:rsid w:val="00556CA9"/>
    <w:rsid w:val="005673E7"/>
    <w:rsid w:val="00575785"/>
    <w:rsid w:val="005845B6"/>
    <w:rsid w:val="005856B9"/>
    <w:rsid w:val="005869E6"/>
    <w:rsid w:val="00590495"/>
    <w:rsid w:val="00593596"/>
    <w:rsid w:val="00596292"/>
    <w:rsid w:val="005A4475"/>
    <w:rsid w:val="005A6D3A"/>
    <w:rsid w:val="005B32C7"/>
    <w:rsid w:val="005C0288"/>
    <w:rsid w:val="005C270C"/>
    <w:rsid w:val="005C2D05"/>
    <w:rsid w:val="005C3A4D"/>
    <w:rsid w:val="005C5AC8"/>
    <w:rsid w:val="005D4FA7"/>
    <w:rsid w:val="005D6C16"/>
    <w:rsid w:val="005D7700"/>
    <w:rsid w:val="005E3317"/>
    <w:rsid w:val="005F0BBF"/>
    <w:rsid w:val="005F31F6"/>
    <w:rsid w:val="005F36CE"/>
    <w:rsid w:val="005F3F03"/>
    <w:rsid w:val="005F7BD7"/>
    <w:rsid w:val="00600A93"/>
    <w:rsid w:val="00601E76"/>
    <w:rsid w:val="00603B5E"/>
    <w:rsid w:val="00607D7B"/>
    <w:rsid w:val="006117D1"/>
    <w:rsid w:val="006119CF"/>
    <w:rsid w:val="00614B67"/>
    <w:rsid w:val="00617684"/>
    <w:rsid w:val="006234A3"/>
    <w:rsid w:val="006234D3"/>
    <w:rsid w:val="0062629A"/>
    <w:rsid w:val="00640B91"/>
    <w:rsid w:val="00641D9C"/>
    <w:rsid w:val="006430A2"/>
    <w:rsid w:val="006476E9"/>
    <w:rsid w:val="00654C24"/>
    <w:rsid w:val="006553C2"/>
    <w:rsid w:val="00657434"/>
    <w:rsid w:val="00662EDD"/>
    <w:rsid w:val="00665D63"/>
    <w:rsid w:val="006774BF"/>
    <w:rsid w:val="006824B5"/>
    <w:rsid w:val="006B171B"/>
    <w:rsid w:val="006B53EC"/>
    <w:rsid w:val="006B553B"/>
    <w:rsid w:val="006B6A27"/>
    <w:rsid w:val="006C71D9"/>
    <w:rsid w:val="006E314F"/>
    <w:rsid w:val="006E5BCD"/>
    <w:rsid w:val="006E7605"/>
    <w:rsid w:val="006F3AC2"/>
    <w:rsid w:val="006F4987"/>
    <w:rsid w:val="006F72C0"/>
    <w:rsid w:val="00702023"/>
    <w:rsid w:val="00704317"/>
    <w:rsid w:val="00706841"/>
    <w:rsid w:val="00711A9D"/>
    <w:rsid w:val="00712C1E"/>
    <w:rsid w:val="0071315D"/>
    <w:rsid w:val="00713E98"/>
    <w:rsid w:val="00716E45"/>
    <w:rsid w:val="00723678"/>
    <w:rsid w:val="007254B4"/>
    <w:rsid w:val="00736CCB"/>
    <w:rsid w:val="0073781E"/>
    <w:rsid w:val="00745A00"/>
    <w:rsid w:val="00750102"/>
    <w:rsid w:val="007536AC"/>
    <w:rsid w:val="007536C2"/>
    <w:rsid w:val="00760A31"/>
    <w:rsid w:val="00763722"/>
    <w:rsid w:val="00767DB4"/>
    <w:rsid w:val="00780673"/>
    <w:rsid w:val="007814FC"/>
    <w:rsid w:val="00782352"/>
    <w:rsid w:val="00785158"/>
    <w:rsid w:val="00786A29"/>
    <w:rsid w:val="007953D7"/>
    <w:rsid w:val="00797F9D"/>
    <w:rsid w:val="007A2A89"/>
    <w:rsid w:val="007A6BE9"/>
    <w:rsid w:val="007A72B5"/>
    <w:rsid w:val="007B1F9D"/>
    <w:rsid w:val="007C0DCC"/>
    <w:rsid w:val="007C0DE1"/>
    <w:rsid w:val="007C4641"/>
    <w:rsid w:val="007D5D47"/>
    <w:rsid w:val="007D6BB6"/>
    <w:rsid w:val="007E25F6"/>
    <w:rsid w:val="007E7070"/>
    <w:rsid w:val="007E77F2"/>
    <w:rsid w:val="007F1020"/>
    <w:rsid w:val="007F23DB"/>
    <w:rsid w:val="007F5323"/>
    <w:rsid w:val="008007FF"/>
    <w:rsid w:val="0080643F"/>
    <w:rsid w:val="008106C9"/>
    <w:rsid w:val="00812732"/>
    <w:rsid w:val="00813D13"/>
    <w:rsid w:val="008145C5"/>
    <w:rsid w:val="00825861"/>
    <w:rsid w:val="008347DD"/>
    <w:rsid w:val="00837339"/>
    <w:rsid w:val="008424D8"/>
    <w:rsid w:val="00846D2E"/>
    <w:rsid w:val="00850A74"/>
    <w:rsid w:val="00855B57"/>
    <w:rsid w:val="00856162"/>
    <w:rsid w:val="00862320"/>
    <w:rsid w:val="00862530"/>
    <w:rsid w:val="00866333"/>
    <w:rsid w:val="00873860"/>
    <w:rsid w:val="0088084E"/>
    <w:rsid w:val="008813B8"/>
    <w:rsid w:val="00881A67"/>
    <w:rsid w:val="00882566"/>
    <w:rsid w:val="0088530D"/>
    <w:rsid w:val="00885EF3"/>
    <w:rsid w:val="00890C7E"/>
    <w:rsid w:val="008948D7"/>
    <w:rsid w:val="00895B95"/>
    <w:rsid w:val="008A11C3"/>
    <w:rsid w:val="008A287C"/>
    <w:rsid w:val="008B157C"/>
    <w:rsid w:val="008B2979"/>
    <w:rsid w:val="008B5BF7"/>
    <w:rsid w:val="008B7726"/>
    <w:rsid w:val="008C0A31"/>
    <w:rsid w:val="008C4867"/>
    <w:rsid w:val="008D17AC"/>
    <w:rsid w:val="008D7FC0"/>
    <w:rsid w:val="008F2CD2"/>
    <w:rsid w:val="008F40EE"/>
    <w:rsid w:val="0090339E"/>
    <w:rsid w:val="0090559A"/>
    <w:rsid w:val="0091337C"/>
    <w:rsid w:val="00914BDE"/>
    <w:rsid w:val="00931492"/>
    <w:rsid w:val="0095363F"/>
    <w:rsid w:val="009550BA"/>
    <w:rsid w:val="00957604"/>
    <w:rsid w:val="00957C24"/>
    <w:rsid w:val="00962038"/>
    <w:rsid w:val="0096231F"/>
    <w:rsid w:val="00964FDF"/>
    <w:rsid w:val="00970166"/>
    <w:rsid w:val="0097585D"/>
    <w:rsid w:val="009815D2"/>
    <w:rsid w:val="0098339F"/>
    <w:rsid w:val="0098481A"/>
    <w:rsid w:val="0098779B"/>
    <w:rsid w:val="0099464B"/>
    <w:rsid w:val="0099730B"/>
    <w:rsid w:val="009A3A37"/>
    <w:rsid w:val="009A4A83"/>
    <w:rsid w:val="009A7087"/>
    <w:rsid w:val="009B3B69"/>
    <w:rsid w:val="009B3FC6"/>
    <w:rsid w:val="009B47AC"/>
    <w:rsid w:val="009B7A89"/>
    <w:rsid w:val="009C03F8"/>
    <w:rsid w:val="009C0906"/>
    <w:rsid w:val="009C376A"/>
    <w:rsid w:val="009C4655"/>
    <w:rsid w:val="009C73EF"/>
    <w:rsid w:val="009D42A7"/>
    <w:rsid w:val="009D5C82"/>
    <w:rsid w:val="009E255D"/>
    <w:rsid w:val="009E2F97"/>
    <w:rsid w:val="009E393E"/>
    <w:rsid w:val="009E3A46"/>
    <w:rsid w:val="009E7618"/>
    <w:rsid w:val="009F58D5"/>
    <w:rsid w:val="009F71CF"/>
    <w:rsid w:val="00A02B6C"/>
    <w:rsid w:val="00A06114"/>
    <w:rsid w:val="00A0704F"/>
    <w:rsid w:val="00A155EB"/>
    <w:rsid w:val="00A2437C"/>
    <w:rsid w:val="00A303AA"/>
    <w:rsid w:val="00A375A5"/>
    <w:rsid w:val="00A37E1E"/>
    <w:rsid w:val="00A52773"/>
    <w:rsid w:val="00A53A38"/>
    <w:rsid w:val="00A53FF2"/>
    <w:rsid w:val="00A7113F"/>
    <w:rsid w:val="00A8026D"/>
    <w:rsid w:val="00AA1D1A"/>
    <w:rsid w:val="00AA209B"/>
    <w:rsid w:val="00AA3EAF"/>
    <w:rsid w:val="00AB22CF"/>
    <w:rsid w:val="00AB2582"/>
    <w:rsid w:val="00AB4268"/>
    <w:rsid w:val="00AB6CA0"/>
    <w:rsid w:val="00AC2F7D"/>
    <w:rsid w:val="00AC54E0"/>
    <w:rsid w:val="00AC7411"/>
    <w:rsid w:val="00AC779D"/>
    <w:rsid w:val="00AC79B7"/>
    <w:rsid w:val="00AD053D"/>
    <w:rsid w:val="00AD12CF"/>
    <w:rsid w:val="00AE6BB7"/>
    <w:rsid w:val="00AF0BFB"/>
    <w:rsid w:val="00AF2363"/>
    <w:rsid w:val="00AF586F"/>
    <w:rsid w:val="00B022AB"/>
    <w:rsid w:val="00B20D1A"/>
    <w:rsid w:val="00B25E89"/>
    <w:rsid w:val="00B2709E"/>
    <w:rsid w:val="00B31D9C"/>
    <w:rsid w:val="00B43F63"/>
    <w:rsid w:val="00B447EE"/>
    <w:rsid w:val="00B44968"/>
    <w:rsid w:val="00B524CE"/>
    <w:rsid w:val="00B614F9"/>
    <w:rsid w:val="00B66B52"/>
    <w:rsid w:val="00B70156"/>
    <w:rsid w:val="00B77036"/>
    <w:rsid w:val="00BA2473"/>
    <w:rsid w:val="00BA2EED"/>
    <w:rsid w:val="00BA537F"/>
    <w:rsid w:val="00BA7825"/>
    <w:rsid w:val="00BB1843"/>
    <w:rsid w:val="00BB24E1"/>
    <w:rsid w:val="00BC2A06"/>
    <w:rsid w:val="00BD0B09"/>
    <w:rsid w:val="00BE2D68"/>
    <w:rsid w:val="00BE33C1"/>
    <w:rsid w:val="00BE6684"/>
    <w:rsid w:val="00BE6C97"/>
    <w:rsid w:val="00BE7F41"/>
    <w:rsid w:val="00BF0B3C"/>
    <w:rsid w:val="00BF1BE2"/>
    <w:rsid w:val="00BF2BA0"/>
    <w:rsid w:val="00C00963"/>
    <w:rsid w:val="00C01D80"/>
    <w:rsid w:val="00C05532"/>
    <w:rsid w:val="00C11DA5"/>
    <w:rsid w:val="00C12712"/>
    <w:rsid w:val="00C13DF9"/>
    <w:rsid w:val="00C26A83"/>
    <w:rsid w:val="00C30267"/>
    <w:rsid w:val="00C31997"/>
    <w:rsid w:val="00C333B8"/>
    <w:rsid w:val="00C3477C"/>
    <w:rsid w:val="00C36FFB"/>
    <w:rsid w:val="00C37B7A"/>
    <w:rsid w:val="00C41721"/>
    <w:rsid w:val="00C51CAC"/>
    <w:rsid w:val="00C61EB3"/>
    <w:rsid w:val="00C62F24"/>
    <w:rsid w:val="00C66033"/>
    <w:rsid w:val="00C66AD0"/>
    <w:rsid w:val="00C75AA8"/>
    <w:rsid w:val="00C83CFB"/>
    <w:rsid w:val="00C843B3"/>
    <w:rsid w:val="00C87B02"/>
    <w:rsid w:val="00C92216"/>
    <w:rsid w:val="00CA5563"/>
    <w:rsid w:val="00CB28D8"/>
    <w:rsid w:val="00CB4834"/>
    <w:rsid w:val="00CB4964"/>
    <w:rsid w:val="00CC0AED"/>
    <w:rsid w:val="00CC47F2"/>
    <w:rsid w:val="00CC49F8"/>
    <w:rsid w:val="00CC5208"/>
    <w:rsid w:val="00CC6A94"/>
    <w:rsid w:val="00CD0469"/>
    <w:rsid w:val="00CD11B5"/>
    <w:rsid w:val="00CD288E"/>
    <w:rsid w:val="00CE3854"/>
    <w:rsid w:val="00CF0917"/>
    <w:rsid w:val="00CF1A95"/>
    <w:rsid w:val="00CF3678"/>
    <w:rsid w:val="00CF39DB"/>
    <w:rsid w:val="00CF46F7"/>
    <w:rsid w:val="00CF671E"/>
    <w:rsid w:val="00CF6812"/>
    <w:rsid w:val="00D007AE"/>
    <w:rsid w:val="00D031F8"/>
    <w:rsid w:val="00D10486"/>
    <w:rsid w:val="00D117BF"/>
    <w:rsid w:val="00D17B6B"/>
    <w:rsid w:val="00D31D50"/>
    <w:rsid w:val="00D352A3"/>
    <w:rsid w:val="00D40751"/>
    <w:rsid w:val="00D46ABE"/>
    <w:rsid w:val="00D50A86"/>
    <w:rsid w:val="00D60743"/>
    <w:rsid w:val="00D60E15"/>
    <w:rsid w:val="00D64A80"/>
    <w:rsid w:val="00D72A7F"/>
    <w:rsid w:val="00D72B81"/>
    <w:rsid w:val="00D731B8"/>
    <w:rsid w:val="00D73238"/>
    <w:rsid w:val="00D747D1"/>
    <w:rsid w:val="00D835DD"/>
    <w:rsid w:val="00D85B93"/>
    <w:rsid w:val="00D87192"/>
    <w:rsid w:val="00D87CD3"/>
    <w:rsid w:val="00D93814"/>
    <w:rsid w:val="00D94997"/>
    <w:rsid w:val="00DA1374"/>
    <w:rsid w:val="00DA2064"/>
    <w:rsid w:val="00DB3961"/>
    <w:rsid w:val="00DB3986"/>
    <w:rsid w:val="00DB3FBD"/>
    <w:rsid w:val="00DC01E5"/>
    <w:rsid w:val="00DC0C8B"/>
    <w:rsid w:val="00DC18FB"/>
    <w:rsid w:val="00DD1C68"/>
    <w:rsid w:val="00DD3E59"/>
    <w:rsid w:val="00DD54E8"/>
    <w:rsid w:val="00DE2407"/>
    <w:rsid w:val="00DE2901"/>
    <w:rsid w:val="00DE4508"/>
    <w:rsid w:val="00DF1415"/>
    <w:rsid w:val="00DF3F12"/>
    <w:rsid w:val="00DF4AD6"/>
    <w:rsid w:val="00E01DB5"/>
    <w:rsid w:val="00E117DE"/>
    <w:rsid w:val="00E136C4"/>
    <w:rsid w:val="00E16FB0"/>
    <w:rsid w:val="00E20B77"/>
    <w:rsid w:val="00E252FC"/>
    <w:rsid w:val="00E27C4B"/>
    <w:rsid w:val="00E33C76"/>
    <w:rsid w:val="00E528DF"/>
    <w:rsid w:val="00E56877"/>
    <w:rsid w:val="00E65E91"/>
    <w:rsid w:val="00E71239"/>
    <w:rsid w:val="00E7359B"/>
    <w:rsid w:val="00E763CA"/>
    <w:rsid w:val="00E93451"/>
    <w:rsid w:val="00E97AF6"/>
    <w:rsid w:val="00EA1640"/>
    <w:rsid w:val="00EA25E6"/>
    <w:rsid w:val="00EA2F11"/>
    <w:rsid w:val="00EA3852"/>
    <w:rsid w:val="00EB1E97"/>
    <w:rsid w:val="00EB4454"/>
    <w:rsid w:val="00EB46B7"/>
    <w:rsid w:val="00EB6CBE"/>
    <w:rsid w:val="00EC7C5D"/>
    <w:rsid w:val="00ED1A60"/>
    <w:rsid w:val="00ED2416"/>
    <w:rsid w:val="00ED41E8"/>
    <w:rsid w:val="00ED49F2"/>
    <w:rsid w:val="00EE12F1"/>
    <w:rsid w:val="00F0022C"/>
    <w:rsid w:val="00F00B0B"/>
    <w:rsid w:val="00F05437"/>
    <w:rsid w:val="00F14B38"/>
    <w:rsid w:val="00F212C7"/>
    <w:rsid w:val="00F271A4"/>
    <w:rsid w:val="00F47D98"/>
    <w:rsid w:val="00F51976"/>
    <w:rsid w:val="00F53072"/>
    <w:rsid w:val="00F54335"/>
    <w:rsid w:val="00F5660A"/>
    <w:rsid w:val="00F63194"/>
    <w:rsid w:val="00F774B4"/>
    <w:rsid w:val="00F9053F"/>
    <w:rsid w:val="00F92E21"/>
    <w:rsid w:val="00FA445F"/>
    <w:rsid w:val="00FA6923"/>
    <w:rsid w:val="00FB4B02"/>
    <w:rsid w:val="00FC4AB2"/>
    <w:rsid w:val="00FC5C4C"/>
    <w:rsid w:val="00FC7D16"/>
    <w:rsid w:val="00FD30EB"/>
    <w:rsid w:val="00FD6898"/>
    <w:rsid w:val="00FE2F41"/>
    <w:rsid w:val="00FF66DC"/>
    <w:rsid w:val="02122583"/>
    <w:rsid w:val="03284E8C"/>
    <w:rsid w:val="04582CCD"/>
    <w:rsid w:val="04933A7B"/>
    <w:rsid w:val="05216551"/>
    <w:rsid w:val="069B6845"/>
    <w:rsid w:val="078046A1"/>
    <w:rsid w:val="0D187065"/>
    <w:rsid w:val="0D885C74"/>
    <w:rsid w:val="0ED877EB"/>
    <w:rsid w:val="0F147008"/>
    <w:rsid w:val="105140A5"/>
    <w:rsid w:val="10755F3E"/>
    <w:rsid w:val="116D12E5"/>
    <w:rsid w:val="121C111E"/>
    <w:rsid w:val="12923BE2"/>
    <w:rsid w:val="134E1ED2"/>
    <w:rsid w:val="14A85ECD"/>
    <w:rsid w:val="14C00400"/>
    <w:rsid w:val="16454C4B"/>
    <w:rsid w:val="17B97431"/>
    <w:rsid w:val="19B16CD8"/>
    <w:rsid w:val="19DC653D"/>
    <w:rsid w:val="1B456253"/>
    <w:rsid w:val="1BAE271A"/>
    <w:rsid w:val="1D5A719B"/>
    <w:rsid w:val="1EBD0C06"/>
    <w:rsid w:val="1EBD713D"/>
    <w:rsid w:val="1EF04B68"/>
    <w:rsid w:val="202E3BE9"/>
    <w:rsid w:val="20781BFB"/>
    <w:rsid w:val="210943B7"/>
    <w:rsid w:val="235D3917"/>
    <w:rsid w:val="236A0685"/>
    <w:rsid w:val="25FC664A"/>
    <w:rsid w:val="269E4FC3"/>
    <w:rsid w:val="26C868E1"/>
    <w:rsid w:val="272D366F"/>
    <w:rsid w:val="294E423C"/>
    <w:rsid w:val="2AF87057"/>
    <w:rsid w:val="2B853CDD"/>
    <w:rsid w:val="2C700571"/>
    <w:rsid w:val="2D1402D8"/>
    <w:rsid w:val="2D55162E"/>
    <w:rsid w:val="2D916E68"/>
    <w:rsid w:val="3009773D"/>
    <w:rsid w:val="30933E1A"/>
    <w:rsid w:val="30C04352"/>
    <w:rsid w:val="3103761F"/>
    <w:rsid w:val="314F1D54"/>
    <w:rsid w:val="32490B07"/>
    <w:rsid w:val="32E83E28"/>
    <w:rsid w:val="387526AD"/>
    <w:rsid w:val="3B9E6701"/>
    <w:rsid w:val="3C9D64F0"/>
    <w:rsid w:val="3E064FBA"/>
    <w:rsid w:val="3E493A8F"/>
    <w:rsid w:val="3FDA5BD9"/>
    <w:rsid w:val="40ED7B5A"/>
    <w:rsid w:val="41FC5011"/>
    <w:rsid w:val="421C1499"/>
    <w:rsid w:val="43E925FA"/>
    <w:rsid w:val="456B3021"/>
    <w:rsid w:val="45C44B20"/>
    <w:rsid w:val="46DD5F48"/>
    <w:rsid w:val="46F8310E"/>
    <w:rsid w:val="48686316"/>
    <w:rsid w:val="49891460"/>
    <w:rsid w:val="49E23684"/>
    <w:rsid w:val="4A5E28EA"/>
    <w:rsid w:val="4B2F4F56"/>
    <w:rsid w:val="4C047638"/>
    <w:rsid w:val="4CBA7570"/>
    <w:rsid w:val="4CFF1931"/>
    <w:rsid w:val="4DB77DC7"/>
    <w:rsid w:val="4DF3372B"/>
    <w:rsid w:val="4F151068"/>
    <w:rsid w:val="509A04C8"/>
    <w:rsid w:val="51C8662B"/>
    <w:rsid w:val="54874219"/>
    <w:rsid w:val="549C6B33"/>
    <w:rsid w:val="55AC6A83"/>
    <w:rsid w:val="55EA3B6A"/>
    <w:rsid w:val="562F6EE9"/>
    <w:rsid w:val="572B401D"/>
    <w:rsid w:val="57C87E52"/>
    <w:rsid w:val="58F12F4F"/>
    <w:rsid w:val="5AAA6638"/>
    <w:rsid w:val="5ACB0A85"/>
    <w:rsid w:val="5B2B1DCF"/>
    <w:rsid w:val="5CB66B2D"/>
    <w:rsid w:val="5D9109EC"/>
    <w:rsid w:val="5F050C94"/>
    <w:rsid w:val="6022031E"/>
    <w:rsid w:val="603F5D2F"/>
    <w:rsid w:val="607B2B54"/>
    <w:rsid w:val="62C909B2"/>
    <w:rsid w:val="6379684E"/>
    <w:rsid w:val="65F903AA"/>
    <w:rsid w:val="669A6275"/>
    <w:rsid w:val="66A357A5"/>
    <w:rsid w:val="66B0547D"/>
    <w:rsid w:val="66BC1FA2"/>
    <w:rsid w:val="673C0498"/>
    <w:rsid w:val="67E45DE5"/>
    <w:rsid w:val="68382019"/>
    <w:rsid w:val="686A6131"/>
    <w:rsid w:val="69490B5C"/>
    <w:rsid w:val="6BA41121"/>
    <w:rsid w:val="6BF74350"/>
    <w:rsid w:val="6CBA291E"/>
    <w:rsid w:val="6CE9258E"/>
    <w:rsid w:val="6CF33B45"/>
    <w:rsid w:val="6DE62A3E"/>
    <w:rsid w:val="6E9059BD"/>
    <w:rsid w:val="6EEA2E97"/>
    <w:rsid w:val="6F380D19"/>
    <w:rsid w:val="6F6F473B"/>
    <w:rsid w:val="70B67D01"/>
    <w:rsid w:val="70DE0671"/>
    <w:rsid w:val="714E08D2"/>
    <w:rsid w:val="724E40E7"/>
    <w:rsid w:val="72F559F9"/>
    <w:rsid w:val="732D703E"/>
    <w:rsid w:val="75826128"/>
    <w:rsid w:val="75C237B9"/>
    <w:rsid w:val="769F1054"/>
    <w:rsid w:val="771B2FE0"/>
    <w:rsid w:val="775D2173"/>
    <w:rsid w:val="78627B38"/>
    <w:rsid w:val="78BA4CA5"/>
    <w:rsid w:val="7AF7054B"/>
    <w:rsid w:val="7BE129E3"/>
    <w:rsid w:val="7DD9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before="50" w:beforeLines="50" w:after="50" w:afterLines="50" w:line="360" w:lineRule="auto"/>
      <w:ind w:firstLine="200" w:firstLineChars="200"/>
      <w:jc w:val="both"/>
    </w:pPr>
    <w:rPr>
      <w:rFonts w:ascii="宋体" w:hAnsi="宋体" w:eastAsia="宋体" w:cs="宋体"/>
      <w:sz w:val="24"/>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qFormat/>
    <w:uiPriority w:val="0"/>
    <w:pPr>
      <w:spacing w:before="120" w:after="120"/>
      <w:ind w:firstLine="420" w:firstLineChars="200"/>
    </w:pPr>
    <w:rPr>
      <w:rFonts w:hAnsi="Courier New"/>
    </w:rPr>
  </w:style>
  <w:style w:type="paragraph" w:styleId="3">
    <w:name w:val="annotation text"/>
    <w:basedOn w:val="1"/>
    <w:link w:val="18"/>
    <w:autoRedefine/>
    <w:unhideWhenUsed/>
    <w:qFormat/>
    <w:uiPriority w:val="99"/>
  </w:style>
  <w:style w:type="paragraph" w:styleId="4">
    <w:name w:val="Body Text Indent"/>
    <w:basedOn w:val="1"/>
    <w:autoRedefine/>
    <w:semiHidden/>
    <w:unhideWhenUsed/>
    <w:qFormat/>
    <w:uiPriority w:val="99"/>
    <w:pPr>
      <w:spacing w:after="120"/>
      <w:ind w:left="420" w:leftChars="200"/>
    </w:pPr>
  </w:style>
  <w:style w:type="paragraph" w:styleId="5">
    <w:name w:val="Balloon Text"/>
    <w:basedOn w:val="1"/>
    <w:link w:val="20"/>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autoRedefine/>
    <w:semiHidden/>
    <w:unhideWhenUsed/>
    <w:qFormat/>
    <w:uiPriority w:val="99"/>
    <w:pPr>
      <w:spacing w:before="100" w:beforeAutospacing="1" w:after="100" w:afterAutospacing="1"/>
    </w:pPr>
  </w:style>
  <w:style w:type="paragraph" w:styleId="9">
    <w:name w:val="annotation subject"/>
    <w:basedOn w:val="3"/>
    <w:next w:val="3"/>
    <w:link w:val="19"/>
    <w:autoRedefine/>
    <w:semiHidden/>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character" w:customStyle="1" w:styleId="15">
    <w:name w:val="页眉 字符"/>
    <w:basedOn w:val="12"/>
    <w:link w:val="7"/>
    <w:autoRedefine/>
    <w:qFormat/>
    <w:uiPriority w:val="99"/>
    <w:rPr>
      <w:rFonts w:ascii="Tahoma" w:hAnsi="Tahoma"/>
      <w:sz w:val="18"/>
      <w:szCs w:val="18"/>
    </w:rPr>
  </w:style>
  <w:style w:type="character" w:customStyle="1" w:styleId="16">
    <w:name w:val="页脚 字符"/>
    <w:basedOn w:val="12"/>
    <w:link w:val="6"/>
    <w:autoRedefine/>
    <w:qFormat/>
    <w:uiPriority w:val="99"/>
    <w:rPr>
      <w:rFonts w:ascii="Tahoma" w:hAnsi="Tahoma"/>
      <w:sz w:val="18"/>
      <w:szCs w:val="18"/>
    </w:rPr>
  </w:style>
  <w:style w:type="paragraph" w:styleId="17">
    <w:name w:val="List Paragraph"/>
    <w:basedOn w:val="1"/>
    <w:autoRedefine/>
    <w:qFormat/>
    <w:uiPriority w:val="34"/>
    <w:pPr>
      <w:ind w:firstLine="420"/>
    </w:pPr>
  </w:style>
  <w:style w:type="character" w:customStyle="1" w:styleId="18">
    <w:name w:val="批注文字 字符"/>
    <w:basedOn w:val="12"/>
    <w:link w:val="3"/>
    <w:autoRedefine/>
    <w:qFormat/>
    <w:uiPriority w:val="99"/>
    <w:rPr>
      <w:rFonts w:ascii="Tahoma" w:hAnsi="Tahoma"/>
    </w:rPr>
  </w:style>
  <w:style w:type="character" w:customStyle="1" w:styleId="19">
    <w:name w:val="批注主题 字符"/>
    <w:basedOn w:val="18"/>
    <w:link w:val="9"/>
    <w:autoRedefine/>
    <w:semiHidden/>
    <w:qFormat/>
    <w:uiPriority w:val="99"/>
    <w:rPr>
      <w:rFonts w:ascii="Tahoma" w:hAnsi="Tahoma"/>
      <w:b/>
      <w:bCs/>
    </w:rPr>
  </w:style>
  <w:style w:type="character" w:customStyle="1" w:styleId="20">
    <w:name w:val="批注框文本 字符"/>
    <w:basedOn w:val="12"/>
    <w:link w:val="5"/>
    <w:autoRedefine/>
    <w:semiHidden/>
    <w:qFormat/>
    <w:uiPriority w:val="99"/>
    <w:rPr>
      <w:rFonts w:ascii="Tahoma" w:hAnsi="Tahoma"/>
      <w:sz w:val="18"/>
      <w:szCs w:val="18"/>
    </w:rPr>
  </w:style>
  <w:style w:type="paragraph" w:customStyle="1" w:styleId="21">
    <w:name w:val="p0"/>
    <w:basedOn w:val="1"/>
    <w:autoRedefine/>
    <w:qFormat/>
    <w:uiPriority w:val="0"/>
    <w:rPr>
      <w:rFonts w:ascii="Times New Roman" w:hAnsi="Times New Roman" w:cs="Times New Roman"/>
      <w:sz w:val="21"/>
      <w:szCs w:val="21"/>
    </w:rPr>
  </w:style>
  <w:style w:type="character" w:customStyle="1" w:styleId="22">
    <w:name w:val="fontstyle01"/>
    <w:basedOn w:val="12"/>
    <w:autoRedefine/>
    <w:qFormat/>
    <w:uiPriority w:val="0"/>
    <w:rPr>
      <w:rFonts w:hint="eastAsia" w:ascii="宋体" w:hAnsi="宋体" w:eastAsia="宋体"/>
      <w:color w:val="000000"/>
      <w:sz w:val="24"/>
      <w:szCs w:val="24"/>
    </w:rPr>
  </w:style>
  <w:style w:type="character" w:customStyle="1" w:styleId="23">
    <w:name w:val="fontstyle21"/>
    <w:basedOn w:val="12"/>
    <w:autoRedefine/>
    <w:qFormat/>
    <w:uiPriority w:val="0"/>
    <w:rPr>
      <w:rFonts w:hint="default" w:ascii="Times New Roman" w:hAnsi="Times New Roman" w:cs="Times New Roman"/>
      <w:color w:val="000000"/>
      <w:sz w:val="24"/>
      <w:szCs w:val="24"/>
    </w:rPr>
  </w:style>
  <w:style w:type="character" w:customStyle="1" w:styleId="24">
    <w:name w:val="fontstyle11"/>
    <w:basedOn w:val="12"/>
    <w:autoRedefine/>
    <w:qFormat/>
    <w:uiPriority w:val="0"/>
    <w:rPr>
      <w:rFonts w:hint="eastAsia" w:ascii="宋体" w:hAnsi="宋体" w:eastAsia="宋体"/>
      <w:color w:val="000000"/>
      <w:sz w:val="24"/>
      <w:szCs w:val="24"/>
    </w:rPr>
  </w:style>
  <w:style w:type="character" w:customStyle="1" w:styleId="25">
    <w:name w:val="da1"/>
    <w:autoRedefine/>
    <w:qFormat/>
    <w:uiPriority w:val="0"/>
    <w:rPr>
      <w:rFonts w:hint="default" w:ascii="ˎ̥" w:hAnsi="ˎ̥"/>
      <w:color w:val="000000"/>
      <w:sz w:val="28"/>
      <w:szCs w:val="28"/>
      <w:u w:val="none"/>
    </w:rPr>
  </w:style>
  <w:style w:type="paragraph" w:customStyle="1" w:styleId="26">
    <w:name w:val="Default"/>
    <w:autoRedefine/>
    <w:unhideWhenUsed/>
    <w:qFormat/>
    <w:uiPriority w:val="99"/>
    <w:pPr>
      <w:widowControl w:val="0"/>
      <w:autoSpaceDE w:val="0"/>
      <w:autoSpaceDN w:val="0"/>
      <w:adjustRightInd w:val="0"/>
      <w:spacing w:before="50" w:beforeLines="50" w:after="50" w:afterLines="50" w:line="360" w:lineRule="auto"/>
      <w:ind w:firstLine="200" w:firstLineChars="200"/>
      <w:jc w:val="both"/>
    </w:pPr>
    <w:rPr>
      <w:rFonts w:hint="eastAsia" w:ascii="宋体" w:hAnsi="宋体" w:eastAsia="宋体" w:cs="Times New Roman"/>
      <w:color w:val="000000"/>
      <w:sz w:val="24"/>
      <w:lang w:val="en-US" w:eastAsia="zh-CN" w:bidi="ar-SA"/>
    </w:rPr>
  </w:style>
  <w:style w:type="paragraph" w:customStyle="1" w:styleId="27">
    <w:name w:val="修订1"/>
    <w:autoRedefine/>
    <w:hidden/>
    <w:semiHidden/>
    <w:qFormat/>
    <w:uiPriority w:val="99"/>
    <w:pPr>
      <w:spacing w:before="50" w:beforeLines="50" w:after="50" w:afterLines="50" w:line="360" w:lineRule="auto"/>
      <w:ind w:firstLine="200" w:firstLineChars="200"/>
      <w:jc w:val="both"/>
    </w:pPr>
    <w:rPr>
      <w:rFonts w:ascii="宋体" w:hAnsi="宋体" w:eastAsia="宋体" w:cs="宋体"/>
      <w:sz w:val="24"/>
      <w:szCs w:val="24"/>
      <w:lang w:val="en-US" w:eastAsia="zh-CN" w:bidi="ar-SA"/>
    </w:rPr>
  </w:style>
  <w:style w:type="paragraph" w:customStyle="1" w:styleId="28">
    <w:name w:val="Revision"/>
    <w:autoRedefine/>
    <w:hidden/>
    <w:semiHidden/>
    <w:qFormat/>
    <w:uiPriority w:val="99"/>
    <w:pPr>
      <w:spacing w:before="50" w:beforeLines="50" w:after="50" w:afterLines="50" w:line="360" w:lineRule="auto"/>
      <w:ind w:firstLine="200" w:firstLineChars="200"/>
      <w:jc w:val="both"/>
    </w:pPr>
    <w:rPr>
      <w:rFonts w:ascii="宋体" w:hAnsi="宋体" w:eastAsia="宋体" w:cs="宋体"/>
      <w:sz w:val="24"/>
      <w:szCs w:val="24"/>
      <w:lang w:val="en-US" w:eastAsia="zh-CN" w:bidi="ar-SA"/>
    </w:rPr>
  </w:style>
  <w:style w:type="character" w:customStyle="1" w:styleId="29">
    <w:name w:val="Unresolved Mention"/>
    <w:basedOn w:val="1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7D0C-4EF0-4C6A-88E2-763F68CF25E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12269</Words>
  <Characters>12882</Characters>
  <Lines>94</Lines>
  <Paragraphs>26</Paragraphs>
  <TotalTime>0</TotalTime>
  <ScaleCrop>false</ScaleCrop>
  <LinksUpToDate>false</LinksUpToDate>
  <CharactersWithSpaces>13064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2019-10-29T03:51:00Z</dcterms:created>
  <dc:creator>Administrator</dc:creator>
  <cp:lastModifiedBy>李易煊</cp:lastModifiedBy>
  <dcterms:modified xsi:type="dcterms:W3CDTF">2024-02-07T07:03:57Z</dcterms:modified>
  <cp:revision>407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6CE69DA7ACDB4E81BFA05A295361BF06_13</vt:lpwstr>
  </property>
</Properties>
</file>