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180" w:beforeLines="50" w:after="180" w:afterLines="50" w:line="360" w:lineRule="auto"/>
        <w:jc w:val="center"/>
        <w:rPr>
          <w:rFonts w:hint="default" w:ascii="宋体" w:hAnsi="宋体" w:eastAsia="宋体" w:cs="宋体"/>
          <w:highlight w:val="none"/>
          <w:lang w:val="en-US" w:eastAsia="zh-CN"/>
        </w:rPr>
      </w:pPr>
      <w:r>
        <w:rPr>
          <w:rFonts w:hint="eastAsia" w:ascii="宋体" w:hAnsi="宋体" w:eastAsia="宋体" w:cs="宋体"/>
          <w:highlight w:val="none"/>
        </w:rPr>
        <w:t>证券代码：002871            证券简称：伟隆股份           公告编号：202</w:t>
      </w:r>
      <w:r>
        <w:rPr>
          <w:rFonts w:hint="default" w:ascii="宋体" w:hAnsi="宋体" w:eastAsia="宋体" w:cs="宋体"/>
          <w:highlight w:val="none"/>
          <w:lang w:val="en-US"/>
        </w:rPr>
        <w:t>4</w:t>
      </w:r>
      <w:r>
        <w:rPr>
          <w:rFonts w:hint="eastAsia" w:ascii="宋体" w:hAnsi="宋体" w:eastAsia="宋体" w:cs="宋体"/>
          <w:highlight w:val="none"/>
        </w:rPr>
        <w:t>-</w:t>
      </w:r>
      <w:r>
        <w:rPr>
          <w:rFonts w:hint="default" w:ascii="宋体" w:hAnsi="宋体" w:eastAsia="宋体" w:cs="宋体"/>
          <w:highlight w:val="none"/>
          <w:lang w:val="en-US"/>
        </w:rPr>
        <w:t>011</w:t>
      </w:r>
    </w:p>
    <w:p>
      <w:pPr>
        <w:adjustRightInd/>
        <w:snapToGrid/>
        <w:spacing w:before="180" w:beforeLines="50" w:after="180" w:afterLines="50"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青岛伟隆阀门股份有限公司</w:t>
      </w:r>
    </w:p>
    <w:p>
      <w:pPr>
        <w:adjustRightInd/>
        <w:snapToGrid/>
        <w:spacing w:before="180" w:beforeLines="50" w:after="180" w:afterLines="50"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关于使用闲置自有资金进行现金管理的进展公告</w:t>
      </w:r>
    </w:p>
    <w:tbl>
      <w:tblPr>
        <w:tblStyle w:val="2"/>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8364" w:type="dxa"/>
            <w:noWrap w:val="0"/>
            <w:vAlign w:val="top"/>
          </w:tcPr>
          <w:p>
            <w:pPr>
              <w:spacing w:after="0" w:line="360" w:lineRule="exact"/>
              <w:ind w:firstLine="463" w:firstLineChars="193"/>
              <w:rPr>
                <w:rFonts w:hint="eastAsia" w:ascii="宋体" w:hAnsi="宋体" w:eastAsia="宋体" w:cs="宋体"/>
                <w:sz w:val="24"/>
                <w:szCs w:val="24"/>
                <w:highlight w:val="none"/>
              </w:rPr>
            </w:pPr>
            <w:r>
              <w:rPr>
                <w:rFonts w:hint="eastAsia" w:ascii="宋体" w:hAnsi="宋体" w:eastAsia="宋体" w:cs="宋体"/>
                <w:sz w:val="24"/>
                <w:szCs w:val="24"/>
                <w:highlight w:val="none"/>
              </w:rPr>
              <w:t>本公司及董事会全体成员保证信息披露的内容真实、准确、完整，没有虚假记载、误导性陈述或重大遗漏。</w:t>
            </w:r>
          </w:p>
        </w:tc>
      </w:tr>
    </w:tbl>
    <w:p>
      <w:pPr>
        <w:spacing w:after="0" w:line="360" w:lineRule="exact"/>
        <w:ind w:firstLine="463" w:firstLineChars="193"/>
        <w:rPr>
          <w:rFonts w:hint="eastAsia" w:ascii="宋体" w:hAnsi="宋体" w:eastAsia="宋体" w:cs="宋体"/>
          <w:sz w:val="24"/>
          <w:szCs w:val="24"/>
          <w:highlight w:val="none"/>
        </w:rPr>
      </w:pP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青岛伟隆阀门股份有限公司（以下简称“公司”）分别于2023年3月20日召开的第四届董事会第十九次会议、第四届监事会第十五次会议，及2023年4月11日召开的2022年年度股东大会审议通过了《关于继续使用闲置自有资金进行现金管理的议案》，同意公司使用闲置自有资金进行现金管理，额度不超过人民币40,000万元且可滚动使用，投资期限自2022年年度股东大会审议通过之日起一年内有效。公司独立董事对此议案发表了同意的意见。</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具体内容详见2023年3月21日公司刊登于指定信息披露媒体《中国证券报》《证券时报》《证券日报》和巨潮资讯网（http://www.cninfo.com.cn）上的《关于继续使用闲置自有资金进行现金管理的公告》。</w:t>
      </w:r>
    </w:p>
    <w:p>
      <w:pPr>
        <w:adjustRightInd/>
        <w:snapToGrid/>
        <w:spacing w:before="180" w:beforeLines="50" w:after="180" w:afterLines="50" w:line="360" w:lineRule="auto"/>
        <w:ind w:firstLine="482" w:firstLineChars="200"/>
        <w:jc w:val="both"/>
        <w:rPr>
          <w:rFonts w:hint="eastAsia" w:ascii="宋体" w:hAnsi="宋体" w:eastAsia="宋体" w:cs="宋体"/>
          <w:b/>
          <w:bCs/>
          <w:sz w:val="24"/>
          <w:szCs w:val="24"/>
        </w:rPr>
      </w:pPr>
      <w:r>
        <w:rPr>
          <w:rFonts w:hint="eastAsia" w:ascii="宋体" w:hAnsi="宋体" w:eastAsia="宋体" w:cs="宋体"/>
          <w:b/>
          <w:bCs/>
          <w:sz w:val="24"/>
          <w:szCs w:val="24"/>
        </w:rPr>
        <w:t>一、闲置自有资金已到期的理财产品赎回情况</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highlight w:val="none"/>
        </w:rPr>
        <w:t>公司</w:t>
      </w:r>
      <w:r>
        <w:rPr>
          <w:rFonts w:hint="eastAsia" w:ascii="宋体" w:hAnsi="宋体" w:eastAsia="宋体" w:cs="宋体"/>
          <w:sz w:val="24"/>
          <w:szCs w:val="24"/>
          <w:lang w:eastAsia="zh-CN"/>
        </w:rPr>
        <w:t>及公司全资子公司青岛卓信检测技术有限公司（以下简称“卓信检测”）</w:t>
      </w:r>
      <w:r>
        <w:rPr>
          <w:rFonts w:hint="eastAsia" w:ascii="宋体" w:hAnsi="宋体" w:eastAsia="宋体" w:cs="宋体"/>
          <w:sz w:val="24"/>
          <w:szCs w:val="24"/>
          <w:highlight w:val="none"/>
          <w:lang w:eastAsia="zh-CN"/>
        </w:rPr>
        <w:t>分别于202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年</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月</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日、202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年</w:t>
      </w:r>
      <w:r>
        <w:rPr>
          <w:rFonts w:hint="default"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月</w:t>
      </w:r>
      <w:r>
        <w:rPr>
          <w:rFonts w:hint="default" w:ascii="宋体" w:hAnsi="宋体" w:eastAsia="宋体" w:cs="宋体"/>
          <w:sz w:val="24"/>
          <w:szCs w:val="24"/>
          <w:highlight w:val="none"/>
          <w:lang w:val="en-US" w:eastAsia="zh-CN"/>
        </w:rPr>
        <w:t>13</w:t>
      </w:r>
      <w:r>
        <w:rPr>
          <w:rFonts w:hint="eastAsia" w:ascii="宋体" w:hAnsi="宋体" w:eastAsia="宋体" w:cs="宋体"/>
          <w:sz w:val="24"/>
          <w:szCs w:val="24"/>
          <w:highlight w:val="none"/>
          <w:lang w:eastAsia="zh-CN"/>
        </w:rPr>
        <w:t>日、202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年</w:t>
      </w:r>
      <w:r>
        <w:rPr>
          <w:rFonts w:hint="default"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月</w:t>
      </w:r>
      <w:r>
        <w:rPr>
          <w:rFonts w:hint="default" w:ascii="宋体" w:hAnsi="宋体" w:eastAsia="宋体" w:cs="宋体"/>
          <w:sz w:val="24"/>
          <w:szCs w:val="24"/>
          <w:highlight w:val="none"/>
          <w:lang w:val="en-US" w:eastAsia="zh-CN"/>
        </w:rPr>
        <w:t>20</w:t>
      </w: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lang w:eastAsia="zh-CN"/>
        </w:rPr>
        <w:t>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年</w:t>
      </w:r>
      <w:r>
        <w:rPr>
          <w:rFonts w:hint="default"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月</w:t>
      </w:r>
      <w:r>
        <w:rPr>
          <w:rFonts w:hint="default" w:ascii="宋体" w:hAnsi="宋体" w:eastAsia="宋体" w:cs="宋体"/>
          <w:sz w:val="24"/>
          <w:szCs w:val="24"/>
          <w:highlight w:val="none"/>
          <w:lang w:val="en-US" w:eastAsia="zh-CN"/>
        </w:rPr>
        <w:t>13</w:t>
      </w:r>
      <w:r>
        <w:rPr>
          <w:rFonts w:hint="eastAsia" w:ascii="宋体" w:hAnsi="宋体" w:eastAsia="宋体" w:cs="宋体"/>
          <w:sz w:val="24"/>
          <w:szCs w:val="24"/>
          <w:highlight w:val="none"/>
          <w:lang w:eastAsia="zh-CN"/>
        </w:rPr>
        <w:t>日、202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年</w:t>
      </w:r>
      <w:r>
        <w:rPr>
          <w:rFonts w:hint="default"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月</w:t>
      </w:r>
      <w:r>
        <w:rPr>
          <w:rFonts w:hint="eastAsia" w:ascii="宋体" w:hAnsi="宋体" w:eastAsia="宋体" w:cs="宋体"/>
          <w:b w:val="0"/>
          <w:bCs w:val="0"/>
          <w:sz w:val="24"/>
          <w:szCs w:val="24"/>
          <w:highlight w:val="none"/>
          <w:lang w:val="en-US" w:eastAsia="zh-CN"/>
        </w:rPr>
        <w:t>25</w:t>
      </w:r>
      <w:r>
        <w:rPr>
          <w:rFonts w:hint="eastAsia" w:ascii="宋体" w:hAnsi="宋体" w:eastAsia="宋体" w:cs="宋体"/>
          <w:b w:val="0"/>
          <w:bCs w:val="0"/>
          <w:sz w:val="24"/>
          <w:szCs w:val="24"/>
          <w:highlight w:val="none"/>
          <w:lang w:eastAsia="zh-CN"/>
        </w:rPr>
        <w:t>日向招商银行城阳支行、中信银行城阳支行、招商银行城阳支行、</w:t>
      </w:r>
      <w:r>
        <w:rPr>
          <w:rFonts w:hint="eastAsia" w:ascii="宋体" w:hAnsi="宋体" w:eastAsia="宋体" w:cs="宋体"/>
          <w:b w:val="0"/>
          <w:bCs w:val="0"/>
          <w:sz w:val="24"/>
          <w:szCs w:val="24"/>
          <w:highlight w:val="none"/>
          <w:lang w:val="en-US" w:eastAsia="zh-CN"/>
        </w:rPr>
        <w:t>平安银行麦岛路支行、</w:t>
      </w:r>
      <w:r>
        <w:rPr>
          <w:rFonts w:hint="eastAsia" w:ascii="宋体" w:hAnsi="宋体" w:eastAsia="宋体" w:cs="宋体"/>
          <w:i w:val="0"/>
          <w:iCs w:val="0"/>
          <w:color w:val="000000"/>
          <w:kern w:val="0"/>
          <w:sz w:val="22"/>
          <w:szCs w:val="22"/>
          <w:u w:val="none"/>
          <w:lang w:val="en-US" w:eastAsia="zh-CN" w:bidi="ar"/>
        </w:rPr>
        <w:t>中国民生银行股份有限公司青岛高新区支行</w:t>
      </w:r>
      <w:r>
        <w:rPr>
          <w:rFonts w:hint="eastAsia" w:ascii="宋体" w:hAnsi="宋体" w:eastAsia="宋体" w:cs="宋体"/>
          <w:b w:val="0"/>
          <w:bCs w:val="0"/>
          <w:sz w:val="24"/>
          <w:szCs w:val="24"/>
          <w:highlight w:val="none"/>
          <w:lang w:val="en-US" w:eastAsia="zh-CN"/>
        </w:rPr>
        <w:t>3,000</w:t>
      </w:r>
      <w:r>
        <w:rPr>
          <w:rFonts w:hint="eastAsia" w:ascii="宋体" w:hAnsi="宋体" w:eastAsia="宋体" w:cs="宋体"/>
          <w:b w:val="0"/>
          <w:bCs w:val="0"/>
          <w:sz w:val="24"/>
          <w:szCs w:val="24"/>
          <w:highlight w:val="none"/>
          <w:lang w:eastAsia="zh-CN"/>
        </w:rPr>
        <w:t>万元、</w:t>
      </w:r>
      <w:r>
        <w:rPr>
          <w:rFonts w:hint="eastAsia" w:ascii="宋体" w:hAnsi="宋体" w:eastAsia="宋体" w:cs="宋体"/>
          <w:b w:val="0"/>
          <w:bCs w:val="0"/>
          <w:sz w:val="24"/>
          <w:szCs w:val="24"/>
          <w:highlight w:val="none"/>
          <w:lang w:val="en-US" w:eastAsia="zh-CN"/>
        </w:rPr>
        <w:t>2,000万元、600万元、2</w:t>
      </w:r>
      <w:r>
        <w:rPr>
          <w:rFonts w:hint="default"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000万元、1</w:t>
      </w:r>
      <w:r>
        <w:rPr>
          <w:rFonts w:hint="default"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24"/>
          <w:highlight w:val="none"/>
          <w:lang w:val="en-US" w:eastAsia="zh-CN"/>
        </w:rPr>
        <w:t>000万元</w:t>
      </w:r>
      <w:r>
        <w:rPr>
          <w:rFonts w:hint="eastAsia" w:ascii="宋体" w:hAnsi="宋体" w:eastAsia="宋体" w:cs="宋体"/>
          <w:b w:val="0"/>
          <w:bCs w:val="0"/>
          <w:sz w:val="24"/>
          <w:szCs w:val="24"/>
          <w:highlight w:val="none"/>
        </w:rPr>
        <w:t>的理财产品，具体内容详见刊载</w:t>
      </w:r>
      <w:r>
        <w:rPr>
          <w:rFonts w:hint="eastAsia" w:ascii="宋体" w:hAnsi="宋体" w:eastAsia="宋体" w:cs="宋体"/>
          <w:sz w:val="24"/>
          <w:szCs w:val="24"/>
          <w:highlight w:val="none"/>
        </w:rPr>
        <w:t>于《中国证</w:t>
      </w:r>
      <w:r>
        <w:rPr>
          <w:rFonts w:hint="eastAsia" w:ascii="宋体" w:hAnsi="宋体" w:eastAsia="宋体" w:cs="宋体"/>
          <w:sz w:val="24"/>
          <w:szCs w:val="24"/>
        </w:rPr>
        <w:t>券报》《证券时报》《证券日报》、巨潮资讯网(www.cninfo.com.cn）上的《关于使用闲置自有资金进行现金管理的进展公告》（公告编号：</w:t>
      </w:r>
      <w:r>
        <w:rPr>
          <w:rFonts w:hint="eastAsia" w:ascii="宋体" w:hAnsi="宋体" w:eastAsia="宋体" w:cs="宋体"/>
          <w:sz w:val="24"/>
          <w:szCs w:val="24"/>
          <w:lang w:val="en-US" w:eastAsia="zh-CN"/>
        </w:rPr>
        <w:t>2023-031、</w:t>
      </w:r>
      <w:r>
        <w:rPr>
          <w:rFonts w:hint="eastAsia" w:ascii="宋体" w:hAnsi="宋体" w:eastAsia="宋体" w:cs="宋体"/>
          <w:highlight w:val="none"/>
        </w:rPr>
        <w:t>2023-</w:t>
      </w:r>
      <w:r>
        <w:rPr>
          <w:rFonts w:hint="default" w:ascii="宋体" w:hAnsi="宋体" w:eastAsia="宋体" w:cs="宋体"/>
          <w:highlight w:val="none"/>
          <w:lang w:val="en-US"/>
        </w:rPr>
        <w:t>102</w:t>
      </w:r>
      <w:r>
        <w:rPr>
          <w:rFonts w:hint="eastAsia" w:ascii="宋体" w:hAnsi="宋体" w:eastAsia="宋体" w:cs="宋体"/>
          <w:sz w:val="24"/>
          <w:szCs w:val="24"/>
        </w:rPr>
        <w:t>）。</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公司</w:t>
      </w:r>
      <w:r>
        <w:rPr>
          <w:rFonts w:hint="eastAsia" w:ascii="宋体" w:hAnsi="宋体" w:eastAsia="宋体" w:cs="宋体"/>
          <w:sz w:val="24"/>
          <w:szCs w:val="24"/>
          <w:lang w:eastAsia="zh-CN"/>
        </w:rPr>
        <w:t>及卓信检测</w:t>
      </w:r>
      <w:r>
        <w:rPr>
          <w:rFonts w:hint="eastAsia" w:ascii="宋体" w:hAnsi="宋体" w:eastAsia="宋体" w:cs="宋体"/>
          <w:sz w:val="24"/>
          <w:szCs w:val="24"/>
        </w:rPr>
        <w:t>于近日</w:t>
      </w:r>
      <w:r>
        <w:rPr>
          <w:rFonts w:hint="eastAsia" w:ascii="宋体" w:hAnsi="宋体" w:eastAsia="宋体" w:cs="宋体"/>
          <w:sz w:val="24"/>
          <w:szCs w:val="24"/>
          <w:lang w:eastAsia="zh-CN"/>
        </w:rPr>
        <w:t>分别赎回招商银行城阳支行、中信银行城阳支行、招商银行城阳支行、</w:t>
      </w:r>
      <w:r>
        <w:rPr>
          <w:rFonts w:hint="eastAsia" w:ascii="宋体" w:hAnsi="宋体" w:eastAsia="宋体" w:cs="宋体"/>
          <w:sz w:val="24"/>
          <w:szCs w:val="24"/>
          <w:lang w:val="en-US" w:eastAsia="zh-CN"/>
        </w:rPr>
        <w:t>平安银行麦岛路支行、中国民生银行股份有限公司青岛高新区支行</w:t>
      </w:r>
      <w:r>
        <w:rPr>
          <w:rFonts w:hint="eastAsia" w:ascii="宋体" w:hAnsi="宋体" w:eastAsia="宋体" w:cs="宋体"/>
          <w:sz w:val="24"/>
          <w:szCs w:val="24"/>
          <w:lang w:eastAsia="zh-CN"/>
        </w:rPr>
        <w:t>理财产品，分别</w:t>
      </w:r>
      <w:r>
        <w:rPr>
          <w:rFonts w:hint="eastAsia" w:ascii="宋体" w:hAnsi="宋体" w:eastAsia="宋体" w:cs="宋体"/>
          <w:sz w:val="24"/>
          <w:szCs w:val="24"/>
        </w:rPr>
        <w:t>收回本金为：</w:t>
      </w:r>
      <w:r>
        <w:rPr>
          <w:rFonts w:hint="eastAsia" w:ascii="宋体" w:hAnsi="宋体" w:eastAsia="宋体" w:cs="宋体"/>
          <w:sz w:val="24"/>
          <w:szCs w:val="24"/>
          <w:lang w:val="en-US" w:eastAsia="zh-CN"/>
        </w:rPr>
        <w:t>3,000</w:t>
      </w:r>
      <w:r>
        <w:rPr>
          <w:rFonts w:hint="eastAsia" w:ascii="宋体" w:hAnsi="宋体" w:eastAsia="宋体" w:cs="宋体"/>
          <w:sz w:val="24"/>
          <w:szCs w:val="24"/>
          <w:lang w:eastAsia="zh-CN"/>
        </w:rPr>
        <w:t>万元、</w:t>
      </w:r>
      <w:r>
        <w:rPr>
          <w:rFonts w:hint="eastAsia" w:ascii="宋体" w:hAnsi="宋体" w:eastAsia="宋体" w:cs="宋体"/>
          <w:sz w:val="24"/>
          <w:szCs w:val="24"/>
          <w:lang w:val="en-US" w:eastAsia="zh-CN"/>
        </w:rPr>
        <w:t>2,000万元、600万元、2</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000万元、1</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000万元</w:t>
      </w:r>
      <w:r>
        <w:rPr>
          <w:rFonts w:hint="eastAsia" w:ascii="宋体" w:hAnsi="宋体" w:eastAsia="宋体" w:cs="宋体"/>
          <w:sz w:val="24"/>
          <w:szCs w:val="24"/>
        </w:rPr>
        <w:t>；获得理财收益为：</w:t>
      </w:r>
      <w:r>
        <w:rPr>
          <w:rFonts w:hint="eastAsia" w:ascii="宋体" w:hAnsi="宋体" w:eastAsia="宋体" w:cs="宋体"/>
          <w:sz w:val="24"/>
          <w:szCs w:val="24"/>
          <w:lang w:val="en-US" w:eastAsia="zh-CN"/>
        </w:rPr>
        <w:t>197,013.70元、130，684</w:t>
      </w:r>
      <w:r>
        <w:rPr>
          <w:rFonts w:hint="default" w:ascii="宋体" w:hAnsi="宋体" w:eastAsia="宋体" w:cs="宋体"/>
          <w:sz w:val="24"/>
          <w:szCs w:val="24"/>
          <w:lang w:val="en-US" w:eastAsia="zh-CN"/>
        </w:rPr>
        <w:t>.</w:t>
      </w:r>
      <w:r>
        <w:rPr>
          <w:rFonts w:hint="eastAsia" w:ascii="宋体" w:hAnsi="宋体" w:eastAsia="宋体" w:cs="宋体"/>
          <w:sz w:val="24"/>
          <w:szCs w:val="24"/>
          <w:lang w:val="en-US" w:eastAsia="zh-CN"/>
        </w:rPr>
        <w:t>93元、39,402.74元、129,945.</w:t>
      </w:r>
      <w:r>
        <w:rPr>
          <w:rFonts w:hint="eastAsia" w:ascii="宋体" w:hAnsi="宋体" w:eastAsia="宋体" w:cs="宋体"/>
          <w:sz w:val="24"/>
          <w:szCs w:val="24"/>
          <w:lang w:val="en-US" w:eastAsia="zh-CN"/>
        </w:rPr>
        <w:t>21元、310,722.22元</w:t>
      </w:r>
      <w:r>
        <w:rPr>
          <w:rFonts w:hint="eastAsia" w:ascii="宋体" w:hAnsi="宋体" w:eastAsia="宋体" w:cs="宋体"/>
          <w:sz w:val="24"/>
          <w:szCs w:val="24"/>
        </w:rPr>
        <w:t>。</w:t>
      </w:r>
    </w:p>
    <w:p>
      <w:pPr>
        <w:wordWrap w:val="0"/>
        <w:spacing w:before="240" w:after="0" w:line="276" w:lineRule="auto"/>
        <w:ind w:right="-22" w:rightChars="-10" w:firstLine="545" w:firstLineChars="226"/>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、本次使用闲置自有资金购买理财产品主要情况</w:t>
      </w:r>
    </w:p>
    <w:p>
      <w:pPr>
        <w:adjustRightInd/>
        <w:snapToGrid/>
        <w:spacing w:before="180" w:beforeLines="50" w:after="180" w:afterLines="50" w:line="360" w:lineRule="auto"/>
        <w:ind w:firstLine="482" w:firstLineChars="200"/>
        <w:jc w:val="both"/>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近期公司及公司全资子公司伟隆五金机械有限公司（以下简称“伟隆五金”）、卓信检测使用闲置自有资金分别购买了</w:t>
      </w:r>
      <w:r>
        <w:rPr>
          <w:rFonts w:hint="eastAsia" w:ascii="宋体" w:hAnsi="宋体" w:eastAsia="宋体" w:cs="宋体"/>
          <w:b/>
          <w:bCs/>
          <w:sz w:val="24"/>
          <w:szCs w:val="24"/>
          <w:highlight w:val="none"/>
          <w:lang w:val="en-US" w:eastAsia="zh-CN"/>
        </w:rPr>
        <w:t>平安银行麦岛路支行、</w:t>
      </w:r>
      <w:r>
        <w:rPr>
          <w:rFonts w:hint="eastAsia" w:ascii="宋体" w:hAnsi="宋体" w:eastAsia="宋体" w:cs="宋体"/>
          <w:b/>
          <w:bCs/>
          <w:sz w:val="24"/>
          <w:szCs w:val="24"/>
          <w:highlight w:val="none"/>
          <w:lang w:eastAsia="zh-CN"/>
        </w:rPr>
        <w:t>招商银行城阳支行、招商银行城阳支行、中信银行城阳支行、中国民生银行股份有限公司青岛高新区支行，</w:t>
      </w:r>
      <w:r>
        <w:rPr>
          <w:rFonts w:hint="eastAsia" w:ascii="宋体" w:hAnsi="宋体" w:eastAsia="宋体" w:cs="宋体"/>
          <w:b/>
          <w:bCs/>
          <w:sz w:val="24"/>
          <w:szCs w:val="24"/>
          <w:highlight w:val="none"/>
          <w:lang w:val="en-US" w:eastAsia="zh-CN"/>
        </w:rPr>
        <w:t>3,000</w:t>
      </w:r>
      <w:r>
        <w:rPr>
          <w:rFonts w:hint="eastAsia" w:ascii="宋体" w:hAnsi="宋体" w:eastAsia="宋体" w:cs="宋体"/>
          <w:b/>
          <w:bCs/>
          <w:sz w:val="24"/>
          <w:szCs w:val="24"/>
          <w:highlight w:val="none"/>
          <w:lang w:eastAsia="zh-CN"/>
        </w:rPr>
        <w:t>万元、</w:t>
      </w:r>
      <w:r>
        <w:rPr>
          <w:rFonts w:hint="eastAsia" w:ascii="宋体" w:hAnsi="宋体" w:eastAsia="宋体" w:cs="宋体"/>
          <w:b/>
          <w:bCs/>
          <w:sz w:val="24"/>
          <w:szCs w:val="24"/>
          <w:highlight w:val="none"/>
          <w:lang w:val="en-US" w:eastAsia="zh-CN"/>
        </w:rPr>
        <w:t>4,000万元、600万元、2</w:t>
      </w:r>
      <w:r>
        <w:rPr>
          <w:rFonts w:hint="default"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lang w:val="en-US" w:eastAsia="zh-CN"/>
        </w:rPr>
        <w:t>000万元、1</w:t>
      </w:r>
      <w:r>
        <w:rPr>
          <w:rFonts w:hint="default" w:ascii="宋体" w:hAnsi="宋体" w:eastAsia="宋体" w:cs="宋体"/>
          <w:b/>
          <w:bCs/>
          <w:sz w:val="24"/>
          <w:szCs w:val="24"/>
          <w:highlight w:val="none"/>
          <w:lang w:val="en-US" w:eastAsia="zh-CN"/>
        </w:rPr>
        <w:t>,</w:t>
      </w:r>
      <w:r>
        <w:rPr>
          <w:rFonts w:hint="eastAsia" w:ascii="宋体" w:hAnsi="宋体" w:eastAsia="宋体" w:cs="宋体"/>
          <w:b/>
          <w:bCs/>
          <w:sz w:val="24"/>
          <w:szCs w:val="24"/>
          <w:highlight w:val="none"/>
          <w:lang w:val="en-US" w:eastAsia="zh-CN"/>
        </w:rPr>
        <w:t>000万元</w:t>
      </w:r>
      <w:r>
        <w:rPr>
          <w:rFonts w:hint="eastAsia" w:ascii="宋体" w:hAnsi="宋体" w:eastAsia="宋体" w:cs="宋体"/>
          <w:b/>
          <w:bCs/>
          <w:sz w:val="24"/>
          <w:szCs w:val="24"/>
          <w:highlight w:val="none"/>
          <w:lang w:eastAsia="zh-CN"/>
        </w:rPr>
        <w:t>的理财产品，现将有关情况公告如下：</w:t>
      </w:r>
    </w:p>
    <w:p>
      <w:pPr>
        <w:numPr>
          <w:ilvl w:val="0"/>
          <w:numId w:val="1"/>
        </w:num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公司</w:t>
      </w:r>
      <w:r>
        <w:rPr>
          <w:rFonts w:hint="eastAsia" w:ascii="宋体" w:hAnsi="宋体" w:eastAsia="宋体" w:cs="宋体"/>
          <w:sz w:val="24"/>
          <w:szCs w:val="24"/>
          <w:highlight w:val="none"/>
          <w:lang w:eastAsia="zh-CN"/>
        </w:rPr>
        <w:t>及伟隆五金、</w:t>
      </w:r>
      <w:r>
        <w:rPr>
          <w:rFonts w:hint="eastAsia" w:ascii="宋体" w:hAnsi="宋体" w:eastAsia="宋体" w:cs="宋体"/>
          <w:sz w:val="24"/>
          <w:szCs w:val="24"/>
          <w:lang w:eastAsia="zh-CN"/>
        </w:rPr>
        <w:t>卓信检测</w:t>
      </w:r>
      <w:r>
        <w:rPr>
          <w:rFonts w:hint="eastAsia" w:ascii="宋体" w:hAnsi="宋体" w:eastAsia="宋体" w:cs="宋体"/>
          <w:sz w:val="24"/>
          <w:szCs w:val="24"/>
          <w:highlight w:val="none"/>
        </w:rPr>
        <w:t>购买理财产品的主要内容如下：</w:t>
      </w:r>
    </w:p>
    <w:tbl>
      <w:tblPr>
        <w:tblStyle w:val="2"/>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117"/>
        <w:gridCol w:w="1433"/>
        <w:gridCol w:w="1117"/>
        <w:gridCol w:w="998"/>
        <w:gridCol w:w="825"/>
        <w:gridCol w:w="1110"/>
        <w:gridCol w:w="89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534" w:type="dxa"/>
            <w:noWrap w:val="0"/>
            <w:vAlign w:val="center"/>
          </w:tcPr>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117" w:type="dxa"/>
            <w:noWrap w:val="0"/>
            <w:vAlign w:val="center"/>
          </w:tcPr>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受托方</w:t>
            </w:r>
          </w:p>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p>
        </w:tc>
        <w:tc>
          <w:tcPr>
            <w:tcW w:w="1433" w:type="dxa"/>
            <w:noWrap w:val="0"/>
            <w:vAlign w:val="center"/>
          </w:tcPr>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产品名称</w:t>
            </w:r>
          </w:p>
        </w:tc>
        <w:tc>
          <w:tcPr>
            <w:tcW w:w="1117" w:type="dxa"/>
            <w:noWrap w:val="0"/>
            <w:vAlign w:val="center"/>
          </w:tcPr>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投资</w:t>
            </w:r>
          </w:p>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金额</w:t>
            </w:r>
          </w:p>
        </w:tc>
        <w:tc>
          <w:tcPr>
            <w:tcW w:w="998" w:type="dxa"/>
            <w:noWrap w:val="0"/>
            <w:vAlign w:val="center"/>
          </w:tcPr>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起止</w:t>
            </w:r>
          </w:p>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日期</w:t>
            </w:r>
          </w:p>
        </w:tc>
        <w:tc>
          <w:tcPr>
            <w:tcW w:w="825" w:type="dxa"/>
            <w:noWrap w:val="0"/>
            <w:vAlign w:val="center"/>
          </w:tcPr>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风险评级</w:t>
            </w:r>
          </w:p>
        </w:tc>
        <w:tc>
          <w:tcPr>
            <w:tcW w:w="1110" w:type="dxa"/>
            <w:noWrap w:val="0"/>
            <w:vAlign w:val="center"/>
          </w:tcPr>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产品</w:t>
            </w:r>
          </w:p>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类型</w:t>
            </w:r>
          </w:p>
        </w:tc>
        <w:tc>
          <w:tcPr>
            <w:tcW w:w="894" w:type="dxa"/>
            <w:noWrap w:val="0"/>
            <w:vAlign w:val="center"/>
          </w:tcPr>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预计年化收益率</w:t>
            </w:r>
          </w:p>
        </w:tc>
        <w:tc>
          <w:tcPr>
            <w:tcW w:w="708" w:type="dxa"/>
            <w:noWrap w:val="0"/>
            <w:vAlign w:val="center"/>
          </w:tcPr>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资金</w:t>
            </w:r>
          </w:p>
          <w:p>
            <w:pPr>
              <w:wordWrap w:val="0"/>
              <w:spacing w:after="0" w:line="276"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117" w:type="dxa"/>
            <w:noWrap w:val="0"/>
            <w:vAlign w:val="center"/>
          </w:tcPr>
          <w:p>
            <w:pPr>
              <w:keepNext w:val="0"/>
              <w:keepLines w:val="0"/>
              <w:widowControl/>
              <w:suppressLineNumbers w:val="0"/>
              <w:jc w:val="both"/>
              <w:textAlignment w:val="center"/>
              <w:rPr>
                <w:rFonts w:hint="eastAsia" w:ascii="宋体" w:hAnsi="宋体" w:eastAsia="宋体" w:cs="宋体"/>
                <w:sz w:val="24"/>
                <w:szCs w:val="24"/>
                <w:highlight w:val="none"/>
                <w:lang w:eastAsia="zh-CN"/>
              </w:rPr>
            </w:pPr>
            <w:r>
              <w:rPr>
                <w:rFonts w:hint="eastAsia" w:ascii="宋体" w:hAnsi="宋体" w:eastAsia="宋体" w:cs="宋体"/>
                <w:i w:val="0"/>
                <w:iCs w:val="0"/>
                <w:color w:val="000000"/>
                <w:kern w:val="0"/>
                <w:sz w:val="22"/>
                <w:szCs w:val="22"/>
                <w:u w:val="none"/>
                <w:lang w:val="en-US" w:eastAsia="zh-CN" w:bidi="ar"/>
              </w:rPr>
              <w:t>平安银行股份有限公司青岛分行麦岛路支行</w:t>
            </w:r>
            <w:bookmarkStart w:id="0" w:name="_GoBack"/>
            <w:bookmarkEnd w:id="0"/>
          </w:p>
        </w:tc>
        <w:tc>
          <w:tcPr>
            <w:tcW w:w="1433" w:type="dxa"/>
            <w:noWrap w:val="0"/>
            <w:vAlign w:val="center"/>
          </w:tcPr>
          <w:p>
            <w:pPr>
              <w:keepNext w:val="0"/>
              <w:keepLines w:val="0"/>
              <w:widowControl/>
              <w:suppressLineNumbers w:val="0"/>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平安银行对公结构性存款（100%保本挂钩黄金）</w:t>
            </w:r>
          </w:p>
        </w:tc>
        <w:tc>
          <w:tcPr>
            <w:tcW w:w="1117" w:type="dxa"/>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3,000万</w:t>
            </w:r>
          </w:p>
        </w:tc>
        <w:tc>
          <w:tcPr>
            <w:tcW w:w="998" w:type="dxa"/>
            <w:noWrap w:val="0"/>
            <w:vAlign w:val="center"/>
          </w:tcPr>
          <w:p>
            <w:pPr>
              <w:keepNext w:val="0"/>
              <w:keepLines w:val="0"/>
              <w:widowControl/>
              <w:suppressLineNumbers w:val="0"/>
              <w:jc w:val="left"/>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2024.1.31-2024.5.6</w:t>
            </w:r>
          </w:p>
        </w:tc>
        <w:tc>
          <w:tcPr>
            <w:tcW w:w="825" w:type="dxa"/>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低风险</w:t>
            </w:r>
          </w:p>
        </w:tc>
        <w:tc>
          <w:tcPr>
            <w:tcW w:w="1110" w:type="dxa"/>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保本浮动收益</w:t>
            </w:r>
          </w:p>
        </w:tc>
        <w:tc>
          <w:tcPr>
            <w:tcW w:w="894" w:type="dxa"/>
            <w:noWrap w:val="0"/>
            <w:vAlign w:val="center"/>
          </w:tcPr>
          <w:p>
            <w:pPr>
              <w:keepNext w:val="0"/>
              <w:keepLines w:val="0"/>
              <w:widowControl/>
              <w:suppressLineNumbers w:val="0"/>
              <w:jc w:val="left"/>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1.65%-2.77%</w:t>
            </w:r>
          </w:p>
        </w:tc>
        <w:tc>
          <w:tcPr>
            <w:tcW w:w="708"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p>
        </w:tc>
        <w:tc>
          <w:tcPr>
            <w:tcW w:w="1117" w:type="dxa"/>
            <w:noWrap w:val="0"/>
            <w:vAlign w:val="center"/>
          </w:tcPr>
          <w:p>
            <w:pPr>
              <w:keepNext w:val="0"/>
              <w:keepLines w:val="0"/>
              <w:widowControl/>
              <w:suppressLineNumbers w:val="0"/>
              <w:jc w:val="both"/>
              <w:textAlignment w:val="center"/>
              <w:rPr>
                <w:rFonts w:hint="eastAsia" w:ascii="宋体" w:hAnsi="宋体" w:eastAsia="宋体" w:cs="宋体"/>
                <w:sz w:val="24"/>
                <w:szCs w:val="24"/>
                <w:highlight w:val="none"/>
                <w:lang w:eastAsia="zh-CN"/>
              </w:rPr>
            </w:pPr>
            <w:r>
              <w:rPr>
                <w:rFonts w:hint="eastAsia" w:ascii="宋体" w:hAnsi="宋体" w:eastAsia="宋体" w:cs="宋体"/>
                <w:i w:val="0"/>
                <w:iCs w:val="0"/>
                <w:color w:val="000000"/>
                <w:kern w:val="0"/>
                <w:sz w:val="22"/>
                <w:szCs w:val="22"/>
                <w:u w:val="none"/>
                <w:lang w:val="en-US" w:eastAsia="zh-CN" w:bidi="ar"/>
              </w:rPr>
              <w:t>招商银行城阳支行</w:t>
            </w:r>
          </w:p>
        </w:tc>
        <w:tc>
          <w:tcPr>
            <w:tcW w:w="1433" w:type="dxa"/>
            <w:noWrap w:val="0"/>
            <w:vAlign w:val="center"/>
          </w:tcPr>
          <w:p>
            <w:pPr>
              <w:keepNext w:val="0"/>
              <w:keepLines w:val="0"/>
              <w:widowControl/>
              <w:suppressLineNumbers w:val="0"/>
              <w:jc w:val="both"/>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招商银行点金系列看涨两层区间88天结构性存款 (产品代码:NQD00733)</w:t>
            </w:r>
          </w:p>
        </w:tc>
        <w:tc>
          <w:tcPr>
            <w:tcW w:w="1117" w:type="dxa"/>
            <w:noWrap w:val="0"/>
            <w:vAlign w:val="center"/>
          </w:tcPr>
          <w:p>
            <w:pPr>
              <w:keepNext w:val="0"/>
              <w:keepLines w:val="0"/>
              <w:widowControl/>
              <w:suppressLineNumbers w:val="0"/>
              <w:jc w:val="left"/>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4,000万</w:t>
            </w:r>
          </w:p>
        </w:tc>
        <w:tc>
          <w:tcPr>
            <w:tcW w:w="998" w:type="dxa"/>
            <w:noWrap w:val="0"/>
            <w:vAlign w:val="center"/>
          </w:tcPr>
          <w:p>
            <w:pPr>
              <w:keepNext w:val="0"/>
              <w:keepLines w:val="0"/>
              <w:widowControl/>
              <w:suppressLineNumbers w:val="0"/>
              <w:jc w:val="left"/>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2024.2.1-2024.4.29</w:t>
            </w:r>
          </w:p>
        </w:tc>
        <w:tc>
          <w:tcPr>
            <w:tcW w:w="825" w:type="dxa"/>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低风险</w:t>
            </w:r>
          </w:p>
        </w:tc>
        <w:tc>
          <w:tcPr>
            <w:tcW w:w="1110" w:type="dxa"/>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保本浮动收益</w:t>
            </w:r>
          </w:p>
        </w:tc>
        <w:tc>
          <w:tcPr>
            <w:tcW w:w="894" w:type="dxa"/>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1.65%-2.5%</w:t>
            </w:r>
          </w:p>
        </w:tc>
        <w:tc>
          <w:tcPr>
            <w:tcW w:w="708"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p>
        </w:tc>
        <w:tc>
          <w:tcPr>
            <w:tcW w:w="1117" w:type="dxa"/>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lang w:eastAsia="zh-CN"/>
              </w:rPr>
            </w:pPr>
            <w:r>
              <w:rPr>
                <w:rFonts w:hint="eastAsia" w:ascii="宋体" w:hAnsi="宋体" w:eastAsia="宋体" w:cs="宋体"/>
                <w:i w:val="0"/>
                <w:iCs w:val="0"/>
                <w:color w:val="000000"/>
                <w:kern w:val="0"/>
                <w:sz w:val="22"/>
                <w:szCs w:val="22"/>
                <w:u w:val="none"/>
                <w:lang w:val="en-US" w:eastAsia="zh-CN" w:bidi="ar"/>
              </w:rPr>
              <w:t>招商银行城阳支行</w:t>
            </w:r>
          </w:p>
        </w:tc>
        <w:tc>
          <w:tcPr>
            <w:tcW w:w="1433" w:type="dxa"/>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招商银行点金系列看涨两层区间88天结构性存款 (产品代码:NQD00733)</w:t>
            </w:r>
          </w:p>
        </w:tc>
        <w:tc>
          <w:tcPr>
            <w:tcW w:w="1117" w:type="dxa"/>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600万</w:t>
            </w:r>
          </w:p>
        </w:tc>
        <w:tc>
          <w:tcPr>
            <w:tcW w:w="998" w:type="dxa"/>
            <w:noWrap w:val="0"/>
            <w:vAlign w:val="center"/>
          </w:tcPr>
          <w:p>
            <w:pPr>
              <w:keepNext w:val="0"/>
              <w:keepLines w:val="0"/>
              <w:widowControl/>
              <w:suppressLineNumbers w:val="0"/>
              <w:jc w:val="left"/>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2024.2.1-2024.4.29</w:t>
            </w:r>
          </w:p>
        </w:tc>
        <w:tc>
          <w:tcPr>
            <w:tcW w:w="825" w:type="dxa"/>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lang w:eastAsia="zh-CN"/>
              </w:rPr>
            </w:pPr>
            <w:r>
              <w:rPr>
                <w:rFonts w:hint="eastAsia" w:ascii="宋体" w:hAnsi="宋体" w:eastAsia="宋体" w:cs="宋体"/>
                <w:i w:val="0"/>
                <w:iCs w:val="0"/>
                <w:color w:val="000000"/>
                <w:kern w:val="0"/>
                <w:sz w:val="22"/>
                <w:szCs w:val="22"/>
                <w:u w:val="none"/>
                <w:lang w:val="en-US" w:eastAsia="zh-CN" w:bidi="ar"/>
              </w:rPr>
              <w:t>低风险</w:t>
            </w:r>
          </w:p>
        </w:tc>
        <w:tc>
          <w:tcPr>
            <w:tcW w:w="1110" w:type="dxa"/>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lang w:eastAsia="zh-CN"/>
              </w:rPr>
            </w:pPr>
            <w:r>
              <w:rPr>
                <w:rFonts w:hint="eastAsia" w:ascii="宋体" w:hAnsi="宋体" w:eastAsia="宋体" w:cs="宋体"/>
                <w:i w:val="0"/>
                <w:iCs w:val="0"/>
                <w:color w:val="000000"/>
                <w:kern w:val="0"/>
                <w:sz w:val="22"/>
                <w:szCs w:val="22"/>
                <w:u w:val="none"/>
                <w:lang w:val="en-US" w:eastAsia="zh-CN" w:bidi="ar"/>
              </w:rPr>
              <w:t>保本浮动收益</w:t>
            </w:r>
          </w:p>
        </w:tc>
        <w:tc>
          <w:tcPr>
            <w:tcW w:w="894" w:type="dxa"/>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1.65%-2.5%</w:t>
            </w:r>
          </w:p>
        </w:tc>
        <w:tc>
          <w:tcPr>
            <w:tcW w:w="708"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p>
        </w:tc>
        <w:tc>
          <w:tcPr>
            <w:tcW w:w="1117" w:type="dxa"/>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中信银行城阳支行</w:t>
            </w:r>
          </w:p>
        </w:tc>
        <w:tc>
          <w:tcPr>
            <w:tcW w:w="1433" w:type="dxa"/>
            <w:noWrap w:val="0"/>
            <w:vAlign w:val="center"/>
          </w:tcPr>
          <w:p>
            <w:pPr>
              <w:keepNext w:val="0"/>
              <w:keepLines w:val="0"/>
              <w:widowControl/>
              <w:suppressLineNumbers w:val="0"/>
              <w:jc w:val="left"/>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共赢慧信汇率挂钩人民币结构性存款01609期</w:t>
            </w:r>
          </w:p>
        </w:tc>
        <w:tc>
          <w:tcPr>
            <w:tcW w:w="1117" w:type="dxa"/>
            <w:noWrap w:val="0"/>
            <w:vAlign w:val="center"/>
          </w:tcPr>
          <w:p>
            <w:pPr>
              <w:keepNext w:val="0"/>
              <w:keepLines w:val="0"/>
              <w:widowControl/>
              <w:suppressLineNumbers w:val="0"/>
              <w:jc w:val="left"/>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2,000万</w:t>
            </w:r>
          </w:p>
        </w:tc>
        <w:tc>
          <w:tcPr>
            <w:tcW w:w="998" w:type="dxa"/>
            <w:noWrap w:val="0"/>
            <w:vAlign w:val="center"/>
          </w:tcPr>
          <w:p>
            <w:pPr>
              <w:keepNext w:val="0"/>
              <w:keepLines w:val="0"/>
              <w:widowControl/>
              <w:suppressLineNumbers w:val="0"/>
              <w:jc w:val="left"/>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2024.1.29-2024.4.30</w:t>
            </w:r>
          </w:p>
        </w:tc>
        <w:tc>
          <w:tcPr>
            <w:tcW w:w="825" w:type="dxa"/>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lang w:eastAsia="zh-CN"/>
              </w:rPr>
            </w:pPr>
            <w:r>
              <w:rPr>
                <w:rFonts w:hint="eastAsia" w:ascii="宋体" w:hAnsi="宋体" w:eastAsia="宋体" w:cs="宋体"/>
                <w:i w:val="0"/>
                <w:iCs w:val="0"/>
                <w:color w:val="000000"/>
                <w:kern w:val="0"/>
                <w:sz w:val="22"/>
                <w:szCs w:val="22"/>
                <w:u w:val="none"/>
                <w:lang w:val="en-US" w:eastAsia="zh-CN" w:bidi="ar"/>
              </w:rPr>
              <w:t>低风险</w:t>
            </w:r>
          </w:p>
        </w:tc>
        <w:tc>
          <w:tcPr>
            <w:tcW w:w="1110" w:type="dxa"/>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lang w:eastAsia="zh-CN"/>
              </w:rPr>
            </w:pPr>
            <w:r>
              <w:rPr>
                <w:rFonts w:hint="eastAsia" w:ascii="宋体" w:hAnsi="宋体" w:eastAsia="宋体" w:cs="宋体"/>
                <w:i w:val="0"/>
                <w:iCs w:val="0"/>
                <w:color w:val="000000"/>
                <w:kern w:val="0"/>
                <w:sz w:val="22"/>
                <w:szCs w:val="22"/>
                <w:u w:val="none"/>
                <w:lang w:val="en-US" w:eastAsia="zh-CN" w:bidi="ar"/>
              </w:rPr>
              <w:t>保本浮动收益</w:t>
            </w:r>
          </w:p>
        </w:tc>
        <w:tc>
          <w:tcPr>
            <w:tcW w:w="894" w:type="dxa"/>
            <w:noWrap w:val="0"/>
            <w:vAlign w:val="center"/>
          </w:tcPr>
          <w:p>
            <w:pPr>
              <w:keepNext w:val="0"/>
              <w:keepLines w:val="0"/>
              <w:widowControl/>
              <w:suppressLineNumbers w:val="0"/>
              <w:jc w:val="left"/>
              <w:textAlignment w:val="center"/>
              <w:rPr>
                <w:rFonts w:hint="default" w:ascii="宋体" w:hAnsi="宋体" w:eastAsia="宋体" w:cs="宋体"/>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1.05%-2.55%</w:t>
            </w:r>
          </w:p>
        </w:tc>
        <w:tc>
          <w:tcPr>
            <w:tcW w:w="708"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w:t>
            </w:r>
          </w:p>
        </w:tc>
        <w:tc>
          <w:tcPr>
            <w:tcW w:w="1117" w:type="dxa"/>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lang w:eastAsia="zh-CN"/>
              </w:rPr>
            </w:pPr>
            <w:r>
              <w:rPr>
                <w:rFonts w:hint="eastAsia" w:ascii="宋体" w:hAnsi="宋体" w:eastAsia="宋体" w:cs="宋体"/>
                <w:i w:val="0"/>
                <w:iCs w:val="0"/>
                <w:color w:val="000000"/>
                <w:kern w:val="0"/>
                <w:sz w:val="22"/>
                <w:szCs w:val="22"/>
                <w:u w:val="none"/>
                <w:lang w:val="en-US" w:eastAsia="zh-CN" w:bidi="ar"/>
              </w:rPr>
              <w:t>中国民生银行股份有限公司青岛高新区支行</w:t>
            </w:r>
          </w:p>
        </w:tc>
        <w:tc>
          <w:tcPr>
            <w:tcW w:w="1433" w:type="dxa"/>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2022年对公大额存单第7期 (3年)</w:t>
            </w:r>
          </w:p>
        </w:tc>
        <w:tc>
          <w:tcPr>
            <w:tcW w:w="1117" w:type="dxa"/>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1,000万</w:t>
            </w:r>
          </w:p>
        </w:tc>
        <w:tc>
          <w:tcPr>
            <w:tcW w:w="998" w:type="dxa"/>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2024.2.1-2024.10.12</w:t>
            </w:r>
          </w:p>
        </w:tc>
        <w:tc>
          <w:tcPr>
            <w:tcW w:w="825" w:type="dxa"/>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低风险</w:t>
            </w:r>
          </w:p>
        </w:tc>
        <w:tc>
          <w:tcPr>
            <w:tcW w:w="1110" w:type="dxa"/>
            <w:noWrap w:val="0"/>
            <w:vAlign w:val="center"/>
          </w:tcPr>
          <w:p>
            <w:pPr>
              <w:keepNext w:val="0"/>
              <w:keepLines w:val="0"/>
              <w:widowControl/>
              <w:suppressLineNumbers w:val="0"/>
              <w:jc w:val="left"/>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大额存单</w:t>
            </w:r>
          </w:p>
        </w:tc>
        <w:tc>
          <w:tcPr>
            <w:tcW w:w="894" w:type="dxa"/>
            <w:noWrap w:val="0"/>
            <w:vAlign w:val="center"/>
          </w:tcPr>
          <w:p>
            <w:pPr>
              <w:keepNext w:val="0"/>
              <w:keepLines w:val="0"/>
              <w:widowControl/>
              <w:suppressLineNumbers w:val="0"/>
              <w:jc w:val="right"/>
              <w:textAlignment w:val="center"/>
              <w:rPr>
                <w:rFonts w:hint="eastAsia" w:ascii="宋体" w:hAnsi="宋体" w:eastAsia="宋体" w:cs="宋体"/>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3.40%</w:t>
            </w:r>
          </w:p>
        </w:tc>
        <w:tc>
          <w:tcPr>
            <w:tcW w:w="708"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自有资金</w:t>
            </w:r>
          </w:p>
        </w:tc>
      </w:tr>
    </w:tbl>
    <w:p>
      <w:pPr>
        <w:wordWrap w:val="0"/>
        <w:spacing w:after="0" w:line="276" w:lineRule="auto"/>
        <w:rPr>
          <w:rFonts w:hint="eastAsia" w:ascii="宋体" w:hAnsi="宋体" w:eastAsia="宋体" w:cs="宋体"/>
          <w:sz w:val="24"/>
          <w:szCs w:val="24"/>
        </w:rPr>
      </w:pPr>
    </w:p>
    <w:p>
      <w:pPr>
        <w:pStyle w:val="4"/>
        <w:spacing w:after="240" w:line="400" w:lineRule="exact"/>
        <w:ind w:firstLine="463" w:firstLineChars="193"/>
        <w:rPr>
          <w:rFonts w:hint="eastAsia" w:ascii="宋体" w:hAnsi="宋体" w:eastAsia="宋体" w:cs="宋体"/>
          <w:sz w:val="24"/>
          <w:szCs w:val="24"/>
        </w:rPr>
      </w:pPr>
      <w:r>
        <w:rPr>
          <w:rFonts w:hint="eastAsia" w:ascii="宋体" w:hAnsi="宋体" w:eastAsia="宋体" w:cs="宋体"/>
          <w:sz w:val="24"/>
          <w:szCs w:val="24"/>
        </w:rPr>
        <w:t>（二）审批程序</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本次购买理财产品事宜已于2023年3月20日召开的第四届董事会第十九次会议、第四届监事会第十五次会议，及2023年4月11日召开的2022年年度股东大会审议通过，公司独立董事对此发表了同意的独立意见。</w:t>
      </w:r>
    </w:p>
    <w:p>
      <w:pPr>
        <w:pStyle w:val="4"/>
        <w:spacing w:line="400" w:lineRule="exact"/>
        <w:ind w:firstLine="465" w:firstLineChars="193"/>
        <w:rPr>
          <w:rFonts w:hint="eastAsia" w:ascii="宋体" w:hAnsi="宋体" w:eastAsia="宋体" w:cs="宋体"/>
          <w:b/>
          <w:sz w:val="24"/>
          <w:szCs w:val="24"/>
          <w:lang w:eastAsia="zh-CN"/>
        </w:rPr>
      </w:pPr>
      <w:r>
        <w:rPr>
          <w:rFonts w:hint="eastAsia" w:hAnsi="宋体" w:cs="宋体"/>
          <w:b/>
          <w:sz w:val="24"/>
          <w:szCs w:val="24"/>
          <w:lang w:eastAsia="zh-CN"/>
        </w:rPr>
        <w:t>三</w:t>
      </w:r>
      <w:r>
        <w:rPr>
          <w:rFonts w:hint="eastAsia" w:ascii="宋体" w:hAnsi="宋体" w:eastAsia="宋体" w:cs="宋体"/>
          <w:b/>
          <w:sz w:val="24"/>
          <w:szCs w:val="24"/>
        </w:rPr>
        <w:t>、关联关系说明</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公司与上述受托方无关联关系。</w:t>
      </w:r>
    </w:p>
    <w:p>
      <w:pPr>
        <w:pStyle w:val="5"/>
        <w:numPr>
          <w:ilvl w:val="0"/>
          <w:numId w:val="0"/>
        </w:numPr>
        <w:spacing w:after="0" w:line="360" w:lineRule="auto"/>
        <w:ind w:leftChars="200"/>
        <w:rPr>
          <w:rFonts w:hint="eastAsia" w:ascii="宋体" w:hAnsi="宋体" w:eastAsia="宋体" w:cs="宋体"/>
          <w:b/>
          <w:sz w:val="24"/>
          <w:szCs w:val="24"/>
        </w:rPr>
      </w:pPr>
      <w:r>
        <w:rPr>
          <w:rFonts w:hint="eastAsia" w:ascii="宋体" w:hAnsi="宋体" w:eastAsia="宋体" w:cs="宋体"/>
          <w:b/>
          <w:sz w:val="24"/>
          <w:szCs w:val="24"/>
          <w:lang w:eastAsia="zh-CN"/>
        </w:rPr>
        <w:t>四</w:t>
      </w:r>
      <w:r>
        <w:rPr>
          <w:rFonts w:hint="eastAsia" w:ascii="宋体" w:hAnsi="宋体" w:eastAsia="宋体" w:cs="宋体"/>
          <w:b/>
          <w:sz w:val="24"/>
          <w:szCs w:val="24"/>
        </w:rPr>
        <w:t>、投资存在的风险及风险控制措施</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1、投资风险</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（1）虽然公司将根据闲置资金实际情况，选择投资合适的中等及以下风险型理财产品，但金融市场受宏观经济的影响较大，不排除该项投资受到市场波动的影响；</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（2）公司将根据经济形势以及金融市场的变化适时适量的进行委托理财，因此投资的实际收益存在一定的不可预期性。</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2、风险控制措施</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 公司购买标的为安全性高、 流动性好、中等及以下风险型、 期限 12个月以内（含）的理财产品；仅限于商业银行、证券公司、信托公司等金融机构发行的中等及以下风险短期理财产品。</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2）公司董事会授权董事长行使该项投资决策权，并授权财务负责人及财务部门相关岗位人员负责投资理财的具体实施工作。财务部将负责制定购买理财产品计划，合理的购买理财产品以及建立投资台账，及时进行分析和跟踪产品的净值变动，以确保理财资金的安全；</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3）公司将密切跟踪和分析每笔理财产品的进展情况，关注宏观经济形势和市场变化，对可能存在影响公司资金安全的风险因素，及时采取相应措施，控制投资风险，确保资金安全，实现收益最大化。公司内部审计部门负责对所投资产品的资金使用与保管情况进行审计与监督，并向董事会审计委员会报告；</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（4）独立董事、监事会有权对资金使用情况进行监督与检查，必要时可以聘请专业机构进行审计；</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（5）公司将根据深圳证券交易所的相关规定，披露报告期内投资产品及相关的损益情况。</w:t>
      </w:r>
    </w:p>
    <w:p>
      <w:pPr>
        <w:pStyle w:val="5"/>
        <w:spacing w:after="0" w:line="360" w:lineRule="auto"/>
        <w:ind w:firstLine="482"/>
        <w:rPr>
          <w:rFonts w:hint="eastAsia" w:ascii="宋体" w:hAnsi="宋体" w:eastAsia="宋体" w:cs="宋体"/>
          <w:b/>
          <w:sz w:val="24"/>
          <w:szCs w:val="24"/>
          <w:highlight w:val="none"/>
        </w:rPr>
      </w:pPr>
      <w:r>
        <w:rPr>
          <w:rFonts w:hint="eastAsia" w:ascii="宋体" w:hAnsi="宋体" w:eastAsia="宋体" w:cs="宋体"/>
          <w:b/>
          <w:sz w:val="24"/>
          <w:szCs w:val="24"/>
          <w:highlight w:val="none"/>
          <w:lang w:eastAsia="zh-CN"/>
        </w:rPr>
        <w:t>五</w:t>
      </w:r>
      <w:r>
        <w:rPr>
          <w:rFonts w:hint="eastAsia" w:ascii="宋体" w:hAnsi="宋体" w:eastAsia="宋体" w:cs="宋体"/>
          <w:b/>
          <w:sz w:val="24"/>
          <w:szCs w:val="24"/>
          <w:highlight w:val="none"/>
        </w:rPr>
        <w:t>、对公司的影响</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公司对委托理财的风险与收益，以及未来的资金需求进行了充分的预估与测算，使用闲置自有资金投资安全性高、流动性好、中等及以下风险型或固定收益类或承诺保本的理财产品，不会影响公司的日常经营运作与主营业务的发展， 且理财产品的收益率一般高于活期存款及同期定期存款利率，理财产品的投资，有利于提高公司闲置自有资金的使用效率，获得一定的投资收益，提升公司整体业绩水平，为股东获取更多投资回报，符合公司及全体股东的利益。</w:t>
      </w:r>
    </w:p>
    <w:p>
      <w:pPr>
        <w:pStyle w:val="4"/>
        <w:ind w:firstLine="465" w:firstLineChars="193"/>
        <w:jc w:val="both"/>
        <w:rPr>
          <w:rFonts w:hint="eastAsia" w:hAnsi="宋体"/>
          <w:b/>
          <w:highlight w:val="none"/>
        </w:rPr>
      </w:pPr>
      <w:r>
        <w:rPr>
          <w:rFonts w:hint="eastAsia" w:hAnsi="宋体"/>
          <w:b/>
          <w:highlight w:val="none"/>
          <w:lang w:eastAsia="zh-CN"/>
        </w:rPr>
        <w:t>六</w:t>
      </w:r>
      <w:r>
        <w:rPr>
          <w:rFonts w:hint="eastAsia" w:hAnsi="宋体"/>
          <w:b/>
          <w:highlight w:val="none"/>
        </w:rPr>
        <w:t>、公告日前十二个月内购买银行理财产品情况</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公司本次公告日前十二个月使用闲置自有资金购买理财产品情况，具体详见如下表：</w:t>
      </w:r>
    </w:p>
    <w:tbl>
      <w:tblPr>
        <w:tblStyle w:val="2"/>
        <w:tblpPr w:leftFromText="180" w:rightFromText="180" w:vertAnchor="text" w:horzAnchor="margin" w:tblpX="-494" w:tblpY="273"/>
        <w:tblW w:w="94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75"/>
        <w:gridCol w:w="1418"/>
        <w:gridCol w:w="850"/>
        <w:gridCol w:w="851"/>
        <w:gridCol w:w="850"/>
        <w:gridCol w:w="993"/>
        <w:gridCol w:w="992"/>
        <w:gridCol w:w="850"/>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noWrap w:val="0"/>
            <w:vAlign w:val="center"/>
          </w:tcPr>
          <w:p>
            <w:pPr>
              <w:wordWrap w:val="0"/>
              <w:spacing w:after="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275" w:type="dxa"/>
            <w:noWrap w:val="0"/>
            <w:vAlign w:val="center"/>
          </w:tcPr>
          <w:p>
            <w:pPr>
              <w:wordWrap w:val="0"/>
              <w:spacing w:after="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受托方</w:t>
            </w:r>
          </w:p>
          <w:p>
            <w:pPr>
              <w:wordWrap w:val="0"/>
              <w:spacing w:after="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p>
        </w:tc>
        <w:tc>
          <w:tcPr>
            <w:tcW w:w="1418" w:type="dxa"/>
            <w:noWrap w:val="0"/>
            <w:vAlign w:val="center"/>
          </w:tcPr>
          <w:p>
            <w:pPr>
              <w:wordWrap w:val="0"/>
              <w:spacing w:after="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产品名称</w:t>
            </w:r>
          </w:p>
        </w:tc>
        <w:tc>
          <w:tcPr>
            <w:tcW w:w="850" w:type="dxa"/>
            <w:noWrap w:val="0"/>
            <w:vAlign w:val="center"/>
          </w:tcPr>
          <w:p>
            <w:pPr>
              <w:wordWrap w:val="0"/>
              <w:spacing w:after="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投资金额</w:t>
            </w:r>
          </w:p>
        </w:tc>
        <w:tc>
          <w:tcPr>
            <w:tcW w:w="851" w:type="dxa"/>
            <w:noWrap w:val="0"/>
            <w:vAlign w:val="center"/>
          </w:tcPr>
          <w:p>
            <w:pPr>
              <w:wordWrap w:val="0"/>
              <w:spacing w:after="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起止日期</w:t>
            </w:r>
          </w:p>
        </w:tc>
        <w:tc>
          <w:tcPr>
            <w:tcW w:w="850" w:type="dxa"/>
            <w:noWrap w:val="0"/>
            <w:vAlign w:val="center"/>
          </w:tcPr>
          <w:p>
            <w:pPr>
              <w:wordWrap w:val="0"/>
              <w:spacing w:after="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风险评级</w:t>
            </w:r>
          </w:p>
        </w:tc>
        <w:tc>
          <w:tcPr>
            <w:tcW w:w="993" w:type="dxa"/>
            <w:noWrap w:val="0"/>
            <w:vAlign w:val="center"/>
          </w:tcPr>
          <w:p>
            <w:pPr>
              <w:wordWrap w:val="0"/>
              <w:spacing w:after="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产品类型</w:t>
            </w:r>
          </w:p>
        </w:tc>
        <w:tc>
          <w:tcPr>
            <w:tcW w:w="992" w:type="dxa"/>
            <w:noWrap w:val="0"/>
            <w:vAlign w:val="center"/>
          </w:tcPr>
          <w:p>
            <w:pPr>
              <w:wordWrap w:val="0"/>
              <w:spacing w:after="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预计年化收益率</w:t>
            </w:r>
          </w:p>
        </w:tc>
        <w:tc>
          <w:tcPr>
            <w:tcW w:w="850" w:type="dxa"/>
            <w:noWrap w:val="0"/>
            <w:vAlign w:val="center"/>
          </w:tcPr>
          <w:p>
            <w:pPr>
              <w:wordWrap w:val="0"/>
              <w:spacing w:after="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资金</w:t>
            </w:r>
          </w:p>
          <w:p>
            <w:pPr>
              <w:wordWrap w:val="0"/>
              <w:spacing w:after="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类型</w:t>
            </w:r>
          </w:p>
        </w:tc>
        <w:tc>
          <w:tcPr>
            <w:tcW w:w="850" w:type="dxa"/>
            <w:noWrap w:val="0"/>
            <w:vAlign w:val="center"/>
          </w:tcPr>
          <w:p>
            <w:pPr>
              <w:wordWrap w:val="0"/>
              <w:spacing w:after="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是否到期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eastAsia" w:ascii="宋体" w:hAnsi="宋体" w:eastAsia="宋体" w:cs="宋体"/>
                <w:sz w:val="24"/>
                <w:szCs w:val="24"/>
                <w:highlight w:val="none"/>
                <w:lang w:eastAsia="zh-CN"/>
              </w:rPr>
            </w:pPr>
            <w:r>
              <w:rPr>
                <w:rFonts w:hint="default" w:ascii="宋体" w:hAnsi="宋体" w:eastAsia="宋体" w:cs="宋体"/>
                <w:sz w:val="24"/>
                <w:szCs w:val="24"/>
                <w:highlight w:val="none"/>
                <w:lang w:val="en-US" w:eastAsia="zh-CN"/>
              </w:rPr>
              <w:t>1</w:t>
            </w:r>
          </w:p>
        </w:tc>
        <w:tc>
          <w:tcPr>
            <w:tcW w:w="1275"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招商银行城阳支行</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招商银行点金系列看涨两层区间93天结构性存款产品（产品代码：NQD00457） </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3,000万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2023.2.24-2023.5.30</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保本浮动收益</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2.85%</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eastAsia" w:ascii="宋体" w:hAnsi="宋体" w:eastAsia="宋体" w:cs="宋体"/>
                <w:sz w:val="24"/>
                <w:szCs w:val="24"/>
                <w:highlight w:val="none"/>
                <w:lang w:eastAsia="zh-CN"/>
              </w:rPr>
            </w:pPr>
            <w:r>
              <w:rPr>
                <w:rFonts w:hint="default" w:ascii="宋体" w:hAnsi="宋体" w:eastAsia="宋体" w:cs="宋体"/>
                <w:sz w:val="24"/>
                <w:szCs w:val="24"/>
                <w:highlight w:val="none"/>
                <w:lang w:val="en-US" w:eastAsia="zh-CN"/>
              </w:rPr>
              <w:t>2</w:t>
            </w:r>
          </w:p>
        </w:tc>
        <w:tc>
          <w:tcPr>
            <w:tcW w:w="1275"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平安银行股份有限公司青岛分行麦岛路支行</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平安银行对公结构性存款(100%保本挂钩指数)产品TGG23100114</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2,000万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2023.2.24-2023.8.25</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保本浮动收益</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2.9%</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eastAsia" w:ascii="宋体" w:hAnsi="宋体" w:eastAsia="宋体" w:cs="宋体"/>
                <w:sz w:val="24"/>
                <w:szCs w:val="24"/>
                <w:highlight w:val="none"/>
                <w:lang w:eastAsia="zh-CN"/>
              </w:rPr>
            </w:pPr>
            <w:r>
              <w:rPr>
                <w:rFonts w:hint="default" w:ascii="宋体" w:hAnsi="宋体" w:eastAsia="宋体" w:cs="宋体"/>
                <w:sz w:val="24"/>
                <w:szCs w:val="24"/>
                <w:highlight w:val="none"/>
                <w:lang w:val="en-US" w:eastAsia="zh-CN"/>
              </w:rPr>
              <w:t>3</w:t>
            </w:r>
          </w:p>
        </w:tc>
        <w:tc>
          <w:tcPr>
            <w:tcW w:w="1275"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中国民生银行股份有限公司青岛山东路支行</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中国民生银行对公大额存单FGG2301A02 </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1,000万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2023.03.02-2023.12.02</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保本浮动收益</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2.7%</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4</w:t>
            </w:r>
          </w:p>
        </w:tc>
        <w:tc>
          <w:tcPr>
            <w:tcW w:w="1275"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中信银行城阳支行</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共赢智信汇率挂钩人民币结构性存款13938期</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950万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2023.03.01-2023.09.01</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保本浮动收益</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2.6%</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5</w:t>
            </w:r>
          </w:p>
        </w:tc>
        <w:tc>
          <w:tcPr>
            <w:tcW w:w="1275"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招商银行城阳支行</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招商银行点金系列看涨两层区间92天结构性存款产品 （产品代码NQD00485）</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4,000万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2023.03.30-2023.06.30</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保本浮动收益</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1.65%-2.85%</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6</w:t>
            </w:r>
          </w:p>
        </w:tc>
        <w:tc>
          <w:tcPr>
            <w:tcW w:w="1275"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平安银行股份有限公司青岛分行麦岛路支行</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平安银行对公结构性存款（100%保本挂钩指数）2023 年TGG23100212期人民币产品</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4,000万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2023.03.30-2023.10.09</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保本浮动收益</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1.95%-3.00%</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yellow"/>
              </w:rPr>
            </w:pPr>
            <w:r>
              <w:rPr>
                <w:rFonts w:hint="eastAsia" w:ascii="宋体" w:hAnsi="宋体" w:eastAsia="宋体" w:cs="宋体"/>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7</w:t>
            </w:r>
          </w:p>
        </w:tc>
        <w:tc>
          <w:tcPr>
            <w:tcW w:w="1275"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东证融汇证券资产管理有限公司</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东证融汇汇鑫6M3号集合资产管理计划</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1,000万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2023.4.25-2023.10.24</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中低风险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非保本浮动收益型</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4.6%</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yellow"/>
                <w:lang w:eastAsia="zh-CN"/>
              </w:rPr>
            </w:pPr>
            <w:r>
              <w:rPr>
                <w:rFonts w:hint="eastAsia" w:ascii="宋体" w:hAnsi="宋体" w:eastAsia="宋体" w:cs="宋体"/>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8</w:t>
            </w:r>
          </w:p>
        </w:tc>
        <w:tc>
          <w:tcPr>
            <w:tcW w:w="1275"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平安银行股份有限公司青岛分行麦岛路支行</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平安银行对公结构性存款（100%保本挂钩指数）2023 年TGG23100368期人民币产品</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,000万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2023.</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-2023.</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中</w:t>
            </w:r>
            <w:r>
              <w:rPr>
                <w:rFonts w:hint="eastAsia" w:ascii="宋体" w:hAnsi="宋体" w:eastAsia="宋体" w:cs="宋体"/>
                <w:sz w:val="24"/>
                <w:szCs w:val="24"/>
                <w:highlight w:val="none"/>
              </w:rPr>
              <w:t>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非保本浮动收益型</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90</w:t>
            </w:r>
            <w:r>
              <w:rPr>
                <w:rFonts w:hint="eastAsia" w:ascii="宋体" w:hAnsi="宋体" w:eastAsia="宋体" w:cs="宋体"/>
                <w:sz w:val="24"/>
                <w:szCs w:val="24"/>
                <w:highlight w:val="none"/>
              </w:rPr>
              <w:t>%</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9</w:t>
            </w:r>
          </w:p>
        </w:tc>
        <w:tc>
          <w:tcPr>
            <w:tcW w:w="1275"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招商银行城阳支行</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招商银行</w:t>
            </w:r>
            <w:r>
              <w:rPr>
                <w:rFonts w:hint="eastAsia" w:ascii="宋体" w:hAnsi="宋体" w:eastAsia="宋体" w:cs="宋体"/>
                <w:sz w:val="24"/>
                <w:szCs w:val="24"/>
                <w:highlight w:val="none"/>
                <w:lang w:val="en-US" w:eastAsia="zh-CN"/>
              </w:rPr>
              <w:t xml:space="preserve">点金系列看涨两层区间结构性存款NQD00544 </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,000万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2023.</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-2023.</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30</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保本浮动收益型</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85</w:t>
            </w:r>
            <w:r>
              <w:rPr>
                <w:rFonts w:hint="eastAsia" w:ascii="宋体" w:hAnsi="宋体" w:eastAsia="宋体" w:cs="宋体"/>
                <w:sz w:val="24"/>
                <w:szCs w:val="24"/>
                <w:highlight w:val="none"/>
              </w:rPr>
              <w:t>%</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jc w:val="both"/>
              <w:rPr>
                <w:rFonts w:hint="eastAsia" w:ascii="宋体" w:hAnsi="宋体" w:eastAsia="宋体" w:cs="宋体"/>
                <w:sz w:val="24"/>
                <w:szCs w:val="24"/>
                <w:highlight w:val="yellow"/>
                <w:lang w:eastAsia="zh-CN"/>
              </w:rPr>
            </w:pPr>
            <w:r>
              <w:rPr>
                <w:rFonts w:hint="eastAsia" w:ascii="宋体" w:hAnsi="宋体" w:eastAsia="宋体" w:cs="宋体"/>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10</w:t>
            </w:r>
          </w:p>
        </w:tc>
        <w:tc>
          <w:tcPr>
            <w:tcW w:w="1275"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招商银行城阳支行</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招商银行</w:t>
            </w:r>
            <w:r>
              <w:rPr>
                <w:rFonts w:hint="eastAsia" w:ascii="宋体" w:hAnsi="宋体" w:eastAsia="宋体" w:cs="宋体"/>
                <w:sz w:val="24"/>
                <w:szCs w:val="24"/>
                <w:highlight w:val="none"/>
                <w:lang w:val="en-US" w:eastAsia="zh-CN"/>
              </w:rPr>
              <w:t xml:space="preserve">点金系列看涨两层区间结构性存款NQD00544 </w:t>
            </w:r>
            <w:r>
              <w:rPr>
                <w:rFonts w:hint="eastAsia" w:ascii="宋体" w:hAnsi="宋体" w:eastAsia="宋体" w:cs="宋体"/>
                <w:sz w:val="24"/>
                <w:szCs w:val="24"/>
                <w:highlight w:val="none"/>
              </w:rPr>
              <w:t xml:space="preserve"> </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00万</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2023.</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-2023.</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30</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保本浮动收益型</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85</w:t>
            </w:r>
            <w:r>
              <w:rPr>
                <w:rFonts w:hint="eastAsia" w:ascii="宋体" w:hAnsi="宋体" w:eastAsia="宋体" w:cs="宋体"/>
                <w:sz w:val="24"/>
                <w:szCs w:val="24"/>
                <w:highlight w:val="none"/>
              </w:rPr>
              <w:t>%</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default" w:ascii="宋体" w:hAnsi="宋体" w:eastAsia="宋体" w:cs="宋体"/>
                <w:sz w:val="24"/>
                <w:szCs w:val="24"/>
                <w:highlight w:val="none"/>
                <w:lang w:val="en-US" w:eastAsia="zh-CN"/>
              </w:rPr>
              <w:t>1</w:t>
            </w:r>
          </w:p>
        </w:tc>
        <w:tc>
          <w:tcPr>
            <w:tcW w:w="1275"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中信证券股份有限公司</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中信证券信信向荣1号集合资产管理计划</w:t>
            </w:r>
          </w:p>
        </w:tc>
        <w:tc>
          <w:tcPr>
            <w:tcW w:w="850"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1,000万元</w:t>
            </w:r>
          </w:p>
        </w:tc>
        <w:tc>
          <w:tcPr>
            <w:tcW w:w="851"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.07.12-202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.07.11</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中低风险</w:t>
            </w:r>
          </w:p>
        </w:tc>
        <w:tc>
          <w:tcPr>
            <w:tcW w:w="993"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非保本浮动收益型</w:t>
            </w:r>
          </w:p>
        </w:tc>
        <w:tc>
          <w:tcPr>
            <w:tcW w:w="992"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4.00%</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1</w:t>
            </w:r>
            <w:r>
              <w:rPr>
                <w:rFonts w:hint="default" w:ascii="宋体" w:hAnsi="宋体" w:eastAsia="宋体" w:cs="宋体"/>
                <w:sz w:val="24"/>
                <w:szCs w:val="24"/>
                <w:highlight w:val="none"/>
                <w:lang w:val="en-US" w:eastAsia="zh-CN"/>
              </w:rPr>
              <w:t>2</w:t>
            </w:r>
          </w:p>
        </w:tc>
        <w:tc>
          <w:tcPr>
            <w:tcW w:w="1275"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平安银行股份有限公司青岛分行麦岛路支行</w:t>
            </w:r>
          </w:p>
        </w:tc>
        <w:tc>
          <w:tcPr>
            <w:tcW w:w="1418"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平安银行对公结构性存款（100%保本挂钩黄金）TGG23200830期产品</w:t>
            </w:r>
          </w:p>
        </w:tc>
        <w:tc>
          <w:tcPr>
            <w:tcW w:w="850"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,000万</w:t>
            </w:r>
          </w:p>
        </w:tc>
        <w:tc>
          <w:tcPr>
            <w:tcW w:w="851"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2023.</w:t>
            </w:r>
            <w:r>
              <w:rPr>
                <w:rFonts w:hint="eastAsia" w:ascii="宋体" w:hAnsi="宋体" w:eastAsia="宋体" w:cs="宋体"/>
                <w:sz w:val="24"/>
                <w:szCs w:val="24"/>
                <w:highlight w:val="none"/>
                <w:lang w:val="en-US" w:eastAsia="zh-CN"/>
              </w:rPr>
              <w:t>07</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26</w:t>
            </w:r>
            <w:r>
              <w:rPr>
                <w:rFonts w:hint="eastAsia" w:ascii="宋体" w:hAnsi="宋体" w:eastAsia="宋体" w:cs="宋体"/>
                <w:sz w:val="24"/>
                <w:szCs w:val="24"/>
                <w:highlight w:val="none"/>
                <w:lang w:eastAsia="zh-CN"/>
              </w:rPr>
              <w:t>-2023.</w:t>
            </w:r>
            <w:r>
              <w:rPr>
                <w:rFonts w:hint="default"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27</w:t>
            </w:r>
          </w:p>
        </w:tc>
        <w:tc>
          <w:tcPr>
            <w:tcW w:w="850"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低风险</w:t>
            </w:r>
          </w:p>
        </w:tc>
        <w:tc>
          <w:tcPr>
            <w:tcW w:w="993"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保本浮动收益</w:t>
            </w:r>
          </w:p>
        </w:tc>
        <w:tc>
          <w:tcPr>
            <w:tcW w:w="992"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2.97%</w:t>
            </w:r>
          </w:p>
        </w:tc>
        <w:tc>
          <w:tcPr>
            <w:tcW w:w="850"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default" w:ascii="宋体" w:hAnsi="宋体" w:eastAsia="宋体" w:cs="宋体"/>
                <w:sz w:val="24"/>
                <w:szCs w:val="24"/>
                <w:highlight w:val="none"/>
                <w:lang w:val="en-US" w:eastAsia="zh-CN"/>
              </w:rPr>
              <w:t>3</w:t>
            </w:r>
          </w:p>
        </w:tc>
        <w:tc>
          <w:tcPr>
            <w:tcW w:w="1275"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平安银行股份有限公司青岛分行麦岛路支行</w:t>
            </w:r>
          </w:p>
        </w:tc>
        <w:tc>
          <w:tcPr>
            <w:tcW w:w="1418"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平安银行对公结构性存款（100%保本挂钩指数）2023 年 TGG23100630 期人民币产品 </w:t>
            </w:r>
          </w:p>
        </w:tc>
        <w:tc>
          <w:tcPr>
            <w:tcW w:w="850"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,000万</w:t>
            </w:r>
          </w:p>
        </w:tc>
        <w:tc>
          <w:tcPr>
            <w:tcW w:w="851"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2023.</w:t>
            </w:r>
            <w:r>
              <w:rPr>
                <w:rFonts w:hint="eastAsia" w:ascii="宋体" w:hAnsi="宋体" w:eastAsia="宋体" w:cs="宋体"/>
                <w:sz w:val="24"/>
                <w:szCs w:val="24"/>
                <w:highlight w:val="none"/>
                <w:lang w:val="en-US" w:eastAsia="zh-CN"/>
              </w:rPr>
              <w:t>09</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-2023.</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15</w:t>
            </w:r>
          </w:p>
        </w:tc>
        <w:tc>
          <w:tcPr>
            <w:tcW w:w="85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中低风险</w:t>
            </w:r>
          </w:p>
        </w:tc>
        <w:tc>
          <w:tcPr>
            <w:tcW w:w="993"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保本浮动收益</w:t>
            </w:r>
          </w:p>
        </w:tc>
        <w:tc>
          <w:tcPr>
            <w:tcW w:w="992"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default" w:ascii="宋体" w:hAnsi="宋体" w:eastAsia="宋体" w:cs="宋体"/>
                <w:sz w:val="24"/>
                <w:szCs w:val="24"/>
                <w:highlight w:val="none"/>
                <w:lang w:val="en-US" w:eastAsia="zh-CN"/>
              </w:rPr>
              <w:t>4</w:t>
            </w:r>
          </w:p>
        </w:tc>
        <w:tc>
          <w:tcPr>
            <w:tcW w:w="1275"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中信银行城阳支行</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共赢慧信汇率挂钩人民币结构性</w:t>
            </w:r>
          </w:p>
          <w:p>
            <w:pPr>
              <w:wordWrap w:val="0"/>
              <w:spacing w:after="0"/>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存款00246期</w:t>
            </w:r>
            <w:r>
              <w:rPr>
                <w:rFonts w:hint="eastAsia" w:ascii="宋体" w:hAnsi="宋体" w:eastAsia="宋体" w:cs="宋体"/>
                <w:sz w:val="24"/>
                <w:szCs w:val="24"/>
                <w:highlight w:val="none"/>
                <w:lang w:val="en-US" w:eastAsia="zh-CN"/>
              </w:rPr>
              <w:t xml:space="preserve"> </w:t>
            </w:r>
          </w:p>
        </w:tc>
        <w:tc>
          <w:tcPr>
            <w:tcW w:w="850"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97</w:t>
            </w:r>
            <w:r>
              <w:rPr>
                <w:rFonts w:hint="eastAsia" w:ascii="宋体" w:hAnsi="宋体" w:eastAsia="宋体" w:cs="宋体"/>
                <w:sz w:val="24"/>
                <w:szCs w:val="24"/>
                <w:highlight w:val="none"/>
                <w:lang w:eastAsia="zh-CN"/>
              </w:rPr>
              <w:t>0万</w:t>
            </w:r>
          </w:p>
        </w:tc>
        <w:tc>
          <w:tcPr>
            <w:tcW w:w="851"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2023.</w:t>
            </w:r>
            <w:r>
              <w:rPr>
                <w:rFonts w:hint="eastAsia" w:ascii="宋体" w:hAnsi="宋体" w:eastAsia="宋体" w:cs="宋体"/>
                <w:sz w:val="24"/>
                <w:szCs w:val="24"/>
                <w:highlight w:val="none"/>
                <w:lang w:val="en-US" w:eastAsia="zh-CN"/>
              </w:rPr>
              <w:t>09</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16</w:t>
            </w:r>
            <w:r>
              <w:rPr>
                <w:rFonts w:hint="eastAsia" w:ascii="宋体" w:hAnsi="宋体" w:eastAsia="宋体" w:cs="宋体"/>
                <w:sz w:val="24"/>
                <w:szCs w:val="24"/>
                <w:highlight w:val="none"/>
                <w:lang w:eastAsia="zh-CN"/>
              </w:rPr>
              <w:t>-2023.</w:t>
            </w:r>
            <w:r>
              <w:rPr>
                <w:rFonts w:hint="eastAsia" w:ascii="宋体" w:hAnsi="宋体" w:eastAsia="宋体" w:cs="宋体"/>
                <w:sz w:val="24"/>
                <w:szCs w:val="24"/>
                <w:highlight w:val="none"/>
                <w:lang w:val="en-US" w:eastAsia="zh-CN"/>
              </w:rPr>
              <w:t>12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15</w:t>
            </w:r>
          </w:p>
        </w:tc>
        <w:tc>
          <w:tcPr>
            <w:tcW w:w="85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低风险</w:t>
            </w:r>
          </w:p>
        </w:tc>
        <w:tc>
          <w:tcPr>
            <w:tcW w:w="993"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保本浮动收益</w:t>
            </w:r>
          </w:p>
        </w:tc>
        <w:tc>
          <w:tcPr>
            <w:tcW w:w="992"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2.35%</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15</w:t>
            </w:r>
          </w:p>
        </w:tc>
        <w:tc>
          <w:tcPr>
            <w:tcW w:w="1275"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中信银行城阳支行</w:t>
            </w:r>
          </w:p>
        </w:tc>
        <w:tc>
          <w:tcPr>
            <w:tcW w:w="1418"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共赢慧信汇率挂钩人民币结构性</w:t>
            </w:r>
          </w:p>
          <w:p>
            <w:pPr>
              <w:wordWrap w:val="0"/>
              <w:spacing w:after="0"/>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存款00246期</w:t>
            </w:r>
          </w:p>
        </w:tc>
        <w:tc>
          <w:tcPr>
            <w:tcW w:w="850"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4,000万</w:t>
            </w:r>
          </w:p>
        </w:tc>
        <w:tc>
          <w:tcPr>
            <w:tcW w:w="851"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2023.9.23-2023.12.22</w:t>
            </w:r>
          </w:p>
        </w:tc>
        <w:tc>
          <w:tcPr>
            <w:tcW w:w="85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低风险</w:t>
            </w:r>
          </w:p>
        </w:tc>
        <w:tc>
          <w:tcPr>
            <w:tcW w:w="993"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保本浮动收益</w:t>
            </w:r>
          </w:p>
        </w:tc>
        <w:tc>
          <w:tcPr>
            <w:tcW w:w="992"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2.35%</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16</w:t>
            </w:r>
          </w:p>
        </w:tc>
        <w:tc>
          <w:tcPr>
            <w:tcW w:w="1275"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中国民生银行股份有限公司青岛山东路支行</w:t>
            </w:r>
          </w:p>
        </w:tc>
        <w:tc>
          <w:tcPr>
            <w:tcW w:w="1418"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聚赢股票-挂钩沪深300指数双向鲨鱼鳍结构性存款（SDGA230502V）</w:t>
            </w:r>
          </w:p>
        </w:tc>
        <w:tc>
          <w:tcPr>
            <w:tcW w:w="850"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4,000万</w:t>
            </w:r>
          </w:p>
        </w:tc>
        <w:tc>
          <w:tcPr>
            <w:tcW w:w="851"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2023.9.22-2023.12.21</w:t>
            </w:r>
          </w:p>
        </w:tc>
        <w:tc>
          <w:tcPr>
            <w:tcW w:w="85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中低风险</w:t>
            </w:r>
          </w:p>
        </w:tc>
        <w:tc>
          <w:tcPr>
            <w:tcW w:w="993"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保本浮动收益</w:t>
            </w:r>
          </w:p>
        </w:tc>
        <w:tc>
          <w:tcPr>
            <w:tcW w:w="992"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2.60%</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自有资金</w:t>
            </w:r>
          </w:p>
        </w:tc>
        <w:tc>
          <w:tcPr>
            <w:tcW w:w="85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17</w:t>
            </w:r>
          </w:p>
        </w:tc>
        <w:tc>
          <w:tcPr>
            <w:tcW w:w="1275"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招商银行城阳支行</w:t>
            </w:r>
          </w:p>
        </w:tc>
        <w:tc>
          <w:tcPr>
            <w:tcW w:w="1418"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招商银行点金系列看跌两层区间94天结构性存款</w:t>
            </w:r>
          </w:p>
        </w:tc>
        <w:tc>
          <w:tcPr>
            <w:tcW w:w="850" w:type="dxa"/>
            <w:noWrap w:val="0"/>
            <w:vAlign w:val="center"/>
          </w:tcPr>
          <w:p>
            <w:pPr>
              <w:wordWrap w:val="0"/>
              <w:spacing w:after="0"/>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CN"/>
              </w:rPr>
              <w:t>,000万</w:t>
            </w:r>
          </w:p>
        </w:tc>
        <w:tc>
          <w:tcPr>
            <w:tcW w:w="851"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2023.</w:t>
            </w:r>
            <w:r>
              <w:rPr>
                <w:rFonts w:hint="default" w:ascii="宋体" w:hAnsi="宋体" w:eastAsia="宋体" w:cs="宋体"/>
                <w:sz w:val="24"/>
                <w:szCs w:val="24"/>
                <w:highlight w:val="none"/>
                <w:lang w:val="en-US" w:eastAsia="zh-CN"/>
              </w:rPr>
              <w:t>10</w:t>
            </w:r>
            <w:r>
              <w:rPr>
                <w:rFonts w:hint="eastAsia" w:ascii="宋体" w:hAnsi="宋体" w:eastAsia="宋体" w:cs="宋体"/>
                <w:sz w:val="24"/>
                <w:szCs w:val="24"/>
                <w:highlight w:val="none"/>
                <w:lang w:val="en-US" w:eastAsia="zh-CN"/>
              </w:rPr>
              <w:t>.1</w:t>
            </w:r>
            <w:r>
              <w:rPr>
                <w:rFonts w:hint="default"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CN"/>
              </w:rPr>
              <w:t>-2024.</w:t>
            </w:r>
            <w:r>
              <w:rPr>
                <w:rFonts w:hint="default" w:ascii="宋体" w:hAnsi="宋体" w:eastAsia="宋体" w:cs="宋体"/>
                <w:sz w:val="24"/>
                <w:szCs w:val="24"/>
                <w:highlight w:val="none"/>
                <w:lang w:val="en-US" w:eastAsia="zh-CN"/>
              </w:rPr>
              <w:t>01</w:t>
            </w:r>
            <w:r>
              <w:rPr>
                <w:rFonts w:hint="eastAsia" w:ascii="宋体" w:hAnsi="宋体" w:eastAsia="宋体" w:cs="宋体"/>
                <w:sz w:val="24"/>
                <w:szCs w:val="24"/>
                <w:highlight w:val="none"/>
                <w:lang w:val="en-US" w:eastAsia="zh-CN"/>
              </w:rPr>
              <w:t>.15</w:t>
            </w:r>
          </w:p>
        </w:tc>
        <w:tc>
          <w:tcPr>
            <w:tcW w:w="850"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低风险</w:t>
            </w:r>
          </w:p>
        </w:tc>
        <w:tc>
          <w:tcPr>
            <w:tcW w:w="993"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保本浮动收益</w:t>
            </w:r>
          </w:p>
        </w:tc>
        <w:tc>
          <w:tcPr>
            <w:tcW w:w="992" w:type="dxa"/>
            <w:noWrap w:val="0"/>
            <w:vAlign w:val="center"/>
          </w:tcPr>
          <w:p>
            <w:pPr>
              <w:wordWrap w:val="0"/>
              <w:spacing w:after="0"/>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1.65%-2.55%</w:t>
            </w:r>
          </w:p>
        </w:tc>
        <w:tc>
          <w:tcPr>
            <w:tcW w:w="850"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18</w:t>
            </w:r>
          </w:p>
        </w:tc>
        <w:tc>
          <w:tcPr>
            <w:tcW w:w="1275"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中信银行城阳支行</w:t>
            </w:r>
          </w:p>
        </w:tc>
        <w:tc>
          <w:tcPr>
            <w:tcW w:w="1418"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共赢慧信汇率挂钩人民币结构性 </w:t>
            </w:r>
          </w:p>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存款00558期</w:t>
            </w:r>
          </w:p>
        </w:tc>
        <w:tc>
          <w:tcPr>
            <w:tcW w:w="850" w:type="dxa"/>
            <w:noWrap w:val="0"/>
            <w:vAlign w:val="center"/>
          </w:tcPr>
          <w:p>
            <w:pPr>
              <w:wordWrap w:val="0"/>
              <w:spacing w:after="0"/>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eastAsia="zh-CN"/>
              </w:rPr>
              <w:t>,000万</w:t>
            </w:r>
          </w:p>
        </w:tc>
        <w:tc>
          <w:tcPr>
            <w:tcW w:w="851"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2023.</w:t>
            </w:r>
            <w:r>
              <w:rPr>
                <w:rFonts w:hint="default" w:ascii="宋体" w:hAnsi="宋体" w:eastAsia="宋体" w:cs="宋体"/>
                <w:sz w:val="24"/>
                <w:szCs w:val="24"/>
                <w:highlight w:val="none"/>
                <w:lang w:val="en-US" w:eastAsia="zh-CN"/>
              </w:rPr>
              <w:t>10</w:t>
            </w:r>
            <w:r>
              <w:rPr>
                <w:rFonts w:hint="eastAsia" w:ascii="宋体" w:hAnsi="宋体" w:eastAsia="宋体" w:cs="宋体"/>
                <w:sz w:val="24"/>
                <w:szCs w:val="24"/>
                <w:highlight w:val="none"/>
                <w:lang w:eastAsia="zh-CN"/>
              </w:rPr>
              <w:t>.2</w:t>
            </w:r>
            <w:r>
              <w:rPr>
                <w:rFonts w:hint="default" w:ascii="宋体" w:hAnsi="宋体" w:eastAsia="宋体" w:cs="宋体"/>
                <w:sz w:val="24"/>
                <w:szCs w:val="24"/>
                <w:highlight w:val="none"/>
                <w:lang w:val="en-US" w:eastAsia="zh-CN"/>
              </w:rPr>
              <w:t>0</w:t>
            </w:r>
            <w:r>
              <w:rPr>
                <w:rFonts w:hint="eastAsia" w:ascii="宋体" w:hAnsi="宋体" w:eastAsia="宋体" w:cs="宋体"/>
                <w:sz w:val="24"/>
                <w:szCs w:val="24"/>
                <w:highlight w:val="none"/>
                <w:lang w:eastAsia="zh-CN"/>
              </w:rPr>
              <w:t>-202</w:t>
            </w:r>
            <w:r>
              <w:rPr>
                <w:rFonts w:hint="default"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lang w:val="en-US" w:eastAsia="zh-CN"/>
              </w:rPr>
              <w:t>01</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lang w:val="en-US" w:eastAsia="zh-CN"/>
              </w:rPr>
              <w:t>19</w:t>
            </w:r>
          </w:p>
        </w:tc>
        <w:tc>
          <w:tcPr>
            <w:tcW w:w="850"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低风险</w:t>
            </w:r>
          </w:p>
        </w:tc>
        <w:tc>
          <w:tcPr>
            <w:tcW w:w="993"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保本浮动收益</w:t>
            </w:r>
          </w:p>
        </w:tc>
        <w:tc>
          <w:tcPr>
            <w:tcW w:w="992" w:type="dxa"/>
            <w:noWrap w:val="0"/>
            <w:vAlign w:val="center"/>
          </w:tcPr>
          <w:p>
            <w:pPr>
              <w:wordWrap w:val="0"/>
              <w:spacing w:after="0"/>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1.05%-2.65%</w:t>
            </w:r>
          </w:p>
        </w:tc>
        <w:tc>
          <w:tcPr>
            <w:tcW w:w="850"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19</w:t>
            </w:r>
          </w:p>
        </w:tc>
        <w:tc>
          <w:tcPr>
            <w:tcW w:w="1275"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招商银行城阳支行</w:t>
            </w:r>
          </w:p>
        </w:tc>
        <w:tc>
          <w:tcPr>
            <w:tcW w:w="1418"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招商银行点金系列看跌两层区间94天结构性存款</w:t>
            </w:r>
          </w:p>
        </w:tc>
        <w:tc>
          <w:tcPr>
            <w:tcW w:w="850" w:type="dxa"/>
            <w:noWrap w:val="0"/>
            <w:vAlign w:val="center"/>
          </w:tcPr>
          <w:p>
            <w:pPr>
              <w:wordWrap w:val="0"/>
              <w:spacing w:after="0"/>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6</w:t>
            </w:r>
            <w:r>
              <w:rPr>
                <w:rFonts w:hint="eastAsia" w:ascii="宋体" w:hAnsi="宋体" w:eastAsia="宋体" w:cs="宋体"/>
                <w:sz w:val="24"/>
                <w:szCs w:val="24"/>
                <w:highlight w:val="none"/>
                <w:lang w:val="en-US" w:eastAsia="zh-CN"/>
              </w:rPr>
              <w:t>00万</w:t>
            </w:r>
          </w:p>
        </w:tc>
        <w:tc>
          <w:tcPr>
            <w:tcW w:w="851"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2023.</w:t>
            </w:r>
            <w:r>
              <w:rPr>
                <w:rFonts w:hint="default" w:ascii="宋体" w:hAnsi="宋体" w:eastAsia="宋体" w:cs="宋体"/>
                <w:sz w:val="24"/>
                <w:szCs w:val="24"/>
                <w:highlight w:val="none"/>
                <w:lang w:val="en-US" w:eastAsia="zh-CN"/>
              </w:rPr>
              <w:t>10</w:t>
            </w:r>
            <w:r>
              <w:rPr>
                <w:rFonts w:hint="eastAsia" w:ascii="宋体" w:hAnsi="宋体" w:eastAsia="宋体" w:cs="宋体"/>
                <w:sz w:val="24"/>
                <w:szCs w:val="24"/>
                <w:highlight w:val="none"/>
                <w:lang w:val="en-US" w:eastAsia="zh-CN"/>
              </w:rPr>
              <w:t>.1</w:t>
            </w:r>
            <w:r>
              <w:rPr>
                <w:rFonts w:hint="default"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CN"/>
              </w:rPr>
              <w:t>-2024.</w:t>
            </w:r>
            <w:r>
              <w:rPr>
                <w:rFonts w:hint="default" w:ascii="宋体" w:hAnsi="宋体" w:eastAsia="宋体" w:cs="宋体"/>
                <w:sz w:val="24"/>
                <w:szCs w:val="24"/>
                <w:highlight w:val="none"/>
                <w:lang w:val="en-US" w:eastAsia="zh-CN"/>
              </w:rPr>
              <w:t>01</w:t>
            </w:r>
            <w:r>
              <w:rPr>
                <w:rFonts w:hint="eastAsia" w:ascii="宋体" w:hAnsi="宋体" w:eastAsia="宋体" w:cs="宋体"/>
                <w:sz w:val="24"/>
                <w:szCs w:val="24"/>
                <w:highlight w:val="none"/>
                <w:lang w:val="en-US" w:eastAsia="zh-CN"/>
              </w:rPr>
              <w:t>.15</w:t>
            </w:r>
          </w:p>
        </w:tc>
        <w:tc>
          <w:tcPr>
            <w:tcW w:w="850"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低风险</w:t>
            </w:r>
          </w:p>
        </w:tc>
        <w:tc>
          <w:tcPr>
            <w:tcW w:w="993"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保本浮动收益</w:t>
            </w:r>
          </w:p>
        </w:tc>
        <w:tc>
          <w:tcPr>
            <w:tcW w:w="992" w:type="dxa"/>
            <w:noWrap w:val="0"/>
            <w:vAlign w:val="center"/>
          </w:tcPr>
          <w:p>
            <w:pPr>
              <w:wordWrap w:val="0"/>
              <w:spacing w:after="0"/>
              <w:rPr>
                <w:rFonts w:hint="eastAsia"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1.65%-2.55%</w:t>
            </w:r>
          </w:p>
        </w:tc>
        <w:tc>
          <w:tcPr>
            <w:tcW w:w="850"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default" w:ascii="宋体" w:hAnsi="宋体" w:eastAsia="宋体" w:cs="宋体"/>
                <w:sz w:val="24"/>
                <w:szCs w:val="24"/>
                <w:highlight w:val="none"/>
                <w:lang w:val="en-US" w:eastAsia="zh-CN"/>
              </w:rPr>
              <w:t>0</w:t>
            </w:r>
          </w:p>
        </w:tc>
        <w:tc>
          <w:tcPr>
            <w:tcW w:w="1275"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lang w:eastAsia="zh-CN"/>
              </w:rPr>
              <w:t>平安银行麦岛路支行</w:t>
            </w:r>
          </w:p>
        </w:tc>
        <w:tc>
          <w:tcPr>
            <w:tcW w:w="1418"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平安银行对公结构性存款（100%保本挂钩汇率）2023年TGG23001202期</w:t>
            </w:r>
          </w:p>
        </w:tc>
        <w:tc>
          <w:tcPr>
            <w:tcW w:w="850"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000万</w:t>
            </w:r>
          </w:p>
        </w:tc>
        <w:tc>
          <w:tcPr>
            <w:tcW w:w="851"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2023.10.25-2024.01.26</w:t>
            </w:r>
          </w:p>
        </w:tc>
        <w:tc>
          <w:tcPr>
            <w:tcW w:w="850"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低风险</w:t>
            </w:r>
          </w:p>
        </w:tc>
        <w:tc>
          <w:tcPr>
            <w:tcW w:w="993"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保本浮动收益</w:t>
            </w:r>
          </w:p>
        </w:tc>
        <w:tc>
          <w:tcPr>
            <w:tcW w:w="992"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1.75%-2.55%</w:t>
            </w:r>
          </w:p>
        </w:tc>
        <w:tc>
          <w:tcPr>
            <w:tcW w:w="850" w:type="dxa"/>
            <w:noWrap w:val="0"/>
            <w:vAlign w:val="center"/>
          </w:tcPr>
          <w:p>
            <w:pPr>
              <w:wordWrap w:val="0"/>
              <w:spacing w:after="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自有资金</w:t>
            </w:r>
          </w:p>
        </w:tc>
        <w:tc>
          <w:tcPr>
            <w:tcW w:w="850" w:type="dxa"/>
            <w:noWrap w:val="0"/>
            <w:vAlign w:val="center"/>
          </w:tcPr>
          <w:p>
            <w:pPr>
              <w:wordWrap w:val="0"/>
              <w:spacing w:after="0"/>
              <w:rPr>
                <w:rFonts w:hint="eastAsia" w:ascii="宋体" w:hAnsi="宋体" w:eastAsia="宋体" w:cs="宋体"/>
                <w:sz w:val="24"/>
                <w:szCs w:val="24"/>
                <w:highlight w:val="none"/>
              </w:rPr>
            </w:pPr>
            <w:r>
              <w:rPr>
                <w:rFonts w:hint="eastAsia" w:ascii="宋体" w:hAnsi="宋体" w:eastAsia="宋体" w:cs="宋体"/>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21</w:t>
            </w:r>
          </w:p>
        </w:tc>
        <w:tc>
          <w:tcPr>
            <w:tcW w:w="1275"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eastAsia="zh-CN"/>
              </w:rPr>
              <w:t>平安银行股份有限公司青岛分行麦岛路支行</w:t>
            </w:r>
          </w:p>
        </w:tc>
        <w:tc>
          <w:tcPr>
            <w:tcW w:w="1418"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平安银行对公结构性存款（100%保本挂钩黄金）</w:t>
            </w:r>
          </w:p>
        </w:tc>
        <w:tc>
          <w:tcPr>
            <w:tcW w:w="850"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default"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CN"/>
              </w:rPr>
              <w:t>,000万</w:t>
            </w:r>
          </w:p>
        </w:tc>
        <w:tc>
          <w:tcPr>
            <w:tcW w:w="851"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2023.</w:t>
            </w:r>
            <w:r>
              <w:rPr>
                <w:rFonts w:hint="default"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t>2.22-2024.</w:t>
            </w:r>
            <w:r>
              <w:rPr>
                <w:rFonts w:hint="default" w:ascii="宋体" w:hAnsi="宋体" w:eastAsia="宋体" w:cs="宋体"/>
                <w:sz w:val="24"/>
                <w:szCs w:val="24"/>
                <w:highlight w:val="none"/>
                <w:lang w:val="en-US" w:eastAsia="zh-CN"/>
              </w:rPr>
              <w:t>0</w:t>
            </w:r>
            <w:r>
              <w:rPr>
                <w:rFonts w:hint="eastAsia" w:ascii="宋体" w:hAnsi="宋体" w:eastAsia="宋体" w:cs="宋体"/>
                <w:sz w:val="24"/>
                <w:szCs w:val="24"/>
                <w:highlight w:val="none"/>
                <w:lang w:val="en-US" w:eastAsia="zh-CN"/>
              </w:rPr>
              <w:t>4.09</w:t>
            </w:r>
          </w:p>
        </w:tc>
        <w:tc>
          <w:tcPr>
            <w:tcW w:w="850"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eastAsia="zh-CN"/>
              </w:rPr>
              <w:t>低风险</w:t>
            </w:r>
          </w:p>
        </w:tc>
        <w:tc>
          <w:tcPr>
            <w:tcW w:w="993"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eastAsia="zh-CN"/>
              </w:rPr>
              <w:t>保本浮动收益</w:t>
            </w:r>
          </w:p>
        </w:tc>
        <w:tc>
          <w:tcPr>
            <w:tcW w:w="992"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1.75%-2.68%</w:t>
            </w:r>
          </w:p>
        </w:tc>
        <w:tc>
          <w:tcPr>
            <w:tcW w:w="850"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eastAsia="zh-CN"/>
              </w:rPr>
              <w:t>自有资金</w:t>
            </w:r>
          </w:p>
        </w:tc>
        <w:tc>
          <w:tcPr>
            <w:tcW w:w="85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22</w:t>
            </w:r>
          </w:p>
        </w:tc>
        <w:tc>
          <w:tcPr>
            <w:tcW w:w="1275"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eastAsia="zh-CN"/>
              </w:rPr>
              <w:t>平安银行股份有限公司青岛分行麦岛路支行</w:t>
            </w:r>
          </w:p>
        </w:tc>
        <w:tc>
          <w:tcPr>
            <w:tcW w:w="1418"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平安银行对公结构性存款（100%保本挂钩黄金）</w:t>
            </w:r>
          </w:p>
        </w:tc>
        <w:tc>
          <w:tcPr>
            <w:tcW w:w="850"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4,000万</w:t>
            </w:r>
          </w:p>
        </w:tc>
        <w:tc>
          <w:tcPr>
            <w:tcW w:w="851"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eastAsia="zh-CN"/>
              </w:rPr>
              <w:t>2023.</w:t>
            </w:r>
            <w:r>
              <w:rPr>
                <w:rFonts w:hint="default"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27</w:t>
            </w:r>
            <w:r>
              <w:rPr>
                <w:rFonts w:hint="eastAsia" w:ascii="宋体" w:hAnsi="宋体" w:eastAsia="宋体" w:cs="宋体"/>
                <w:sz w:val="24"/>
                <w:szCs w:val="24"/>
                <w:highlight w:val="none"/>
                <w:lang w:eastAsia="zh-CN"/>
              </w:rPr>
              <w:t>-202</w:t>
            </w:r>
            <w:r>
              <w:rPr>
                <w:rFonts w:hint="default"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lang w:val="en-US" w:eastAsia="zh-CN"/>
              </w:rPr>
              <w:t>0</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01</w:t>
            </w:r>
          </w:p>
        </w:tc>
        <w:tc>
          <w:tcPr>
            <w:tcW w:w="850"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eastAsia="zh-CN"/>
              </w:rPr>
              <w:t>低风险</w:t>
            </w:r>
          </w:p>
        </w:tc>
        <w:tc>
          <w:tcPr>
            <w:tcW w:w="993"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eastAsia="zh-CN"/>
              </w:rPr>
              <w:t>保本浮动收益</w:t>
            </w:r>
          </w:p>
        </w:tc>
        <w:tc>
          <w:tcPr>
            <w:tcW w:w="992"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1.75%-3.1%</w:t>
            </w:r>
          </w:p>
        </w:tc>
        <w:tc>
          <w:tcPr>
            <w:tcW w:w="850"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eastAsia="zh-CN"/>
              </w:rPr>
              <w:t>自有资金</w:t>
            </w:r>
          </w:p>
        </w:tc>
        <w:tc>
          <w:tcPr>
            <w:tcW w:w="85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23</w:t>
            </w:r>
          </w:p>
        </w:tc>
        <w:tc>
          <w:tcPr>
            <w:tcW w:w="1275"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eastAsia="zh-CN"/>
              </w:rPr>
              <w:t>中国民生银行股份有限公司青岛山东路支行</w:t>
            </w:r>
          </w:p>
        </w:tc>
        <w:tc>
          <w:tcPr>
            <w:tcW w:w="1418"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聚赢股票-挂钩沪深300指数双向鲨鱼鳍结构性存款</w:t>
            </w:r>
          </w:p>
        </w:tc>
        <w:tc>
          <w:tcPr>
            <w:tcW w:w="850"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default" w:ascii="宋体" w:hAnsi="宋体" w:eastAsia="宋体" w:cs="宋体"/>
                <w:sz w:val="24"/>
                <w:szCs w:val="24"/>
                <w:highlight w:val="none"/>
                <w:lang w:val="en-US" w:eastAsia="zh-CN"/>
              </w:rPr>
              <w:t>3</w:t>
            </w:r>
            <w:r>
              <w:rPr>
                <w:rFonts w:hint="eastAsia" w:ascii="宋体" w:hAnsi="宋体" w:eastAsia="宋体" w:cs="宋体"/>
                <w:sz w:val="24"/>
                <w:szCs w:val="24"/>
                <w:highlight w:val="none"/>
                <w:lang w:val="en-US" w:eastAsia="zh-CN"/>
              </w:rPr>
              <w:t>,000万</w:t>
            </w:r>
          </w:p>
        </w:tc>
        <w:tc>
          <w:tcPr>
            <w:tcW w:w="851"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2023.</w:t>
            </w:r>
            <w:r>
              <w:rPr>
                <w:rFonts w:hint="default" w:ascii="宋体" w:hAnsi="宋体" w:eastAsia="宋体" w:cs="宋体"/>
                <w:sz w:val="24"/>
                <w:szCs w:val="24"/>
                <w:highlight w:val="none"/>
                <w:lang w:val="en-US" w:eastAsia="zh-CN"/>
              </w:rPr>
              <w:t>1</w:t>
            </w:r>
            <w:r>
              <w:rPr>
                <w:rFonts w:hint="eastAsia" w:ascii="宋体" w:hAnsi="宋体" w:eastAsia="宋体" w:cs="宋体"/>
                <w:sz w:val="24"/>
                <w:szCs w:val="24"/>
                <w:highlight w:val="none"/>
                <w:lang w:val="en-US" w:eastAsia="zh-CN"/>
              </w:rPr>
              <w:t>2.29-2024.</w:t>
            </w:r>
            <w:r>
              <w:rPr>
                <w:rFonts w:hint="default" w:ascii="宋体" w:hAnsi="宋体" w:eastAsia="宋体" w:cs="宋体"/>
                <w:sz w:val="24"/>
                <w:szCs w:val="24"/>
                <w:highlight w:val="none"/>
                <w:lang w:val="en-US" w:eastAsia="zh-CN"/>
              </w:rPr>
              <w:t>0</w:t>
            </w:r>
            <w:r>
              <w:rPr>
                <w:rFonts w:hint="eastAsia" w:ascii="宋体" w:hAnsi="宋体" w:eastAsia="宋体" w:cs="宋体"/>
                <w:sz w:val="24"/>
                <w:szCs w:val="24"/>
                <w:highlight w:val="none"/>
                <w:lang w:val="en-US" w:eastAsia="zh-CN"/>
              </w:rPr>
              <w:t>3.29</w:t>
            </w:r>
          </w:p>
        </w:tc>
        <w:tc>
          <w:tcPr>
            <w:tcW w:w="850"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eastAsia="zh-CN"/>
              </w:rPr>
              <w:t>低风险</w:t>
            </w:r>
          </w:p>
        </w:tc>
        <w:tc>
          <w:tcPr>
            <w:tcW w:w="993"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eastAsia="zh-CN"/>
              </w:rPr>
              <w:t>保本浮动收益</w:t>
            </w:r>
          </w:p>
        </w:tc>
        <w:tc>
          <w:tcPr>
            <w:tcW w:w="992"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1.5%-2.65%</w:t>
            </w:r>
          </w:p>
        </w:tc>
        <w:tc>
          <w:tcPr>
            <w:tcW w:w="850"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eastAsia="zh-CN"/>
              </w:rPr>
              <w:t>自有资金</w:t>
            </w:r>
          </w:p>
        </w:tc>
        <w:tc>
          <w:tcPr>
            <w:tcW w:w="85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24</w:t>
            </w:r>
          </w:p>
        </w:tc>
        <w:tc>
          <w:tcPr>
            <w:tcW w:w="1275"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eastAsia="zh-CN"/>
              </w:rPr>
              <w:t>中信银行城阳支行</w:t>
            </w:r>
          </w:p>
        </w:tc>
        <w:tc>
          <w:tcPr>
            <w:tcW w:w="1418"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共赢慧信汇率挂钩人民币结构性存款01288期</w:t>
            </w:r>
          </w:p>
        </w:tc>
        <w:tc>
          <w:tcPr>
            <w:tcW w:w="850"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2</w:t>
            </w: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000万</w:t>
            </w:r>
          </w:p>
        </w:tc>
        <w:tc>
          <w:tcPr>
            <w:tcW w:w="851"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2023.12.30-2024.03.29</w:t>
            </w:r>
          </w:p>
        </w:tc>
        <w:tc>
          <w:tcPr>
            <w:tcW w:w="850"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eastAsia="zh-CN"/>
              </w:rPr>
              <w:t>低风险</w:t>
            </w:r>
          </w:p>
        </w:tc>
        <w:tc>
          <w:tcPr>
            <w:tcW w:w="993"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eastAsia="zh-CN"/>
              </w:rPr>
              <w:t>保本浮动收益</w:t>
            </w:r>
          </w:p>
        </w:tc>
        <w:tc>
          <w:tcPr>
            <w:tcW w:w="992"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1.05%-2.55%</w:t>
            </w:r>
          </w:p>
        </w:tc>
        <w:tc>
          <w:tcPr>
            <w:tcW w:w="850"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eastAsia="zh-CN"/>
              </w:rPr>
              <w:t>自有资金</w:t>
            </w:r>
          </w:p>
        </w:tc>
        <w:tc>
          <w:tcPr>
            <w:tcW w:w="85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trPr>
        <w:tc>
          <w:tcPr>
            <w:tcW w:w="534" w:type="dxa"/>
            <w:noWrap w:val="0"/>
            <w:vAlign w:val="center"/>
          </w:tcPr>
          <w:p>
            <w:pPr>
              <w:wordWrap w:val="0"/>
              <w:spacing w:after="0"/>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25</w:t>
            </w:r>
          </w:p>
        </w:tc>
        <w:tc>
          <w:tcPr>
            <w:tcW w:w="1275"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招商银行城阳支行</w:t>
            </w:r>
          </w:p>
        </w:tc>
        <w:tc>
          <w:tcPr>
            <w:tcW w:w="1418"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招商银行点金系列看涨两层区间91天结构性存款</w:t>
            </w:r>
          </w:p>
        </w:tc>
        <w:tc>
          <w:tcPr>
            <w:tcW w:w="850"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4,000万</w:t>
            </w:r>
          </w:p>
        </w:tc>
        <w:tc>
          <w:tcPr>
            <w:tcW w:w="851"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2023.12.26-2024.03.26</w:t>
            </w:r>
          </w:p>
        </w:tc>
        <w:tc>
          <w:tcPr>
            <w:tcW w:w="850"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eastAsia="zh-CN"/>
              </w:rPr>
              <w:t>低风险</w:t>
            </w:r>
          </w:p>
        </w:tc>
        <w:tc>
          <w:tcPr>
            <w:tcW w:w="993"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eastAsia="zh-CN"/>
              </w:rPr>
              <w:t>保本浮动收益</w:t>
            </w:r>
          </w:p>
        </w:tc>
        <w:tc>
          <w:tcPr>
            <w:tcW w:w="992"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rPr>
              <w:t>1.65%-2.5%</w:t>
            </w:r>
          </w:p>
        </w:tc>
        <w:tc>
          <w:tcPr>
            <w:tcW w:w="850" w:type="dxa"/>
            <w:noWrap w:val="0"/>
            <w:vAlign w:val="center"/>
          </w:tcPr>
          <w:p>
            <w:pPr>
              <w:wordWrap w:val="0"/>
              <w:spacing w:after="0"/>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eastAsia="zh-CN"/>
              </w:rPr>
              <w:t>自有资金</w:t>
            </w:r>
          </w:p>
        </w:tc>
        <w:tc>
          <w:tcPr>
            <w:tcW w:w="850" w:type="dxa"/>
            <w:noWrap w:val="0"/>
            <w:vAlign w:val="center"/>
          </w:tcPr>
          <w:p>
            <w:pPr>
              <w:wordWrap w:val="0"/>
              <w:spacing w:after="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否</w:t>
            </w:r>
          </w:p>
        </w:tc>
      </w:tr>
    </w:tbl>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截至本公告日，已到期的理财产品的本金及收益均已如期收回。公司累计使用闲置自有资金购买理财产品的未到期余额为人民币</w:t>
      </w:r>
      <w:r>
        <w:rPr>
          <w:rFonts w:hint="default" w:ascii="宋体" w:hAnsi="宋体" w:eastAsia="宋体" w:cs="宋体"/>
          <w:sz w:val="24"/>
          <w:szCs w:val="24"/>
          <w:highlight w:val="none"/>
          <w:lang w:val="en-US" w:eastAsia="zh-CN"/>
        </w:rPr>
        <w:t>2</w:t>
      </w:r>
      <w:r>
        <w:rPr>
          <w:rFonts w:hint="eastAsia" w:ascii="宋体" w:hAnsi="宋体" w:eastAsia="宋体" w:cs="宋体"/>
          <w:sz w:val="24"/>
          <w:szCs w:val="24"/>
          <w:highlight w:val="none"/>
          <w:lang w:val="en-US" w:eastAsia="zh-CN"/>
        </w:rPr>
        <w:t>6，60</w:t>
      </w:r>
      <w:r>
        <w:rPr>
          <w:rFonts w:hint="eastAsia" w:ascii="宋体" w:hAnsi="宋体" w:eastAsia="宋体" w:cs="宋体"/>
          <w:sz w:val="24"/>
          <w:szCs w:val="24"/>
          <w:highlight w:val="none"/>
        </w:rPr>
        <w:t>0万元（含本次</w:t>
      </w:r>
      <w:r>
        <w:rPr>
          <w:rFonts w:hint="eastAsia" w:ascii="宋体" w:hAnsi="宋体" w:eastAsia="宋体" w:cs="宋体"/>
          <w:sz w:val="24"/>
          <w:szCs w:val="24"/>
          <w:highlight w:val="none"/>
          <w:lang w:eastAsia="zh-CN"/>
        </w:rPr>
        <w:t>购买</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10,60</w:t>
      </w:r>
      <w:r>
        <w:rPr>
          <w:rFonts w:hint="eastAsia" w:ascii="宋体" w:hAnsi="宋体" w:eastAsia="宋体" w:cs="宋体"/>
          <w:sz w:val="24"/>
          <w:szCs w:val="24"/>
          <w:highlight w:val="none"/>
        </w:rPr>
        <w:t>0万元），上述未到期余额未超过公司董事会授权购买理财产品的额度范围。</w:t>
      </w:r>
    </w:p>
    <w:p>
      <w:pPr>
        <w:adjustRightInd/>
        <w:snapToGrid/>
        <w:spacing w:before="180" w:beforeLines="50" w:after="180" w:afterLines="50" w:line="360" w:lineRule="auto"/>
        <w:ind w:firstLine="482" w:firstLineChars="200"/>
        <w:jc w:val="both"/>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七</w:t>
      </w:r>
      <w:r>
        <w:rPr>
          <w:rFonts w:hint="eastAsia" w:ascii="宋体" w:hAnsi="宋体" w:eastAsia="宋体" w:cs="宋体"/>
          <w:b/>
          <w:bCs/>
          <w:sz w:val="24"/>
          <w:szCs w:val="24"/>
          <w:highlight w:val="none"/>
        </w:rPr>
        <w:t>、备查文件</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1.相关理财产品的银行回单。</w:t>
      </w:r>
    </w:p>
    <w:p>
      <w:pPr>
        <w:adjustRightInd/>
        <w:snapToGrid/>
        <w:spacing w:before="180" w:beforeLines="50" w:after="180" w:afterLines="50" w:line="360" w:lineRule="auto"/>
        <w:ind w:firstLine="480" w:firstLineChars="200"/>
        <w:jc w:val="both"/>
        <w:rPr>
          <w:rFonts w:hint="eastAsia" w:ascii="宋体" w:hAnsi="宋体" w:eastAsia="宋体" w:cs="宋体"/>
          <w:sz w:val="24"/>
          <w:szCs w:val="24"/>
          <w:highlight w:val="none"/>
        </w:rPr>
      </w:pPr>
      <w:r>
        <w:rPr>
          <w:rFonts w:hint="eastAsia" w:ascii="宋体" w:hAnsi="宋体" w:eastAsia="宋体" w:cs="宋体"/>
          <w:sz w:val="24"/>
          <w:szCs w:val="24"/>
          <w:highlight w:val="none"/>
        </w:rPr>
        <w:t>特此公告。</w:t>
      </w:r>
    </w:p>
    <w:p>
      <w:pPr>
        <w:adjustRightInd/>
        <w:snapToGrid/>
        <w:spacing w:before="180" w:beforeLines="50" w:after="180" w:afterLines="50" w:line="360" w:lineRule="auto"/>
        <w:ind w:firstLine="480" w:firstLineChars="2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青岛伟隆阀门股份有限公司董事会</w:t>
      </w:r>
    </w:p>
    <w:p>
      <w:pPr>
        <w:wordWrap w:val="0"/>
        <w:adjustRightInd/>
        <w:snapToGrid/>
        <w:spacing w:before="180" w:beforeLines="50" w:after="180" w:afterLines="50" w:line="360" w:lineRule="auto"/>
        <w:ind w:firstLine="480" w:firstLineChars="2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年</w:t>
      </w:r>
      <w:r>
        <w:rPr>
          <w:rFonts w:hint="eastAsia" w:ascii="宋体" w:hAnsi="宋体" w:eastAsia="宋体" w:cs="宋体"/>
          <w:sz w:val="24"/>
          <w:szCs w:val="24"/>
          <w:highlight w:val="none"/>
          <w:lang w:val="en-US" w:eastAsia="zh-CN"/>
        </w:rPr>
        <w:t>02</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03</w:t>
      </w:r>
      <w:r>
        <w:rPr>
          <w:rFonts w:hint="eastAsia" w:ascii="宋体" w:hAnsi="宋体" w:eastAsia="宋体" w:cs="宋体"/>
          <w:sz w:val="24"/>
          <w:szCs w:val="24"/>
          <w:highlight w:val="none"/>
        </w:rPr>
        <w:t xml:space="preserve">日    </w:t>
      </w:r>
    </w:p>
    <w:p/>
    <w:sectPr>
      <w:pgSz w:w="11906" w:h="16838"/>
      <w:pgMar w:top="1440" w:right="1800" w:bottom="1440" w:left="1800" w:header="708" w:footer="708"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BFAC99"/>
    <w:multiLevelType w:val="singleLevel"/>
    <w:tmpl w:val="F1BFAC9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iYWIwNzkzYTg0MzhhYmIxYTgwNmNhNDYxODQzNjMifQ=="/>
  </w:docVars>
  <w:rsids>
    <w:rsidRoot w:val="00000000"/>
    <w:rsid w:val="020E5D76"/>
    <w:rsid w:val="030D2310"/>
    <w:rsid w:val="04085804"/>
    <w:rsid w:val="04630ECF"/>
    <w:rsid w:val="06934B21"/>
    <w:rsid w:val="09BE388F"/>
    <w:rsid w:val="0B31363F"/>
    <w:rsid w:val="0C224F37"/>
    <w:rsid w:val="0C973821"/>
    <w:rsid w:val="0E226E97"/>
    <w:rsid w:val="1A970ED2"/>
    <w:rsid w:val="20253E8D"/>
    <w:rsid w:val="223D7047"/>
    <w:rsid w:val="23896917"/>
    <w:rsid w:val="26FF0F60"/>
    <w:rsid w:val="2D2D6C67"/>
    <w:rsid w:val="30E22CDA"/>
    <w:rsid w:val="32036EEC"/>
    <w:rsid w:val="33843679"/>
    <w:rsid w:val="34427DA2"/>
    <w:rsid w:val="36711163"/>
    <w:rsid w:val="3B5265EE"/>
    <w:rsid w:val="3C2A75AD"/>
    <w:rsid w:val="3DFE049F"/>
    <w:rsid w:val="3FD96707"/>
    <w:rsid w:val="406D4DCA"/>
    <w:rsid w:val="42E421CA"/>
    <w:rsid w:val="45667082"/>
    <w:rsid w:val="47963DF0"/>
    <w:rsid w:val="489D5DC1"/>
    <w:rsid w:val="48F30C2D"/>
    <w:rsid w:val="4A2A7350"/>
    <w:rsid w:val="4AB96236"/>
    <w:rsid w:val="4DDD3780"/>
    <w:rsid w:val="4E7021F1"/>
    <w:rsid w:val="53EF3B58"/>
    <w:rsid w:val="57A924EB"/>
    <w:rsid w:val="58962C9C"/>
    <w:rsid w:val="5B1D1E49"/>
    <w:rsid w:val="5CB5471F"/>
    <w:rsid w:val="60691254"/>
    <w:rsid w:val="65D63C2A"/>
    <w:rsid w:val="6B162806"/>
    <w:rsid w:val="6B220974"/>
    <w:rsid w:val="7078380A"/>
    <w:rsid w:val="714D3D36"/>
    <w:rsid w:val="7A1D2938"/>
    <w:rsid w:val="7D836CC1"/>
    <w:rsid w:val="7EBB2F66"/>
    <w:rsid w:val="7EFC6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imes New Roman"/>
      <w:sz w:val="22"/>
      <w:szCs w:val="22"/>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2023-09-08T08:42:00Z</dcterms:created>
  <dc:creator>Administrator.WINMICR-GFJCHI7</dc:creator>
  <cp:lastModifiedBy>Mr.翔</cp:lastModifiedBy>
  <dcterms:modified xsi:type="dcterms:W3CDTF">2024-02-02T05:47:10Z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08E690DA0DB24DE1B8D4A68B78F89895_13</vt:lpwstr>
  </property>
</Properties>
</file>