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6EAD" w14:textId="77777777" w:rsidR="00E173A4" w:rsidRDefault="00E173A4">
      <w:pPr>
        <w:pStyle w:val="001"/>
        <w:spacing w:before="120" w:after="120"/>
        <w:outlineLvl w:val="9"/>
        <w:rPr>
          <w:b w:val="0"/>
          <w:sz w:val="28"/>
          <w:szCs w:val="44"/>
        </w:rPr>
      </w:pPr>
    </w:p>
    <w:p w14:paraId="0915C5D5" w14:textId="77777777" w:rsidR="00E173A4" w:rsidRDefault="00E173A4">
      <w:pPr>
        <w:pStyle w:val="ad"/>
        <w:spacing w:beforeLines="100" w:before="240" w:afterLines="100" w:after="240" w:line="480" w:lineRule="auto"/>
        <w:rPr>
          <w:rFonts w:ascii="Times New Roman" w:hAnsi="Times New Roman"/>
          <w:b/>
          <w:sz w:val="28"/>
          <w:szCs w:val="44"/>
        </w:rPr>
      </w:pPr>
    </w:p>
    <w:p w14:paraId="2353394C" w14:textId="77777777" w:rsidR="00E173A4" w:rsidRDefault="00E173A4">
      <w:pPr>
        <w:autoSpaceDE w:val="0"/>
        <w:autoSpaceDN w:val="0"/>
        <w:adjustRightInd w:val="0"/>
        <w:spacing w:beforeLines="50" w:before="120" w:afterLines="50" w:after="120" w:line="360" w:lineRule="auto"/>
        <w:jc w:val="center"/>
        <w:rPr>
          <w:rFonts w:ascii="Times New Roman" w:eastAsia="黑体" w:hAnsi="Times New Roman" w:cs="Times New Roman"/>
          <w:b/>
          <w:kern w:val="0"/>
          <w:sz w:val="44"/>
          <w:szCs w:val="48"/>
        </w:rPr>
      </w:pPr>
      <w:r>
        <w:rPr>
          <w:rFonts w:ascii="Times New Roman" w:eastAsia="黑体" w:hAnsi="Times New Roman" w:cs="Times New Roman"/>
          <w:b/>
          <w:kern w:val="0"/>
          <w:sz w:val="44"/>
          <w:szCs w:val="48"/>
        </w:rPr>
        <w:t>中信证券股份有限公司</w:t>
      </w:r>
    </w:p>
    <w:p w14:paraId="4AC9E5EF" w14:textId="77777777" w:rsidR="00E173A4" w:rsidRDefault="00E173A4">
      <w:pPr>
        <w:autoSpaceDE w:val="0"/>
        <w:autoSpaceDN w:val="0"/>
        <w:adjustRightInd w:val="0"/>
        <w:spacing w:beforeLines="50" w:before="120" w:afterLines="50" w:after="120" w:line="360" w:lineRule="auto"/>
        <w:jc w:val="center"/>
        <w:rPr>
          <w:rFonts w:ascii="Times New Roman" w:eastAsia="黑体" w:hAnsi="Times New Roman" w:cs="Times New Roman"/>
          <w:b/>
          <w:kern w:val="0"/>
          <w:sz w:val="44"/>
          <w:szCs w:val="48"/>
        </w:rPr>
      </w:pPr>
      <w:r>
        <w:rPr>
          <w:rFonts w:ascii="Times New Roman" w:eastAsia="黑体" w:hAnsi="Times New Roman" w:cs="Times New Roman"/>
          <w:b/>
          <w:kern w:val="0"/>
          <w:sz w:val="44"/>
          <w:szCs w:val="48"/>
        </w:rPr>
        <w:t>关于</w:t>
      </w:r>
    </w:p>
    <w:p w14:paraId="3E86ED0C" w14:textId="77777777" w:rsidR="00E173A4" w:rsidRDefault="00E173A4">
      <w:pPr>
        <w:autoSpaceDE w:val="0"/>
        <w:autoSpaceDN w:val="0"/>
        <w:adjustRightInd w:val="0"/>
        <w:spacing w:beforeLines="50" w:before="120" w:afterLines="50" w:after="120" w:line="360" w:lineRule="auto"/>
        <w:jc w:val="center"/>
        <w:rPr>
          <w:rFonts w:ascii="Times New Roman" w:eastAsia="黑体" w:hAnsi="Times New Roman" w:cs="Times New Roman"/>
          <w:b/>
          <w:kern w:val="0"/>
          <w:sz w:val="44"/>
          <w:szCs w:val="48"/>
        </w:rPr>
      </w:pPr>
      <w:r>
        <w:rPr>
          <w:rFonts w:ascii="Times New Roman" w:eastAsia="黑体" w:hAnsi="Times New Roman" w:cs="Times New Roman"/>
          <w:b/>
          <w:kern w:val="0"/>
          <w:sz w:val="44"/>
          <w:szCs w:val="48"/>
        </w:rPr>
        <w:t>青岛伟隆阀门股份有限公司</w:t>
      </w:r>
    </w:p>
    <w:p w14:paraId="5940BC6D" w14:textId="77777777" w:rsidR="00E173A4" w:rsidRDefault="00E173A4">
      <w:pPr>
        <w:autoSpaceDE w:val="0"/>
        <w:autoSpaceDN w:val="0"/>
        <w:adjustRightInd w:val="0"/>
        <w:spacing w:beforeLines="50" w:before="120" w:afterLines="50" w:after="120" w:line="360" w:lineRule="auto"/>
        <w:jc w:val="center"/>
        <w:rPr>
          <w:rFonts w:ascii="Times New Roman" w:eastAsia="黑体" w:hAnsi="Times New Roman" w:cs="Times New Roman"/>
          <w:b/>
          <w:kern w:val="0"/>
          <w:sz w:val="44"/>
          <w:szCs w:val="48"/>
        </w:rPr>
      </w:pPr>
      <w:r>
        <w:rPr>
          <w:rFonts w:ascii="Times New Roman" w:eastAsia="黑体" w:hAnsi="Times New Roman" w:cs="Times New Roman"/>
          <w:b/>
          <w:kern w:val="0"/>
          <w:sz w:val="44"/>
          <w:szCs w:val="48"/>
        </w:rPr>
        <w:t>向不特定对象发行可转换公司债券</w:t>
      </w:r>
    </w:p>
    <w:p w14:paraId="23897DFC" w14:textId="77777777" w:rsidR="00E173A4" w:rsidRDefault="00E173A4">
      <w:pPr>
        <w:autoSpaceDE w:val="0"/>
        <w:autoSpaceDN w:val="0"/>
        <w:adjustRightInd w:val="0"/>
        <w:spacing w:beforeLines="50" w:before="120" w:afterLines="50" w:after="120" w:line="360" w:lineRule="auto"/>
        <w:jc w:val="center"/>
        <w:rPr>
          <w:rFonts w:ascii="Times New Roman" w:eastAsia="黑体" w:hAnsi="Times New Roman" w:cs="Times New Roman"/>
          <w:b/>
          <w:kern w:val="0"/>
          <w:sz w:val="44"/>
          <w:szCs w:val="48"/>
        </w:rPr>
      </w:pPr>
      <w:r>
        <w:rPr>
          <w:rFonts w:ascii="Times New Roman" w:eastAsia="黑体" w:hAnsi="Times New Roman" w:cs="Times New Roman"/>
          <w:b/>
          <w:kern w:val="0"/>
          <w:sz w:val="44"/>
          <w:szCs w:val="48"/>
        </w:rPr>
        <w:t>之</w:t>
      </w:r>
    </w:p>
    <w:p w14:paraId="6CB304F6" w14:textId="77777777" w:rsidR="00E173A4" w:rsidRDefault="00E173A4">
      <w:pPr>
        <w:autoSpaceDE w:val="0"/>
        <w:autoSpaceDN w:val="0"/>
        <w:adjustRightInd w:val="0"/>
        <w:spacing w:beforeLines="50" w:before="120" w:afterLines="50" w:after="120" w:line="360" w:lineRule="auto"/>
        <w:jc w:val="center"/>
        <w:rPr>
          <w:rFonts w:ascii="Times New Roman" w:eastAsia="黑体" w:hAnsi="Times New Roman" w:cs="Times New Roman"/>
          <w:b/>
          <w:kern w:val="0"/>
          <w:sz w:val="44"/>
          <w:szCs w:val="48"/>
        </w:rPr>
      </w:pPr>
      <w:r>
        <w:rPr>
          <w:rFonts w:ascii="Times New Roman" w:eastAsia="黑体" w:hAnsi="Times New Roman" w:cs="Times New Roman"/>
          <w:b/>
          <w:kern w:val="0"/>
          <w:sz w:val="44"/>
          <w:szCs w:val="48"/>
        </w:rPr>
        <w:t>发行保荐书</w:t>
      </w:r>
    </w:p>
    <w:p w14:paraId="2AD23818" w14:textId="77777777" w:rsidR="00E173A4" w:rsidRDefault="00E173A4">
      <w:pPr>
        <w:pStyle w:val="ad"/>
        <w:spacing w:beforeLines="100" w:before="240" w:line="360" w:lineRule="auto"/>
        <w:rPr>
          <w:rFonts w:ascii="Times New Roman" w:hAnsi="Times New Roman"/>
          <w:lang w:val="en-US" w:eastAsia="zh-CN"/>
        </w:rPr>
      </w:pPr>
    </w:p>
    <w:p w14:paraId="5DBECBC1" w14:textId="77777777" w:rsidR="00E173A4" w:rsidRDefault="00E173A4">
      <w:pPr>
        <w:pStyle w:val="ad"/>
        <w:spacing w:beforeLines="100" w:before="240" w:line="360" w:lineRule="auto"/>
        <w:rPr>
          <w:rFonts w:ascii="Times New Roman" w:hAnsi="Times New Roman"/>
          <w:lang w:val="en-US" w:eastAsia="zh-CN"/>
        </w:rPr>
      </w:pPr>
    </w:p>
    <w:p w14:paraId="7B9B9F8C" w14:textId="77777777" w:rsidR="00E173A4" w:rsidRDefault="00E173A4">
      <w:pPr>
        <w:pStyle w:val="ad"/>
        <w:spacing w:beforeLines="100" w:before="240" w:line="360" w:lineRule="auto"/>
        <w:rPr>
          <w:rFonts w:ascii="Times New Roman" w:hAnsi="Times New Roman"/>
          <w:lang w:val="en-US" w:eastAsia="zh-CN"/>
        </w:rPr>
      </w:pPr>
    </w:p>
    <w:p w14:paraId="1C44C867" w14:textId="77777777" w:rsidR="00E173A4" w:rsidRDefault="00E173A4">
      <w:pPr>
        <w:pStyle w:val="ad"/>
        <w:spacing w:beforeLines="100" w:before="240" w:line="360" w:lineRule="auto"/>
        <w:rPr>
          <w:rFonts w:ascii="Times New Roman" w:hAnsi="Times New Roman"/>
          <w:lang w:val="en-US" w:eastAsia="zh-CN"/>
        </w:rPr>
      </w:pPr>
    </w:p>
    <w:p w14:paraId="15C8EBB7" w14:textId="77777777" w:rsidR="00E173A4" w:rsidRDefault="00E173A4">
      <w:pPr>
        <w:pStyle w:val="ad"/>
        <w:spacing w:beforeLines="100" w:before="240" w:line="360" w:lineRule="auto"/>
        <w:rPr>
          <w:rFonts w:ascii="Times New Roman" w:hAnsi="Times New Roman"/>
          <w:lang w:val="en-US" w:eastAsia="zh-CN"/>
        </w:rPr>
      </w:pPr>
    </w:p>
    <w:p w14:paraId="58078C38" w14:textId="77777777" w:rsidR="00E173A4" w:rsidRDefault="00E173A4">
      <w:pPr>
        <w:tabs>
          <w:tab w:val="left" w:pos="1870"/>
        </w:tabs>
        <w:spacing w:line="360" w:lineRule="auto"/>
        <w:jc w:val="center"/>
        <w:rPr>
          <w:rFonts w:ascii="Times New Roman" w:eastAsia="黑体" w:hAnsi="Times New Roman" w:cs="Times New Roman"/>
          <w:sz w:val="28"/>
          <w:szCs w:val="28"/>
        </w:rPr>
      </w:pPr>
      <w:bookmarkStart w:id="0" w:name="_Hlk100225536"/>
      <w:r>
        <w:rPr>
          <w:rFonts w:ascii="Times New Roman" w:eastAsia="黑体" w:hAnsi="Times New Roman" w:cs="Times New Roman"/>
          <w:sz w:val="28"/>
          <w:szCs w:val="28"/>
        </w:rPr>
        <w:t>保荐机构（主承销商）</w:t>
      </w:r>
    </w:p>
    <w:p w14:paraId="349B17C9" w14:textId="7A46C4A3" w:rsidR="00E173A4" w:rsidRDefault="005D54F8">
      <w:pPr>
        <w:pStyle w:val="ad"/>
        <w:spacing w:beforeLines="50" w:before="120" w:line="360" w:lineRule="auto"/>
        <w:rPr>
          <w:rFonts w:ascii="Times New Roman" w:hAnsi="Times New Roman"/>
          <w:sz w:val="44"/>
          <w:szCs w:val="44"/>
        </w:rPr>
      </w:pPr>
      <w:r>
        <w:rPr>
          <w:rFonts w:ascii="Times New Roman" w:hAnsi="Times New Roman"/>
          <w:noProof/>
          <w:lang w:val="en-US" w:eastAsia="zh-CN"/>
        </w:rPr>
        <w:drawing>
          <wp:inline distT="0" distB="0" distL="0" distR="0" wp14:anchorId="18D21FA4" wp14:editId="46DAEE84">
            <wp:extent cx="2632075" cy="429260"/>
            <wp:effectExtent l="0" t="0" r="0" b="0"/>
            <wp:docPr id="1" name="内容占位符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内容占位符 3"/>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2075" cy="429260"/>
                    </a:xfrm>
                    <a:prstGeom prst="rect">
                      <a:avLst/>
                    </a:prstGeom>
                    <a:noFill/>
                    <a:ln>
                      <a:noFill/>
                    </a:ln>
                  </pic:spPr>
                </pic:pic>
              </a:graphicData>
            </a:graphic>
          </wp:inline>
        </w:drawing>
      </w:r>
    </w:p>
    <w:p w14:paraId="3CEC52E3" w14:textId="77777777" w:rsidR="00E173A4" w:rsidRDefault="00E173A4">
      <w:pPr>
        <w:tabs>
          <w:tab w:val="left" w:pos="1870"/>
        </w:tabs>
        <w:spacing w:line="360" w:lineRule="auto"/>
        <w:jc w:val="center"/>
        <w:rPr>
          <w:rFonts w:ascii="Times New Roman" w:eastAsia="黑体" w:hAnsi="Times New Roman" w:cs="Times New Roman"/>
          <w:sz w:val="28"/>
          <w:szCs w:val="28"/>
        </w:rPr>
      </w:pPr>
      <w:r>
        <w:rPr>
          <w:rFonts w:ascii="Times New Roman" w:eastAsia="黑体" w:hAnsi="Times New Roman" w:cs="Times New Roman"/>
          <w:sz w:val="28"/>
          <w:szCs w:val="28"/>
        </w:rPr>
        <w:t>广东省深圳市福田区中心三路</w:t>
      </w:r>
      <w:r>
        <w:rPr>
          <w:rFonts w:ascii="Times New Roman" w:eastAsia="黑体" w:hAnsi="Times New Roman" w:cs="Times New Roman"/>
          <w:sz w:val="28"/>
          <w:szCs w:val="28"/>
        </w:rPr>
        <w:t>8</w:t>
      </w:r>
      <w:r>
        <w:rPr>
          <w:rFonts w:ascii="Times New Roman" w:eastAsia="黑体" w:hAnsi="Times New Roman" w:cs="Times New Roman"/>
          <w:sz w:val="28"/>
          <w:szCs w:val="28"/>
        </w:rPr>
        <w:t>号卓越时代广场（二期）北座</w:t>
      </w:r>
    </w:p>
    <w:p w14:paraId="51349246" w14:textId="77777777" w:rsidR="00E173A4" w:rsidRPr="003569FB" w:rsidRDefault="00E173A4">
      <w:pPr>
        <w:pStyle w:val="ad"/>
        <w:spacing w:line="360" w:lineRule="auto"/>
        <w:rPr>
          <w:rFonts w:ascii="楷体" w:eastAsia="楷体" w:hAnsi="楷体"/>
          <w:b/>
          <w:bCs/>
          <w:kern w:val="2"/>
          <w:szCs w:val="24"/>
        </w:rPr>
      </w:pPr>
      <w:r w:rsidRPr="003569FB">
        <w:rPr>
          <w:rFonts w:ascii="楷体" w:eastAsia="楷体" w:hAnsi="楷体"/>
          <w:b/>
          <w:bCs/>
          <w:kern w:val="2"/>
          <w:sz w:val="28"/>
          <w:szCs w:val="28"/>
        </w:rPr>
        <w:t>二〇二</w:t>
      </w:r>
      <w:r w:rsidRPr="003569FB">
        <w:rPr>
          <w:rFonts w:ascii="楷体" w:eastAsia="楷体" w:hAnsi="楷体" w:hint="eastAsia"/>
          <w:b/>
          <w:bCs/>
          <w:kern w:val="2"/>
          <w:sz w:val="28"/>
          <w:szCs w:val="28"/>
        </w:rPr>
        <w:t>四</w:t>
      </w:r>
      <w:r w:rsidRPr="003569FB">
        <w:rPr>
          <w:rFonts w:ascii="楷体" w:eastAsia="楷体" w:hAnsi="楷体"/>
          <w:b/>
          <w:bCs/>
          <w:kern w:val="2"/>
          <w:sz w:val="28"/>
          <w:szCs w:val="28"/>
        </w:rPr>
        <w:t>年</w:t>
      </w:r>
      <w:r w:rsidRPr="003569FB">
        <w:rPr>
          <w:rFonts w:ascii="楷体" w:eastAsia="楷体" w:hAnsi="楷体" w:hint="eastAsia"/>
          <w:b/>
          <w:bCs/>
          <w:kern w:val="2"/>
          <w:sz w:val="28"/>
          <w:szCs w:val="28"/>
        </w:rPr>
        <w:t>一</w:t>
      </w:r>
      <w:r w:rsidRPr="003569FB">
        <w:rPr>
          <w:rFonts w:ascii="楷体" w:eastAsia="楷体" w:hAnsi="楷体"/>
          <w:b/>
          <w:bCs/>
          <w:kern w:val="2"/>
          <w:sz w:val="28"/>
          <w:szCs w:val="28"/>
        </w:rPr>
        <w:t>月</w:t>
      </w:r>
    </w:p>
    <w:p w14:paraId="68DC7007" w14:textId="77777777" w:rsidR="00E173A4" w:rsidRDefault="00E173A4">
      <w:pPr>
        <w:spacing w:line="360" w:lineRule="auto"/>
        <w:jc w:val="center"/>
        <w:rPr>
          <w:rFonts w:ascii="Times New Roman" w:hAnsi="Times New Roman" w:cs="Times New Roman"/>
          <w:b/>
          <w:sz w:val="32"/>
          <w:szCs w:val="32"/>
        </w:rPr>
        <w:sectPr w:rsidR="00E173A4">
          <w:headerReference w:type="default" r:id="rId9"/>
          <w:footerReference w:type="even" r:id="rId10"/>
          <w:headerReference w:type="first" r:id="rId11"/>
          <w:pgSz w:w="11906" w:h="16838"/>
          <w:pgMar w:top="1440" w:right="1797" w:bottom="1440" w:left="1797" w:header="851" w:footer="992" w:gutter="0"/>
          <w:pgNumType w:start="1"/>
          <w:cols w:space="720"/>
          <w:docGrid w:linePitch="312"/>
        </w:sectPr>
      </w:pPr>
    </w:p>
    <w:p w14:paraId="6BC2AC42" w14:textId="77777777" w:rsidR="00E173A4" w:rsidRDefault="00E173A4">
      <w:pPr>
        <w:pStyle w:val="001"/>
        <w:spacing w:before="120" w:after="120"/>
      </w:pPr>
      <w:bookmarkStart w:id="1" w:name="_Toc23595198"/>
      <w:bookmarkStart w:id="2" w:name="_Toc407021645"/>
      <w:bookmarkStart w:id="3" w:name="_Toc152320927"/>
      <w:bookmarkStart w:id="4" w:name="_Toc87299681"/>
      <w:bookmarkStart w:id="5" w:name="_Toc534377265"/>
      <w:bookmarkEnd w:id="0"/>
      <w:r>
        <w:lastRenderedPageBreak/>
        <w:t>声</w:t>
      </w:r>
      <w:r>
        <w:t xml:space="preserve">  </w:t>
      </w:r>
      <w:r>
        <w:t>明</w:t>
      </w:r>
      <w:bookmarkEnd w:id="1"/>
      <w:bookmarkEnd w:id="2"/>
      <w:bookmarkEnd w:id="3"/>
      <w:bookmarkEnd w:id="4"/>
      <w:bookmarkEnd w:id="5"/>
    </w:p>
    <w:p w14:paraId="26575983" w14:textId="77777777" w:rsidR="00E173A4" w:rsidRDefault="00E173A4">
      <w:pPr>
        <w:pStyle w:val="005"/>
        <w:spacing w:before="120"/>
        <w:ind w:firstLine="480"/>
      </w:pPr>
      <w:r>
        <w:t>中信证券股份有限公司（以下简称</w:t>
      </w:r>
      <w:r>
        <w:rPr>
          <w:rFonts w:ascii="宋体" w:hAnsi="宋体"/>
        </w:rPr>
        <w:t>“</w:t>
      </w:r>
      <w:r>
        <w:t>中信证券</w:t>
      </w:r>
      <w:r>
        <w:rPr>
          <w:rFonts w:ascii="宋体" w:hAnsi="宋体"/>
        </w:rPr>
        <w:t>”“</w:t>
      </w:r>
      <w:r>
        <w:t>保荐人</w:t>
      </w:r>
      <w:r>
        <w:rPr>
          <w:rFonts w:ascii="宋体" w:hAnsi="宋体"/>
        </w:rPr>
        <w:t>”</w:t>
      </w:r>
      <w:r>
        <w:t>或</w:t>
      </w:r>
      <w:r>
        <w:rPr>
          <w:rFonts w:ascii="宋体" w:hAnsi="宋体"/>
        </w:rPr>
        <w:t>“</w:t>
      </w:r>
      <w:r>
        <w:t>保荐机构</w:t>
      </w:r>
      <w:r>
        <w:rPr>
          <w:rFonts w:ascii="宋体" w:hAnsi="宋体"/>
        </w:rPr>
        <w:t>”</w:t>
      </w:r>
      <w:r>
        <w:t>）接受青岛伟隆阀门股份有限公司（以下简称</w:t>
      </w:r>
      <w:r>
        <w:rPr>
          <w:rFonts w:ascii="宋体" w:hAnsi="宋体"/>
        </w:rPr>
        <w:t>“</w:t>
      </w:r>
      <w:r>
        <w:t>伟隆股份</w:t>
      </w:r>
      <w:r>
        <w:rPr>
          <w:rFonts w:ascii="宋体" w:hAnsi="宋体"/>
        </w:rPr>
        <w:t>”“</w:t>
      </w:r>
      <w:r>
        <w:t>发行人</w:t>
      </w:r>
      <w:r>
        <w:rPr>
          <w:rFonts w:ascii="宋体" w:hAnsi="宋体"/>
        </w:rPr>
        <w:t>”</w:t>
      </w:r>
      <w:r>
        <w:t>或</w:t>
      </w:r>
      <w:r>
        <w:rPr>
          <w:rFonts w:ascii="宋体" w:hAnsi="宋体"/>
        </w:rPr>
        <w:t>“</w:t>
      </w:r>
      <w:r>
        <w:t>公司</w:t>
      </w:r>
      <w:r>
        <w:rPr>
          <w:rFonts w:ascii="宋体" w:hAnsi="宋体"/>
        </w:rPr>
        <w:t>”</w:t>
      </w:r>
      <w:r>
        <w:t>）的委托，担任青岛伟隆阀门股份有限公司向不特定对象发行可转换公司债券的保荐机构，为本次发行出具发行保荐书。</w:t>
      </w:r>
    </w:p>
    <w:p w14:paraId="0011C20C" w14:textId="77777777" w:rsidR="00E173A4" w:rsidRDefault="00E173A4">
      <w:pPr>
        <w:pStyle w:val="005"/>
        <w:spacing w:before="120"/>
        <w:ind w:firstLine="480"/>
      </w:pPr>
      <w:r>
        <w:t>保荐机构及指定的保荐代表人根据《中华人民共和国公司法》《中华人民共和国证券法》《上市公司证券发行注册管理办法》（以下简称</w:t>
      </w:r>
      <w:r>
        <w:rPr>
          <w:rFonts w:ascii="宋体" w:hAnsi="宋体"/>
        </w:rPr>
        <w:t>“</w:t>
      </w:r>
      <w:r>
        <w:t>《注册管理办法》</w:t>
      </w:r>
      <w:r>
        <w:rPr>
          <w:rFonts w:ascii="宋体" w:hAnsi="宋体"/>
        </w:rPr>
        <w:t>”</w:t>
      </w:r>
      <w:r>
        <w:t>）等有关法律、法规和中国证券监督管理委员会、深圳证券交易所的有关规定，诚实守信，勤勉尽责，严格按照依法制订的业务规则、行业执业规范和道德准则出具发行保荐书，并保证所出具文件的真实性、准确性和完整性。若因保荐机构为发行人本次发行制作、出具的文件有虚假记载、误导性陈述或者重大遗漏，给投资者造成损失的，保荐机构将依法赔偿投资者损失。</w:t>
      </w:r>
    </w:p>
    <w:p w14:paraId="444DF677" w14:textId="77777777" w:rsidR="00E173A4" w:rsidRDefault="00E173A4">
      <w:pPr>
        <w:pStyle w:val="005"/>
        <w:spacing w:before="120"/>
        <w:ind w:firstLine="480"/>
      </w:pPr>
      <w:r>
        <w:t>在本发行保荐书中，除上下文另有所指，释义与《青岛伟隆阀门股份有限公司向不特定对象发行可转换公司债券募集说明书》相同。</w:t>
      </w:r>
    </w:p>
    <w:p w14:paraId="7DF4FE3B" w14:textId="77777777" w:rsidR="00E173A4" w:rsidRDefault="00E173A4">
      <w:pPr>
        <w:pStyle w:val="001"/>
        <w:spacing w:before="120" w:after="120"/>
      </w:pPr>
      <w:bookmarkStart w:id="6" w:name="_Toc87299682"/>
      <w:bookmarkStart w:id="7" w:name="_Toc152320928"/>
      <w:r>
        <w:lastRenderedPageBreak/>
        <w:t>目</w:t>
      </w:r>
      <w:r>
        <w:t xml:space="preserve">  </w:t>
      </w:r>
      <w:r>
        <w:t>录</w:t>
      </w:r>
      <w:bookmarkEnd w:id="6"/>
      <w:bookmarkEnd w:id="7"/>
    </w:p>
    <w:p w14:paraId="3ACA2474" w14:textId="77777777" w:rsidR="00E173A4" w:rsidRDefault="00E173A4">
      <w:pPr>
        <w:pStyle w:val="10"/>
        <w:rPr>
          <w:rFonts w:ascii="Calibri" w:hAnsi="Calibri" w:cs="Times New Roman"/>
          <w:b w:val="0"/>
          <w:noProof/>
          <w:sz w:val="21"/>
          <w:szCs w:val="22"/>
          <w:lang w:val="en-US" w:eastAsia="zh-CN"/>
        </w:rPr>
      </w:pPr>
      <w:r>
        <w:rPr>
          <w:rFonts w:cs="Times New Roman"/>
          <w:b w:val="0"/>
          <w:lang w:val="zh-CN"/>
        </w:rPr>
        <w:fldChar w:fldCharType="begin"/>
      </w:r>
      <w:r>
        <w:rPr>
          <w:rFonts w:cs="Times New Roman"/>
          <w:b w:val="0"/>
          <w:lang w:val="zh-CN"/>
        </w:rPr>
        <w:instrText xml:space="preserve"> TOC \o "1-2" \h \z \u </w:instrText>
      </w:r>
      <w:r>
        <w:rPr>
          <w:rFonts w:cs="Times New Roman"/>
          <w:b w:val="0"/>
          <w:lang w:val="zh-CN"/>
        </w:rPr>
        <w:fldChar w:fldCharType="separate"/>
      </w:r>
      <w:hyperlink w:anchor="_Toc152320927" w:history="1">
        <w:r>
          <w:rPr>
            <w:rStyle w:val="aff9"/>
            <w:rFonts w:hint="eastAsia"/>
            <w:noProof/>
            <w:lang w:val="en-US" w:eastAsia="zh-CN"/>
          </w:rPr>
          <w:t>声</w:t>
        </w:r>
        <w:r>
          <w:rPr>
            <w:rStyle w:val="aff9"/>
            <w:noProof/>
            <w:lang w:val="en-US" w:eastAsia="zh-CN"/>
          </w:rPr>
          <w:t xml:space="preserve">  </w:t>
        </w:r>
        <w:r>
          <w:rPr>
            <w:rStyle w:val="aff9"/>
            <w:rFonts w:hint="eastAsia"/>
            <w:noProof/>
            <w:lang w:val="en-US" w:eastAsia="zh-CN"/>
          </w:rPr>
          <w:t>明</w:t>
        </w:r>
        <w:r>
          <w:rPr>
            <w:noProof/>
            <w:lang w:val="en-US" w:eastAsia="zh-CN"/>
          </w:rPr>
          <w:tab/>
        </w:r>
        <w:r>
          <w:rPr>
            <w:noProof/>
            <w:lang w:val="en-US" w:eastAsia="zh-CN"/>
          </w:rPr>
          <w:fldChar w:fldCharType="begin"/>
        </w:r>
        <w:r>
          <w:rPr>
            <w:noProof/>
            <w:lang w:val="en-US" w:eastAsia="zh-CN"/>
          </w:rPr>
          <w:instrText xml:space="preserve"> PAGEREF _Toc152320927 \h </w:instrText>
        </w:r>
        <w:r w:rsidR="00B37116">
          <w:rPr>
            <w:noProof/>
            <w:lang w:val="en-US" w:eastAsia="zh-CN"/>
          </w:rPr>
        </w:r>
        <w:r>
          <w:rPr>
            <w:noProof/>
            <w:lang w:val="en-US" w:eastAsia="zh-CN"/>
          </w:rPr>
          <w:fldChar w:fldCharType="separate"/>
        </w:r>
        <w:r w:rsidR="00D21BFC">
          <w:rPr>
            <w:noProof/>
            <w:lang w:val="en-US" w:eastAsia="zh-CN"/>
          </w:rPr>
          <w:t>1</w:t>
        </w:r>
        <w:r>
          <w:rPr>
            <w:noProof/>
            <w:lang w:val="en-US" w:eastAsia="zh-CN"/>
          </w:rPr>
          <w:fldChar w:fldCharType="end"/>
        </w:r>
      </w:hyperlink>
    </w:p>
    <w:p w14:paraId="77E55C44" w14:textId="77777777" w:rsidR="00E173A4" w:rsidRDefault="00E173A4">
      <w:pPr>
        <w:pStyle w:val="10"/>
        <w:rPr>
          <w:rFonts w:ascii="Calibri" w:hAnsi="Calibri" w:cs="Times New Roman"/>
          <w:b w:val="0"/>
          <w:noProof/>
          <w:sz w:val="21"/>
          <w:szCs w:val="22"/>
          <w:lang w:val="en-US" w:eastAsia="zh-CN"/>
        </w:rPr>
      </w:pPr>
      <w:hyperlink w:anchor="_Toc152320928" w:history="1">
        <w:r>
          <w:rPr>
            <w:rStyle w:val="aff9"/>
            <w:rFonts w:hint="eastAsia"/>
            <w:noProof/>
            <w:lang w:val="en-US" w:eastAsia="zh-CN"/>
          </w:rPr>
          <w:t>目</w:t>
        </w:r>
        <w:r>
          <w:rPr>
            <w:rStyle w:val="aff9"/>
            <w:noProof/>
            <w:lang w:val="en-US" w:eastAsia="zh-CN"/>
          </w:rPr>
          <w:t xml:space="preserve">  </w:t>
        </w:r>
        <w:r>
          <w:rPr>
            <w:rStyle w:val="aff9"/>
            <w:rFonts w:hint="eastAsia"/>
            <w:noProof/>
            <w:lang w:val="en-US" w:eastAsia="zh-CN"/>
          </w:rPr>
          <w:t>录</w:t>
        </w:r>
        <w:r>
          <w:rPr>
            <w:noProof/>
            <w:lang w:val="en-US" w:eastAsia="zh-CN"/>
          </w:rPr>
          <w:tab/>
        </w:r>
        <w:r>
          <w:rPr>
            <w:noProof/>
            <w:lang w:val="en-US" w:eastAsia="zh-CN"/>
          </w:rPr>
          <w:fldChar w:fldCharType="begin"/>
        </w:r>
        <w:r>
          <w:rPr>
            <w:noProof/>
            <w:lang w:val="en-US" w:eastAsia="zh-CN"/>
          </w:rPr>
          <w:instrText xml:space="preserve"> PAGEREF _Toc152320928 \h </w:instrText>
        </w:r>
        <w:r w:rsidR="00B37116">
          <w:rPr>
            <w:noProof/>
            <w:lang w:val="en-US" w:eastAsia="zh-CN"/>
          </w:rPr>
        </w:r>
        <w:r>
          <w:rPr>
            <w:noProof/>
            <w:lang w:val="en-US" w:eastAsia="zh-CN"/>
          </w:rPr>
          <w:fldChar w:fldCharType="separate"/>
        </w:r>
        <w:r w:rsidR="00D21BFC">
          <w:rPr>
            <w:noProof/>
            <w:lang w:val="en-US" w:eastAsia="zh-CN"/>
          </w:rPr>
          <w:t>2</w:t>
        </w:r>
        <w:r>
          <w:rPr>
            <w:noProof/>
            <w:lang w:val="en-US" w:eastAsia="zh-CN"/>
          </w:rPr>
          <w:fldChar w:fldCharType="end"/>
        </w:r>
      </w:hyperlink>
    </w:p>
    <w:p w14:paraId="35118CA6" w14:textId="77777777" w:rsidR="00E173A4" w:rsidRDefault="00E173A4">
      <w:pPr>
        <w:pStyle w:val="10"/>
        <w:rPr>
          <w:rFonts w:ascii="Calibri" w:hAnsi="Calibri" w:cs="Times New Roman"/>
          <w:b w:val="0"/>
          <w:noProof/>
          <w:sz w:val="21"/>
          <w:szCs w:val="22"/>
          <w:lang w:val="en-US" w:eastAsia="zh-CN"/>
        </w:rPr>
      </w:pPr>
      <w:hyperlink w:anchor="_Toc152320929" w:history="1">
        <w:r>
          <w:rPr>
            <w:rStyle w:val="aff9"/>
            <w:rFonts w:hint="eastAsia"/>
            <w:noProof/>
            <w:lang w:val="en-US" w:eastAsia="zh-CN"/>
          </w:rPr>
          <w:t>第一节</w:t>
        </w:r>
        <w:r>
          <w:rPr>
            <w:rStyle w:val="aff9"/>
            <w:noProof/>
            <w:lang w:val="en-US" w:eastAsia="zh-CN"/>
          </w:rPr>
          <w:t xml:space="preserve">  </w:t>
        </w:r>
        <w:r>
          <w:rPr>
            <w:rStyle w:val="aff9"/>
            <w:rFonts w:hint="eastAsia"/>
            <w:noProof/>
            <w:lang w:val="en-US" w:eastAsia="zh-CN"/>
          </w:rPr>
          <w:t>本次证券发行基本情况</w:t>
        </w:r>
        <w:r>
          <w:rPr>
            <w:noProof/>
            <w:lang w:val="en-US" w:eastAsia="zh-CN"/>
          </w:rPr>
          <w:tab/>
        </w:r>
        <w:r>
          <w:rPr>
            <w:noProof/>
            <w:lang w:val="en-US" w:eastAsia="zh-CN"/>
          </w:rPr>
          <w:fldChar w:fldCharType="begin"/>
        </w:r>
        <w:r>
          <w:rPr>
            <w:noProof/>
            <w:lang w:val="en-US" w:eastAsia="zh-CN"/>
          </w:rPr>
          <w:instrText xml:space="preserve"> PAGEREF _Toc152320929 \h </w:instrText>
        </w:r>
        <w:r w:rsidR="00B37116">
          <w:rPr>
            <w:noProof/>
            <w:lang w:val="en-US" w:eastAsia="zh-CN"/>
          </w:rPr>
        </w:r>
        <w:r>
          <w:rPr>
            <w:noProof/>
            <w:lang w:val="en-US" w:eastAsia="zh-CN"/>
          </w:rPr>
          <w:fldChar w:fldCharType="separate"/>
        </w:r>
        <w:r w:rsidR="00D21BFC">
          <w:rPr>
            <w:noProof/>
            <w:lang w:val="en-US" w:eastAsia="zh-CN"/>
          </w:rPr>
          <w:t>3</w:t>
        </w:r>
        <w:r>
          <w:rPr>
            <w:noProof/>
            <w:lang w:val="en-US" w:eastAsia="zh-CN"/>
          </w:rPr>
          <w:fldChar w:fldCharType="end"/>
        </w:r>
      </w:hyperlink>
    </w:p>
    <w:p w14:paraId="7D4D7E2A"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0" w:history="1">
        <w:r>
          <w:rPr>
            <w:rStyle w:val="aff9"/>
            <w:rFonts w:hint="eastAsia"/>
            <w:noProof/>
            <w:lang w:val="en-US" w:eastAsia="zh-CN"/>
          </w:rPr>
          <w:t>一、保荐人名称</w:t>
        </w:r>
        <w:r>
          <w:rPr>
            <w:noProof/>
            <w:lang w:val="en-US" w:eastAsia="zh-CN"/>
          </w:rPr>
          <w:tab/>
        </w:r>
        <w:r>
          <w:rPr>
            <w:noProof/>
            <w:lang w:val="en-US" w:eastAsia="zh-CN"/>
          </w:rPr>
          <w:fldChar w:fldCharType="begin"/>
        </w:r>
        <w:r>
          <w:rPr>
            <w:noProof/>
            <w:lang w:val="en-US" w:eastAsia="zh-CN"/>
          </w:rPr>
          <w:instrText xml:space="preserve"> PAGEREF _Toc152320930 \h </w:instrText>
        </w:r>
        <w:r w:rsidR="00B37116">
          <w:rPr>
            <w:noProof/>
            <w:lang w:val="en-US" w:eastAsia="zh-CN"/>
          </w:rPr>
        </w:r>
        <w:r>
          <w:rPr>
            <w:noProof/>
            <w:lang w:val="en-US" w:eastAsia="zh-CN"/>
          </w:rPr>
          <w:fldChar w:fldCharType="separate"/>
        </w:r>
        <w:r w:rsidR="00D21BFC">
          <w:rPr>
            <w:noProof/>
            <w:lang w:val="en-US" w:eastAsia="zh-CN"/>
          </w:rPr>
          <w:t>3</w:t>
        </w:r>
        <w:r>
          <w:rPr>
            <w:noProof/>
            <w:lang w:val="en-US" w:eastAsia="zh-CN"/>
          </w:rPr>
          <w:fldChar w:fldCharType="end"/>
        </w:r>
      </w:hyperlink>
    </w:p>
    <w:p w14:paraId="20EE0480"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1" w:history="1">
        <w:r>
          <w:rPr>
            <w:rStyle w:val="aff9"/>
            <w:rFonts w:hint="eastAsia"/>
            <w:noProof/>
            <w:lang w:val="en-US" w:eastAsia="zh-CN"/>
          </w:rPr>
          <w:t>二、保荐人指定保荐代表人、项目协办人及其它项目组成员情况</w:t>
        </w:r>
        <w:r>
          <w:rPr>
            <w:noProof/>
            <w:lang w:val="en-US" w:eastAsia="zh-CN"/>
          </w:rPr>
          <w:tab/>
        </w:r>
        <w:r>
          <w:rPr>
            <w:noProof/>
            <w:lang w:val="en-US" w:eastAsia="zh-CN"/>
          </w:rPr>
          <w:fldChar w:fldCharType="begin"/>
        </w:r>
        <w:r>
          <w:rPr>
            <w:noProof/>
            <w:lang w:val="en-US" w:eastAsia="zh-CN"/>
          </w:rPr>
          <w:instrText xml:space="preserve"> PAGEREF _Toc152320931 \h </w:instrText>
        </w:r>
        <w:r w:rsidR="00B37116">
          <w:rPr>
            <w:noProof/>
            <w:lang w:val="en-US" w:eastAsia="zh-CN"/>
          </w:rPr>
        </w:r>
        <w:r>
          <w:rPr>
            <w:noProof/>
            <w:lang w:val="en-US" w:eastAsia="zh-CN"/>
          </w:rPr>
          <w:fldChar w:fldCharType="separate"/>
        </w:r>
        <w:r w:rsidR="00D21BFC">
          <w:rPr>
            <w:noProof/>
            <w:lang w:val="en-US" w:eastAsia="zh-CN"/>
          </w:rPr>
          <w:t>3</w:t>
        </w:r>
        <w:r>
          <w:rPr>
            <w:noProof/>
            <w:lang w:val="en-US" w:eastAsia="zh-CN"/>
          </w:rPr>
          <w:fldChar w:fldCharType="end"/>
        </w:r>
      </w:hyperlink>
    </w:p>
    <w:p w14:paraId="662F640F"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2" w:history="1">
        <w:r>
          <w:rPr>
            <w:rStyle w:val="aff9"/>
            <w:rFonts w:hint="eastAsia"/>
            <w:noProof/>
            <w:lang w:val="en-US" w:eastAsia="zh-CN"/>
          </w:rPr>
          <w:t>三、发行人情况</w:t>
        </w:r>
        <w:r>
          <w:rPr>
            <w:noProof/>
            <w:lang w:val="en-US" w:eastAsia="zh-CN"/>
          </w:rPr>
          <w:tab/>
        </w:r>
        <w:r>
          <w:rPr>
            <w:noProof/>
            <w:lang w:val="en-US" w:eastAsia="zh-CN"/>
          </w:rPr>
          <w:fldChar w:fldCharType="begin"/>
        </w:r>
        <w:r>
          <w:rPr>
            <w:noProof/>
            <w:lang w:val="en-US" w:eastAsia="zh-CN"/>
          </w:rPr>
          <w:instrText xml:space="preserve"> PAGEREF _Toc152320932 \h </w:instrText>
        </w:r>
        <w:r w:rsidR="00B37116">
          <w:rPr>
            <w:noProof/>
            <w:lang w:val="en-US" w:eastAsia="zh-CN"/>
          </w:rPr>
        </w:r>
        <w:r>
          <w:rPr>
            <w:noProof/>
            <w:lang w:val="en-US" w:eastAsia="zh-CN"/>
          </w:rPr>
          <w:fldChar w:fldCharType="separate"/>
        </w:r>
        <w:r w:rsidR="00D21BFC">
          <w:rPr>
            <w:noProof/>
            <w:lang w:val="en-US" w:eastAsia="zh-CN"/>
          </w:rPr>
          <w:t>3</w:t>
        </w:r>
        <w:r>
          <w:rPr>
            <w:noProof/>
            <w:lang w:val="en-US" w:eastAsia="zh-CN"/>
          </w:rPr>
          <w:fldChar w:fldCharType="end"/>
        </w:r>
      </w:hyperlink>
    </w:p>
    <w:p w14:paraId="431E912E"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3" w:history="1">
        <w:r>
          <w:rPr>
            <w:rStyle w:val="aff9"/>
            <w:rFonts w:hint="eastAsia"/>
            <w:noProof/>
            <w:lang w:val="en-US" w:eastAsia="zh-CN"/>
          </w:rPr>
          <w:t>四、发行人主要财务数据及财务指标</w:t>
        </w:r>
        <w:r>
          <w:rPr>
            <w:noProof/>
            <w:lang w:val="en-US" w:eastAsia="zh-CN"/>
          </w:rPr>
          <w:tab/>
        </w:r>
        <w:r>
          <w:rPr>
            <w:noProof/>
            <w:lang w:val="en-US" w:eastAsia="zh-CN"/>
          </w:rPr>
          <w:fldChar w:fldCharType="begin"/>
        </w:r>
        <w:r>
          <w:rPr>
            <w:noProof/>
            <w:lang w:val="en-US" w:eastAsia="zh-CN"/>
          </w:rPr>
          <w:instrText xml:space="preserve"> PAGEREF _Toc152320933 \h </w:instrText>
        </w:r>
        <w:r w:rsidR="00B37116">
          <w:rPr>
            <w:noProof/>
            <w:lang w:val="en-US" w:eastAsia="zh-CN"/>
          </w:rPr>
        </w:r>
        <w:r>
          <w:rPr>
            <w:noProof/>
            <w:lang w:val="en-US" w:eastAsia="zh-CN"/>
          </w:rPr>
          <w:fldChar w:fldCharType="separate"/>
        </w:r>
        <w:r w:rsidR="00D21BFC">
          <w:rPr>
            <w:noProof/>
            <w:lang w:val="en-US" w:eastAsia="zh-CN"/>
          </w:rPr>
          <w:t>6</w:t>
        </w:r>
        <w:r>
          <w:rPr>
            <w:noProof/>
            <w:lang w:val="en-US" w:eastAsia="zh-CN"/>
          </w:rPr>
          <w:fldChar w:fldCharType="end"/>
        </w:r>
      </w:hyperlink>
    </w:p>
    <w:p w14:paraId="06B4639D"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4" w:history="1">
        <w:r>
          <w:rPr>
            <w:rStyle w:val="aff9"/>
            <w:rFonts w:hint="eastAsia"/>
            <w:noProof/>
            <w:lang w:val="en-US" w:eastAsia="zh-CN"/>
          </w:rPr>
          <w:t>五、保荐机构与发行人存在的关联关系</w:t>
        </w:r>
        <w:r>
          <w:rPr>
            <w:noProof/>
            <w:lang w:val="en-US" w:eastAsia="zh-CN"/>
          </w:rPr>
          <w:tab/>
        </w:r>
        <w:r>
          <w:rPr>
            <w:noProof/>
            <w:lang w:val="en-US" w:eastAsia="zh-CN"/>
          </w:rPr>
          <w:fldChar w:fldCharType="begin"/>
        </w:r>
        <w:r>
          <w:rPr>
            <w:noProof/>
            <w:lang w:val="en-US" w:eastAsia="zh-CN"/>
          </w:rPr>
          <w:instrText xml:space="preserve"> PAGEREF _Toc152320934 \h </w:instrText>
        </w:r>
        <w:r w:rsidR="00B37116">
          <w:rPr>
            <w:noProof/>
            <w:lang w:val="en-US" w:eastAsia="zh-CN"/>
          </w:rPr>
        </w:r>
        <w:r>
          <w:rPr>
            <w:noProof/>
            <w:lang w:val="en-US" w:eastAsia="zh-CN"/>
          </w:rPr>
          <w:fldChar w:fldCharType="separate"/>
        </w:r>
        <w:r w:rsidR="00D21BFC">
          <w:rPr>
            <w:noProof/>
            <w:lang w:val="en-US" w:eastAsia="zh-CN"/>
          </w:rPr>
          <w:t>8</w:t>
        </w:r>
        <w:r>
          <w:rPr>
            <w:noProof/>
            <w:lang w:val="en-US" w:eastAsia="zh-CN"/>
          </w:rPr>
          <w:fldChar w:fldCharType="end"/>
        </w:r>
      </w:hyperlink>
    </w:p>
    <w:p w14:paraId="515E1F9A"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5" w:history="1">
        <w:r>
          <w:rPr>
            <w:rStyle w:val="aff9"/>
            <w:rFonts w:hint="eastAsia"/>
            <w:noProof/>
            <w:lang w:val="en-US" w:eastAsia="zh-CN"/>
          </w:rPr>
          <w:t>六、保荐人内部审核程序和内核意见</w:t>
        </w:r>
        <w:r>
          <w:rPr>
            <w:noProof/>
            <w:lang w:val="en-US" w:eastAsia="zh-CN"/>
          </w:rPr>
          <w:tab/>
        </w:r>
        <w:r>
          <w:rPr>
            <w:noProof/>
            <w:lang w:val="en-US" w:eastAsia="zh-CN"/>
          </w:rPr>
          <w:fldChar w:fldCharType="begin"/>
        </w:r>
        <w:r>
          <w:rPr>
            <w:noProof/>
            <w:lang w:val="en-US" w:eastAsia="zh-CN"/>
          </w:rPr>
          <w:instrText xml:space="preserve"> PAGEREF _Toc152320935 \h </w:instrText>
        </w:r>
        <w:r w:rsidR="00B37116">
          <w:rPr>
            <w:noProof/>
            <w:lang w:val="en-US" w:eastAsia="zh-CN"/>
          </w:rPr>
        </w:r>
        <w:r>
          <w:rPr>
            <w:noProof/>
            <w:lang w:val="en-US" w:eastAsia="zh-CN"/>
          </w:rPr>
          <w:fldChar w:fldCharType="separate"/>
        </w:r>
        <w:r w:rsidR="00D21BFC">
          <w:rPr>
            <w:noProof/>
            <w:lang w:val="en-US" w:eastAsia="zh-CN"/>
          </w:rPr>
          <w:t>9</w:t>
        </w:r>
        <w:r>
          <w:rPr>
            <w:noProof/>
            <w:lang w:val="en-US" w:eastAsia="zh-CN"/>
          </w:rPr>
          <w:fldChar w:fldCharType="end"/>
        </w:r>
      </w:hyperlink>
    </w:p>
    <w:p w14:paraId="22EF3F2C" w14:textId="77777777" w:rsidR="00E173A4" w:rsidRDefault="00E173A4">
      <w:pPr>
        <w:pStyle w:val="10"/>
        <w:rPr>
          <w:rFonts w:ascii="Calibri" w:hAnsi="Calibri" w:cs="Times New Roman"/>
          <w:b w:val="0"/>
          <w:noProof/>
          <w:sz w:val="21"/>
          <w:szCs w:val="22"/>
          <w:lang w:val="en-US" w:eastAsia="zh-CN"/>
        </w:rPr>
      </w:pPr>
      <w:hyperlink w:anchor="_Toc152320936" w:history="1">
        <w:r>
          <w:rPr>
            <w:rStyle w:val="aff9"/>
            <w:rFonts w:hint="eastAsia"/>
            <w:noProof/>
            <w:lang w:val="en-US" w:eastAsia="zh-CN"/>
          </w:rPr>
          <w:t>第二节</w:t>
        </w:r>
        <w:r>
          <w:rPr>
            <w:rStyle w:val="aff9"/>
            <w:noProof/>
            <w:lang w:val="en-US" w:eastAsia="zh-CN"/>
          </w:rPr>
          <w:t xml:space="preserve">  </w:t>
        </w:r>
        <w:r>
          <w:rPr>
            <w:rStyle w:val="aff9"/>
            <w:rFonts w:hint="eastAsia"/>
            <w:noProof/>
            <w:lang w:val="en-US" w:eastAsia="zh-CN"/>
          </w:rPr>
          <w:t>保荐人承诺事项</w:t>
        </w:r>
        <w:r>
          <w:rPr>
            <w:noProof/>
            <w:lang w:val="en-US" w:eastAsia="zh-CN"/>
          </w:rPr>
          <w:tab/>
        </w:r>
        <w:r>
          <w:rPr>
            <w:noProof/>
            <w:lang w:val="en-US" w:eastAsia="zh-CN"/>
          </w:rPr>
          <w:fldChar w:fldCharType="begin"/>
        </w:r>
        <w:r>
          <w:rPr>
            <w:noProof/>
            <w:lang w:val="en-US" w:eastAsia="zh-CN"/>
          </w:rPr>
          <w:instrText xml:space="preserve"> PAGEREF _Toc152320936 \h </w:instrText>
        </w:r>
        <w:r w:rsidR="00B37116">
          <w:rPr>
            <w:noProof/>
            <w:lang w:val="en-US" w:eastAsia="zh-CN"/>
          </w:rPr>
        </w:r>
        <w:r>
          <w:rPr>
            <w:noProof/>
            <w:lang w:val="en-US" w:eastAsia="zh-CN"/>
          </w:rPr>
          <w:fldChar w:fldCharType="separate"/>
        </w:r>
        <w:r w:rsidR="00D21BFC">
          <w:rPr>
            <w:noProof/>
            <w:lang w:val="en-US" w:eastAsia="zh-CN"/>
          </w:rPr>
          <w:t>11</w:t>
        </w:r>
        <w:r>
          <w:rPr>
            <w:noProof/>
            <w:lang w:val="en-US" w:eastAsia="zh-CN"/>
          </w:rPr>
          <w:fldChar w:fldCharType="end"/>
        </w:r>
      </w:hyperlink>
    </w:p>
    <w:p w14:paraId="4F5747DC" w14:textId="77777777" w:rsidR="00E173A4" w:rsidRDefault="00E173A4">
      <w:pPr>
        <w:pStyle w:val="10"/>
        <w:rPr>
          <w:rFonts w:ascii="Calibri" w:hAnsi="Calibri" w:cs="Times New Roman"/>
          <w:b w:val="0"/>
          <w:noProof/>
          <w:sz w:val="21"/>
          <w:szCs w:val="22"/>
          <w:lang w:val="en-US" w:eastAsia="zh-CN"/>
        </w:rPr>
      </w:pPr>
      <w:hyperlink w:anchor="_Toc152320937" w:history="1">
        <w:r>
          <w:rPr>
            <w:rStyle w:val="aff9"/>
            <w:rFonts w:hint="eastAsia"/>
            <w:noProof/>
            <w:lang w:val="en-US" w:eastAsia="zh-CN"/>
          </w:rPr>
          <w:t>第三节</w:t>
        </w:r>
        <w:r>
          <w:rPr>
            <w:rStyle w:val="aff9"/>
            <w:noProof/>
            <w:lang w:val="en-US" w:eastAsia="zh-CN"/>
          </w:rPr>
          <w:t xml:space="preserve">  </w:t>
        </w:r>
        <w:r>
          <w:rPr>
            <w:rStyle w:val="aff9"/>
            <w:rFonts w:hint="eastAsia"/>
            <w:noProof/>
            <w:lang w:val="en-US" w:eastAsia="zh-CN"/>
          </w:rPr>
          <w:t>保荐人对本次证券发行上市的推荐意见</w:t>
        </w:r>
        <w:r>
          <w:rPr>
            <w:noProof/>
            <w:lang w:val="en-US" w:eastAsia="zh-CN"/>
          </w:rPr>
          <w:tab/>
        </w:r>
        <w:r>
          <w:rPr>
            <w:noProof/>
            <w:lang w:val="en-US" w:eastAsia="zh-CN"/>
          </w:rPr>
          <w:fldChar w:fldCharType="begin"/>
        </w:r>
        <w:r>
          <w:rPr>
            <w:noProof/>
            <w:lang w:val="en-US" w:eastAsia="zh-CN"/>
          </w:rPr>
          <w:instrText xml:space="preserve"> PAGEREF _Toc152320937 \h </w:instrText>
        </w:r>
        <w:r w:rsidR="00B37116">
          <w:rPr>
            <w:noProof/>
            <w:lang w:val="en-US" w:eastAsia="zh-CN"/>
          </w:rPr>
        </w:r>
        <w:r>
          <w:rPr>
            <w:noProof/>
            <w:lang w:val="en-US" w:eastAsia="zh-CN"/>
          </w:rPr>
          <w:fldChar w:fldCharType="separate"/>
        </w:r>
        <w:r w:rsidR="00D21BFC">
          <w:rPr>
            <w:noProof/>
            <w:lang w:val="en-US" w:eastAsia="zh-CN"/>
          </w:rPr>
          <w:t>12</w:t>
        </w:r>
        <w:r>
          <w:rPr>
            <w:noProof/>
            <w:lang w:val="en-US" w:eastAsia="zh-CN"/>
          </w:rPr>
          <w:fldChar w:fldCharType="end"/>
        </w:r>
      </w:hyperlink>
    </w:p>
    <w:p w14:paraId="626CAAB2"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8" w:history="1">
        <w:r>
          <w:rPr>
            <w:rStyle w:val="aff9"/>
            <w:rFonts w:hint="eastAsia"/>
            <w:noProof/>
            <w:lang w:val="en-US" w:eastAsia="zh-CN"/>
          </w:rPr>
          <w:t>一、本次发行的推荐结论</w:t>
        </w:r>
        <w:r>
          <w:rPr>
            <w:noProof/>
            <w:lang w:val="en-US" w:eastAsia="zh-CN"/>
          </w:rPr>
          <w:tab/>
        </w:r>
        <w:r>
          <w:rPr>
            <w:noProof/>
            <w:lang w:val="en-US" w:eastAsia="zh-CN"/>
          </w:rPr>
          <w:fldChar w:fldCharType="begin"/>
        </w:r>
        <w:r>
          <w:rPr>
            <w:noProof/>
            <w:lang w:val="en-US" w:eastAsia="zh-CN"/>
          </w:rPr>
          <w:instrText xml:space="preserve"> PAGEREF _Toc152320938 \h </w:instrText>
        </w:r>
        <w:r w:rsidR="00B37116">
          <w:rPr>
            <w:noProof/>
            <w:lang w:val="en-US" w:eastAsia="zh-CN"/>
          </w:rPr>
        </w:r>
        <w:r>
          <w:rPr>
            <w:noProof/>
            <w:lang w:val="en-US" w:eastAsia="zh-CN"/>
          </w:rPr>
          <w:fldChar w:fldCharType="separate"/>
        </w:r>
        <w:r w:rsidR="00D21BFC">
          <w:rPr>
            <w:noProof/>
            <w:lang w:val="en-US" w:eastAsia="zh-CN"/>
          </w:rPr>
          <w:t>12</w:t>
        </w:r>
        <w:r>
          <w:rPr>
            <w:noProof/>
            <w:lang w:val="en-US" w:eastAsia="zh-CN"/>
          </w:rPr>
          <w:fldChar w:fldCharType="end"/>
        </w:r>
      </w:hyperlink>
    </w:p>
    <w:p w14:paraId="7DDD5E74"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39" w:history="1">
        <w:r>
          <w:rPr>
            <w:rStyle w:val="aff9"/>
            <w:rFonts w:hint="eastAsia"/>
            <w:noProof/>
            <w:lang w:val="en-US" w:eastAsia="zh-CN"/>
          </w:rPr>
          <w:t>二、本次发行履行了法定决策程序</w:t>
        </w:r>
        <w:r>
          <w:rPr>
            <w:noProof/>
            <w:lang w:val="en-US" w:eastAsia="zh-CN"/>
          </w:rPr>
          <w:tab/>
        </w:r>
        <w:r>
          <w:rPr>
            <w:noProof/>
            <w:lang w:val="en-US" w:eastAsia="zh-CN"/>
          </w:rPr>
          <w:fldChar w:fldCharType="begin"/>
        </w:r>
        <w:r>
          <w:rPr>
            <w:noProof/>
            <w:lang w:val="en-US" w:eastAsia="zh-CN"/>
          </w:rPr>
          <w:instrText xml:space="preserve"> PAGEREF _Toc152320939 \h </w:instrText>
        </w:r>
        <w:r w:rsidR="00B37116">
          <w:rPr>
            <w:noProof/>
            <w:lang w:val="en-US" w:eastAsia="zh-CN"/>
          </w:rPr>
        </w:r>
        <w:r>
          <w:rPr>
            <w:noProof/>
            <w:lang w:val="en-US" w:eastAsia="zh-CN"/>
          </w:rPr>
          <w:fldChar w:fldCharType="separate"/>
        </w:r>
        <w:r w:rsidR="00D21BFC">
          <w:rPr>
            <w:noProof/>
            <w:lang w:val="en-US" w:eastAsia="zh-CN"/>
          </w:rPr>
          <w:t>12</w:t>
        </w:r>
        <w:r>
          <w:rPr>
            <w:noProof/>
            <w:lang w:val="en-US" w:eastAsia="zh-CN"/>
          </w:rPr>
          <w:fldChar w:fldCharType="end"/>
        </w:r>
      </w:hyperlink>
    </w:p>
    <w:p w14:paraId="307D88A5"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40" w:history="1">
        <w:r>
          <w:rPr>
            <w:rStyle w:val="aff9"/>
            <w:rFonts w:hint="eastAsia"/>
            <w:noProof/>
            <w:lang w:val="en-US" w:eastAsia="zh-CN"/>
          </w:rPr>
          <w:t>三、本次发行是否符合《公司法》《证券法》规定的发行条件的说明</w:t>
        </w:r>
        <w:r>
          <w:rPr>
            <w:noProof/>
            <w:lang w:val="en-US" w:eastAsia="zh-CN"/>
          </w:rPr>
          <w:tab/>
        </w:r>
        <w:r>
          <w:rPr>
            <w:noProof/>
            <w:lang w:val="en-US" w:eastAsia="zh-CN"/>
          </w:rPr>
          <w:fldChar w:fldCharType="begin"/>
        </w:r>
        <w:r>
          <w:rPr>
            <w:noProof/>
            <w:lang w:val="en-US" w:eastAsia="zh-CN"/>
          </w:rPr>
          <w:instrText xml:space="preserve"> PAGEREF _Toc152320940 \h </w:instrText>
        </w:r>
        <w:r w:rsidR="00B37116">
          <w:rPr>
            <w:noProof/>
            <w:lang w:val="en-US" w:eastAsia="zh-CN"/>
          </w:rPr>
        </w:r>
        <w:r>
          <w:rPr>
            <w:noProof/>
            <w:lang w:val="en-US" w:eastAsia="zh-CN"/>
          </w:rPr>
          <w:fldChar w:fldCharType="separate"/>
        </w:r>
        <w:r w:rsidR="00D21BFC">
          <w:rPr>
            <w:noProof/>
            <w:lang w:val="en-US" w:eastAsia="zh-CN"/>
          </w:rPr>
          <w:t>12</w:t>
        </w:r>
        <w:r>
          <w:rPr>
            <w:noProof/>
            <w:lang w:val="en-US" w:eastAsia="zh-CN"/>
          </w:rPr>
          <w:fldChar w:fldCharType="end"/>
        </w:r>
      </w:hyperlink>
    </w:p>
    <w:p w14:paraId="5AEFE932"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41" w:history="1">
        <w:r>
          <w:rPr>
            <w:rStyle w:val="aff9"/>
            <w:rFonts w:hint="eastAsia"/>
            <w:noProof/>
            <w:lang w:val="en-US" w:eastAsia="zh-CN"/>
          </w:rPr>
          <w:t>四、本次发行是否符合《上市公司证券发行注册管理办法》规定的发行条件的说明</w:t>
        </w:r>
        <w:r>
          <w:rPr>
            <w:noProof/>
            <w:lang w:val="en-US" w:eastAsia="zh-CN"/>
          </w:rPr>
          <w:tab/>
        </w:r>
        <w:r>
          <w:rPr>
            <w:noProof/>
            <w:lang w:val="en-US" w:eastAsia="zh-CN"/>
          </w:rPr>
          <w:fldChar w:fldCharType="begin"/>
        </w:r>
        <w:r>
          <w:rPr>
            <w:noProof/>
            <w:lang w:val="en-US" w:eastAsia="zh-CN"/>
          </w:rPr>
          <w:instrText xml:space="preserve"> PAGEREF _Toc152320941 \h </w:instrText>
        </w:r>
        <w:r w:rsidR="00B37116">
          <w:rPr>
            <w:noProof/>
            <w:lang w:val="en-US" w:eastAsia="zh-CN"/>
          </w:rPr>
        </w:r>
        <w:r>
          <w:rPr>
            <w:noProof/>
            <w:lang w:val="en-US" w:eastAsia="zh-CN"/>
          </w:rPr>
          <w:fldChar w:fldCharType="separate"/>
        </w:r>
        <w:r w:rsidR="00D21BFC">
          <w:rPr>
            <w:noProof/>
            <w:lang w:val="en-US" w:eastAsia="zh-CN"/>
          </w:rPr>
          <w:t>14</w:t>
        </w:r>
        <w:r>
          <w:rPr>
            <w:noProof/>
            <w:lang w:val="en-US" w:eastAsia="zh-CN"/>
          </w:rPr>
          <w:fldChar w:fldCharType="end"/>
        </w:r>
      </w:hyperlink>
    </w:p>
    <w:p w14:paraId="40D21967"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42" w:history="1">
        <w:r>
          <w:rPr>
            <w:rStyle w:val="aff9"/>
            <w:rFonts w:hint="eastAsia"/>
            <w:noProof/>
            <w:lang w:val="en-US" w:eastAsia="zh-CN"/>
          </w:rPr>
          <w:t>五、公司本次发行符合《可转换公司债券管理办法》规定的相关条件</w:t>
        </w:r>
        <w:r>
          <w:rPr>
            <w:noProof/>
            <w:lang w:val="en-US" w:eastAsia="zh-CN"/>
          </w:rPr>
          <w:tab/>
        </w:r>
        <w:r>
          <w:rPr>
            <w:noProof/>
            <w:lang w:val="en-US" w:eastAsia="zh-CN"/>
          </w:rPr>
          <w:fldChar w:fldCharType="begin"/>
        </w:r>
        <w:r>
          <w:rPr>
            <w:noProof/>
            <w:lang w:val="en-US" w:eastAsia="zh-CN"/>
          </w:rPr>
          <w:instrText xml:space="preserve"> PAGEREF _Toc152320942 \h </w:instrText>
        </w:r>
        <w:r w:rsidR="00B37116">
          <w:rPr>
            <w:noProof/>
            <w:lang w:val="en-US" w:eastAsia="zh-CN"/>
          </w:rPr>
        </w:r>
        <w:r>
          <w:rPr>
            <w:noProof/>
            <w:lang w:val="en-US" w:eastAsia="zh-CN"/>
          </w:rPr>
          <w:fldChar w:fldCharType="separate"/>
        </w:r>
        <w:r w:rsidR="00D21BFC">
          <w:rPr>
            <w:noProof/>
            <w:lang w:val="en-US" w:eastAsia="zh-CN"/>
          </w:rPr>
          <w:t>17</w:t>
        </w:r>
        <w:r>
          <w:rPr>
            <w:noProof/>
            <w:lang w:val="en-US" w:eastAsia="zh-CN"/>
          </w:rPr>
          <w:fldChar w:fldCharType="end"/>
        </w:r>
      </w:hyperlink>
    </w:p>
    <w:p w14:paraId="57255005"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43" w:history="1">
        <w:r>
          <w:rPr>
            <w:rStyle w:val="aff9"/>
            <w:rFonts w:hint="eastAsia"/>
            <w:noProof/>
            <w:lang w:val="en-US" w:eastAsia="zh-CN"/>
          </w:rPr>
          <w:t>六、对本次发行有偿聘请第三方机构和个人等相关行为的核查意见</w:t>
        </w:r>
        <w:r>
          <w:rPr>
            <w:noProof/>
            <w:lang w:val="en-US" w:eastAsia="zh-CN"/>
          </w:rPr>
          <w:tab/>
        </w:r>
        <w:r>
          <w:rPr>
            <w:noProof/>
            <w:lang w:val="en-US" w:eastAsia="zh-CN"/>
          </w:rPr>
          <w:fldChar w:fldCharType="begin"/>
        </w:r>
        <w:r>
          <w:rPr>
            <w:noProof/>
            <w:lang w:val="en-US" w:eastAsia="zh-CN"/>
          </w:rPr>
          <w:instrText xml:space="preserve"> PAGEREF _Toc152320943 \h </w:instrText>
        </w:r>
        <w:r w:rsidR="00B37116">
          <w:rPr>
            <w:noProof/>
            <w:lang w:val="en-US" w:eastAsia="zh-CN"/>
          </w:rPr>
        </w:r>
        <w:r>
          <w:rPr>
            <w:noProof/>
            <w:lang w:val="en-US" w:eastAsia="zh-CN"/>
          </w:rPr>
          <w:fldChar w:fldCharType="separate"/>
        </w:r>
        <w:r w:rsidR="00D21BFC">
          <w:rPr>
            <w:noProof/>
            <w:lang w:val="en-US" w:eastAsia="zh-CN"/>
          </w:rPr>
          <w:t>20</w:t>
        </w:r>
        <w:r>
          <w:rPr>
            <w:noProof/>
            <w:lang w:val="en-US" w:eastAsia="zh-CN"/>
          </w:rPr>
          <w:fldChar w:fldCharType="end"/>
        </w:r>
      </w:hyperlink>
    </w:p>
    <w:p w14:paraId="4D7BB438"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44" w:history="1">
        <w:r>
          <w:rPr>
            <w:rStyle w:val="aff9"/>
            <w:rFonts w:hint="eastAsia"/>
            <w:noProof/>
            <w:lang w:val="en-US" w:eastAsia="zh-CN"/>
          </w:rPr>
          <w:t>七、发行人存在的主要风险</w:t>
        </w:r>
        <w:r>
          <w:rPr>
            <w:noProof/>
            <w:lang w:val="en-US" w:eastAsia="zh-CN"/>
          </w:rPr>
          <w:tab/>
        </w:r>
        <w:r>
          <w:rPr>
            <w:noProof/>
            <w:lang w:val="en-US" w:eastAsia="zh-CN"/>
          </w:rPr>
          <w:fldChar w:fldCharType="begin"/>
        </w:r>
        <w:r>
          <w:rPr>
            <w:noProof/>
            <w:lang w:val="en-US" w:eastAsia="zh-CN"/>
          </w:rPr>
          <w:instrText xml:space="preserve"> PAGEREF _Toc152320944 \h </w:instrText>
        </w:r>
        <w:r w:rsidR="00B37116">
          <w:rPr>
            <w:noProof/>
            <w:lang w:val="en-US" w:eastAsia="zh-CN"/>
          </w:rPr>
        </w:r>
        <w:r>
          <w:rPr>
            <w:noProof/>
            <w:lang w:val="en-US" w:eastAsia="zh-CN"/>
          </w:rPr>
          <w:fldChar w:fldCharType="separate"/>
        </w:r>
        <w:r w:rsidR="00D21BFC">
          <w:rPr>
            <w:noProof/>
            <w:lang w:val="en-US" w:eastAsia="zh-CN"/>
          </w:rPr>
          <w:t>20</w:t>
        </w:r>
        <w:r>
          <w:rPr>
            <w:noProof/>
            <w:lang w:val="en-US" w:eastAsia="zh-CN"/>
          </w:rPr>
          <w:fldChar w:fldCharType="end"/>
        </w:r>
      </w:hyperlink>
    </w:p>
    <w:p w14:paraId="1DBDB178"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45" w:history="1">
        <w:r>
          <w:rPr>
            <w:rStyle w:val="aff9"/>
            <w:rFonts w:hint="eastAsia"/>
            <w:noProof/>
            <w:lang w:val="en-US" w:eastAsia="zh-CN"/>
          </w:rPr>
          <w:t>八、关于本次发行对即期回报摊薄影响以及填补相关措施的核查意见</w:t>
        </w:r>
        <w:r>
          <w:rPr>
            <w:noProof/>
            <w:lang w:val="en-US" w:eastAsia="zh-CN"/>
          </w:rPr>
          <w:tab/>
        </w:r>
        <w:r>
          <w:rPr>
            <w:noProof/>
            <w:lang w:val="en-US" w:eastAsia="zh-CN"/>
          </w:rPr>
          <w:fldChar w:fldCharType="begin"/>
        </w:r>
        <w:r>
          <w:rPr>
            <w:noProof/>
            <w:lang w:val="en-US" w:eastAsia="zh-CN"/>
          </w:rPr>
          <w:instrText xml:space="preserve"> PAGEREF _Toc152320945 \h </w:instrText>
        </w:r>
        <w:r w:rsidR="00B37116">
          <w:rPr>
            <w:noProof/>
            <w:lang w:val="en-US" w:eastAsia="zh-CN"/>
          </w:rPr>
        </w:r>
        <w:r>
          <w:rPr>
            <w:noProof/>
            <w:lang w:val="en-US" w:eastAsia="zh-CN"/>
          </w:rPr>
          <w:fldChar w:fldCharType="separate"/>
        </w:r>
        <w:r w:rsidR="00D21BFC">
          <w:rPr>
            <w:noProof/>
            <w:lang w:val="en-US" w:eastAsia="zh-CN"/>
          </w:rPr>
          <w:t>31</w:t>
        </w:r>
        <w:r>
          <w:rPr>
            <w:noProof/>
            <w:lang w:val="en-US" w:eastAsia="zh-CN"/>
          </w:rPr>
          <w:fldChar w:fldCharType="end"/>
        </w:r>
      </w:hyperlink>
    </w:p>
    <w:p w14:paraId="114E1C5E" w14:textId="77777777" w:rsidR="00E173A4" w:rsidRDefault="00E173A4">
      <w:pPr>
        <w:pStyle w:val="24"/>
        <w:tabs>
          <w:tab w:val="right" w:leader="dot" w:pos="8302"/>
        </w:tabs>
        <w:ind w:left="420"/>
        <w:rPr>
          <w:rFonts w:ascii="Calibri" w:hAnsi="Calibri" w:cs="Times New Roman"/>
          <w:noProof/>
          <w:sz w:val="21"/>
          <w:szCs w:val="22"/>
          <w:lang w:val="en-US" w:eastAsia="zh-CN"/>
        </w:rPr>
      </w:pPr>
      <w:hyperlink w:anchor="_Toc152320946" w:history="1">
        <w:r>
          <w:rPr>
            <w:rStyle w:val="aff9"/>
            <w:rFonts w:hint="eastAsia"/>
            <w:noProof/>
            <w:lang w:val="en-US" w:eastAsia="zh-CN"/>
          </w:rPr>
          <w:t>九、对发行人发展前景的评价</w:t>
        </w:r>
        <w:r>
          <w:rPr>
            <w:noProof/>
            <w:lang w:val="en-US" w:eastAsia="zh-CN"/>
          </w:rPr>
          <w:tab/>
        </w:r>
        <w:r>
          <w:rPr>
            <w:noProof/>
            <w:lang w:val="en-US" w:eastAsia="zh-CN"/>
          </w:rPr>
          <w:fldChar w:fldCharType="begin"/>
        </w:r>
        <w:r>
          <w:rPr>
            <w:noProof/>
            <w:lang w:val="en-US" w:eastAsia="zh-CN"/>
          </w:rPr>
          <w:instrText xml:space="preserve"> PAGEREF _Toc152320946 \h </w:instrText>
        </w:r>
        <w:r w:rsidR="00B37116">
          <w:rPr>
            <w:noProof/>
            <w:lang w:val="en-US" w:eastAsia="zh-CN"/>
          </w:rPr>
        </w:r>
        <w:r>
          <w:rPr>
            <w:noProof/>
            <w:lang w:val="en-US" w:eastAsia="zh-CN"/>
          </w:rPr>
          <w:fldChar w:fldCharType="separate"/>
        </w:r>
        <w:r w:rsidR="00D21BFC">
          <w:rPr>
            <w:noProof/>
            <w:lang w:val="en-US" w:eastAsia="zh-CN"/>
          </w:rPr>
          <w:t>31</w:t>
        </w:r>
        <w:r>
          <w:rPr>
            <w:noProof/>
            <w:lang w:val="en-US" w:eastAsia="zh-CN"/>
          </w:rPr>
          <w:fldChar w:fldCharType="end"/>
        </w:r>
      </w:hyperlink>
    </w:p>
    <w:p w14:paraId="7CA2F878" w14:textId="77777777" w:rsidR="00E173A4" w:rsidRDefault="00E173A4">
      <w:pPr>
        <w:rPr>
          <w:rFonts w:ascii="Times New Roman" w:hAnsi="Times New Roman" w:cs="Times New Roman"/>
        </w:rPr>
      </w:pPr>
      <w:r>
        <w:rPr>
          <w:rFonts w:ascii="Times New Roman" w:hAnsi="Times New Roman" w:cs="Times New Roman"/>
          <w:lang w:val="zh-CN"/>
        </w:rPr>
        <w:fldChar w:fldCharType="end"/>
      </w:r>
    </w:p>
    <w:p w14:paraId="132307E3" w14:textId="77777777" w:rsidR="00E173A4" w:rsidRDefault="00E173A4">
      <w:pPr>
        <w:pStyle w:val="001"/>
        <w:spacing w:before="120" w:after="120"/>
      </w:pPr>
      <w:bookmarkStart w:id="8" w:name="_Toc152320929"/>
      <w:bookmarkStart w:id="9" w:name="_Toc87299683"/>
      <w:r>
        <w:lastRenderedPageBreak/>
        <w:t>第一节</w:t>
      </w:r>
      <w:r>
        <w:t xml:space="preserve">  </w:t>
      </w:r>
      <w:r>
        <w:t>本次证券发行基本情况</w:t>
      </w:r>
      <w:bookmarkEnd w:id="8"/>
      <w:bookmarkEnd w:id="9"/>
    </w:p>
    <w:p w14:paraId="41F23F58" w14:textId="77777777" w:rsidR="00E173A4" w:rsidRDefault="00E173A4">
      <w:pPr>
        <w:pStyle w:val="002"/>
        <w:spacing w:before="120" w:after="120"/>
      </w:pPr>
      <w:bookmarkStart w:id="10" w:name="_Toc87299684"/>
      <w:bookmarkStart w:id="11" w:name="_Toc152320930"/>
      <w:r>
        <w:t>一、保荐人名称</w:t>
      </w:r>
      <w:bookmarkEnd w:id="10"/>
      <w:bookmarkEnd w:id="11"/>
    </w:p>
    <w:p w14:paraId="0574EF6F" w14:textId="77777777" w:rsidR="00E173A4" w:rsidRDefault="00E173A4">
      <w:pPr>
        <w:pStyle w:val="005"/>
        <w:spacing w:before="120"/>
        <w:ind w:firstLine="480"/>
      </w:pPr>
      <w:r>
        <w:rPr>
          <w:lang w:val="zh-CN"/>
        </w:rPr>
        <w:t>中信证券股份有限公司。</w:t>
      </w:r>
    </w:p>
    <w:p w14:paraId="72122E58" w14:textId="77777777" w:rsidR="00E173A4" w:rsidRDefault="00E173A4">
      <w:pPr>
        <w:pStyle w:val="002"/>
        <w:spacing w:before="120" w:after="120"/>
      </w:pPr>
      <w:bookmarkStart w:id="12" w:name="_Toc87299685"/>
      <w:bookmarkStart w:id="13" w:name="_Toc152320931"/>
      <w:r>
        <w:t>二、保荐人指定保荐代表人、项目协办人及其它项目组成员情况</w:t>
      </w:r>
      <w:bookmarkEnd w:id="12"/>
      <w:bookmarkEnd w:id="13"/>
    </w:p>
    <w:p w14:paraId="3E88C893" w14:textId="77777777" w:rsidR="00E173A4" w:rsidRDefault="00E173A4">
      <w:pPr>
        <w:pStyle w:val="005"/>
        <w:spacing w:before="120"/>
        <w:ind w:firstLine="480"/>
      </w:pPr>
      <w:r>
        <w:t>中信证券指定</w:t>
      </w:r>
      <w:bookmarkStart w:id="14" w:name="_Hlk136943167"/>
      <w:r>
        <w:t>王冠男、</w:t>
      </w:r>
      <w:bookmarkEnd w:id="14"/>
      <w:r>
        <w:rPr>
          <w:rFonts w:hint="eastAsia"/>
        </w:rPr>
        <w:t>李良</w:t>
      </w:r>
      <w:r>
        <w:t>作为青岛伟隆阀门股份有限公司向不特定对象发行可转换公司债券项目的保荐代表人；指定</w:t>
      </w:r>
      <w:bookmarkStart w:id="15" w:name="_Hlk136943176"/>
      <w:r>
        <w:t>何帅</w:t>
      </w:r>
      <w:bookmarkEnd w:id="15"/>
      <w:r>
        <w:t>作为项目协办人；指定</w:t>
      </w:r>
      <w:bookmarkStart w:id="16" w:name="_Hlk136943203"/>
      <w:r>
        <w:t>李时雨、钱安沛、王琦、韩东辰、林正</w:t>
      </w:r>
      <w:bookmarkEnd w:id="16"/>
      <w:r>
        <w:t>、宋磊</w:t>
      </w:r>
      <w:r>
        <w:rPr>
          <w:rFonts w:hint="eastAsia"/>
        </w:rPr>
        <w:t>、刘鼎霖</w:t>
      </w:r>
      <w:r>
        <w:t>作为项目组其他成员。</w:t>
      </w:r>
    </w:p>
    <w:p w14:paraId="20838ABE" w14:textId="77777777" w:rsidR="00E173A4" w:rsidRDefault="00E173A4">
      <w:pPr>
        <w:pStyle w:val="005"/>
        <w:spacing w:before="120"/>
        <w:ind w:firstLine="480"/>
      </w:pPr>
      <w:r>
        <w:t>本次发行保荐代表人主要执业情况如下：</w:t>
      </w:r>
    </w:p>
    <w:p w14:paraId="716E5E9B" w14:textId="77777777" w:rsidR="00E173A4" w:rsidRDefault="00E173A4">
      <w:pPr>
        <w:pStyle w:val="005"/>
        <w:spacing w:before="120"/>
        <w:ind w:firstLine="480"/>
      </w:pPr>
      <w:r>
        <w:t>王冠男，男，保荐代表人，现任中信证券投资银行管理委员会高级副总裁，曾负责或参与了中国出版</w:t>
      </w:r>
      <w:r>
        <w:t>IPO</w:t>
      </w:r>
      <w:r>
        <w:t>、舒华体育</w:t>
      </w:r>
      <w:r>
        <w:t>IPO</w:t>
      </w:r>
      <w:r>
        <w:t>、益客食品</w:t>
      </w:r>
      <w:r>
        <w:t>IPO</w:t>
      </w:r>
      <w:r>
        <w:t>、桃李面包可转债、益客食品再融资等项目。</w:t>
      </w:r>
    </w:p>
    <w:p w14:paraId="32305A5E" w14:textId="77777777" w:rsidR="00E173A4" w:rsidRDefault="00E173A4">
      <w:pPr>
        <w:pStyle w:val="005"/>
        <w:spacing w:before="120"/>
        <w:ind w:firstLine="480"/>
        <w:rPr>
          <w:rFonts w:hint="eastAsia"/>
        </w:rPr>
      </w:pPr>
      <w:r>
        <w:rPr>
          <w:rFonts w:hint="eastAsia"/>
        </w:rPr>
        <w:t>李良，男，保荐代表人，现任中信证券投资银行管理委员会总监。曾主持或参与正大股份、迪柯尼、正大种业、安达科技、张小泉、舒华体育、东方环宇、飞科电器、西凤酒、拉夏贝尔等首次公开发行项目，航宇科技、新五丰、伊利股份、东方环宇、昇兴股份、珠江啤酒、东方热电、申达股份、海宁皮城等非公开发行项目，雏鹰农牧、三元股份、东方环宇、乐凯胶片重大资产重组项目，仪征化纤股权分置改革项目，海特高新、航宇科技、三元股份的股权激励等资本运作项目。</w:t>
      </w:r>
    </w:p>
    <w:p w14:paraId="04079DF2" w14:textId="77777777" w:rsidR="00E173A4" w:rsidRDefault="00E173A4">
      <w:pPr>
        <w:pStyle w:val="005"/>
        <w:spacing w:before="120"/>
        <w:ind w:firstLine="480"/>
      </w:pPr>
      <w:r>
        <w:t>本次发行协办人主要执业情况如下：</w:t>
      </w:r>
    </w:p>
    <w:p w14:paraId="3342FF91" w14:textId="77777777" w:rsidR="00E173A4" w:rsidRDefault="00E173A4">
      <w:pPr>
        <w:pStyle w:val="005"/>
        <w:spacing w:before="120"/>
        <w:ind w:firstLine="480"/>
      </w:pPr>
      <w:bookmarkStart w:id="17" w:name="_Toc87299686"/>
      <w:r>
        <w:t>何帅，男，现任中信证券投资银行管理委员会副总裁，曾参与或负责了天涯社区、宁远科技等多家新三板挂牌及持续督导工作，多</w:t>
      </w:r>
      <w:r>
        <w:rPr>
          <w:rFonts w:hint="eastAsia"/>
        </w:rPr>
        <w:t>个</w:t>
      </w:r>
      <w:r>
        <w:t>IPO</w:t>
      </w:r>
      <w:r>
        <w:t>项目前期工作，多家上市公司再融资项目。</w:t>
      </w:r>
    </w:p>
    <w:p w14:paraId="2C532F6D" w14:textId="77777777" w:rsidR="00E173A4" w:rsidRDefault="00E173A4">
      <w:pPr>
        <w:pStyle w:val="002"/>
        <w:spacing w:before="120" w:after="120"/>
      </w:pPr>
      <w:bookmarkStart w:id="18" w:name="_Toc152320932"/>
      <w:r>
        <w:t>三、发行人情况</w:t>
      </w:r>
      <w:bookmarkEnd w:id="17"/>
      <w:bookmarkEnd w:id="18"/>
    </w:p>
    <w:p w14:paraId="0E4F2298" w14:textId="77777777" w:rsidR="00E173A4" w:rsidRDefault="00E173A4">
      <w:pPr>
        <w:pStyle w:val="003"/>
        <w:spacing w:before="120" w:after="120"/>
      </w:pPr>
      <w:r>
        <w:t>（一）基本情况</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10"/>
        <w:gridCol w:w="6472"/>
      </w:tblGrid>
      <w:tr w:rsidR="00E173A4" w14:paraId="123FE19D" w14:textId="77777777">
        <w:trPr>
          <w:trHeight w:val="397"/>
          <w:jc w:val="center"/>
        </w:trPr>
        <w:tc>
          <w:tcPr>
            <w:tcW w:w="1860" w:type="dxa"/>
            <w:shd w:val="clear" w:color="auto" w:fill="FFFFFF"/>
            <w:vAlign w:val="center"/>
          </w:tcPr>
          <w:p w14:paraId="0CEEEB54"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公司名称</w:t>
            </w:r>
          </w:p>
        </w:tc>
        <w:tc>
          <w:tcPr>
            <w:tcW w:w="6668" w:type="dxa"/>
            <w:vAlign w:val="center"/>
          </w:tcPr>
          <w:p w14:paraId="44C69B48"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青岛伟隆阀门股份有限公司</w:t>
            </w:r>
          </w:p>
        </w:tc>
      </w:tr>
      <w:tr w:rsidR="00E173A4" w14:paraId="66488389" w14:textId="77777777">
        <w:trPr>
          <w:trHeight w:val="397"/>
          <w:jc w:val="center"/>
        </w:trPr>
        <w:tc>
          <w:tcPr>
            <w:tcW w:w="1860" w:type="dxa"/>
            <w:shd w:val="clear" w:color="auto" w:fill="FFFFFF"/>
            <w:vAlign w:val="center"/>
          </w:tcPr>
          <w:p w14:paraId="37BF1050"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lastRenderedPageBreak/>
              <w:t>英文名称</w:t>
            </w:r>
          </w:p>
        </w:tc>
        <w:tc>
          <w:tcPr>
            <w:tcW w:w="6668" w:type="dxa"/>
            <w:vAlign w:val="center"/>
          </w:tcPr>
          <w:p w14:paraId="37E1A375"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QINGDAO WEFLO VALVE CO., LTD.</w:t>
            </w:r>
          </w:p>
        </w:tc>
      </w:tr>
      <w:tr w:rsidR="00E173A4" w14:paraId="512DCF50" w14:textId="77777777">
        <w:trPr>
          <w:trHeight w:val="397"/>
          <w:jc w:val="center"/>
        </w:trPr>
        <w:tc>
          <w:tcPr>
            <w:tcW w:w="1860" w:type="dxa"/>
            <w:shd w:val="clear" w:color="auto" w:fill="FFFFFF"/>
            <w:vAlign w:val="center"/>
          </w:tcPr>
          <w:p w14:paraId="06EB1C47" w14:textId="77777777" w:rsidR="00E173A4" w:rsidRDefault="00E173A4">
            <w:pPr>
              <w:adjustRightInd w:val="0"/>
              <w:snapToGrid w:val="0"/>
              <w:rPr>
                <w:rFonts w:ascii="Times New Roman" w:hAnsi="Times New Roman" w:cs="Times New Roman" w:hint="eastAsia"/>
                <w:szCs w:val="21"/>
              </w:rPr>
            </w:pPr>
            <w:r>
              <w:rPr>
                <w:rFonts w:hAnsi="宋体" w:hint="eastAsia"/>
              </w:rPr>
              <w:t>注册资本</w:t>
            </w:r>
          </w:p>
        </w:tc>
        <w:tc>
          <w:tcPr>
            <w:tcW w:w="6668" w:type="dxa"/>
            <w:vAlign w:val="center"/>
          </w:tcPr>
          <w:p w14:paraId="04A88CCA" w14:textId="77777777" w:rsidR="00E173A4" w:rsidRDefault="00E173A4">
            <w:pPr>
              <w:adjustRightInd w:val="0"/>
              <w:snapToGrid w:val="0"/>
              <w:rPr>
                <w:rFonts w:ascii="Times New Roman" w:hAnsi="Times New Roman" w:cs="Times New Roman" w:hint="eastAsia"/>
                <w:szCs w:val="21"/>
              </w:rPr>
            </w:pPr>
            <w:r>
              <w:rPr>
                <w:rFonts w:ascii="楷体" w:eastAsia="楷体" w:hAnsi="楷体" w:cs="楷体" w:hint="eastAsia"/>
                <w:b/>
                <w:bCs/>
                <w:szCs w:val="21"/>
              </w:rPr>
              <w:t>219,368,887</w:t>
            </w:r>
            <w:r>
              <w:rPr>
                <w:rFonts w:ascii="楷体" w:eastAsia="楷体" w:hAnsi="楷体" w:cs="Times New Roman" w:hint="eastAsia"/>
                <w:b/>
                <w:bCs/>
                <w:szCs w:val="21"/>
              </w:rPr>
              <w:t>元</w:t>
            </w:r>
          </w:p>
        </w:tc>
      </w:tr>
      <w:tr w:rsidR="00E173A4" w14:paraId="07A314E5" w14:textId="77777777">
        <w:trPr>
          <w:trHeight w:val="397"/>
          <w:jc w:val="center"/>
        </w:trPr>
        <w:tc>
          <w:tcPr>
            <w:tcW w:w="1860" w:type="dxa"/>
            <w:shd w:val="clear" w:color="auto" w:fill="FFFFFF"/>
            <w:vAlign w:val="center"/>
          </w:tcPr>
          <w:p w14:paraId="65771729"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法定代表人</w:t>
            </w:r>
          </w:p>
        </w:tc>
        <w:tc>
          <w:tcPr>
            <w:tcW w:w="6668" w:type="dxa"/>
            <w:vAlign w:val="center"/>
          </w:tcPr>
          <w:p w14:paraId="24C07DB3"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范庆伟</w:t>
            </w:r>
          </w:p>
        </w:tc>
      </w:tr>
      <w:tr w:rsidR="00E173A4" w14:paraId="288C064D" w14:textId="77777777">
        <w:trPr>
          <w:trHeight w:val="397"/>
          <w:jc w:val="center"/>
        </w:trPr>
        <w:tc>
          <w:tcPr>
            <w:tcW w:w="1860" w:type="dxa"/>
            <w:shd w:val="clear" w:color="auto" w:fill="FFFFFF"/>
            <w:vAlign w:val="center"/>
          </w:tcPr>
          <w:p w14:paraId="16655901"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成立日期</w:t>
            </w:r>
          </w:p>
        </w:tc>
        <w:tc>
          <w:tcPr>
            <w:tcW w:w="6668" w:type="dxa"/>
            <w:vAlign w:val="center"/>
          </w:tcPr>
          <w:p w14:paraId="49143D9A"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1995</w:t>
            </w:r>
            <w:r>
              <w:rPr>
                <w:rFonts w:ascii="Times New Roman" w:hAnsi="Times New Roman" w:cs="Times New Roman"/>
                <w:szCs w:val="21"/>
              </w:rPr>
              <w:t>年</w:t>
            </w:r>
            <w:r>
              <w:rPr>
                <w:rFonts w:ascii="Times New Roman" w:hAnsi="Times New Roman" w:cs="Times New Roman"/>
                <w:szCs w:val="21"/>
              </w:rPr>
              <w:t>6</w:t>
            </w:r>
            <w:r>
              <w:rPr>
                <w:rFonts w:ascii="Times New Roman" w:hAnsi="Times New Roman" w:cs="Times New Roman"/>
                <w:szCs w:val="21"/>
              </w:rPr>
              <w:t>月</w:t>
            </w:r>
            <w:r>
              <w:rPr>
                <w:rFonts w:ascii="Times New Roman" w:hAnsi="Times New Roman" w:cs="Times New Roman"/>
                <w:szCs w:val="21"/>
              </w:rPr>
              <w:t>8</w:t>
            </w:r>
            <w:r>
              <w:rPr>
                <w:rFonts w:ascii="Times New Roman" w:hAnsi="Times New Roman" w:cs="Times New Roman"/>
                <w:szCs w:val="21"/>
              </w:rPr>
              <w:t>日</w:t>
            </w:r>
          </w:p>
        </w:tc>
      </w:tr>
      <w:tr w:rsidR="00E173A4" w14:paraId="70CCC8EA" w14:textId="77777777">
        <w:trPr>
          <w:trHeight w:val="397"/>
          <w:jc w:val="center"/>
        </w:trPr>
        <w:tc>
          <w:tcPr>
            <w:tcW w:w="1860" w:type="dxa"/>
            <w:shd w:val="clear" w:color="auto" w:fill="FFFFFF"/>
            <w:vAlign w:val="center"/>
          </w:tcPr>
          <w:p w14:paraId="1EDA8B25"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上市日期</w:t>
            </w:r>
          </w:p>
        </w:tc>
        <w:tc>
          <w:tcPr>
            <w:tcW w:w="6668" w:type="dxa"/>
            <w:vAlign w:val="center"/>
          </w:tcPr>
          <w:p w14:paraId="4118D5BF"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2017</w:t>
            </w:r>
            <w:r>
              <w:rPr>
                <w:rFonts w:ascii="Times New Roman" w:hAnsi="Times New Roman" w:cs="Times New Roman"/>
                <w:szCs w:val="21"/>
              </w:rPr>
              <w:t>年</w:t>
            </w:r>
            <w:r>
              <w:rPr>
                <w:rFonts w:ascii="Times New Roman" w:hAnsi="Times New Roman" w:cs="Times New Roman"/>
                <w:szCs w:val="21"/>
              </w:rPr>
              <w:t>5</w:t>
            </w:r>
            <w:r>
              <w:rPr>
                <w:rFonts w:ascii="Times New Roman" w:hAnsi="Times New Roman" w:cs="Times New Roman"/>
                <w:szCs w:val="21"/>
              </w:rPr>
              <w:t>月</w:t>
            </w:r>
            <w:r>
              <w:rPr>
                <w:rFonts w:ascii="Times New Roman" w:hAnsi="Times New Roman" w:cs="Times New Roman"/>
                <w:szCs w:val="21"/>
              </w:rPr>
              <w:t>11</w:t>
            </w:r>
            <w:r>
              <w:rPr>
                <w:rFonts w:ascii="Times New Roman" w:hAnsi="Times New Roman" w:cs="Times New Roman"/>
                <w:szCs w:val="21"/>
              </w:rPr>
              <w:t>日</w:t>
            </w:r>
          </w:p>
        </w:tc>
      </w:tr>
      <w:tr w:rsidR="00E173A4" w14:paraId="309F4FD7" w14:textId="77777777">
        <w:trPr>
          <w:trHeight w:val="397"/>
          <w:jc w:val="center"/>
        </w:trPr>
        <w:tc>
          <w:tcPr>
            <w:tcW w:w="1860" w:type="dxa"/>
            <w:shd w:val="clear" w:color="auto" w:fill="FFFFFF"/>
            <w:vAlign w:val="center"/>
          </w:tcPr>
          <w:p w14:paraId="7B44B29D"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股票简称</w:t>
            </w:r>
          </w:p>
        </w:tc>
        <w:tc>
          <w:tcPr>
            <w:tcW w:w="6668" w:type="dxa"/>
            <w:vAlign w:val="center"/>
          </w:tcPr>
          <w:p w14:paraId="158529BF"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伟隆股份</w:t>
            </w:r>
          </w:p>
        </w:tc>
      </w:tr>
      <w:tr w:rsidR="00E173A4" w14:paraId="33793BE1" w14:textId="77777777">
        <w:trPr>
          <w:trHeight w:val="397"/>
          <w:jc w:val="center"/>
        </w:trPr>
        <w:tc>
          <w:tcPr>
            <w:tcW w:w="1860" w:type="dxa"/>
            <w:shd w:val="clear" w:color="auto" w:fill="FFFFFF"/>
            <w:vAlign w:val="center"/>
          </w:tcPr>
          <w:p w14:paraId="6AC6C192"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股票代码</w:t>
            </w:r>
          </w:p>
        </w:tc>
        <w:tc>
          <w:tcPr>
            <w:tcW w:w="6668" w:type="dxa"/>
            <w:vAlign w:val="center"/>
          </w:tcPr>
          <w:p w14:paraId="65FCEF67"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002871.SZ</w:t>
            </w:r>
          </w:p>
        </w:tc>
      </w:tr>
      <w:tr w:rsidR="00E173A4" w14:paraId="47D08E75" w14:textId="77777777">
        <w:trPr>
          <w:trHeight w:val="397"/>
          <w:jc w:val="center"/>
        </w:trPr>
        <w:tc>
          <w:tcPr>
            <w:tcW w:w="1860" w:type="dxa"/>
            <w:shd w:val="clear" w:color="auto" w:fill="FFFFFF"/>
            <w:vAlign w:val="center"/>
          </w:tcPr>
          <w:p w14:paraId="4CFAEB13"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注册地址</w:t>
            </w:r>
          </w:p>
        </w:tc>
        <w:tc>
          <w:tcPr>
            <w:tcW w:w="6668" w:type="dxa"/>
            <w:vAlign w:val="center"/>
          </w:tcPr>
          <w:p w14:paraId="5119048E"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rPr>
              <w:t>山东省青岛市高新区春阳路</w:t>
            </w:r>
            <w:r>
              <w:rPr>
                <w:rFonts w:ascii="Times New Roman" w:hAnsi="Times New Roman" w:cs="Times New Roman"/>
              </w:rPr>
              <w:t>789</w:t>
            </w:r>
            <w:r>
              <w:rPr>
                <w:rFonts w:ascii="Times New Roman" w:hAnsi="Times New Roman" w:cs="Times New Roman"/>
              </w:rPr>
              <w:t>号</w:t>
            </w:r>
          </w:p>
        </w:tc>
      </w:tr>
      <w:tr w:rsidR="00E173A4" w14:paraId="441B2BDF" w14:textId="77777777">
        <w:trPr>
          <w:trHeight w:val="397"/>
          <w:jc w:val="center"/>
        </w:trPr>
        <w:tc>
          <w:tcPr>
            <w:tcW w:w="1860" w:type="dxa"/>
            <w:shd w:val="clear" w:color="auto" w:fill="FFFFFF"/>
            <w:vAlign w:val="center"/>
          </w:tcPr>
          <w:p w14:paraId="26F5F44C"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办公地址</w:t>
            </w:r>
          </w:p>
        </w:tc>
        <w:tc>
          <w:tcPr>
            <w:tcW w:w="6668" w:type="dxa"/>
            <w:vAlign w:val="center"/>
          </w:tcPr>
          <w:p w14:paraId="44A9E0A0"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rPr>
              <w:t>山东省青岛市高新区春阳路</w:t>
            </w:r>
            <w:r>
              <w:rPr>
                <w:rFonts w:ascii="Times New Roman" w:hAnsi="Times New Roman" w:cs="Times New Roman"/>
              </w:rPr>
              <w:t>789</w:t>
            </w:r>
            <w:r>
              <w:rPr>
                <w:rFonts w:ascii="Times New Roman" w:hAnsi="Times New Roman" w:cs="Times New Roman"/>
              </w:rPr>
              <w:t>号</w:t>
            </w:r>
          </w:p>
        </w:tc>
      </w:tr>
      <w:tr w:rsidR="00E173A4" w14:paraId="6FB16186" w14:textId="77777777">
        <w:trPr>
          <w:trHeight w:val="397"/>
          <w:jc w:val="center"/>
        </w:trPr>
        <w:tc>
          <w:tcPr>
            <w:tcW w:w="1860" w:type="dxa"/>
            <w:shd w:val="clear" w:color="auto" w:fill="FFFFFF"/>
            <w:vAlign w:val="center"/>
          </w:tcPr>
          <w:p w14:paraId="616EEA5E"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电话号码</w:t>
            </w:r>
          </w:p>
        </w:tc>
        <w:tc>
          <w:tcPr>
            <w:tcW w:w="6668" w:type="dxa"/>
            <w:vAlign w:val="center"/>
          </w:tcPr>
          <w:p w14:paraId="7722089D"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rPr>
              <w:t>0532-87901466</w:t>
            </w:r>
          </w:p>
        </w:tc>
      </w:tr>
      <w:tr w:rsidR="00E173A4" w14:paraId="53489A8F" w14:textId="77777777">
        <w:trPr>
          <w:trHeight w:val="397"/>
          <w:jc w:val="center"/>
        </w:trPr>
        <w:tc>
          <w:tcPr>
            <w:tcW w:w="1860" w:type="dxa"/>
            <w:shd w:val="clear" w:color="auto" w:fill="FFFFFF"/>
            <w:vAlign w:val="center"/>
          </w:tcPr>
          <w:p w14:paraId="02F74081"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传真号码</w:t>
            </w:r>
          </w:p>
        </w:tc>
        <w:tc>
          <w:tcPr>
            <w:tcW w:w="6668" w:type="dxa"/>
            <w:vAlign w:val="center"/>
          </w:tcPr>
          <w:p w14:paraId="62723ADA"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rPr>
              <w:t>0532-87901466</w:t>
            </w:r>
          </w:p>
        </w:tc>
      </w:tr>
      <w:tr w:rsidR="00E173A4" w14:paraId="6E75ECBD" w14:textId="77777777">
        <w:trPr>
          <w:trHeight w:val="397"/>
          <w:jc w:val="center"/>
        </w:trPr>
        <w:tc>
          <w:tcPr>
            <w:tcW w:w="1860" w:type="dxa"/>
            <w:shd w:val="clear" w:color="auto" w:fill="FFFFFF"/>
            <w:vAlign w:val="center"/>
          </w:tcPr>
          <w:p w14:paraId="235E36DE"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互联网网址</w:t>
            </w:r>
          </w:p>
        </w:tc>
        <w:tc>
          <w:tcPr>
            <w:tcW w:w="6668" w:type="dxa"/>
            <w:vAlign w:val="center"/>
          </w:tcPr>
          <w:p w14:paraId="706BB119" w14:textId="77777777" w:rsidR="00E173A4" w:rsidRDefault="00E173A4">
            <w:pPr>
              <w:adjustRightInd w:val="0"/>
              <w:snapToGrid w:val="0"/>
              <w:rPr>
                <w:rFonts w:ascii="Times New Roman" w:hAnsi="Times New Roman" w:cs="Times New Roman"/>
                <w:color w:val="000000"/>
                <w:szCs w:val="21"/>
              </w:rPr>
            </w:pPr>
            <w:r>
              <w:rPr>
                <w:rFonts w:ascii="Times New Roman" w:hAnsi="Times New Roman" w:cs="Times New Roman"/>
                <w:szCs w:val="21"/>
              </w:rPr>
              <w:t>www.weilongvalve.com</w:t>
            </w:r>
          </w:p>
        </w:tc>
      </w:tr>
      <w:tr w:rsidR="00E173A4" w14:paraId="344F4F50" w14:textId="77777777">
        <w:trPr>
          <w:trHeight w:val="397"/>
          <w:jc w:val="center"/>
        </w:trPr>
        <w:tc>
          <w:tcPr>
            <w:tcW w:w="1860" w:type="dxa"/>
            <w:shd w:val="clear" w:color="auto" w:fill="FFFFFF"/>
            <w:vAlign w:val="center"/>
          </w:tcPr>
          <w:p w14:paraId="3D07F4CA"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经营范围</w:t>
            </w:r>
          </w:p>
        </w:tc>
        <w:tc>
          <w:tcPr>
            <w:tcW w:w="6668" w:type="dxa"/>
            <w:vAlign w:val="center"/>
          </w:tcPr>
          <w:p w14:paraId="7546B309" w14:textId="77777777" w:rsidR="00E173A4" w:rsidRDefault="00E173A4">
            <w:pPr>
              <w:adjustRightInd w:val="0"/>
              <w:snapToGrid w:val="0"/>
              <w:rPr>
                <w:rFonts w:ascii="Times New Roman" w:hAnsi="Times New Roman" w:cs="Times New Roman"/>
                <w:szCs w:val="21"/>
              </w:rPr>
            </w:pPr>
            <w:r>
              <w:rPr>
                <w:rFonts w:ascii="Times New Roman" w:hAnsi="Times New Roman" w:cs="Times New Roman"/>
                <w:szCs w:val="21"/>
              </w:rPr>
              <w:t>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w:t>
            </w:r>
          </w:p>
        </w:tc>
      </w:tr>
    </w:tbl>
    <w:p w14:paraId="61A29165" w14:textId="77777777" w:rsidR="00E173A4" w:rsidRDefault="00E173A4">
      <w:pPr>
        <w:pStyle w:val="003"/>
        <w:spacing w:before="120" w:after="120"/>
      </w:pPr>
      <w:r>
        <w:t>（二）发行人股权结构</w:t>
      </w:r>
    </w:p>
    <w:p w14:paraId="34B0A7A9" w14:textId="77777777" w:rsidR="00E173A4" w:rsidRDefault="00E173A4">
      <w:pPr>
        <w:pStyle w:val="005"/>
        <w:spacing w:before="120"/>
        <w:ind w:firstLine="480"/>
      </w:pPr>
      <w:r>
        <w:t>截至</w:t>
      </w:r>
      <w:r>
        <w:rPr>
          <w:rFonts w:ascii="楷体" w:eastAsia="楷体" w:hAnsi="楷体" w:cs="楷体" w:hint="eastAsia"/>
          <w:b/>
          <w:bCs/>
        </w:rPr>
        <w:t>2023年9月30日</w:t>
      </w:r>
      <w:r>
        <w:t>，公司股权架构图如下：</w:t>
      </w:r>
    </w:p>
    <w:p w14:paraId="781CBB4F" w14:textId="7D94D6F7" w:rsidR="00E173A4" w:rsidRDefault="005D54F8">
      <w:pPr>
        <w:spacing w:beforeLines="50" w:before="120" w:line="360" w:lineRule="auto"/>
        <w:jc w:val="center"/>
        <w:rPr>
          <w:rFonts w:ascii="Times New Roman" w:hAnsi="Times New Roman" w:cs="Times New Roman"/>
          <w:sz w:val="24"/>
          <w:szCs w:val="22"/>
        </w:rPr>
      </w:pPr>
      <w:r>
        <w:rPr>
          <w:rFonts w:ascii="Times New Roman" w:hAnsi="Times New Roman" w:cs="Times New Roman"/>
          <w:noProof/>
        </w:rPr>
        <w:drawing>
          <wp:inline distT="0" distB="0" distL="0" distR="0" wp14:anchorId="5014985D" wp14:editId="7B1A9BE1">
            <wp:extent cx="5271770" cy="1804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1770" cy="1804670"/>
                    </a:xfrm>
                    <a:prstGeom prst="rect">
                      <a:avLst/>
                    </a:prstGeom>
                    <a:noFill/>
                    <a:ln>
                      <a:noFill/>
                    </a:ln>
                  </pic:spPr>
                </pic:pic>
              </a:graphicData>
            </a:graphic>
          </wp:inline>
        </w:drawing>
      </w:r>
    </w:p>
    <w:p w14:paraId="014AB965" w14:textId="77777777" w:rsidR="00E173A4" w:rsidRDefault="00E173A4">
      <w:pPr>
        <w:pStyle w:val="005"/>
        <w:spacing w:before="120"/>
        <w:ind w:firstLine="480"/>
        <w:rPr>
          <w:lang w:val="zh-CN"/>
        </w:rPr>
      </w:pPr>
      <w:r>
        <w:rPr>
          <w:lang w:val="zh-CN"/>
        </w:rPr>
        <w:t>截至</w:t>
      </w:r>
      <w:r>
        <w:t>2023</w:t>
      </w:r>
      <w:r>
        <w:t>年</w:t>
      </w:r>
      <w:r>
        <w:rPr>
          <w:rFonts w:hint="eastAsia"/>
        </w:rPr>
        <w:t>9</w:t>
      </w:r>
      <w:r>
        <w:t>月</w:t>
      </w:r>
      <w:r>
        <w:t>30</w:t>
      </w:r>
      <w:r>
        <w:t>日</w:t>
      </w:r>
      <w:r>
        <w:rPr>
          <w:lang w:val="zh-CN"/>
        </w:rPr>
        <w:t>，发行人股本总额为</w:t>
      </w:r>
      <w:r>
        <w:rPr>
          <w:lang w:val="zh-CN"/>
        </w:rPr>
        <w:t>219,540,292</w:t>
      </w:r>
      <w:r>
        <w:rPr>
          <w:lang w:val="zh-CN"/>
        </w:rPr>
        <w:t>股，发行人前十大股东持股情况如下：</w:t>
      </w:r>
    </w:p>
    <w:tbl>
      <w:tblPr>
        <w:tblW w:w="9236"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19"/>
        <w:gridCol w:w="1691"/>
        <w:gridCol w:w="1218"/>
        <w:gridCol w:w="1454"/>
        <w:gridCol w:w="1218"/>
        <w:gridCol w:w="1218"/>
        <w:gridCol w:w="1218"/>
      </w:tblGrid>
      <w:tr w:rsidR="00E173A4" w14:paraId="2362C44A" w14:textId="77777777">
        <w:trPr>
          <w:trHeight w:val="397"/>
          <w:tblHeader/>
          <w:jc w:val="center"/>
        </w:trPr>
        <w:tc>
          <w:tcPr>
            <w:tcW w:w="1219" w:type="dxa"/>
            <w:shd w:val="clear" w:color="auto" w:fill="D9D9D9"/>
            <w:vAlign w:val="center"/>
          </w:tcPr>
          <w:p w14:paraId="2AB6F630" w14:textId="77777777" w:rsidR="00E173A4" w:rsidRDefault="00E173A4">
            <w:pPr>
              <w:spacing w:before="40" w:after="40" w:line="240" w:lineRule="exact"/>
              <w:jc w:val="center"/>
              <w:rPr>
                <w:rFonts w:ascii="Times New Roman" w:hAnsi="Times New Roman" w:cs="Times New Roman"/>
                <w:b/>
                <w:bCs/>
                <w:szCs w:val="21"/>
              </w:rPr>
            </w:pPr>
            <w:r>
              <w:rPr>
                <w:rFonts w:ascii="Times New Roman" w:hAnsi="Times New Roman" w:cs="Times New Roman"/>
                <w:b/>
                <w:bCs/>
                <w:szCs w:val="21"/>
              </w:rPr>
              <w:lastRenderedPageBreak/>
              <w:t>股东名称</w:t>
            </w:r>
          </w:p>
        </w:tc>
        <w:tc>
          <w:tcPr>
            <w:tcW w:w="1691" w:type="dxa"/>
            <w:shd w:val="clear" w:color="auto" w:fill="D9D9D9"/>
            <w:vAlign w:val="center"/>
          </w:tcPr>
          <w:p w14:paraId="480F6681" w14:textId="77777777" w:rsidR="00E173A4" w:rsidRDefault="00E173A4">
            <w:pPr>
              <w:spacing w:before="40" w:after="40" w:line="240" w:lineRule="exact"/>
              <w:jc w:val="center"/>
              <w:rPr>
                <w:rFonts w:ascii="Times New Roman" w:hAnsi="Times New Roman" w:cs="Times New Roman"/>
                <w:b/>
                <w:bCs/>
                <w:szCs w:val="21"/>
              </w:rPr>
            </w:pPr>
            <w:r>
              <w:rPr>
                <w:rFonts w:ascii="Times New Roman" w:hAnsi="Times New Roman" w:cs="Times New Roman"/>
                <w:b/>
                <w:bCs/>
                <w:szCs w:val="21"/>
              </w:rPr>
              <w:t>股东性质</w:t>
            </w:r>
          </w:p>
        </w:tc>
        <w:tc>
          <w:tcPr>
            <w:tcW w:w="1218" w:type="dxa"/>
            <w:shd w:val="clear" w:color="auto" w:fill="D9D9D9"/>
            <w:vAlign w:val="center"/>
          </w:tcPr>
          <w:p w14:paraId="11DC4AC1" w14:textId="77777777" w:rsidR="00E173A4" w:rsidRDefault="00E173A4">
            <w:pPr>
              <w:spacing w:before="40" w:after="40" w:line="240" w:lineRule="exact"/>
              <w:jc w:val="center"/>
              <w:rPr>
                <w:rFonts w:ascii="Times New Roman" w:hAnsi="Times New Roman" w:cs="Times New Roman"/>
                <w:b/>
                <w:bCs/>
                <w:szCs w:val="21"/>
              </w:rPr>
            </w:pPr>
            <w:r>
              <w:rPr>
                <w:rFonts w:ascii="Times New Roman" w:hAnsi="Times New Roman" w:cs="Times New Roman"/>
                <w:b/>
                <w:bCs/>
                <w:szCs w:val="21"/>
              </w:rPr>
              <w:t>持股比例（</w:t>
            </w:r>
            <w:r>
              <w:rPr>
                <w:rFonts w:ascii="Times New Roman" w:hAnsi="Times New Roman" w:cs="Times New Roman"/>
                <w:b/>
                <w:bCs/>
                <w:szCs w:val="21"/>
              </w:rPr>
              <w:t>%</w:t>
            </w:r>
            <w:r>
              <w:rPr>
                <w:rFonts w:ascii="Times New Roman" w:hAnsi="Times New Roman" w:cs="Times New Roman"/>
                <w:b/>
                <w:bCs/>
                <w:szCs w:val="21"/>
              </w:rPr>
              <w:t>）</w:t>
            </w:r>
          </w:p>
        </w:tc>
        <w:tc>
          <w:tcPr>
            <w:tcW w:w="1454" w:type="dxa"/>
            <w:shd w:val="clear" w:color="auto" w:fill="D9D9D9"/>
            <w:vAlign w:val="center"/>
          </w:tcPr>
          <w:p w14:paraId="4B2C8EDA" w14:textId="77777777" w:rsidR="00E173A4" w:rsidRDefault="00E173A4">
            <w:pPr>
              <w:spacing w:before="40" w:after="40" w:line="240" w:lineRule="exact"/>
              <w:jc w:val="center"/>
              <w:rPr>
                <w:rFonts w:ascii="Times New Roman" w:hAnsi="Times New Roman" w:cs="Times New Roman"/>
                <w:b/>
                <w:bCs/>
                <w:szCs w:val="21"/>
              </w:rPr>
            </w:pPr>
            <w:r>
              <w:rPr>
                <w:rFonts w:ascii="Times New Roman" w:hAnsi="Times New Roman" w:cs="Times New Roman"/>
                <w:b/>
                <w:bCs/>
                <w:szCs w:val="21"/>
              </w:rPr>
              <w:t>持股数量（股）</w:t>
            </w:r>
          </w:p>
        </w:tc>
        <w:tc>
          <w:tcPr>
            <w:tcW w:w="1218" w:type="dxa"/>
            <w:shd w:val="clear" w:color="auto" w:fill="D9D9D9"/>
            <w:vAlign w:val="center"/>
          </w:tcPr>
          <w:p w14:paraId="077118A4" w14:textId="77777777" w:rsidR="00E173A4" w:rsidRDefault="00E173A4">
            <w:pPr>
              <w:spacing w:before="40" w:after="40" w:line="240" w:lineRule="exact"/>
              <w:jc w:val="center"/>
              <w:rPr>
                <w:rFonts w:ascii="Times New Roman" w:hAnsi="Times New Roman" w:cs="Times New Roman"/>
                <w:b/>
                <w:bCs/>
                <w:szCs w:val="21"/>
              </w:rPr>
            </w:pPr>
            <w:r>
              <w:rPr>
                <w:rFonts w:ascii="Times New Roman" w:hAnsi="Times New Roman" w:cs="Times New Roman"/>
                <w:b/>
                <w:bCs/>
                <w:szCs w:val="21"/>
              </w:rPr>
              <w:t>持有有限售条件的股份数量（股）</w:t>
            </w:r>
          </w:p>
        </w:tc>
        <w:tc>
          <w:tcPr>
            <w:tcW w:w="1218" w:type="dxa"/>
            <w:shd w:val="clear" w:color="auto" w:fill="D9D9D9"/>
            <w:vAlign w:val="center"/>
          </w:tcPr>
          <w:p w14:paraId="18CAFE15" w14:textId="77777777" w:rsidR="00E173A4" w:rsidRDefault="00E173A4">
            <w:pPr>
              <w:spacing w:before="40" w:after="40" w:line="240" w:lineRule="exact"/>
              <w:jc w:val="center"/>
              <w:rPr>
                <w:rFonts w:ascii="Times New Roman" w:hAnsi="Times New Roman" w:cs="Times New Roman"/>
                <w:b/>
                <w:bCs/>
                <w:szCs w:val="21"/>
              </w:rPr>
            </w:pPr>
            <w:r>
              <w:rPr>
                <w:rFonts w:ascii="Times New Roman" w:hAnsi="Times New Roman" w:cs="Times New Roman"/>
                <w:b/>
                <w:bCs/>
                <w:szCs w:val="21"/>
              </w:rPr>
              <w:t>持有无限售条件的股份数量（股）</w:t>
            </w:r>
          </w:p>
        </w:tc>
        <w:tc>
          <w:tcPr>
            <w:tcW w:w="1218" w:type="dxa"/>
            <w:shd w:val="clear" w:color="auto" w:fill="D9D9D9"/>
            <w:vAlign w:val="center"/>
          </w:tcPr>
          <w:p w14:paraId="3E822F70" w14:textId="77777777" w:rsidR="00E173A4" w:rsidRDefault="00E173A4">
            <w:pPr>
              <w:spacing w:before="40" w:after="40" w:line="240" w:lineRule="exact"/>
              <w:jc w:val="center"/>
              <w:rPr>
                <w:rFonts w:ascii="Times New Roman" w:hAnsi="Times New Roman" w:cs="Times New Roman"/>
                <w:b/>
                <w:bCs/>
                <w:szCs w:val="21"/>
              </w:rPr>
            </w:pPr>
            <w:r>
              <w:rPr>
                <w:rFonts w:ascii="Times New Roman" w:hAnsi="Times New Roman" w:cs="Times New Roman"/>
                <w:b/>
                <w:bCs/>
                <w:szCs w:val="21"/>
              </w:rPr>
              <w:t>质押数量（股）</w:t>
            </w:r>
          </w:p>
        </w:tc>
      </w:tr>
      <w:tr w:rsidR="00E173A4" w14:paraId="335863BD" w14:textId="77777777">
        <w:trPr>
          <w:trHeight w:val="397"/>
          <w:jc w:val="center"/>
        </w:trPr>
        <w:tc>
          <w:tcPr>
            <w:tcW w:w="1219" w:type="dxa"/>
            <w:vAlign w:val="center"/>
          </w:tcPr>
          <w:p w14:paraId="1F11143D" w14:textId="77777777" w:rsidR="00E173A4" w:rsidRDefault="00E173A4">
            <w:pPr>
              <w:textAlignment w:val="center"/>
              <w:rPr>
                <w:rFonts w:ascii="Times New Roman" w:hAnsi="Times New Roman" w:cs="Times New Roman"/>
                <w:color w:val="000000"/>
                <w:kern w:val="0"/>
                <w:szCs w:val="21"/>
              </w:rPr>
            </w:pPr>
            <w:r>
              <w:rPr>
                <w:rFonts w:ascii="Times New Roman" w:hAnsi="Times New Roman" w:hint="eastAsia"/>
                <w:szCs w:val="21"/>
              </w:rPr>
              <w:t>范庆伟</w:t>
            </w:r>
          </w:p>
        </w:tc>
        <w:tc>
          <w:tcPr>
            <w:tcW w:w="1691" w:type="dxa"/>
            <w:vAlign w:val="center"/>
          </w:tcPr>
          <w:p w14:paraId="6D423B54"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境内自然人</w:t>
            </w:r>
          </w:p>
        </w:tc>
        <w:tc>
          <w:tcPr>
            <w:tcW w:w="1218" w:type="dxa"/>
            <w:vAlign w:val="center"/>
          </w:tcPr>
          <w:p w14:paraId="20EAF72F"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55.78</w:t>
            </w:r>
          </w:p>
        </w:tc>
        <w:tc>
          <w:tcPr>
            <w:tcW w:w="1454" w:type="dxa"/>
            <w:vAlign w:val="center"/>
          </w:tcPr>
          <w:p w14:paraId="71198EAD" w14:textId="77777777" w:rsidR="00E173A4" w:rsidRDefault="00E173A4">
            <w:pPr>
              <w:jc w:val="right"/>
              <w:rPr>
                <w:rFonts w:ascii="Times New Roman" w:hAnsi="Times New Roman" w:cs="Times New Roman"/>
                <w:color w:val="000000"/>
                <w:szCs w:val="21"/>
              </w:rPr>
            </w:pPr>
            <w:r>
              <w:rPr>
                <w:rFonts w:ascii="Times New Roman" w:hAnsi="Times New Roman" w:hint="eastAsia"/>
                <w:szCs w:val="21"/>
              </w:rPr>
              <w:t>122,460,000</w:t>
            </w:r>
          </w:p>
        </w:tc>
        <w:tc>
          <w:tcPr>
            <w:tcW w:w="1218" w:type="dxa"/>
            <w:vAlign w:val="center"/>
          </w:tcPr>
          <w:p w14:paraId="7C83836C" w14:textId="77777777" w:rsidR="00E173A4" w:rsidRDefault="00E173A4">
            <w:pPr>
              <w:jc w:val="right"/>
              <w:rPr>
                <w:rFonts w:ascii="Times New Roman" w:hAnsi="Times New Roman" w:cs="Times New Roman"/>
                <w:color w:val="000000"/>
                <w:szCs w:val="21"/>
              </w:rPr>
            </w:pPr>
            <w:r>
              <w:rPr>
                <w:rFonts w:ascii="Times New Roman" w:hAnsi="Times New Roman" w:hint="eastAsia"/>
                <w:szCs w:val="21"/>
              </w:rPr>
              <w:t>91,845,000</w:t>
            </w:r>
          </w:p>
        </w:tc>
        <w:tc>
          <w:tcPr>
            <w:tcW w:w="1218" w:type="dxa"/>
            <w:vAlign w:val="center"/>
          </w:tcPr>
          <w:p w14:paraId="5C55BABF"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30,615,000</w:t>
            </w:r>
          </w:p>
        </w:tc>
        <w:tc>
          <w:tcPr>
            <w:tcW w:w="1218" w:type="dxa"/>
            <w:vAlign w:val="center"/>
          </w:tcPr>
          <w:p w14:paraId="5FEA1C9C"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4BF75A81" w14:textId="77777777">
        <w:trPr>
          <w:trHeight w:val="397"/>
          <w:jc w:val="center"/>
        </w:trPr>
        <w:tc>
          <w:tcPr>
            <w:tcW w:w="1219" w:type="dxa"/>
            <w:vAlign w:val="center"/>
          </w:tcPr>
          <w:p w14:paraId="60F7260C"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江西惠隆企业管理有限公司</w:t>
            </w:r>
          </w:p>
        </w:tc>
        <w:tc>
          <w:tcPr>
            <w:tcW w:w="1691" w:type="dxa"/>
            <w:vAlign w:val="center"/>
          </w:tcPr>
          <w:p w14:paraId="047B72C7"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境内非国有法人</w:t>
            </w:r>
          </w:p>
        </w:tc>
        <w:tc>
          <w:tcPr>
            <w:tcW w:w="1218" w:type="dxa"/>
            <w:vAlign w:val="center"/>
          </w:tcPr>
          <w:p w14:paraId="0EEEFCA9"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4.90</w:t>
            </w:r>
          </w:p>
        </w:tc>
        <w:tc>
          <w:tcPr>
            <w:tcW w:w="1454" w:type="dxa"/>
            <w:vAlign w:val="center"/>
          </w:tcPr>
          <w:p w14:paraId="015F9400"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10,756,980</w:t>
            </w:r>
          </w:p>
        </w:tc>
        <w:tc>
          <w:tcPr>
            <w:tcW w:w="1218" w:type="dxa"/>
            <w:vAlign w:val="center"/>
          </w:tcPr>
          <w:p w14:paraId="4ABD64BE"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5ECEB553"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10,756,980</w:t>
            </w:r>
          </w:p>
        </w:tc>
        <w:tc>
          <w:tcPr>
            <w:tcW w:w="1218" w:type="dxa"/>
            <w:vAlign w:val="center"/>
          </w:tcPr>
          <w:p w14:paraId="3B0F1076"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3A7B1463" w14:textId="77777777">
        <w:trPr>
          <w:trHeight w:val="397"/>
          <w:jc w:val="center"/>
        </w:trPr>
        <w:tc>
          <w:tcPr>
            <w:tcW w:w="1219" w:type="dxa"/>
            <w:vAlign w:val="center"/>
          </w:tcPr>
          <w:p w14:paraId="6B57E652"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范玉隆</w:t>
            </w:r>
          </w:p>
        </w:tc>
        <w:tc>
          <w:tcPr>
            <w:tcW w:w="1691" w:type="dxa"/>
            <w:vAlign w:val="center"/>
          </w:tcPr>
          <w:p w14:paraId="262BC15D"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境内自然人</w:t>
            </w:r>
          </w:p>
        </w:tc>
        <w:tc>
          <w:tcPr>
            <w:tcW w:w="1218" w:type="dxa"/>
            <w:vAlign w:val="center"/>
          </w:tcPr>
          <w:p w14:paraId="77A5E413"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3.72</w:t>
            </w:r>
          </w:p>
        </w:tc>
        <w:tc>
          <w:tcPr>
            <w:tcW w:w="1454" w:type="dxa"/>
            <w:vAlign w:val="center"/>
          </w:tcPr>
          <w:p w14:paraId="322B9E32"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8,171,475</w:t>
            </w:r>
          </w:p>
        </w:tc>
        <w:tc>
          <w:tcPr>
            <w:tcW w:w="1218" w:type="dxa"/>
            <w:vAlign w:val="center"/>
          </w:tcPr>
          <w:p w14:paraId="4E60B037"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6,128,606</w:t>
            </w:r>
          </w:p>
        </w:tc>
        <w:tc>
          <w:tcPr>
            <w:tcW w:w="1218" w:type="dxa"/>
            <w:vAlign w:val="center"/>
          </w:tcPr>
          <w:p w14:paraId="6E5515D4"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2,042,869</w:t>
            </w:r>
          </w:p>
        </w:tc>
        <w:tc>
          <w:tcPr>
            <w:tcW w:w="1218" w:type="dxa"/>
            <w:vAlign w:val="center"/>
          </w:tcPr>
          <w:p w14:paraId="51335CC7"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54CB1031" w14:textId="77777777">
        <w:trPr>
          <w:trHeight w:val="397"/>
          <w:jc w:val="center"/>
        </w:trPr>
        <w:tc>
          <w:tcPr>
            <w:tcW w:w="1219" w:type="dxa"/>
            <w:vAlign w:val="center"/>
          </w:tcPr>
          <w:p w14:paraId="1EC9E87E"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杨学良</w:t>
            </w:r>
          </w:p>
        </w:tc>
        <w:tc>
          <w:tcPr>
            <w:tcW w:w="1691" w:type="dxa"/>
            <w:vAlign w:val="center"/>
          </w:tcPr>
          <w:p w14:paraId="42E8EB09"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境内自然人</w:t>
            </w:r>
          </w:p>
        </w:tc>
        <w:tc>
          <w:tcPr>
            <w:tcW w:w="1218" w:type="dxa"/>
            <w:vAlign w:val="center"/>
          </w:tcPr>
          <w:p w14:paraId="7C8D9A1F"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1.75</w:t>
            </w:r>
          </w:p>
        </w:tc>
        <w:tc>
          <w:tcPr>
            <w:tcW w:w="1454" w:type="dxa"/>
            <w:vAlign w:val="center"/>
          </w:tcPr>
          <w:p w14:paraId="5F5EA001"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3,839,340</w:t>
            </w:r>
          </w:p>
        </w:tc>
        <w:tc>
          <w:tcPr>
            <w:tcW w:w="1218" w:type="dxa"/>
            <w:vAlign w:val="center"/>
          </w:tcPr>
          <w:p w14:paraId="4C2D333C"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7D135BB6"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3,839,340</w:t>
            </w:r>
          </w:p>
        </w:tc>
        <w:tc>
          <w:tcPr>
            <w:tcW w:w="1218" w:type="dxa"/>
            <w:vAlign w:val="center"/>
          </w:tcPr>
          <w:p w14:paraId="6AB249EE"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3E48FF08" w14:textId="77777777">
        <w:trPr>
          <w:trHeight w:val="397"/>
          <w:jc w:val="center"/>
        </w:trPr>
        <w:tc>
          <w:tcPr>
            <w:tcW w:w="1219" w:type="dxa"/>
            <w:vAlign w:val="center"/>
          </w:tcPr>
          <w:p w14:paraId="0D3914C0"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基本养老保险基金一零零六组合</w:t>
            </w:r>
          </w:p>
        </w:tc>
        <w:tc>
          <w:tcPr>
            <w:tcW w:w="1691" w:type="dxa"/>
            <w:vAlign w:val="center"/>
          </w:tcPr>
          <w:p w14:paraId="61DDC145"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其他</w:t>
            </w:r>
          </w:p>
        </w:tc>
        <w:tc>
          <w:tcPr>
            <w:tcW w:w="1218" w:type="dxa"/>
            <w:vAlign w:val="center"/>
          </w:tcPr>
          <w:p w14:paraId="134C64C3"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0.78</w:t>
            </w:r>
          </w:p>
        </w:tc>
        <w:tc>
          <w:tcPr>
            <w:tcW w:w="1454" w:type="dxa"/>
            <w:vAlign w:val="center"/>
          </w:tcPr>
          <w:p w14:paraId="74C24781"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1,709,140</w:t>
            </w:r>
          </w:p>
        </w:tc>
        <w:tc>
          <w:tcPr>
            <w:tcW w:w="1218" w:type="dxa"/>
            <w:vAlign w:val="center"/>
          </w:tcPr>
          <w:p w14:paraId="5C3E28AE"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57AB8F20"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1,709,140</w:t>
            </w:r>
          </w:p>
        </w:tc>
        <w:tc>
          <w:tcPr>
            <w:tcW w:w="1218" w:type="dxa"/>
            <w:vAlign w:val="center"/>
          </w:tcPr>
          <w:p w14:paraId="6B9E9863"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71A64F3A" w14:textId="77777777">
        <w:trPr>
          <w:trHeight w:val="397"/>
          <w:jc w:val="center"/>
        </w:trPr>
        <w:tc>
          <w:tcPr>
            <w:tcW w:w="1219" w:type="dxa"/>
            <w:vAlign w:val="center"/>
          </w:tcPr>
          <w:p w14:paraId="116CB37F"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周学枚</w:t>
            </w:r>
          </w:p>
        </w:tc>
        <w:tc>
          <w:tcPr>
            <w:tcW w:w="1691" w:type="dxa"/>
            <w:vAlign w:val="center"/>
          </w:tcPr>
          <w:p w14:paraId="122EBD98"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境内自然人</w:t>
            </w:r>
          </w:p>
        </w:tc>
        <w:tc>
          <w:tcPr>
            <w:tcW w:w="1218" w:type="dxa"/>
            <w:vAlign w:val="center"/>
          </w:tcPr>
          <w:p w14:paraId="262C3B60"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0.66</w:t>
            </w:r>
          </w:p>
        </w:tc>
        <w:tc>
          <w:tcPr>
            <w:tcW w:w="1454" w:type="dxa"/>
            <w:vAlign w:val="center"/>
          </w:tcPr>
          <w:p w14:paraId="09EE8C79"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1,442,950</w:t>
            </w:r>
          </w:p>
        </w:tc>
        <w:tc>
          <w:tcPr>
            <w:tcW w:w="1218" w:type="dxa"/>
            <w:vAlign w:val="center"/>
          </w:tcPr>
          <w:p w14:paraId="1F8FB315"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66D5FE26"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1,442,950</w:t>
            </w:r>
          </w:p>
        </w:tc>
        <w:tc>
          <w:tcPr>
            <w:tcW w:w="1218" w:type="dxa"/>
            <w:vAlign w:val="center"/>
          </w:tcPr>
          <w:p w14:paraId="3A83E99F"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4DA10287" w14:textId="77777777">
        <w:trPr>
          <w:trHeight w:val="397"/>
          <w:jc w:val="center"/>
        </w:trPr>
        <w:tc>
          <w:tcPr>
            <w:tcW w:w="1219" w:type="dxa"/>
            <w:vAlign w:val="center"/>
          </w:tcPr>
          <w:p w14:paraId="143A5571"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王传华</w:t>
            </w:r>
          </w:p>
        </w:tc>
        <w:tc>
          <w:tcPr>
            <w:tcW w:w="1691" w:type="dxa"/>
            <w:vAlign w:val="center"/>
          </w:tcPr>
          <w:p w14:paraId="1CEC7CC9"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境内自然人</w:t>
            </w:r>
          </w:p>
        </w:tc>
        <w:tc>
          <w:tcPr>
            <w:tcW w:w="1218" w:type="dxa"/>
            <w:vAlign w:val="center"/>
          </w:tcPr>
          <w:p w14:paraId="377BEF5B"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0.59</w:t>
            </w:r>
          </w:p>
        </w:tc>
        <w:tc>
          <w:tcPr>
            <w:tcW w:w="1454" w:type="dxa"/>
            <w:vAlign w:val="center"/>
          </w:tcPr>
          <w:p w14:paraId="289A42B6"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1,293,893</w:t>
            </w:r>
          </w:p>
        </w:tc>
        <w:tc>
          <w:tcPr>
            <w:tcW w:w="1218" w:type="dxa"/>
            <w:vAlign w:val="center"/>
          </w:tcPr>
          <w:p w14:paraId="40FE12FD"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6E2B49B3"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1,293,893</w:t>
            </w:r>
          </w:p>
        </w:tc>
        <w:tc>
          <w:tcPr>
            <w:tcW w:w="1218" w:type="dxa"/>
            <w:vAlign w:val="center"/>
          </w:tcPr>
          <w:p w14:paraId="0DB75769"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4FAAF875" w14:textId="77777777">
        <w:trPr>
          <w:trHeight w:val="397"/>
          <w:jc w:val="center"/>
        </w:trPr>
        <w:tc>
          <w:tcPr>
            <w:tcW w:w="1219" w:type="dxa"/>
            <w:vAlign w:val="center"/>
          </w:tcPr>
          <w:p w14:paraId="34EAD567"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杨星晨</w:t>
            </w:r>
          </w:p>
        </w:tc>
        <w:tc>
          <w:tcPr>
            <w:tcW w:w="1691" w:type="dxa"/>
            <w:vAlign w:val="center"/>
          </w:tcPr>
          <w:p w14:paraId="30099A86"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境内自然人</w:t>
            </w:r>
          </w:p>
        </w:tc>
        <w:tc>
          <w:tcPr>
            <w:tcW w:w="1218" w:type="dxa"/>
            <w:vAlign w:val="center"/>
          </w:tcPr>
          <w:p w14:paraId="7B79D2CE"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0.57</w:t>
            </w:r>
          </w:p>
        </w:tc>
        <w:tc>
          <w:tcPr>
            <w:tcW w:w="1454" w:type="dxa"/>
            <w:vAlign w:val="center"/>
          </w:tcPr>
          <w:p w14:paraId="0B9917A9"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1,259,080</w:t>
            </w:r>
          </w:p>
        </w:tc>
        <w:tc>
          <w:tcPr>
            <w:tcW w:w="1218" w:type="dxa"/>
            <w:vAlign w:val="center"/>
          </w:tcPr>
          <w:p w14:paraId="0B2D5463"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650B10F6"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1,259,080</w:t>
            </w:r>
          </w:p>
        </w:tc>
        <w:tc>
          <w:tcPr>
            <w:tcW w:w="1218" w:type="dxa"/>
            <w:vAlign w:val="center"/>
          </w:tcPr>
          <w:p w14:paraId="749693A4"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5140054A" w14:textId="77777777">
        <w:trPr>
          <w:trHeight w:val="397"/>
          <w:jc w:val="center"/>
        </w:trPr>
        <w:tc>
          <w:tcPr>
            <w:tcW w:w="1219" w:type="dxa"/>
            <w:vAlign w:val="center"/>
          </w:tcPr>
          <w:p w14:paraId="6D0A8056"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应一城</w:t>
            </w:r>
          </w:p>
        </w:tc>
        <w:tc>
          <w:tcPr>
            <w:tcW w:w="1691" w:type="dxa"/>
            <w:vAlign w:val="center"/>
          </w:tcPr>
          <w:p w14:paraId="46EA494B"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境内自然人</w:t>
            </w:r>
          </w:p>
        </w:tc>
        <w:tc>
          <w:tcPr>
            <w:tcW w:w="1218" w:type="dxa"/>
            <w:vAlign w:val="center"/>
          </w:tcPr>
          <w:p w14:paraId="250AAB5F"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0.49</w:t>
            </w:r>
          </w:p>
        </w:tc>
        <w:tc>
          <w:tcPr>
            <w:tcW w:w="1454" w:type="dxa"/>
            <w:vAlign w:val="center"/>
          </w:tcPr>
          <w:p w14:paraId="255D2F49"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1,084,750</w:t>
            </w:r>
          </w:p>
        </w:tc>
        <w:tc>
          <w:tcPr>
            <w:tcW w:w="1218" w:type="dxa"/>
            <w:vAlign w:val="center"/>
          </w:tcPr>
          <w:p w14:paraId="02EBB9D9"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28456165"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1,084,750</w:t>
            </w:r>
          </w:p>
        </w:tc>
        <w:tc>
          <w:tcPr>
            <w:tcW w:w="1218" w:type="dxa"/>
            <w:vAlign w:val="center"/>
          </w:tcPr>
          <w:p w14:paraId="08B635F1"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r w:rsidR="00E173A4" w14:paraId="0996B967" w14:textId="77777777">
        <w:trPr>
          <w:trHeight w:val="397"/>
          <w:jc w:val="center"/>
        </w:trPr>
        <w:tc>
          <w:tcPr>
            <w:tcW w:w="1219" w:type="dxa"/>
            <w:vAlign w:val="center"/>
          </w:tcPr>
          <w:p w14:paraId="2017BE34"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MERRILL LYNCH INTERNATIONAL</w:t>
            </w:r>
          </w:p>
        </w:tc>
        <w:tc>
          <w:tcPr>
            <w:tcW w:w="1691" w:type="dxa"/>
            <w:vAlign w:val="center"/>
          </w:tcPr>
          <w:p w14:paraId="49E88DF5" w14:textId="77777777" w:rsidR="00E173A4" w:rsidRDefault="00E173A4">
            <w:pPr>
              <w:textAlignment w:val="center"/>
              <w:rPr>
                <w:rFonts w:ascii="Times New Roman" w:hAnsi="Times New Roman" w:cs="Times New Roman"/>
                <w:color w:val="000000"/>
                <w:szCs w:val="21"/>
              </w:rPr>
            </w:pPr>
            <w:r>
              <w:rPr>
                <w:rFonts w:ascii="Times New Roman" w:hAnsi="Times New Roman" w:hint="eastAsia"/>
                <w:szCs w:val="21"/>
              </w:rPr>
              <w:t>境外法人</w:t>
            </w:r>
          </w:p>
        </w:tc>
        <w:tc>
          <w:tcPr>
            <w:tcW w:w="1218" w:type="dxa"/>
            <w:vAlign w:val="center"/>
          </w:tcPr>
          <w:p w14:paraId="799ACB43"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0.49</w:t>
            </w:r>
          </w:p>
        </w:tc>
        <w:tc>
          <w:tcPr>
            <w:tcW w:w="1454" w:type="dxa"/>
            <w:vAlign w:val="center"/>
          </w:tcPr>
          <w:p w14:paraId="4274D2AF"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1,070,270</w:t>
            </w:r>
          </w:p>
        </w:tc>
        <w:tc>
          <w:tcPr>
            <w:tcW w:w="1218" w:type="dxa"/>
            <w:vAlign w:val="center"/>
          </w:tcPr>
          <w:p w14:paraId="16C35B78"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c>
          <w:tcPr>
            <w:tcW w:w="1218" w:type="dxa"/>
            <w:vAlign w:val="center"/>
          </w:tcPr>
          <w:p w14:paraId="5F98C08A"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1,070,270</w:t>
            </w:r>
          </w:p>
        </w:tc>
        <w:tc>
          <w:tcPr>
            <w:tcW w:w="1218" w:type="dxa"/>
            <w:vAlign w:val="center"/>
          </w:tcPr>
          <w:p w14:paraId="021F65F2" w14:textId="77777777" w:rsidR="00E173A4" w:rsidRDefault="00E173A4">
            <w:pPr>
              <w:jc w:val="right"/>
              <w:textAlignment w:val="center"/>
              <w:rPr>
                <w:rFonts w:ascii="Times New Roman" w:hAnsi="Times New Roman" w:cs="Times New Roman"/>
                <w:color w:val="000000"/>
                <w:szCs w:val="21"/>
              </w:rPr>
            </w:pPr>
            <w:r>
              <w:rPr>
                <w:rFonts w:ascii="Times New Roman" w:hAnsi="Times New Roman" w:hint="eastAsia"/>
                <w:szCs w:val="21"/>
              </w:rPr>
              <w:t>0</w:t>
            </w:r>
          </w:p>
        </w:tc>
      </w:tr>
    </w:tbl>
    <w:p w14:paraId="765358A4" w14:textId="77777777" w:rsidR="00E173A4" w:rsidRDefault="00E173A4">
      <w:pPr>
        <w:pStyle w:val="003"/>
        <w:spacing w:before="120" w:after="120"/>
        <w:rPr>
          <w:rFonts w:eastAsia="宋体"/>
        </w:rPr>
      </w:pPr>
      <w:r>
        <w:rPr>
          <w:rFonts w:eastAsia="宋体"/>
        </w:rPr>
        <w:t>（三）控股股东及实际控制人情况</w:t>
      </w:r>
    </w:p>
    <w:p w14:paraId="767C9390" w14:textId="77777777" w:rsidR="00E173A4" w:rsidRDefault="00E173A4">
      <w:pPr>
        <w:pStyle w:val="005"/>
        <w:spacing w:before="120"/>
        <w:ind w:firstLine="480"/>
      </w:pPr>
      <w:r>
        <w:t>截至</w:t>
      </w:r>
      <w:r>
        <w:t>2023</w:t>
      </w:r>
      <w:r>
        <w:t>年</w:t>
      </w:r>
      <w:r>
        <w:rPr>
          <w:rFonts w:hint="eastAsia"/>
        </w:rPr>
        <w:t>9</w:t>
      </w:r>
      <w:r>
        <w:t>月</w:t>
      </w:r>
      <w:r>
        <w:t>30</w:t>
      </w:r>
      <w:r>
        <w:t>日，范庆伟直接持有</w:t>
      </w:r>
      <w:r>
        <w:t>122,460,000</w:t>
      </w:r>
      <w:r>
        <w:t>股股份，占比</w:t>
      </w:r>
      <w:r>
        <w:t>55.78%</w:t>
      </w:r>
      <w:r>
        <w:t>，为公司的控股股东。范庆伟、范玉隆同为公司的实际控制人，</w:t>
      </w:r>
      <w:bookmarkStart w:id="19" w:name="_Hlk135584459"/>
      <w:r>
        <w:t>范庆伟与范玉隆为父子关系，范庆伟与范玉隆直接持有及间接持有公司合计</w:t>
      </w:r>
      <w:r>
        <w:t>63.07%</w:t>
      </w:r>
      <w:r>
        <w:t>的股份。</w:t>
      </w:r>
      <w:bookmarkEnd w:id="19"/>
    </w:p>
    <w:p w14:paraId="2435DFF1" w14:textId="77777777" w:rsidR="00E173A4" w:rsidRDefault="00E173A4">
      <w:pPr>
        <w:pStyle w:val="005"/>
        <w:spacing w:before="120"/>
        <w:ind w:firstLine="480"/>
      </w:pPr>
      <w:r>
        <w:t>本次发行完成后，范庆伟仍为公司控股股东，范庆伟、范玉隆仍为实际控制人。本次向不特定对象发行可转换公司债券不会导致公司控股股东和实际控制人发生变化。</w:t>
      </w:r>
    </w:p>
    <w:p w14:paraId="41DCF84B" w14:textId="77777777" w:rsidR="00E173A4" w:rsidRDefault="00E173A4">
      <w:pPr>
        <w:pStyle w:val="003"/>
        <w:spacing w:before="120" w:after="120"/>
      </w:pPr>
      <w:r>
        <w:t>（四）发行人历次筹资、现金分红及净资产变化表</w:t>
      </w:r>
    </w:p>
    <w:p w14:paraId="552E239F" w14:textId="77777777" w:rsidR="00E173A4" w:rsidRDefault="00E173A4">
      <w:pPr>
        <w:pStyle w:val="005"/>
        <w:spacing w:before="120"/>
        <w:ind w:firstLine="480"/>
      </w:pPr>
      <w:r>
        <w:t>发行人上市以来历次筹资及净资产额变化情况如下：</w:t>
      </w:r>
    </w:p>
    <w:p w14:paraId="66196473" w14:textId="77777777" w:rsidR="00E173A4" w:rsidRDefault="00E173A4">
      <w:pPr>
        <w:pStyle w:val="009"/>
      </w:pPr>
      <w:r>
        <w:t>单位：万元</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64"/>
        <w:gridCol w:w="1382"/>
        <w:gridCol w:w="1872"/>
        <w:gridCol w:w="1364"/>
      </w:tblGrid>
      <w:tr w:rsidR="00E173A4" w14:paraId="4799E247" w14:textId="77777777">
        <w:trPr>
          <w:trHeight w:val="397"/>
          <w:jc w:val="center"/>
        </w:trPr>
        <w:tc>
          <w:tcPr>
            <w:tcW w:w="3794" w:type="dxa"/>
            <w:vAlign w:val="center"/>
          </w:tcPr>
          <w:p w14:paraId="772F79DF" w14:textId="77777777" w:rsidR="00E173A4" w:rsidRDefault="00E173A4">
            <w:pPr>
              <w:keepNext/>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公司首发上市前最近一期末归属于母公司股东净资产额（</w:t>
            </w:r>
            <w:r>
              <w:rPr>
                <w:rFonts w:ascii="Times New Roman" w:hAnsi="Times New Roman" w:cs="Times New Roman"/>
                <w:color w:val="000000"/>
                <w:kern w:val="0"/>
                <w:szCs w:val="21"/>
              </w:rPr>
              <w:t>2016</w:t>
            </w:r>
            <w:r>
              <w:rPr>
                <w:rFonts w:ascii="Times New Roman" w:hAnsi="Times New Roman" w:cs="Times New Roman"/>
                <w:color w:val="000000"/>
                <w:kern w:val="0"/>
                <w:szCs w:val="21"/>
              </w:rPr>
              <w:t>年</w:t>
            </w:r>
            <w:r>
              <w:rPr>
                <w:rFonts w:ascii="Times New Roman" w:hAnsi="Times New Roman" w:cs="Times New Roman"/>
                <w:color w:val="000000"/>
                <w:kern w:val="0"/>
                <w:szCs w:val="21"/>
              </w:rPr>
              <w:t>12</w:t>
            </w:r>
            <w:r>
              <w:rPr>
                <w:rFonts w:ascii="Times New Roman" w:hAnsi="Times New Roman" w:cs="Times New Roman"/>
                <w:color w:val="000000"/>
                <w:kern w:val="0"/>
                <w:szCs w:val="21"/>
              </w:rPr>
              <w:t>月</w:t>
            </w:r>
            <w:r>
              <w:rPr>
                <w:rFonts w:ascii="Times New Roman" w:hAnsi="Times New Roman" w:cs="Times New Roman"/>
                <w:color w:val="000000"/>
                <w:kern w:val="0"/>
                <w:szCs w:val="21"/>
              </w:rPr>
              <w:t>31</w:t>
            </w:r>
            <w:r>
              <w:rPr>
                <w:rFonts w:ascii="Times New Roman" w:hAnsi="Times New Roman" w:cs="Times New Roman"/>
                <w:color w:val="000000"/>
                <w:kern w:val="0"/>
                <w:szCs w:val="21"/>
              </w:rPr>
              <w:t>日）</w:t>
            </w:r>
          </w:p>
        </w:tc>
        <w:tc>
          <w:tcPr>
            <w:tcW w:w="4734" w:type="dxa"/>
            <w:gridSpan w:val="3"/>
            <w:vAlign w:val="center"/>
          </w:tcPr>
          <w:p w14:paraId="73636801" w14:textId="77777777" w:rsidR="00E173A4" w:rsidRDefault="00E173A4">
            <w:pPr>
              <w:keepNext/>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32,023.20</w:t>
            </w:r>
          </w:p>
        </w:tc>
      </w:tr>
      <w:tr w:rsidR="00E173A4" w14:paraId="2B491BBD" w14:textId="77777777">
        <w:trPr>
          <w:trHeight w:val="397"/>
          <w:jc w:val="center"/>
        </w:trPr>
        <w:tc>
          <w:tcPr>
            <w:tcW w:w="3794" w:type="dxa"/>
            <w:vMerge w:val="restart"/>
            <w:vAlign w:val="center"/>
          </w:tcPr>
          <w:p w14:paraId="758A97A1"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历次筹资情况</w:t>
            </w:r>
          </w:p>
        </w:tc>
        <w:tc>
          <w:tcPr>
            <w:tcW w:w="1417" w:type="dxa"/>
            <w:vAlign w:val="center"/>
          </w:tcPr>
          <w:p w14:paraId="60E7F386"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发行时间</w:t>
            </w:r>
          </w:p>
        </w:tc>
        <w:tc>
          <w:tcPr>
            <w:tcW w:w="1939" w:type="dxa"/>
            <w:vAlign w:val="center"/>
          </w:tcPr>
          <w:p w14:paraId="3D763538"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发行类型</w:t>
            </w:r>
          </w:p>
        </w:tc>
        <w:tc>
          <w:tcPr>
            <w:tcW w:w="1378" w:type="dxa"/>
            <w:vAlign w:val="center"/>
          </w:tcPr>
          <w:p w14:paraId="7AE48181"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筹资净额</w:t>
            </w:r>
          </w:p>
        </w:tc>
      </w:tr>
      <w:tr w:rsidR="00E173A4" w14:paraId="4908BFFE" w14:textId="77777777">
        <w:trPr>
          <w:trHeight w:val="397"/>
          <w:jc w:val="center"/>
        </w:trPr>
        <w:tc>
          <w:tcPr>
            <w:tcW w:w="3794" w:type="dxa"/>
            <w:vMerge/>
            <w:vAlign w:val="center"/>
          </w:tcPr>
          <w:p w14:paraId="2EB9EE77" w14:textId="77777777" w:rsidR="00E173A4" w:rsidRDefault="00E173A4">
            <w:pPr>
              <w:adjustRightInd w:val="0"/>
              <w:snapToGrid w:val="0"/>
              <w:jc w:val="left"/>
              <w:rPr>
                <w:rFonts w:ascii="Times New Roman" w:hAnsi="Times New Roman" w:cs="Times New Roman"/>
                <w:color w:val="000000"/>
                <w:kern w:val="0"/>
                <w:szCs w:val="21"/>
              </w:rPr>
            </w:pPr>
          </w:p>
        </w:tc>
        <w:tc>
          <w:tcPr>
            <w:tcW w:w="1417" w:type="dxa"/>
            <w:vAlign w:val="center"/>
          </w:tcPr>
          <w:p w14:paraId="2DFE05AD" w14:textId="77777777" w:rsidR="00E173A4" w:rsidRDefault="00E173A4">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2017</w:t>
            </w:r>
            <w:r>
              <w:rPr>
                <w:rFonts w:ascii="Times New Roman" w:hAnsi="Times New Roman" w:cs="Times New Roman"/>
                <w:color w:val="000000"/>
                <w:kern w:val="0"/>
                <w:szCs w:val="21"/>
              </w:rPr>
              <w:t>年</w:t>
            </w:r>
            <w:r>
              <w:rPr>
                <w:rFonts w:ascii="Times New Roman" w:hAnsi="Times New Roman" w:cs="Times New Roman"/>
                <w:color w:val="000000"/>
                <w:kern w:val="0"/>
                <w:szCs w:val="21"/>
              </w:rPr>
              <w:t>5</w:t>
            </w:r>
            <w:r>
              <w:rPr>
                <w:rFonts w:ascii="Times New Roman" w:hAnsi="Times New Roman" w:cs="Times New Roman"/>
                <w:color w:val="000000"/>
                <w:kern w:val="0"/>
                <w:szCs w:val="21"/>
              </w:rPr>
              <w:t>月</w:t>
            </w:r>
          </w:p>
        </w:tc>
        <w:tc>
          <w:tcPr>
            <w:tcW w:w="1939" w:type="dxa"/>
            <w:vAlign w:val="center"/>
          </w:tcPr>
          <w:p w14:paraId="052C8B67" w14:textId="77777777" w:rsidR="00E173A4" w:rsidRDefault="00E173A4">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首次公开发行</w:t>
            </w:r>
          </w:p>
        </w:tc>
        <w:tc>
          <w:tcPr>
            <w:tcW w:w="1378" w:type="dxa"/>
            <w:vAlign w:val="center"/>
          </w:tcPr>
          <w:p w14:paraId="18ECA1D2"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21,963.50</w:t>
            </w:r>
          </w:p>
        </w:tc>
      </w:tr>
      <w:tr w:rsidR="00E173A4" w14:paraId="1D949EFA" w14:textId="77777777">
        <w:trPr>
          <w:trHeight w:val="397"/>
          <w:jc w:val="center"/>
        </w:trPr>
        <w:tc>
          <w:tcPr>
            <w:tcW w:w="3794" w:type="dxa"/>
            <w:vMerge/>
            <w:vAlign w:val="center"/>
          </w:tcPr>
          <w:p w14:paraId="6FBA50C8" w14:textId="77777777" w:rsidR="00E173A4" w:rsidRDefault="00E173A4">
            <w:pPr>
              <w:adjustRightInd w:val="0"/>
              <w:snapToGrid w:val="0"/>
              <w:jc w:val="left"/>
              <w:rPr>
                <w:rFonts w:ascii="Times New Roman" w:hAnsi="Times New Roman" w:cs="Times New Roman"/>
                <w:color w:val="000000"/>
                <w:kern w:val="0"/>
                <w:szCs w:val="21"/>
              </w:rPr>
            </w:pPr>
          </w:p>
        </w:tc>
        <w:tc>
          <w:tcPr>
            <w:tcW w:w="3356" w:type="dxa"/>
            <w:gridSpan w:val="2"/>
            <w:vAlign w:val="center"/>
          </w:tcPr>
          <w:p w14:paraId="59B9FCDE"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合计</w:t>
            </w:r>
          </w:p>
        </w:tc>
        <w:tc>
          <w:tcPr>
            <w:tcW w:w="1378" w:type="dxa"/>
            <w:vAlign w:val="center"/>
          </w:tcPr>
          <w:p w14:paraId="4F26C65C" w14:textId="77777777" w:rsidR="00E173A4" w:rsidRDefault="00E173A4">
            <w:pPr>
              <w:adjustRightInd w:val="0"/>
              <w:snapToGrid w:val="0"/>
              <w:jc w:val="right"/>
              <w:rPr>
                <w:rFonts w:ascii="Times New Roman" w:hAnsi="Times New Roman" w:cs="Times New Roman"/>
                <w:b/>
                <w:bCs/>
                <w:color w:val="000000"/>
                <w:kern w:val="0"/>
                <w:szCs w:val="21"/>
              </w:rPr>
            </w:pPr>
            <w:r>
              <w:rPr>
                <w:rFonts w:ascii="Times New Roman" w:hAnsi="Times New Roman" w:cs="Times New Roman"/>
                <w:b/>
                <w:bCs/>
                <w:color w:val="000000"/>
                <w:kern w:val="0"/>
                <w:szCs w:val="21"/>
              </w:rPr>
              <w:t>21,963.50</w:t>
            </w:r>
          </w:p>
        </w:tc>
      </w:tr>
      <w:tr w:rsidR="00E173A4" w14:paraId="3556BF04" w14:textId="77777777">
        <w:trPr>
          <w:trHeight w:val="397"/>
          <w:jc w:val="center"/>
        </w:trPr>
        <w:tc>
          <w:tcPr>
            <w:tcW w:w="3794" w:type="dxa"/>
            <w:vAlign w:val="center"/>
          </w:tcPr>
          <w:p w14:paraId="69A39158"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szCs w:val="21"/>
              </w:rPr>
              <w:lastRenderedPageBreak/>
              <w:t>首发后累计派现金额（含税）</w:t>
            </w:r>
          </w:p>
        </w:tc>
        <w:tc>
          <w:tcPr>
            <w:tcW w:w="4734" w:type="dxa"/>
            <w:gridSpan w:val="3"/>
            <w:vAlign w:val="center"/>
          </w:tcPr>
          <w:p w14:paraId="430BC379"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25,845.42</w:t>
            </w:r>
          </w:p>
        </w:tc>
      </w:tr>
      <w:tr w:rsidR="00E173A4" w14:paraId="1D00040E" w14:textId="77777777">
        <w:trPr>
          <w:trHeight w:val="530"/>
          <w:jc w:val="center"/>
        </w:trPr>
        <w:tc>
          <w:tcPr>
            <w:tcW w:w="3794" w:type="dxa"/>
            <w:vAlign w:val="center"/>
          </w:tcPr>
          <w:p w14:paraId="5BEACFEC"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本次发行前最近一期末归属于母公司股东净资产额（</w:t>
            </w:r>
            <w:r>
              <w:rPr>
                <w:rFonts w:ascii="Times New Roman" w:hAnsi="Times New Roman" w:cs="Times New Roman"/>
                <w:color w:val="000000"/>
                <w:kern w:val="0"/>
                <w:szCs w:val="21"/>
              </w:rPr>
              <w:t>2023</w:t>
            </w:r>
            <w:r>
              <w:rPr>
                <w:rFonts w:ascii="Times New Roman" w:hAnsi="Times New Roman" w:cs="Times New Roman"/>
                <w:color w:val="000000"/>
                <w:kern w:val="0"/>
                <w:szCs w:val="21"/>
              </w:rPr>
              <w:t>年</w:t>
            </w:r>
            <w:r>
              <w:rPr>
                <w:rFonts w:ascii="Times New Roman" w:hAnsi="Times New Roman" w:cs="Times New Roman" w:hint="eastAsia"/>
                <w:color w:val="000000"/>
                <w:kern w:val="0"/>
                <w:szCs w:val="21"/>
              </w:rPr>
              <w:t>9</w:t>
            </w:r>
            <w:r>
              <w:rPr>
                <w:rFonts w:ascii="Times New Roman" w:hAnsi="Times New Roman" w:cs="Times New Roman"/>
                <w:color w:val="000000"/>
                <w:kern w:val="0"/>
                <w:szCs w:val="21"/>
              </w:rPr>
              <w:t>月</w:t>
            </w:r>
            <w:r>
              <w:rPr>
                <w:rFonts w:ascii="Times New Roman" w:hAnsi="Times New Roman" w:cs="Times New Roman"/>
                <w:color w:val="000000"/>
                <w:kern w:val="0"/>
                <w:szCs w:val="21"/>
              </w:rPr>
              <w:t>30</w:t>
            </w:r>
            <w:r>
              <w:rPr>
                <w:rFonts w:ascii="Times New Roman" w:hAnsi="Times New Roman" w:cs="Times New Roman"/>
                <w:color w:val="000000"/>
                <w:kern w:val="0"/>
                <w:szCs w:val="21"/>
              </w:rPr>
              <w:t>日）</w:t>
            </w:r>
          </w:p>
        </w:tc>
        <w:tc>
          <w:tcPr>
            <w:tcW w:w="4734" w:type="dxa"/>
            <w:gridSpan w:val="3"/>
            <w:vAlign w:val="center"/>
          </w:tcPr>
          <w:p w14:paraId="5A3777E9"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78,281.01</w:t>
            </w:r>
          </w:p>
        </w:tc>
      </w:tr>
    </w:tbl>
    <w:p w14:paraId="24A861D5" w14:textId="77777777" w:rsidR="00E173A4" w:rsidRDefault="00E173A4">
      <w:pPr>
        <w:pStyle w:val="005"/>
        <w:spacing w:before="120"/>
        <w:ind w:firstLine="480"/>
      </w:pPr>
      <w:r>
        <w:t>发行人近三年现金分红情况如下：</w:t>
      </w:r>
    </w:p>
    <w:p w14:paraId="6ABDEC90" w14:textId="77777777" w:rsidR="00E173A4" w:rsidRDefault="00E173A4">
      <w:pPr>
        <w:pStyle w:val="005"/>
        <w:spacing w:before="120"/>
        <w:ind w:firstLine="480"/>
        <w:rPr>
          <w:kern w:val="0"/>
        </w:rPr>
      </w:pPr>
      <w:r>
        <w:rPr>
          <w:kern w:val="0"/>
        </w:rPr>
        <w:t>2020</w:t>
      </w:r>
      <w:r>
        <w:rPr>
          <w:kern w:val="0"/>
        </w:rPr>
        <w:t>年度至</w:t>
      </w:r>
      <w:r>
        <w:rPr>
          <w:kern w:val="0"/>
        </w:rPr>
        <w:t>2022</w:t>
      </w:r>
      <w:r>
        <w:rPr>
          <w:kern w:val="0"/>
        </w:rPr>
        <w:t>年度，公司以现金方式累计分配的利润为</w:t>
      </w:r>
      <w:r>
        <w:rPr>
          <w:kern w:val="0"/>
        </w:rPr>
        <w:t>16,218.09</w:t>
      </w:r>
      <w:r>
        <w:rPr>
          <w:kern w:val="0"/>
        </w:rPr>
        <w:t>万元，因此公司最近三年累计现金分红占该三年实现的年均可分配利润的</w:t>
      </w:r>
      <w:r>
        <w:rPr>
          <w:kern w:val="0"/>
        </w:rPr>
        <w:t>190.68%</w:t>
      </w:r>
      <w:r>
        <w:rPr>
          <w:kern w:val="0"/>
        </w:rPr>
        <w:t>。公司的利润分配符合中国证监会以及《公司章程》的相关规定。具体分红实施情况如下：</w:t>
      </w:r>
    </w:p>
    <w:p w14:paraId="13293565" w14:textId="77777777" w:rsidR="00E173A4" w:rsidRDefault="00E173A4">
      <w:pPr>
        <w:pStyle w:val="009"/>
      </w:pPr>
      <w:r>
        <w:t>单位：万元</w:t>
      </w:r>
    </w:p>
    <w:tbl>
      <w:tblPr>
        <w:tblW w:w="9000"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69"/>
        <w:gridCol w:w="1177"/>
        <w:gridCol w:w="1177"/>
        <w:gridCol w:w="1177"/>
      </w:tblGrid>
      <w:tr w:rsidR="00E173A4" w14:paraId="4ED9D313" w14:textId="77777777">
        <w:trPr>
          <w:trHeight w:val="397"/>
          <w:jc w:val="center"/>
        </w:trPr>
        <w:tc>
          <w:tcPr>
            <w:tcW w:w="5469" w:type="dxa"/>
            <w:shd w:val="clear" w:color="auto" w:fill="D9D9D9"/>
            <w:vAlign w:val="center"/>
          </w:tcPr>
          <w:p w14:paraId="2EF21871" w14:textId="77777777" w:rsidR="00E173A4" w:rsidRDefault="00E173A4">
            <w:pPr>
              <w:widowControl/>
              <w:jc w:val="center"/>
              <w:rPr>
                <w:rFonts w:ascii="Times New Roman" w:hAnsi="Times New Roman" w:cs="Times New Roman"/>
                <w:b/>
                <w:kern w:val="0"/>
                <w:szCs w:val="21"/>
              </w:rPr>
            </w:pPr>
            <w:r>
              <w:rPr>
                <w:rFonts w:ascii="Times New Roman" w:hAnsi="Times New Roman" w:cs="Times New Roman"/>
                <w:b/>
                <w:kern w:val="0"/>
                <w:szCs w:val="21"/>
              </w:rPr>
              <w:t>项目</w:t>
            </w:r>
          </w:p>
        </w:tc>
        <w:tc>
          <w:tcPr>
            <w:tcW w:w="1177" w:type="dxa"/>
            <w:shd w:val="clear" w:color="auto" w:fill="D9D9D9"/>
            <w:vAlign w:val="center"/>
          </w:tcPr>
          <w:p w14:paraId="18A07C19" w14:textId="77777777" w:rsidR="00E173A4" w:rsidRDefault="00E173A4">
            <w:pPr>
              <w:widowControl/>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2022</w:t>
            </w:r>
            <w:r>
              <w:rPr>
                <w:rFonts w:ascii="Times New Roman" w:hAnsi="Times New Roman" w:cs="Times New Roman"/>
                <w:b/>
                <w:bCs/>
                <w:color w:val="000000"/>
                <w:kern w:val="0"/>
                <w:szCs w:val="21"/>
                <w:lang w:bidi="ar"/>
              </w:rPr>
              <w:t>年</w:t>
            </w:r>
          </w:p>
        </w:tc>
        <w:tc>
          <w:tcPr>
            <w:tcW w:w="1177" w:type="dxa"/>
            <w:shd w:val="clear" w:color="auto" w:fill="D9D9D9"/>
            <w:vAlign w:val="center"/>
          </w:tcPr>
          <w:p w14:paraId="5FC584C6" w14:textId="77777777" w:rsidR="00E173A4" w:rsidRDefault="00E173A4">
            <w:pPr>
              <w:widowControl/>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2021</w:t>
            </w:r>
            <w:r>
              <w:rPr>
                <w:rFonts w:ascii="Times New Roman" w:hAnsi="Times New Roman" w:cs="Times New Roman"/>
                <w:b/>
                <w:bCs/>
                <w:color w:val="000000"/>
                <w:kern w:val="0"/>
                <w:szCs w:val="21"/>
                <w:lang w:bidi="ar"/>
              </w:rPr>
              <w:t>年</w:t>
            </w:r>
          </w:p>
        </w:tc>
        <w:tc>
          <w:tcPr>
            <w:tcW w:w="1177" w:type="dxa"/>
            <w:shd w:val="clear" w:color="auto" w:fill="D9D9D9"/>
            <w:vAlign w:val="center"/>
          </w:tcPr>
          <w:p w14:paraId="37839AE3" w14:textId="77777777" w:rsidR="00E173A4" w:rsidRDefault="00E173A4">
            <w:pPr>
              <w:widowControl/>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2020</w:t>
            </w:r>
            <w:r>
              <w:rPr>
                <w:rFonts w:ascii="Times New Roman" w:hAnsi="Times New Roman" w:cs="Times New Roman"/>
                <w:b/>
                <w:bCs/>
                <w:color w:val="000000"/>
                <w:kern w:val="0"/>
                <w:szCs w:val="21"/>
                <w:lang w:bidi="ar"/>
              </w:rPr>
              <w:t>年</w:t>
            </w:r>
          </w:p>
        </w:tc>
      </w:tr>
      <w:tr w:rsidR="00E173A4" w14:paraId="2BC9A0A0" w14:textId="77777777">
        <w:trPr>
          <w:trHeight w:val="397"/>
          <w:jc w:val="center"/>
        </w:trPr>
        <w:tc>
          <w:tcPr>
            <w:tcW w:w="5469" w:type="dxa"/>
            <w:vAlign w:val="center"/>
          </w:tcPr>
          <w:p w14:paraId="15836D3A" w14:textId="77777777" w:rsidR="00E173A4" w:rsidRDefault="00E173A4">
            <w:pPr>
              <w:widowControl/>
              <w:jc w:val="left"/>
              <w:rPr>
                <w:rFonts w:ascii="Times New Roman" w:hAnsi="Times New Roman" w:cs="Times New Roman"/>
                <w:kern w:val="0"/>
                <w:szCs w:val="21"/>
              </w:rPr>
            </w:pPr>
            <w:r>
              <w:rPr>
                <w:rFonts w:ascii="Times New Roman" w:hAnsi="Times New Roman" w:cs="Times New Roman"/>
                <w:kern w:val="0"/>
                <w:szCs w:val="21"/>
              </w:rPr>
              <w:t>合并报表中归属于母公司股东的净利润</w:t>
            </w:r>
          </w:p>
        </w:tc>
        <w:tc>
          <w:tcPr>
            <w:tcW w:w="1177" w:type="dxa"/>
            <w:vAlign w:val="center"/>
          </w:tcPr>
          <w:p w14:paraId="6E01FE11"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13,620.51</w:t>
            </w:r>
          </w:p>
        </w:tc>
        <w:tc>
          <w:tcPr>
            <w:tcW w:w="1177" w:type="dxa"/>
            <w:vAlign w:val="center"/>
          </w:tcPr>
          <w:p w14:paraId="5D7CD4A0"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6,099.35</w:t>
            </w:r>
          </w:p>
        </w:tc>
        <w:tc>
          <w:tcPr>
            <w:tcW w:w="1177" w:type="dxa"/>
            <w:vAlign w:val="center"/>
          </w:tcPr>
          <w:p w14:paraId="18F5E11C"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5,796.81</w:t>
            </w:r>
          </w:p>
        </w:tc>
      </w:tr>
      <w:tr w:rsidR="00E173A4" w14:paraId="671135FD" w14:textId="77777777">
        <w:trPr>
          <w:trHeight w:val="397"/>
          <w:jc w:val="center"/>
        </w:trPr>
        <w:tc>
          <w:tcPr>
            <w:tcW w:w="5469" w:type="dxa"/>
            <w:vAlign w:val="center"/>
          </w:tcPr>
          <w:p w14:paraId="7123EF77" w14:textId="77777777" w:rsidR="00E173A4" w:rsidRDefault="00E173A4">
            <w:pPr>
              <w:widowControl/>
              <w:jc w:val="left"/>
              <w:rPr>
                <w:rFonts w:ascii="Times New Roman" w:hAnsi="Times New Roman" w:cs="Times New Roman"/>
                <w:kern w:val="0"/>
                <w:szCs w:val="21"/>
              </w:rPr>
            </w:pPr>
            <w:r>
              <w:rPr>
                <w:rFonts w:ascii="Times New Roman" w:hAnsi="Times New Roman" w:cs="Times New Roman"/>
                <w:kern w:val="0"/>
                <w:szCs w:val="21"/>
              </w:rPr>
              <w:t>现金分红金额（含税）</w:t>
            </w:r>
          </w:p>
        </w:tc>
        <w:tc>
          <w:tcPr>
            <w:tcW w:w="1177" w:type="dxa"/>
            <w:vAlign w:val="center"/>
          </w:tcPr>
          <w:p w14:paraId="0AA6A42A"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5,066.31</w:t>
            </w:r>
          </w:p>
        </w:tc>
        <w:tc>
          <w:tcPr>
            <w:tcW w:w="1177" w:type="dxa"/>
            <w:vAlign w:val="center"/>
          </w:tcPr>
          <w:p w14:paraId="35F4A385"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5,901.18</w:t>
            </w:r>
          </w:p>
        </w:tc>
        <w:tc>
          <w:tcPr>
            <w:tcW w:w="1177" w:type="dxa"/>
            <w:vAlign w:val="center"/>
          </w:tcPr>
          <w:p w14:paraId="0531EB01"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5,250.60</w:t>
            </w:r>
          </w:p>
        </w:tc>
      </w:tr>
      <w:tr w:rsidR="00E173A4" w14:paraId="67FF899A" w14:textId="77777777">
        <w:trPr>
          <w:trHeight w:val="397"/>
          <w:jc w:val="center"/>
        </w:trPr>
        <w:tc>
          <w:tcPr>
            <w:tcW w:w="5469" w:type="dxa"/>
            <w:vAlign w:val="center"/>
          </w:tcPr>
          <w:p w14:paraId="1A5126B2" w14:textId="77777777" w:rsidR="00E173A4" w:rsidRDefault="00E173A4">
            <w:pPr>
              <w:widowControl/>
              <w:jc w:val="left"/>
              <w:rPr>
                <w:rFonts w:ascii="Times New Roman" w:hAnsi="Times New Roman" w:cs="Times New Roman"/>
                <w:kern w:val="0"/>
                <w:szCs w:val="21"/>
              </w:rPr>
            </w:pPr>
            <w:r>
              <w:rPr>
                <w:rFonts w:ascii="Times New Roman" w:hAnsi="Times New Roman" w:cs="Times New Roman"/>
                <w:kern w:val="0"/>
                <w:szCs w:val="21"/>
              </w:rPr>
              <w:t>现金分红占合并报表中归属于母公司股东净利润的比例</w:t>
            </w:r>
          </w:p>
        </w:tc>
        <w:tc>
          <w:tcPr>
            <w:tcW w:w="1177" w:type="dxa"/>
            <w:vAlign w:val="center"/>
          </w:tcPr>
          <w:p w14:paraId="364630D7"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37.20%</w:t>
            </w:r>
          </w:p>
        </w:tc>
        <w:tc>
          <w:tcPr>
            <w:tcW w:w="1177" w:type="dxa"/>
            <w:vAlign w:val="center"/>
          </w:tcPr>
          <w:p w14:paraId="3DCC6818"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96.75%</w:t>
            </w:r>
          </w:p>
        </w:tc>
        <w:tc>
          <w:tcPr>
            <w:tcW w:w="1177" w:type="dxa"/>
            <w:vAlign w:val="center"/>
          </w:tcPr>
          <w:p w14:paraId="65C23F34"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90.58%</w:t>
            </w:r>
          </w:p>
        </w:tc>
      </w:tr>
      <w:tr w:rsidR="00E173A4" w14:paraId="75C9CF52" w14:textId="77777777">
        <w:trPr>
          <w:trHeight w:val="397"/>
          <w:jc w:val="center"/>
        </w:trPr>
        <w:tc>
          <w:tcPr>
            <w:tcW w:w="5469" w:type="dxa"/>
            <w:vAlign w:val="center"/>
          </w:tcPr>
          <w:p w14:paraId="514EBF5F" w14:textId="77777777" w:rsidR="00E173A4" w:rsidRDefault="00E173A4">
            <w:pPr>
              <w:widowControl/>
              <w:jc w:val="left"/>
              <w:rPr>
                <w:rFonts w:ascii="Times New Roman" w:hAnsi="Times New Roman" w:cs="Times New Roman"/>
                <w:kern w:val="0"/>
                <w:szCs w:val="21"/>
              </w:rPr>
            </w:pPr>
            <w:r>
              <w:rPr>
                <w:rFonts w:ascii="Times New Roman" w:hAnsi="Times New Roman" w:cs="Times New Roman"/>
                <w:kern w:val="0"/>
                <w:szCs w:val="21"/>
              </w:rPr>
              <w:t>最近三年累计现金分红合计</w:t>
            </w:r>
          </w:p>
        </w:tc>
        <w:tc>
          <w:tcPr>
            <w:tcW w:w="3531" w:type="dxa"/>
            <w:gridSpan w:val="3"/>
            <w:vAlign w:val="center"/>
          </w:tcPr>
          <w:p w14:paraId="551084F7"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16,218.09</w:t>
            </w:r>
          </w:p>
        </w:tc>
      </w:tr>
      <w:tr w:rsidR="00E173A4" w14:paraId="7F3CFD5D" w14:textId="77777777">
        <w:trPr>
          <w:trHeight w:val="397"/>
          <w:jc w:val="center"/>
        </w:trPr>
        <w:tc>
          <w:tcPr>
            <w:tcW w:w="5469" w:type="dxa"/>
            <w:vAlign w:val="center"/>
          </w:tcPr>
          <w:p w14:paraId="5A236397" w14:textId="77777777" w:rsidR="00E173A4" w:rsidRDefault="00E173A4">
            <w:pPr>
              <w:widowControl/>
              <w:jc w:val="left"/>
              <w:rPr>
                <w:rFonts w:ascii="Times New Roman" w:hAnsi="Times New Roman" w:cs="Times New Roman"/>
                <w:kern w:val="0"/>
                <w:szCs w:val="21"/>
              </w:rPr>
            </w:pPr>
            <w:r>
              <w:rPr>
                <w:rFonts w:ascii="Times New Roman" w:hAnsi="Times New Roman" w:cs="Times New Roman"/>
                <w:kern w:val="0"/>
                <w:szCs w:val="21"/>
              </w:rPr>
              <w:t>最近三年合并报表中归属于母公司股东的年均净利润</w:t>
            </w:r>
          </w:p>
        </w:tc>
        <w:tc>
          <w:tcPr>
            <w:tcW w:w="3531" w:type="dxa"/>
            <w:gridSpan w:val="3"/>
            <w:vAlign w:val="center"/>
          </w:tcPr>
          <w:p w14:paraId="1AB079CA"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8,505.56</w:t>
            </w:r>
          </w:p>
        </w:tc>
      </w:tr>
      <w:tr w:rsidR="00E173A4" w14:paraId="733D7ABD" w14:textId="77777777">
        <w:trPr>
          <w:trHeight w:val="397"/>
          <w:jc w:val="center"/>
        </w:trPr>
        <w:tc>
          <w:tcPr>
            <w:tcW w:w="5469" w:type="dxa"/>
            <w:vAlign w:val="center"/>
          </w:tcPr>
          <w:p w14:paraId="61D0E7D2" w14:textId="77777777" w:rsidR="00E173A4" w:rsidRDefault="00E173A4">
            <w:pPr>
              <w:widowControl/>
              <w:jc w:val="left"/>
              <w:rPr>
                <w:rFonts w:ascii="Times New Roman" w:hAnsi="Times New Roman" w:cs="Times New Roman"/>
                <w:kern w:val="0"/>
                <w:szCs w:val="21"/>
              </w:rPr>
            </w:pPr>
            <w:r>
              <w:rPr>
                <w:rFonts w:ascii="Times New Roman" w:hAnsi="Times New Roman" w:cs="Times New Roman"/>
                <w:kern w:val="0"/>
                <w:szCs w:val="21"/>
              </w:rPr>
              <w:t>最近三年累计现金分红占最近三年合并报表中归属于母公司股东的年均净利润的比例</w:t>
            </w:r>
          </w:p>
        </w:tc>
        <w:tc>
          <w:tcPr>
            <w:tcW w:w="3531" w:type="dxa"/>
            <w:gridSpan w:val="3"/>
            <w:vAlign w:val="center"/>
          </w:tcPr>
          <w:p w14:paraId="265A5A0D" w14:textId="77777777" w:rsidR="00E173A4" w:rsidRDefault="00E173A4">
            <w:pPr>
              <w:widowControl/>
              <w:jc w:val="right"/>
              <w:textAlignment w:val="center"/>
              <w:rPr>
                <w:rFonts w:ascii="Times New Roman" w:eastAsia="等线" w:hAnsi="Times New Roman" w:cs="Times New Roman"/>
                <w:color w:val="000000"/>
                <w:kern w:val="0"/>
                <w:szCs w:val="21"/>
                <w:lang w:bidi="ar"/>
              </w:rPr>
            </w:pPr>
            <w:r>
              <w:rPr>
                <w:rFonts w:ascii="Times New Roman" w:eastAsia="等线" w:hAnsi="Times New Roman" w:cs="Times New Roman"/>
                <w:color w:val="000000"/>
                <w:kern w:val="0"/>
                <w:szCs w:val="21"/>
                <w:lang w:bidi="ar"/>
              </w:rPr>
              <w:t>190.68%</w:t>
            </w:r>
          </w:p>
        </w:tc>
      </w:tr>
    </w:tbl>
    <w:p w14:paraId="189A9295" w14:textId="77777777" w:rsidR="00E173A4" w:rsidRDefault="00E173A4">
      <w:pPr>
        <w:pStyle w:val="002"/>
        <w:spacing w:before="120" w:after="120"/>
      </w:pPr>
      <w:bookmarkStart w:id="20" w:name="_Toc152320933"/>
      <w:bookmarkStart w:id="21" w:name="_Toc87299687"/>
      <w:r>
        <w:t>四、发行人主要财务数据及财务指标</w:t>
      </w:r>
      <w:bookmarkEnd w:id="20"/>
      <w:bookmarkEnd w:id="21"/>
    </w:p>
    <w:p w14:paraId="7CF62396" w14:textId="77777777" w:rsidR="00E173A4" w:rsidRDefault="00E173A4">
      <w:pPr>
        <w:pStyle w:val="003"/>
        <w:spacing w:before="120" w:after="120"/>
      </w:pPr>
      <w:r>
        <w:t>（一）公司主要财务数据</w:t>
      </w:r>
    </w:p>
    <w:p w14:paraId="09C019F2" w14:textId="77777777" w:rsidR="00E173A4" w:rsidRDefault="00E173A4">
      <w:pPr>
        <w:pStyle w:val="004"/>
        <w:spacing w:before="120" w:after="120"/>
        <w:ind w:firstLine="482"/>
      </w:pPr>
      <w:r>
        <w:t>1</w:t>
      </w:r>
      <w:r>
        <w:t>、合并资产负债表主要数据</w:t>
      </w:r>
    </w:p>
    <w:p w14:paraId="29B0147C" w14:textId="77777777" w:rsidR="00E173A4" w:rsidRDefault="00E173A4">
      <w:pPr>
        <w:pStyle w:val="009"/>
        <w:rPr>
          <w:lang w:val="zh-CN"/>
        </w:rPr>
      </w:pPr>
      <w:r>
        <w:rPr>
          <w:lang w:val="zh-CN"/>
        </w:rPr>
        <w:t>单位：万元</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67"/>
        <w:gridCol w:w="1579"/>
        <w:gridCol w:w="1579"/>
        <w:gridCol w:w="1578"/>
        <w:gridCol w:w="1579"/>
      </w:tblGrid>
      <w:tr w:rsidR="00E173A4" w14:paraId="3B0B1B6C" w14:textId="77777777">
        <w:trPr>
          <w:trHeight w:val="397"/>
          <w:tblHeader/>
          <w:jc w:val="center"/>
        </w:trPr>
        <w:tc>
          <w:tcPr>
            <w:tcW w:w="2026" w:type="dxa"/>
            <w:shd w:val="clear" w:color="000000" w:fill="D9D9D9"/>
            <w:vAlign w:val="center"/>
          </w:tcPr>
          <w:p w14:paraId="630E9C08"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项目</w:t>
            </w:r>
          </w:p>
        </w:tc>
        <w:tc>
          <w:tcPr>
            <w:tcW w:w="1625" w:type="dxa"/>
            <w:shd w:val="clear" w:color="000000" w:fill="D9D9D9"/>
            <w:vAlign w:val="center"/>
          </w:tcPr>
          <w:p w14:paraId="4284C795" w14:textId="77777777" w:rsidR="00E173A4" w:rsidRDefault="00E173A4">
            <w:pPr>
              <w:widowControl/>
              <w:jc w:val="center"/>
              <w:rPr>
                <w:rFonts w:ascii="Times New Roman" w:hAnsi="Times New Roman" w:cs="Times New Roman" w:hint="eastAsia"/>
                <w:b/>
                <w:color w:val="000000"/>
                <w:kern w:val="0"/>
                <w:szCs w:val="21"/>
              </w:rPr>
            </w:pPr>
            <w:r>
              <w:rPr>
                <w:rFonts w:ascii="Times New Roman" w:hAnsi="Times New Roman" w:cs="Times New Roman"/>
                <w:b/>
                <w:color w:val="000000"/>
                <w:kern w:val="0"/>
                <w:szCs w:val="21"/>
              </w:rPr>
              <w:t>2023</w:t>
            </w:r>
            <w:r>
              <w:rPr>
                <w:rFonts w:ascii="Times New Roman" w:hAnsi="Times New Roman" w:cs="Times New Roman"/>
                <w:b/>
                <w:color w:val="000000"/>
                <w:kern w:val="0"/>
                <w:szCs w:val="21"/>
              </w:rPr>
              <w:t>年</w:t>
            </w:r>
          </w:p>
          <w:p w14:paraId="7AE96F73" w14:textId="77777777" w:rsidR="00E173A4" w:rsidRDefault="00E173A4">
            <w:pPr>
              <w:widowControl/>
              <w:jc w:val="center"/>
              <w:rPr>
                <w:rFonts w:ascii="Times New Roman" w:hAnsi="Times New Roman" w:cs="Times New Roman"/>
                <w:b/>
                <w:bCs/>
                <w:color w:val="000000"/>
                <w:kern w:val="0"/>
                <w:szCs w:val="21"/>
              </w:rPr>
            </w:pPr>
            <w:r>
              <w:rPr>
                <w:rFonts w:ascii="Times New Roman" w:hAnsi="Times New Roman" w:cs="Times New Roman" w:hint="eastAsia"/>
                <w:b/>
                <w:color w:val="000000"/>
                <w:kern w:val="0"/>
                <w:szCs w:val="21"/>
              </w:rPr>
              <w:t>9</w:t>
            </w:r>
            <w:r>
              <w:rPr>
                <w:rFonts w:ascii="Times New Roman" w:hAnsi="Times New Roman" w:cs="Times New Roman"/>
                <w:b/>
                <w:color w:val="000000"/>
                <w:kern w:val="0"/>
                <w:szCs w:val="21"/>
              </w:rPr>
              <w:t>月</w:t>
            </w:r>
            <w:r>
              <w:rPr>
                <w:rFonts w:ascii="Times New Roman" w:hAnsi="Times New Roman" w:cs="Times New Roman"/>
                <w:b/>
                <w:color w:val="000000"/>
                <w:kern w:val="0"/>
                <w:szCs w:val="21"/>
              </w:rPr>
              <w:t>30</w:t>
            </w:r>
            <w:r>
              <w:rPr>
                <w:rFonts w:ascii="Times New Roman" w:hAnsi="Times New Roman" w:cs="Times New Roman"/>
                <w:b/>
                <w:color w:val="000000"/>
                <w:kern w:val="0"/>
                <w:szCs w:val="21"/>
              </w:rPr>
              <w:t>日</w:t>
            </w:r>
          </w:p>
        </w:tc>
        <w:tc>
          <w:tcPr>
            <w:tcW w:w="1626" w:type="dxa"/>
            <w:shd w:val="clear" w:color="000000" w:fill="D9D9D9"/>
            <w:vAlign w:val="center"/>
          </w:tcPr>
          <w:p w14:paraId="68658430" w14:textId="77777777" w:rsidR="00E173A4" w:rsidRDefault="00E173A4">
            <w:pPr>
              <w:widowControl/>
              <w:jc w:val="center"/>
              <w:rPr>
                <w:rFonts w:ascii="Times New Roman" w:hAnsi="Times New Roman" w:cs="Times New Roman" w:hint="eastAsia"/>
                <w:b/>
                <w:color w:val="000000"/>
                <w:kern w:val="0"/>
                <w:szCs w:val="21"/>
              </w:rPr>
            </w:pPr>
            <w:r>
              <w:rPr>
                <w:rFonts w:ascii="Times New Roman" w:hAnsi="Times New Roman" w:cs="Times New Roman"/>
                <w:b/>
                <w:color w:val="000000"/>
                <w:kern w:val="0"/>
                <w:szCs w:val="21"/>
              </w:rPr>
              <w:t>2022</w:t>
            </w:r>
            <w:r>
              <w:rPr>
                <w:rFonts w:ascii="Times New Roman" w:hAnsi="Times New Roman" w:cs="Times New Roman"/>
                <w:b/>
                <w:color w:val="000000"/>
                <w:kern w:val="0"/>
                <w:szCs w:val="21"/>
              </w:rPr>
              <w:t>年</w:t>
            </w:r>
          </w:p>
          <w:p w14:paraId="198D178E" w14:textId="77777777" w:rsidR="00E173A4" w:rsidRDefault="00E173A4">
            <w:pPr>
              <w:widowControl/>
              <w:jc w:val="center"/>
              <w:rPr>
                <w:rFonts w:ascii="Times New Roman" w:hAnsi="Times New Roman" w:cs="Times New Roman"/>
                <w:b/>
                <w:bCs/>
                <w:color w:val="000000"/>
                <w:kern w:val="0"/>
                <w:szCs w:val="21"/>
              </w:rPr>
            </w:pPr>
            <w:r>
              <w:rPr>
                <w:rFonts w:ascii="Times New Roman" w:hAnsi="Times New Roman" w:cs="Times New Roman"/>
                <w:b/>
                <w:color w:val="000000"/>
                <w:kern w:val="0"/>
                <w:szCs w:val="21"/>
              </w:rPr>
              <w:t>12</w:t>
            </w:r>
            <w:r>
              <w:rPr>
                <w:rFonts w:ascii="Times New Roman" w:hAnsi="Times New Roman" w:cs="Times New Roman"/>
                <w:b/>
                <w:color w:val="000000"/>
                <w:kern w:val="0"/>
                <w:szCs w:val="21"/>
              </w:rPr>
              <w:t>月</w:t>
            </w:r>
            <w:r>
              <w:rPr>
                <w:rFonts w:ascii="Times New Roman" w:hAnsi="Times New Roman" w:cs="Times New Roman"/>
                <w:b/>
                <w:color w:val="000000"/>
                <w:kern w:val="0"/>
                <w:szCs w:val="21"/>
              </w:rPr>
              <w:t>31</w:t>
            </w:r>
            <w:r>
              <w:rPr>
                <w:rFonts w:ascii="Times New Roman" w:hAnsi="Times New Roman" w:cs="Times New Roman"/>
                <w:b/>
                <w:color w:val="000000"/>
                <w:kern w:val="0"/>
                <w:szCs w:val="21"/>
              </w:rPr>
              <w:t>日</w:t>
            </w:r>
          </w:p>
        </w:tc>
        <w:tc>
          <w:tcPr>
            <w:tcW w:w="1625" w:type="dxa"/>
            <w:shd w:val="clear" w:color="000000" w:fill="D9D9D9"/>
            <w:vAlign w:val="center"/>
          </w:tcPr>
          <w:p w14:paraId="54CD6E90" w14:textId="77777777" w:rsidR="00E173A4" w:rsidRDefault="00E173A4">
            <w:pPr>
              <w:widowControl/>
              <w:jc w:val="center"/>
              <w:rPr>
                <w:rFonts w:ascii="Times New Roman" w:hAnsi="Times New Roman" w:cs="Times New Roman" w:hint="eastAsia"/>
                <w:b/>
                <w:color w:val="000000"/>
                <w:kern w:val="0"/>
                <w:szCs w:val="21"/>
              </w:rPr>
            </w:pPr>
            <w:r>
              <w:rPr>
                <w:rFonts w:ascii="Times New Roman" w:hAnsi="Times New Roman" w:cs="Times New Roman"/>
                <w:b/>
                <w:color w:val="000000"/>
                <w:kern w:val="0"/>
                <w:szCs w:val="21"/>
              </w:rPr>
              <w:t>2021</w:t>
            </w:r>
            <w:r>
              <w:rPr>
                <w:rFonts w:ascii="Times New Roman" w:hAnsi="Times New Roman" w:cs="Times New Roman"/>
                <w:b/>
                <w:color w:val="000000"/>
                <w:kern w:val="0"/>
                <w:szCs w:val="21"/>
              </w:rPr>
              <w:t>年</w:t>
            </w:r>
          </w:p>
          <w:p w14:paraId="68176B31" w14:textId="77777777" w:rsidR="00E173A4" w:rsidRDefault="00E173A4">
            <w:pPr>
              <w:widowControl/>
              <w:jc w:val="center"/>
              <w:rPr>
                <w:rFonts w:ascii="Times New Roman" w:hAnsi="Times New Roman" w:cs="Times New Roman"/>
                <w:b/>
                <w:bCs/>
                <w:color w:val="000000"/>
                <w:kern w:val="0"/>
                <w:szCs w:val="21"/>
              </w:rPr>
            </w:pPr>
            <w:r>
              <w:rPr>
                <w:rFonts w:ascii="Times New Roman" w:hAnsi="Times New Roman" w:cs="Times New Roman"/>
                <w:b/>
                <w:color w:val="000000"/>
                <w:kern w:val="0"/>
                <w:szCs w:val="21"/>
              </w:rPr>
              <w:t>12</w:t>
            </w:r>
            <w:r>
              <w:rPr>
                <w:rFonts w:ascii="Times New Roman" w:hAnsi="Times New Roman" w:cs="Times New Roman"/>
                <w:b/>
                <w:color w:val="000000"/>
                <w:kern w:val="0"/>
                <w:szCs w:val="21"/>
              </w:rPr>
              <w:t>月</w:t>
            </w:r>
            <w:r>
              <w:rPr>
                <w:rFonts w:ascii="Times New Roman" w:hAnsi="Times New Roman" w:cs="Times New Roman"/>
                <w:b/>
                <w:color w:val="000000"/>
                <w:kern w:val="0"/>
                <w:szCs w:val="21"/>
              </w:rPr>
              <w:t>31</w:t>
            </w:r>
            <w:r>
              <w:rPr>
                <w:rFonts w:ascii="Times New Roman" w:hAnsi="Times New Roman" w:cs="Times New Roman"/>
                <w:b/>
                <w:color w:val="000000"/>
                <w:kern w:val="0"/>
                <w:szCs w:val="21"/>
              </w:rPr>
              <w:t>日</w:t>
            </w:r>
          </w:p>
        </w:tc>
        <w:tc>
          <w:tcPr>
            <w:tcW w:w="1626" w:type="dxa"/>
            <w:shd w:val="clear" w:color="000000" w:fill="D9D9D9"/>
            <w:vAlign w:val="center"/>
          </w:tcPr>
          <w:p w14:paraId="657831AE" w14:textId="77777777" w:rsidR="00E173A4" w:rsidRDefault="00E173A4">
            <w:pPr>
              <w:widowControl/>
              <w:jc w:val="center"/>
              <w:rPr>
                <w:rFonts w:ascii="Times New Roman" w:hAnsi="Times New Roman" w:cs="Times New Roman" w:hint="eastAsia"/>
                <w:b/>
                <w:color w:val="000000"/>
                <w:kern w:val="0"/>
                <w:szCs w:val="21"/>
              </w:rPr>
            </w:pPr>
            <w:r>
              <w:rPr>
                <w:rFonts w:ascii="Times New Roman" w:hAnsi="Times New Roman" w:cs="Times New Roman"/>
                <w:b/>
                <w:color w:val="000000"/>
                <w:kern w:val="0"/>
                <w:szCs w:val="21"/>
              </w:rPr>
              <w:t>2020</w:t>
            </w:r>
            <w:r>
              <w:rPr>
                <w:rFonts w:ascii="Times New Roman" w:hAnsi="Times New Roman" w:cs="Times New Roman"/>
                <w:b/>
                <w:color w:val="000000"/>
                <w:kern w:val="0"/>
                <w:szCs w:val="21"/>
              </w:rPr>
              <w:t>年</w:t>
            </w:r>
          </w:p>
          <w:p w14:paraId="4F16DC37" w14:textId="77777777" w:rsidR="00E173A4" w:rsidRDefault="00E173A4">
            <w:pPr>
              <w:widowControl/>
              <w:jc w:val="center"/>
              <w:rPr>
                <w:rFonts w:ascii="Times New Roman" w:hAnsi="Times New Roman" w:cs="Times New Roman"/>
                <w:b/>
                <w:bCs/>
                <w:color w:val="000000"/>
                <w:kern w:val="0"/>
                <w:szCs w:val="21"/>
              </w:rPr>
            </w:pPr>
            <w:r>
              <w:rPr>
                <w:rFonts w:ascii="Times New Roman" w:hAnsi="Times New Roman" w:cs="Times New Roman"/>
                <w:b/>
                <w:color w:val="000000"/>
                <w:kern w:val="0"/>
                <w:szCs w:val="21"/>
              </w:rPr>
              <w:t>12</w:t>
            </w:r>
            <w:r>
              <w:rPr>
                <w:rFonts w:ascii="Times New Roman" w:hAnsi="Times New Roman" w:cs="Times New Roman"/>
                <w:b/>
                <w:color w:val="000000"/>
                <w:kern w:val="0"/>
                <w:szCs w:val="21"/>
              </w:rPr>
              <w:t>月</w:t>
            </w:r>
            <w:r>
              <w:rPr>
                <w:rFonts w:ascii="Times New Roman" w:hAnsi="Times New Roman" w:cs="Times New Roman"/>
                <w:b/>
                <w:color w:val="000000"/>
                <w:kern w:val="0"/>
                <w:szCs w:val="21"/>
              </w:rPr>
              <w:t>31</w:t>
            </w:r>
            <w:r>
              <w:rPr>
                <w:rFonts w:ascii="Times New Roman" w:hAnsi="Times New Roman" w:cs="Times New Roman"/>
                <w:b/>
                <w:color w:val="000000"/>
                <w:kern w:val="0"/>
                <w:szCs w:val="21"/>
              </w:rPr>
              <w:t>日</w:t>
            </w:r>
          </w:p>
        </w:tc>
      </w:tr>
      <w:tr w:rsidR="00E173A4" w14:paraId="17E9E273" w14:textId="77777777">
        <w:trPr>
          <w:trHeight w:val="397"/>
          <w:jc w:val="center"/>
        </w:trPr>
        <w:tc>
          <w:tcPr>
            <w:tcW w:w="2026" w:type="dxa"/>
            <w:vAlign w:val="center"/>
          </w:tcPr>
          <w:p w14:paraId="3427D839"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资产总额</w:t>
            </w:r>
          </w:p>
        </w:tc>
        <w:tc>
          <w:tcPr>
            <w:tcW w:w="1625" w:type="dxa"/>
            <w:vAlign w:val="center"/>
          </w:tcPr>
          <w:p w14:paraId="779EE250"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100,733.51</w:t>
            </w:r>
          </w:p>
        </w:tc>
        <w:tc>
          <w:tcPr>
            <w:tcW w:w="1626" w:type="dxa"/>
            <w:vAlign w:val="center"/>
          </w:tcPr>
          <w:p w14:paraId="255D0E93"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hint="eastAsia"/>
                <w:szCs w:val="21"/>
              </w:rPr>
              <w:t>99,396.71</w:t>
            </w:r>
          </w:p>
        </w:tc>
        <w:tc>
          <w:tcPr>
            <w:tcW w:w="1625" w:type="dxa"/>
            <w:vAlign w:val="center"/>
          </w:tcPr>
          <w:p w14:paraId="7E04EC73"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88,988.05</w:t>
            </w:r>
          </w:p>
        </w:tc>
        <w:tc>
          <w:tcPr>
            <w:tcW w:w="1626" w:type="dxa"/>
            <w:vAlign w:val="center"/>
          </w:tcPr>
          <w:p w14:paraId="1DEFE9D2"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86,966.49</w:t>
            </w:r>
          </w:p>
        </w:tc>
      </w:tr>
      <w:tr w:rsidR="00E173A4" w14:paraId="44F4362A" w14:textId="77777777">
        <w:trPr>
          <w:trHeight w:val="397"/>
          <w:jc w:val="center"/>
        </w:trPr>
        <w:tc>
          <w:tcPr>
            <w:tcW w:w="2026" w:type="dxa"/>
            <w:vAlign w:val="center"/>
          </w:tcPr>
          <w:p w14:paraId="02A1225C"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负债总额</w:t>
            </w:r>
          </w:p>
        </w:tc>
        <w:tc>
          <w:tcPr>
            <w:tcW w:w="1625" w:type="dxa"/>
            <w:vAlign w:val="center"/>
          </w:tcPr>
          <w:p w14:paraId="7AAFC8F5"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18,112.24</w:t>
            </w:r>
          </w:p>
        </w:tc>
        <w:tc>
          <w:tcPr>
            <w:tcW w:w="1626" w:type="dxa"/>
            <w:vAlign w:val="center"/>
          </w:tcPr>
          <w:p w14:paraId="44BD5F49"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hint="eastAsia"/>
                <w:szCs w:val="21"/>
              </w:rPr>
              <w:t>22,265.03</w:t>
            </w:r>
          </w:p>
        </w:tc>
        <w:tc>
          <w:tcPr>
            <w:tcW w:w="1625" w:type="dxa"/>
            <w:vAlign w:val="center"/>
          </w:tcPr>
          <w:p w14:paraId="2FFD3CE0"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24,390.19</w:t>
            </w:r>
          </w:p>
        </w:tc>
        <w:tc>
          <w:tcPr>
            <w:tcW w:w="1626" w:type="dxa"/>
            <w:vAlign w:val="center"/>
          </w:tcPr>
          <w:p w14:paraId="2115308C"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20,643.22</w:t>
            </w:r>
          </w:p>
        </w:tc>
      </w:tr>
      <w:tr w:rsidR="00E173A4" w14:paraId="4B51638B" w14:textId="77777777">
        <w:trPr>
          <w:trHeight w:val="397"/>
          <w:jc w:val="center"/>
        </w:trPr>
        <w:tc>
          <w:tcPr>
            <w:tcW w:w="2026" w:type="dxa"/>
            <w:vAlign w:val="center"/>
          </w:tcPr>
          <w:p w14:paraId="67CEB1C9"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归属于母公司所有者权益合计</w:t>
            </w:r>
          </w:p>
        </w:tc>
        <w:tc>
          <w:tcPr>
            <w:tcW w:w="1625" w:type="dxa"/>
            <w:vAlign w:val="center"/>
          </w:tcPr>
          <w:p w14:paraId="7F8765A0"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78,281.01</w:t>
            </w:r>
          </w:p>
        </w:tc>
        <w:tc>
          <w:tcPr>
            <w:tcW w:w="1626" w:type="dxa"/>
            <w:vAlign w:val="center"/>
          </w:tcPr>
          <w:p w14:paraId="0852A3C3"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hint="eastAsia"/>
                <w:szCs w:val="21"/>
              </w:rPr>
              <w:t>73,388.95</w:t>
            </w:r>
          </w:p>
        </w:tc>
        <w:tc>
          <w:tcPr>
            <w:tcW w:w="1625" w:type="dxa"/>
            <w:vAlign w:val="center"/>
          </w:tcPr>
          <w:p w14:paraId="65613466"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64,597.86</w:t>
            </w:r>
          </w:p>
        </w:tc>
        <w:tc>
          <w:tcPr>
            <w:tcW w:w="1626" w:type="dxa"/>
            <w:vAlign w:val="center"/>
          </w:tcPr>
          <w:p w14:paraId="5D240E9C" w14:textId="77777777" w:rsidR="00E173A4" w:rsidRDefault="00E173A4">
            <w:pPr>
              <w:adjustRightInd w:val="0"/>
              <w:snapToGrid w:val="0"/>
              <w:jc w:val="right"/>
              <w:rPr>
                <w:rFonts w:ascii="Times New Roman" w:hAnsi="Times New Roman" w:cs="Times New Roman"/>
                <w:szCs w:val="21"/>
              </w:rPr>
            </w:pPr>
            <w:r>
              <w:rPr>
                <w:rFonts w:ascii="Times New Roman" w:hAnsi="Times New Roman" w:cs="Times New Roman"/>
                <w:szCs w:val="21"/>
              </w:rPr>
              <w:t>66,323.27</w:t>
            </w:r>
          </w:p>
        </w:tc>
      </w:tr>
    </w:tbl>
    <w:p w14:paraId="0C64A26B" w14:textId="77777777" w:rsidR="00E173A4" w:rsidRDefault="00E173A4">
      <w:pPr>
        <w:pStyle w:val="004"/>
        <w:spacing w:before="120" w:after="120"/>
        <w:ind w:firstLine="482"/>
      </w:pPr>
      <w:r>
        <w:t>2</w:t>
      </w:r>
      <w:r>
        <w:t>、合并利润表主要数据</w:t>
      </w:r>
    </w:p>
    <w:p w14:paraId="0BB78AF6" w14:textId="77777777" w:rsidR="00E173A4" w:rsidRDefault="00E173A4">
      <w:pPr>
        <w:pStyle w:val="009"/>
        <w:rPr>
          <w:lang w:val="zh-CN"/>
        </w:rPr>
      </w:pPr>
      <w:r>
        <w:rPr>
          <w:lang w:val="zh-CN"/>
        </w:rPr>
        <w:t>单位：万元</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22"/>
        <w:gridCol w:w="1590"/>
        <w:gridCol w:w="1590"/>
        <w:gridCol w:w="1590"/>
        <w:gridCol w:w="1590"/>
      </w:tblGrid>
      <w:tr w:rsidR="00E173A4" w14:paraId="724667D4" w14:textId="77777777">
        <w:trPr>
          <w:trHeight w:val="397"/>
          <w:tblHeader/>
          <w:jc w:val="center"/>
        </w:trPr>
        <w:tc>
          <w:tcPr>
            <w:tcW w:w="2024" w:type="dxa"/>
            <w:shd w:val="clear" w:color="000000" w:fill="D9D9D9"/>
            <w:vAlign w:val="center"/>
          </w:tcPr>
          <w:p w14:paraId="1B5AB9AA"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项目</w:t>
            </w:r>
          </w:p>
        </w:tc>
        <w:tc>
          <w:tcPr>
            <w:tcW w:w="1626" w:type="dxa"/>
            <w:shd w:val="clear" w:color="000000" w:fill="D9D9D9"/>
            <w:vAlign w:val="center"/>
          </w:tcPr>
          <w:p w14:paraId="02916E60" w14:textId="77777777" w:rsidR="00E173A4" w:rsidRDefault="00E173A4">
            <w:pPr>
              <w:widowControl/>
              <w:jc w:val="center"/>
              <w:rPr>
                <w:rFonts w:ascii="Times New Roman" w:hAnsi="Times New Roman" w:cs="Times New Roman"/>
                <w:b/>
                <w:bCs/>
                <w:color w:val="000000"/>
                <w:kern w:val="0"/>
                <w:szCs w:val="21"/>
              </w:rPr>
            </w:pPr>
            <w:r>
              <w:rPr>
                <w:rFonts w:ascii="Times New Roman" w:hAnsi="Times New Roman" w:cs="Times New Roman"/>
                <w:b/>
                <w:color w:val="000000"/>
                <w:kern w:val="0"/>
                <w:szCs w:val="21"/>
              </w:rPr>
              <w:t>2023</w:t>
            </w:r>
            <w:r>
              <w:rPr>
                <w:rFonts w:ascii="Times New Roman" w:hAnsi="Times New Roman" w:cs="Times New Roman"/>
                <w:b/>
                <w:color w:val="000000"/>
                <w:kern w:val="0"/>
                <w:szCs w:val="21"/>
              </w:rPr>
              <w:t>年</w:t>
            </w:r>
            <w:r>
              <w:rPr>
                <w:rFonts w:ascii="Times New Roman" w:hAnsi="Times New Roman" w:cs="Times New Roman"/>
                <w:b/>
                <w:color w:val="000000"/>
                <w:kern w:val="0"/>
                <w:szCs w:val="21"/>
              </w:rPr>
              <w:t>1-</w:t>
            </w:r>
            <w:r>
              <w:rPr>
                <w:rFonts w:ascii="Times New Roman" w:hAnsi="Times New Roman" w:cs="Times New Roman" w:hint="eastAsia"/>
                <w:b/>
                <w:color w:val="000000"/>
                <w:kern w:val="0"/>
                <w:szCs w:val="21"/>
              </w:rPr>
              <w:t>9</w:t>
            </w:r>
            <w:r>
              <w:rPr>
                <w:rFonts w:ascii="Times New Roman" w:hAnsi="Times New Roman" w:cs="Times New Roman"/>
                <w:b/>
                <w:color w:val="000000"/>
                <w:kern w:val="0"/>
                <w:szCs w:val="21"/>
              </w:rPr>
              <w:t>月</w:t>
            </w:r>
          </w:p>
        </w:tc>
        <w:tc>
          <w:tcPr>
            <w:tcW w:w="1626" w:type="dxa"/>
            <w:shd w:val="clear" w:color="000000" w:fill="D9D9D9"/>
            <w:vAlign w:val="center"/>
          </w:tcPr>
          <w:p w14:paraId="20441485" w14:textId="77777777" w:rsidR="00E173A4" w:rsidRDefault="00E173A4">
            <w:pPr>
              <w:adjustRightInd w:val="0"/>
              <w:snapToGrid w:val="0"/>
              <w:jc w:val="center"/>
              <w:rPr>
                <w:rFonts w:ascii="Times New Roman" w:hAnsi="Times New Roman" w:cs="Times New Roman"/>
                <w:b/>
                <w:bCs/>
                <w:color w:val="0D0D0D"/>
                <w:kern w:val="0"/>
                <w:szCs w:val="21"/>
              </w:rPr>
            </w:pPr>
            <w:r>
              <w:rPr>
                <w:rFonts w:ascii="Times New Roman" w:hAnsi="Times New Roman" w:cs="Times New Roman"/>
                <w:b/>
                <w:bCs/>
                <w:color w:val="0D0D0D"/>
                <w:kern w:val="0"/>
                <w:szCs w:val="21"/>
              </w:rPr>
              <w:t>2022</w:t>
            </w:r>
            <w:r>
              <w:rPr>
                <w:rFonts w:ascii="Times New Roman" w:hAnsi="Times New Roman" w:cs="Times New Roman"/>
                <w:b/>
                <w:bCs/>
                <w:color w:val="0D0D0D"/>
                <w:kern w:val="0"/>
                <w:szCs w:val="21"/>
              </w:rPr>
              <w:t>年度</w:t>
            </w:r>
          </w:p>
        </w:tc>
        <w:tc>
          <w:tcPr>
            <w:tcW w:w="1626" w:type="dxa"/>
            <w:shd w:val="clear" w:color="000000" w:fill="D9D9D9"/>
            <w:vAlign w:val="center"/>
          </w:tcPr>
          <w:p w14:paraId="6ED3FC45"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2021</w:t>
            </w:r>
            <w:r>
              <w:rPr>
                <w:rFonts w:ascii="Times New Roman" w:hAnsi="Times New Roman" w:cs="Times New Roman"/>
                <w:b/>
                <w:bCs/>
                <w:color w:val="000000"/>
                <w:kern w:val="0"/>
                <w:szCs w:val="21"/>
              </w:rPr>
              <w:t>年度</w:t>
            </w:r>
          </w:p>
        </w:tc>
        <w:tc>
          <w:tcPr>
            <w:tcW w:w="1626" w:type="dxa"/>
            <w:shd w:val="clear" w:color="000000" w:fill="D9D9D9"/>
            <w:vAlign w:val="center"/>
          </w:tcPr>
          <w:p w14:paraId="5581DE9F"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2020</w:t>
            </w:r>
            <w:r>
              <w:rPr>
                <w:rFonts w:ascii="Times New Roman" w:hAnsi="Times New Roman" w:cs="Times New Roman"/>
                <w:b/>
                <w:bCs/>
                <w:color w:val="000000"/>
                <w:kern w:val="0"/>
                <w:szCs w:val="21"/>
              </w:rPr>
              <w:t>年度</w:t>
            </w:r>
          </w:p>
        </w:tc>
      </w:tr>
      <w:tr w:rsidR="00E173A4" w14:paraId="6F82FBFC" w14:textId="77777777">
        <w:trPr>
          <w:trHeight w:val="397"/>
          <w:jc w:val="center"/>
        </w:trPr>
        <w:tc>
          <w:tcPr>
            <w:tcW w:w="2024" w:type="dxa"/>
            <w:vAlign w:val="center"/>
          </w:tcPr>
          <w:p w14:paraId="120A29B4"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营业收入</w:t>
            </w:r>
          </w:p>
        </w:tc>
        <w:tc>
          <w:tcPr>
            <w:tcW w:w="1626" w:type="dxa"/>
            <w:vAlign w:val="center"/>
          </w:tcPr>
          <w:p w14:paraId="2AEE9145"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kern w:val="0"/>
                <w:szCs w:val="21"/>
              </w:rPr>
              <w:t>39,909.71</w:t>
            </w:r>
          </w:p>
        </w:tc>
        <w:tc>
          <w:tcPr>
            <w:tcW w:w="1626" w:type="dxa"/>
            <w:vAlign w:val="center"/>
          </w:tcPr>
          <w:p w14:paraId="1D47C45B"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hint="eastAsia"/>
                <w:kern w:val="0"/>
                <w:szCs w:val="21"/>
              </w:rPr>
              <w:t>54,014.16</w:t>
            </w:r>
          </w:p>
        </w:tc>
        <w:tc>
          <w:tcPr>
            <w:tcW w:w="1626" w:type="dxa"/>
            <w:vAlign w:val="center"/>
          </w:tcPr>
          <w:p w14:paraId="6544AB0D"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41,516.27</w:t>
            </w:r>
          </w:p>
        </w:tc>
        <w:tc>
          <w:tcPr>
            <w:tcW w:w="1626" w:type="dxa"/>
            <w:vAlign w:val="center"/>
          </w:tcPr>
          <w:p w14:paraId="16630351"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34,459.00</w:t>
            </w:r>
          </w:p>
        </w:tc>
      </w:tr>
      <w:tr w:rsidR="00E173A4" w14:paraId="0E69BF95" w14:textId="77777777">
        <w:trPr>
          <w:trHeight w:val="397"/>
          <w:jc w:val="center"/>
        </w:trPr>
        <w:tc>
          <w:tcPr>
            <w:tcW w:w="2024" w:type="dxa"/>
            <w:vAlign w:val="center"/>
          </w:tcPr>
          <w:p w14:paraId="0F09F048"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营业利润</w:t>
            </w:r>
          </w:p>
        </w:tc>
        <w:tc>
          <w:tcPr>
            <w:tcW w:w="1626" w:type="dxa"/>
            <w:vAlign w:val="center"/>
          </w:tcPr>
          <w:p w14:paraId="0B53A5D8"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kern w:val="0"/>
                <w:szCs w:val="21"/>
              </w:rPr>
              <w:t>11,663.38</w:t>
            </w:r>
          </w:p>
        </w:tc>
        <w:tc>
          <w:tcPr>
            <w:tcW w:w="1626" w:type="dxa"/>
            <w:vAlign w:val="center"/>
          </w:tcPr>
          <w:p w14:paraId="230DFEFA"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hint="eastAsia"/>
                <w:kern w:val="0"/>
                <w:szCs w:val="21"/>
              </w:rPr>
              <w:t>15,504.73</w:t>
            </w:r>
          </w:p>
        </w:tc>
        <w:tc>
          <w:tcPr>
            <w:tcW w:w="1626" w:type="dxa"/>
            <w:vAlign w:val="center"/>
          </w:tcPr>
          <w:p w14:paraId="6AFB7670"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6,609.96</w:t>
            </w:r>
          </w:p>
        </w:tc>
        <w:tc>
          <w:tcPr>
            <w:tcW w:w="1626" w:type="dxa"/>
            <w:vAlign w:val="center"/>
          </w:tcPr>
          <w:p w14:paraId="4BFB9AAD"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6,569.00</w:t>
            </w:r>
          </w:p>
        </w:tc>
      </w:tr>
      <w:tr w:rsidR="00E173A4" w14:paraId="691A1FA4" w14:textId="77777777">
        <w:trPr>
          <w:trHeight w:val="397"/>
          <w:jc w:val="center"/>
        </w:trPr>
        <w:tc>
          <w:tcPr>
            <w:tcW w:w="2024" w:type="dxa"/>
            <w:vAlign w:val="center"/>
          </w:tcPr>
          <w:p w14:paraId="09E77DB7"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利润总额</w:t>
            </w:r>
          </w:p>
        </w:tc>
        <w:tc>
          <w:tcPr>
            <w:tcW w:w="1626" w:type="dxa"/>
            <w:vAlign w:val="center"/>
          </w:tcPr>
          <w:p w14:paraId="10CE8D01"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kern w:val="0"/>
                <w:szCs w:val="21"/>
              </w:rPr>
              <w:t>11,676.79</w:t>
            </w:r>
          </w:p>
        </w:tc>
        <w:tc>
          <w:tcPr>
            <w:tcW w:w="1626" w:type="dxa"/>
            <w:vAlign w:val="center"/>
          </w:tcPr>
          <w:p w14:paraId="5F0429B1"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hint="eastAsia"/>
                <w:kern w:val="0"/>
                <w:szCs w:val="21"/>
              </w:rPr>
              <w:t>15,475.41</w:t>
            </w:r>
          </w:p>
        </w:tc>
        <w:tc>
          <w:tcPr>
            <w:tcW w:w="1626" w:type="dxa"/>
            <w:vAlign w:val="center"/>
          </w:tcPr>
          <w:p w14:paraId="3DC04C55"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6,753.57</w:t>
            </w:r>
          </w:p>
        </w:tc>
        <w:tc>
          <w:tcPr>
            <w:tcW w:w="1626" w:type="dxa"/>
            <w:vAlign w:val="center"/>
          </w:tcPr>
          <w:p w14:paraId="153D3B56"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6,585.06</w:t>
            </w:r>
          </w:p>
        </w:tc>
      </w:tr>
      <w:tr w:rsidR="00E173A4" w14:paraId="6333A070" w14:textId="77777777">
        <w:trPr>
          <w:trHeight w:val="397"/>
          <w:jc w:val="center"/>
        </w:trPr>
        <w:tc>
          <w:tcPr>
            <w:tcW w:w="2024" w:type="dxa"/>
            <w:vAlign w:val="center"/>
          </w:tcPr>
          <w:p w14:paraId="2A3CC8C5"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净利润</w:t>
            </w:r>
          </w:p>
        </w:tc>
        <w:tc>
          <w:tcPr>
            <w:tcW w:w="1626" w:type="dxa"/>
            <w:vAlign w:val="center"/>
          </w:tcPr>
          <w:p w14:paraId="78EF0082"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kern w:val="0"/>
                <w:szCs w:val="21"/>
              </w:rPr>
              <w:t>10,062.09</w:t>
            </w:r>
          </w:p>
        </w:tc>
        <w:tc>
          <w:tcPr>
            <w:tcW w:w="1626" w:type="dxa"/>
            <w:vAlign w:val="center"/>
          </w:tcPr>
          <w:p w14:paraId="03F37E5B"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hint="eastAsia"/>
                <w:kern w:val="0"/>
                <w:szCs w:val="21"/>
              </w:rPr>
              <w:t>13,362.71</w:t>
            </w:r>
          </w:p>
        </w:tc>
        <w:tc>
          <w:tcPr>
            <w:tcW w:w="1626" w:type="dxa"/>
            <w:vAlign w:val="center"/>
          </w:tcPr>
          <w:p w14:paraId="2F4317BE"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6,099.35</w:t>
            </w:r>
          </w:p>
        </w:tc>
        <w:tc>
          <w:tcPr>
            <w:tcW w:w="1626" w:type="dxa"/>
            <w:vAlign w:val="center"/>
          </w:tcPr>
          <w:p w14:paraId="3BF28DB8"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5,796.81</w:t>
            </w:r>
          </w:p>
        </w:tc>
      </w:tr>
      <w:tr w:rsidR="00E173A4" w14:paraId="32BDBB65" w14:textId="77777777">
        <w:trPr>
          <w:trHeight w:val="397"/>
          <w:jc w:val="center"/>
        </w:trPr>
        <w:tc>
          <w:tcPr>
            <w:tcW w:w="2024" w:type="dxa"/>
            <w:vAlign w:val="center"/>
          </w:tcPr>
          <w:p w14:paraId="4E9EC54C"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归属于母公司所有者的净利润</w:t>
            </w:r>
          </w:p>
        </w:tc>
        <w:tc>
          <w:tcPr>
            <w:tcW w:w="1626" w:type="dxa"/>
            <w:vAlign w:val="center"/>
          </w:tcPr>
          <w:p w14:paraId="3C03E1EE"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kern w:val="0"/>
                <w:szCs w:val="21"/>
              </w:rPr>
              <w:t>9,476.30</w:t>
            </w:r>
          </w:p>
        </w:tc>
        <w:tc>
          <w:tcPr>
            <w:tcW w:w="1626" w:type="dxa"/>
            <w:vAlign w:val="center"/>
          </w:tcPr>
          <w:p w14:paraId="7BFF41D2" w14:textId="77777777" w:rsidR="00E173A4" w:rsidRDefault="00E173A4">
            <w:pPr>
              <w:adjustRightInd w:val="0"/>
              <w:snapToGrid w:val="0"/>
              <w:jc w:val="right"/>
              <w:rPr>
                <w:rFonts w:ascii="Times New Roman" w:hAnsi="Times New Roman" w:cs="Times New Roman"/>
                <w:kern w:val="0"/>
                <w:szCs w:val="21"/>
              </w:rPr>
            </w:pPr>
            <w:r>
              <w:rPr>
                <w:rFonts w:ascii="Times New Roman" w:hAnsi="Times New Roman" w:cs="Times New Roman" w:hint="eastAsia"/>
                <w:kern w:val="0"/>
                <w:szCs w:val="21"/>
              </w:rPr>
              <w:t>13,620.51</w:t>
            </w:r>
          </w:p>
        </w:tc>
        <w:tc>
          <w:tcPr>
            <w:tcW w:w="1626" w:type="dxa"/>
            <w:vAlign w:val="center"/>
          </w:tcPr>
          <w:p w14:paraId="0A8D17BE"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6,099.35</w:t>
            </w:r>
          </w:p>
        </w:tc>
        <w:tc>
          <w:tcPr>
            <w:tcW w:w="1626" w:type="dxa"/>
            <w:vAlign w:val="center"/>
          </w:tcPr>
          <w:p w14:paraId="61D490A4"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kern w:val="0"/>
                <w:szCs w:val="21"/>
              </w:rPr>
              <w:t>5,796.81</w:t>
            </w:r>
          </w:p>
        </w:tc>
      </w:tr>
    </w:tbl>
    <w:p w14:paraId="33CAE709" w14:textId="77777777" w:rsidR="00E173A4" w:rsidRDefault="00E173A4">
      <w:pPr>
        <w:pStyle w:val="004"/>
        <w:spacing w:before="120" w:after="120"/>
        <w:ind w:firstLine="482"/>
      </w:pPr>
      <w:r>
        <w:t>3</w:t>
      </w:r>
      <w:r>
        <w:t>、合并现金流量表主要数据</w:t>
      </w:r>
    </w:p>
    <w:p w14:paraId="0A0E19D7" w14:textId="77777777" w:rsidR="00E173A4" w:rsidRDefault="00E173A4">
      <w:pPr>
        <w:pStyle w:val="009"/>
        <w:rPr>
          <w:lang w:val="zh-CN"/>
        </w:rPr>
      </w:pPr>
      <w:r>
        <w:rPr>
          <w:lang w:val="zh-CN"/>
        </w:rPr>
        <w:t>单位：万元</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30"/>
        <w:gridCol w:w="1591"/>
        <w:gridCol w:w="1592"/>
        <w:gridCol w:w="1584"/>
        <w:gridCol w:w="1585"/>
      </w:tblGrid>
      <w:tr w:rsidR="00E173A4" w14:paraId="2C9DAFFE" w14:textId="77777777">
        <w:trPr>
          <w:trHeight w:val="397"/>
          <w:tblHeader/>
          <w:jc w:val="center"/>
        </w:trPr>
        <w:tc>
          <w:tcPr>
            <w:tcW w:w="2026" w:type="dxa"/>
            <w:shd w:val="clear" w:color="000000" w:fill="D9D9D9"/>
            <w:vAlign w:val="center"/>
          </w:tcPr>
          <w:p w14:paraId="5A021137"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项目</w:t>
            </w:r>
          </w:p>
        </w:tc>
        <w:tc>
          <w:tcPr>
            <w:tcW w:w="1625" w:type="dxa"/>
            <w:shd w:val="clear" w:color="000000" w:fill="D9D9D9"/>
            <w:vAlign w:val="center"/>
          </w:tcPr>
          <w:p w14:paraId="1C5B4918" w14:textId="77777777" w:rsidR="00E173A4" w:rsidRDefault="00E173A4">
            <w:pPr>
              <w:widowControl/>
              <w:jc w:val="center"/>
              <w:rPr>
                <w:rFonts w:ascii="Times New Roman" w:hAnsi="Times New Roman" w:cs="Times New Roman"/>
                <w:b/>
                <w:bCs/>
                <w:color w:val="000000"/>
                <w:kern w:val="0"/>
                <w:szCs w:val="21"/>
              </w:rPr>
            </w:pPr>
            <w:r>
              <w:rPr>
                <w:rFonts w:ascii="Times New Roman" w:hAnsi="Times New Roman" w:cs="Times New Roman"/>
                <w:b/>
                <w:color w:val="000000"/>
                <w:kern w:val="0"/>
                <w:szCs w:val="21"/>
              </w:rPr>
              <w:t>2023</w:t>
            </w:r>
            <w:r>
              <w:rPr>
                <w:rFonts w:ascii="Times New Roman" w:hAnsi="Times New Roman" w:cs="Times New Roman"/>
                <w:b/>
                <w:color w:val="000000"/>
                <w:kern w:val="0"/>
                <w:szCs w:val="21"/>
              </w:rPr>
              <w:t>年</w:t>
            </w:r>
            <w:r>
              <w:rPr>
                <w:rFonts w:ascii="Times New Roman" w:hAnsi="Times New Roman" w:cs="Times New Roman"/>
                <w:b/>
                <w:color w:val="000000"/>
                <w:kern w:val="0"/>
                <w:szCs w:val="21"/>
              </w:rPr>
              <w:t>1-</w:t>
            </w:r>
            <w:r>
              <w:rPr>
                <w:rFonts w:ascii="Times New Roman" w:hAnsi="Times New Roman" w:cs="Times New Roman" w:hint="eastAsia"/>
                <w:b/>
                <w:color w:val="000000"/>
                <w:kern w:val="0"/>
                <w:szCs w:val="21"/>
              </w:rPr>
              <w:t>9</w:t>
            </w:r>
            <w:r>
              <w:rPr>
                <w:rFonts w:ascii="Times New Roman" w:hAnsi="Times New Roman" w:cs="Times New Roman"/>
                <w:b/>
                <w:color w:val="000000"/>
                <w:kern w:val="0"/>
                <w:szCs w:val="21"/>
              </w:rPr>
              <w:t>月</w:t>
            </w:r>
          </w:p>
        </w:tc>
        <w:tc>
          <w:tcPr>
            <w:tcW w:w="1626" w:type="dxa"/>
            <w:shd w:val="clear" w:color="000000" w:fill="D9D9D9"/>
            <w:vAlign w:val="center"/>
          </w:tcPr>
          <w:p w14:paraId="750FD696" w14:textId="77777777" w:rsidR="00E173A4" w:rsidRDefault="00E173A4">
            <w:pPr>
              <w:adjustRightInd w:val="0"/>
              <w:snapToGrid w:val="0"/>
              <w:jc w:val="center"/>
              <w:rPr>
                <w:rFonts w:ascii="Times New Roman" w:hAnsi="Times New Roman" w:cs="Times New Roman"/>
                <w:b/>
                <w:bCs/>
                <w:color w:val="0D0D0D"/>
                <w:kern w:val="0"/>
                <w:szCs w:val="21"/>
              </w:rPr>
            </w:pPr>
            <w:r>
              <w:rPr>
                <w:rFonts w:ascii="Times New Roman" w:hAnsi="Times New Roman" w:cs="Times New Roman"/>
                <w:b/>
                <w:bCs/>
                <w:color w:val="0D0D0D"/>
                <w:kern w:val="0"/>
                <w:szCs w:val="21"/>
              </w:rPr>
              <w:t>2022</w:t>
            </w:r>
            <w:r>
              <w:rPr>
                <w:rFonts w:ascii="Times New Roman" w:hAnsi="Times New Roman" w:cs="Times New Roman"/>
                <w:b/>
                <w:bCs/>
                <w:color w:val="0D0D0D"/>
                <w:kern w:val="0"/>
                <w:szCs w:val="21"/>
              </w:rPr>
              <w:t>年度</w:t>
            </w:r>
          </w:p>
        </w:tc>
        <w:tc>
          <w:tcPr>
            <w:tcW w:w="1625" w:type="dxa"/>
            <w:shd w:val="clear" w:color="000000" w:fill="D9D9D9"/>
            <w:vAlign w:val="center"/>
          </w:tcPr>
          <w:p w14:paraId="7BA83385"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2021</w:t>
            </w:r>
            <w:r>
              <w:rPr>
                <w:rFonts w:ascii="Times New Roman" w:hAnsi="Times New Roman" w:cs="Times New Roman"/>
                <w:b/>
                <w:bCs/>
                <w:color w:val="000000"/>
                <w:kern w:val="0"/>
                <w:szCs w:val="21"/>
              </w:rPr>
              <w:t>年度</w:t>
            </w:r>
          </w:p>
        </w:tc>
        <w:tc>
          <w:tcPr>
            <w:tcW w:w="1626" w:type="dxa"/>
            <w:shd w:val="clear" w:color="000000" w:fill="D9D9D9"/>
            <w:vAlign w:val="center"/>
          </w:tcPr>
          <w:p w14:paraId="7ECD7F68"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2020</w:t>
            </w:r>
            <w:r>
              <w:rPr>
                <w:rFonts w:ascii="Times New Roman" w:hAnsi="Times New Roman" w:cs="Times New Roman"/>
                <w:b/>
                <w:bCs/>
                <w:color w:val="000000"/>
                <w:kern w:val="0"/>
                <w:szCs w:val="21"/>
              </w:rPr>
              <w:t>年度</w:t>
            </w:r>
          </w:p>
        </w:tc>
      </w:tr>
      <w:tr w:rsidR="00E173A4" w14:paraId="2F1F093A" w14:textId="77777777">
        <w:trPr>
          <w:trHeight w:val="397"/>
          <w:jc w:val="center"/>
        </w:trPr>
        <w:tc>
          <w:tcPr>
            <w:tcW w:w="2026" w:type="dxa"/>
            <w:vAlign w:val="center"/>
          </w:tcPr>
          <w:p w14:paraId="38757CD0"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经营活动产生的现金流量净额</w:t>
            </w:r>
          </w:p>
        </w:tc>
        <w:tc>
          <w:tcPr>
            <w:tcW w:w="1625" w:type="dxa"/>
            <w:vAlign w:val="center"/>
          </w:tcPr>
          <w:p w14:paraId="0E4213BA"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9,962.43</w:t>
            </w:r>
          </w:p>
        </w:tc>
        <w:tc>
          <w:tcPr>
            <w:tcW w:w="1626" w:type="dxa"/>
            <w:vAlign w:val="center"/>
          </w:tcPr>
          <w:p w14:paraId="17FB8A15"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13,470.79</w:t>
            </w:r>
          </w:p>
        </w:tc>
        <w:tc>
          <w:tcPr>
            <w:tcW w:w="1625" w:type="dxa"/>
            <w:vAlign w:val="center"/>
          </w:tcPr>
          <w:p w14:paraId="27ED145B"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1,138.73</w:t>
            </w:r>
          </w:p>
        </w:tc>
        <w:tc>
          <w:tcPr>
            <w:tcW w:w="1626" w:type="dxa"/>
            <w:vAlign w:val="center"/>
          </w:tcPr>
          <w:p w14:paraId="4D32C0E6"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8,994.61</w:t>
            </w:r>
          </w:p>
        </w:tc>
      </w:tr>
      <w:tr w:rsidR="00E173A4" w14:paraId="21A0FA46" w14:textId="77777777">
        <w:trPr>
          <w:trHeight w:val="397"/>
          <w:jc w:val="center"/>
        </w:trPr>
        <w:tc>
          <w:tcPr>
            <w:tcW w:w="2026" w:type="dxa"/>
            <w:vAlign w:val="center"/>
          </w:tcPr>
          <w:p w14:paraId="54B1CF75"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投资活动产生的现金流量净额</w:t>
            </w:r>
          </w:p>
        </w:tc>
        <w:tc>
          <w:tcPr>
            <w:tcW w:w="1625" w:type="dxa"/>
            <w:vAlign w:val="center"/>
          </w:tcPr>
          <w:p w14:paraId="4470B018"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-13,575.17</w:t>
            </w:r>
          </w:p>
        </w:tc>
        <w:tc>
          <w:tcPr>
            <w:tcW w:w="1626" w:type="dxa"/>
            <w:vAlign w:val="center"/>
          </w:tcPr>
          <w:p w14:paraId="32205479"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-4,436.89</w:t>
            </w:r>
          </w:p>
        </w:tc>
        <w:tc>
          <w:tcPr>
            <w:tcW w:w="1625" w:type="dxa"/>
            <w:vAlign w:val="center"/>
          </w:tcPr>
          <w:p w14:paraId="1D5571F0"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9,294.27</w:t>
            </w:r>
          </w:p>
        </w:tc>
        <w:tc>
          <w:tcPr>
            <w:tcW w:w="1626" w:type="dxa"/>
            <w:vAlign w:val="center"/>
          </w:tcPr>
          <w:p w14:paraId="7200BEB4"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-9,802.39</w:t>
            </w:r>
          </w:p>
        </w:tc>
      </w:tr>
      <w:tr w:rsidR="00E173A4" w14:paraId="0B6E3320" w14:textId="77777777">
        <w:trPr>
          <w:trHeight w:val="397"/>
          <w:jc w:val="center"/>
        </w:trPr>
        <w:tc>
          <w:tcPr>
            <w:tcW w:w="2026" w:type="dxa"/>
            <w:vAlign w:val="center"/>
          </w:tcPr>
          <w:p w14:paraId="37AE2513"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筹资活动产生的现金流量净额</w:t>
            </w:r>
          </w:p>
        </w:tc>
        <w:tc>
          <w:tcPr>
            <w:tcW w:w="1625" w:type="dxa"/>
            <w:vAlign w:val="center"/>
          </w:tcPr>
          <w:p w14:paraId="2ED114FB"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-7,952.90</w:t>
            </w:r>
          </w:p>
        </w:tc>
        <w:tc>
          <w:tcPr>
            <w:tcW w:w="1626" w:type="dxa"/>
            <w:vAlign w:val="center"/>
          </w:tcPr>
          <w:p w14:paraId="261EBB2D"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hint="eastAsia"/>
                <w:color w:val="000000"/>
                <w:kern w:val="0"/>
                <w:szCs w:val="21"/>
              </w:rPr>
              <w:t>-1,993.55</w:t>
            </w:r>
          </w:p>
        </w:tc>
        <w:tc>
          <w:tcPr>
            <w:tcW w:w="1625" w:type="dxa"/>
            <w:vAlign w:val="center"/>
          </w:tcPr>
          <w:p w14:paraId="03FF6699"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-6,391.88</w:t>
            </w:r>
          </w:p>
        </w:tc>
        <w:tc>
          <w:tcPr>
            <w:tcW w:w="1626" w:type="dxa"/>
            <w:vAlign w:val="center"/>
          </w:tcPr>
          <w:p w14:paraId="780FA65D"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-210.16</w:t>
            </w:r>
          </w:p>
        </w:tc>
      </w:tr>
    </w:tbl>
    <w:p w14:paraId="1DAC177D" w14:textId="77777777" w:rsidR="00E173A4" w:rsidRDefault="00E173A4">
      <w:pPr>
        <w:pStyle w:val="003"/>
        <w:spacing w:before="120" w:after="120"/>
      </w:pPr>
      <w:r>
        <w:t>（二）主要财务指标</w:t>
      </w:r>
    </w:p>
    <w:p w14:paraId="6E0DC71C" w14:textId="77777777" w:rsidR="00E173A4" w:rsidRDefault="00E173A4">
      <w:pPr>
        <w:pStyle w:val="005"/>
        <w:spacing w:before="120"/>
        <w:ind w:firstLine="480"/>
      </w:pPr>
      <w:r>
        <w:t>报告期内，公司主要财务指标情况如下：</w:t>
      </w:r>
    </w:p>
    <w:tbl>
      <w:tblPr>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33"/>
        <w:gridCol w:w="1580"/>
        <w:gridCol w:w="1590"/>
        <w:gridCol w:w="1589"/>
        <w:gridCol w:w="1590"/>
      </w:tblGrid>
      <w:tr w:rsidR="00E173A4" w14:paraId="35E84940" w14:textId="77777777">
        <w:trPr>
          <w:trHeight w:val="397"/>
          <w:tblHeader/>
          <w:jc w:val="center"/>
        </w:trPr>
        <w:tc>
          <w:tcPr>
            <w:tcW w:w="2026" w:type="dxa"/>
            <w:shd w:val="clear" w:color="000000" w:fill="D9D9D9"/>
            <w:vAlign w:val="center"/>
          </w:tcPr>
          <w:p w14:paraId="219C7FED" w14:textId="77777777" w:rsidR="00E173A4" w:rsidRDefault="00E173A4">
            <w:pPr>
              <w:adjustRightInd w:val="0"/>
              <w:snapToGrid w:val="0"/>
              <w:jc w:val="center"/>
              <w:rPr>
                <w:rFonts w:ascii="Times New Roman" w:hAnsi="Times New Roman" w:cs="Times New Roman"/>
                <w:b/>
                <w:bCs/>
                <w:color w:val="000000"/>
                <w:kern w:val="0"/>
                <w:szCs w:val="21"/>
              </w:rPr>
            </w:pPr>
            <w:bookmarkStart w:id="22" w:name="_Hlk85650978"/>
            <w:r>
              <w:rPr>
                <w:rFonts w:ascii="Times New Roman" w:hAnsi="Times New Roman" w:cs="Times New Roman"/>
                <w:b/>
                <w:bCs/>
                <w:color w:val="000000"/>
                <w:kern w:val="0"/>
                <w:szCs w:val="21"/>
              </w:rPr>
              <w:t>主要指标</w:t>
            </w:r>
          </w:p>
        </w:tc>
        <w:tc>
          <w:tcPr>
            <w:tcW w:w="1625" w:type="dxa"/>
            <w:shd w:val="clear" w:color="000000" w:fill="D9D9D9"/>
            <w:vAlign w:val="center"/>
          </w:tcPr>
          <w:p w14:paraId="0BE4593A"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2023.</w:t>
            </w:r>
            <w:r>
              <w:rPr>
                <w:rFonts w:ascii="Times New Roman" w:hAnsi="Times New Roman" w:cs="Times New Roman" w:hint="eastAsia"/>
                <w:b/>
                <w:bCs/>
                <w:color w:val="000000"/>
                <w:kern w:val="0"/>
                <w:szCs w:val="21"/>
              </w:rPr>
              <w:t>9</w:t>
            </w:r>
            <w:r>
              <w:rPr>
                <w:rFonts w:ascii="Times New Roman" w:hAnsi="Times New Roman" w:cs="Times New Roman"/>
                <w:b/>
                <w:bCs/>
                <w:color w:val="000000"/>
                <w:kern w:val="0"/>
                <w:szCs w:val="21"/>
              </w:rPr>
              <w:t>.30</w:t>
            </w:r>
          </w:p>
          <w:p w14:paraId="523FCD67"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/2023</w:t>
            </w:r>
            <w:r>
              <w:rPr>
                <w:rFonts w:ascii="Times New Roman" w:hAnsi="Times New Roman" w:cs="Times New Roman"/>
                <w:b/>
                <w:bCs/>
                <w:color w:val="000000"/>
                <w:kern w:val="0"/>
                <w:szCs w:val="21"/>
              </w:rPr>
              <w:t>年</w:t>
            </w:r>
            <w:r>
              <w:rPr>
                <w:rFonts w:ascii="Times New Roman" w:hAnsi="Times New Roman" w:cs="Times New Roman"/>
                <w:b/>
                <w:bCs/>
                <w:color w:val="000000"/>
                <w:kern w:val="0"/>
                <w:szCs w:val="21"/>
              </w:rPr>
              <w:t>1-</w:t>
            </w:r>
            <w:r>
              <w:rPr>
                <w:rFonts w:ascii="Times New Roman" w:hAnsi="Times New Roman" w:cs="Times New Roman" w:hint="eastAsia"/>
                <w:b/>
                <w:bCs/>
                <w:color w:val="000000"/>
                <w:kern w:val="0"/>
                <w:szCs w:val="21"/>
              </w:rPr>
              <w:t>9</w:t>
            </w:r>
            <w:r>
              <w:rPr>
                <w:rFonts w:ascii="Times New Roman" w:hAnsi="Times New Roman" w:cs="Times New Roman"/>
                <w:b/>
                <w:bCs/>
                <w:color w:val="000000"/>
                <w:kern w:val="0"/>
                <w:szCs w:val="21"/>
              </w:rPr>
              <w:t>月</w:t>
            </w:r>
          </w:p>
        </w:tc>
        <w:tc>
          <w:tcPr>
            <w:tcW w:w="1626" w:type="dxa"/>
            <w:shd w:val="clear" w:color="000000" w:fill="D9D9D9"/>
            <w:vAlign w:val="center"/>
          </w:tcPr>
          <w:p w14:paraId="74B7BF42" w14:textId="77777777" w:rsidR="00E173A4" w:rsidRDefault="00E173A4">
            <w:pPr>
              <w:adjustRightInd w:val="0"/>
              <w:snapToGrid w:val="0"/>
              <w:jc w:val="center"/>
              <w:rPr>
                <w:rFonts w:ascii="Times New Roman" w:hAnsi="Times New Roman" w:cs="Times New Roman"/>
                <w:b/>
                <w:bCs/>
                <w:color w:val="0D0D0D"/>
                <w:kern w:val="0"/>
                <w:szCs w:val="21"/>
              </w:rPr>
            </w:pPr>
            <w:r>
              <w:rPr>
                <w:rFonts w:ascii="Times New Roman" w:hAnsi="Times New Roman" w:cs="Times New Roman"/>
                <w:b/>
                <w:bCs/>
                <w:color w:val="0D0D0D"/>
                <w:kern w:val="0"/>
                <w:szCs w:val="21"/>
              </w:rPr>
              <w:t>2022.12.31</w:t>
            </w:r>
          </w:p>
          <w:p w14:paraId="483134D2" w14:textId="77777777" w:rsidR="00E173A4" w:rsidRDefault="00E173A4">
            <w:pPr>
              <w:adjustRightInd w:val="0"/>
              <w:snapToGrid w:val="0"/>
              <w:jc w:val="center"/>
              <w:rPr>
                <w:rFonts w:ascii="Times New Roman" w:hAnsi="Times New Roman" w:cs="Times New Roman"/>
                <w:b/>
                <w:bCs/>
                <w:color w:val="0D0D0D"/>
                <w:kern w:val="0"/>
                <w:szCs w:val="21"/>
              </w:rPr>
            </w:pPr>
            <w:r>
              <w:rPr>
                <w:rFonts w:ascii="Times New Roman" w:hAnsi="Times New Roman" w:cs="Times New Roman"/>
                <w:b/>
                <w:bCs/>
                <w:color w:val="0D0D0D"/>
                <w:kern w:val="0"/>
                <w:szCs w:val="21"/>
              </w:rPr>
              <w:t>/2022</w:t>
            </w:r>
            <w:r>
              <w:rPr>
                <w:rFonts w:ascii="Times New Roman" w:hAnsi="Times New Roman" w:cs="Times New Roman"/>
                <w:b/>
                <w:bCs/>
                <w:color w:val="0D0D0D"/>
                <w:kern w:val="0"/>
                <w:szCs w:val="21"/>
              </w:rPr>
              <w:t>年度</w:t>
            </w:r>
          </w:p>
        </w:tc>
        <w:tc>
          <w:tcPr>
            <w:tcW w:w="1625" w:type="dxa"/>
            <w:shd w:val="clear" w:color="000000" w:fill="D9D9D9"/>
            <w:vAlign w:val="center"/>
          </w:tcPr>
          <w:p w14:paraId="22C44138"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2021.12.31</w:t>
            </w:r>
          </w:p>
          <w:p w14:paraId="5E06CE85"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/2021</w:t>
            </w:r>
            <w:r>
              <w:rPr>
                <w:rFonts w:ascii="Times New Roman" w:hAnsi="Times New Roman" w:cs="Times New Roman"/>
                <w:b/>
                <w:bCs/>
                <w:color w:val="000000"/>
                <w:kern w:val="0"/>
                <w:szCs w:val="21"/>
              </w:rPr>
              <w:t>年度</w:t>
            </w:r>
          </w:p>
        </w:tc>
        <w:tc>
          <w:tcPr>
            <w:tcW w:w="1626" w:type="dxa"/>
            <w:shd w:val="clear" w:color="000000" w:fill="D9D9D9"/>
            <w:vAlign w:val="center"/>
          </w:tcPr>
          <w:p w14:paraId="462DA19A"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2020.12.31</w:t>
            </w:r>
          </w:p>
          <w:p w14:paraId="5F9D7041" w14:textId="77777777" w:rsidR="00E173A4" w:rsidRDefault="00E173A4">
            <w:pPr>
              <w:adjustRightInd w:val="0"/>
              <w:snapToGrid w:val="0"/>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/2020</w:t>
            </w:r>
            <w:r>
              <w:rPr>
                <w:rFonts w:ascii="Times New Roman" w:hAnsi="Times New Roman" w:cs="Times New Roman"/>
                <w:b/>
                <w:bCs/>
                <w:color w:val="000000"/>
                <w:kern w:val="0"/>
                <w:szCs w:val="21"/>
              </w:rPr>
              <w:t>年度</w:t>
            </w:r>
          </w:p>
        </w:tc>
      </w:tr>
      <w:tr w:rsidR="00E173A4" w14:paraId="42C92627" w14:textId="77777777">
        <w:trPr>
          <w:trHeight w:val="397"/>
          <w:jc w:val="center"/>
        </w:trPr>
        <w:tc>
          <w:tcPr>
            <w:tcW w:w="2026" w:type="dxa"/>
            <w:vAlign w:val="center"/>
          </w:tcPr>
          <w:p w14:paraId="2B4EFBB6"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hint="eastAsia"/>
                <w:color w:val="000000"/>
                <w:kern w:val="0"/>
                <w:szCs w:val="21"/>
              </w:rPr>
              <w:t>主营业务</w:t>
            </w:r>
            <w:r>
              <w:rPr>
                <w:rFonts w:ascii="Times New Roman" w:hAnsi="Times New Roman" w:cs="Times New Roman"/>
                <w:color w:val="000000"/>
                <w:kern w:val="0"/>
                <w:szCs w:val="21"/>
              </w:rPr>
              <w:t>毛利率</w:t>
            </w:r>
          </w:p>
        </w:tc>
        <w:tc>
          <w:tcPr>
            <w:tcW w:w="1625" w:type="dxa"/>
            <w:vAlign w:val="center"/>
          </w:tcPr>
          <w:p w14:paraId="101B3855"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38.35%</w:t>
            </w:r>
          </w:p>
        </w:tc>
        <w:tc>
          <w:tcPr>
            <w:tcW w:w="1626" w:type="dxa"/>
            <w:vAlign w:val="center"/>
          </w:tcPr>
          <w:p w14:paraId="7F4CC5BB"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37.42%</w:t>
            </w:r>
          </w:p>
        </w:tc>
        <w:tc>
          <w:tcPr>
            <w:tcW w:w="1625" w:type="dxa"/>
            <w:vAlign w:val="center"/>
          </w:tcPr>
          <w:p w14:paraId="3F4A8142"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32.3</w:t>
            </w:r>
            <w:r>
              <w:rPr>
                <w:rFonts w:ascii="Times New Roman" w:hAnsi="Times New Roman" w:cs="Times New Roman" w:hint="eastAsia"/>
                <w:color w:val="000000"/>
              </w:rPr>
              <w:t>2</w:t>
            </w:r>
            <w:r>
              <w:rPr>
                <w:rFonts w:ascii="Times New Roman" w:hAnsi="Times New Roman" w:cs="Times New Roman"/>
                <w:color w:val="000000"/>
              </w:rPr>
              <w:t>%</w:t>
            </w:r>
          </w:p>
        </w:tc>
        <w:tc>
          <w:tcPr>
            <w:tcW w:w="1626" w:type="dxa"/>
            <w:vAlign w:val="center"/>
          </w:tcPr>
          <w:p w14:paraId="284D913A"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34.40%</w:t>
            </w:r>
          </w:p>
        </w:tc>
      </w:tr>
      <w:tr w:rsidR="00E173A4" w14:paraId="7675B59A" w14:textId="77777777">
        <w:trPr>
          <w:trHeight w:val="397"/>
          <w:jc w:val="center"/>
        </w:trPr>
        <w:tc>
          <w:tcPr>
            <w:tcW w:w="2026" w:type="dxa"/>
            <w:vAlign w:val="center"/>
          </w:tcPr>
          <w:p w14:paraId="39C975F8"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净资产收益率（加权，扣非前）</w:t>
            </w:r>
          </w:p>
        </w:tc>
        <w:tc>
          <w:tcPr>
            <w:tcW w:w="1625" w:type="dxa"/>
            <w:vAlign w:val="center"/>
          </w:tcPr>
          <w:p w14:paraId="00BF6FBB"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hint="eastAsia"/>
                <w:color w:val="000000"/>
              </w:rPr>
              <w:t>12.46</w:t>
            </w:r>
            <w:r>
              <w:rPr>
                <w:rFonts w:ascii="Times New Roman" w:hAnsi="Times New Roman" w:cs="Times New Roman"/>
                <w:color w:val="000000"/>
              </w:rPr>
              <w:t>%</w:t>
            </w:r>
          </w:p>
        </w:tc>
        <w:tc>
          <w:tcPr>
            <w:tcW w:w="1626" w:type="dxa"/>
            <w:vAlign w:val="center"/>
          </w:tcPr>
          <w:p w14:paraId="4B2E1B18"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19.94%</w:t>
            </w:r>
          </w:p>
        </w:tc>
        <w:tc>
          <w:tcPr>
            <w:tcW w:w="1625" w:type="dxa"/>
            <w:vAlign w:val="center"/>
          </w:tcPr>
          <w:p w14:paraId="42D25078"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9.36%</w:t>
            </w:r>
          </w:p>
        </w:tc>
        <w:tc>
          <w:tcPr>
            <w:tcW w:w="1626" w:type="dxa"/>
            <w:vAlign w:val="center"/>
          </w:tcPr>
          <w:p w14:paraId="1965EE5A"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8.89%</w:t>
            </w:r>
          </w:p>
        </w:tc>
      </w:tr>
      <w:tr w:rsidR="00E173A4" w14:paraId="43E2A25C" w14:textId="77777777">
        <w:trPr>
          <w:trHeight w:val="397"/>
          <w:jc w:val="center"/>
        </w:trPr>
        <w:tc>
          <w:tcPr>
            <w:tcW w:w="2026" w:type="dxa"/>
            <w:vAlign w:val="center"/>
          </w:tcPr>
          <w:p w14:paraId="1CC4DD04"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净资产收益率（加权，扣非后）</w:t>
            </w:r>
          </w:p>
        </w:tc>
        <w:tc>
          <w:tcPr>
            <w:tcW w:w="1625" w:type="dxa"/>
            <w:vAlign w:val="center"/>
          </w:tcPr>
          <w:p w14:paraId="475FB6E6"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hint="eastAsia"/>
                <w:color w:val="000000"/>
              </w:rPr>
              <w:t>10.</w:t>
            </w:r>
            <w:r>
              <w:rPr>
                <w:rFonts w:ascii="Times New Roman" w:hAnsi="Times New Roman" w:cs="Times New Roman"/>
                <w:color w:val="000000"/>
              </w:rPr>
              <w:t>61%</w:t>
            </w:r>
          </w:p>
        </w:tc>
        <w:tc>
          <w:tcPr>
            <w:tcW w:w="1626" w:type="dxa"/>
            <w:vAlign w:val="center"/>
          </w:tcPr>
          <w:p w14:paraId="3DF8643B"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14.34%</w:t>
            </w:r>
          </w:p>
        </w:tc>
        <w:tc>
          <w:tcPr>
            <w:tcW w:w="1625" w:type="dxa"/>
            <w:vAlign w:val="center"/>
          </w:tcPr>
          <w:p w14:paraId="7D29FAA1"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7.19%</w:t>
            </w:r>
          </w:p>
        </w:tc>
        <w:tc>
          <w:tcPr>
            <w:tcW w:w="1626" w:type="dxa"/>
            <w:vAlign w:val="center"/>
          </w:tcPr>
          <w:p w14:paraId="4E80F277"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6.51%</w:t>
            </w:r>
          </w:p>
        </w:tc>
      </w:tr>
      <w:tr w:rsidR="00E173A4" w14:paraId="65B9AE27" w14:textId="77777777">
        <w:trPr>
          <w:trHeight w:val="397"/>
          <w:jc w:val="center"/>
        </w:trPr>
        <w:tc>
          <w:tcPr>
            <w:tcW w:w="2026" w:type="dxa"/>
            <w:vAlign w:val="center"/>
          </w:tcPr>
          <w:p w14:paraId="687B892C"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流动比率（倍）</w:t>
            </w:r>
          </w:p>
        </w:tc>
        <w:tc>
          <w:tcPr>
            <w:tcW w:w="1625" w:type="dxa"/>
            <w:vAlign w:val="center"/>
          </w:tcPr>
          <w:p w14:paraId="664A5072"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4.09</w:t>
            </w:r>
          </w:p>
        </w:tc>
        <w:tc>
          <w:tcPr>
            <w:tcW w:w="1626" w:type="dxa"/>
            <w:vAlign w:val="center"/>
          </w:tcPr>
          <w:p w14:paraId="4BFD2218"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3.29</w:t>
            </w:r>
          </w:p>
        </w:tc>
        <w:tc>
          <w:tcPr>
            <w:tcW w:w="1625" w:type="dxa"/>
            <w:vAlign w:val="center"/>
          </w:tcPr>
          <w:p w14:paraId="4911D626"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2.53</w:t>
            </w:r>
          </w:p>
        </w:tc>
        <w:tc>
          <w:tcPr>
            <w:tcW w:w="1626" w:type="dxa"/>
            <w:vAlign w:val="center"/>
          </w:tcPr>
          <w:p w14:paraId="4C514B11"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2.90</w:t>
            </w:r>
          </w:p>
        </w:tc>
      </w:tr>
      <w:tr w:rsidR="00E173A4" w14:paraId="077170C8" w14:textId="77777777">
        <w:trPr>
          <w:trHeight w:val="397"/>
          <w:jc w:val="center"/>
        </w:trPr>
        <w:tc>
          <w:tcPr>
            <w:tcW w:w="2026" w:type="dxa"/>
            <w:vAlign w:val="center"/>
          </w:tcPr>
          <w:p w14:paraId="1F5B0C59"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速动比率（倍）</w:t>
            </w:r>
          </w:p>
        </w:tc>
        <w:tc>
          <w:tcPr>
            <w:tcW w:w="1625" w:type="dxa"/>
            <w:vAlign w:val="center"/>
          </w:tcPr>
          <w:p w14:paraId="02F587AE"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3.49</w:t>
            </w:r>
          </w:p>
        </w:tc>
        <w:tc>
          <w:tcPr>
            <w:tcW w:w="1626" w:type="dxa"/>
            <w:vAlign w:val="center"/>
          </w:tcPr>
          <w:p w14:paraId="2062CD6B"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2.72</w:t>
            </w:r>
          </w:p>
        </w:tc>
        <w:tc>
          <w:tcPr>
            <w:tcW w:w="1625" w:type="dxa"/>
            <w:vAlign w:val="center"/>
          </w:tcPr>
          <w:p w14:paraId="096F45FD"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2.04</w:t>
            </w:r>
          </w:p>
        </w:tc>
        <w:tc>
          <w:tcPr>
            <w:tcW w:w="1626" w:type="dxa"/>
            <w:vAlign w:val="center"/>
          </w:tcPr>
          <w:p w14:paraId="0CDCA34D"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2.52</w:t>
            </w:r>
          </w:p>
        </w:tc>
      </w:tr>
      <w:tr w:rsidR="00E173A4" w14:paraId="179179CD" w14:textId="77777777">
        <w:trPr>
          <w:trHeight w:val="397"/>
          <w:jc w:val="center"/>
        </w:trPr>
        <w:tc>
          <w:tcPr>
            <w:tcW w:w="2026" w:type="dxa"/>
            <w:vAlign w:val="center"/>
          </w:tcPr>
          <w:p w14:paraId="260057CA"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资产负债率（母公司报表）</w:t>
            </w:r>
          </w:p>
        </w:tc>
        <w:tc>
          <w:tcPr>
            <w:tcW w:w="1625" w:type="dxa"/>
            <w:vAlign w:val="center"/>
          </w:tcPr>
          <w:p w14:paraId="76349D85"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hint="eastAsia"/>
                <w:color w:val="000000"/>
              </w:rPr>
              <w:t>4.81</w:t>
            </w:r>
            <w:r>
              <w:rPr>
                <w:rFonts w:ascii="Times New Roman" w:hAnsi="Times New Roman" w:cs="Times New Roman"/>
                <w:color w:val="000000"/>
              </w:rPr>
              <w:t>%</w:t>
            </w:r>
          </w:p>
        </w:tc>
        <w:tc>
          <w:tcPr>
            <w:tcW w:w="1626" w:type="dxa"/>
            <w:vAlign w:val="center"/>
          </w:tcPr>
          <w:p w14:paraId="5B8BFFE9"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18.77%</w:t>
            </w:r>
          </w:p>
        </w:tc>
        <w:tc>
          <w:tcPr>
            <w:tcW w:w="1625" w:type="dxa"/>
            <w:vAlign w:val="center"/>
          </w:tcPr>
          <w:p w14:paraId="24E56C95"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22.58%</w:t>
            </w:r>
          </w:p>
        </w:tc>
        <w:tc>
          <w:tcPr>
            <w:tcW w:w="1626" w:type="dxa"/>
            <w:vAlign w:val="center"/>
          </w:tcPr>
          <w:p w14:paraId="108348EE"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18.29%</w:t>
            </w:r>
          </w:p>
        </w:tc>
      </w:tr>
      <w:tr w:rsidR="00E173A4" w14:paraId="286A83AA" w14:textId="77777777">
        <w:trPr>
          <w:trHeight w:val="397"/>
          <w:jc w:val="center"/>
        </w:trPr>
        <w:tc>
          <w:tcPr>
            <w:tcW w:w="2026" w:type="dxa"/>
            <w:vAlign w:val="center"/>
          </w:tcPr>
          <w:p w14:paraId="42FA6ECF"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应收账款周转率（次）</w:t>
            </w:r>
          </w:p>
        </w:tc>
        <w:tc>
          <w:tcPr>
            <w:tcW w:w="1625" w:type="dxa"/>
            <w:vAlign w:val="center"/>
          </w:tcPr>
          <w:p w14:paraId="1C79E407"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hint="eastAsia"/>
                <w:color w:val="000000"/>
              </w:rPr>
              <w:t>6.21</w:t>
            </w:r>
          </w:p>
        </w:tc>
        <w:tc>
          <w:tcPr>
            <w:tcW w:w="1626" w:type="dxa"/>
            <w:vAlign w:val="center"/>
          </w:tcPr>
          <w:p w14:paraId="0B2D9871"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7.13</w:t>
            </w:r>
          </w:p>
        </w:tc>
        <w:tc>
          <w:tcPr>
            <w:tcW w:w="1625" w:type="dxa"/>
            <w:vAlign w:val="center"/>
          </w:tcPr>
          <w:p w14:paraId="6F3DEDDB"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6.77</w:t>
            </w:r>
          </w:p>
        </w:tc>
        <w:tc>
          <w:tcPr>
            <w:tcW w:w="1626" w:type="dxa"/>
            <w:vAlign w:val="center"/>
          </w:tcPr>
          <w:p w14:paraId="35DADD5A"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5.84</w:t>
            </w:r>
          </w:p>
        </w:tc>
      </w:tr>
      <w:tr w:rsidR="00E173A4" w14:paraId="73E1B350" w14:textId="77777777">
        <w:trPr>
          <w:trHeight w:val="397"/>
          <w:jc w:val="center"/>
        </w:trPr>
        <w:tc>
          <w:tcPr>
            <w:tcW w:w="2026" w:type="dxa"/>
            <w:vAlign w:val="center"/>
          </w:tcPr>
          <w:p w14:paraId="1949CC8E" w14:textId="77777777" w:rsidR="00E173A4" w:rsidRDefault="00E173A4">
            <w:pPr>
              <w:adjustRightInd w:val="0"/>
              <w:snapToGrid w:val="0"/>
              <w:rPr>
                <w:rFonts w:ascii="Times New Roman" w:hAnsi="Times New Roman" w:cs="Times New Roman"/>
                <w:color w:val="000000"/>
                <w:kern w:val="0"/>
                <w:szCs w:val="21"/>
              </w:rPr>
            </w:pPr>
            <w:r>
              <w:rPr>
                <w:rFonts w:ascii="Times New Roman" w:hAnsi="Times New Roman" w:cs="Times New Roman"/>
                <w:color w:val="000000"/>
                <w:kern w:val="0"/>
                <w:szCs w:val="21"/>
              </w:rPr>
              <w:t>存货周转率（次）</w:t>
            </w:r>
          </w:p>
        </w:tc>
        <w:tc>
          <w:tcPr>
            <w:tcW w:w="1625" w:type="dxa"/>
            <w:vAlign w:val="center"/>
          </w:tcPr>
          <w:p w14:paraId="3F39151D"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hint="eastAsia"/>
                <w:color w:val="000000"/>
              </w:rPr>
              <w:t>3.00</w:t>
            </w:r>
          </w:p>
        </w:tc>
        <w:tc>
          <w:tcPr>
            <w:tcW w:w="1626" w:type="dxa"/>
            <w:vAlign w:val="center"/>
          </w:tcPr>
          <w:p w14:paraId="0BEBD5DA" w14:textId="77777777" w:rsidR="00E173A4" w:rsidRDefault="00E173A4">
            <w:pPr>
              <w:adjustRightInd w:val="0"/>
              <w:snapToGrid w:val="0"/>
              <w:jc w:val="right"/>
              <w:rPr>
                <w:rFonts w:ascii="Times New Roman" w:hAnsi="Times New Roman" w:cs="Times New Roman"/>
                <w:color w:val="000000"/>
              </w:rPr>
            </w:pPr>
            <w:r>
              <w:rPr>
                <w:rFonts w:ascii="Times New Roman" w:hAnsi="Times New Roman" w:cs="Times New Roman"/>
                <w:color w:val="000000"/>
              </w:rPr>
              <w:t>2.92</w:t>
            </w:r>
          </w:p>
        </w:tc>
        <w:tc>
          <w:tcPr>
            <w:tcW w:w="1625" w:type="dxa"/>
            <w:vAlign w:val="center"/>
          </w:tcPr>
          <w:p w14:paraId="7177B747"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3.00</w:t>
            </w:r>
          </w:p>
        </w:tc>
        <w:tc>
          <w:tcPr>
            <w:tcW w:w="1626" w:type="dxa"/>
            <w:vAlign w:val="center"/>
          </w:tcPr>
          <w:p w14:paraId="18BF09A5" w14:textId="77777777" w:rsidR="00E173A4" w:rsidRDefault="00E173A4">
            <w:pPr>
              <w:adjustRightInd w:val="0"/>
              <w:snapToGrid w:val="0"/>
              <w:jc w:val="right"/>
              <w:rPr>
                <w:rFonts w:ascii="Times New Roman" w:hAnsi="Times New Roman" w:cs="Times New Roman"/>
                <w:color w:val="000000"/>
                <w:kern w:val="0"/>
                <w:szCs w:val="21"/>
              </w:rPr>
            </w:pPr>
            <w:r>
              <w:rPr>
                <w:rFonts w:ascii="Times New Roman" w:hAnsi="Times New Roman" w:cs="Times New Roman"/>
                <w:color w:val="000000"/>
              </w:rPr>
              <w:t>3.13</w:t>
            </w:r>
          </w:p>
        </w:tc>
      </w:tr>
    </w:tbl>
    <w:p w14:paraId="34A902FE" w14:textId="77777777" w:rsidR="00E173A4" w:rsidRDefault="00E173A4">
      <w:pPr>
        <w:pStyle w:val="006"/>
        <w:ind w:firstLine="420"/>
      </w:pPr>
      <w:r>
        <w:t>注</w:t>
      </w:r>
      <w:r>
        <w:t>1</w:t>
      </w:r>
      <w:r>
        <w:t>：上述指标的计算公式如下：</w:t>
      </w:r>
    </w:p>
    <w:p w14:paraId="52E498B9" w14:textId="77777777" w:rsidR="00E173A4" w:rsidRDefault="00E173A4">
      <w:pPr>
        <w:pStyle w:val="006"/>
        <w:ind w:firstLine="420"/>
      </w:pPr>
      <w:r>
        <w:t>（</w:t>
      </w:r>
      <w:r>
        <w:t>1</w:t>
      </w:r>
      <w:r>
        <w:t>）</w:t>
      </w:r>
      <w:r>
        <w:rPr>
          <w:rFonts w:hint="eastAsia"/>
        </w:rPr>
        <w:t>主营业务</w:t>
      </w:r>
      <w:r>
        <w:t>毛利率</w:t>
      </w:r>
      <w:r>
        <w:t>=</w:t>
      </w:r>
      <w:r>
        <w:t>（</w:t>
      </w:r>
      <w:r>
        <w:rPr>
          <w:rFonts w:hint="eastAsia"/>
        </w:rPr>
        <w:t>主营业务</w:t>
      </w:r>
      <w:r>
        <w:t>收入</w:t>
      </w:r>
      <w:r>
        <w:t>-</w:t>
      </w:r>
      <w:r>
        <w:rPr>
          <w:rFonts w:hint="eastAsia"/>
        </w:rPr>
        <w:t>主</w:t>
      </w:r>
      <w:r>
        <w:t>营</w:t>
      </w:r>
      <w:r>
        <w:rPr>
          <w:rFonts w:hint="eastAsia"/>
        </w:rPr>
        <w:t>业务</w:t>
      </w:r>
      <w:r>
        <w:t>成本）</w:t>
      </w:r>
      <w:r>
        <w:t>/</w:t>
      </w:r>
      <w:r>
        <w:t>营业收入</w:t>
      </w:r>
    </w:p>
    <w:p w14:paraId="26C3D1DE" w14:textId="77777777" w:rsidR="00E173A4" w:rsidRDefault="00E173A4">
      <w:pPr>
        <w:pStyle w:val="006"/>
        <w:ind w:firstLine="420"/>
      </w:pPr>
      <w:r>
        <w:t>（</w:t>
      </w:r>
      <w:r>
        <w:t>2</w:t>
      </w:r>
      <w:r>
        <w:t>）净资产收益率按《公开发行证券的公司信息披露编报规则第</w:t>
      </w:r>
      <w:r>
        <w:t>9</w:t>
      </w:r>
      <w:r>
        <w:t>号</w:t>
      </w:r>
      <w:r>
        <w:t>——</w:t>
      </w:r>
      <w:r>
        <w:t>净资产收益率和每股收益的计算及披露》进行计算</w:t>
      </w:r>
    </w:p>
    <w:p w14:paraId="4156F143" w14:textId="77777777" w:rsidR="00E173A4" w:rsidRDefault="00E173A4">
      <w:pPr>
        <w:pStyle w:val="006"/>
        <w:ind w:firstLine="420"/>
      </w:pPr>
      <w:r>
        <w:t>（</w:t>
      </w:r>
      <w:r>
        <w:t>3</w:t>
      </w:r>
      <w:r>
        <w:t>）流动比率</w:t>
      </w:r>
      <w:r>
        <w:t>=</w:t>
      </w:r>
      <w:r>
        <w:t>流动资产</w:t>
      </w:r>
      <w:r>
        <w:t>/</w:t>
      </w:r>
      <w:r>
        <w:t>流动负债</w:t>
      </w:r>
    </w:p>
    <w:p w14:paraId="3F727959" w14:textId="77777777" w:rsidR="00E173A4" w:rsidRDefault="00E173A4">
      <w:pPr>
        <w:pStyle w:val="006"/>
        <w:ind w:firstLine="420"/>
      </w:pPr>
      <w:r>
        <w:t>（</w:t>
      </w:r>
      <w:r>
        <w:t>4</w:t>
      </w:r>
      <w:r>
        <w:t>）速动比率</w:t>
      </w:r>
      <w:r>
        <w:t>=</w:t>
      </w:r>
      <w:r>
        <w:t>（流动资产</w:t>
      </w:r>
      <w:r>
        <w:t>-</w:t>
      </w:r>
      <w:r>
        <w:t>存货）</w:t>
      </w:r>
      <w:r>
        <w:t>/</w:t>
      </w:r>
      <w:r>
        <w:t>流动负债</w:t>
      </w:r>
    </w:p>
    <w:p w14:paraId="25A6154A" w14:textId="77777777" w:rsidR="00E173A4" w:rsidRDefault="00E173A4">
      <w:pPr>
        <w:pStyle w:val="006"/>
        <w:ind w:firstLine="420"/>
      </w:pPr>
      <w:r>
        <w:t>（</w:t>
      </w:r>
      <w:r>
        <w:t>5</w:t>
      </w:r>
      <w:r>
        <w:t>）资产负债率</w:t>
      </w:r>
      <w:r>
        <w:t>=</w:t>
      </w:r>
      <w:r>
        <w:t>总负债</w:t>
      </w:r>
      <w:r>
        <w:t>/</w:t>
      </w:r>
      <w:r>
        <w:t>总资产</w:t>
      </w:r>
    </w:p>
    <w:p w14:paraId="6F8B7612" w14:textId="77777777" w:rsidR="00E173A4" w:rsidRDefault="00E173A4">
      <w:pPr>
        <w:pStyle w:val="006"/>
        <w:ind w:firstLine="420"/>
      </w:pPr>
      <w:r>
        <w:t>（</w:t>
      </w:r>
      <w:r>
        <w:t>6</w:t>
      </w:r>
      <w:r>
        <w:t>）应收账款周转率</w:t>
      </w:r>
      <w:r>
        <w:t>=</w:t>
      </w:r>
      <w:r>
        <w:t>营业收入</w:t>
      </w:r>
      <w:r>
        <w:t>/</w:t>
      </w:r>
      <w:r>
        <w:t>应收账款平均账面价值</w:t>
      </w:r>
    </w:p>
    <w:p w14:paraId="543D8799" w14:textId="77777777" w:rsidR="00E173A4" w:rsidRDefault="00E173A4">
      <w:pPr>
        <w:pStyle w:val="006"/>
        <w:ind w:firstLine="420"/>
      </w:pPr>
      <w:r>
        <w:t>（</w:t>
      </w:r>
      <w:r>
        <w:t>7</w:t>
      </w:r>
      <w:r>
        <w:t>）存货周转率</w:t>
      </w:r>
      <w:r>
        <w:t>=</w:t>
      </w:r>
      <w:r>
        <w:t>营业成本</w:t>
      </w:r>
      <w:r>
        <w:t>/</w:t>
      </w:r>
      <w:r>
        <w:t>存货平均账面价值</w:t>
      </w:r>
    </w:p>
    <w:p w14:paraId="5787EA8C" w14:textId="77777777" w:rsidR="00E173A4" w:rsidRDefault="00E173A4">
      <w:pPr>
        <w:pStyle w:val="006"/>
        <w:ind w:firstLine="420"/>
      </w:pPr>
      <w:r>
        <w:t>注</w:t>
      </w:r>
      <w:r>
        <w:t>2</w:t>
      </w:r>
      <w:r>
        <w:t>：</w:t>
      </w:r>
      <w:r>
        <w:rPr>
          <w:rFonts w:hint="eastAsia"/>
        </w:rPr>
        <w:t>2023</w:t>
      </w:r>
      <w:r>
        <w:rPr>
          <w:rFonts w:hint="eastAsia"/>
        </w:rPr>
        <w:t>年</w:t>
      </w:r>
      <w:r>
        <w:rPr>
          <w:rFonts w:hint="eastAsia"/>
        </w:rPr>
        <w:t>1-9</w:t>
      </w:r>
      <w:r>
        <w:rPr>
          <w:rFonts w:hint="eastAsia"/>
        </w:rPr>
        <w:t>月，应收账款周转率、存货周转率以及总资产周转率进行简单年化处理</w:t>
      </w:r>
    </w:p>
    <w:p w14:paraId="143DE144" w14:textId="77777777" w:rsidR="00E173A4" w:rsidRDefault="00E173A4">
      <w:pPr>
        <w:pStyle w:val="002"/>
        <w:spacing w:before="120" w:after="120"/>
      </w:pPr>
      <w:bookmarkStart w:id="23" w:name="_Toc87299688"/>
      <w:bookmarkStart w:id="24" w:name="_Toc152320934"/>
      <w:bookmarkEnd w:id="22"/>
      <w:r>
        <w:lastRenderedPageBreak/>
        <w:t>五、保荐机构与发行人存在的关联关系</w:t>
      </w:r>
      <w:bookmarkEnd w:id="23"/>
      <w:bookmarkEnd w:id="24"/>
    </w:p>
    <w:p w14:paraId="24F7B077" w14:textId="77777777" w:rsidR="00E173A4" w:rsidRDefault="00E173A4">
      <w:pPr>
        <w:pStyle w:val="003"/>
        <w:spacing w:before="120" w:after="120"/>
      </w:pPr>
      <w:r>
        <w:t>（一）保荐机构或其控股股东、实际控制人、重要关联方持有发行人或其控股股东、重要关联方股份情况</w:t>
      </w:r>
    </w:p>
    <w:p w14:paraId="4D399900" w14:textId="77777777" w:rsidR="00E173A4" w:rsidRDefault="00E173A4">
      <w:pPr>
        <w:pStyle w:val="005"/>
        <w:spacing w:before="120"/>
        <w:ind w:firstLine="480"/>
      </w:pPr>
      <w:bookmarkStart w:id="25" w:name="_Hlk136947678"/>
      <w:r>
        <w:rPr>
          <w:lang w:val="zh-CN"/>
        </w:rPr>
        <w:t>经核查，截至</w:t>
      </w:r>
      <w:r>
        <w:rPr>
          <w:lang w:val="zh-CN"/>
        </w:rPr>
        <w:t>2023</w:t>
      </w:r>
      <w:r>
        <w:rPr>
          <w:lang w:val="zh-CN"/>
        </w:rPr>
        <w:t>年</w:t>
      </w:r>
      <w:r>
        <w:rPr>
          <w:rFonts w:hint="eastAsia"/>
        </w:rPr>
        <w:t>9</w:t>
      </w:r>
      <w:r>
        <w:rPr>
          <w:lang w:val="zh-CN"/>
        </w:rPr>
        <w:t>月</w:t>
      </w:r>
      <w:r>
        <w:rPr>
          <w:lang w:val="zh-CN"/>
        </w:rPr>
        <w:t>3</w:t>
      </w:r>
      <w:r>
        <w:t>0</w:t>
      </w:r>
      <w:r>
        <w:rPr>
          <w:lang w:val="zh-CN"/>
        </w:rPr>
        <w:t>日，保荐机构自营业务股票账户持有发行人股票</w:t>
      </w:r>
      <w:r>
        <w:rPr>
          <w:rFonts w:hint="eastAsia"/>
        </w:rPr>
        <w:t>249,727</w:t>
      </w:r>
      <w:r>
        <w:rPr>
          <w:lang w:val="zh-CN"/>
        </w:rPr>
        <w:t>股，信用融券专户持有发行人股票</w:t>
      </w:r>
      <w:r>
        <w:rPr>
          <w:lang w:val="zh-CN"/>
        </w:rPr>
        <w:t>0</w:t>
      </w:r>
      <w:r>
        <w:rPr>
          <w:lang w:val="zh-CN"/>
        </w:rPr>
        <w:t>股，资产管理业务股票账户持有发行人股票</w:t>
      </w:r>
      <w:r>
        <w:rPr>
          <w:lang w:val="zh-CN"/>
        </w:rPr>
        <w:t>0</w:t>
      </w:r>
      <w:r>
        <w:rPr>
          <w:lang w:val="zh-CN"/>
        </w:rPr>
        <w:t>股；保荐机构重要子公司（包括华夏基金管理有限公司、中信期货有限公司、金石投资有限公司、中信证券投资有限公司、中信里昂证券有限公司和中信证券华南股份有限公司）持有发行人股票</w:t>
      </w:r>
      <w:r>
        <w:rPr>
          <w:rFonts w:hint="eastAsia"/>
        </w:rPr>
        <w:t>636,344</w:t>
      </w:r>
      <w:r>
        <w:rPr>
          <w:lang w:val="zh-CN"/>
        </w:rPr>
        <w:t>股。保荐机构已建立并执行严格的信息隔离墙制度，上述情形不会影响保荐机构正常履行保荐及承销职责</w:t>
      </w:r>
      <w:r>
        <w:t>。</w:t>
      </w:r>
    </w:p>
    <w:p w14:paraId="35AF71B0" w14:textId="77777777" w:rsidR="00E173A4" w:rsidRDefault="00E173A4">
      <w:pPr>
        <w:pStyle w:val="005"/>
        <w:spacing w:before="120"/>
        <w:ind w:firstLine="480"/>
      </w:pPr>
      <w:r>
        <w:t>除上述情况外，本保荐机构或控股股东、实际控制人、重要关联方不存在持有发行人或其控股股东、实际控制人、重要关联方股份的情况。</w:t>
      </w:r>
    </w:p>
    <w:p w14:paraId="26A93ADD" w14:textId="77777777" w:rsidR="00E173A4" w:rsidRDefault="00E173A4">
      <w:pPr>
        <w:pStyle w:val="005"/>
        <w:spacing w:before="120"/>
        <w:ind w:firstLine="480"/>
        <w:rPr>
          <w:lang w:val="zh-CN"/>
        </w:rPr>
      </w:pPr>
      <w:r>
        <w:t>经核查，本保荐机构或控股股东、实际控制人、重要关联方持有发行人或其控股股东、重要关联方股份</w:t>
      </w:r>
      <w:r>
        <w:rPr>
          <w:lang w:val="zh-CN"/>
        </w:rPr>
        <w:t>总计不超过发行人股份的</w:t>
      </w:r>
      <w:r>
        <w:rPr>
          <w:lang w:val="zh-CN"/>
        </w:rPr>
        <w:t>5%</w:t>
      </w:r>
      <w:bookmarkEnd w:id="25"/>
      <w:r>
        <w:rPr>
          <w:lang w:val="zh-CN"/>
        </w:rPr>
        <w:t>。</w:t>
      </w:r>
    </w:p>
    <w:p w14:paraId="45440687" w14:textId="77777777" w:rsidR="00E173A4" w:rsidRDefault="00E173A4">
      <w:pPr>
        <w:pStyle w:val="003"/>
        <w:spacing w:before="120" w:after="120"/>
      </w:pPr>
      <w:r>
        <w:t>（二）发行人或其控股股东、重要关联方持有保荐机构或其控股股东、实际控制人、重要关联方股份情况</w:t>
      </w:r>
    </w:p>
    <w:p w14:paraId="5DBB4581" w14:textId="77777777" w:rsidR="00E173A4" w:rsidRDefault="00E173A4">
      <w:pPr>
        <w:pStyle w:val="005"/>
        <w:spacing w:before="120"/>
        <w:ind w:firstLine="480"/>
        <w:rPr>
          <w:lang w:val="zh-CN"/>
        </w:rPr>
      </w:pPr>
      <w:r>
        <w:rPr>
          <w:lang w:val="zh-CN"/>
        </w:rPr>
        <w:t>经核查，</w:t>
      </w:r>
      <w:r>
        <w:rPr>
          <w:bCs/>
          <w:lang w:val="zh-CN"/>
        </w:rPr>
        <w:t>截至</w:t>
      </w:r>
      <w:r>
        <w:rPr>
          <w:bCs/>
          <w:lang w:val="zh-CN"/>
        </w:rPr>
        <w:t>2023</w:t>
      </w:r>
      <w:r>
        <w:rPr>
          <w:bCs/>
          <w:lang w:val="zh-CN"/>
        </w:rPr>
        <w:t>年</w:t>
      </w:r>
      <w:r>
        <w:rPr>
          <w:rFonts w:hint="eastAsia"/>
          <w:bCs/>
        </w:rPr>
        <w:t>9</w:t>
      </w:r>
      <w:r>
        <w:rPr>
          <w:bCs/>
          <w:lang w:val="zh-CN"/>
        </w:rPr>
        <w:t>月</w:t>
      </w:r>
      <w:r>
        <w:rPr>
          <w:bCs/>
          <w:lang w:val="zh-CN"/>
        </w:rPr>
        <w:t>3</w:t>
      </w:r>
      <w:r>
        <w:rPr>
          <w:bCs/>
        </w:rPr>
        <w:t>0</w:t>
      </w:r>
      <w:r>
        <w:rPr>
          <w:bCs/>
          <w:lang w:val="zh-CN"/>
        </w:rPr>
        <w:t>日</w:t>
      </w:r>
      <w:r>
        <w:rPr>
          <w:lang w:val="zh-CN"/>
        </w:rPr>
        <w:t>，除可能存在少量、正常的二级市场证券投资外，发行人或其控股股东、实际控制人、重要关联方不存在持有本保荐机构或其控股股东、实际控制人、重要关联方股份的情况。</w:t>
      </w:r>
    </w:p>
    <w:p w14:paraId="7466453E" w14:textId="77777777" w:rsidR="00E173A4" w:rsidRDefault="00E173A4">
      <w:pPr>
        <w:pStyle w:val="003"/>
        <w:spacing w:before="120" w:after="120"/>
      </w:pPr>
      <w:r>
        <w:t>（三）保荐机构的保荐代表人及其配偶，董事、监事、高级管理人员拥有发行人权益、在发行人任职等情况</w:t>
      </w:r>
    </w:p>
    <w:p w14:paraId="127B647F" w14:textId="77777777" w:rsidR="00E173A4" w:rsidRDefault="00E173A4">
      <w:pPr>
        <w:pStyle w:val="005"/>
        <w:spacing w:before="120"/>
        <w:ind w:firstLine="480"/>
        <w:rPr>
          <w:lang w:val="zh-CN"/>
        </w:rPr>
      </w:pPr>
      <w:r>
        <w:rPr>
          <w:lang w:val="zh-CN"/>
        </w:rPr>
        <w:t>经核查，</w:t>
      </w:r>
      <w:r>
        <w:rPr>
          <w:bCs/>
          <w:lang w:val="zh-CN"/>
        </w:rPr>
        <w:t>截至</w:t>
      </w:r>
      <w:r>
        <w:rPr>
          <w:bCs/>
          <w:lang w:val="zh-CN"/>
        </w:rPr>
        <w:t>2023</w:t>
      </w:r>
      <w:r>
        <w:rPr>
          <w:bCs/>
          <w:lang w:val="zh-CN"/>
        </w:rPr>
        <w:t>年</w:t>
      </w:r>
      <w:r>
        <w:rPr>
          <w:rFonts w:hint="eastAsia"/>
          <w:bCs/>
        </w:rPr>
        <w:t>9</w:t>
      </w:r>
      <w:r>
        <w:rPr>
          <w:bCs/>
          <w:lang w:val="zh-CN"/>
        </w:rPr>
        <w:t>月</w:t>
      </w:r>
      <w:r>
        <w:rPr>
          <w:bCs/>
          <w:lang w:val="zh-CN"/>
        </w:rPr>
        <w:t>3</w:t>
      </w:r>
      <w:r>
        <w:rPr>
          <w:bCs/>
        </w:rPr>
        <w:t>0</w:t>
      </w:r>
      <w:r>
        <w:rPr>
          <w:bCs/>
          <w:lang w:val="zh-CN"/>
        </w:rPr>
        <w:t>日</w:t>
      </w:r>
      <w:r>
        <w:rPr>
          <w:lang w:val="zh-CN"/>
        </w:rPr>
        <w:t>，本保荐机构指定的保荐代表人及其配偶、中信证券董事、监事、高级管理人员不存在拥有发行人权益、在发行人任职等可能影响公正履行保荐职责的情形，也不存在持有发行人控股股东、实际控制人及重要关联方股份，以及在发行人或其控股股东、实际控制人及重要关联方任职的情况。</w:t>
      </w:r>
    </w:p>
    <w:p w14:paraId="22CB111D" w14:textId="77777777" w:rsidR="00E173A4" w:rsidRDefault="00E173A4">
      <w:pPr>
        <w:pStyle w:val="003"/>
        <w:spacing w:before="120" w:after="120"/>
      </w:pPr>
      <w:r>
        <w:lastRenderedPageBreak/>
        <w:t>（四）保荐机构的控股股东、实际控制人、重要关联方与发行人控股股东、实际控制人、重要关联方相互提供担保或者融资等情况</w:t>
      </w:r>
    </w:p>
    <w:p w14:paraId="635C491E" w14:textId="77777777" w:rsidR="00E173A4" w:rsidRDefault="00E173A4">
      <w:pPr>
        <w:pStyle w:val="005"/>
        <w:spacing w:before="120"/>
        <w:ind w:firstLine="480"/>
        <w:rPr>
          <w:lang w:val="zh-CN"/>
        </w:rPr>
      </w:pPr>
      <w:r>
        <w:rPr>
          <w:lang w:val="zh-CN"/>
        </w:rPr>
        <w:t>经核查，</w:t>
      </w:r>
      <w:r>
        <w:rPr>
          <w:bCs/>
          <w:lang w:val="zh-CN"/>
        </w:rPr>
        <w:t>截至</w:t>
      </w:r>
      <w:r>
        <w:rPr>
          <w:bCs/>
          <w:lang w:val="zh-CN"/>
        </w:rPr>
        <w:t>2023</w:t>
      </w:r>
      <w:r>
        <w:rPr>
          <w:bCs/>
          <w:lang w:val="zh-CN"/>
        </w:rPr>
        <w:t>年</w:t>
      </w:r>
      <w:r>
        <w:rPr>
          <w:rFonts w:hint="eastAsia"/>
          <w:bCs/>
        </w:rPr>
        <w:t>9</w:t>
      </w:r>
      <w:r>
        <w:rPr>
          <w:bCs/>
          <w:lang w:val="zh-CN"/>
        </w:rPr>
        <w:t>月</w:t>
      </w:r>
      <w:r>
        <w:rPr>
          <w:bCs/>
          <w:lang w:val="zh-CN"/>
        </w:rPr>
        <w:t>3</w:t>
      </w:r>
      <w:r>
        <w:rPr>
          <w:bCs/>
        </w:rPr>
        <w:t>0</w:t>
      </w:r>
      <w:r>
        <w:rPr>
          <w:bCs/>
          <w:lang w:val="zh-CN"/>
        </w:rPr>
        <w:t>日，本保</w:t>
      </w:r>
      <w:r>
        <w:rPr>
          <w:lang w:val="zh-CN"/>
        </w:rPr>
        <w:t>荐机构的控股股东、实际控制人、重要关联方与发行人控股股东、实际控制人、重要关联方之间不存在相互提供担保或者融资等情况。</w:t>
      </w:r>
    </w:p>
    <w:p w14:paraId="666DFDF4" w14:textId="77777777" w:rsidR="00E173A4" w:rsidRDefault="00E173A4">
      <w:pPr>
        <w:pStyle w:val="003"/>
        <w:spacing w:before="120" w:after="120"/>
      </w:pPr>
      <w:r>
        <w:t>（五）保荐机构与发行人之间的其他关联关系</w:t>
      </w:r>
    </w:p>
    <w:p w14:paraId="24B475B9" w14:textId="77777777" w:rsidR="00E173A4" w:rsidRDefault="00E173A4">
      <w:pPr>
        <w:pStyle w:val="005"/>
        <w:spacing w:before="120"/>
        <w:ind w:firstLine="480"/>
        <w:rPr>
          <w:lang w:val="zh-CN"/>
        </w:rPr>
      </w:pPr>
      <w:r>
        <w:rPr>
          <w:lang w:val="zh-CN"/>
        </w:rPr>
        <w:t>经核查，</w:t>
      </w:r>
      <w:r>
        <w:rPr>
          <w:bCs/>
          <w:lang w:val="zh-CN"/>
        </w:rPr>
        <w:t>截至</w:t>
      </w:r>
      <w:r>
        <w:rPr>
          <w:bCs/>
          <w:lang w:val="zh-CN"/>
        </w:rPr>
        <w:t>2023</w:t>
      </w:r>
      <w:r>
        <w:rPr>
          <w:bCs/>
          <w:lang w:val="zh-CN"/>
        </w:rPr>
        <w:t>年</w:t>
      </w:r>
      <w:r>
        <w:rPr>
          <w:rFonts w:hint="eastAsia"/>
          <w:bCs/>
        </w:rPr>
        <w:t>9</w:t>
      </w:r>
      <w:r>
        <w:rPr>
          <w:bCs/>
          <w:lang w:val="zh-CN"/>
        </w:rPr>
        <w:t>月</w:t>
      </w:r>
      <w:r>
        <w:rPr>
          <w:bCs/>
          <w:lang w:val="zh-CN"/>
        </w:rPr>
        <w:t>3</w:t>
      </w:r>
      <w:r>
        <w:rPr>
          <w:bCs/>
        </w:rPr>
        <w:t>0</w:t>
      </w:r>
      <w:r>
        <w:rPr>
          <w:bCs/>
          <w:lang w:val="zh-CN"/>
        </w:rPr>
        <w:t>日，本</w:t>
      </w:r>
      <w:r>
        <w:rPr>
          <w:lang w:val="zh-CN"/>
        </w:rPr>
        <w:t>保荐机构与发行人之间不存在可能影响保荐机构公正履行保荐职责的其他关联关系。</w:t>
      </w:r>
    </w:p>
    <w:p w14:paraId="3A150C41" w14:textId="77777777" w:rsidR="00E173A4" w:rsidRDefault="00E173A4">
      <w:pPr>
        <w:pStyle w:val="002"/>
        <w:spacing w:before="120" w:after="120"/>
      </w:pPr>
      <w:bookmarkStart w:id="26" w:name="_Toc87299689"/>
      <w:bookmarkStart w:id="27" w:name="_Toc152320935"/>
      <w:bookmarkStart w:id="28" w:name="_Toc87299690"/>
      <w:r>
        <w:t>六、保荐人内部审核程序和内核意见</w:t>
      </w:r>
      <w:bookmarkEnd w:id="26"/>
      <w:bookmarkEnd w:id="27"/>
    </w:p>
    <w:p w14:paraId="5483EF7B" w14:textId="77777777" w:rsidR="00E173A4" w:rsidRDefault="00E173A4">
      <w:pPr>
        <w:pStyle w:val="003"/>
        <w:spacing w:before="120" w:after="120"/>
      </w:pPr>
      <w:r>
        <w:t>（一）内部审核程序</w:t>
      </w:r>
    </w:p>
    <w:p w14:paraId="648721AA" w14:textId="77777777" w:rsidR="00E173A4" w:rsidRDefault="00E173A4">
      <w:pPr>
        <w:pStyle w:val="005"/>
        <w:spacing w:before="120"/>
        <w:ind w:firstLine="480"/>
        <w:rPr>
          <w:lang w:val="zh-CN"/>
        </w:rPr>
      </w:pPr>
      <w:r>
        <w:rPr>
          <w:lang w:val="zh-CN"/>
        </w:rPr>
        <w:t>中信证券设内核部，负责本机构投资银行类项目的内核工作。本保荐机构内部审核具体程序如下：</w:t>
      </w:r>
    </w:p>
    <w:p w14:paraId="2F236AC0" w14:textId="77777777" w:rsidR="00E173A4" w:rsidRDefault="00E173A4">
      <w:pPr>
        <w:pStyle w:val="005"/>
        <w:spacing w:before="120"/>
        <w:ind w:firstLine="480"/>
        <w:rPr>
          <w:lang w:val="zh-CN"/>
        </w:rPr>
      </w:pPr>
      <w:r>
        <w:rPr>
          <w:lang w:val="zh-CN"/>
        </w:rPr>
        <w:t>内核部将按照保荐项目所处阶段以及项目组的预约情况对项目进行现场内核。内核部在受理项目申报材料之后，将指派审核员分别从法律和财务角度对项目申请文件进行初审。同时内核部结合项目情况，有可能聘请外部律师和会计师等专业人士对项目申请文件进行审核，为本机构内核部提供专业意见支持。由内核部审核员召集该项目的签字保荐代表人、项目负责人履行问核程序，询问该项目的尽职调查工作情况，并提醒其未尽到勤勉尽责的法律后果。</w:t>
      </w:r>
    </w:p>
    <w:p w14:paraId="7CC3021E" w14:textId="77777777" w:rsidR="00E173A4" w:rsidRDefault="00E173A4">
      <w:pPr>
        <w:pStyle w:val="005"/>
        <w:spacing w:before="120"/>
        <w:ind w:firstLine="480"/>
        <w:rPr>
          <w:lang w:val="zh-CN"/>
        </w:rPr>
      </w:pPr>
      <w:r>
        <w:rPr>
          <w:lang w:val="zh-CN"/>
        </w:rPr>
        <w:t>内核审议在对项目文件和材料进行仔细研判的基础上，结合项目质量控制报告，重点关注审议项目是否符合法律法规、规范性文件和自律规则的相关要求，尽职调查是否勤勉尽责。发现审议项目存在问题和风险的，提出书面反馈意见，内核会召开前由内核部汇总出具项目内核报告。内核委员会以现场会议方式履行职责，以投票表决方式对内核会议审议事项作出审议。同意对外提交、报送、出具或披露材料和文件的决议应当至少经</w:t>
      </w:r>
      <w:r>
        <w:rPr>
          <w:lang w:val="zh-CN"/>
        </w:rPr>
        <w:t>2/3</w:t>
      </w:r>
      <w:r>
        <w:rPr>
          <w:lang w:val="zh-CN"/>
        </w:rPr>
        <w:t>以上的参会内核委员表决通过。内核部对内核意见的答复、落实情况进行审核，确保内核意见在项目材料和文件对外提交、报送、出具或披露前得到落实。</w:t>
      </w:r>
    </w:p>
    <w:p w14:paraId="603525D8" w14:textId="77777777" w:rsidR="00E173A4" w:rsidRDefault="00E173A4">
      <w:pPr>
        <w:pStyle w:val="003"/>
        <w:spacing w:before="120" w:after="120"/>
      </w:pPr>
      <w:r>
        <w:lastRenderedPageBreak/>
        <w:t>（二）内核意见</w:t>
      </w:r>
    </w:p>
    <w:p w14:paraId="71F9AD80" w14:textId="77777777" w:rsidR="00E173A4" w:rsidRDefault="00E173A4">
      <w:pPr>
        <w:pStyle w:val="005"/>
        <w:spacing w:before="120"/>
        <w:ind w:firstLine="480"/>
        <w:rPr>
          <w:lang w:val="zh-CN"/>
        </w:rPr>
      </w:pPr>
      <w:r>
        <w:t>2023</w:t>
      </w:r>
      <w:r>
        <w:rPr>
          <w:lang w:val="zh-CN"/>
        </w:rPr>
        <w:t>年</w:t>
      </w:r>
      <w:r>
        <w:t>7</w:t>
      </w:r>
      <w:r>
        <w:rPr>
          <w:lang w:val="zh-CN"/>
        </w:rPr>
        <w:t>月</w:t>
      </w:r>
      <w:r>
        <w:t>17</w:t>
      </w:r>
      <w:r>
        <w:rPr>
          <w:lang w:val="zh-CN"/>
        </w:rPr>
        <w:t>日，在中信证券</w:t>
      </w:r>
      <w:r>
        <w:t>263</w:t>
      </w:r>
      <w:r>
        <w:t>会议系统</w:t>
      </w:r>
      <w:r>
        <w:rPr>
          <w:lang w:val="zh-CN"/>
        </w:rPr>
        <w:t>召开了</w:t>
      </w:r>
      <w:r>
        <w:rPr>
          <w:rFonts w:hint="eastAsia"/>
          <w:lang w:val="zh-CN"/>
        </w:rPr>
        <w:t>青岛</w:t>
      </w:r>
      <w:r>
        <w:rPr>
          <w:lang w:val="zh-CN"/>
        </w:rPr>
        <w:t>伟隆</w:t>
      </w:r>
      <w:r>
        <w:t>阀门</w:t>
      </w:r>
      <w:r>
        <w:rPr>
          <w:lang w:val="zh-CN"/>
        </w:rPr>
        <w:t>股份有限公司向不特定对象发行可转换公司债券项目内核会，内核委员会对该项目申请进行了讨论，经全体参会内核委员投票表决，该项目通过了中信证券内核委员会的审议，同意将</w:t>
      </w:r>
      <w:r>
        <w:rPr>
          <w:rFonts w:hint="eastAsia"/>
          <w:lang w:val="zh-CN"/>
        </w:rPr>
        <w:t>青岛</w:t>
      </w:r>
      <w:r>
        <w:rPr>
          <w:lang w:val="zh-CN"/>
        </w:rPr>
        <w:t>伟隆</w:t>
      </w:r>
      <w:r>
        <w:t>阀门</w:t>
      </w:r>
      <w:r>
        <w:rPr>
          <w:lang w:val="zh-CN"/>
        </w:rPr>
        <w:t>股份有限公司向不特定对象发行可转换公司债券项目申请文件对外申报。</w:t>
      </w:r>
    </w:p>
    <w:p w14:paraId="12820622" w14:textId="77777777" w:rsidR="00E173A4" w:rsidRDefault="00E173A4">
      <w:pPr>
        <w:pStyle w:val="001"/>
        <w:spacing w:before="120" w:after="120"/>
      </w:pPr>
      <w:bookmarkStart w:id="29" w:name="_Toc152320936"/>
      <w:r>
        <w:lastRenderedPageBreak/>
        <w:t>第二节</w:t>
      </w:r>
      <w:r>
        <w:t xml:space="preserve">  </w:t>
      </w:r>
      <w:r>
        <w:t>保荐人承诺事项</w:t>
      </w:r>
      <w:bookmarkEnd w:id="28"/>
      <w:bookmarkEnd w:id="29"/>
    </w:p>
    <w:p w14:paraId="2131F8EE" w14:textId="77777777" w:rsidR="00E173A4" w:rsidRDefault="00E173A4">
      <w:pPr>
        <w:pStyle w:val="005"/>
        <w:spacing w:before="120"/>
        <w:ind w:firstLine="480"/>
        <w:rPr>
          <w:lang w:val="zh-CN"/>
        </w:rPr>
      </w:pPr>
      <w:r>
        <w:rPr>
          <w:lang w:val="zh-CN"/>
        </w:rPr>
        <w:t>（一）保荐人已按照法律、行政法规和中国证监会、深圳证券交易所的规定，对发行人及其控股股东、实际控制人进行了尽职调查、审慎核查，同意推荐发行人证券发行上市，并据此出具本发行保荐书。</w:t>
      </w:r>
    </w:p>
    <w:p w14:paraId="15278D3E" w14:textId="77777777" w:rsidR="00E173A4" w:rsidRDefault="00E173A4">
      <w:pPr>
        <w:pStyle w:val="005"/>
        <w:spacing w:before="120"/>
        <w:ind w:firstLine="480"/>
        <w:rPr>
          <w:lang w:val="zh-CN"/>
        </w:rPr>
      </w:pPr>
      <w:r>
        <w:rPr>
          <w:lang w:val="zh-CN"/>
        </w:rPr>
        <w:t>（二）保荐人有充分理由确信发行人符合法律法规及中国证监会、深圳证券交易所有关证券发行上市的相关规定。</w:t>
      </w:r>
    </w:p>
    <w:p w14:paraId="296241A4" w14:textId="77777777" w:rsidR="00E173A4" w:rsidRDefault="00E173A4">
      <w:pPr>
        <w:pStyle w:val="005"/>
        <w:spacing w:before="120"/>
        <w:ind w:firstLine="480"/>
        <w:rPr>
          <w:lang w:val="zh-CN"/>
        </w:rPr>
      </w:pPr>
      <w:r>
        <w:rPr>
          <w:lang w:val="zh-CN"/>
        </w:rPr>
        <w:t>（三）保荐人有充分理由确信发行人申请文件和信息披露资料不存在虚假记载、误导性陈述或者重大遗漏。</w:t>
      </w:r>
    </w:p>
    <w:p w14:paraId="397CFA4F" w14:textId="77777777" w:rsidR="00E173A4" w:rsidRDefault="00E173A4">
      <w:pPr>
        <w:pStyle w:val="005"/>
        <w:spacing w:before="120"/>
        <w:ind w:firstLine="480"/>
        <w:rPr>
          <w:lang w:val="zh-CN"/>
        </w:rPr>
      </w:pPr>
      <w:r>
        <w:rPr>
          <w:lang w:val="zh-CN"/>
        </w:rPr>
        <w:t>（四）保荐人有充分理由确信发行人及其董事在申请文件和信息披露资料中表达意见的依据充分合理。</w:t>
      </w:r>
    </w:p>
    <w:p w14:paraId="0A9B785A" w14:textId="77777777" w:rsidR="00E173A4" w:rsidRDefault="00E173A4">
      <w:pPr>
        <w:pStyle w:val="005"/>
        <w:spacing w:before="120"/>
        <w:ind w:firstLine="480"/>
        <w:rPr>
          <w:lang w:val="zh-CN"/>
        </w:rPr>
      </w:pPr>
      <w:r>
        <w:rPr>
          <w:lang w:val="zh-CN"/>
        </w:rPr>
        <w:t>（五）保荐人有充分理由确信申请文件和信息披露资料与证券服务机构发表的意见不存在实质性差异。</w:t>
      </w:r>
    </w:p>
    <w:p w14:paraId="0964CB66" w14:textId="77777777" w:rsidR="00E173A4" w:rsidRDefault="00E173A4">
      <w:pPr>
        <w:pStyle w:val="005"/>
        <w:spacing w:before="120"/>
        <w:ind w:firstLine="480"/>
        <w:rPr>
          <w:lang w:val="zh-CN"/>
        </w:rPr>
      </w:pPr>
      <w:r>
        <w:rPr>
          <w:lang w:val="zh-CN"/>
        </w:rPr>
        <w:t>（六）保荐人保证所指定的保荐代表人及本保荐机构的相关人员已勤勉尽责，对发行人申请文件和信息披露资料进行了尽职调查、审慎核查。</w:t>
      </w:r>
    </w:p>
    <w:p w14:paraId="7ADBAC18" w14:textId="77777777" w:rsidR="00E173A4" w:rsidRDefault="00E173A4">
      <w:pPr>
        <w:pStyle w:val="005"/>
        <w:spacing w:before="120"/>
        <w:ind w:firstLine="480"/>
        <w:rPr>
          <w:lang w:val="zh-CN"/>
        </w:rPr>
      </w:pPr>
      <w:r>
        <w:rPr>
          <w:lang w:val="zh-CN"/>
        </w:rPr>
        <w:t>（七）保荐人保证发行保荐书、与履行保荐职责有关的其他文件不存在虚假记载、误导性陈述或者重大遗漏。</w:t>
      </w:r>
    </w:p>
    <w:p w14:paraId="5865FCB8" w14:textId="77777777" w:rsidR="00E173A4" w:rsidRDefault="00E173A4">
      <w:pPr>
        <w:pStyle w:val="005"/>
        <w:spacing w:before="120"/>
        <w:ind w:firstLine="480"/>
        <w:rPr>
          <w:lang w:val="zh-CN"/>
        </w:rPr>
      </w:pPr>
      <w:r>
        <w:rPr>
          <w:lang w:val="zh-CN"/>
        </w:rPr>
        <w:t>（八）保荐人保证对发行人提供的专业服务和出具的专业意见符合法律、行政法规及中国证监会、深圳证券交易所的规定和行业规范。</w:t>
      </w:r>
    </w:p>
    <w:p w14:paraId="5B9CFD2D" w14:textId="77777777" w:rsidR="00E173A4" w:rsidRDefault="00E173A4">
      <w:pPr>
        <w:pStyle w:val="005"/>
        <w:spacing w:before="120"/>
        <w:ind w:firstLine="480"/>
        <w:rPr>
          <w:lang w:val="zh-CN"/>
        </w:rPr>
      </w:pPr>
      <w:r>
        <w:rPr>
          <w:lang w:val="zh-CN"/>
        </w:rPr>
        <w:t>（九）保荐人自愿接受中国证监会、深圳证券交易所依照《证券发行上市保荐业务管理办法》采取的监管措施。</w:t>
      </w:r>
    </w:p>
    <w:p w14:paraId="30A99B7D" w14:textId="77777777" w:rsidR="00E173A4" w:rsidRDefault="00E173A4">
      <w:pPr>
        <w:pStyle w:val="001"/>
        <w:spacing w:before="120" w:after="120"/>
      </w:pPr>
      <w:bookmarkStart w:id="30" w:name="_Toc152320937"/>
      <w:bookmarkStart w:id="31" w:name="_Toc87299691"/>
      <w:r>
        <w:lastRenderedPageBreak/>
        <w:t>第三节</w:t>
      </w:r>
      <w:r>
        <w:t xml:space="preserve">  </w:t>
      </w:r>
      <w:r>
        <w:t>保荐人对本次证券发行上市的推荐意见</w:t>
      </w:r>
      <w:bookmarkEnd w:id="30"/>
      <w:bookmarkEnd w:id="31"/>
    </w:p>
    <w:p w14:paraId="75BED2B7" w14:textId="77777777" w:rsidR="00E173A4" w:rsidRDefault="00E173A4">
      <w:pPr>
        <w:pStyle w:val="002"/>
        <w:spacing w:before="120" w:after="120"/>
      </w:pPr>
      <w:bookmarkStart w:id="32" w:name="_Toc152320938"/>
      <w:bookmarkStart w:id="33" w:name="_Toc87299692"/>
      <w:r>
        <w:t>一、本次发行的推荐结论</w:t>
      </w:r>
      <w:bookmarkEnd w:id="32"/>
      <w:bookmarkEnd w:id="33"/>
    </w:p>
    <w:p w14:paraId="34A69B2F" w14:textId="77777777" w:rsidR="00E173A4" w:rsidRDefault="00E173A4">
      <w:pPr>
        <w:pStyle w:val="005"/>
        <w:spacing w:before="120"/>
        <w:ind w:firstLine="480"/>
        <w:rPr>
          <w:lang w:val="zh-CN"/>
        </w:rPr>
      </w:pPr>
      <w:r>
        <w:rPr>
          <w:lang w:val="zh-CN"/>
        </w:rPr>
        <w:t>作为</w:t>
      </w:r>
      <w:r>
        <w:t>伟隆股份</w:t>
      </w:r>
      <w:r>
        <w:rPr>
          <w:lang w:val="zh-CN"/>
        </w:rPr>
        <w:t>向不特定对象发行可转换公司债券的保荐人，中信证券根据《公司法》《证券法》《证券发行上市保荐业务管理办法》《注册管理办法》《保荐人尽职调查工作准则》等相关法律法规的规定，由项目组对发行人进行了充分的尽职调查，与发行人、发行人律师及发行人审计师经过了充分沟通，并由</w:t>
      </w:r>
      <w:r>
        <w:rPr>
          <w:rStyle w:val="fontstyle01"/>
          <w:rFonts w:ascii="Times New Roman" w:hAnsi="Times New Roman" w:hint="default"/>
        </w:rPr>
        <w:t>内核委员会</w:t>
      </w:r>
      <w:r>
        <w:rPr>
          <w:lang w:val="zh-CN"/>
        </w:rPr>
        <w:t>进行了集体评审后，认为</w:t>
      </w:r>
      <w:r>
        <w:t>伟隆股份</w:t>
      </w:r>
      <w:r>
        <w:rPr>
          <w:lang w:val="zh-CN"/>
        </w:rPr>
        <w:t>具备了《证券法》《注册管理办法》等法律法规规定的向不特定对象发行可转换公司债券并上市的条件，本次</w:t>
      </w:r>
      <w:r>
        <w:rPr>
          <w:rStyle w:val="fontstyle01"/>
          <w:rFonts w:ascii="Times New Roman" w:hAnsi="Times New Roman" w:hint="default"/>
        </w:rPr>
        <w:t>发行募集资金</w:t>
      </w:r>
      <w:r>
        <w:rPr>
          <w:lang w:val="zh-CN"/>
        </w:rPr>
        <w:t>投向符合国家产业政策，符合公司经营发展战略，有利于促进公司持续发展。因此，中信证券同意保荐</w:t>
      </w:r>
      <w:r>
        <w:t>伟隆股份</w:t>
      </w:r>
      <w:r>
        <w:rPr>
          <w:lang w:val="zh-CN"/>
        </w:rPr>
        <w:t>本次向不特定对象发行可转换公司债券。</w:t>
      </w:r>
    </w:p>
    <w:p w14:paraId="769C38B5" w14:textId="77777777" w:rsidR="00E173A4" w:rsidRDefault="00E173A4">
      <w:pPr>
        <w:pStyle w:val="002"/>
        <w:spacing w:before="120" w:after="120"/>
      </w:pPr>
      <w:bookmarkStart w:id="34" w:name="_Toc87299693"/>
      <w:bookmarkStart w:id="35" w:name="_Toc152320939"/>
      <w:r>
        <w:t>二、本次发行履行了法定决策程序</w:t>
      </w:r>
      <w:bookmarkEnd w:id="34"/>
      <w:bookmarkEnd w:id="35"/>
    </w:p>
    <w:p w14:paraId="62386167" w14:textId="77777777" w:rsidR="00E173A4" w:rsidRDefault="00E173A4">
      <w:pPr>
        <w:pStyle w:val="005"/>
        <w:spacing w:before="120"/>
        <w:ind w:firstLine="480"/>
        <w:rPr>
          <w:lang w:val="zh-CN"/>
        </w:rPr>
      </w:pPr>
      <w:r>
        <w:rPr>
          <w:lang w:val="zh-CN"/>
        </w:rPr>
        <w:t>本次向不特定对象发行可转换公司债券经伟隆股份</w:t>
      </w:r>
      <w:bookmarkStart w:id="36" w:name="_Hlk136947358"/>
      <w:bookmarkStart w:id="37" w:name="_Hlk136944737"/>
      <w:r>
        <w:rPr>
          <w:lang w:val="zh-CN"/>
        </w:rPr>
        <w:t>2023</w:t>
      </w:r>
      <w:r>
        <w:rPr>
          <w:lang w:val="zh-CN"/>
        </w:rPr>
        <w:t>年</w:t>
      </w:r>
      <w:r>
        <w:rPr>
          <w:lang w:val="zh-CN"/>
        </w:rPr>
        <w:t>1</w:t>
      </w:r>
      <w:r>
        <w:rPr>
          <w:lang w:val="zh-CN"/>
        </w:rPr>
        <w:t>月</w:t>
      </w:r>
      <w:r>
        <w:rPr>
          <w:lang w:val="zh-CN"/>
        </w:rPr>
        <w:t>16</w:t>
      </w:r>
      <w:r>
        <w:rPr>
          <w:lang w:val="zh-CN"/>
        </w:rPr>
        <w:t>日</w:t>
      </w:r>
      <w:bookmarkEnd w:id="36"/>
      <w:r>
        <w:rPr>
          <w:lang w:val="zh-CN"/>
        </w:rPr>
        <w:t>召开的</w:t>
      </w:r>
      <w:bookmarkStart w:id="38" w:name="_Hlk136947368"/>
      <w:r>
        <w:rPr>
          <w:lang w:val="zh-CN"/>
        </w:rPr>
        <w:t>第四届董事会第十七次会议</w:t>
      </w:r>
      <w:bookmarkEnd w:id="38"/>
      <w:r>
        <w:rPr>
          <w:lang w:val="zh-CN"/>
        </w:rPr>
        <w:t>、</w:t>
      </w:r>
      <w:bookmarkStart w:id="39" w:name="_Hlk136947380"/>
      <w:r>
        <w:rPr>
          <w:lang w:val="zh-CN"/>
        </w:rPr>
        <w:t>2023</w:t>
      </w:r>
      <w:r>
        <w:rPr>
          <w:lang w:val="zh-CN"/>
        </w:rPr>
        <w:t>年</w:t>
      </w:r>
      <w:r>
        <w:rPr>
          <w:lang w:val="zh-CN"/>
        </w:rPr>
        <w:t>2</w:t>
      </w:r>
      <w:r>
        <w:rPr>
          <w:lang w:val="zh-CN"/>
        </w:rPr>
        <w:t>月</w:t>
      </w:r>
      <w:r>
        <w:rPr>
          <w:lang w:val="zh-CN"/>
        </w:rPr>
        <w:t>2</w:t>
      </w:r>
      <w:r>
        <w:rPr>
          <w:lang w:val="zh-CN"/>
        </w:rPr>
        <w:t>日</w:t>
      </w:r>
      <w:bookmarkEnd w:id="39"/>
      <w:r>
        <w:rPr>
          <w:lang w:val="zh-CN"/>
        </w:rPr>
        <w:t>召开的</w:t>
      </w:r>
      <w:bookmarkStart w:id="40" w:name="_Hlk136947388"/>
      <w:r>
        <w:rPr>
          <w:lang w:val="zh-CN"/>
        </w:rPr>
        <w:t>2023</w:t>
      </w:r>
      <w:r>
        <w:rPr>
          <w:lang w:val="zh-CN"/>
        </w:rPr>
        <w:t>年第一次临时股东大会</w:t>
      </w:r>
      <w:bookmarkEnd w:id="40"/>
      <w:r>
        <w:rPr>
          <w:lang w:val="zh-CN"/>
        </w:rPr>
        <w:t>、</w:t>
      </w:r>
      <w:bookmarkStart w:id="41" w:name="_Hlk136947439"/>
      <w:r>
        <w:rPr>
          <w:lang w:val="zh-CN"/>
        </w:rPr>
        <w:t>2023</w:t>
      </w:r>
      <w:r>
        <w:rPr>
          <w:lang w:val="zh-CN"/>
        </w:rPr>
        <w:t>年</w:t>
      </w:r>
      <w:r>
        <w:rPr>
          <w:lang w:val="zh-CN"/>
        </w:rPr>
        <w:t>4</w:t>
      </w:r>
      <w:r>
        <w:rPr>
          <w:lang w:val="zh-CN"/>
        </w:rPr>
        <w:t>月</w:t>
      </w:r>
      <w:r>
        <w:rPr>
          <w:lang w:val="zh-CN"/>
        </w:rPr>
        <w:t>19</w:t>
      </w:r>
      <w:r>
        <w:rPr>
          <w:lang w:val="zh-CN"/>
        </w:rPr>
        <w:t>日</w:t>
      </w:r>
      <w:bookmarkEnd w:id="41"/>
      <w:r>
        <w:rPr>
          <w:lang w:val="zh-CN"/>
        </w:rPr>
        <w:t>召开的</w:t>
      </w:r>
      <w:bookmarkStart w:id="42" w:name="_Hlk136947417"/>
      <w:r>
        <w:rPr>
          <w:lang w:val="zh-CN"/>
        </w:rPr>
        <w:t>第四届董事会第二十次会议</w:t>
      </w:r>
      <w:bookmarkStart w:id="43" w:name="_Hlk136947430"/>
      <w:bookmarkEnd w:id="42"/>
      <w:r>
        <w:rPr>
          <w:lang w:val="zh-CN"/>
        </w:rPr>
        <w:t>、</w:t>
      </w:r>
      <w:r>
        <w:rPr>
          <w:lang w:val="zh-CN"/>
        </w:rPr>
        <w:t>2023</w:t>
      </w:r>
      <w:r>
        <w:rPr>
          <w:lang w:val="zh-CN"/>
        </w:rPr>
        <w:t>年</w:t>
      </w:r>
      <w:r>
        <w:rPr>
          <w:lang w:val="zh-CN"/>
        </w:rPr>
        <w:t>5</w:t>
      </w:r>
      <w:r>
        <w:rPr>
          <w:lang w:val="zh-CN"/>
        </w:rPr>
        <w:t>月</w:t>
      </w:r>
      <w:r>
        <w:rPr>
          <w:lang w:val="zh-CN"/>
        </w:rPr>
        <w:t>8</w:t>
      </w:r>
      <w:r>
        <w:rPr>
          <w:lang w:val="zh-CN"/>
        </w:rPr>
        <w:t>日</w:t>
      </w:r>
      <w:bookmarkEnd w:id="43"/>
      <w:r>
        <w:rPr>
          <w:lang w:val="zh-CN"/>
        </w:rPr>
        <w:t>召开的</w:t>
      </w:r>
      <w:r>
        <w:rPr>
          <w:lang w:val="zh-CN"/>
        </w:rPr>
        <w:t>2023</w:t>
      </w:r>
      <w:r>
        <w:rPr>
          <w:lang w:val="zh-CN"/>
        </w:rPr>
        <w:t>年第二次临时股东大会</w:t>
      </w:r>
      <w:r>
        <w:rPr>
          <w:rFonts w:ascii="楷体" w:eastAsia="楷体" w:hAnsi="楷体" w:hint="eastAsia"/>
          <w:b/>
        </w:rPr>
        <w:t>、</w:t>
      </w:r>
      <w:r>
        <w:t>2023</w:t>
      </w:r>
      <w:r>
        <w:t>年</w:t>
      </w:r>
      <w:r>
        <w:t>6</w:t>
      </w:r>
      <w:r>
        <w:t>月</w:t>
      </w:r>
      <w:r>
        <w:t>27</w:t>
      </w:r>
      <w:r>
        <w:t>日召开的第四届董事会第二十三次会议</w:t>
      </w:r>
      <w:r>
        <w:rPr>
          <w:rFonts w:ascii="楷体" w:eastAsia="楷体" w:hAnsi="楷体" w:hint="eastAsia"/>
          <w:b/>
        </w:rPr>
        <w:t>和</w:t>
      </w:r>
      <w:r>
        <w:rPr>
          <w:rFonts w:ascii="楷体" w:eastAsia="楷体" w:hAnsi="楷体"/>
          <w:b/>
        </w:rPr>
        <w:t>2023年12月28日召开</w:t>
      </w:r>
      <w:r>
        <w:rPr>
          <w:rFonts w:ascii="楷体" w:eastAsia="楷体" w:hAnsi="楷体" w:hint="eastAsia"/>
          <w:b/>
        </w:rPr>
        <w:t>的</w:t>
      </w:r>
      <w:r>
        <w:rPr>
          <w:rFonts w:ascii="楷体" w:eastAsia="楷体" w:hAnsi="楷体"/>
          <w:b/>
        </w:rPr>
        <w:t>第四届董事会第二十</w:t>
      </w:r>
      <w:r>
        <w:rPr>
          <w:rFonts w:ascii="楷体" w:eastAsia="楷体" w:hAnsi="楷体" w:hint="eastAsia"/>
          <w:b/>
        </w:rPr>
        <w:t>九</w:t>
      </w:r>
      <w:r>
        <w:rPr>
          <w:rFonts w:ascii="楷体" w:eastAsia="楷体" w:hAnsi="楷体"/>
          <w:b/>
        </w:rPr>
        <w:t>次会议</w:t>
      </w:r>
      <w:r>
        <w:rPr>
          <w:lang w:val="zh-CN"/>
        </w:rPr>
        <w:t>审议通过</w:t>
      </w:r>
      <w:bookmarkEnd w:id="37"/>
      <w:r>
        <w:rPr>
          <w:lang w:val="zh-CN"/>
        </w:rPr>
        <w:t>，符合《公司法》《证券法》及中国证监会规定的决策程序。</w:t>
      </w:r>
    </w:p>
    <w:p w14:paraId="27FD8AC1" w14:textId="77777777" w:rsidR="00E173A4" w:rsidRDefault="00E173A4">
      <w:pPr>
        <w:pStyle w:val="005"/>
        <w:spacing w:before="120"/>
        <w:ind w:firstLine="480"/>
        <w:rPr>
          <w:lang w:val="zh-CN"/>
        </w:rPr>
      </w:pPr>
      <w:r>
        <w:rPr>
          <w:lang w:val="zh-CN"/>
        </w:rPr>
        <w:t>本保荐机构认为，发行人本次向不特定对象发行方案经过了合法有效的决策程序，符合相关法律、法规及规范性文件的规定。</w:t>
      </w:r>
    </w:p>
    <w:p w14:paraId="44C0DBE4" w14:textId="77777777" w:rsidR="00E173A4" w:rsidRDefault="00E173A4">
      <w:pPr>
        <w:pStyle w:val="005"/>
        <w:spacing w:before="120"/>
        <w:ind w:firstLine="480"/>
        <w:rPr>
          <w:lang w:val="zh-CN"/>
        </w:rPr>
      </w:pPr>
      <w:r>
        <w:rPr>
          <w:lang w:val="zh-CN"/>
        </w:rPr>
        <w:t>本次向不特定对象发行方案尚需深圳证券交易所审核及中国证券监督管理委员会同意注册。</w:t>
      </w:r>
    </w:p>
    <w:p w14:paraId="35C08223" w14:textId="77777777" w:rsidR="00E173A4" w:rsidRDefault="00E173A4">
      <w:pPr>
        <w:pStyle w:val="002"/>
        <w:spacing w:before="120" w:after="120"/>
      </w:pPr>
      <w:bookmarkStart w:id="44" w:name="_Toc152320940"/>
      <w:bookmarkStart w:id="45" w:name="_Toc87299694"/>
      <w:r>
        <w:t>三、本次发行是否符合《公司法》《证券法》规定的发行条件的说明</w:t>
      </w:r>
      <w:bookmarkEnd w:id="44"/>
      <w:bookmarkEnd w:id="45"/>
    </w:p>
    <w:p w14:paraId="354D370E" w14:textId="77777777" w:rsidR="00E173A4" w:rsidRDefault="00E173A4">
      <w:pPr>
        <w:pStyle w:val="003"/>
        <w:spacing w:before="120" w:after="120"/>
      </w:pPr>
      <w:r>
        <w:t>（一）公司本次发行符合《公司法》规定的发行条件</w:t>
      </w:r>
    </w:p>
    <w:p w14:paraId="6E45F2B8" w14:textId="77777777" w:rsidR="00E173A4" w:rsidRDefault="00E173A4">
      <w:pPr>
        <w:pStyle w:val="005"/>
        <w:spacing w:before="120"/>
        <w:ind w:firstLine="480"/>
        <w:rPr>
          <w:lang w:bidi="ar"/>
        </w:rPr>
      </w:pPr>
      <w:r>
        <w:rPr>
          <w:lang w:bidi="ar"/>
        </w:rPr>
        <w:t>1</w:t>
      </w:r>
      <w:r>
        <w:rPr>
          <w:lang w:bidi="ar"/>
        </w:rPr>
        <w:t>、本次发行符合《公司法》第一百二十六条、第一百二十七条的规定</w:t>
      </w:r>
    </w:p>
    <w:p w14:paraId="0C7D667F" w14:textId="77777777" w:rsidR="00E173A4" w:rsidRDefault="00E173A4">
      <w:pPr>
        <w:pStyle w:val="005"/>
        <w:spacing w:before="120"/>
        <w:ind w:firstLine="480"/>
        <w:rPr>
          <w:lang w:bidi="ar"/>
        </w:rPr>
      </w:pPr>
      <w:r>
        <w:rPr>
          <w:lang w:bidi="ar"/>
        </w:rPr>
        <w:t>公司本次拟发行的可转债每张面值为人民币</w:t>
      </w:r>
      <w:r>
        <w:rPr>
          <w:lang w:bidi="ar"/>
        </w:rPr>
        <w:t>100</w:t>
      </w:r>
      <w:r>
        <w:rPr>
          <w:lang w:bidi="ar"/>
        </w:rPr>
        <w:t>元，按面值发行，转股后的股份与公司已经发行的股份同股同权，符合《公司法》第一百二十六条、第一百</w:t>
      </w:r>
      <w:r>
        <w:rPr>
          <w:lang w:bidi="ar"/>
        </w:rPr>
        <w:lastRenderedPageBreak/>
        <w:t>二十七条的规定。</w:t>
      </w:r>
    </w:p>
    <w:p w14:paraId="41D1CE1C" w14:textId="77777777" w:rsidR="00E173A4" w:rsidRDefault="00E173A4">
      <w:pPr>
        <w:pStyle w:val="005"/>
        <w:spacing w:before="120"/>
        <w:ind w:firstLine="480"/>
        <w:rPr>
          <w:lang w:bidi="ar"/>
        </w:rPr>
      </w:pPr>
      <w:r>
        <w:rPr>
          <w:lang w:bidi="ar"/>
        </w:rPr>
        <w:t>2</w:t>
      </w:r>
      <w:r>
        <w:rPr>
          <w:lang w:bidi="ar"/>
        </w:rPr>
        <w:t>、本次发行符合《公司法》第一百三十三条的规定</w:t>
      </w:r>
    </w:p>
    <w:p w14:paraId="28DCD5F3" w14:textId="77777777" w:rsidR="00E173A4" w:rsidRDefault="00E173A4">
      <w:pPr>
        <w:pStyle w:val="005"/>
        <w:spacing w:before="120"/>
        <w:ind w:firstLine="480"/>
        <w:rPr>
          <w:lang w:bidi="ar"/>
        </w:rPr>
      </w:pPr>
      <w:r>
        <w:rPr>
          <w:lang w:bidi="ar"/>
        </w:rPr>
        <w:t>发行人本次发行方案已经发行人内部决策程序批准，符合《公司法》第一百三十三条的规定。</w:t>
      </w:r>
    </w:p>
    <w:p w14:paraId="3B089395" w14:textId="77777777" w:rsidR="00E173A4" w:rsidRDefault="00E173A4">
      <w:pPr>
        <w:pStyle w:val="003"/>
        <w:spacing w:before="120" w:after="120"/>
      </w:pPr>
      <w:r>
        <w:t>（二）公司本次发行符合《中华人民共和国证券法》规定的相关条件</w:t>
      </w:r>
    </w:p>
    <w:p w14:paraId="53129FD5" w14:textId="77777777" w:rsidR="00E173A4" w:rsidRDefault="00E173A4">
      <w:pPr>
        <w:pStyle w:val="005"/>
        <w:spacing w:before="120"/>
        <w:ind w:firstLine="480"/>
        <w:rPr>
          <w:lang w:bidi="ar"/>
        </w:rPr>
      </w:pPr>
      <w:r>
        <w:rPr>
          <w:lang w:bidi="ar"/>
        </w:rPr>
        <w:t>1</w:t>
      </w:r>
      <w:r>
        <w:rPr>
          <w:lang w:bidi="ar"/>
        </w:rPr>
        <w:t>、本次发行符合《中华人民共和国证券法》（以下简称</w:t>
      </w:r>
      <w:r>
        <w:rPr>
          <w:rFonts w:ascii="宋体" w:hAnsi="宋体"/>
          <w:lang w:bidi="ar"/>
        </w:rPr>
        <w:t>“</w:t>
      </w:r>
      <w:r>
        <w:rPr>
          <w:lang w:bidi="ar"/>
        </w:rPr>
        <w:t>《证券法》</w:t>
      </w:r>
      <w:r>
        <w:rPr>
          <w:rFonts w:ascii="宋体" w:hAnsi="宋体"/>
          <w:lang w:bidi="ar"/>
        </w:rPr>
        <w:t>”</w:t>
      </w:r>
      <w:r>
        <w:rPr>
          <w:lang w:bidi="ar"/>
        </w:rPr>
        <w:t>）第十五条的规定</w:t>
      </w:r>
    </w:p>
    <w:p w14:paraId="0C8A8D04" w14:textId="77777777" w:rsidR="00E173A4" w:rsidRDefault="00E173A4">
      <w:pPr>
        <w:pStyle w:val="005"/>
        <w:spacing w:before="120"/>
        <w:ind w:firstLine="480"/>
        <w:rPr>
          <w:lang w:bidi="ar"/>
        </w:rPr>
      </w:pPr>
      <w:r>
        <w:rPr>
          <w:lang w:bidi="ar"/>
        </w:rPr>
        <w:t>（</w:t>
      </w:r>
      <w:r>
        <w:rPr>
          <w:lang w:bidi="ar"/>
        </w:rPr>
        <w:t>1</w:t>
      </w:r>
      <w:r>
        <w:rPr>
          <w:lang w:bidi="ar"/>
        </w:rPr>
        <w:t>）具备健全且运行良好的组织机构</w:t>
      </w:r>
    </w:p>
    <w:p w14:paraId="3A5095BD" w14:textId="77777777" w:rsidR="00E173A4" w:rsidRDefault="00E173A4">
      <w:pPr>
        <w:pStyle w:val="005"/>
        <w:spacing w:before="120"/>
        <w:ind w:firstLine="480"/>
        <w:rPr>
          <w:lang w:bidi="ar"/>
        </w:rPr>
      </w:pPr>
      <w:r>
        <w:rPr>
          <w:lang w:bidi="ar"/>
        </w:rPr>
        <w:t>公司严格按照《公司法》《证券法》和其它的有关法律法规、规范性文件的要求，建立了健全的公司经营组织结构。公司组织结构清晰，各部门和岗位职责明确，并已建立了专门的部门工作职责，运行良好。符合《证券法》第十五条第一款</w:t>
      </w:r>
      <w:r>
        <w:rPr>
          <w:rFonts w:ascii="宋体" w:hAnsi="宋体"/>
          <w:lang w:bidi="ar"/>
        </w:rPr>
        <w:t>“</w:t>
      </w:r>
      <w:r>
        <w:rPr>
          <w:lang w:bidi="ar"/>
        </w:rPr>
        <w:t>（一）具备健全且运行良好的组织机构</w:t>
      </w:r>
      <w:r>
        <w:rPr>
          <w:rFonts w:ascii="宋体" w:hAnsi="宋体"/>
          <w:lang w:bidi="ar"/>
        </w:rPr>
        <w:t>”</w:t>
      </w:r>
      <w:r>
        <w:rPr>
          <w:lang w:bidi="ar"/>
        </w:rPr>
        <w:t>的规定。</w:t>
      </w:r>
    </w:p>
    <w:p w14:paraId="408D51D8" w14:textId="77777777" w:rsidR="00E173A4" w:rsidRDefault="00E173A4">
      <w:pPr>
        <w:pStyle w:val="005"/>
        <w:spacing w:before="120"/>
        <w:ind w:firstLine="480"/>
        <w:rPr>
          <w:lang w:bidi="ar"/>
        </w:rPr>
      </w:pPr>
      <w:r>
        <w:rPr>
          <w:lang w:bidi="ar"/>
        </w:rPr>
        <w:t>（</w:t>
      </w:r>
      <w:r>
        <w:rPr>
          <w:lang w:bidi="ar"/>
        </w:rPr>
        <w:t>2</w:t>
      </w:r>
      <w:r>
        <w:rPr>
          <w:lang w:bidi="ar"/>
        </w:rPr>
        <w:t>）最近三年平均可分配利润足以支付公司债券一年的利息</w:t>
      </w:r>
    </w:p>
    <w:p w14:paraId="0889B1AD" w14:textId="77777777" w:rsidR="00E173A4" w:rsidRDefault="00E173A4">
      <w:pPr>
        <w:pStyle w:val="005"/>
        <w:spacing w:before="120"/>
        <w:ind w:firstLine="480"/>
        <w:rPr>
          <w:lang w:bidi="ar"/>
        </w:rPr>
      </w:pPr>
      <w:r>
        <w:rPr>
          <w:lang w:bidi="ar"/>
        </w:rPr>
        <w:t>2020</w:t>
      </w:r>
      <w:r>
        <w:rPr>
          <w:lang w:bidi="ar"/>
        </w:rPr>
        <w:t>年度、</w:t>
      </w:r>
      <w:r>
        <w:rPr>
          <w:lang w:bidi="ar"/>
        </w:rPr>
        <w:t>2021</w:t>
      </w:r>
      <w:r>
        <w:rPr>
          <w:lang w:bidi="ar"/>
        </w:rPr>
        <w:t>年度以及</w:t>
      </w:r>
      <w:r>
        <w:rPr>
          <w:lang w:bidi="ar"/>
        </w:rPr>
        <w:t>2022</w:t>
      </w:r>
      <w:r>
        <w:rPr>
          <w:lang w:bidi="ar"/>
        </w:rPr>
        <w:t>年度公司归属于母公司所有者的净利润分别为</w:t>
      </w:r>
      <w:r>
        <w:rPr>
          <w:lang w:bidi="ar"/>
        </w:rPr>
        <w:t>5,796.81</w:t>
      </w:r>
      <w:r>
        <w:rPr>
          <w:lang w:bidi="ar"/>
        </w:rPr>
        <w:t>万元、</w:t>
      </w:r>
      <w:r>
        <w:rPr>
          <w:lang w:bidi="ar"/>
        </w:rPr>
        <w:t>6,099.35</w:t>
      </w:r>
      <w:r>
        <w:rPr>
          <w:lang w:bidi="ar"/>
        </w:rPr>
        <w:t>万元、</w:t>
      </w:r>
      <w:r>
        <w:rPr>
          <w:lang w:bidi="ar"/>
        </w:rPr>
        <w:t>13,620.51</w:t>
      </w:r>
      <w:r>
        <w:rPr>
          <w:lang w:bidi="ar"/>
        </w:rPr>
        <w:t>万元，平均可分配利润</w:t>
      </w:r>
      <w:r>
        <w:rPr>
          <w:lang w:bidi="ar"/>
        </w:rPr>
        <w:t>8,505.56</w:t>
      </w:r>
      <w:r>
        <w:rPr>
          <w:lang w:bidi="ar"/>
        </w:rPr>
        <w:t>万元。参考近期债券市场的发行利率水平并经合理估计，公司最近三年平均可分配利润足以支付公司债券一年的利息。符合《证券法》第十五条第一款</w:t>
      </w:r>
      <w:r>
        <w:rPr>
          <w:rFonts w:ascii="宋体" w:hAnsi="宋体"/>
          <w:lang w:bidi="ar"/>
        </w:rPr>
        <w:t>“</w:t>
      </w:r>
      <w:r>
        <w:rPr>
          <w:lang w:bidi="ar"/>
        </w:rPr>
        <w:t>（二）最近三年平均可分配利润足以支付公司债券一年利息</w:t>
      </w:r>
      <w:r>
        <w:rPr>
          <w:rFonts w:ascii="宋体" w:hAnsi="宋体"/>
          <w:lang w:bidi="ar"/>
        </w:rPr>
        <w:t>”</w:t>
      </w:r>
      <w:r>
        <w:rPr>
          <w:lang w:bidi="ar"/>
        </w:rPr>
        <w:t>的规定。</w:t>
      </w:r>
    </w:p>
    <w:p w14:paraId="2571E409" w14:textId="77777777" w:rsidR="00E173A4" w:rsidRDefault="00E173A4">
      <w:pPr>
        <w:pStyle w:val="005"/>
        <w:spacing w:before="120"/>
        <w:ind w:firstLine="480"/>
        <w:rPr>
          <w:lang w:bidi="ar"/>
        </w:rPr>
      </w:pPr>
      <w:r>
        <w:rPr>
          <w:lang w:bidi="ar"/>
        </w:rPr>
        <w:t>（</w:t>
      </w:r>
      <w:r>
        <w:rPr>
          <w:lang w:bidi="ar"/>
        </w:rPr>
        <w:t>3</w:t>
      </w:r>
      <w:r>
        <w:rPr>
          <w:lang w:bidi="ar"/>
        </w:rPr>
        <w:t>）募集资金使用符合规定</w:t>
      </w:r>
    </w:p>
    <w:p w14:paraId="1D45EADD" w14:textId="77777777" w:rsidR="00E173A4" w:rsidRDefault="00E173A4">
      <w:pPr>
        <w:pStyle w:val="005"/>
        <w:spacing w:before="120"/>
        <w:ind w:firstLine="480"/>
        <w:rPr>
          <w:lang w:bidi="ar"/>
        </w:rPr>
      </w:pPr>
      <w:bookmarkStart w:id="46" w:name="_Hlk132102849"/>
      <w:r>
        <w:rPr>
          <w:lang w:bidi="ar"/>
        </w:rPr>
        <w:t>本次发行的募集资金总额为不超过人民币</w:t>
      </w:r>
      <w:r>
        <w:rPr>
          <w:rFonts w:ascii="楷体" w:eastAsia="楷体" w:hAnsi="楷体"/>
          <w:b/>
          <w:bCs/>
          <w:color w:val="000000"/>
        </w:rPr>
        <w:t>32,183</w:t>
      </w:r>
      <w:r>
        <w:rPr>
          <w:rFonts w:ascii="楷体" w:eastAsia="楷体" w:hAnsi="楷体" w:hint="eastAsia"/>
          <w:b/>
          <w:bCs/>
        </w:rPr>
        <w:t>.00</w:t>
      </w:r>
      <w:r>
        <w:rPr>
          <w:rFonts w:ascii="楷体" w:eastAsia="楷体" w:hAnsi="楷体"/>
          <w:b/>
          <w:bCs/>
          <w:lang w:bidi="ar"/>
        </w:rPr>
        <w:t>万元</w:t>
      </w:r>
      <w:r>
        <w:rPr>
          <w:lang w:bidi="ar"/>
        </w:rPr>
        <w:t>（含本数），募集资金在扣除相关发行费用后拟全部投资于智慧节能阀门建设项目和补充流动资金，公司已经制定《募集资金管理制度》及约定债券持有人会议相关事项</w:t>
      </w:r>
      <w:bookmarkEnd w:id="46"/>
      <w:r>
        <w:rPr>
          <w:lang w:bidi="ar"/>
        </w:rPr>
        <w:t>，符合《证券法》第十五条第二款</w:t>
      </w:r>
      <w:r>
        <w:rPr>
          <w:rFonts w:ascii="宋体" w:hAnsi="宋体"/>
          <w:lang w:bidi="ar"/>
        </w:rPr>
        <w:t>“</w:t>
      </w:r>
      <w:r>
        <w:rPr>
          <w:lang w:bidi="ar"/>
        </w:rPr>
        <w:t>公开发行公司债券筹集的资金，必须按照公司债券募集办法所列资金用途使用；改变资金用途，必须经债券持有人会议作出决议。公开发行公司债券筹集的资金，不得用于弥补亏损和非生产性支出</w:t>
      </w:r>
      <w:r>
        <w:rPr>
          <w:rFonts w:ascii="宋体" w:hAnsi="宋体"/>
          <w:lang w:bidi="ar"/>
        </w:rPr>
        <w:t>”</w:t>
      </w:r>
      <w:r>
        <w:rPr>
          <w:lang w:bidi="ar"/>
        </w:rPr>
        <w:t>的规定。</w:t>
      </w:r>
    </w:p>
    <w:p w14:paraId="1E4FDF9A" w14:textId="77777777" w:rsidR="00E173A4" w:rsidRDefault="00E173A4">
      <w:pPr>
        <w:pStyle w:val="005"/>
        <w:spacing w:before="120"/>
        <w:ind w:firstLine="480"/>
        <w:rPr>
          <w:lang w:bidi="ar"/>
        </w:rPr>
      </w:pPr>
      <w:r>
        <w:rPr>
          <w:lang w:bidi="ar"/>
        </w:rPr>
        <w:t>2</w:t>
      </w:r>
      <w:r>
        <w:rPr>
          <w:lang w:bidi="ar"/>
        </w:rPr>
        <w:t>、不存在《证券法》第十七条规定的情形</w:t>
      </w:r>
    </w:p>
    <w:p w14:paraId="7941DD13" w14:textId="77777777" w:rsidR="00E173A4" w:rsidRDefault="00E173A4">
      <w:pPr>
        <w:pStyle w:val="005"/>
        <w:spacing w:before="120"/>
        <w:ind w:firstLine="480"/>
        <w:rPr>
          <w:lang w:bidi="ar"/>
        </w:rPr>
      </w:pPr>
      <w:r>
        <w:rPr>
          <w:lang w:bidi="ar"/>
        </w:rPr>
        <w:t>发行人不存在《证券法》第十七条规定的如下情形，符合《证券法》第十七</w:t>
      </w:r>
      <w:r>
        <w:rPr>
          <w:lang w:bidi="ar"/>
        </w:rPr>
        <w:lastRenderedPageBreak/>
        <w:t>条的规定：</w:t>
      </w:r>
    </w:p>
    <w:p w14:paraId="6ECB22B4" w14:textId="77777777" w:rsidR="00E173A4" w:rsidRDefault="00E173A4">
      <w:pPr>
        <w:pStyle w:val="005"/>
        <w:spacing w:before="120"/>
        <w:ind w:firstLine="480"/>
        <w:rPr>
          <w:lang w:bidi="ar"/>
        </w:rPr>
      </w:pPr>
      <w:r>
        <w:rPr>
          <w:lang w:bidi="ar"/>
        </w:rPr>
        <w:t>（</w:t>
      </w:r>
      <w:r>
        <w:rPr>
          <w:lang w:bidi="ar"/>
        </w:rPr>
        <w:t>1</w:t>
      </w:r>
      <w:r>
        <w:rPr>
          <w:lang w:bidi="ar"/>
        </w:rPr>
        <w:t>）对已公开发行的公司债券或者其他债务有违约或者延迟支付本息的事实，仍处于继续状态；</w:t>
      </w:r>
    </w:p>
    <w:p w14:paraId="01FF3686" w14:textId="77777777" w:rsidR="00E173A4" w:rsidRDefault="00E173A4">
      <w:pPr>
        <w:pStyle w:val="005"/>
        <w:spacing w:before="120"/>
        <w:ind w:firstLine="480"/>
        <w:rPr>
          <w:lang w:bidi="ar"/>
        </w:rPr>
      </w:pPr>
      <w:r>
        <w:rPr>
          <w:lang w:bidi="ar"/>
        </w:rPr>
        <w:t>（</w:t>
      </w:r>
      <w:r>
        <w:rPr>
          <w:lang w:bidi="ar"/>
        </w:rPr>
        <w:t>2</w:t>
      </w:r>
      <w:r>
        <w:rPr>
          <w:lang w:bidi="ar"/>
        </w:rPr>
        <w:t>）违反《证券法》规定，改变公开发行公司债券所募资金的用途。</w:t>
      </w:r>
    </w:p>
    <w:p w14:paraId="36DB7225" w14:textId="77777777" w:rsidR="00E173A4" w:rsidRDefault="00E173A4">
      <w:pPr>
        <w:pStyle w:val="005"/>
        <w:spacing w:before="120"/>
        <w:ind w:firstLine="480"/>
        <w:rPr>
          <w:lang w:bidi="ar"/>
        </w:rPr>
      </w:pPr>
      <w:r>
        <w:rPr>
          <w:lang w:bidi="ar"/>
        </w:rPr>
        <w:t>综上，本保荐机构认为，发行人本次向不特定对象发行的实施符合《公司法》及《证券法》有关规定。</w:t>
      </w:r>
    </w:p>
    <w:p w14:paraId="1BB6C984" w14:textId="77777777" w:rsidR="00E173A4" w:rsidRDefault="00E173A4">
      <w:pPr>
        <w:pStyle w:val="002"/>
        <w:spacing w:before="120" w:after="120"/>
      </w:pPr>
      <w:bookmarkStart w:id="47" w:name="_Toc87299695"/>
      <w:bookmarkStart w:id="48" w:name="_Toc152320941"/>
      <w:r>
        <w:t>四、本次发行是否符合《上市公司证券发行注册管理办法》规定的发行条件的说明</w:t>
      </w:r>
      <w:bookmarkEnd w:id="47"/>
      <w:bookmarkEnd w:id="48"/>
    </w:p>
    <w:p w14:paraId="4E5D8FCA" w14:textId="77777777" w:rsidR="00E173A4" w:rsidRDefault="00E173A4">
      <w:pPr>
        <w:pStyle w:val="005"/>
        <w:spacing w:before="120"/>
        <w:ind w:firstLine="480"/>
        <w:rPr>
          <w:lang w:bidi="ar"/>
        </w:rPr>
      </w:pPr>
      <w:r>
        <w:rPr>
          <w:lang w:bidi="ar"/>
        </w:rPr>
        <w:t>本保荐机构通过尽职调查，对照《注册管理办法》的有关规定进行了逐项核查，经核查后认为：发行人本次申请向不特定对象发行可转换公司债券符合中国证监会的相关规定，不存在《注册管理办法》规定的不得向不特定对象发行证券的情形。具体查证过程及事实依据的具体情况如下：</w:t>
      </w:r>
    </w:p>
    <w:p w14:paraId="7662131E" w14:textId="77777777" w:rsidR="00E173A4" w:rsidRDefault="00E173A4">
      <w:pPr>
        <w:pStyle w:val="003"/>
        <w:spacing w:before="120" w:after="120"/>
      </w:pPr>
      <w:r>
        <w:t>（一）公司本次发行符合《上市公司证券发行注册管理办法》（以下简称</w:t>
      </w:r>
      <w:r>
        <w:rPr>
          <w:rFonts w:ascii="宋体" w:eastAsia="宋体" w:hAnsi="宋体"/>
        </w:rPr>
        <w:t>“</w:t>
      </w:r>
      <w:r>
        <w:t>《注册管理办法》</w:t>
      </w:r>
      <w:r>
        <w:rPr>
          <w:rFonts w:ascii="宋体" w:eastAsia="宋体" w:hAnsi="宋体"/>
        </w:rPr>
        <w:t>”</w:t>
      </w:r>
      <w:r>
        <w:t>）第九条第（二）项至第（五）项的规定</w:t>
      </w:r>
    </w:p>
    <w:p w14:paraId="2B8464D4" w14:textId="77777777" w:rsidR="00E173A4" w:rsidRDefault="00E173A4">
      <w:pPr>
        <w:pStyle w:val="005"/>
        <w:spacing w:before="120"/>
        <w:ind w:firstLine="480"/>
        <w:rPr>
          <w:lang w:bidi="ar"/>
        </w:rPr>
      </w:pPr>
      <w:r>
        <w:rPr>
          <w:lang w:bidi="ar"/>
        </w:rPr>
        <w:t>经核查，公司本次发行符合《上市公司证券发行注册管理办法》（以下简称</w:t>
      </w:r>
      <w:r>
        <w:rPr>
          <w:rFonts w:ascii="宋体" w:hAnsi="宋体"/>
          <w:lang w:bidi="ar"/>
        </w:rPr>
        <w:t>“</w:t>
      </w:r>
      <w:r>
        <w:rPr>
          <w:lang w:bidi="ar"/>
        </w:rPr>
        <w:t>《注册管理办法》</w:t>
      </w:r>
      <w:r>
        <w:rPr>
          <w:rFonts w:ascii="宋体" w:hAnsi="宋体"/>
          <w:lang w:bidi="ar"/>
        </w:rPr>
        <w:t>”</w:t>
      </w:r>
      <w:r>
        <w:rPr>
          <w:lang w:bidi="ar"/>
        </w:rPr>
        <w:t>）第九条第（二）项至第（五）项的规定，具体如下：</w:t>
      </w:r>
    </w:p>
    <w:p w14:paraId="111CE778" w14:textId="77777777" w:rsidR="00E173A4" w:rsidRDefault="00E173A4">
      <w:pPr>
        <w:pStyle w:val="005"/>
        <w:spacing w:before="120"/>
        <w:ind w:firstLine="480"/>
        <w:rPr>
          <w:lang w:bidi="ar"/>
        </w:rPr>
      </w:pPr>
      <w:r>
        <w:rPr>
          <w:lang w:bidi="ar"/>
        </w:rPr>
        <w:t>1</w:t>
      </w:r>
      <w:r>
        <w:rPr>
          <w:lang w:bidi="ar"/>
        </w:rPr>
        <w:t>、公司的现任董事、监事和高级管理人员具备任职资格，符合法律、行政法规规定的任职要求，符合《注册管理办法》第九条第（二）项的规定；</w:t>
      </w:r>
    </w:p>
    <w:p w14:paraId="1CE8A0E4" w14:textId="77777777" w:rsidR="00E173A4" w:rsidRDefault="00E173A4">
      <w:pPr>
        <w:pStyle w:val="005"/>
        <w:spacing w:before="120"/>
        <w:ind w:firstLine="480"/>
        <w:rPr>
          <w:lang w:bidi="ar"/>
        </w:rPr>
      </w:pPr>
      <w:r>
        <w:rPr>
          <w:lang w:bidi="ar"/>
        </w:rPr>
        <w:t>2</w:t>
      </w:r>
      <w:r>
        <w:rPr>
          <w:lang w:bidi="ar"/>
        </w:rPr>
        <w:t>、公司在业务、资产、人员、机构、财务等方面具备独立性，具有完整的业务体系和直接面向市场独立经营的能力，不存在对持续经营有重大不利影响的情形，符合《注册管理办法》第九条第（三）项的规定；</w:t>
      </w:r>
    </w:p>
    <w:p w14:paraId="23710A72" w14:textId="77777777" w:rsidR="00E173A4" w:rsidRDefault="00E173A4">
      <w:pPr>
        <w:pStyle w:val="005"/>
        <w:spacing w:before="120"/>
        <w:ind w:firstLine="480"/>
        <w:rPr>
          <w:lang w:bidi="ar"/>
        </w:rPr>
      </w:pPr>
      <w:r>
        <w:rPr>
          <w:lang w:bidi="ar"/>
        </w:rPr>
        <w:t>3</w:t>
      </w:r>
      <w:r>
        <w:rPr>
          <w:lang w:bidi="ar"/>
        </w:rPr>
        <w:t>、公司的会计基础工作规范，内部控制制度健全且有效执行，财务报表的编制和披露符合企业会计准则和相关信息披露规则的规定，在所有重大方面公允反映了上市公司的财务状况、经营成果和现金流量，最近三年财务会计报告被出具无保留意见审计报告，符合《注册管理办法》第九条第（四）项的规定；</w:t>
      </w:r>
    </w:p>
    <w:p w14:paraId="42AA730F" w14:textId="77777777" w:rsidR="00E173A4" w:rsidRDefault="00E173A4">
      <w:pPr>
        <w:pStyle w:val="005"/>
        <w:spacing w:before="120"/>
        <w:ind w:firstLine="480"/>
        <w:rPr>
          <w:lang w:bidi="ar"/>
        </w:rPr>
      </w:pPr>
      <w:r>
        <w:rPr>
          <w:lang w:bidi="ar"/>
        </w:rPr>
        <w:t>4</w:t>
      </w:r>
      <w:r>
        <w:rPr>
          <w:lang w:bidi="ar"/>
        </w:rPr>
        <w:t>、公司最近一期末不存在金额较大的财务性投资，符合《注册管理办法》第九条第（五）项的规定。</w:t>
      </w:r>
    </w:p>
    <w:p w14:paraId="200CD068" w14:textId="77777777" w:rsidR="00E173A4" w:rsidRDefault="00E173A4">
      <w:pPr>
        <w:pStyle w:val="003"/>
        <w:spacing w:before="120" w:after="120"/>
      </w:pPr>
      <w:r>
        <w:lastRenderedPageBreak/>
        <w:t>（二）公司本次发行符合《注册管理办法》第十条的规定</w:t>
      </w:r>
    </w:p>
    <w:p w14:paraId="26A3E3F9" w14:textId="77777777" w:rsidR="00E173A4" w:rsidRDefault="00E173A4">
      <w:pPr>
        <w:pStyle w:val="005"/>
        <w:spacing w:before="120"/>
        <w:ind w:firstLine="480"/>
        <w:rPr>
          <w:lang w:bidi="ar"/>
        </w:rPr>
      </w:pPr>
      <w:r>
        <w:rPr>
          <w:lang w:bidi="ar"/>
        </w:rPr>
        <w:t>1</w:t>
      </w:r>
      <w:r>
        <w:rPr>
          <w:lang w:bidi="ar"/>
        </w:rPr>
        <w:t>、公司不存在擅自改变前次募集资金用途未作纠正或者未经股东大会认可的情形，符合《证券法》第十七条第（二）项以及《注册管理办法》第十条第（一）项的规定；</w:t>
      </w:r>
    </w:p>
    <w:p w14:paraId="786D9827" w14:textId="77777777" w:rsidR="00E173A4" w:rsidRDefault="00E173A4">
      <w:pPr>
        <w:pStyle w:val="005"/>
        <w:spacing w:before="120"/>
        <w:ind w:firstLine="480"/>
        <w:rPr>
          <w:lang w:bidi="ar"/>
        </w:rPr>
      </w:pPr>
      <w:r>
        <w:rPr>
          <w:lang w:bidi="ar"/>
        </w:rPr>
        <w:t>2</w:t>
      </w:r>
      <w:r>
        <w:rPr>
          <w:lang w:bidi="ar"/>
        </w:rPr>
        <w:t>、公司及其现任董事、监事和高级管理人员最近三年不存在受到中国证监会行政处罚，或者最近一年受到证券交易所公开谴责，或者因涉嫌犯罪正在被司法机关立案侦查或者涉嫌违法违规正在被中国证监会立案调查的情形，符合《注册管理办法》第十条第（二）项的规定；</w:t>
      </w:r>
    </w:p>
    <w:p w14:paraId="1F730210" w14:textId="77777777" w:rsidR="00E173A4" w:rsidRDefault="00E173A4">
      <w:pPr>
        <w:pStyle w:val="005"/>
        <w:spacing w:before="120"/>
        <w:ind w:firstLine="480"/>
        <w:rPr>
          <w:lang w:bidi="ar"/>
        </w:rPr>
      </w:pPr>
      <w:r>
        <w:rPr>
          <w:lang w:bidi="ar"/>
        </w:rPr>
        <w:t>3</w:t>
      </w:r>
      <w:r>
        <w:rPr>
          <w:lang w:bidi="ar"/>
        </w:rPr>
        <w:t>、公司的控股股东、实际控制人及主要股东最近一年不存在未履行向投资者作出的公开承诺的情形，符合《注册管理办法》第十条第（三）项的规定；</w:t>
      </w:r>
    </w:p>
    <w:p w14:paraId="1A22D6E3" w14:textId="77777777" w:rsidR="00E173A4" w:rsidRDefault="00E173A4">
      <w:pPr>
        <w:pStyle w:val="005"/>
        <w:spacing w:before="120"/>
        <w:ind w:firstLine="480"/>
        <w:rPr>
          <w:lang w:bidi="ar"/>
        </w:rPr>
      </w:pPr>
      <w:r>
        <w:rPr>
          <w:lang w:bidi="ar"/>
        </w:rPr>
        <w:t>4</w:t>
      </w:r>
      <w:r>
        <w:rPr>
          <w:lang w:bidi="ar"/>
        </w:rPr>
        <w:t>、公司及其主要股东最近三年不存在贪污、贿赂、侵占财产、挪用财产或者破坏社会主义市场经济秩序的刑事犯罪，或者严重损害上市公司利益、投资者合法权益、社会公共利益的重大违法行为，符合《注册管理办法》第十条第（四）项的规定。</w:t>
      </w:r>
    </w:p>
    <w:p w14:paraId="459A8959" w14:textId="77777777" w:rsidR="00E173A4" w:rsidRDefault="00E173A4">
      <w:pPr>
        <w:pStyle w:val="003"/>
        <w:spacing w:before="120" w:after="120"/>
      </w:pPr>
      <w:r>
        <w:t>（三）公司本次发行符合《注册管理办法》第十二条的规定</w:t>
      </w:r>
    </w:p>
    <w:p w14:paraId="5493EEBA" w14:textId="77777777" w:rsidR="00E173A4" w:rsidRDefault="00E173A4">
      <w:pPr>
        <w:pStyle w:val="005"/>
        <w:spacing w:before="120"/>
        <w:ind w:firstLine="480"/>
        <w:rPr>
          <w:lang w:bidi="ar"/>
        </w:rPr>
      </w:pPr>
      <w:r>
        <w:rPr>
          <w:lang w:bidi="ar"/>
        </w:rPr>
        <w:t>1</w:t>
      </w:r>
      <w:r>
        <w:rPr>
          <w:lang w:bidi="ar"/>
        </w:rPr>
        <w:t>、公司本次发行的募集资金总额为不超过人民币</w:t>
      </w:r>
      <w:r>
        <w:rPr>
          <w:rFonts w:ascii="楷体" w:eastAsia="楷体" w:hAnsi="楷体"/>
          <w:b/>
          <w:bCs/>
          <w:color w:val="000000"/>
        </w:rPr>
        <w:t>32,183</w:t>
      </w:r>
      <w:r>
        <w:rPr>
          <w:rFonts w:ascii="楷体" w:eastAsia="楷体" w:hAnsi="楷体" w:hint="eastAsia"/>
          <w:b/>
          <w:bCs/>
        </w:rPr>
        <w:t>.00</w:t>
      </w:r>
      <w:r>
        <w:rPr>
          <w:rFonts w:ascii="楷体" w:eastAsia="楷体" w:hAnsi="楷体"/>
          <w:b/>
          <w:bCs/>
          <w:lang w:bidi="ar"/>
        </w:rPr>
        <w:t>万元</w:t>
      </w:r>
      <w:r>
        <w:rPr>
          <w:lang w:bidi="ar"/>
        </w:rPr>
        <w:t>（含本数），募集资金在扣除相关发行费用后拟全部投资于智慧节能阀门建设项目和补充流动资金。公司募集资金用途符合国家产业政策和有关环境保护、土地管理等法律、行政法规的规定，符合《注册管理办法》第十二条第（一）项的规定；</w:t>
      </w:r>
    </w:p>
    <w:p w14:paraId="4A3A35C7" w14:textId="77777777" w:rsidR="00E173A4" w:rsidRDefault="00E173A4">
      <w:pPr>
        <w:pStyle w:val="005"/>
        <w:spacing w:before="120"/>
        <w:ind w:firstLine="480"/>
        <w:rPr>
          <w:lang w:bidi="ar"/>
        </w:rPr>
      </w:pPr>
      <w:r>
        <w:rPr>
          <w:lang w:bidi="ar"/>
        </w:rPr>
        <w:t>2</w:t>
      </w:r>
      <w:r>
        <w:rPr>
          <w:lang w:bidi="ar"/>
        </w:rPr>
        <w:t>、本次发行募集资金使用不存在为持有财务性投资的情形，不存在直接或者间接投资于以买卖有价证券为主要业务的公司的情形，符合《注册管理办法》第十二条第（二）项的规定；</w:t>
      </w:r>
    </w:p>
    <w:p w14:paraId="362DF5D3" w14:textId="77777777" w:rsidR="00E173A4" w:rsidRDefault="00E173A4">
      <w:pPr>
        <w:pStyle w:val="005"/>
        <w:spacing w:before="120"/>
        <w:ind w:firstLine="480"/>
        <w:rPr>
          <w:lang w:bidi="ar"/>
        </w:rPr>
      </w:pPr>
      <w:r>
        <w:rPr>
          <w:lang w:bidi="ar"/>
        </w:rPr>
        <w:t>3</w:t>
      </w:r>
      <w:r>
        <w:rPr>
          <w:lang w:bidi="ar"/>
        </w:rPr>
        <w:t>、本次发行募集资金将用于公司主营业务，募集资金项目实施后，不会与主要股东及其控制的其他企业新增构成重大不利影响的同业竞争、显失公平的关联交易，或者严重影响公司生产经营的独立性，符合《注册管理办法》第十二条第（三）项的规定。</w:t>
      </w:r>
    </w:p>
    <w:p w14:paraId="1C3C7406" w14:textId="77777777" w:rsidR="00E173A4" w:rsidRDefault="00E173A4">
      <w:pPr>
        <w:pStyle w:val="003"/>
        <w:spacing w:before="120" w:after="120"/>
      </w:pPr>
      <w:r>
        <w:lastRenderedPageBreak/>
        <w:t>（四）公司本次发行符合《注册管理办法》第十三条的规定</w:t>
      </w:r>
    </w:p>
    <w:p w14:paraId="563BD1E3" w14:textId="77777777" w:rsidR="00E173A4" w:rsidRDefault="00E173A4">
      <w:pPr>
        <w:pStyle w:val="005"/>
        <w:spacing w:before="120"/>
        <w:ind w:firstLine="480"/>
        <w:rPr>
          <w:lang w:bidi="ar"/>
        </w:rPr>
      </w:pPr>
      <w:r>
        <w:rPr>
          <w:lang w:bidi="ar"/>
        </w:rPr>
        <w:t>1</w:t>
      </w:r>
      <w:r>
        <w:rPr>
          <w:lang w:bidi="ar"/>
        </w:rPr>
        <w:t>、公司具备健全且运行良好的组织机构，设立了股东大会、董事会、监事会以及经营管理层，并制定了相关管理制度，符合《注册管理办法》第十三条第一款第（一）项的规定；</w:t>
      </w:r>
    </w:p>
    <w:p w14:paraId="4FEFC4C9" w14:textId="77777777" w:rsidR="00E173A4" w:rsidRDefault="00E173A4">
      <w:pPr>
        <w:pStyle w:val="005"/>
        <w:spacing w:before="120"/>
        <w:ind w:firstLine="480"/>
        <w:rPr>
          <w:lang w:bidi="ar"/>
        </w:rPr>
      </w:pPr>
      <w:r>
        <w:rPr>
          <w:lang w:bidi="ar"/>
        </w:rPr>
        <w:t>2</w:t>
      </w:r>
      <w:r>
        <w:rPr>
          <w:lang w:bidi="ar"/>
        </w:rPr>
        <w:t>、公司</w:t>
      </w:r>
      <w:r>
        <w:rPr>
          <w:lang w:bidi="ar"/>
        </w:rPr>
        <w:t>2020</w:t>
      </w:r>
      <w:r>
        <w:rPr>
          <w:lang w:bidi="ar"/>
        </w:rPr>
        <w:t>年度、</w:t>
      </w:r>
      <w:r>
        <w:rPr>
          <w:lang w:bidi="ar"/>
        </w:rPr>
        <w:t>2021</w:t>
      </w:r>
      <w:r>
        <w:rPr>
          <w:lang w:bidi="ar"/>
        </w:rPr>
        <w:t>年度以及</w:t>
      </w:r>
      <w:r>
        <w:rPr>
          <w:lang w:bidi="ar"/>
        </w:rPr>
        <w:t>2022</w:t>
      </w:r>
      <w:r>
        <w:rPr>
          <w:lang w:bidi="ar"/>
        </w:rPr>
        <w:t>年度公司归属于母公司所有者的净利润分别为</w:t>
      </w:r>
      <w:r>
        <w:rPr>
          <w:lang w:bidi="ar"/>
        </w:rPr>
        <w:t>5,796.81</w:t>
      </w:r>
      <w:r>
        <w:rPr>
          <w:lang w:bidi="ar"/>
        </w:rPr>
        <w:t>万元、</w:t>
      </w:r>
      <w:r>
        <w:rPr>
          <w:lang w:bidi="ar"/>
        </w:rPr>
        <w:t>6,099.35</w:t>
      </w:r>
      <w:r>
        <w:rPr>
          <w:lang w:bidi="ar"/>
        </w:rPr>
        <w:t>万元、</w:t>
      </w:r>
      <w:r>
        <w:rPr>
          <w:lang w:bidi="ar"/>
        </w:rPr>
        <w:t>13,620.51</w:t>
      </w:r>
      <w:r>
        <w:rPr>
          <w:lang w:bidi="ar"/>
        </w:rPr>
        <w:t>万元，平均可分配利润</w:t>
      </w:r>
      <w:r>
        <w:rPr>
          <w:lang w:bidi="ar"/>
        </w:rPr>
        <w:t>8,505.56</w:t>
      </w:r>
      <w:r>
        <w:rPr>
          <w:lang w:bidi="ar"/>
        </w:rPr>
        <w:t>万元。公司本次拟发行可转债金额不超过</w:t>
      </w:r>
      <w:r>
        <w:rPr>
          <w:rFonts w:ascii="楷体" w:eastAsia="楷体" w:hAnsi="楷体"/>
          <w:b/>
          <w:bCs/>
          <w:color w:val="000000"/>
        </w:rPr>
        <w:t>32,183</w:t>
      </w:r>
      <w:r>
        <w:rPr>
          <w:rFonts w:ascii="楷体" w:eastAsia="楷体" w:hAnsi="楷体" w:hint="eastAsia"/>
          <w:b/>
          <w:bCs/>
        </w:rPr>
        <w:t>.00</w:t>
      </w:r>
      <w:r>
        <w:rPr>
          <w:rFonts w:ascii="楷体" w:eastAsia="楷体" w:hAnsi="楷体"/>
          <w:b/>
          <w:bCs/>
          <w:lang w:bidi="ar"/>
        </w:rPr>
        <w:t>万元</w:t>
      </w:r>
      <w:r>
        <w:rPr>
          <w:lang w:bidi="ar"/>
        </w:rPr>
        <w:t>（含本数），参考近期债券市场的发行利率水平并经合理估计，公司最近三年平均可分配利润足以支付公司债券一年的利息，符合《注册管理办法》第十三条第一款第（二）项的规定；</w:t>
      </w:r>
    </w:p>
    <w:p w14:paraId="3C5D2C42" w14:textId="77777777" w:rsidR="00E173A4" w:rsidRDefault="00E173A4">
      <w:pPr>
        <w:pStyle w:val="005"/>
        <w:spacing w:before="120"/>
        <w:ind w:firstLine="480"/>
        <w:rPr>
          <w:lang w:bidi="ar"/>
        </w:rPr>
      </w:pPr>
      <w:r>
        <w:rPr>
          <w:lang w:bidi="ar"/>
        </w:rPr>
        <w:t>3</w:t>
      </w:r>
      <w:r>
        <w:rPr>
          <w:lang w:bidi="ar"/>
        </w:rPr>
        <w:t>、公司具有合理的资产负债结构和正常的现金流量；</w:t>
      </w:r>
      <w:r>
        <w:rPr>
          <w:lang w:bidi="ar"/>
        </w:rPr>
        <w:t>2020</w:t>
      </w:r>
      <w:r>
        <w:rPr>
          <w:lang w:bidi="ar"/>
        </w:rPr>
        <w:t>年末、</w:t>
      </w:r>
      <w:r>
        <w:rPr>
          <w:lang w:bidi="ar"/>
        </w:rPr>
        <w:t>2021</w:t>
      </w:r>
      <w:r>
        <w:rPr>
          <w:lang w:bidi="ar"/>
        </w:rPr>
        <w:t>年末、</w:t>
      </w:r>
      <w:r>
        <w:rPr>
          <w:lang w:bidi="ar"/>
        </w:rPr>
        <w:t>2022</w:t>
      </w:r>
      <w:r>
        <w:rPr>
          <w:lang w:bidi="ar"/>
        </w:rPr>
        <w:t>年末、</w:t>
      </w:r>
      <w:r>
        <w:rPr>
          <w:lang w:bidi="ar"/>
        </w:rPr>
        <w:t>2023</w:t>
      </w:r>
      <w:r>
        <w:rPr>
          <w:lang w:bidi="ar"/>
        </w:rPr>
        <w:t>年</w:t>
      </w:r>
      <w:r>
        <w:rPr>
          <w:lang w:bidi="ar"/>
        </w:rPr>
        <w:t>9</w:t>
      </w:r>
      <w:r>
        <w:rPr>
          <w:lang w:bidi="ar"/>
        </w:rPr>
        <w:t>月末，公司资产负债率（合并口径）分别为</w:t>
      </w:r>
      <w:r>
        <w:rPr>
          <w:lang w:bidi="ar"/>
        </w:rPr>
        <w:t>23.74%</w:t>
      </w:r>
      <w:r>
        <w:rPr>
          <w:lang w:bidi="ar"/>
        </w:rPr>
        <w:t>、</w:t>
      </w:r>
      <w:r>
        <w:rPr>
          <w:lang w:bidi="ar"/>
        </w:rPr>
        <w:t>27.41%</w:t>
      </w:r>
      <w:r>
        <w:rPr>
          <w:lang w:bidi="ar"/>
        </w:rPr>
        <w:t>、</w:t>
      </w:r>
      <w:r>
        <w:rPr>
          <w:lang w:bidi="ar"/>
        </w:rPr>
        <w:t>22.40%</w:t>
      </w:r>
      <w:r>
        <w:rPr>
          <w:lang w:bidi="ar"/>
        </w:rPr>
        <w:t>、</w:t>
      </w:r>
      <w:r>
        <w:rPr>
          <w:lang w:bidi="ar"/>
        </w:rPr>
        <w:t>17.98%</w:t>
      </w:r>
      <w:r>
        <w:rPr>
          <w:lang w:bidi="ar"/>
        </w:rPr>
        <w:t>，整体处于合理水平，符合公司生产经营情况特点。</w:t>
      </w:r>
      <w:r>
        <w:rPr>
          <w:lang w:bidi="ar"/>
        </w:rPr>
        <w:t>2020</w:t>
      </w:r>
      <w:r>
        <w:rPr>
          <w:lang w:bidi="ar"/>
        </w:rPr>
        <w:t>年度、</w:t>
      </w:r>
      <w:r>
        <w:rPr>
          <w:lang w:bidi="ar"/>
        </w:rPr>
        <w:t>2021</w:t>
      </w:r>
      <w:r>
        <w:rPr>
          <w:lang w:bidi="ar"/>
        </w:rPr>
        <w:t>年度、</w:t>
      </w:r>
      <w:r>
        <w:rPr>
          <w:lang w:bidi="ar"/>
        </w:rPr>
        <w:t>2022</w:t>
      </w:r>
      <w:r>
        <w:rPr>
          <w:lang w:bidi="ar"/>
        </w:rPr>
        <w:t>年度、</w:t>
      </w:r>
      <w:r>
        <w:rPr>
          <w:lang w:bidi="ar"/>
        </w:rPr>
        <w:t>2023</w:t>
      </w:r>
      <w:r>
        <w:rPr>
          <w:lang w:bidi="ar"/>
        </w:rPr>
        <w:t>年</w:t>
      </w:r>
      <w:r>
        <w:rPr>
          <w:lang w:bidi="ar"/>
        </w:rPr>
        <w:t>1-9</w:t>
      </w:r>
      <w:r>
        <w:rPr>
          <w:lang w:bidi="ar"/>
        </w:rPr>
        <w:t>月，公司每股经营活动现金流量净额分别为</w:t>
      </w:r>
      <w:r>
        <w:rPr>
          <w:lang w:bidi="ar"/>
        </w:rPr>
        <w:t>0.77</w:t>
      </w:r>
      <w:r>
        <w:rPr>
          <w:lang w:bidi="ar"/>
        </w:rPr>
        <w:t>元、</w:t>
      </w:r>
      <w:r>
        <w:rPr>
          <w:lang w:bidi="ar"/>
        </w:rPr>
        <w:t>0.07</w:t>
      </w:r>
      <w:r>
        <w:rPr>
          <w:lang w:bidi="ar"/>
        </w:rPr>
        <w:t>元、</w:t>
      </w:r>
      <w:r>
        <w:rPr>
          <w:lang w:bidi="ar"/>
        </w:rPr>
        <w:t>0.80</w:t>
      </w:r>
      <w:r>
        <w:rPr>
          <w:lang w:bidi="ar"/>
        </w:rPr>
        <w:t>元、</w:t>
      </w:r>
      <w:r>
        <w:rPr>
          <w:lang w:bidi="ar"/>
        </w:rPr>
        <w:t>0.45</w:t>
      </w:r>
      <w:r>
        <w:rPr>
          <w:lang w:bidi="ar"/>
        </w:rPr>
        <w:t>元，符合公司业务模式特点，现金流量情况正常。公司本次可转换公司债券发行后累计公司债券余额占最近一期末净资产额的比例不超过</w:t>
      </w:r>
      <w:r>
        <w:rPr>
          <w:lang w:bidi="ar"/>
        </w:rPr>
        <w:t>50%</w:t>
      </w:r>
      <w:r>
        <w:rPr>
          <w:lang w:bidi="ar"/>
        </w:rPr>
        <w:t>，符合《注册管理办法》第十三条</w:t>
      </w:r>
      <w:r>
        <w:rPr>
          <w:rFonts w:ascii="宋体" w:hAnsi="宋体"/>
          <w:lang w:bidi="ar"/>
        </w:rPr>
        <w:t>“</w:t>
      </w:r>
      <w:r>
        <w:rPr>
          <w:lang w:bidi="ar"/>
        </w:rPr>
        <w:t>（三）具有合理的资产负债结构和正常的现金流量</w:t>
      </w:r>
      <w:r>
        <w:rPr>
          <w:rFonts w:ascii="宋体" w:hAnsi="宋体"/>
          <w:lang w:bidi="ar"/>
        </w:rPr>
        <w:t>”</w:t>
      </w:r>
      <w:r>
        <w:rPr>
          <w:lang w:bidi="ar"/>
        </w:rPr>
        <w:t>的规定；</w:t>
      </w:r>
    </w:p>
    <w:p w14:paraId="5D77C6A0" w14:textId="77777777" w:rsidR="00E173A4" w:rsidRDefault="00E173A4">
      <w:pPr>
        <w:pStyle w:val="005"/>
        <w:spacing w:before="120"/>
        <w:ind w:firstLine="480"/>
        <w:rPr>
          <w:lang w:bidi="ar"/>
        </w:rPr>
      </w:pPr>
      <w:r>
        <w:rPr>
          <w:lang w:bidi="ar"/>
        </w:rPr>
        <w:t>4</w:t>
      </w:r>
      <w:r>
        <w:rPr>
          <w:lang w:bidi="ar"/>
        </w:rPr>
        <w:t>、</w:t>
      </w:r>
      <w:r>
        <w:rPr>
          <w:lang w:bidi="ar"/>
        </w:rPr>
        <w:t>2020</w:t>
      </w:r>
      <w:r>
        <w:rPr>
          <w:lang w:bidi="ar"/>
        </w:rPr>
        <w:t>年度、</w:t>
      </w:r>
      <w:r>
        <w:rPr>
          <w:lang w:bidi="ar"/>
        </w:rPr>
        <w:t>2021</w:t>
      </w:r>
      <w:r>
        <w:rPr>
          <w:lang w:bidi="ar"/>
        </w:rPr>
        <w:t>年度以及</w:t>
      </w:r>
      <w:r>
        <w:rPr>
          <w:lang w:bidi="ar"/>
        </w:rPr>
        <w:t>2022</w:t>
      </w:r>
      <w:r>
        <w:rPr>
          <w:lang w:bidi="ar"/>
        </w:rPr>
        <w:t>年度，公司净利润为</w:t>
      </w:r>
      <w:r>
        <w:rPr>
          <w:lang w:bidi="ar"/>
        </w:rPr>
        <w:t>5,796.81</w:t>
      </w:r>
      <w:r>
        <w:rPr>
          <w:lang w:bidi="ar"/>
        </w:rPr>
        <w:t>万元、</w:t>
      </w:r>
      <w:r>
        <w:rPr>
          <w:lang w:bidi="ar"/>
        </w:rPr>
        <w:t>6,099.35</w:t>
      </w:r>
      <w:r>
        <w:rPr>
          <w:lang w:bidi="ar"/>
        </w:rPr>
        <w:t>万元、</w:t>
      </w:r>
      <w:r>
        <w:rPr>
          <w:lang w:bidi="ar"/>
        </w:rPr>
        <w:t>13,362.71</w:t>
      </w:r>
      <w:r>
        <w:rPr>
          <w:lang w:bidi="ar"/>
        </w:rPr>
        <w:t>万元，扣除非经常性损益后净利润为</w:t>
      </w:r>
      <w:r>
        <w:rPr>
          <w:lang w:bidi="ar"/>
        </w:rPr>
        <w:t>4,243.37</w:t>
      </w:r>
      <w:r>
        <w:rPr>
          <w:lang w:bidi="ar"/>
        </w:rPr>
        <w:t>万元、</w:t>
      </w:r>
      <w:r>
        <w:rPr>
          <w:lang w:bidi="ar"/>
        </w:rPr>
        <w:t>4,684.77</w:t>
      </w:r>
      <w:r>
        <w:rPr>
          <w:lang w:bidi="ar"/>
        </w:rPr>
        <w:t>万元、</w:t>
      </w:r>
      <w:r>
        <w:rPr>
          <w:lang w:bidi="ar"/>
        </w:rPr>
        <w:t>9,793.92</w:t>
      </w:r>
      <w:r>
        <w:rPr>
          <w:lang w:bidi="ar"/>
        </w:rPr>
        <w:t>万元，以扣除非经常性损益前后孰低的净利润计算，公司</w:t>
      </w:r>
      <w:r>
        <w:rPr>
          <w:lang w:bidi="ar"/>
        </w:rPr>
        <w:t>2020</w:t>
      </w:r>
      <w:r>
        <w:rPr>
          <w:lang w:bidi="ar"/>
        </w:rPr>
        <w:t>年度、</w:t>
      </w:r>
      <w:r>
        <w:rPr>
          <w:lang w:bidi="ar"/>
        </w:rPr>
        <w:t>2021</w:t>
      </w:r>
      <w:r>
        <w:rPr>
          <w:lang w:bidi="ar"/>
        </w:rPr>
        <w:t>年度和</w:t>
      </w:r>
      <w:r>
        <w:rPr>
          <w:lang w:bidi="ar"/>
        </w:rPr>
        <w:t>2022</w:t>
      </w:r>
      <w:r>
        <w:rPr>
          <w:lang w:bidi="ar"/>
        </w:rPr>
        <w:t>年度的加权平均净资产收益率分别为</w:t>
      </w:r>
      <w:r>
        <w:rPr>
          <w:lang w:bidi="ar"/>
        </w:rPr>
        <w:t>6.51%</w:t>
      </w:r>
      <w:r>
        <w:rPr>
          <w:lang w:bidi="ar"/>
        </w:rPr>
        <w:t>、</w:t>
      </w:r>
      <w:r>
        <w:rPr>
          <w:lang w:bidi="ar"/>
        </w:rPr>
        <w:t>7.19%</w:t>
      </w:r>
      <w:r>
        <w:rPr>
          <w:lang w:bidi="ar"/>
        </w:rPr>
        <w:t>和</w:t>
      </w:r>
      <w:r>
        <w:rPr>
          <w:lang w:bidi="ar"/>
        </w:rPr>
        <w:t>14.34%</w:t>
      </w:r>
      <w:r>
        <w:rPr>
          <w:lang w:bidi="ar"/>
        </w:rPr>
        <w:t>，最近三年平均为</w:t>
      </w:r>
      <w:r>
        <w:rPr>
          <w:lang w:bidi="ar"/>
        </w:rPr>
        <w:t>9.35%</w:t>
      </w:r>
      <w:r>
        <w:rPr>
          <w:lang w:bidi="ar"/>
        </w:rPr>
        <w:t>，高于</w:t>
      </w:r>
      <w:r>
        <w:rPr>
          <w:lang w:bidi="ar"/>
        </w:rPr>
        <w:t>6%</w:t>
      </w:r>
      <w:r>
        <w:rPr>
          <w:lang w:bidi="ar"/>
        </w:rPr>
        <w:t>。符合《注册管理办法》第十三条</w:t>
      </w:r>
      <w:r>
        <w:rPr>
          <w:rFonts w:ascii="宋体" w:hAnsi="宋体"/>
          <w:lang w:bidi="ar"/>
        </w:rPr>
        <w:t>“</w:t>
      </w:r>
      <w:r>
        <w:rPr>
          <w:lang w:bidi="ar"/>
        </w:rPr>
        <w:t>（四）交易所主板上市公司向不特定对象发行可转债的，应当最近三个会计年度盈利，且最近三个会计年度加权平均净资产收益率平均不低于百分之六；净利润以扣除非经常性损益前后孰低者为计算依据。</w:t>
      </w:r>
      <w:r>
        <w:rPr>
          <w:rFonts w:ascii="宋体" w:hAnsi="宋体"/>
          <w:lang w:bidi="ar"/>
        </w:rPr>
        <w:t>”</w:t>
      </w:r>
      <w:r>
        <w:rPr>
          <w:lang w:bidi="ar"/>
        </w:rPr>
        <w:t>的规定。</w:t>
      </w:r>
    </w:p>
    <w:p w14:paraId="570BE27B" w14:textId="77777777" w:rsidR="00E173A4" w:rsidRDefault="00E173A4">
      <w:pPr>
        <w:pStyle w:val="003"/>
        <w:spacing w:before="120" w:after="120"/>
      </w:pPr>
      <w:r>
        <w:t>（五）公司本次发行符合《注册管理办法》第十四条的规定</w:t>
      </w:r>
    </w:p>
    <w:p w14:paraId="7DFC7A45" w14:textId="77777777" w:rsidR="00E173A4" w:rsidRDefault="00E173A4">
      <w:pPr>
        <w:pStyle w:val="005"/>
        <w:spacing w:before="120"/>
        <w:ind w:firstLine="480"/>
        <w:rPr>
          <w:lang w:bidi="ar"/>
        </w:rPr>
      </w:pPr>
      <w:r>
        <w:rPr>
          <w:lang w:bidi="ar"/>
        </w:rPr>
        <w:t>公司不存在对已公开发行的公司债券或者其他债务有违约或者延迟支付本息的事实，不存在改变公开发行债券所募资金用途的情形，符合《注册管理办法》</w:t>
      </w:r>
      <w:r>
        <w:rPr>
          <w:lang w:bidi="ar"/>
        </w:rPr>
        <w:lastRenderedPageBreak/>
        <w:t>第十四条的规定。</w:t>
      </w:r>
    </w:p>
    <w:p w14:paraId="59EBB75B" w14:textId="77777777" w:rsidR="00E173A4" w:rsidRDefault="00E173A4">
      <w:pPr>
        <w:pStyle w:val="003"/>
        <w:spacing w:before="120" w:after="120"/>
      </w:pPr>
      <w:r>
        <w:t>（六）公司本次发行符合《注册管理办法》第十五条的规定</w:t>
      </w:r>
    </w:p>
    <w:p w14:paraId="42E5F580" w14:textId="77777777" w:rsidR="00E173A4" w:rsidRDefault="00E173A4">
      <w:pPr>
        <w:pStyle w:val="005"/>
        <w:spacing w:before="120"/>
        <w:ind w:firstLine="480"/>
        <w:rPr>
          <w:lang w:bidi="ar"/>
        </w:rPr>
      </w:pPr>
      <w:r>
        <w:rPr>
          <w:lang w:bidi="ar"/>
        </w:rPr>
        <w:t>本次发行的可转债募集资金总额（含发行费用）不超过人民币</w:t>
      </w:r>
      <w:r>
        <w:rPr>
          <w:rFonts w:ascii="楷体" w:eastAsia="楷体" w:hAnsi="楷体"/>
          <w:b/>
          <w:bCs/>
          <w:color w:val="000000"/>
        </w:rPr>
        <w:t>32,183</w:t>
      </w:r>
      <w:r>
        <w:rPr>
          <w:rFonts w:ascii="楷体" w:eastAsia="楷体" w:hAnsi="楷体" w:hint="eastAsia"/>
          <w:b/>
          <w:bCs/>
        </w:rPr>
        <w:t>.00</w:t>
      </w:r>
      <w:r>
        <w:rPr>
          <w:rFonts w:ascii="楷体" w:eastAsia="楷体" w:hAnsi="楷体"/>
          <w:b/>
          <w:bCs/>
          <w:lang w:bidi="ar"/>
        </w:rPr>
        <w:t>万元</w:t>
      </w:r>
      <w:r>
        <w:rPr>
          <w:lang w:bidi="ar"/>
        </w:rPr>
        <w:t>（含本数），扣除发行费用后的募集资金净额将用于智慧节能阀门建设项目和补充流动资金。本次发行不存在用于弥补亏损和非生产性支出的情形，符合《注册管理办法》第十五条的规定。</w:t>
      </w:r>
    </w:p>
    <w:p w14:paraId="0B08085E" w14:textId="77777777" w:rsidR="00E173A4" w:rsidRDefault="00E173A4">
      <w:pPr>
        <w:pStyle w:val="003"/>
        <w:spacing w:before="120" w:after="120"/>
      </w:pPr>
      <w:r>
        <w:t>（七）公司本次发行符合《注册管理办法》关于上市公司发行可转债的其他规定</w:t>
      </w:r>
    </w:p>
    <w:p w14:paraId="4E35C1F5" w14:textId="77777777" w:rsidR="00E173A4" w:rsidRDefault="00E173A4">
      <w:pPr>
        <w:pStyle w:val="005"/>
        <w:spacing w:before="120"/>
        <w:ind w:firstLine="480"/>
        <w:rPr>
          <w:lang w:bidi="ar"/>
        </w:rPr>
      </w:pPr>
      <w:r>
        <w:rPr>
          <w:lang w:bidi="ar"/>
        </w:rPr>
        <w:t>1</w:t>
      </w:r>
      <w:r>
        <w:rPr>
          <w:lang w:bidi="ar"/>
        </w:rPr>
        <w:t>、公司本次可转债发行方案具有期限、面值、利率、评级、债券持有人权利、转股价格及调整原则、赎回及回售、转股价格向下修正等要素，且本次发行的利率已由公司股东大会授权公司董事会在发行前根据国家政策、市场状况和公司具体情况与保荐人及主承销商协商确定，符合《注册管理办法》第六十一条第一款和第二款的规定；</w:t>
      </w:r>
    </w:p>
    <w:p w14:paraId="7F5EBC9A" w14:textId="77777777" w:rsidR="00E173A4" w:rsidRDefault="00E173A4">
      <w:pPr>
        <w:pStyle w:val="005"/>
        <w:spacing w:before="120"/>
        <w:ind w:firstLine="480"/>
        <w:rPr>
          <w:lang w:bidi="ar"/>
        </w:rPr>
      </w:pPr>
      <w:r>
        <w:rPr>
          <w:lang w:bidi="ar"/>
        </w:rPr>
        <w:t>2</w:t>
      </w:r>
      <w:r>
        <w:rPr>
          <w:lang w:bidi="ar"/>
        </w:rPr>
        <w:t>、根据本次发行方案，自发行结束之日起满六个月后的第一个交易日起至可转债到期日止为转股期，符合《注册管理办法》第六十二条的规定；</w:t>
      </w:r>
    </w:p>
    <w:p w14:paraId="70764FA9" w14:textId="77777777" w:rsidR="00E173A4" w:rsidRDefault="00E173A4">
      <w:pPr>
        <w:pStyle w:val="005"/>
        <w:spacing w:before="120"/>
        <w:ind w:firstLine="480"/>
        <w:rPr>
          <w:lang w:bidi="ar"/>
        </w:rPr>
      </w:pPr>
      <w:r>
        <w:rPr>
          <w:lang w:bidi="ar"/>
        </w:rPr>
        <w:t>3</w:t>
      </w:r>
      <w:r>
        <w:rPr>
          <w:lang w:bidi="ar"/>
        </w:rPr>
        <w:t>、根据本次发行方案，本次发行的可转债的初始转股价格不低于《募集说明书》公告日前二十个交易日公司股票交易均价（若在该二十个交易日内发生过因除权、除息等引起股价调整的情形，则对调整前交易日的交易价格按经过相应除权、除息调整后的价格计算）和前一个交易日公司股票交易均价，</w:t>
      </w:r>
      <w:r>
        <w:rPr>
          <w:rFonts w:hint="eastAsia"/>
        </w:rPr>
        <w:t>且不得向上修正，</w:t>
      </w:r>
      <w:r>
        <w:rPr>
          <w:lang w:bidi="ar"/>
        </w:rPr>
        <w:t>符合《注册管理办法》第六十四条第一款的规定。</w:t>
      </w:r>
    </w:p>
    <w:p w14:paraId="05DB0002" w14:textId="77777777" w:rsidR="00E173A4" w:rsidRDefault="00E173A4">
      <w:pPr>
        <w:pStyle w:val="002"/>
        <w:spacing w:before="120" w:after="120"/>
      </w:pPr>
      <w:bookmarkStart w:id="49" w:name="_Toc87299696"/>
      <w:bookmarkStart w:id="50" w:name="_Toc152320942"/>
      <w:r>
        <w:t>五、</w:t>
      </w:r>
      <w:bookmarkEnd w:id="49"/>
      <w:r>
        <w:t>公司本次发行符合《可转换公司债券管理办法》规定的相关条件</w:t>
      </w:r>
      <w:bookmarkEnd w:id="50"/>
    </w:p>
    <w:p w14:paraId="3D9BF8B6" w14:textId="77777777" w:rsidR="00E173A4" w:rsidRDefault="00E173A4">
      <w:pPr>
        <w:pStyle w:val="003"/>
        <w:spacing w:before="120" w:after="120"/>
      </w:pPr>
      <w:r>
        <w:t>（一）本次发行符合《可转换公司债券管理办法》第三条第一款的规定</w:t>
      </w:r>
    </w:p>
    <w:p w14:paraId="23A1297F" w14:textId="77777777" w:rsidR="00E173A4" w:rsidRDefault="00E173A4">
      <w:pPr>
        <w:pStyle w:val="005"/>
        <w:spacing w:before="120"/>
        <w:ind w:firstLine="480"/>
        <w:rPr>
          <w:lang w:bidi="ar"/>
        </w:rPr>
      </w:pPr>
      <w:r>
        <w:rPr>
          <w:lang w:bidi="ar"/>
        </w:rPr>
        <w:t>本次发行的证券类型为可转换为公司股票的可转换公司债券，该可转换公司债券及未来转换的公司股票将在深圳证券交易所上市交易，符合《可转换公司债券管理办法》第三条第一款的规定。</w:t>
      </w:r>
    </w:p>
    <w:p w14:paraId="78C1BCA2" w14:textId="77777777" w:rsidR="00E173A4" w:rsidRDefault="00E173A4">
      <w:pPr>
        <w:pStyle w:val="003"/>
        <w:spacing w:before="120" w:after="120"/>
      </w:pPr>
      <w:r>
        <w:t>（二）本次发行符合《可转换公司债券管理办法》第八条的规定</w:t>
      </w:r>
    </w:p>
    <w:p w14:paraId="3B6E8857" w14:textId="77777777" w:rsidR="00E173A4" w:rsidRDefault="00E173A4">
      <w:pPr>
        <w:pStyle w:val="005"/>
        <w:spacing w:before="120"/>
        <w:ind w:firstLine="480"/>
        <w:rPr>
          <w:lang w:bidi="ar"/>
        </w:rPr>
      </w:pPr>
      <w:r>
        <w:rPr>
          <w:lang w:bidi="ar"/>
        </w:rPr>
        <w:t>本次发行的可转换公司债券转股期自可转换公司债券发行结束之日起满六</w:t>
      </w:r>
      <w:r>
        <w:rPr>
          <w:lang w:bidi="ar"/>
        </w:rPr>
        <w:lastRenderedPageBreak/>
        <w:t>个月后的第一个交易日起至可转换公司债券到期日止。本次发行的可转换公司债券期限为六年。以上情况符合《可转换公司债券管理办法》第八条的规定。</w:t>
      </w:r>
    </w:p>
    <w:p w14:paraId="1A714441" w14:textId="77777777" w:rsidR="00E173A4" w:rsidRDefault="00E173A4">
      <w:pPr>
        <w:pStyle w:val="003"/>
        <w:spacing w:before="120" w:after="120"/>
      </w:pPr>
      <w:r>
        <w:t>（三）本次发行符合《可转换公司债券管理办法》第九条第一款的规定</w:t>
      </w:r>
    </w:p>
    <w:p w14:paraId="06543281" w14:textId="77777777" w:rsidR="00E173A4" w:rsidRDefault="00E173A4">
      <w:pPr>
        <w:pStyle w:val="005"/>
        <w:spacing w:before="120"/>
        <w:ind w:firstLine="480"/>
        <w:rPr>
          <w:lang w:bidi="ar"/>
        </w:rPr>
      </w:pPr>
      <w:r>
        <w:rPr>
          <w:lang w:bidi="ar"/>
        </w:rPr>
        <w:t>本次发行的可转债初始转股价格不低于募集说明书公告日前二十个交易日公司股票交易均价（若在该二十个交易日内发生过因除权、除息引起股价调整的情形，则对调整前交易日的交易均价按经过相应除权、除息调整后的价格计算）和前一个交易日公司股票交易均价，</w:t>
      </w:r>
      <w:r>
        <w:rPr>
          <w:rFonts w:hint="eastAsia"/>
        </w:rPr>
        <w:t>且不得向上修正，</w:t>
      </w:r>
      <w:r>
        <w:rPr>
          <w:lang w:bidi="ar"/>
        </w:rPr>
        <w:t>具体初始转股价格由公司股东大会授权公司董事会在发行前根据市场和公司具体情况与保荐人及主承销商协商确定。发行人已在募集说明书中详细披露了发行价格的修正方式，不存在向上修正的条款。以上情况符合《可转换公司债券管理办法》第九条第一款的规定。</w:t>
      </w:r>
    </w:p>
    <w:p w14:paraId="67223DE0" w14:textId="77777777" w:rsidR="00E173A4" w:rsidRDefault="00E173A4">
      <w:pPr>
        <w:pStyle w:val="003"/>
        <w:spacing w:before="120" w:after="120"/>
      </w:pPr>
      <w:r>
        <w:t>（四）本次发行符合《可转换公司债券管理办法》第十条的规定</w:t>
      </w:r>
    </w:p>
    <w:p w14:paraId="27ACB15D" w14:textId="77777777" w:rsidR="00E173A4" w:rsidRDefault="00E173A4">
      <w:pPr>
        <w:pStyle w:val="005"/>
        <w:spacing w:before="120"/>
        <w:ind w:firstLine="480"/>
        <w:rPr>
          <w:lang w:bidi="ar"/>
        </w:rPr>
      </w:pPr>
      <w:r>
        <w:rPr>
          <w:lang w:bidi="ar"/>
        </w:rPr>
        <w:t>在本次发行之后，若公司发生派送股票股利、转增股本、增发新股（不包括因本次发行的可转债转股而增加的股本）、配股以及派发现金股利等情况，将按上述情况出现的先后顺序，按照下述公式依次对转股价格进行调整（保留小数点后两位，最后一位四舍五入）：</w:t>
      </w:r>
    </w:p>
    <w:p w14:paraId="271D0159" w14:textId="77777777" w:rsidR="00E173A4" w:rsidRDefault="00E173A4">
      <w:pPr>
        <w:pStyle w:val="005"/>
        <w:spacing w:before="120"/>
        <w:ind w:firstLine="480"/>
        <w:rPr>
          <w:lang w:bidi="ar"/>
        </w:rPr>
      </w:pPr>
      <w:r>
        <w:rPr>
          <w:lang w:bidi="ar"/>
        </w:rPr>
        <w:t>派送股票股利或转增股本：</w:t>
      </w:r>
      <w:r>
        <w:rPr>
          <w:lang w:bidi="ar"/>
        </w:rPr>
        <w:t>P1=P0/(1+n)</w:t>
      </w:r>
      <w:r>
        <w:rPr>
          <w:lang w:bidi="ar"/>
        </w:rPr>
        <w:t>；</w:t>
      </w:r>
    </w:p>
    <w:p w14:paraId="1EC96E87" w14:textId="77777777" w:rsidR="00E173A4" w:rsidRDefault="00E173A4">
      <w:pPr>
        <w:pStyle w:val="005"/>
        <w:spacing w:before="120"/>
        <w:ind w:firstLine="480"/>
        <w:rPr>
          <w:lang w:bidi="ar"/>
        </w:rPr>
      </w:pPr>
      <w:r>
        <w:rPr>
          <w:lang w:bidi="ar"/>
        </w:rPr>
        <w:t>增发新股或配股：</w:t>
      </w:r>
      <w:r>
        <w:rPr>
          <w:lang w:bidi="ar"/>
        </w:rPr>
        <w:t>P1=(P0+A×k)/(1+k)</w:t>
      </w:r>
      <w:r>
        <w:rPr>
          <w:lang w:bidi="ar"/>
        </w:rPr>
        <w:t>；</w:t>
      </w:r>
    </w:p>
    <w:p w14:paraId="30A1F78D" w14:textId="77777777" w:rsidR="00E173A4" w:rsidRDefault="00E173A4">
      <w:pPr>
        <w:pStyle w:val="005"/>
        <w:spacing w:before="120"/>
        <w:ind w:firstLine="480"/>
        <w:rPr>
          <w:lang w:bidi="ar"/>
        </w:rPr>
      </w:pPr>
      <w:r>
        <w:rPr>
          <w:lang w:bidi="ar"/>
        </w:rPr>
        <w:t>上述两项同时进行：</w:t>
      </w:r>
      <w:r>
        <w:rPr>
          <w:lang w:bidi="ar"/>
        </w:rPr>
        <w:t>P1=(P0+A×k)/(1+n+k)</w:t>
      </w:r>
      <w:r>
        <w:rPr>
          <w:lang w:bidi="ar"/>
        </w:rPr>
        <w:t>；</w:t>
      </w:r>
    </w:p>
    <w:p w14:paraId="50A2B324" w14:textId="77777777" w:rsidR="00E173A4" w:rsidRDefault="00E173A4">
      <w:pPr>
        <w:pStyle w:val="005"/>
        <w:spacing w:before="120"/>
        <w:ind w:firstLine="480"/>
        <w:rPr>
          <w:lang w:bidi="ar"/>
        </w:rPr>
      </w:pPr>
      <w:r>
        <w:rPr>
          <w:lang w:bidi="ar"/>
        </w:rPr>
        <w:t>派发现金股利：</w:t>
      </w:r>
      <w:r>
        <w:rPr>
          <w:lang w:bidi="ar"/>
        </w:rPr>
        <w:t>P1=P0-D</w:t>
      </w:r>
      <w:r>
        <w:rPr>
          <w:lang w:bidi="ar"/>
        </w:rPr>
        <w:t>；</w:t>
      </w:r>
    </w:p>
    <w:p w14:paraId="0CBF3A88" w14:textId="77777777" w:rsidR="00E173A4" w:rsidRDefault="00E173A4">
      <w:pPr>
        <w:pStyle w:val="005"/>
        <w:spacing w:before="120"/>
        <w:ind w:firstLine="480"/>
        <w:rPr>
          <w:lang w:bidi="ar"/>
        </w:rPr>
      </w:pPr>
      <w:r>
        <w:rPr>
          <w:lang w:bidi="ar"/>
        </w:rPr>
        <w:t>上述三项同时进行：</w:t>
      </w:r>
      <w:r>
        <w:rPr>
          <w:lang w:bidi="ar"/>
        </w:rPr>
        <w:t>P1</w:t>
      </w:r>
      <w:r>
        <w:rPr>
          <w:lang w:bidi="ar"/>
        </w:rPr>
        <w:t>＝</w:t>
      </w:r>
      <w:r>
        <w:rPr>
          <w:lang w:bidi="ar"/>
        </w:rPr>
        <w:t>(P0-D</w:t>
      </w:r>
      <w:r>
        <w:rPr>
          <w:lang w:bidi="ar"/>
        </w:rPr>
        <w:t>＋</w:t>
      </w:r>
      <w:r>
        <w:rPr>
          <w:lang w:bidi="ar"/>
        </w:rPr>
        <w:t>A×k)/(1+n+k)</w:t>
      </w:r>
      <w:r>
        <w:rPr>
          <w:lang w:bidi="ar"/>
        </w:rPr>
        <w:t>。</w:t>
      </w:r>
    </w:p>
    <w:p w14:paraId="1F352DB4" w14:textId="77777777" w:rsidR="00E173A4" w:rsidRDefault="00E173A4">
      <w:pPr>
        <w:pStyle w:val="005"/>
        <w:spacing w:before="120"/>
        <w:ind w:firstLine="480"/>
        <w:rPr>
          <w:lang w:bidi="ar"/>
        </w:rPr>
      </w:pPr>
      <w:r>
        <w:rPr>
          <w:lang w:bidi="ar"/>
        </w:rPr>
        <w:t>其中：</w:t>
      </w:r>
      <w:r>
        <w:rPr>
          <w:lang w:bidi="ar"/>
        </w:rPr>
        <w:t>P1</w:t>
      </w:r>
      <w:r>
        <w:rPr>
          <w:lang w:bidi="ar"/>
        </w:rPr>
        <w:t>为调整后转股价，</w:t>
      </w:r>
      <w:r>
        <w:rPr>
          <w:lang w:bidi="ar"/>
        </w:rPr>
        <w:t>P0-</w:t>
      </w:r>
      <w:r>
        <w:rPr>
          <w:lang w:bidi="ar"/>
        </w:rPr>
        <w:t>为调整前转股价，</w:t>
      </w:r>
      <w:r>
        <w:rPr>
          <w:lang w:bidi="ar"/>
        </w:rPr>
        <w:t>n</w:t>
      </w:r>
      <w:r>
        <w:rPr>
          <w:lang w:bidi="ar"/>
        </w:rPr>
        <w:t>为派送股票股利或转增股本率，</w:t>
      </w:r>
      <w:r>
        <w:rPr>
          <w:lang w:bidi="ar"/>
        </w:rPr>
        <w:t>A</w:t>
      </w:r>
      <w:r>
        <w:rPr>
          <w:lang w:bidi="ar"/>
        </w:rPr>
        <w:t>为增发新股价或配股价，</w:t>
      </w:r>
      <w:r>
        <w:rPr>
          <w:lang w:bidi="ar"/>
        </w:rPr>
        <w:t>k</w:t>
      </w:r>
      <w:r>
        <w:rPr>
          <w:lang w:bidi="ar"/>
        </w:rPr>
        <w:t>为增发新股率或配股率，</w:t>
      </w:r>
      <w:r>
        <w:rPr>
          <w:lang w:bidi="ar"/>
        </w:rPr>
        <w:t>D</w:t>
      </w:r>
      <w:r>
        <w:rPr>
          <w:lang w:bidi="ar"/>
        </w:rPr>
        <w:t>为每股派发现金股利。</w:t>
      </w:r>
    </w:p>
    <w:p w14:paraId="56271201" w14:textId="77777777" w:rsidR="00E173A4" w:rsidRDefault="00E173A4">
      <w:pPr>
        <w:pStyle w:val="005"/>
        <w:spacing w:before="120"/>
        <w:ind w:firstLine="480"/>
        <w:rPr>
          <w:lang w:bidi="ar"/>
        </w:rPr>
      </w:pPr>
      <w:r>
        <w:rPr>
          <w:lang w:bidi="ar"/>
        </w:rPr>
        <w:t>发行人已在募集说明书中详细披露了转股价格调整的原则及方式，符合《可转换公司债券管理办法》第十条的规定。</w:t>
      </w:r>
    </w:p>
    <w:p w14:paraId="33EA925F" w14:textId="77777777" w:rsidR="00E173A4" w:rsidRDefault="00E173A4">
      <w:pPr>
        <w:pStyle w:val="003"/>
        <w:spacing w:before="120" w:after="120"/>
      </w:pPr>
      <w:r>
        <w:lastRenderedPageBreak/>
        <w:t>（五）本次发行符合《可转换公司债券管理办法》第十一条的规定</w:t>
      </w:r>
    </w:p>
    <w:p w14:paraId="48FE1077" w14:textId="77777777" w:rsidR="00E173A4" w:rsidRDefault="00E173A4">
      <w:pPr>
        <w:pStyle w:val="005"/>
        <w:spacing w:before="120"/>
        <w:ind w:firstLine="480"/>
        <w:rPr>
          <w:lang w:bidi="ar"/>
        </w:rPr>
      </w:pPr>
      <w:r>
        <w:rPr>
          <w:lang w:bidi="ar"/>
        </w:rPr>
        <w:t>发行人已在募集说明书中详细披露了本次发行的赎回条款，包括到期赎回和有条件赎回；回售条款，包括有条件回售条款和附加回售条款。以上情况符合《可转换公司债券管理办法》第十一条的规定。</w:t>
      </w:r>
    </w:p>
    <w:p w14:paraId="55CA89C9" w14:textId="77777777" w:rsidR="00E173A4" w:rsidRDefault="00E173A4">
      <w:pPr>
        <w:pStyle w:val="003"/>
        <w:spacing w:before="120" w:after="120"/>
      </w:pPr>
      <w:r>
        <w:t>（六）本次发行符合《可转换公司债券管理办法》第十六条的规定</w:t>
      </w:r>
    </w:p>
    <w:p w14:paraId="5614B4B7" w14:textId="77777777" w:rsidR="00E173A4" w:rsidRDefault="00E173A4">
      <w:pPr>
        <w:pStyle w:val="005"/>
        <w:spacing w:before="120"/>
        <w:ind w:firstLine="480"/>
        <w:rPr>
          <w:lang w:bidi="ar"/>
        </w:rPr>
      </w:pPr>
      <w:r>
        <w:rPr>
          <w:lang w:bidi="ar"/>
        </w:rPr>
        <w:t>为维护本次债券全体债券持有人的权益，公司已签署受托管理协议，聘任中信证券作为本次债券的受托管理人，并同意接受中信证券的监督。中信证券接受全体债券持有人的委托，行使受托管理职责。在本次债券存续期内，中信证券应当勤勉尽责，根据相关法律法规、部门规章、行政规范性文件与自律规则的规定以及募集说明书、《受托管理协议》及《债券持有人会议规则》的约定，行使权利和履行义务，维护债券持有人合法权益。以上情况符合《可转换公司债券管理办法》第十六条的规定。</w:t>
      </w:r>
    </w:p>
    <w:p w14:paraId="7365C25E" w14:textId="77777777" w:rsidR="00E173A4" w:rsidRDefault="00E173A4">
      <w:pPr>
        <w:pStyle w:val="003"/>
        <w:spacing w:before="120" w:after="120"/>
      </w:pPr>
      <w:r>
        <w:t>（七）本次发行符合《可转换公司债券管理办法》第十七条的规定</w:t>
      </w:r>
    </w:p>
    <w:p w14:paraId="21DE93F3" w14:textId="77777777" w:rsidR="00E173A4" w:rsidRDefault="00E173A4">
      <w:pPr>
        <w:pStyle w:val="005"/>
        <w:spacing w:before="120"/>
        <w:ind w:firstLine="480"/>
        <w:rPr>
          <w:lang w:bidi="ar"/>
        </w:rPr>
      </w:pPr>
      <w:r>
        <w:rPr>
          <w:lang w:bidi="ar"/>
        </w:rPr>
        <w:t>发行人已在募集说明书中详细披露了债券持有人会议相关事项，包括可转换公司债券持有人的权利、可转换公司债券持有人的义务、在本次可转债存续期间内应召集债券持有人会议的情形、可以书面提议召开债券持有人会议的机构或人士等。以上情况符合《可转换公司债券管理办法》第十七条的规定。</w:t>
      </w:r>
    </w:p>
    <w:p w14:paraId="72DE983B" w14:textId="77777777" w:rsidR="00E173A4" w:rsidRDefault="00E173A4">
      <w:pPr>
        <w:pStyle w:val="003"/>
        <w:spacing w:before="120" w:after="120"/>
      </w:pPr>
      <w:r>
        <w:t>（八）本次发行符合《可转换公司债券管理办法》第十九条的规定</w:t>
      </w:r>
    </w:p>
    <w:p w14:paraId="60831029" w14:textId="77777777" w:rsidR="00E173A4" w:rsidRDefault="00E173A4">
      <w:pPr>
        <w:pStyle w:val="005"/>
        <w:spacing w:before="120"/>
        <w:ind w:firstLine="480"/>
        <w:rPr>
          <w:lang w:bidi="ar"/>
        </w:rPr>
      </w:pPr>
      <w:r>
        <w:rPr>
          <w:lang w:bidi="ar"/>
        </w:rPr>
        <w:t>发行人已在募集说明书中详细披露了违约责任及争议解决机制，包括构成可转债违约的情形、违约责任的承担方式、争议解决机制等。本次债券发行适用中国法律并依其解释。本次债券发行和存续期间所产生的争议，首先应在争议各方之间协商解决。如果协商解决不成，争议各方有权按照受托管理协议、债券持有人会议规则等规定，向有管辖权的人民法院提起诉讼。当产生任何争议及任何争议正按前条约定进行解决时，除争议事项外，各方有权继续行使本次债券发行及存续期的其他权利，并应履行其他义务。以上情况符合《可转换公司债券管理办法》第十九条的规定。</w:t>
      </w:r>
    </w:p>
    <w:p w14:paraId="1F0FD122" w14:textId="77777777" w:rsidR="00E173A4" w:rsidRDefault="00E173A4">
      <w:pPr>
        <w:pStyle w:val="002"/>
        <w:spacing w:before="120" w:after="120"/>
      </w:pPr>
      <w:bookmarkStart w:id="51" w:name="_Toc87299698"/>
      <w:bookmarkStart w:id="52" w:name="_Toc152320943"/>
      <w:r>
        <w:lastRenderedPageBreak/>
        <w:t>六、对本次发行有偿聘请第三方机构和个人等相关行为的核查意见</w:t>
      </w:r>
      <w:bookmarkEnd w:id="51"/>
      <w:bookmarkEnd w:id="52"/>
    </w:p>
    <w:p w14:paraId="3CD6CFD5" w14:textId="77777777" w:rsidR="00E173A4" w:rsidRDefault="00E173A4">
      <w:pPr>
        <w:pStyle w:val="003"/>
        <w:spacing w:before="120" w:after="120"/>
      </w:pPr>
      <w:r>
        <w:t>（一）保荐机构有偿聘请第三方和个人等相关行为的核查意见</w:t>
      </w:r>
    </w:p>
    <w:p w14:paraId="17EFE6FD" w14:textId="77777777" w:rsidR="00E173A4" w:rsidRDefault="00E173A4">
      <w:pPr>
        <w:pStyle w:val="005"/>
        <w:spacing w:before="120"/>
        <w:ind w:firstLine="480"/>
        <w:rPr>
          <w:lang w:bidi="ar"/>
        </w:rPr>
      </w:pPr>
      <w:r>
        <w:rPr>
          <w:lang w:bidi="ar"/>
        </w:rPr>
        <w:t>在本次向不特定对象发行中，本保荐机构不存在各类直接或间接有偿聘请第三方和个人等相关行为。</w:t>
      </w:r>
    </w:p>
    <w:p w14:paraId="697D2BC2" w14:textId="77777777" w:rsidR="00E173A4" w:rsidRDefault="00E173A4">
      <w:pPr>
        <w:pStyle w:val="003"/>
        <w:spacing w:before="120" w:after="120"/>
      </w:pPr>
      <w:r>
        <w:t>（二）发行人有偿聘请第三方和个人等相关行为的核查意见</w:t>
      </w:r>
    </w:p>
    <w:p w14:paraId="0204A5FF" w14:textId="77777777" w:rsidR="00E173A4" w:rsidRDefault="00E173A4">
      <w:pPr>
        <w:pStyle w:val="005"/>
        <w:spacing w:before="120"/>
        <w:ind w:firstLine="480"/>
        <w:rPr>
          <w:lang w:bidi="ar"/>
        </w:rPr>
      </w:pPr>
      <w:r>
        <w:rPr>
          <w:lang w:bidi="ar"/>
        </w:rPr>
        <w:t>本保荐机构对本次发行中发行人有偿聘请第三方机构或个人的行为进行了充分必要的核查，核查情况如下：</w:t>
      </w:r>
    </w:p>
    <w:p w14:paraId="0760C610" w14:textId="77777777" w:rsidR="00E173A4" w:rsidRDefault="00E173A4">
      <w:pPr>
        <w:pStyle w:val="005"/>
        <w:spacing w:before="120"/>
        <w:ind w:firstLine="480"/>
        <w:rPr>
          <w:lang w:bidi="ar"/>
        </w:rPr>
      </w:pPr>
      <w:r>
        <w:rPr>
          <w:lang w:bidi="ar"/>
        </w:rPr>
        <w:t>1</w:t>
      </w:r>
      <w:r>
        <w:rPr>
          <w:lang w:bidi="ar"/>
        </w:rPr>
        <w:t>、发行人聘请中信证券股份有限公司作为本次发行的保荐机构和主承销商；</w:t>
      </w:r>
    </w:p>
    <w:p w14:paraId="269AFD8D" w14:textId="77777777" w:rsidR="00E173A4" w:rsidRDefault="00E173A4">
      <w:pPr>
        <w:pStyle w:val="005"/>
        <w:spacing w:before="120"/>
        <w:ind w:firstLine="480"/>
        <w:rPr>
          <w:lang w:bidi="ar"/>
        </w:rPr>
      </w:pPr>
      <w:r>
        <w:rPr>
          <w:lang w:bidi="ar"/>
        </w:rPr>
        <w:t>2</w:t>
      </w:r>
      <w:r>
        <w:rPr>
          <w:lang w:bidi="ar"/>
        </w:rPr>
        <w:t>、发行人聘请北京德和衡律师事务所作为本次发行的发行人律师；</w:t>
      </w:r>
    </w:p>
    <w:p w14:paraId="22FDDB5D" w14:textId="77777777" w:rsidR="00E173A4" w:rsidRDefault="00E173A4">
      <w:pPr>
        <w:pStyle w:val="005"/>
        <w:spacing w:before="120"/>
        <w:ind w:firstLine="480"/>
        <w:rPr>
          <w:lang w:bidi="ar"/>
        </w:rPr>
      </w:pPr>
      <w:r>
        <w:rPr>
          <w:lang w:bidi="ar"/>
        </w:rPr>
        <w:t>3</w:t>
      </w:r>
      <w:r>
        <w:rPr>
          <w:lang w:bidi="ar"/>
        </w:rPr>
        <w:t>、发行人聘请和信会计师事务所（特殊普通合伙）作为本次发行的会计师事务所。</w:t>
      </w:r>
    </w:p>
    <w:p w14:paraId="7FD53E82" w14:textId="77777777" w:rsidR="00E173A4" w:rsidRDefault="00E173A4">
      <w:pPr>
        <w:pStyle w:val="005"/>
        <w:spacing w:before="120"/>
        <w:ind w:firstLine="480"/>
        <w:rPr>
          <w:lang w:bidi="ar"/>
        </w:rPr>
      </w:pPr>
      <w:r>
        <w:rPr>
          <w:lang w:bidi="ar"/>
        </w:rPr>
        <w:t>除上述聘请行为外，伟隆股份本次向不特定对象发行可转换公司债券不存在直接或间接有偿聘请其他第三方机构或个人行为，符合《关于加强证券公司在投资银行类业务中聘请第三方等廉洁从业风险防控的意见》（证监会公告</w:t>
      </w:r>
      <w:r>
        <w:rPr>
          <w:lang w:bidi="ar"/>
        </w:rPr>
        <w:t>[2018]22</w:t>
      </w:r>
      <w:r>
        <w:rPr>
          <w:lang w:bidi="ar"/>
        </w:rPr>
        <w:t>号）的相关规定。</w:t>
      </w:r>
    </w:p>
    <w:p w14:paraId="32CC00DE" w14:textId="77777777" w:rsidR="00E173A4" w:rsidRDefault="00E173A4">
      <w:pPr>
        <w:pStyle w:val="002"/>
        <w:spacing w:before="120" w:after="120"/>
      </w:pPr>
      <w:bookmarkStart w:id="53" w:name="_Toc87299699"/>
      <w:bookmarkStart w:id="54" w:name="_Toc152320944"/>
      <w:r>
        <w:t>七、发行人存在的主要风险</w:t>
      </w:r>
      <w:bookmarkEnd w:id="53"/>
      <w:bookmarkEnd w:id="54"/>
    </w:p>
    <w:p w14:paraId="574A1BA4" w14:textId="77777777" w:rsidR="00E173A4" w:rsidRDefault="00E173A4">
      <w:pPr>
        <w:pStyle w:val="003"/>
        <w:spacing w:before="120" w:after="120"/>
      </w:pPr>
      <w:bookmarkStart w:id="55" w:name="_Toc146109104"/>
      <w:bookmarkStart w:id="56" w:name="_Toc124266603"/>
      <w:bookmarkStart w:id="57" w:name="_Toc124743201"/>
      <w:bookmarkStart w:id="58" w:name="_Toc124859182"/>
      <w:bookmarkStart w:id="59" w:name="_Toc42001319"/>
      <w:bookmarkStart w:id="60" w:name="_Toc456611686"/>
      <w:bookmarkStart w:id="61" w:name="_Toc453808376"/>
      <w:bookmarkStart w:id="62" w:name="_Toc87299700"/>
      <w:bookmarkStart w:id="63" w:name="_Toc445630056"/>
      <w:r>
        <w:rPr>
          <w:rFonts w:hint="eastAsia"/>
        </w:rPr>
        <w:t>（一）与发行人相关的风险</w:t>
      </w:r>
      <w:bookmarkEnd w:id="55"/>
      <w:bookmarkEnd w:id="56"/>
      <w:bookmarkEnd w:id="57"/>
      <w:bookmarkEnd w:id="58"/>
    </w:p>
    <w:p w14:paraId="511337FF" w14:textId="77777777" w:rsidR="00E173A4" w:rsidRDefault="00E173A4">
      <w:pPr>
        <w:pStyle w:val="005"/>
        <w:spacing w:before="120"/>
        <w:ind w:firstLine="482"/>
        <w:outlineLvl w:val="3"/>
        <w:rPr>
          <w:b/>
          <w:bCs/>
          <w:szCs w:val="28"/>
        </w:rPr>
      </w:pPr>
      <w:r>
        <w:rPr>
          <w:rFonts w:hint="eastAsia"/>
          <w:b/>
          <w:bCs/>
          <w:szCs w:val="28"/>
        </w:rPr>
        <w:t>1</w:t>
      </w:r>
      <w:r>
        <w:rPr>
          <w:rFonts w:hint="eastAsia"/>
          <w:b/>
          <w:bCs/>
          <w:szCs w:val="28"/>
        </w:rPr>
        <w:t>、募集资金投资项目风险</w:t>
      </w:r>
    </w:p>
    <w:p w14:paraId="69580E2C"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64" w:name="_Hlk139979637"/>
      <w:r>
        <w:rPr>
          <w:rFonts w:ascii="Times New Roman" w:hAnsi="Times New Roman" w:cs="Times New Roman" w:hint="eastAsia"/>
          <w:sz w:val="24"/>
          <w:szCs w:val="22"/>
        </w:rPr>
        <w:t>（</w:t>
      </w:r>
      <w:r>
        <w:rPr>
          <w:rFonts w:ascii="Times New Roman" w:hAnsi="Times New Roman" w:cs="Times New Roman" w:hint="eastAsia"/>
          <w:sz w:val="24"/>
          <w:szCs w:val="22"/>
        </w:rPr>
        <w:t>1</w:t>
      </w:r>
      <w:r>
        <w:rPr>
          <w:rFonts w:ascii="Times New Roman" w:hAnsi="Times New Roman" w:cs="Times New Roman" w:hint="eastAsia"/>
          <w:sz w:val="24"/>
          <w:szCs w:val="22"/>
        </w:rPr>
        <w:t>）</w:t>
      </w:r>
      <w:r>
        <w:rPr>
          <w:rFonts w:ascii="Times New Roman" w:hAnsi="Times New Roman" w:cs="Times New Roman"/>
          <w:sz w:val="24"/>
          <w:szCs w:val="22"/>
        </w:rPr>
        <w:t>募集资金投资项目产能消化风险</w:t>
      </w:r>
    </w:p>
    <w:p w14:paraId="72249455"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65" w:name="_Hlk139980839"/>
      <w:r>
        <w:rPr>
          <w:rFonts w:ascii="Times New Roman" w:hAnsi="Times New Roman" w:cs="Times New Roman" w:hint="eastAsia"/>
          <w:sz w:val="24"/>
          <w:szCs w:val="22"/>
        </w:rPr>
        <w:t>公司本次募集资金投资项目是经过对市场空间的分析和自身发展战略、在手订单的规划而设定的，预计本次募投项目新增产能可以得到合理消化。公司已基于自身在细分行业中的竞争力、拥有的客户基础和资源以及市场开发能力，对该等投资项目进行了必要性和可行性的充分研究和论证，但若公司不能有效执行消化新增产能的相关措施，或未来出现下游市场增长未及预期、公司市场开拓受阻或产业扩张过度等不利情形，公司将有可能面临新增产能无法完全消化的风险，以及募集资金投资项目投产后达不到预期收益甚至短期内无法盈利的风险，进而</w:t>
      </w:r>
      <w:r>
        <w:rPr>
          <w:rFonts w:ascii="Times New Roman" w:hAnsi="Times New Roman" w:cs="Times New Roman" w:hint="eastAsia"/>
          <w:sz w:val="24"/>
          <w:szCs w:val="22"/>
        </w:rPr>
        <w:lastRenderedPageBreak/>
        <w:t>对经营业绩产生不利影响</w:t>
      </w:r>
      <w:bookmarkEnd w:id="65"/>
      <w:r>
        <w:rPr>
          <w:rFonts w:ascii="Times New Roman" w:hAnsi="Times New Roman" w:cs="Times New Roman" w:hint="eastAsia"/>
          <w:sz w:val="24"/>
          <w:szCs w:val="22"/>
        </w:rPr>
        <w:t>。</w:t>
      </w:r>
    </w:p>
    <w:p w14:paraId="005B85BB"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2</w:t>
      </w:r>
      <w:r>
        <w:rPr>
          <w:rFonts w:ascii="Times New Roman" w:hAnsi="Times New Roman" w:cs="Times New Roman" w:hint="eastAsia"/>
          <w:sz w:val="24"/>
          <w:szCs w:val="22"/>
        </w:rPr>
        <w:t>）募集资金投资项目实施风险</w:t>
      </w:r>
    </w:p>
    <w:p w14:paraId="52260C5B"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公司本次</w:t>
      </w:r>
      <w:r>
        <w:rPr>
          <w:rFonts w:ascii="Times New Roman" w:hAnsi="Times New Roman" w:cs="Times New Roman"/>
          <w:sz w:val="24"/>
          <w:szCs w:val="22"/>
        </w:rPr>
        <w:t>募集资金扣除发行费用后</w:t>
      </w:r>
      <w:bookmarkStart w:id="66" w:name="_Hlk152185656"/>
      <w:r>
        <w:rPr>
          <w:rFonts w:ascii="Times New Roman" w:hAnsi="Times New Roman" w:cs="Times New Roman"/>
          <w:sz w:val="24"/>
          <w:szCs w:val="22"/>
        </w:rPr>
        <w:t>将全部用于</w:t>
      </w:r>
      <w:r>
        <w:rPr>
          <w:rFonts w:ascii="宋体" w:hAnsi="宋体" w:cs="Times New Roman" w:hint="eastAsia"/>
          <w:sz w:val="24"/>
          <w:szCs w:val="22"/>
        </w:rPr>
        <w:t>“智慧节能阀门建设项目”</w:t>
      </w:r>
      <w:bookmarkStart w:id="67" w:name="_Hlk145921833"/>
      <w:r>
        <w:rPr>
          <w:rFonts w:ascii="宋体" w:hAnsi="宋体" w:cs="Times New Roman" w:hint="eastAsia"/>
          <w:sz w:val="24"/>
          <w:szCs w:val="22"/>
        </w:rPr>
        <w:t>和补充流动资金</w:t>
      </w:r>
      <w:bookmarkEnd w:id="66"/>
      <w:bookmarkEnd w:id="67"/>
      <w:r>
        <w:rPr>
          <w:rFonts w:ascii="Times New Roman" w:hAnsi="Times New Roman" w:cs="Times New Roman"/>
          <w:sz w:val="24"/>
          <w:szCs w:val="22"/>
        </w:rPr>
        <w:t>，属于公司主营业务范畴，与公司发展战略密切相关。</w:t>
      </w:r>
      <w:r>
        <w:rPr>
          <w:rFonts w:ascii="Times New Roman" w:hAnsi="Times New Roman" w:cs="Times New Roman" w:hint="eastAsia"/>
          <w:sz w:val="24"/>
          <w:szCs w:val="22"/>
        </w:rPr>
        <w:t>虽然公司具备实施本次募投项目的技术能力，并对本次募集资金投资项目进行了充分论证，但是募投项目的实施是一个系统工程，需要一定时间，若在实施过程中，出现本次发行失败或者募集资金无法按计划募足并到位、募集资金投资项目实施组织管理不力、下游市场的开拓不达预期、相关研发技术</w:t>
      </w:r>
      <w:r>
        <w:rPr>
          <w:rFonts w:ascii="Times New Roman" w:hAnsi="Times New Roman" w:cs="Times New Roman" w:hint="eastAsia"/>
          <w:szCs w:val="21"/>
        </w:rPr>
        <w:t>、</w:t>
      </w:r>
      <w:r>
        <w:rPr>
          <w:rFonts w:ascii="Times New Roman" w:hAnsi="Times New Roman" w:cs="Times New Roman" w:hint="eastAsia"/>
          <w:sz w:val="24"/>
          <w:szCs w:val="22"/>
        </w:rPr>
        <w:t>认证资质无法取得、因特殊情况导致客户无法通过验证等其他不可预见因素，造成募集资金投资项目无法实施、延期实施或新增产能无法及时消化，将对募集资金投资项目的完成进度和投资收益产生一定影响。</w:t>
      </w:r>
    </w:p>
    <w:p w14:paraId="18B4EC75"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3</w:t>
      </w:r>
      <w:r>
        <w:rPr>
          <w:rFonts w:ascii="Times New Roman" w:hAnsi="Times New Roman" w:cs="Times New Roman" w:hint="eastAsia"/>
          <w:sz w:val="24"/>
          <w:szCs w:val="22"/>
        </w:rPr>
        <w:t>）募集资金投资项目新增折旧摊销的风险</w:t>
      </w:r>
    </w:p>
    <w:p w14:paraId="6FE00DDB"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本次募集资金投资项目投资金额较大，募集资金投资项目运营稳定后，每年新增折旧及摊销金额为</w:t>
      </w:r>
      <w:r>
        <w:rPr>
          <w:rFonts w:ascii="Times New Roman" w:hAnsi="Times New Roman" w:cs="Times New Roman"/>
          <w:sz w:val="24"/>
          <w:szCs w:val="22"/>
        </w:rPr>
        <w:t>1,884.29</w:t>
      </w:r>
      <w:r>
        <w:rPr>
          <w:rFonts w:ascii="Times New Roman" w:hAnsi="Times New Roman" w:cs="Times New Roman"/>
          <w:sz w:val="24"/>
          <w:szCs w:val="22"/>
        </w:rPr>
        <w:t>万元，占项目营业收入比例为</w:t>
      </w:r>
      <w:r>
        <w:rPr>
          <w:rFonts w:ascii="Times New Roman" w:hAnsi="Times New Roman" w:cs="Times New Roman"/>
          <w:sz w:val="24"/>
          <w:szCs w:val="22"/>
        </w:rPr>
        <w:t>4.66%</w:t>
      </w:r>
      <w:r>
        <w:rPr>
          <w:rFonts w:ascii="Times New Roman" w:hAnsi="Times New Roman" w:cs="Times New Roman"/>
          <w:sz w:val="24"/>
          <w:szCs w:val="22"/>
        </w:rPr>
        <w:t>，对公司未来的经营业绩存在一定影响。尽管本次募集资金投资项目预期效益良好，项目顺利实施后能够有效地消化新增折旧摊销的影响，但是由于募集资金投资项目的建设需要一定的周期，若项目实施后，市场环境等因素发生重大不利变化，则新增折旧摊销可能对本次募集资金投资项目投资收益造成不利影响，继而对发行人未来的经营业绩产生不利影响。</w:t>
      </w:r>
    </w:p>
    <w:p w14:paraId="01808419" w14:textId="77777777" w:rsidR="00E173A4" w:rsidRDefault="00E173A4">
      <w:pPr>
        <w:spacing w:beforeLines="50" w:before="120" w:line="360" w:lineRule="auto"/>
        <w:ind w:firstLineChars="200" w:firstLine="482"/>
        <w:rPr>
          <w:rFonts w:ascii="楷体" w:eastAsia="楷体" w:hAnsi="楷体" w:cs="Times New Roman"/>
          <w:b/>
          <w:sz w:val="24"/>
          <w:szCs w:val="22"/>
        </w:rPr>
      </w:pPr>
      <w:bookmarkStart w:id="68" w:name="_Hlk154687943"/>
      <w:r>
        <w:rPr>
          <w:rFonts w:ascii="楷体" w:eastAsia="楷体" w:hAnsi="楷体" w:cs="Times New Roman" w:hint="eastAsia"/>
          <w:b/>
          <w:sz w:val="24"/>
          <w:szCs w:val="22"/>
        </w:rPr>
        <w:t>（</w:t>
      </w:r>
      <w:r>
        <w:rPr>
          <w:rFonts w:ascii="楷体" w:eastAsia="楷体" w:hAnsi="楷体" w:cs="Times New Roman"/>
          <w:b/>
          <w:sz w:val="24"/>
          <w:szCs w:val="22"/>
        </w:rPr>
        <w:t>4</w:t>
      </w:r>
      <w:r>
        <w:rPr>
          <w:rFonts w:ascii="楷体" w:eastAsia="楷体" w:hAnsi="楷体" w:cs="Times New Roman" w:hint="eastAsia"/>
          <w:b/>
          <w:sz w:val="24"/>
          <w:szCs w:val="22"/>
        </w:rPr>
        <w:t>）募集资金投资项目效益未达预期的风险</w:t>
      </w:r>
    </w:p>
    <w:p w14:paraId="3A58582C" w14:textId="77777777" w:rsidR="00E173A4" w:rsidRDefault="00E173A4">
      <w:pPr>
        <w:spacing w:beforeLines="50" w:before="120" w:line="360" w:lineRule="auto"/>
        <w:ind w:firstLineChars="200" w:firstLine="482"/>
        <w:rPr>
          <w:rFonts w:ascii="楷体" w:eastAsia="楷体" w:hAnsi="楷体" w:cs="Times New Roman" w:hint="eastAsia"/>
          <w:b/>
          <w:sz w:val="24"/>
          <w:szCs w:val="22"/>
        </w:rPr>
      </w:pPr>
      <w:bookmarkStart w:id="69" w:name="_Hlk154687101"/>
      <w:r>
        <w:rPr>
          <w:rFonts w:ascii="楷体" w:eastAsia="楷体" w:hAnsi="楷体" w:hint="eastAsia"/>
          <w:b/>
          <w:sz w:val="24"/>
          <w:szCs w:val="22"/>
        </w:rPr>
        <w:t>公司结合行业发展趋势、市场现状及自身业务情况对本次募集资金投资项目进行了合理的测算。由于本次募集资金投资项目的实施存在一定周期，公司对募集资金投资项目的经济效益为预测性信息，投资项目虽经过了慎重、充分的可行性研究论证，但仍存在因市场环境及行业技术水平发生较大变化等不可预见因素，导致募集资金投资项目效益未达预期的风险</w:t>
      </w:r>
      <w:bookmarkEnd w:id="69"/>
      <w:r>
        <w:rPr>
          <w:rFonts w:ascii="楷体" w:eastAsia="楷体" w:hAnsi="楷体" w:cs="Times New Roman"/>
          <w:b/>
          <w:sz w:val="24"/>
          <w:szCs w:val="22"/>
        </w:rPr>
        <w:t>。</w:t>
      </w:r>
    </w:p>
    <w:bookmarkEnd w:id="64"/>
    <w:bookmarkEnd w:id="68"/>
    <w:p w14:paraId="6A3B6673" w14:textId="77777777" w:rsidR="00E173A4" w:rsidRDefault="00E173A4">
      <w:pPr>
        <w:pStyle w:val="005"/>
        <w:spacing w:before="120"/>
        <w:ind w:firstLine="482"/>
        <w:outlineLvl w:val="3"/>
        <w:rPr>
          <w:b/>
          <w:bCs/>
          <w:szCs w:val="28"/>
        </w:rPr>
      </w:pPr>
      <w:r>
        <w:rPr>
          <w:rFonts w:hint="eastAsia"/>
          <w:b/>
          <w:bCs/>
          <w:szCs w:val="28"/>
        </w:rPr>
        <w:t>2</w:t>
      </w:r>
      <w:r>
        <w:rPr>
          <w:rFonts w:hint="eastAsia"/>
          <w:b/>
          <w:bCs/>
          <w:szCs w:val="28"/>
        </w:rPr>
        <w:t>、经营和技术风险</w:t>
      </w:r>
    </w:p>
    <w:p w14:paraId="03D6469D"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70" w:name="_Hlk139979658"/>
      <w:r>
        <w:rPr>
          <w:rFonts w:ascii="Times New Roman" w:hAnsi="Times New Roman" w:cs="Times New Roman" w:hint="eastAsia"/>
          <w:sz w:val="24"/>
          <w:szCs w:val="22"/>
        </w:rPr>
        <w:t>（</w:t>
      </w:r>
      <w:r>
        <w:rPr>
          <w:rFonts w:ascii="Times New Roman" w:hAnsi="Times New Roman" w:cs="Times New Roman" w:hint="eastAsia"/>
          <w:sz w:val="24"/>
          <w:szCs w:val="22"/>
        </w:rPr>
        <w:t>1</w:t>
      </w:r>
      <w:r>
        <w:rPr>
          <w:rFonts w:ascii="Times New Roman" w:hAnsi="Times New Roman" w:cs="Times New Roman" w:hint="eastAsia"/>
          <w:sz w:val="24"/>
          <w:szCs w:val="22"/>
        </w:rPr>
        <w:t>）</w:t>
      </w:r>
      <w:r>
        <w:rPr>
          <w:rFonts w:ascii="Times New Roman" w:hAnsi="Times New Roman" w:cs="Times New Roman"/>
          <w:sz w:val="24"/>
          <w:szCs w:val="22"/>
        </w:rPr>
        <w:t>原材料价格波动风险</w:t>
      </w:r>
    </w:p>
    <w:p w14:paraId="4E5F99AD" w14:textId="77777777" w:rsidR="00E173A4" w:rsidRDefault="00E173A4">
      <w:pPr>
        <w:spacing w:beforeLines="50" w:before="120" w:line="360" w:lineRule="auto"/>
        <w:ind w:firstLineChars="200" w:firstLine="480"/>
        <w:rPr>
          <w:rFonts w:ascii="Times New Roman" w:hAnsi="Times New Roman" w:cs="Times New Roman" w:hint="eastAsia"/>
          <w:sz w:val="24"/>
          <w:szCs w:val="22"/>
        </w:rPr>
      </w:pPr>
      <w:bookmarkStart w:id="71" w:name="_Hlk139980958"/>
      <w:r>
        <w:rPr>
          <w:rFonts w:ascii="Times New Roman" w:hAnsi="Times New Roman" w:cs="Times New Roman" w:hint="eastAsia"/>
          <w:sz w:val="24"/>
          <w:szCs w:val="22"/>
        </w:rPr>
        <w:lastRenderedPageBreak/>
        <w:t>公司生产经营所需的原材料主要包括铸件、加工件、生铁、废钢、阀杆和驱动头等，受钢铁、有色金属等大宗物资价格波动影响较大。报告期内，原材料成本占公司主营业务成本的比例较大。受市场供求、市场预期</w:t>
      </w:r>
      <w:r>
        <w:rPr>
          <w:rFonts w:ascii="楷体" w:eastAsia="楷体" w:hAnsi="楷体" w:hint="eastAsia"/>
          <w:b/>
          <w:sz w:val="24"/>
          <w:szCs w:val="28"/>
        </w:rPr>
        <w:t>和供应商自身经营状况</w:t>
      </w:r>
      <w:r>
        <w:rPr>
          <w:rFonts w:ascii="Times New Roman" w:hAnsi="Times New Roman" w:cs="Times New Roman" w:hint="eastAsia"/>
          <w:sz w:val="24"/>
          <w:szCs w:val="22"/>
        </w:rPr>
        <w:t>等多重因素影响，阀门原材料价格波动较大，对公司营业成本产生一定影响。公司已通过与供应商开展战略合作和签署长期订单等方式保障原材料供应稳定。</w:t>
      </w:r>
    </w:p>
    <w:p w14:paraId="449754DE"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虽然公司已建立了较为完善的供应链管理体系，但未来如果受国际政治经济形势、国家宏观调控政策及市场供求变动、市场预期</w:t>
      </w:r>
      <w:r>
        <w:rPr>
          <w:rFonts w:ascii="楷体" w:eastAsia="楷体" w:hAnsi="楷体" w:hint="eastAsia"/>
          <w:b/>
          <w:sz w:val="24"/>
          <w:szCs w:val="28"/>
        </w:rPr>
        <w:t>和供应商自身经营状况</w:t>
      </w:r>
      <w:r>
        <w:rPr>
          <w:rFonts w:ascii="Times New Roman" w:hAnsi="Times New Roman" w:cs="Times New Roman" w:hint="eastAsia"/>
          <w:sz w:val="24"/>
          <w:szCs w:val="22"/>
        </w:rPr>
        <w:t>等因素影响，发生上游原材料短缺或价格大幅上涨等情形，将使得公司不能及时采购生产经营所需的原材料或者采购价格较高，进而对公司的生产经营造成不利影响</w:t>
      </w:r>
      <w:bookmarkEnd w:id="71"/>
      <w:r>
        <w:rPr>
          <w:rFonts w:ascii="Times New Roman" w:hAnsi="Times New Roman" w:cs="Times New Roman" w:hint="eastAsia"/>
          <w:sz w:val="24"/>
          <w:szCs w:val="22"/>
        </w:rPr>
        <w:t>。</w:t>
      </w:r>
    </w:p>
    <w:p w14:paraId="7C9FAC60"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2</w:t>
      </w:r>
      <w:r>
        <w:rPr>
          <w:rFonts w:ascii="Times New Roman" w:hAnsi="Times New Roman" w:cs="Times New Roman" w:hint="eastAsia"/>
          <w:sz w:val="24"/>
          <w:szCs w:val="22"/>
        </w:rPr>
        <w:t>）技术进步和产品迭代引起的风险</w:t>
      </w:r>
    </w:p>
    <w:p w14:paraId="14A4D604"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72" w:name="_Hlk139976446"/>
      <w:r>
        <w:rPr>
          <w:rFonts w:ascii="Times New Roman" w:hAnsi="Times New Roman" w:cs="Times New Roman" w:hint="eastAsia"/>
          <w:sz w:val="24"/>
          <w:szCs w:val="22"/>
        </w:rPr>
        <w:t>公司通过长期技术积累和发展，培养了一支高水平的技术研发团队，形成了较强的自主创新能力，技术研发水平位于行业前列。由于阀门产品应用市场产品性能品质要求较为严格，只有不断地进行技术创新、改进工艺和材料、创新产品，才能持续满足市场竞争发展的要求。如果公司不能始终保持技术水平行业领先并持续进步，市场竞争力和盈利能力可能会受到影响</w:t>
      </w:r>
      <w:bookmarkEnd w:id="72"/>
      <w:r>
        <w:rPr>
          <w:rFonts w:ascii="Times New Roman" w:hAnsi="Times New Roman" w:cs="Times New Roman" w:hint="eastAsia"/>
          <w:sz w:val="24"/>
          <w:szCs w:val="22"/>
        </w:rPr>
        <w:t>。</w:t>
      </w:r>
    </w:p>
    <w:p w14:paraId="12B303BD"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3</w:t>
      </w:r>
      <w:r>
        <w:rPr>
          <w:rFonts w:ascii="Times New Roman" w:hAnsi="Times New Roman" w:cs="Times New Roman" w:hint="eastAsia"/>
          <w:sz w:val="24"/>
          <w:szCs w:val="22"/>
        </w:rPr>
        <w:t>）人力资源流失的风险</w:t>
      </w:r>
    </w:p>
    <w:p w14:paraId="78A32A8C"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公司所属阀门行业是一个集资金、技术、劳动力相对密集的产业。经过多年发展，公司聚集了一批具有丰富实践经验和专业技能的研发技术、生产、销售、管理人才。随着公司经营规模的逐渐扩大，公司对高层次管理人才、技术人才和熟练技术工人的需求增加，人才引进已成为公司人力资源管理工作的重点，加之有意愿入职制造业就业的专业技术人才及普通劳动力不断减少的社会现状，公司在吸引优秀人才、稳定人才队伍、避免人才短缺和流失方面存在一定的风险。</w:t>
      </w:r>
    </w:p>
    <w:p w14:paraId="26A4223D"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4</w:t>
      </w:r>
      <w:r>
        <w:rPr>
          <w:rFonts w:ascii="Times New Roman" w:hAnsi="Times New Roman" w:cs="Times New Roman" w:hint="eastAsia"/>
          <w:sz w:val="24"/>
          <w:szCs w:val="22"/>
        </w:rPr>
        <w:t>）产品质量稳定性的风险</w:t>
      </w:r>
    </w:p>
    <w:p w14:paraId="01C24EDD"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73" w:name="_Hlk152186840"/>
      <w:r>
        <w:rPr>
          <w:rFonts w:ascii="Times New Roman" w:hAnsi="Times New Roman" w:cs="Times New Roman" w:hint="eastAsia"/>
          <w:sz w:val="24"/>
          <w:szCs w:val="22"/>
        </w:rPr>
        <w:t>公司生产的给排水、消防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技术性能优良且质量一直保持稳定，为公司赢得了</w:t>
      </w:r>
      <w:r>
        <w:rPr>
          <w:rFonts w:ascii="Times New Roman" w:hAnsi="Times New Roman" w:cs="Times New Roman" w:hint="eastAsia"/>
          <w:sz w:val="24"/>
          <w:szCs w:val="22"/>
        </w:rPr>
        <w:lastRenderedPageBreak/>
        <w:t>良好的市场信誉。但由于阀门产品生产环节较多、生产过程复杂，因此不排除因某一环节质量控制疏忽而导致产品出现质量问题，从而对公司市场声誉造成损害，进而影响公司的生产经营与市场开拓业绩，公司存在一定的产品质量稳定性的风险。</w:t>
      </w:r>
    </w:p>
    <w:bookmarkEnd w:id="73"/>
    <w:p w14:paraId="16581974"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5</w:t>
      </w:r>
      <w:r>
        <w:rPr>
          <w:rFonts w:ascii="Times New Roman" w:hAnsi="Times New Roman" w:cs="Times New Roman" w:hint="eastAsia"/>
          <w:sz w:val="24"/>
          <w:szCs w:val="22"/>
        </w:rPr>
        <w:t>）生产规模扩大带来的管理风险</w:t>
      </w:r>
    </w:p>
    <w:p w14:paraId="4CD52E37"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发行后，随着募集资金到位，公司资产规模将有所增加，对公司的管理水平提出更高的要求。如果公司管理层不能及时应对市场竞争、行业发展、经营规模快速扩张等内外环境的变化，未能完善相应管理体系和制度、健全激励与约束机制以及加大战略方针的执行力度，可能使公司错失发展机遇，从而影响公司长远发展。</w:t>
      </w:r>
    </w:p>
    <w:p w14:paraId="295AD1DE"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sz w:val="24"/>
          <w:szCs w:val="22"/>
        </w:rPr>
        <w:t>6</w:t>
      </w:r>
      <w:r>
        <w:rPr>
          <w:rFonts w:ascii="Times New Roman" w:hAnsi="Times New Roman" w:cs="Times New Roman" w:hint="eastAsia"/>
          <w:sz w:val="24"/>
          <w:szCs w:val="22"/>
        </w:rPr>
        <w:t>）劳动力成本上升的风险</w:t>
      </w:r>
    </w:p>
    <w:p w14:paraId="1C31FBFB"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随着我国工业化、城镇化进程的持续推进和劳动力素质的不断提高，劳动力成本持续上升已成为我国经济发展的普遍现象和众多企业面临的共性问题。公司通过实施精益化生产管理、引进智能化专业设备等措施降低成本，使劳动力成本在公司相关成本费用构成中所占比重保持相对稳定，但随着制造业劳动力成本的快速上升，仍然可能会推动公司产品价格的提高，从而可能对公司产品在市场竞争中带来一定不利影响。</w:t>
      </w:r>
    </w:p>
    <w:p w14:paraId="449C86DA" w14:textId="77777777" w:rsidR="00E173A4" w:rsidRDefault="00E173A4">
      <w:pPr>
        <w:spacing w:beforeLines="50" w:before="120" w:line="360" w:lineRule="auto"/>
        <w:ind w:firstLineChars="200" w:firstLine="482"/>
        <w:rPr>
          <w:rFonts w:ascii="楷体" w:eastAsia="楷体" w:hAnsi="楷体" w:cs="Times New Roman"/>
          <w:b/>
          <w:bCs/>
          <w:sz w:val="24"/>
          <w:szCs w:val="22"/>
        </w:rPr>
      </w:pPr>
      <w:r>
        <w:rPr>
          <w:rFonts w:ascii="楷体" w:eastAsia="楷体" w:hAnsi="楷体" w:cs="Times New Roman" w:hint="eastAsia"/>
          <w:b/>
          <w:bCs/>
          <w:sz w:val="24"/>
          <w:szCs w:val="22"/>
        </w:rPr>
        <w:t>（</w:t>
      </w:r>
      <w:r>
        <w:rPr>
          <w:rFonts w:ascii="楷体" w:eastAsia="楷体" w:hAnsi="楷体" w:cs="Times New Roman"/>
          <w:b/>
          <w:bCs/>
          <w:sz w:val="24"/>
          <w:szCs w:val="22"/>
        </w:rPr>
        <w:t>7</w:t>
      </w:r>
      <w:r>
        <w:rPr>
          <w:rFonts w:ascii="楷体" w:eastAsia="楷体" w:hAnsi="楷体" w:cs="Times New Roman" w:hint="eastAsia"/>
          <w:b/>
          <w:bCs/>
          <w:sz w:val="24"/>
          <w:szCs w:val="22"/>
        </w:rPr>
        <w:t>）汽车配件业务毛利率为负的风险</w:t>
      </w:r>
    </w:p>
    <w:p w14:paraId="43EE3BA7" w14:textId="77777777" w:rsidR="00E173A4" w:rsidRDefault="00E173A4">
      <w:pPr>
        <w:spacing w:beforeLines="50" w:before="120" w:line="360" w:lineRule="auto"/>
        <w:ind w:firstLineChars="200" w:firstLine="482"/>
        <w:rPr>
          <w:rFonts w:ascii="楷体" w:eastAsia="楷体" w:hAnsi="楷体" w:cs="Times New Roman" w:hint="eastAsia"/>
          <w:b/>
          <w:bCs/>
          <w:sz w:val="24"/>
          <w:szCs w:val="22"/>
        </w:rPr>
      </w:pPr>
      <w:r>
        <w:rPr>
          <w:rFonts w:ascii="楷体" w:eastAsia="楷体" w:hAnsi="楷体" w:cs="Times New Roman" w:hint="eastAsia"/>
          <w:b/>
          <w:bCs/>
          <w:sz w:val="24"/>
          <w:szCs w:val="22"/>
        </w:rPr>
        <w:t>报告期内，发行人汽车配件毛利率分别为-10.73%、-12.35%、</w:t>
      </w:r>
      <w:r w:rsidR="00733DB3">
        <w:rPr>
          <w:rFonts w:ascii="楷体" w:eastAsia="楷体" w:hAnsi="楷体" w:cs="Times New Roman" w:hint="eastAsia"/>
          <w:b/>
          <w:bCs/>
          <w:sz w:val="24"/>
          <w:szCs w:val="22"/>
        </w:rPr>
        <w:t>-</w:t>
      </w:r>
      <w:r>
        <w:rPr>
          <w:rFonts w:ascii="楷体" w:eastAsia="楷体" w:hAnsi="楷体" w:cs="Times New Roman" w:hint="eastAsia"/>
          <w:b/>
          <w:bCs/>
          <w:sz w:val="24"/>
          <w:szCs w:val="22"/>
        </w:rPr>
        <w:t>18.19%和-27.02%，毛利率持续为负。发行人汽车配件业务由生产阀门铸件配套产品的子公司莱州伟隆承担。2019年，莱州伟隆自动铸造生产线验收合格投入使用，莱州铸造产能提高到8万吨/年，超过主营业务阀门生产所需。因铸件生产线可生产汽车配件等产品，为消化增加的产能，莱州伟隆开始开拓汽车配件市场。汽车配件非公司一直以来布局的产品，为打入市场，产品定价相对较低；同时，由于生产线产能利用率未饱和，单位产品成本承担的固定费用较高，导致产品出现负毛利的情况。</w:t>
      </w:r>
    </w:p>
    <w:p w14:paraId="25734312" w14:textId="77777777" w:rsidR="00E173A4" w:rsidRDefault="00E173A4">
      <w:pPr>
        <w:spacing w:beforeLines="50" w:before="120" w:line="360" w:lineRule="auto"/>
        <w:ind w:firstLineChars="200" w:firstLine="482"/>
        <w:rPr>
          <w:rFonts w:ascii="楷体" w:eastAsia="楷体" w:hAnsi="楷体" w:cs="Times New Roman"/>
          <w:b/>
          <w:bCs/>
          <w:sz w:val="24"/>
          <w:szCs w:val="22"/>
        </w:rPr>
      </w:pPr>
      <w:r>
        <w:rPr>
          <w:rFonts w:ascii="楷体" w:eastAsia="楷体" w:hAnsi="楷体" w:cs="Times New Roman" w:hint="eastAsia"/>
          <w:b/>
          <w:bCs/>
          <w:sz w:val="24"/>
          <w:szCs w:val="22"/>
        </w:rPr>
        <w:t>短期内预计上述因素仍然存在，发行人汽车配件业务未来一定时间内仍然存在亏损的风险。</w:t>
      </w:r>
    </w:p>
    <w:bookmarkEnd w:id="70"/>
    <w:p w14:paraId="51E0D55E" w14:textId="77777777" w:rsidR="00E173A4" w:rsidRDefault="00E173A4">
      <w:pPr>
        <w:pStyle w:val="005"/>
        <w:spacing w:before="120"/>
        <w:ind w:firstLine="482"/>
        <w:outlineLvl w:val="3"/>
        <w:rPr>
          <w:b/>
          <w:bCs/>
          <w:szCs w:val="28"/>
        </w:rPr>
      </w:pPr>
      <w:r>
        <w:rPr>
          <w:rFonts w:hint="eastAsia"/>
          <w:b/>
          <w:bCs/>
          <w:szCs w:val="28"/>
        </w:rPr>
        <w:lastRenderedPageBreak/>
        <w:t>3</w:t>
      </w:r>
      <w:r>
        <w:rPr>
          <w:rFonts w:hint="eastAsia"/>
          <w:b/>
          <w:bCs/>
          <w:szCs w:val="28"/>
        </w:rPr>
        <w:t>、财务风险</w:t>
      </w:r>
    </w:p>
    <w:p w14:paraId="39664A18"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74" w:name="_Hlk139979677"/>
      <w:r>
        <w:rPr>
          <w:rFonts w:ascii="Times New Roman" w:hAnsi="Times New Roman" w:cs="Times New Roman" w:hint="eastAsia"/>
          <w:sz w:val="24"/>
          <w:szCs w:val="22"/>
        </w:rPr>
        <w:t>（</w:t>
      </w:r>
      <w:r>
        <w:rPr>
          <w:rFonts w:ascii="Times New Roman" w:hAnsi="Times New Roman" w:cs="Times New Roman" w:hint="eastAsia"/>
          <w:sz w:val="24"/>
          <w:szCs w:val="22"/>
        </w:rPr>
        <w:t>1</w:t>
      </w:r>
      <w:r>
        <w:rPr>
          <w:rFonts w:ascii="Times New Roman" w:hAnsi="Times New Roman" w:cs="Times New Roman" w:hint="eastAsia"/>
          <w:sz w:val="24"/>
          <w:szCs w:val="22"/>
        </w:rPr>
        <w:t>）存货规模增长及存货跌价的风险</w:t>
      </w:r>
    </w:p>
    <w:p w14:paraId="2435577B"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75" w:name="_Hlk150772613"/>
      <w:bookmarkStart w:id="76" w:name="_Hlk135403089"/>
      <w:r>
        <w:rPr>
          <w:rFonts w:ascii="Times New Roman" w:hAnsi="Times New Roman" w:cs="Times New Roman" w:hint="eastAsia"/>
          <w:sz w:val="24"/>
          <w:szCs w:val="22"/>
        </w:rPr>
        <w:t>近年来，公司业务规模快速增长，导致存货规模相应增长。</w:t>
      </w:r>
      <w:r>
        <w:rPr>
          <w:rFonts w:ascii="Times New Roman" w:hAnsi="Times New Roman" w:cs="Times New Roman" w:hint="eastAsia"/>
          <w:sz w:val="24"/>
          <w:szCs w:val="22"/>
        </w:rPr>
        <w:t>2020</w:t>
      </w:r>
      <w:r>
        <w:rPr>
          <w:rFonts w:ascii="Times New Roman" w:hAnsi="Times New Roman" w:cs="Times New Roman" w:hint="eastAsia"/>
          <w:sz w:val="24"/>
          <w:szCs w:val="22"/>
        </w:rPr>
        <w:t>年末、</w:t>
      </w:r>
      <w:r>
        <w:rPr>
          <w:rFonts w:ascii="Times New Roman" w:hAnsi="Times New Roman" w:cs="Times New Roman" w:hint="eastAsia"/>
          <w:sz w:val="24"/>
          <w:szCs w:val="22"/>
        </w:rPr>
        <w:t>2021</w:t>
      </w:r>
      <w:r>
        <w:rPr>
          <w:rFonts w:ascii="Times New Roman" w:hAnsi="Times New Roman" w:cs="Times New Roman" w:hint="eastAsia"/>
          <w:sz w:val="24"/>
          <w:szCs w:val="22"/>
        </w:rPr>
        <w:t>年末、</w:t>
      </w:r>
      <w:r>
        <w:rPr>
          <w:rFonts w:ascii="Times New Roman" w:hAnsi="Times New Roman" w:cs="Times New Roman" w:hint="eastAsia"/>
          <w:sz w:val="24"/>
          <w:szCs w:val="22"/>
        </w:rPr>
        <w:t>2022</w:t>
      </w:r>
      <w:r>
        <w:rPr>
          <w:rFonts w:ascii="Times New Roman" w:hAnsi="Times New Roman" w:cs="Times New Roman" w:hint="eastAsia"/>
          <w:sz w:val="24"/>
          <w:szCs w:val="22"/>
        </w:rPr>
        <w:t>年末和</w:t>
      </w:r>
      <w:r>
        <w:rPr>
          <w:rFonts w:ascii="Times New Roman" w:hAnsi="Times New Roman" w:cs="Times New Roman" w:hint="eastAsia"/>
          <w:sz w:val="24"/>
          <w:szCs w:val="22"/>
        </w:rPr>
        <w:t>2023</w:t>
      </w:r>
      <w:r>
        <w:rPr>
          <w:rFonts w:ascii="Times New Roman" w:hAnsi="Times New Roman" w:cs="Times New Roman" w:hint="eastAsia"/>
          <w:sz w:val="24"/>
          <w:szCs w:val="22"/>
        </w:rPr>
        <w:t>年</w:t>
      </w:r>
      <w:r>
        <w:rPr>
          <w:rFonts w:ascii="Times New Roman" w:hAnsi="Times New Roman" w:cs="Times New Roman" w:hint="eastAsia"/>
          <w:sz w:val="24"/>
          <w:szCs w:val="22"/>
        </w:rPr>
        <w:t>9</w:t>
      </w:r>
      <w:r>
        <w:rPr>
          <w:rFonts w:ascii="Times New Roman" w:hAnsi="Times New Roman" w:cs="Times New Roman" w:hint="eastAsia"/>
          <w:sz w:val="24"/>
          <w:szCs w:val="22"/>
        </w:rPr>
        <w:t>月末，公司存货账面价值分别为</w:t>
      </w:r>
      <w:r>
        <w:rPr>
          <w:rFonts w:ascii="Times New Roman" w:hAnsi="Times New Roman" w:cs="Times New Roman" w:hint="eastAsia"/>
          <w:sz w:val="24"/>
          <w:szCs w:val="22"/>
        </w:rPr>
        <w:t>7,421.84</w:t>
      </w:r>
      <w:r>
        <w:rPr>
          <w:rFonts w:ascii="Times New Roman" w:hAnsi="Times New Roman" w:cs="Times New Roman" w:hint="eastAsia"/>
          <w:sz w:val="24"/>
          <w:szCs w:val="22"/>
        </w:rPr>
        <w:t>万元、</w:t>
      </w:r>
      <w:r>
        <w:rPr>
          <w:rFonts w:ascii="Times New Roman" w:hAnsi="Times New Roman" w:cs="Times New Roman" w:hint="eastAsia"/>
          <w:sz w:val="24"/>
          <w:szCs w:val="22"/>
        </w:rPr>
        <w:t>11,252.22</w:t>
      </w:r>
      <w:r>
        <w:rPr>
          <w:rFonts w:ascii="Times New Roman" w:hAnsi="Times New Roman" w:cs="Times New Roman" w:hint="eastAsia"/>
          <w:sz w:val="24"/>
          <w:szCs w:val="22"/>
        </w:rPr>
        <w:t>万元、</w:t>
      </w:r>
      <w:r>
        <w:rPr>
          <w:rFonts w:ascii="Times New Roman" w:hAnsi="Times New Roman" w:cs="Times New Roman" w:hint="eastAsia"/>
          <w:sz w:val="24"/>
          <w:szCs w:val="22"/>
        </w:rPr>
        <w:t>11,891.25</w:t>
      </w:r>
      <w:r>
        <w:rPr>
          <w:rFonts w:ascii="Times New Roman" w:hAnsi="Times New Roman" w:cs="Times New Roman" w:hint="eastAsia"/>
          <w:sz w:val="24"/>
          <w:szCs w:val="22"/>
        </w:rPr>
        <w:t>万元和</w:t>
      </w:r>
      <w:bookmarkStart w:id="77" w:name="_Hlk150772497"/>
      <w:r>
        <w:rPr>
          <w:rFonts w:ascii="Times New Roman" w:hAnsi="Times New Roman" w:cs="Times New Roman"/>
          <w:sz w:val="24"/>
          <w:szCs w:val="22"/>
        </w:rPr>
        <w:t>9,880.80</w:t>
      </w:r>
      <w:bookmarkEnd w:id="77"/>
      <w:r>
        <w:rPr>
          <w:rFonts w:ascii="Times New Roman" w:hAnsi="Times New Roman" w:cs="Times New Roman" w:hint="eastAsia"/>
          <w:sz w:val="24"/>
          <w:szCs w:val="22"/>
        </w:rPr>
        <w:t>万元，占各期末流动资产的比例分别为</w:t>
      </w:r>
      <w:r>
        <w:rPr>
          <w:rFonts w:ascii="Times New Roman" w:hAnsi="Times New Roman" w:cs="Times New Roman" w:hint="eastAsia"/>
          <w:sz w:val="24"/>
          <w:szCs w:val="22"/>
        </w:rPr>
        <w:t>13.35%</w:t>
      </w:r>
      <w:r>
        <w:rPr>
          <w:rFonts w:ascii="Times New Roman" w:hAnsi="Times New Roman" w:cs="Times New Roman" w:hint="eastAsia"/>
          <w:sz w:val="24"/>
          <w:szCs w:val="22"/>
        </w:rPr>
        <w:t>、</w:t>
      </w:r>
      <w:r>
        <w:rPr>
          <w:rFonts w:ascii="Times New Roman" w:hAnsi="Times New Roman" w:cs="Times New Roman" w:hint="eastAsia"/>
          <w:sz w:val="24"/>
          <w:szCs w:val="22"/>
        </w:rPr>
        <w:t>19.43%</w:t>
      </w:r>
      <w:r>
        <w:rPr>
          <w:rFonts w:ascii="Times New Roman" w:hAnsi="Times New Roman" w:cs="Times New Roman" w:hint="eastAsia"/>
          <w:sz w:val="24"/>
          <w:szCs w:val="22"/>
        </w:rPr>
        <w:t>、</w:t>
      </w:r>
      <w:r>
        <w:rPr>
          <w:rFonts w:ascii="Times New Roman" w:hAnsi="Times New Roman" w:cs="Times New Roman" w:hint="eastAsia"/>
          <w:sz w:val="24"/>
          <w:szCs w:val="22"/>
        </w:rPr>
        <w:t>17.26%</w:t>
      </w:r>
      <w:r>
        <w:rPr>
          <w:rFonts w:ascii="Times New Roman" w:hAnsi="Times New Roman" w:cs="Times New Roman" w:hint="eastAsia"/>
          <w:sz w:val="24"/>
          <w:szCs w:val="22"/>
        </w:rPr>
        <w:t>和</w:t>
      </w:r>
      <w:bookmarkStart w:id="78" w:name="_Hlk150772502"/>
      <w:r>
        <w:rPr>
          <w:rFonts w:ascii="Times New Roman" w:hAnsi="Times New Roman" w:cs="Times New Roman"/>
          <w:sz w:val="24"/>
          <w:szCs w:val="22"/>
        </w:rPr>
        <w:t>14.59</w:t>
      </w:r>
      <w:r>
        <w:rPr>
          <w:rFonts w:ascii="Times New Roman" w:hAnsi="Times New Roman" w:cs="Times New Roman" w:hint="eastAsia"/>
          <w:sz w:val="24"/>
          <w:szCs w:val="22"/>
        </w:rPr>
        <w:t>%</w:t>
      </w:r>
      <w:bookmarkEnd w:id="75"/>
      <w:bookmarkEnd w:id="78"/>
      <w:r>
        <w:rPr>
          <w:rFonts w:ascii="Times New Roman" w:hAnsi="Times New Roman" w:cs="Times New Roman" w:hint="eastAsia"/>
          <w:sz w:val="24"/>
          <w:szCs w:val="22"/>
        </w:rPr>
        <w:t>，主要由原材料、在产品、自制半成品、周转材料和库存商品等组成。公司存货规模增长会占用一定的流动资金，若不能有效进行存货管理，将可能导致公司运营效率降低的风险。适量的存货有助于保障公司生产经营的稳定性，但如果未来原材料、库存商品价格出现大幅下降或者供需发生不利变化，公司将面临存货减值的风险，进而对公司经营业绩产生不利影响。</w:t>
      </w:r>
    </w:p>
    <w:bookmarkEnd w:id="76"/>
    <w:p w14:paraId="2D69DE94"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2</w:t>
      </w:r>
      <w:r>
        <w:rPr>
          <w:rFonts w:ascii="Times New Roman" w:hAnsi="Times New Roman" w:cs="Times New Roman" w:hint="eastAsia"/>
          <w:sz w:val="24"/>
          <w:szCs w:val="22"/>
        </w:rPr>
        <w:t>）主营业务毛利率波动风险</w:t>
      </w:r>
    </w:p>
    <w:p w14:paraId="518CA5E3"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79" w:name="_Hlk150431784"/>
      <w:r>
        <w:rPr>
          <w:rFonts w:ascii="Times New Roman" w:hAnsi="Times New Roman" w:cs="Times New Roman" w:hint="eastAsia"/>
          <w:sz w:val="24"/>
          <w:szCs w:val="22"/>
        </w:rPr>
        <w:t>20</w:t>
      </w:r>
      <w:r>
        <w:rPr>
          <w:rFonts w:ascii="Times New Roman" w:hAnsi="Times New Roman" w:cs="Times New Roman"/>
          <w:sz w:val="24"/>
          <w:szCs w:val="22"/>
        </w:rPr>
        <w:t>20</w:t>
      </w:r>
      <w:r>
        <w:rPr>
          <w:rFonts w:ascii="Times New Roman" w:hAnsi="Times New Roman" w:cs="Times New Roman" w:hint="eastAsia"/>
          <w:sz w:val="24"/>
          <w:szCs w:val="22"/>
        </w:rPr>
        <w:t>年、</w:t>
      </w:r>
      <w:r>
        <w:rPr>
          <w:rFonts w:ascii="Times New Roman" w:hAnsi="Times New Roman" w:cs="Times New Roman" w:hint="eastAsia"/>
          <w:sz w:val="24"/>
          <w:szCs w:val="22"/>
        </w:rPr>
        <w:t>202</w:t>
      </w:r>
      <w:r>
        <w:rPr>
          <w:rFonts w:ascii="Times New Roman" w:hAnsi="Times New Roman" w:cs="Times New Roman"/>
          <w:sz w:val="24"/>
          <w:szCs w:val="22"/>
        </w:rPr>
        <w:t>1</w:t>
      </w:r>
      <w:r>
        <w:rPr>
          <w:rFonts w:ascii="Times New Roman" w:hAnsi="Times New Roman" w:cs="Times New Roman" w:hint="eastAsia"/>
          <w:sz w:val="24"/>
          <w:szCs w:val="22"/>
        </w:rPr>
        <w:t>年、</w:t>
      </w:r>
      <w:r>
        <w:rPr>
          <w:rFonts w:ascii="Times New Roman" w:hAnsi="Times New Roman" w:cs="Times New Roman" w:hint="eastAsia"/>
          <w:sz w:val="24"/>
          <w:szCs w:val="22"/>
        </w:rPr>
        <w:t>202</w:t>
      </w:r>
      <w:r>
        <w:rPr>
          <w:rFonts w:ascii="Times New Roman" w:hAnsi="Times New Roman" w:cs="Times New Roman"/>
          <w:sz w:val="24"/>
          <w:szCs w:val="22"/>
        </w:rPr>
        <w:t>2</w:t>
      </w:r>
      <w:r>
        <w:rPr>
          <w:rFonts w:ascii="Times New Roman" w:hAnsi="Times New Roman" w:cs="Times New Roman" w:hint="eastAsia"/>
          <w:sz w:val="24"/>
          <w:szCs w:val="22"/>
        </w:rPr>
        <w:t>年和</w:t>
      </w:r>
      <w:r>
        <w:rPr>
          <w:rFonts w:ascii="Times New Roman" w:hAnsi="Times New Roman" w:cs="Times New Roman" w:hint="eastAsia"/>
          <w:sz w:val="24"/>
          <w:szCs w:val="22"/>
        </w:rPr>
        <w:t>202</w:t>
      </w:r>
      <w:r>
        <w:rPr>
          <w:rFonts w:ascii="Times New Roman" w:hAnsi="Times New Roman" w:cs="Times New Roman"/>
          <w:sz w:val="24"/>
          <w:szCs w:val="22"/>
        </w:rPr>
        <w:t>3</w:t>
      </w:r>
      <w:r>
        <w:rPr>
          <w:rFonts w:ascii="Times New Roman" w:hAnsi="Times New Roman" w:cs="Times New Roman" w:hint="eastAsia"/>
          <w:sz w:val="24"/>
          <w:szCs w:val="22"/>
        </w:rPr>
        <w:t>年</w:t>
      </w:r>
      <w:r>
        <w:rPr>
          <w:rFonts w:ascii="Times New Roman" w:hAnsi="Times New Roman" w:cs="Times New Roman" w:hint="eastAsia"/>
          <w:sz w:val="24"/>
          <w:szCs w:val="22"/>
        </w:rPr>
        <w:t>1-</w:t>
      </w:r>
      <w:r>
        <w:rPr>
          <w:rFonts w:ascii="Times New Roman" w:hAnsi="Times New Roman" w:cs="Times New Roman"/>
          <w:sz w:val="24"/>
          <w:szCs w:val="22"/>
        </w:rPr>
        <w:t>9</w:t>
      </w:r>
      <w:r>
        <w:rPr>
          <w:rFonts w:ascii="Times New Roman" w:hAnsi="Times New Roman" w:cs="Times New Roman" w:hint="eastAsia"/>
          <w:sz w:val="24"/>
          <w:szCs w:val="22"/>
        </w:rPr>
        <w:t>月，公司主营业务毛利率分别为</w:t>
      </w:r>
      <w:r>
        <w:rPr>
          <w:rFonts w:ascii="Times New Roman" w:hAnsi="Times New Roman" w:cs="Times New Roman"/>
          <w:sz w:val="24"/>
          <w:szCs w:val="22"/>
        </w:rPr>
        <w:t>34.40</w:t>
      </w:r>
      <w:r>
        <w:rPr>
          <w:rFonts w:ascii="Times New Roman" w:hAnsi="Times New Roman" w:cs="Times New Roman" w:hint="eastAsia"/>
          <w:sz w:val="24"/>
          <w:szCs w:val="22"/>
        </w:rPr>
        <w:t>%</w:t>
      </w:r>
      <w:r>
        <w:rPr>
          <w:rFonts w:ascii="Times New Roman" w:hAnsi="Times New Roman" w:cs="Times New Roman" w:hint="eastAsia"/>
          <w:sz w:val="24"/>
          <w:szCs w:val="22"/>
        </w:rPr>
        <w:t>、</w:t>
      </w:r>
      <w:r>
        <w:rPr>
          <w:rFonts w:ascii="Times New Roman" w:hAnsi="Times New Roman" w:cs="Times New Roman"/>
          <w:sz w:val="24"/>
          <w:szCs w:val="22"/>
        </w:rPr>
        <w:t>32</w:t>
      </w:r>
      <w:r>
        <w:rPr>
          <w:rFonts w:ascii="Times New Roman" w:hAnsi="Times New Roman" w:cs="Times New Roman" w:hint="eastAsia"/>
          <w:sz w:val="24"/>
          <w:szCs w:val="22"/>
        </w:rPr>
        <w:t>.</w:t>
      </w:r>
      <w:r>
        <w:rPr>
          <w:rFonts w:ascii="Times New Roman" w:hAnsi="Times New Roman" w:cs="Times New Roman"/>
          <w:sz w:val="24"/>
          <w:szCs w:val="22"/>
        </w:rPr>
        <w:t>32</w:t>
      </w:r>
      <w:r>
        <w:rPr>
          <w:rFonts w:ascii="Times New Roman" w:hAnsi="Times New Roman" w:cs="Times New Roman" w:hint="eastAsia"/>
          <w:sz w:val="24"/>
          <w:szCs w:val="22"/>
        </w:rPr>
        <w:t>%</w:t>
      </w:r>
      <w:r>
        <w:rPr>
          <w:rFonts w:ascii="Times New Roman" w:hAnsi="Times New Roman" w:cs="Times New Roman" w:hint="eastAsia"/>
          <w:sz w:val="24"/>
          <w:szCs w:val="22"/>
        </w:rPr>
        <w:t>、</w:t>
      </w:r>
      <w:r>
        <w:rPr>
          <w:rFonts w:ascii="Times New Roman" w:hAnsi="Times New Roman" w:cs="Times New Roman"/>
          <w:sz w:val="24"/>
          <w:szCs w:val="22"/>
        </w:rPr>
        <w:t>37.42%</w:t>
      </w:r>
      <w:r>
        <w:rPr>
          <w:rFonts w:ascii="Times New Roman" w:hAnsi="Times New Roman" w:cs="Times New Roman" w:hint="eastAsia"/>
          <w:sz w:val="24"/>
          <w:szCs w:val="22"/>
        </w:rPr>
        <w:t>和</w:t>
      </w:r>
      <w:bookmarkStart w:id="80" w:name="_Hlk150431096"/>
      <w:bookmarkStart w:id="81" w:name="_Hlk144010744"/>
      <w:r>
        <w:rPr>
          <w:rFonts w:ascii="Times New Roman" w:hAnsi="Times New Roman" w:cs="Times New Roman"/>
          <w:sz w:val="24"/>
          <w:szCs w:val="22"/>
        </w:rPr>
        <w:t>38.35</w:t>
      </w:r>
      <w:bookmarkEnd w:id="80"/>
      <w:r>
        <w:rPr>
          <w:rFonts w:ascii="Times New Roman" w:hAnsi="Times New Roman" w:cs="Times New Roman" w:hint="eastAsia"/>
          <w:sz w:val="24"/>
          <w:szCs w:val="22"/>
        </w:rPr>
        <w:t>%</w:t>
      </w:r>
      <w:bookmarkEnd w:id="79"/>
      <w:bookmarkEnd w:id="81"/>
      <w:r>
        <w:rPr>
          <w:rFonts w:ascii="Times New Roman" w:hAnsi="Times New Roman" w:cs="Times New Roman" w:hint="eastAsia"/>
          <w:sz w:val="24"/>
          <w:szCs w:val="22"/>
        </w:rPr>
        <w:t>，波动幅度较大，主要系公司主要原材料受钢铁、有色金属等大宗物资价格影响较大。未来若出现原材料价格进一步上涨，行业政策不利调整、行业竞争加剧、产品售价发生不利变化或者发行人未能保持技术、产品、客户等行业竞争优势等情形，则公司毛利率存在下降的风险。</w:t>
      </w:r>
    </w:p>
    <w:p w14:paraId="1BC4D24E"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3</w:t>
      </w:r>
      <w:r>
        <w:rPr>
          <w:rFonts w:ascii="Times New Roman" w:hAnsi="Times New Roman" w:cs="Times New Roman" w:hint="eastAsia"/>
          <w:sz w:val="24"/>
          <w:szCs w:val="22"/>
        </w:rPr>
        <w:t>）汇率变动风险</w:t>
      </w:r>
    </w:p>
    <w:p w14:paraId="68C4AFD5"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报告期各期，公司境外销售收入占营业收入的比重较高，分别为</w:t>
      </w:r>
      <w:bookmarkStart w:id="82" w:name="_Hlk150431798"/>
      <w:r>
        <w:rPr>
          <w:rFonts w:ascii="Times New Roman" w:hAnsi="Times New Roman" w:cs="Times New Roman" w:hint="eastAsia"/>
          <w:sz w:val="24"/>
          <w:szCs w:val="22"/>
        </w:rPr>
        <w:t>80.11%</w:t>
      </w:r>
      <w:r>
        <w:rPr>
          <w:rFonts w:ascii="Times New Roman" w:hAnsi="Times New Roman" w:cs="Times New Roman" w:hint="eastAsia"/>
          <w:sz w:val="24"/>
          <w:szCs w:val="22"/>
        </w:rPr>
        <w:t>、</w:t>
      </w:r>
      <w:r>
        <w:rPr>
          <w:rFonts w:ascii="Times New Roman" w:hAnsi="Times New Roman" w:cs="Times New Roman" w:hint="eastAsia"/>
          <w:sz w:val="24"/>
          <w:szCs w:val="22"/>
        </w:rPr>
        <w:t>75.33%</w:t>
      </w:r>
      <w:r>
        <w:rPr>
          <w:rFonts w:ascii="Times New Roman" w:hAnsi="Times New Roman" w:cs="Times New Roman" w:hint="eastAsia"/>
          <w:sz w:val="24"/>
          <w:szCs w:val="22"/>
        </w:rPr>
        <w:t>、</w:t>
      </w:r>
      <w:r>
        <w:rPr>
          <w:rFonts w:ascii="Times New Roman" w:hAnsi="Times New Roman" w:cs="Times New Roman" w:hint="eastAsia"/>
          <w:sz w:val="24"/>
          <w:szCs w:val="22"/>
        </w:rPr>
        <w:t>83.53%</w:t>
      </w:r>
      <w:r>
        <w:rPr>
          <w:rFonts w:ascii="Times New Roman" w:hAnsi="Times New Roman" w:cs="Times New Roman" w:hint="eastAsia"/>
          <w:sz w:val="24"/>
          <w:szCs w:val="22"/>
        </w:rPr>
        <w:t>及</w:t>
      </w:r>
      <w:bookmarkStart w:id="83" w:name="_Hlk150772520"/>
      <w:r>
        <w:rPr>
          <w:rFonts w:ascii="Times New Roman" w:hAnsi="Times New Roman" w:cs="Times New Roman"/>
          <w:kern w:val="0"/>
          <w:sz w:val="24"/>
          <w:szCs w:val="22"/>
        </w:rPr>
        <w:t>80.32%</w:t>
      </w:r>
      <w:bookmarkEnd w:id="82"/>
      <w:bookmarkEnd w:id="83"/>
      <w:r>
        <w:rPr>
          <w:rFonts w:ascii="Times New Roman" w:hAnsi="Times New Roman" w:cs="Times New Roman" w:hint="eastAsia"/>
          <w:sz w:val="24"/>
          <w:szCs w:val="22"/>
        </w:rPr>
        <w:t>。公司境外业务结算货币以</w:t>
      </w:r>
      <w:r>
        <w:rPr>
          <w:rFonts w:ascii="楷体" w:eastAsia="楷体" w:hAnsi="楷体" w:cs="Times New Roman" w:hint="eastAsia"/>
          <w:b/>
          <w:sz w:val="24"/>
          <w:szCs w:val="22"/>
        </w:rPr>
        <w:t>美元</w:t>
      </w:r>
      <w:r>
        <w:rPr>
          <w:rFonts w:ascii="Times New Roman" w:hAnsi="Times New Roman" w:cs="Times New Roman" w:hint="eastAsia"/>
          <w:sz w:val="24"/>
          <w:szCs w:val="22"/>
        </w:rPr>
        <w:t>为主，人民币兑</w:t>
      </w:r>
      <w:r>
        <w:rPr>
          <w:rFonts w:ascii="楷体" w:eastAsia="楷体" w:hAnsi="楷体" w:cs="Times New Roman" w:hint="eastAsia"/>
          <w:b/>
          <w:sz w:val="24"/>
          <w:szCs w:val="22"/>
        </w:rPr>
        <w:t>美元</w:t>
      </w:r>
      <w:r>
        <w:rPr>
          <w:rFonts w:ascii="Times New Roman" w:hAnsi="Times New Roman" w:cs="Times New Roman" w:hint="eastAsia"/>
          <w:sz w:val="24"/>
          <w:szCs w:val="22"/>
        </w:rPr>
        <w:t>的汇率波动会对公司业绩产生影响。未来公司仍将持续拓展海外业务，将面临因外币汇率波动影响公司汇兑损失的风险。</w:t>
      </w:r>
    </w:p>
    <w:p w14:paraId="5C9A72BE" w14:textId="77777777" w:rsidR="00E173A4" w:rsidRDefault="00E173A4">
      <w:pPr>
        <w:spacing w:beforeLines="50" w:before="120" w:line="360" w:lineRule="auto"/>
        <w:ind w:firstLineChars="200" w:firstLine="482"/>
        <w:rPr>
          <w:rFonts w:ascii="楷体" w:eastAsia="楷体" w:hAnsi="楷体" w:cs="Times New Roman" w:hint="eastAsia"/>
          <w:b/>
          <w:sz w:val="24"/>
        </w:rPr>
      </w:pPr>
      <w:r>
        <w:rPr>
          <w:rFonts w:ascii="楷体" w:eastAsia="楷体" w:hAnsi="楷体" w:cs="Times New Roman"/>
          <w:b/>
          <w:sz w:val="24"/>
        </w:rPr>
        <w:t>公司境外业务主要采用美元等外币结算，因此公司汇兑损益主要受到人民币兑美元汇率波动影响。报告期内，公司汇兑损益金额分别为124.06万元、139.16万元、-832.82万元</w:t>
      </w:r>
      <w:r>
        <w:rPr>
          <w:rFonts w:ascii="楷体" w:eastAsia="楷体" w:hAnsi="楷体" w:cs="Times New Roman" w:hint="eastAsia"/>
          <w:b/>
          <w:sz w:val="24"/>
        </w:rPr>
        <w:t>和</w:t>
      </w:r>
      <w:r>
        <w:rPr>
          <w:rFonts w:ascii="楷体" w:eastAsia="楷体" w:hAnsi="楷体" w:cs="Times New Roman"/>
          <w:b/>
          <w:sz w:val="24"/>
        </w:rPr>
        <w:t>-250.47万元，占利润总额的比例分别为1.88%、2.06%、-5.38%以及-2.15%，汇率波动对公司年度盈利水平有一定的影响。但公司报告期内累计汇兑收益金额为-820.07万元，占利润总额的比例为-2.03%，汇率波动对公司经营业绩影响有限。汇率波动影响因素众多，汇率随国内外政治、</w:t>
      </w:r>
      <w:r>
        <w:rPr>
          <w:rFonts w:ascii="楷体" w:eastAsia="楷体" w:hAnsi="楷体" w:cs="Times New Roman"/>
          <w:b/>
          <w:sz w:val="24"/>
        </w:rPr>
        <w:lastRenderedPageBreak/>
        <w:t>经济环境变化而波动，具有较大的不确定性，并且近年来因全球政治经济波动，汇率变动较为剧烈。随着公司境外经营规模的持续扩大，外币结算量可能进一步增加，如果未来公司主要结算外币发生单边大幅贬值，导致汇率出现不利变动，公司又未能采取有效对冲措施，公司可能会出现较大的汇兑损失，从而对公司当期经营业绩产生不利影响。</w:t>
      </w:r>
    </w:p>
    <w:p w14:paraId="2C30C03C"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4</w:t>
      </w:r>
      <w:r>
        <w:rPr>
          <w:rFonts w:ascii="Times New Roman" w:hAnsi="Times New Roman" w:cs="Times New Roman" w:hint="eastAsia"/>
          <w:sz w:val="24"/>
          <w:szCs w:val="22"/>
        </w:rPr>
        <w:t>）税收优惠政策变化的风险</w:t>
      </w:r>
    </w:p>
    <w:p w14:paraId="654B9623"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公司出口产品享受增值税</w:t>
      </w:r>
      <w:r>
        <w:rPr>
          <w:rFonts w:ascii="宋体" w:hAnsi="宋体" w:cs="Times New Roman" w:hint="eastAsia"/>
          <w:sz w:val="24"/>
          <w:szCs w:val="22"/>
        </w:rPr>
        <w:t>“</w:t>
      </w:r>
      <w:r>
        <w:rPr>
          <w:rFonts w:ascii="Times New Roman" w:hAnsi="Times New Roman" w:cs="Times New Roman" w:hint="eastAsia"/>
          <w:sz w:val="24"/>
          <w:szCs w:val="22"/>
        </w:rPr>
        <w:t>免、抵、退</w:t>
      </w:r>
      <w:r>
        <w:rPr>
          <w:rFonts w:ascii="宋体" w:hAnsi="宋体" w:cs="Times New Roman" w:hint="eastAsia"/>
          <w:sz w:val="24"/>
          <w:szCs w:val="22"/>
        </w:rPr>
        <w:t>”</w:t>
      </w:r>
      <w:r>
        <w:rPr>
          <w:rFonts w:ascii="Times New Roman" w:hAnsi="Times New Roman" w:cs="Times New Roman" w:hint="eastAsia"/>
          <w:sz w:val="24"/>
          <w:szCs w:val="22"/>
        </w:rPr>
        <w:t>政策，报告期内，公司产品执行国家规定调整的出口退税率。公司及子公司莱州伟隆取得高新技术企业资格证书，如果国家关于支持高新技术企业发展的税收优惠政策发生变化或者公司不再满足高新技术企业认定的条件，导致无法享受相关税收优惠政策，将会在一定程度上影响公司的经营业绩。从长期来看，出口退税作为一种政府补贴手段，随着我国企业竞争实力的增强以及经济环境的变化，未来出口退税率的调整将对公司经营业绩产生一定影响。</w:t>
      </w:r>
    </w:p>
    <w:p w14:paraId="1FCB9C7A"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84" w:name="_Hlk144497628"/>
      <w:bookmarkStart w:id="85" w:name="_Hlk144497480"/>
      <w:r>
        <w:rPr>
          <w:rFonts w:ascii="Times New Roman" w:hAnsi="Times New Roman" w:cs="Times New Roman" w:hint="eastAsia"/>
          <w:sz w:val="24"/>
          <w:szCs w:val="22"/>
        </w:rPr>
        <w:t>（</w:t>
      </w:r>
      <w:r>
        <w:rPr>
          <w:rFonts w:ascii="Times New Roman" w:hAnsi="Times New Roman" w:cs="Times New Roman" w:hint="eastAsia"/>
          <w:sz w:val="24"/>
          <w:szCs w:val="22"/>
        </w:rPr>
        <w:t>5</w:t>
      </w:r>
      <w:r>
        <w:rPr>
          <w:rFonts w:ascii="Times New Roman" w:hAnsi="Times New Roman" w:cs="Times New Roman" w:hint="eastAsia"/>
          <w:sz w:val="24"/>
          <w:szCs w:val="22"/>
        </w:rPr>
        <w:t>）业绩波动风险</w:t>
      </w:r>
      <w:bookmarkEnd w:id="84"/>
    </w:p>
    <w:p w14:paraId="613EAD0A" w14:textId="77777777" w:rsidR="00E173A4" w:rsidRDefault="00E173A4">
      <w:pPr>
        <w:spacing w:beforeLines="50" w:before="120" w:line="360" w:lineRule="auto"/>
        <w:ind w:firstLineChars="200" w:firstLine="480"/>
        <w:rPr>
          <w:rFonts w:ascii="Times New Roman" w:hAnsi="Times New Roman" w:cs="Times New Roman"/>
          <w:sz w:val="24"/>
        </w:rPr>
      </w:pPr>
      <w:bookmarkStart w:id="86" w:name="_Hlk139979686"/>
      <w:bookmarkEnd w:id="74"/>
      <w:bookmarkEnd w:id="85"/>
      <w:r>
        <w:rPr>
          <w:rFonts w:ascii="Times New Roman" w:hAnsi="Times New Roman" w:cs="Times New Roman"/>
          <w:sz w:val="24"/>
        </w:rPr>
        <w:t>2023</w:t>
      </w:r>
      <w:r>
        <w:rPr>
          <w:rFonts w:ascii="Times New Roman" w:hAnsi="Times New Roman" w:cs="Times New Roman"/>
          <w:sz w:val="24"/>
        </w:rPr>
        <w:t>年</w:t>
      </w:r>
      <w:r>
        <w:rPr>
          <w:rFonts w:ascii="Times New Roman" w:hAnsi="Times New Roman" w:cs="Times New Roman"/>
          <w:sz w:val="24"/>
        </w:rPr>
        <w:t>1-9</w:t>
      </w:r>
      <w:r>
        <w:rPr>
          <w:rFonts w:ascii="Times New Roman" w:hAnsi="Times New Roman" w:cs="Times New Roman"/>
          <w:sz w:val="24"/>
        </w:rPr>
        <w:t>月，发行人营业收入为</w:t>
      </w:r>
      <w:r>
        <w:rPr>
          <w:rFonts w:ascii="Times New Roman" w:hAnsi="Times New Roman" w:cs="Times New Roman"/>
          <w:sz w:val="24"/>
        </w:rPr>
        <w:t>39,909.71</w:t>
      </w:r>
      <w:r>
        <w:rPr>
          <w:rFonts w:ascii="Times New Roman" w:hAnsi="Times New Roman" w:cs="Times New Roman"/>
          <w:sz w:val="24"/>
        </w:rPr>
        <w:t>万元，较上年同比降低</w:t>
      </w:r>
      <w:r>
        <w:rPr>
          <w:rFonts w:ascii="Times New Roman" w:hAnsi="Times New Roman" w:cs="Times New Roman"/>
          <w:sz w:val="24"/>
        </w:rPr>
        <w:t>1.33%</w:t>
      </w:r>
      <w:r>
        <w:rPr>
          <w:rFonts w:ascii="Times New Roman" w:hAnsi="Times New Roman" w:cs="Times New Roman"/>
          <w:sz w:val="24"/>
        </w:rPr>
        <w:t>；</w:t>
      </w:r>
      <w:r>
        <w:rPr>
          <w:rFonts w:ascii="楷体" w:eastAsia="楷体" w:hAnsi="楷体" w:cs="Times New Roman"/>
          <w:b/>
          <w:sz w:val="24"/>
        </w:rPr>
        <w:t>净利润为10,062.09万元，较上年同比下滑14.11%；</w:t>
      </w:r>
      <w:r>
        <w:rPr>
          <w:rFonts w:ascii="Times New Roman" w:hAnsi="Times New Roman" w:cs="Times New Roman"/>
          <w:sz w:val="24"/>
        </w:rPr>
        <w:t>归属于上市公司股东的扣除非经常性损益的净利润为</w:t>
      </w:r>
      <w:r>
        <w:rPr>
          <w:rFonts w:ascii="Times New Roman" w:hAnsi="Times New Roman" w:cs="Times New Roman"/>
          <w:sz w:val="24"/>
        </w:rPr>
        <w:t>8,074.40</w:t>
      </w:r>
      <w:r>
        <w:rPr>
          <w:rFonts w:ascii="Times New Roman" w:hAnsi="Times New Roman" w:cs="Times New Roman"/>
          <w:sz w:val="24"/>
        </w:rPr>
        <w:t>万元，较上年同比增长</w:t>
      </w:r>
      <w:r>
        <w:rPr>
          <w:rFonts w:ascii="Times New Roman" w:hAnsi="Times New Roman" w:cs="Times New Roman"/>
          <w:sz w:val="24"/>
        </w:rPr>
        <w:t>0.08%</w:t>
      </w:r>
      <w:r>
        <w:rPr>
          <w:rFonts w:ascii="Times New Roman" w:hAnsi="Times New Roman" w:cs="Times New Roman"/>
          <w:sz w:val="24"/>
        </w:rPr>
        <w:t>。</w:t>
      </w:r>
      <w:r>
        <w:rPr>
          <w:rFonts w:ascii="楷体" w:eastAsia="楷体" w:hAnsi="楷体" w:cs="Times New Roman"/>
          <w:b/>
          <w:sz w:val="24"/>
        </w:rPr>
        <w:t>2022年，公司处置即聚机电产生投资收益4,164.12万元，提升了当期净利润水平，导致当期净利润与收入波动存在不匹配的情况；由于上年同期存在大额投资收益，2023年1-9月，公司净利润同比下滑14.11%，但归属于上市公司股东的扣除非经常性损益的净利润同比小幅提升</w:t>
      </w:r>
      <w:r>
        <w:rPr>
          <w:rFonts w:ascii="楷体" w:eastAsia="楷体" w:hAnsi="楷体" w:cs="Times New Roman" w:hint="eastAsia"/>
          <w:b/>
          <w:sz w:val="24"/>
        </w:rPr>
        <w:t>。</w:t>
      </w:r>
    </w:p>
    <w:p w14:paraId="3C8145BB" w14:textId="77777777" w:rsidR="00E173A4" w:rsidRDefault="00E173A4">
      <w:pPr>
        <w:spacing w:beforeLines="50" w:before="120" w:line="360" w:lineRule="auto"/>
        <w:ind w:firstLineChars="200" w:firstLine="480"/>
        <w:rPr>
          <w:rFonts w:ascii="Times New Roman" w:hAnsi="Times New Roman" w:cs="Times New Roman" w:hint="eastAsia"/>
          <w:sz w:val="24"/>
        </w:rPr>
      </w:pPr>
      <w:r>
        <w:rPr>
          <w:rFonts w:ascii="Times New Roman" w:hAnsi="Times New Roman" w:cs="Times New Roman"/>
          <w:sz w:val="24"/>
        </w:rPr>
        <w:t>若未来国际贸易摩擦升级、宏观经济波动、市场竞争加剧、原材料价格波动、人民币升值等不利因素，叠加在建项目完工后大额固定资产折旧等影响，公司未来经营情况将面临较大市场压力。如果本节披露的风险因素中的某一项因素发生重大不利变化或者多项因素同时发生，公司将出现业绩波动的风险。</w:t>
      </w:r>
    </w:p>
    <w:p w14:paraId="465CDC64" w14:textId="77777777" w:rsidR="00E173A4" w:rsidRDefault="00E173A4">
      <w:pPr>
        <w:pStyle w:val="005"/>
        <w:spacing w:before="120"/>
        <w:ind w:firstLine="482"/>
        <w:outlineLvl w:val="3"/>
        <w:rPr>
          <w:b/>
          <w:bCs/>
          <w:szCs w:val="28"/>
        </w:rPr>
      </w:pPr>
      <w:r>
        <w:rPr>
          <w:rFonts w:hint="eastAsia"/>
          <w:b/>
          <w:bCs/>
          <w:szCs w:val="28"/>
        </w:rPr>
        <w:t>4</w:t>
      </w:r>
      <w:r>
        <w:rPr>
          <w:rFonts w:hint="eastAsia"/>
          <w:b/>
          <w:bCs/>
          <w:szCs w:val="28"/>
        </w:rPr>
        <w:t>、市场及政策风险</w:t>
      </w:r>
      <w:bookmarkEnd w:id="86"/>
    </w:p>
    <w:p w14:paraId="737FD0C6"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87" w:name="_Hlk139981446"/>
      <w:bookmarkStart w:id="88" w:name="_Hlk139979696"/>
      <w:r>
        <w:rPr>
          <w:rFonts w:ascii="Times New Roman" w:hAnsi="Times New Roman" w:cs="Times New Roman" w:hint="eastAsia"/>
          <w:sz w:val="24"/>
          <w:szCs w:val="22"/>
        </w:rPr>
        <w:t>（</w:t>
      </w:r>
      <w:r>
        <w:rPr>
          <w:rFonts w:ascii="Times New Roman" w:hAnsi="Times New Roman" w:cs="Times New Roman" w:hint="eastAsia"/>
          <w:sz w:val="24"/>
          <w:szCs w:val="22"/>
        </w:rPr>
        <w:t>1</w:t>
      </w:r>
      <w:r>
        <w:rPr>
          <w:rFonts w:ascii="Times New Roman" w:hAnsi="Times New Roman" w:cs="Times New Roman" w:hint="eastAsia"/>
          <w:sz w:val="24"/>
          <w:szCs w:val="22"/>
        </w:rPr>
        <w:t>）国际贸易政策变化的风险</w:t>
      </w:r>
      <w:bookmarkEnd w:id="87"/>
    </w:p>
    <w:bookmarkEnd w:id="88"/>
    <w:p w14:paraId="09794414"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报告期内，公司境外销售收入分别为</w:t>
      </w:r>
      <w:bookmarkStart w:id="89" w:name="_Hlk150431147"/>
      <w:r>
        <w:rPr>
          <w:rFonts w:ascii="Times New Roman" w:hAnsi="Times New Roman" w:cs="Times New Roman" w:hint="eastAsia"/>
          <w:sz w:val="24"/>
          <w:szCs w:val="22"/>
        </w:rPr>
        <w:t>27,604.16</w:t>
      </w:r>
      <w:r>
        <w:rPr>
          <w:rFonts w:ascii="Times New Roman" w:hAnsi="Times New Roman" w:cs="Times New Roman" w:hint="eastAsia"/>
          <w:sz w:val="24"/>
          <w:szCs w:val="22"/>
        </w:rPr>
        <w:t>万元、</w:t>
      </w:r>
      <w:r>
        <w:rPr>
          <w:rFonts w:ascii="Times New Roman" w:hAnsi="Times New Roman" w:cs="Times New Roman" w:hint="eastAsia"/>
          <w:sz w:val="24"/>
          <w:szCs w:val="22"/>
        </w:rPr>
        <w:t>31,275.26</w:t>
      </w:r>
      <w:r>
        <w:rPr>
          <w:rFonts w:ascii="Times New Roman" w:hAnsi="Times New Roman" w:cs="Times New Roman" w:hint="eastAsia"/>
          <w:sz w:val="24"/>
          <w:szCs w:val="22"/>
        </w:rPr>
        <w:t>万元、</w:t>
      </w:r>
      <w:r>
        <w:rPr>
          <w:rFonts w:ascii="Times New Roman" w:hAnsi="Times New Roman" w:cs="Times New Roman" w:hint="eastAsia"/>
          <w:sz w:val="24"/>
          <w:szCs w:val="22"/>
        </w:rPr>
        <w:lastRenderedPageBreak/>
        <w:t>45,118.28</w:t>
      </w:r>
      <w:r>
        <w:rPr>
          <w:rFonts w:ascii="Times New Roman" w:hAnsi="Times New Roman" w:cs="Times New Roman" w:hint="eastAsia"/>
          <w:sz w:val="24"/>
          <w:szCs w:val="22"/>
        </w:rPr>
        <w:t>万元和</w:t>
      </w:r>
      <w:r>
        <w:rPr>
          <w:rFonts w:ascii="Times New Roman" w:hAnsi="Times New Roman" w:cs="Times New Roman" w:hint="eastAsia"/>
          <w:sz w:val="24"/>
          <w:szCs w:val="22"/>
        </w:rPr>
        <w:t>32,</w:t>
      </w:r>
      <w:r>
        <w:rPr>
          <w:rFonts w:ascii="Times New Roman" w:hAnsi="Times New Roman" w:cs="Times New Roman"/>
          <w:sz w:val="24"/>
          <w:szCs w:val="22"/>
        </w:rPr>
        <w:t>056</w:t>
      </w:r>
      <w:r>
        <w:rPr>
          <w:rFonts w:ascii="Times New Roman" w:hAnsi="Times New Roman" w:cs="Times New Roman" w:hint="eastAsia"/>
          <w:sz w:val="24"/>
          <w:szCs w:val="22"/>
        </w:rPr>
        <w:t>.</w:t>
      </w:r>
      <w:r>
        <w:rPr>
          <w:rFonts w:ascii="Times New Roman" w:hAnsi="Times New Roman" w:cs="Times New Roman"/>
          <w:sz w:val="24"/>
          <w:szCs w:val="22"/>
        </w:rPr>
        <w:t>10</w:t>
      </w:r>
      <w:r>
        <w:rPr>
          <w:rFonts w:ascii="Times New Roman" w:hAnsi="Times New Roman" w:cs="Times New Roman" w:hint="eastAsia"/>
          <w:sz w:val="24"/>
          <w:szCs w:val="22"/>
        </w:rPr>
        <w:t>万元，占营业收入的比例分别为</w:t>
      </w:r>
      <w:r>
        <w:rPr>
          <w:rFonts w:ascii="Times New Roman" w:hAnsi="Times New Roman" w:cs="Times New Roman" w:hint="eastAsia"/>
          <w:sz w:val="24"/>
          <w:szCs w:val="22"/>
        </w:rPr>
        <w:t>80.11%</w:t>
      </w:r>
      <w:r>
        <w:rPr>
          <w:rFonts w:ascii="Times New Roman" w:hAnsi="Times New Roman" w:cs="Times New Roman" w:hint="eastAsia"/>
          <w:sz w:val="24"/>
          <w:szCs w:val="22"/>
        </w:rPr>
        <w:t>、</w:t>
      </w:r>
      <w:r>
        <w:rPr>
          <w:rFonts w:ascii="Times New Roman" w:hAnsi="Times New Roman" w:cs="Times New Roman" w:hint="eastAsia"/>
          <w:sz w:val="24"/>
          <w:szCs w:val="22"/>
        </w:rPr>
        <w:t>75.33%</w:t>
      </w:r>
      <w:r>
        <w:rPr>
          <w:rFonts w:ascii="Times New Roman" w:hAnsi="Times New Roman" w:cs="Times New Roman" w:hint="eastAsia"/>
          <w:sz w:val="24"/>
          <w:szCs w:val="22"/>
        </w:rPr>
        <w:t>、</w:t>
      </w:r>
      <w:r>
        <w:rPr>
          <w:rFonts w:ascii="Times New Roman" w:hAnsi="Times New Roman" w:cs="Times New Roman" w:hint="eastAsia"/>
          <w:sz w:val="24"/>
          <w:szCs w:val="22"/>
        </w:rPr>
        <w:t>83.53%</w:t>
      </w:r>
      <w:r>
        <w:rPr>
          <w:rFonts w:ascii="Times New Roman" w:hAnsi="Times New Roman" w:cs="Times New Roman" w:hint="eastAsia"/>
          <w:sz w:val="24"/>
          <w:szCs w:val="22"/>
        </w:rPr>
        <w:t>和</w:t>
      </w:r>
      <w:r>
        <w:rPr>
          <w:rFonts w:ascii="Times New Roman" w:hAnsi="Times New Roman" w:cs="Times New Roman" w:hint="eastAsia"/>
          <w:sz w:val="24"/>
          <w:szCs w:val="22"/>
        </w:rPr>
        <w:t>80.32%</w:t>
      </w:r>
      <w:bookmarkEnd w:id="89"/>
      <w:r>
        <w:rPr>
          <w:rFonts w:ascii="Times New Roman" w:hAnsi="Times New Roman" w:cs="Times New Roman" w:hint="eastAsia"/>
          <w:sz w:val="24"/>
          <w:szCs w:val="22"/>
        </w:rPr>
        <w:t>。公司出口产品主要销往欧洲、亚洲、北美洲等境外地区，目前国际上涉及阀门的进口政策较为宽松，重大贸易摩擦情况较少发生。但近年来，随着各国经济发展增速的不同变化，各国政府针对进出口贸易的不同类别陆续实施相关贸易保护政策，不排除未来相关国家对阀门的进口贸易政策和产品认证要求等方面发生变化的可能性，进而对公司的经营带来不利影响。</w:t>
      </w:r>
    </w:p>
    <w:p w14:paraId="0C356865" w14:textId="77777777" w:rsidR="00E173A4" w:rsidRDefault="00E173A4">
      <w:pPr>
        <w:spacing w:beforeLines="50" w:before="120" w:line="360" w:lineRule="auto"/>
        <w:ind w:firstLineChars="200" w:firstLine="482"/>
        <w:rPr>
          <w:rFonts w:ascii="楷体" w:eastAsia="楷体" w:hAnsi="楷体" w:cs="Times New Roman"/>
          <w:b/>
          <w:sz w:val="24"/>
        </w:rPr>
      </w:pPr>
      <w:r>
        <w:rPr>
          <w:rFonts w:ascii="楷体" w:eastAsia="楷体" w:hAnsi="楷体" w:cs="Times New Roman"/>
          <w:b/>
          <w:sz w:val="24"/>
        </w:rPr>
        <w:t>目前除美国外，其他主要外销所在国家和地区对公司产品的进口均未设置特殊的关税政策。销往美国时会被额外加征关税，本轮中美双方贸易摩擦开始后，美国多次宣布对中国商品加征进口关税，其公布的征税清单中包括部分公司产品，报告期内公司销往美国的主要产品属于加征关税的范围，产品不同对应的额外加征税率不同，加征比例为10%-30%之间，对公司出口产品的盈利能力产生一定的影响。报告期内，公司出口到美国的销售收入分别为7,185.85万元、9,893.70万元、15,703.43万元</w:t>
      </w:r>
      <w:r>
        <w:rPr>
          <w:rFonts w:ascii="楷体" w:eastAsia="楷体" w:hAnsi="楷体" w:cs="Times New Roman" w:hint="eastAsia"/>
          <w:b/>
          <w:sz w:val="24"/>
        </w:rPr>
        <w:t>和</w:t>
      </w:r>
      <w:r>
        <w:rPr>
          <w:rFonts w:ascii="楷体" w:eastAsia="楷体" w:hAnsi="楷体" w:cs="Times New Roman"/>
          <w:b/>
          <w:sz w:val="24"/>
        </w:rPr>
        <w:t>11,903.08万元，占境外收入的比例分别为26.03%、31.63%、34.81%</w:t>
      </w:r>
      <w:r>
        <w:rPr>
          <w:rFonts w:ascii="楷体" w:eastAsia="楷体" w:hAnsi="楷体" w:cs="Times New Roman" w:hint="eastAsia"/>
          <w:b/>
          <w:sz w:val="24"/>
        </w:rPr>
        <w:t>和</w:t>
      </w:r>
      <w:r>
        <w:rPr>
          <w:rFonts w:ascii="楷体" w:eastAsia="楷体" w:hAnsi="楷体" w:cs="Times New Roman"/>
          <w:b/>
          <w:sz w:val="24"/>
        </w:rPr>
        <w:t>37.13%。若未来中美贸易摩擦加剧或其他进口国家及地区贸易政策发生变化，或下游客户受国际贸易摩擦影响导致产能需求下降，则将在很大程度上提高公司产品的出口成本和贸易门槛，从而使得公司的境外订单减少，公司出口业务可能受到不利影响，进而影响公司的经营业绩。</w:t>
      </w:r>
    </w:p>
    <w:p w14:paraId="77F295D9" w14:textId="77777777" w:rsidR="00E173A4" w:rsidRDefault="00E173A4">
      <w:pPr>
        <w:spacing w:beforeLines="50" w:before="120" w:line="360" w:lineRule="auto"/>
        <w:ind w:firstLineChars="200" w:firstLine="482"/>
        <w:rPr>
          <w:rFonts w:ascii="楷体" w:eastAsia="楷体" w:hAnsi="楷体" w:cs="Times New Roman"/>
          <w:b/>
          <w:bCs/>
          <w:sz w:val="24"/>
          <w:szCs w:val="22"/>
        </w:rPr>
      </w:pPr>
      <w:bookmarkStart w:id="90" w:name="_Hlk154311992"/>
      <w:r>
        <w:rPr>
          <w:rFonts w:ascii="楷体" w:eastAsia="楷体" w:hAnsi="楷体" w:cs="Times New Roman" w:hint="eastAsia"/>
          <w:b/>
          <w:bCs/>
          <w:sz w:val="24"/>
          <w:szCs w:val="22"/>
        </w:rPr>
        <w:t>（</w:t>
      </w:r>
      <w:r>
        <w:rPr>
          <w:rFonts w:ascii="楷体" w:eastAsia="楷体" w:hAnsi="楷体" w:cs="Times New Roman"/>
          <w:b/>
          <w:bCs/>
          <w:sz w:val="24"/>
          <w:szCs w:val="22"/>
        </w:rPr>
        <w:t>2</w:t>
      </w:r>
      <w:r>
        <w:rPr>
          <w:rFonts w:ascii="楷体" w:eastAsia="楷体" w:hAnsi="楷体" w:cs="Times New Roman" w:hint="eastAsia"/>
          <w:b/>
          <w:bCs/>
          <w:sz w:val="24"/>
          <w:szCs w:val="22"/>
        </w:rPr>
        <w:t>）外销收入下滑的风险</w:t>
      </w:r>
    </w:p>
    <w:bookmarkEnd w:id="90"/>
    <w:p w14:paraId="306B97A6" w14:textId="77777777" w:rsidR="00E173A4" w:rsidRDefault="00E173A4">
      <w:pPr>
        <w:spacing w:beforeLines="50" w:before="120" w:line="360" w:lineRule="auto"/>
        <w:ind w:firstLineChars="200" w:firstLine="482"/>
        <w:rPr>
          <w:rFonts w:ascii="楷体" w:eastAsia="楷体" w:hAnsi="楷体" w:cs="Times New Roman"/>
          <w:b/>
          <w:bCs/>
          <w:sz w:val="24"/>
          <w:szCs w:val="22"/>
        </w:rPr>
      </w:pPr>
      <w:r>
        <w:rPr>
          <w:rFonts w:ascii="楷体" w:eastAsia="楷体" w:hAnsi="楷体" w:hint="eastAsia"/>
          <w:b/>
          <w:bCs/>
          <w:sz w:val="24"/>
          <w:szCs w:val="22"/>
        </w:rPr>
        <w:t>报告期内，公司境外销售收入分别为27,604.16万元、31,275.26万元、45,118.28万元和32,056.10万元，占营业收入的比例分别为80.11%、75.33%、83.53%和80.32%。公司出口产品主要销往欧洲、亚洲、北美洲等境外地区，境外销售是公司收入的重要来源，但公司外销收入可能面临进口国政策法规变动、市场竞争激烈、贸易摩擦、受相关国家或地区管制等因素影响，存在外销收入下降的风险</w:t>
      </w:r>
      <w:r>
        <w:rPr>
          <w:rFonts w:ascii="楷体" w:eastAsia="楷体" w:hAnsi="楷体" w:cs="Times New Roman" w:hint="eastAsia"/>
          <w:b/>
          <w:bCs/>
          <w:sz w:val="24"/>
          <w:szCs w:val="22"/>
        </w:rPr>
        <w:t>。</w:t>
      </w:r>
    </w:p>
    <w:p w14:paraId="2AA591D9" w14:textId="77777777" w:rsidR="00E173A4" w:rsidRDefault="00E173A4">
      <w:pPr>
        <w:pStyle w:val="003"/>
        <w:spacing w:before="120" w:after="120"/>
      </w:pPr>
      <w:bookmarkStart w:id="91" w:name="_Toc146109105"/>
      <w:r>
        <w:rPr>
          <w:rFonts w:hint="eastAsia"/>
        </w:rPr>
        <w:t>（二）与行业相关的风险</w:t>
      </w:r>
      <w:bookmarkEnd w:id="91"/>
    </w:p>
    <w:p w14:paraId="2CD903CE" w14:textId="77777777" w:rsidR="00E173A4" w:rsidRDefault="00E173A4">
      <w:pPr>
        <w:pStyle w:val="005"/>
        <w:spacing w:before="120"/>
        <w:ind w:firstLine="482"/>
        <w:outlineLvl w:val="3"/>
        <w:rPr>
          <w:b/>
          <w:bCs/>
          <w:szCs w:val="28"/>
        </w:rPr>
      </w:pPr>
      <w:bookmarkStart w:id="92" w:name="_Hlk139979800"/>
      <w:r>
        <w:rPr>
          <w:rFonts w:hint="eastAsia"/>
          <w:b/>
          <w:bCs/>
          <w:szCs w:val="28"/>
        </w:rPr>
        <w:t>1</w:t>
      </w:r>
      <w:r>
        <w:rPr>
          <w:rFonts w:hint="eastAsia"/>
          <w:b/>
          <w:bCs/>
          <w:szCs w:val="28"/>
        </w:rPr>
        <w:t>、市场竞争加剧的风险</w:t>
      </w:r>
      <w:bookmarkEnd w:id="92"/>
    </w:p>
    <w:p w14:paraId="1C73C4BD"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93" w:name="_Hlk139980898"/>
      <w:bookmarkStart w:id="94" w:name="_Hlk139979809"/>
      <w:r>
        <w:rPr>
          <w:rFonts w:ascii="Times New Roman" w:hAnsi="Times New Roman" w:cs="Times New Roman" w:hint="eastAsia"/>
          <w:sz w:val="24"/>
          <w:szCs w:val="22"/>
        </w:rPr>
        <w:t>近几年，随着阀门产业的持续发展，行业景气度不断提升，越来越多的公司开始进入阀门行业。同时，国内现有的阀门企业也在行业快速发展的背景下，加</w:t>
      </w:r>
      <w:r>
        <w:rPr>
          <w:rFonts w:ascii="Times New Roman" w:hAnsi="Times New Roman" w:cs="Times New Roman" w:hint="eastAsia"/>
          <w:sz w:val="24"/>
          <w:szCs w:val="22"/>
        </w:rPr>
        <w:lastRenderedPageBreak/>
        <w:t>大了产能建设，随着行业产能规模的不断扩大，阀门行业的竞争也将进一步加剧。虽然公司在技术、市场、产品品质、品牌和服务等方面在市场上有较强的竞争优势，但是随着市场竞争的加剧可能导致产品的终端销售价格下降，拉低公司产品平均毛利率，甚至出现结构性的产能过剩，进而对公司经营产生不利影响</w:t>
      </w:r>
      <w:bookmarkEnd w:id="93"/>
      <w:r>
        <w:rPr>
          <w:rFonts w:ascii="Times New Roman" w:hAnsi="Times New Roman" w:cs="Times New Roman" w:hint="eastAsia"/>
          <w:sz w:val="24"/>
          <w:szCs w:val="22"/>
        </w:rPr>
        <w:t>。</w:t>
      </w:r>
    </w:p>
    <w:p w14:paraId="204F4467" w14:textId="77777777" w:rsidR="00E173A4" w:rsidRDefault="00E173A4">
      <w:pPr>
        <w:pStyle w:val="005"/>
        <w:spacing w:before="120"/>
        <w:ind w:firstLine="482"/>
        <w:outlineLvl w:val="3"/>
        <w:rPr>
          <w:b/>
          <w:bCs/>
          <w:szCs w:val="28"/>
        </w:rPr>
      </w:pPr>
      <w:bookmarkStart w:id="95" w:name="_Hlk139979840"/>
      <w:bookmarkStart w:id="96" w:name="_Hlk139976696"/>
      <w:bookmarkEnd w:id="94"/>
      <w:r>
        <w:rPr>
          <w:rFonts w:hint="eastAsia"/>
          <w:b/>
          <w:bCs/>
          <w:szCs w:val="28"/>
        </w:rPr>
        <w:t>2</w:t>
      </w:r>
      <w:r>
        <w:rPr>
          <w:rFonts w:hint="eastAsia"/>
          <w:b/>
          <w:bCs/>
          <w:szCs w:val="28"/>
        </w:rPr>
        <w:t>、宏观经济波动与产业政策变化的风险</w:t>
      </w:r>
      <w:bookmarkEnd w:id="95"/>
    </w:p>
    <w:p w14:paraId="1BFFF0AC"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公司自成立以来一直专注于阀门的研发、生产和销售。近年来，阀门行业在国家产业政策的大力支持下，取得了快速的发展，但未来如果内外部经济环境和产业政策环境出现重大不利变化，将对阀门行业的发展产生不利影响，进而影响公司的经营业绩。</w:t>
      </w:r>
    </w:p>
    <w:p w14:paraId="44C0B460" w14:textId="77777777" w:rsidR="00E173A4" w:rsidRDefault="00E173A4">
      <w:pPr>
        <w:pStyle w:val="003"/>
        <w:spacing w:before="120" w:after="120"/>
        <w:rPr>
          <w:rFonts w:hint="eastAsia"/>
        </w:rPr>
      </w:pPr>
      <w:bookmarkStart w:id="97" w:name="_Toc146109106"/>
      <w:bookmarkEnd w:id="96"/>
      <w:r>
        <w:rPr>
          <w:rFonts w:hint="eastAsia"/>
        </w:rPr>
        <w:t>（三）</w:t>
      </w:r>
      <w:r>
        <w:t>其他风险</w:t>
      </w:r>
      <w:bookmarkEnd w:id="97"/>
    </w:p>
    <w:p w14:paraId="2FD4A210" w14:textId="77777777" w:rsidR="00E173A4" w:rsidRDefault="00E173A4">
      <w:pPr>
        <w:pStyle w:val="005"/>
        <w:spacing w:before="120"/>
        <w:ind w:firstLine="482"/>
        <w:outlineLvl w:val="3"/>
        <w:rPr>
          <w:b/>
          <w:bCs/>
          <w:szCs w:val="28"/>
        </w:rPr>
      </w:pPr>
      <w:bookmarkStart w:id="98" w:name="_Hlk139978734"/>
      <w:r>
        <w:rPr>
          <w:rFonts w:hint="eastAsia"/>
          <w:b/>
          <w:bCs/>
          <w:szCs w:val="28"/>
        </w:rPr>
        <w:t>1</w:t>
      </w:r>
      <w:r>
        <w:rPr>
          <w:rFonts w:hint="eastAsia"/>
          <w:b/>
          <w:bCs/>
          <w:szCs w:val="28"/>
        </w:rPr>
        <w:t>、与本次可转换公司债券相关的风险</w:t>
      </w:r>
    </w:p>
    <w:p w14:paraId="0B5A1BD4"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1</w:t>
      </w:r>
      <w:r>
        <w:rPr>
          <w:rFonts w:ascii="Times New Roman" w:hAnsi="Times New Roman" w:cs="Times New Roman" w:hint="eastAsia"/>
          <w:sz w:val="24"/>
          <w:szCs w:val="22"/>
        </w:rPr>
        <w:t>）可转债转股后</w:t>
      </w:r>
      <w:r>
        <w:rPr>
          <w:rFonts w:ascii="Times New Roman" w:hAnsi="Times New Roman" w:cs="Times New Roman"/>
          <w:sz w:val="24"/>
          <w:szCs w:val="22"/>
        </w:rPr>
        <w:t>摊薄即期回报的风险</w:t>
      </w:r>
    </w:p>
    <w:p w14:paraId="1AEA4998"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发行完成后，随着转股数量的增加，公司股本规模和净资产规模相应增加。由于募集资金投资项目建设和产生效益需要一定的过程和时间，如果公司营业收入及净利润没有实现同步增长，则短期内公司每股收益将存在下滑的风险。</w:t>
      </w:r>
    </w:p>
    <w:p w14:paraId="2915FAD3"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2</w:t>
      </w:r>
      <w:r>
        <w:rPr>
          <w:rFonts w:ascii="Times New Roman" w:hAnsi="Times New Roman" w:cs="Times New Roman" w:hint="eastAsia"/>
          <w:sz w:val="24"/>
          <w:szCs w:val="22"/>
        </w:rPr>
        <w:t>）可转债到期未能转股的风险</w:t>
      </w:r>
    </w:p>
    <w:p w14:paraId="4B4449BE"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可转换公司债券在转股期内是否转股取决于转股价格、公司股票价格、投资者偏好等因素。如果本次可转债未能在转股期内转股，公司则需对未转股的可转债偿付本金和利息，相比可转债转股的情形，公司将承担更高的财务费用。</w:t>
      </w:r>
    </w:p>
    <w:p w14:paraId="15CDD6BE"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此外，在本次可转债存续期间，如果发生可转债回售等情况，公司将面临一定的资金压力。</w:t>
      </w:r>
    </w:p>
    <w:p w14:paraId="14B3ECE6"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3</w:t>
      </w:r>
      <w:r>
        <w:rPr>
          <w:rFonts w:ascii="Times New Roman" w:hAnsi="Times New Roman" w:cs="Times New Roman" w:hint="eastAsia"/>
          <w:sz w:val="24"/>
          <w:szCs w:val="22"/>
        </w:rPr>
        <w:t>）评级风险</w:t>
      </w:r>
    </w:p>
    <w:p w14:paraId="5593FE08"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中证鹏元资信评估股份有限公司对本次可转债进行了评级，公司主体长期信用等级为</w:t>
      </w:r>
      <w:r>
        <w:rPr>
          <w:rFonts w:ascii="Times New Roman" w:hAnsi="Times New Roman" w:cs="Times New Roman" w:hint="eastAsia"/>
          <w:sz w:val="24"/>
          <w:szCs w:val="22"/>
        </w:rPr>
        <w:t>A</w:t>
      </w:r>
      <w:r>
        <w:rPr>
          <w:rFonts w:ascii="Times New Roman" w:hAnsi="Times New Roman" w:cs="Times New Roman"/>
          <w:sz w:val="24"/>
          <w:szCs w:val="22"/>
        </w:rPr>
        <w:t>，债券信用等级为</w:t>
      </w:r>
      <w:r>
        <w:rPr>
          <w:rFonts w:ascii="Times New Roman" w:hAnsi="Times New Roman" w:cs="Times New Roman" w:hint="eastAsia"/>
          <w:sz w:val="24"/>
          <w:szCs w:val="22"/>
        </w:rPr>
        <w:t>A</w:t>
      </w:r>
      <w:r>
        <w:rPr>
          <w:rFonts w:ascii="Times New Roman" w:hAnsi="Times New Roman" w:cs="Times New Roman" w:hint="eastAsia"/>
          <w:sz w:val="24"/>
          <w:szCs w:val="22"/>
        </w:rPr>
        <w:t>，评级展望稳定</w:t>
      </w:r>
      <w:r>
        <w:rPr>
          <w:rFonts w:ascii="Times New Roman" w:hAnsi="Times New Roman" w:cs="Times New Roman"/>
          <w:sz w:val="24"/>
          <w:szCs w:val="22"/>
        </w:rPr>
        <w:t>。在本次债券存续期限内，</w:t>
      </w:r>
      <w:r>
        <w:rPr>
          <w:rFonts w:ascii="Times New Roman" w:hAnsi="Times New Roman" w:cs="Times New Roman" w:hint="eastAsia"/>
          <w:sz w:val="24"/>
          <w:szCs w:val="22"/>
        </w:rPr>
        <w:t>中证鹏元资信评估股份有限公司</w:t>
      </w:r>
      <w:r>
        <w:rPr>
          <w:rFonts w:ascii="Times New Roman" w:hAnsi="Times New Roman" w:cs="Times New Roman"/>
          <w:sz w:val="24"/>
          <w:szCs w:val="22"/>
        </w:rPr>
        <w:t>将持续关注公司经营环境的变化、经营或财务状况的重大事项等因素，出具跟踪评级报告。如果由于公司外部经营环境、自身或评级标准变化等因素，导致本次债券的信用评级级别变化，将会增大投资者的风险，</w:t>
      </w:r>
      <w:r>
        <w:rPr>
          <w:rFonts w:ascii="Times New Roman" w:hAnsi="Times New Roman" w:cs="Times New Roman"/>
          <w:sz w:val="24"/>
          <w:szCs w:val="22"/>
        </w:rPr>
        <w:lastRenderedPageBreak/>
        <w:t>对投资人的利益产生一定影响。</w:t>
      </w:r>
    </w:p>
    <w:p w14:paraId="298567E0"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4</w:t>
      </w:r>
      <w:r>
        <w:rPr>
          <w:rFonts w:ascii="Times New Roman" w:hAnsi="Times New Roman" w:cs="Times New Roman" w:hint="eastAsia"/>
          <w:sz w:val="24"/>
          <w:szCs w:val="22"/>
        </w:rPr>
        <w:t>）本息兑付风险</w:t>
      </w:r>
    </w:p>
    <w:p w14:paraId="7DEED696"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在可转债的存续期限内，公司需按可转债的发行条款就可转债未转股的部分每年偿付利息及到期兑付本金，并承兑投资者可能提出的回售要求。如果受国家政策、法规、行业和市场等不可控因素的影响，公司的经营活动没有带来预期的回报，使得公司不能从预期的还款来源获得足够的资金，可能影响公司对可转债本息的按时足额兑付，以及对投资者回售要求的承兑能力。</w:t>
      </w:r>
    </w:p>
    <w:p w14:paraId="4EAB2D01"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5</w:t>
      </w:r>
      <w:r>
        <w:rPr>
          <w:rFonts w:ascii="Times New Roman" w:hAnsi="Times New Roman" w:cs="Times New Roman" w:hint="eastAsia"/>
          <w:sz w:val="24"/>
          <w:szCs w:val="22"/>
        </w:rPr>
        <w:t>）利率风险</w:t>
      </w:r>
    </w:p>
    <w:p w14:paraId="17EA6A97"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本次可转债采用固定利率，在债券存续期内，当市场利率上升时，可转债的价值可能会相应降低，从而使投资者遭受损失。公司提醒投资者充分考虑市场利率波动可能引起的风险，以避免和减少损失。</w:t>
      </w:r>
    </w:p>
    <w:p w14:paraId="1707D390"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6</w:t>
      </w:r>
      <w:r>
        <w:rPr>
          <w:rFonts w:ascii="Times New Roman" w:hAnsi="Times New Roman" w:cs="Times New Roman" w:hint="eastAsia"/>
          <w:sz w:val="24"/>
          <w:szCs w:val="22"/>
        </w:rPr>
        <w:t>）未设定担保的风险</w:t>
      </w:r>
    </w:p>
    <w:p w14:paraId="224BF157"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公司本次向不特定对象发行的可转债未设定担保，提请投资者注意本次可转债可能因未设定担保而存在兑付风险。</w:t>
      </w:r>
    </w:p>
    <w:p w14:paraId="567648A8"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hint="eastAsia"/>
          <w:sz w:val="24"/>
          <w:szCs w:val="22"/>
        </w:rPr>
        <w:t>7</w:t>
      </w:r>
      <w:r>
        <w:rPr>
          <w:rFonts w:ascii="Times New Roman" w:hAnsi="Times New Roman" w:cs="Times New Roman" w:hint="eastAsia"/>
          <w:sz w:val="24"/>
          <w:szCs w:val="22"/>
        </w:rPr>
        <w:t>）转股价格向下修正的风险</w:t>
      </w:r>
    </w:p>
    <w:p w14:paraId="12CE3BC3"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在本次发行的可转换公司债券存续期间，当公司股票在任意连续三十个交易日中至少有十五个交易日的收盘价低于当期转股价格的</w:t>
      </w:r>
      <w:r>
        <w:rPr>
          <w:rFonts w:ascii="Times New Roman" w:hAnsi="Times New Roman" w:cs="Times New Roman"/>
          <w:sz w:val="24"/>
          <w:szCs w:val="22"/>
        </w:rPr>
        <w:t>85%</w:t>
      </w:r>
      <w:r>
        <w:rPr>
          <w:rFonts w:ascii="Times New Roman" w:hAnsi="Times New Roman" w:cs="Times New Roman"/>
          <w:sz w:val="24"/>
          <w:szCs w:val="22"/>
        </w:rPr>
        <w:t>时，公司董事会有权提出转股价格向下修正方案并提交公司股东大会表决。上述方案须经出席会议的股东所持表决权的三分之二以上通过方可实施。股东大会进行表决时，持有本次发行的可转换公司债券的股东应当回避。修正后的转股价格应不低于本次股东大会召开日前二十个交易日公司股票交易均价和前一交易日均价</w:t>
      </w:r>
      <w:r>
        <w:rPr>
          <w:rFonts w:ascii="Times New Roman" w:hAnsi="Times New Roman" w:cs="Times New Roman" w:hint="eastAsia"/>
          <w:sz w:val="24"/>
          <w:szCs w:val="22"/>
        </w:rPr>
        <w:t>之间的较高者</w:t>
      </w:r>
      <w:r>
        <w:rPr>
          <w:rFonts w:ascii="Times New Roman" w:hAnsi="Times New Roman" w:cs="Times New Roman"/>
          <w:sz w:val="24"/>
          <w:szCs w:val="22"/>
        </w:rPr>
        <w:t>。</w:t>
      </w:r>
    </w:p>
    <w:p w14:paraId="0CD75C71"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可转债存续期限内，在满足本次可转债转股价格向下修正条件的情况下，公司董事会仍可能基于公司的实际情况、股价走势、市场因素等多重考虑，不提出转股价格向下调整方案；公司董事会审议通过本次可转债转股价格向下修正方案的，亦存在未能通过公司股东大会审议的可能。未来在触发转股价格修正条款时，转股价格是否向下修正存在不确定性。</w:t>
      </w:r>
    </w:p>
    <w:p w14:paraId="3D022229"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在本次发行的可转债存续期间，即使公司根据向下修正条款对转股价格进行</w:t>
      </w:r>
      <w:r>
        <w:rPr>
          <w:rFonts w:ascii="Times New Roman" w:hAnsi="Times New Roman" w:cs="Times New Roman" w:hint="eastAsia"/>
          <w:sz w:val="24"/>
          <w:szCs w:val="22"/>
        </w:rPr>
        <w:lastRenderedPageBreak/>
        <w:t>修正，转股价格的修正幅度也将由于</w:t>
      </w:r>
      <w:r>
        <w:rPr>
          <w:rFonts w:ascii="宋体" w:hAnsi="宋体" w:cs="Times New Roman" w:hint="eastAsia"/>
          <w:sz w:val="24"/>
          <w:szCs w:val="22"/>
        </w:rPr>
        <w:t>“</w:t>
      </w:r>
      <w:r>
        <w:rPr>
          <w:rFonts w:ascii="Times New Roman" w:hAnsi="Times New Roman" w:cs="Times New Roman" w:hint="eastAsia"/>
          <w:sz w:val="24"/>
          <w:szCs w:val="22"/>
        </w:rPr>
        <w:t>修正后的转股价格应不低于该次股东大会召开日前二十个交易日公司股票交易均价和前一交易日公司股票交易均价</w:t>
      </w:r>
      <w:r>
        <w:rPr>
          <w:rFonts w:ascii="宋体" w:hAnsi="宋体" w:cs="Times New Roman" w:hint="eastAsia"/>
          <w:sz w:val="24"/>
          <w:szCs w:val="22"/>
        </w:rPr>
        <w:t>”</w:t>
      </w:r>
      <w:r>
        <w:rPr>
          <w:rFonts w:ascii="Times New Roman" w:hAnsi="Times New Roman" w:cs="Times New Roman" w:hint="eastAsia"/>
          <w:sz w:val="24"/>
          <w:szCs w:val="22"/>
        </w:rPr>
        <w:t>的规定而受到限制，修正幅度存在不确定性。</w:t>
      </w:r>
    </w:p>
    <w:p w14:paraId="15E540D6"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如果公司股票在可转债发行后价格持续下跌，则存在公司未能及时向下修正转股价格或即使公司持续向下修正转股价格，但公司股票价格仍低于转股价格，导致本次发行的可转债转股价值发生重大不利变化，并进而可能导致出现可转债在转股期内回售或持有到期不能转股的风险。</w:t>
      </w:r>
    </w:p>
    <w:p w14:paraId="16F4FF3A"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w:t>
      </w:r>
      <w:r>
        <w:rPr>
          <w:rFonts w:ascii="Times New Roman" w:hAnsi="Times New Roman" w:cs="Times New Roman"/>
          <w:sz w:val="24"/>
          <w:szCs w:val="22"/>
        </w:rPr>
        <w:t>8</w:t>
      </w:r>
      <w:r>
        <w:rPr>
          <w:rFonts w:ascii="Times New Roman" w:hAnsi="Times New Roman" w:cs="Times New Roman" w:hint="eastAsia"/>
          <w:sz w:val="24"/>
          <w:szCs w:val="22"/>
        </w:rPr>
        <w:t>）提前赎回的风险</w:t>
      </w:r>
    </w:p>
    <w:p w14:paraId="4FF0115C"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本次可转换公司债券设置了有条件赎回条款：</w:t>
      </w:r>
    </w:p>
    <w:p w14:paraId="47D6E697"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在本次发行的可转债转股期内，当下述两种情形的任意一种出现时，公司有权决定按照债券面值加当期应计利息的价格赎回全部或部分未转股的可转债：</w:t>
      </w:r>
      <w:r>
        <w:rPr>
          <w:rFonts w:ascii="Times New Roman" w:hAnsi="Times New Roman" w:cs="Times New Roman"/>
          <w:sz w:val="24"/>
          <w:szCs w:val="22"/>
        </w:rPr>
        <w:t>1</w:t>
      </w:r>
      <w:r>
        <w:rPr>
          <w:rFonts w:ascii="Times New Roman" w:hAnsi="Times New Roman" w:cs="Times New Roman"/>
          <w:sz w:val="24"/>
          <w:szCs w:val="22"/>
        </w:rPr>
        <w:t>）在转股期内，如果公司股票在任意连续三十个交易日中至少十五个交易日的收盘价格不低于当期转股价格的</w:t>
      </w:r>
      <w:r>
        <w:rPr>
          <w:rFonts w:ascii="Times New Roman" w:hAnsi="Times New Roman" w:cs="Times New Roman"/>
          <w:sz w:val="24"/>
          <w:szCs w:val="22"/>
        </w:rPr>
        <w:t>130%</w:t>
      </w:r>
      <w:r>
        <w:rPr>
          <w:rFonts w:ascii="Times New Roman" w:hAnsi="Times New Roman" w:cs="Times New Roman"/>
          <w:sz w:val="24"/>
          <w:szCs w:val="22"/>
        </w:rPr>
        <w:t>（含</w:t>
      </w:r>
      <w:r>
        <w:rPr>
          <w:rFonts w:ascii="Times New Roman" w:hAnsi="Times New Roman" w:cs="Times New Roman"/>
          <w:sz w:val="24"/>
          <w:szCs w:val="22"/>
        </w:rPr>
        <w:t>130%</w:t>
      </w:r>
      <w:r>
        <w:rPr>
          <w:rFonts w:ascii="Times New Roman" w:hAnsi="Times New Roman" w:cs="Times New Roman"/>
          <w:sz w:val="24"/>
          <w:szCs w:val="22"/>
        </w:rPr>
        <w:t>）；</w:t>
      </w:r>
      <w:r>
        <w:rPr>
          <w:rFonts w:ascii="Times New Roman" w:hAnsi="Times New Roman" w:cs="Times New Roman"/>
          <w:sz w:val="24"/>
          <w:szCs w:val="22"/>
        </w:rPr>
        <w:t>2</w:t>
      </w:r>
      <w:r>
        <w:rPr>
          <w:rFonts w:ascii="Times New Roman" w:hAnsi="Times New Roman" w:cs="Times New Roman"/>
          <w:sz w:val="24"/>
          <w:szCs w:val="22"/>
        </w:rPr>
        <w:t>）当本次发行的可转债未转股余额不足</w:t>
      </w:r>
      <w:r>
        <w:rPr>
          <w:rFonts w:ascii="Times New Roman" w:hAnsi="Times New Roman" w:cs="Times New Roman"/>
          <w:sz w:val="24"/>
          <w:szCs w:val="22"/>
        </w:rPr>
        <w:t>3,000</w:t>
      </w:r>
      <w:r>
        <w:rPr>
          <w:rFonts w:ascii="Times New Roman" w:hAnsi="Times New Roman" w:cs="Times New Roman"/>
          <w:sz w:val="24"/>
          <w:szCs w:val="22"/>
        </w:rPr>
        <w:t>万元时。</w:t>
      </w:r>
    </w:p>
    <w:p w14:paraId="1A59057A"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当期应计利息的计算公式为：</w:t>
      </w:r>
      <w:r>
        <w:rPr>
          <w:rFonts w:ascii="Times New Roman" w:hAnsi="Times New Roman" w:cs="Times New Roman"/>
          <w:sz w:val="24"/>
          <w:szCs w:val="22"/>
        </w:rPr>
        <w:t>IA=B×i×t/365</w:t>
      </w:r>
      <w:r>
        <w:rPr>
          <w:rFonts w:ascii="Times New Roman" w:hAnsi="Times New Roman" w:cs="Times New Roman" w:hint="eastAsia"/>
          <w:sz w:val="24"/>
          <w:szCs w:val="22"/>
        </w:rPr>
        <w:t>。其中：</w:t>
      </w:r>
      <w:r>
        <w:rPr>
          <w:rFonts w:ascii="Times New Roman" w:hAnsi="Times New Roman" w:cs="Times New Roman"/>
          <w:sz w:val="24"/>
          <w:szCs w:val="22"/>
        </w:rPr>
        <w:t>IA</w:t>
      </w:r>
      <w:r>
        <w:rPr>
          <w:rFonts w:ascii="Times New Roman" w:hAnsi="Times New Roman" w:cs="Times New Roman"/>
          <w:sz w:val="24"/>
          <w:szCs w:val="22"/>
        </w:rPr>
        <w:t>指当期应计利息；</w:t>
      </w:r>
      <w:r>
        <w:rPr>
          <w:rFonts w:ascii="Times New Roman" w:hAnsi="Times New Roman" w:cs="Times New Roman"/>
          <w:sz w:val="24"/>
          <w:szCs w:val="22"/>
        </w:rPr>
        <w:t>B</w:t>
      </w:r>
      <w:r>
        <w:rPr>
          <w:rFonts w:ascii="Times New Roman" w:hAnsi="Times New Roman" w:cs="Times New Roman"/>
          <w:sz w:val="24"/>
          <w:szCs w:val="22"/>
        </w:rPr>
        <w:t>指本次发行的可转债持有人持有的将被赎回的可转债票面总金额；</w:t>
      </w:r>
      <w:r>
        <w:rPr>
          <w:rFonts w:ascii="Times New Roman" w:hAnsi="Times New Roman" w:cs="Times New Roman"/>
          <w:sz w:val="24"/>
          <w:szCs w:val="22"/>
        </w:rPr>
        <w:t>i</w:t>
      </w:r>
      <w:r>
        <w:rPr>
          <w:rFonts w:ascii="Times New Roman" w:hAnsi="Times New Roman" w:cs="Times New Roman"/>
          <w:sz w:val="24"/>
          <w:szCs w:val="22"/>
        </w:rPr>
        <w:t>指可转债当年票面利率；</w:t>
      </w:r>
      <w:r>
        <w:rPr>
          <w:rFonts w:ascii="Times New Roman" w:hAnsi="Times New Roman" w:cs="Times New Roman"/>
          <w:sz w:val="24"/>
          <w:szCs w:val="22"/>
        </w:rPr>
        <w:t>t</w:t>
      </w:r>
      <w:r>
        <w:rPr>
          <w:rFonts w:ascii="Times New Roman" w:hAnsi="Times New Roman" w:cs="Times New Roman"/>
          <w:sz w:val="24"/>
          <w:szCs w:val="22"/>
        </w:rPr>
        <w:t>指计息天数，即从上一个付息日起至本计息年度赎回日止的实际日历天数（算头不算尾）。</w:t>
      </w:r>
    </w:p>
    <w:p w14:paraId="6433CBE5"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若在前述三十个交易日内发生过转股价格调整的情形，则在调整前的交易日按调整前的转股价格和收盘价计算，调整后的交易日按调整后的转股价格和收盘价计算。</w:t>
      </w:r>
    </w:p>
    <w:p w14:paraId="32220156" w14:textId="77777777" w:rsidR="00E173A4" w:rsidRDefault="00E173A4">
      <w:pPr>
        <w:spacing w:beforeLines="50" w:before="120" w:line="360" w:lineRule="auto"/>
        <w:ind w:firstLineChars="200" w:firstLine="480"/>
        <w:rPr>
          <w:rFonts w:ascii="Times New Roman" w:hAnsi="Times New Roman" w:cs="Times New Roman" w:hint="eastAsia"/>
          <w:sz w:val="24"/>
          <w:szCs w:val="22"/>
        </w:rPr>
      </w:pPr>
      <w:r>
        <w:rPr>
          <w:rFonts w:ascii="Times New Roman" w:hAnsi="Times New Roman" w:cs="Times New Roman" w:hint="eastAsia"/>
          <w:sz w:val="24"/>
          <w:szCs w:val="22"/>
        </w:rPr>
        <w:t>可转债的存续期内，在相关条件满足的情况下，如果公司行使了上述有条件赎回条款，可能促使本次可转债的投资者提前转股，从而导致投资者面临投资期限缩短、丧失未来预期利息收入的风险。</w:t>
      </w:r>
    </w:p>
    <w:p w14:paraId="5D99FE5B" w14:textId="77777777" w:rsidR="00E173A4" w:rsidRDefault="00E173A4">
      <w:pPr>
        <w:pStyle w:val="005"/>
        <w:spacing w:before="120"/>
        <w:ind w:firstLine="482"/>
        <w:outlineLvl w:val="3"/>
        <w:rPr>
          <w:b/>
          <w:bCs/>
          <w:szCs w:val="28"/>
        </w:rPr>
      </w:pPr>
      <w:bookmarkStart w:id="99" w:name="_Hlk139979864"/>
      <w:bookmarkEnd w:id="98"/>
      <w:r>
        <w:rPr>
          <w:rFonts w:hint="eastAsia"/>
          <w:b/>
          <w:bCs/>
          <w:szCs w:val="28"/>
        </w:rPr>
        <w:t>2</w:t>
      </w:r>
      <w:r>
        <w:rPr>
          <w:rFonts w:hint="eastAsia"/>
          <w:b/>
          <w:bCs/>
          <w:szCs w:val="28"/>
        </w:rPr>
        <w:t>、公司股票价格波动的风险</w:t>
      </w:r>
      <w:bookmarkEnd w:id="99"/>
    </w:p>
    <w:p w14:paraId="77BFD926"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100" w:name="_Hlk139979873"/>
      <w:r>
        <w:rPr>
          <w:rFonts w:ascii="Times New Roman" w:hAnsi="Times New Roman" w:cs="Times New Roman" w:hint="eastAsia"/>
          <w:sz w:val="24"/>
          <w:szCs w:val="22"/>
        </w:rPr>
        <w:t>公司股票在深交所上市，公司股票价格除了受到公司经营状况、财务状况、盈利水平及发展前景等基本面因素影响外，还会受到国内外政治及宏观经济形</w:t>
      </w:r>
      <w:r>
        <w:rPr>
          <w:rFonts w:ascii="Times New Roman" w:hAnsi="Times New Roman" w:cs="Times New Roman" w:hint="eastAsia"/>
          <w:sz w:val="24"/>
          <w:szCs w:val="22"/>
        </w:rPr>
        <w:lastRenderedPageBreak/>
        <w:t>势、国家经济政策调整或法律变化、利率和汇率的变化、资本市场运行状况、股票供求关系、投资者心理预期以及其他不可预测因素的影响，投资者在考虑投资本公司可转换公司债券时，应预计到前述各类因素可能带来的投资风险，并做出审慎判断</w:t>
      </w:r>
      <w:bookmarkEnd w:id="100"/>
      <w:r>
        <w:rPr>
          <w:rFonts w:ascii="Times New Roman" w:hAnsi="Times New Roman" w:cs="Times New Roman" w:hint="eastAsia"/>
          <w:sz w:val="24"/>
          <w:szCs w:val="22"/>
        </w:rPr>
        <w:t>。</w:t>
      </w:r>
    </w:p>
    <w:p w14:paraId="15FA7CD2" w14:textId="77777777" w:rsidR="00E173A4" w:rsidRDefault="00E173A4">
      <w:pPr>
        <w:pStyle w:val="005"/>
        <w:spacing w:before="120"/>
        <w:ind w:firstLine="482"/>
        <w:outlineLvl w:val="3"/>
        <w:rPr>
          <w:b/>
          <w:bCs/>
          <w:szCs w:val="28"/>
        </w:rPr>
      </w:pPr>
      <w:bookmarkStart w:id="101" w:name="_Hlk139979887"/>
      <w:r>
        <w:rPr>
          <w:rFonts w:hint="eastAsia"/>
          <w:b/>
          <w:bCs/>
          <w:szCs w:val="28"/>
        </w:rPr>
        <w:t>3</w:t>
      </w:r>
      <w:r>
        <w:rPr>
          <w:rFonts w:hint="eastAsia"/>
          <w:b/>
          <w:bCs/>
          <w:szCs w:val="28"/>
        </w:rPr>
        <w:t>、审批与发行风险</w:t>
      </w:r>
      <w:bookmarkEnd w:id="101"/>
    </w:p>
    <w:p w14:paraId="45933B10" w14:textId="77777777" w:rsidR="00E173A4" w:rsidRDefault="00E173A4">
      <w:pPr>
        <w:spacing w:beforeLines="50" w:before="120" w:line="360" w:lineRule="auto"/>
        <w:ind w:firstLineChars="200" w:firstLine="480"/>
        <w:rPr>
          <w:rFonts w:ascii="Times New Roman" w:hAnsi="Times New Roman" w:cs="Times New Roman" w:hint="eastAsia"/>
          <w:sz w:val="24"/>
          <w:szCs w:val="22"/>
        </w:rPr>
      </w:pPr>
      <w:r>
        <w:rPr>
          <w:rFonts w:ascii="Times New Roman" w:hAnsi="Times New Roman" w:cs="Times New Roman" w:hint="eastAsia"/>
          <w:sz w:val="24"/>
          <w:szCs w:val="22"/>
        </w:rPr>
        <w:t>本</w:t>
      </w:r>
      <w:bookmarkStart w:id="102" w:name="_Hlk139979894"/>
      <w:r>
        <w:rPr>
          <w:rFonts w:ascii="Times New Roman" w:hAnsi="Times New Roman" w:cs="Times New Roman" w:hint="eastAsia"/>
          <w:sz w:val="24"/>
          <w:szCs w:val="22"/>
        </w:rPr>
        <w:t>次向不特定对象发行可转债方案在董事会、股东大会通过后尚须经过相应审批程序方可实施，包括但不限于深圳证券交易所审核通过并经中国证监会同意注册等。本次发行能否取得有关主管部门的核准，以及最终取得批准的时间均存在不确定性。因此，公司本次向不特定对象发行可转债方案能否最终成功实施存在不确定性。</w:t>
      </w:r>
    </w:p>
    <w:p w14:paraId="3C4DA62F"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本次可转换公司债券的发行对象为持有中国证券登记结算有限责任公司深圳分公司证券账户的自然人、法人、证券投资基金、符合法律规定的其他投资者等（国家法律、法规禁止者除外），发行结果将受到投资者对于公司及项目认可度的影响。因此，本次向不特定对象发行可转债存在发行募集资金不足甚至无法成功实施的风险</w:t>
      </w:r>
      <w:bookmarkEnd w:id="102"/>
      <w:r>
        <w:rPr>
          <w:rFonts w:ascii="Times New Roman" w:hAnsi="Times New Roman" w:cs="Times New Roman" w:hint="eastAsia"/>
          <w:sz w:val="24"/>
          <w:szCs w:val="22"/>
        </w:rPr>
        <w:t>。</w:t>
      </w:r>
    </w:p>
    <w:p w14:paraId="09ED3CF5" w14:textId="77777777" w:rsidR="00E173A4" w:rsidRDefault="00E173A4">
      <w:pPr>
        <w:pStyle w:val="005"/>
        <w:spacing w:before="120"/>
        <w:ind w:firstLine="482"/>
        <w:outlineLvl w:val="3"/>
        <w:rPr>
          <w:rFonts w:eastAsia="黑体"/>
          <w:b/>
          <w:bCs/>
          <w:szCs w:val="28"/>
        </w:rPr>
      </w:pPr>
      <w:bookmarkStart w:id="103" w:name="_Hlk139979934"/>
      <w:r>
        <w:rPr>
          <w:rFonts w:hint="eastAsia"/>
          <w:b/>
          <w:bCs/>
          <w:szCs w:val="28"/>
        </w:rPr>
        <w:t>4</w:t>
      </w:r>
      <w:r>
        <w:rPr>
          <w:rFonts w:hint="eastAsia"/>
          <w:b/>
          <w:bCs/>
          <w:szCs w:val="28"/>
        </w:rPr>
        <w:t>、前瞻性陈述具有不确定性的风险</w:t>
      </w:r>
    </w:p>
    <w:p w14:paraId="6D483B59"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104" w:name="_Hlk139976892"/>
      <w:r>
        <w:rPr>
          <w:rFonts w:ascii="Times New Roman" w:hAnsi="Times New Roman" w:cs="Times New Roman" w:hint="eastAsia"/>
          <w:sz w:val="24"/>
          <w:szCs w:val="22"/>
        </w:rPr>
        <w:t>本发行保荐书所载的内容中包括部分前瞻性陈述，一般采用诸如</w:t>
      </w:r>
      <w:r>
        <w:rPr>
          <w:rFonts w:ascii="宋体" w:hAnsi="宋体" w:cs="Times New Roman" w:hint="eastAsia"/>
          <w:sz w:val="24"/>
          <w:szCs w:val="22"/>
        </w:rPr>
        <w:t>“</w:t>
      </w:r>
      <w:r>
        <w:rPr>
          <w:rFonts w:ascii="Times New Roman" w:hAnsi="Times New Roman" w:cs="Times New Roman" w:hint="eastAsia"/>
          <w:sz w:val="24"/>
          <w:szCs w:val="22"/>
        </w:rPr>
        <w:t>将</w:t>
      </w:r>
      <w:r>
        <w:rPr>
          <w:rFonts w:ascii="宋体" w:hAnsi="宋体" w:cs="Times New Roman" w:hint="eastAsia"/>
          <w:sz w:val="24"/>
          <w:szCs w:val="22"/>
        </w:rPr>
        <w:t>”“</w:t>
      </w:r>
      <w:r>
        <w:rPr>
          <w:rFonts w:ascii="Times New Roman" w:hAnsi="Times New Roman" w:cs="Times New Roman" w:hint="eastAsia"/>
          <w:sz w:val="24"/>
          <w:szCs w:val="22"/>
        </w:rPr>
        <w:t>将会</w:t>
      </w:r>
      <w:r>
        <w:rPr>
          <w:rFonts w:ascii="宋体" w:hAnsi="宋体" w:cs="Times New Roman" w:hint="eastAsia"/>
          <w:sz w:val="24"/>
          <w:szCs w:val="22"/>
        </w:rPr>
        <w:t>”“</w:t>
      </w:r>
      <w:r>
        <w:rPr>
          <w:rFonts w:ascii="Times New Roman" w:hAnsi="Times New Roman" w:cs="Times New Roman" w:hint="eastAsia"/>
          <w:sz w:val="24"/>
          <w:szCs w:val="22"/>
        </w:rPr>
        <w:t>计划</w:t>
      </w:r>
      <w:r>
        <w:rPr>
          <w:rFonts w:ascii="宋体" w:hAnsi="宋体" w:cs="Times New Roman" w:hint="eastAsia"/>
          <w:sz w:val="24"/>
          <w:szCs w:val="22"/>
        </w:rPr>
        <w:t>”“</w:t>
      </w:r>
      <w:r>
        <w:rPr>
          <w:rFonts w:ascii="Times New Roman" w:hAnsi="Times New Roman" w:cs="Times New Roman" w:hint="eastAsia"/>
          <w:sz w:val="24"/>
          <w:szCs w:val="22"/>
        </w:rPr>
        <w:t>可能</w:t>
      </w:r>
      <w:r>
        <w:rPr>
          <w:rFonts w:ascii="宋体" w:hAnsi="宋体" w:cs="Times New Roman" w:hint="eastAsia"/>
          <w:sz w:val="24"/>
          <w:szCs w:val="22"/>
        </w:rPr>
        <w:t>”</w:t>
      </w:r>
      <w:r>
        <w:rPr>
          <w:rFonts w:ascii="Times New Roman" w:hAnsi="Times New Roman" w:cs="Times New Roman" w:hint="eastAsia"/>
          <w:sz w:val="24"/>
          <w:szCs w:val="22"/>
        </w:rPr>
        <w:t>等带有前瞻性色彩的用词。尽管该等陈述是公司基于行业理性所作出的，但鉴于前瞻性陈述往往具有不确定性或依赖特定条件，包括但不限于本节中所披露的已识别的各种风险因素。因此，本发行保荐书中所载的任何前瞻性陈述均不应被视作公司对未来计划、目标、结果等能够实现的承诺，该等前瞻性陈述的实现具有不确定性的风险</w:t>
      </w:r>
      <w:bookmarkEnd w:id="104"/>
      <w:r>
        <w:rPr>
          <w:rFonts w:ascii="Times New Roman" w:hAnsi="Times New Roman" w:cs="Times New Roman" w:hint="eastAsia"/>
          <w:sz w:val="24"/>
          <w:szCs w:val="22"/>
        </w:rPr>
        <w:t>。</w:t>
      </w:r>
    </w:p>
    <w:p w14:paraId="0719B5F4" w14:textId="77777777" w:rsidR="00E173A4" w:rsidRDefault="00E173A4">
      <w:pPr>
        <w:pStyle w:val="005"/>
        <w:spacing w:before="120"/>
        <w:ind w:firstLine="482"/>
        <w:outlineLvl w:val="3"/>
        <w:rPr>
          <w:b/>
          <w:bCs/>
          <w:szCs w:val="28"/>
        </w:rPr>
      </w:pPr>
      <w:bookmarkStart w:id="105" w:name="_Hlk139979988"/>
      <w:bookmarkEnd w:id="103"/>
      <w:r>
        <w:rPr>
          <w:rFonts w:hint="eastAsia"/>
          <w:b/>
          <w:bCs/>
          <w:szCs w:val="28"/>
        </w:rPr>
        <w:t>5</w:t>
      </w:r>
      <w:r>
        <w:rPr>
          <w:rFonts w:hint="eastAsia"/>
          <w:b/>
          <w:bCs/>
          <w:szCs w:val="28"/>
        </w:rPr>
        <w:t>、借款及担保事项风险</w:t>
      </w:r>
    </w:p>
    <w:p w14:paraId="0066056C" w14:textId="77777777" w:rsidR="00E173A4" w:rsidRDefault="00E173A4">
      <w:pPr>
        <w:spacing w:beforeLines="50" w:before="120" w:line="360" w:lineRule="auto"/>
        <w:ind w:firstLineChars="200" w:firstLine="480"/>
        <w:rPr>
          <w:rFonts w:ascii="Times New Roman" w:hAnsi="Times New Roman" w:cs="Times New Roman"/>
          <w:sz w:val="24"/>
          <w:szCs w:val="22"/>
        </w:rPr>
      </w:pPr>
      <w:bookmarkStart w:id="106" w:name="_Hlk139980012"/>
      <w:r>
        <w:rPr>
          <w:rFonts w:ascii="Times New Roman" w:hAnsi="Times New Roman" w:cs="Times New Roman" w:hint="eastAsia"/>
          <w:sz w:val="24"/>
          <w:szCs w:val="22"/>
        </w:rPr>
        <w:t>报告期内，公司子公司曾存在报告期前公章被违规使用导致公司被起诉承担还款责任的情形。考虑到此类事项一定程度上存在不确定性，未来阶段如相关借款无法顺利</w:t>
      </w:r>
      <w:bookmarkStart w:id="107" w:name="_Hlk152185699"/>
      <w:r>
        <w:rPr>
          <w:rFonts w:ascii="Times New Roman" w:hAnsi="Times New Roman" w:cs="Times New Roman" w:hint="eastAsia"/>
          <w:sz w:val="24"/>
          <w:szCs w:val="22"/>
        </w:rPr>
        <w:t>执行回款</w:t>
      </w:r>
      <w:bookmarkEnd w:id="107"/>
      <w:r>
        <w:rPr>
          <w:rFonts w:ascii="Times New Roman" w:hAnsi="Times New Roman" w:cs="Times New Roman" w:hint="eastAsia"/>
          <w:sz w:val="24"/>
          <w:szCs w:val="22"/>
        </w:rPr>
        <w:t>，则公司可能面临作为担保人承担连带责任或作为共同借款人承担还款责任的风险，相关资产可能面临被查封、冻结或被强制执行的风险</w:t>
      </w:r>
      <w:bookmarkEnd w:id="106"/>
      <w:r>
        <w:rPr>
          <w:rFonts w:ascii="Times New Roman" w:hAnsi="Times New Roman" w:cs="Times New Roman" w:hint="eastAsia"/>
          <w:sz w:val="24"/>
          <w:szCs w:val="22"/>
        </w:rPr>
        <w:t>。</w:t>
      </w:r>
    </w:p>
    <w:p w14:paraId="64EAA10D" w14:textId="77777777" w:rsidR="00E173A4" w:rsidRDefault="00E173A4">
      <w:pPr>
        <w:pStyle w:val="005"/>
        <w:spacing w:before="120"/>
        <w:ind w:firstLine="482"/>
        <w:outlineLvl w:val="3"/>
        <w:rPr>
          <w:b/>
          <w:bCs/>
          <w:szCs w:val="28"/>
        </w:rPr>
      </w:pPr>
      <w:bookmarkStart w:id="108" w:name="_Hlk139980091"/>
      <w:bookmarkEnd w:id="105"/>
      <w:r>
        <w:rPr>
          <w:rFonts w:hint="eastAsia"/>
          <w:b/>
          <w:bCs/>
          <w:szCs w:val="28"/>
        </w:rPr>
        <w:t>6</w:t>
      </w:r>
      <w:r>
        <w:rPr>
          <w:rFonts w:hint="eastAsia"/>
          <w:b/>
          <w:bCs/>
          <w:szCs w:val="28"/>
        </w:rPr>
        <w:t>、实际控制人控制不当风险</w:t>
      </w:r>
    </w:p>
    <w:p w14:paraId="18315EFF" w14:textId="77777777" w:rsidR="00E173A4" w:rsidRDefault="00E173A4">
      <w:pPr>
        <w:spacing w:beforeLines="50" w:before="120" w:line="360" w:lineRule="auto"/>
        <w:ind w:firstLineChars="200" w:firstLine="480"/>
        <w:rPr>
          <w:rFonts w:ascii="Times New Roman" w:hAnsi="Times New Roman" w:cs="Times New Roman" w:hint="eastAsia"/>
          <w:sz w:val="24"/>
          <w:szCs w:val="22"/>
        </w:rPr>
      </w:pPr>
      <w:r>
        <w:rPr>
          <w:rFonts w:ascii="Times New Roman" w:hAnsi="Times New Roman" w:cs="Times New Roman" w:hint="eastAsia"/>
          <w:sz w:val="24"/>
          <w:szCs w:val="22"/>
        </w:rPr>
        <w:lastRenderedPageBreak/>
        <w:t>截至</w:t>
      </w:r>
      <w:r>
        <w:rPr>
          <w:rFonts w:ascii="Times New Roman" w:hAnsi="Times New Roman" w:cs="Times New Roman" w:hint="eastAsia"/>
          <w:sz w:val="24"/>
          <w:szCs w:val="22"/>
        </w:rPr>
        <w:t>2023</w:t>
      </w:r>
      <w:r>
        <w:rPr>
          <w:rFonts w:ascii="Times New Roman" w:hAnsi="Times New Roman" w:cs="Times New Roman" w:hint="eastAsia"/>
          <w:sz w:val="24"/>
          <w:szCs w:val="22"/>
        </w:rPr>
        <w:t>年</w:t>
      </w:r>
      <w:r>
        <w:rPr>
          <w:rFonts w:ascii="Times New Roman" w:hAnsi="Times New Roman" w:cs="Times New Roman"/>
          <w:sz w:val="24"/>
          <w:szCs w:val="22"/>
        </w:rPr>
        <w:t>9</w:t>
      </w:r>
      <w:r>
        <w:rPr>
          <w:rFonts w:ascii="Times New Roman" w:hAnsi="Times New Roman" w:cs="Times New Roman" w:hint="eastAsia"/>
          <w:sz w:val="24"/>
          <w:szCs w:val="22"/>
        </w:rPr>
        <w:t>月</w:t>
      </w:r>
      <w:r>
        <w:rPr>
          <w:rFonts w:ascii="Times New Roman" w:hAnsi="Times New Roman" w:cs="Times New Roman" w:hint="eastAsia"/>
          <w:sz w:val="24"/>
          <w:szCs w:val="22"/>
        </w:rPr>
        <w:t>30</w:t>
      </w:r>
      <w:r>
        <w:rPr>
          <w:rFonts w:ascii="Times New Roman" w:hAnsi="Times New Roman" w:cs="Times New Roman" w:hint="eastAsia"/>
          <w:sz w:val="24"/>
          <w:szCs w:val="22"/>
        </w:rPr>
        <w:t>日，范庆伟、范玉隆分别直接持有公司</w:t>
      </w:r>
      <w:r>
        <w:rPr>
          <w:rFonts w:ascii="Times New Roman" w:hAnsi="Times New Roman" w:cs="Times New Roman" w:hint="eastAsia"/>
          <w:sz w:val="24"/>
          <w:szCs w:val="22"/>
        </w:rPr>
        <w:t>55.78%</w:t>
      </w:r>
      <w:r>
        <w:rPr>
          <w:rFonts w:ascii="Times New Roman" w:hAnsi="Times New Roman" w:cs="Times New Roman" w:hint="eastAsia"/>
          <w:sz w:val="24"/>
          <w:szCs w:val="22"/>
        </w:rPr>
        <w:t>和</w:t>
      </w:r>
      <w:r>
        <w:rPr>
          <w:rFonts w:ascii="Times New Roman" w:hAnsi="Times New Roman" w:cs="Times New Roman" w:hint="eastAsia"/>
          <w:sz w:val="24"/>
          <w:szCs w:val="22"/>
        </w:rPr>
        <w:t>3.72%</w:t>
      </w:r>
      <w:r>
        <w:rPr>
          <w:rFonts w:ascii="Times New Roman" w:hAnsi="Times New Roman" w:cs="Times New Roman" w:hint="eastAsia"/>
          <w:sz w:val="24"/>
          <w:szCs w:val="22"/>
        </w:rPr>
        <w:t>的股份，范庆伟还通过持有公司法人股东惠隆公司</w:t>
      </w:r>
      <w:r>
        <w:rPr>
          <w:rFonts w:ascii="Times New Roman" w:hAnsi="Times New Roman" w:cs="Times New Roman" w:hint="eastAsia"/>
          <w:sz w:val="24"/>
          <w:szCs w:val="22"/>
        </w:rPr>
        <w:t>72.73%</w:t>
      </w:r>
      <w:r>
        <w:rPr>
          <w:rFonts w:ascii="Times New Roman" w:hAnsi="Times New Roman" w:cs="Times New Roman" w:hint="eastAsia"/>
          <w:sz w:val="24"/>
          <w:szCs w:val="22"/>
        </w:rPr>
        <w:t>的股权而间接持有公司</w:t>
      </w:r>
      <w:r>
        <w:rPr>
          <w:rFonts w:ascii="Times New Roman" w:hAnsi="Times New Roman" w:cs="Times New Roman" w:hint="eastAsia"/>
          <w:sz w:val="24"/>
          <w:szCs w:val="22"/>
        </w:rPr>
        <w:t>3.56%</w:t>
      </w:r>
      <w:r>
        <w:rPr>
          <w:rFonts w:ascii="Times New Roman" w:hAnsi="Times New Roman" w:cs="Times New Roman" w:hint="eastAsia"/>
          <w:sz w:val="24"/>
          <w:szCs w:val="22"/>
        </w:rPr>
        <w:t>股份，</w:t>
      </w:r>
      <w:r>
        <w:rPr>
          <w:rFonts w:ascii="Times New Roman" w:hAnsi="Times New Roman" w:cs="宋体" w:hint="eastAsia"/>
          <w:sz w:val="24"/>
        </w:rPr>
        <w:t>范庆伟与范玉隆为父子关系，其合计</w:t>
      </w:r>
      <w:r>
        <w:rPr>
          <w:rFonts w:ascii="Times New Roman" w:hAnsi="Times New Roman" w:cs="宋体"/>
          <w:sz w:val="24"/>
        </w:rPr>
        <w:t>直接和间接持</w:t>
      </w:r>
      <w:r>
        <w:rPr>
          <w:rFonts w:ascii="Times New Roman" w:hAnsi="Times New Roman" w:cs="宋体" w:hint="eastAsia"/>
          <w:sz w:val="24"/>
        </w:rPr>
        <w:t>有公司</w:t>
      </w:r>
      <w:r>
        <w:rPr>
          <w:rFonts w:ascii="Times New Roman" w:hAnsi="Times New Roman" w:cs="宋体" w:hint="eastAsia"/>
          <w:sz w:val="24"/>
        </w:rPr>
        <w:t>63.07%</w:t>
      </w:r>
      <w:r>
        <w:rPr>
          <w:rFonts w:ascii="Times New Roman" w:hAnsi="Times New Roman" w:cs="宋体" w:hint="eastAsia"/>
          <w:sz w:val="24"/>
        </w:rPr>
        <w:t>的股权，</w:t>
      </w:r>
      <w:r>
        <w:rPr>
          <w:rFonts w:ascii="Times New Roman" w:hAnsi="Times New Roman" w:cs="Times New Roman" w:hint="eastAsia"/>
          <w:sz w:val="24"/>
          <w:szCs w:val="22"/>
        </w:rPr>
        <w:t>为公司的实际控制人。本次发行完成后，范庆伟、范玉隆仍为公司实际控制人，持股比例较高。</w:t>
      </w:r>
    </w:p>
    <w:p w14:paraId="39161462" w14:textId="77777777" w:rsidR="00E173A4" w:rsidRDefault="00E173A4">
      <w:pPr>
        <w:spacing w:beforeLines="50" w:before="120" w:line="360" w:lineRule="auto"/>
        <w:ind w:firstLineChars="200" w:firstLine="480"/>
        <w:rPr>
          <w:rFonts w:ascii="Times New Roman" w:hAnsi="Times New Roman" w:cs="Times New Roman"/>
          <w:sz w:val="24"/>
          <w:szCs w:val="22"/>
        </w:rPr>
      </w:pPr>
      <w:r>
        <w:rPr>
          <w:rFonts w:ascii="Times New Roman" w:hAnsi="Times New Roman" w:cs="Times New Roman" w:hint="eastAsia"/>
          <w:sz w:val="24"/>
          <w:szCs w:val="22"/>
        </w:rPr>
        <w:t>虽然发行人已依据《公司法》《证券法》《上市公司章程指引》等法律法规和规范性文件的要求，建立了完善的法人治理结构。但作为实际控制人，若其通过行使表决权或其他方式对公司经营、财务决策、重大人事任免和利润分配等方面实施不利影响，可能会给公司及中小股东带来一定的风险。</w:t>
      </w:r>
    </w:p>
    <w:p w14:paraId="1F18D2D6" w14:textId="77777777" w:rsidR="00E173A4" w:rsidRDefault="00E173A4">
      <w:pPr>
        <w:pStyle w:val="002"/>
        <w:spacing w:before="120" w:after="120"/>
      </w:pPr>
      <w:bookmarkStart w:id="109" w:name="_Toc152320945"/>
      <w:bookmarkEnd w:id="59"/>
      <w:bookmarkEnd w:id="108"/>
      <w:r>
        <w:t>八、关于本次发行对即期回报摊薄影响以及填补相关措施的核查意见</w:t>
      </w:r>
      <w:bookmarkEnd w:id="60"/>
      <w:bookmarkEnd w:id="61"/>
      <w:bookmarkEnd w:id="62"/>
      <w:bookmarkEnd w:id="109"/>
    </w:p>
    <w:bookmarkEnd w:id="63"/>
    <w:p w14:paraId="165D306A" w14:textId="77777777" w:rsidR="00E173A4" w:rsidRDefault="00E173A4">
      <w:pPr>
        <w:pStyle w:val="005"/>
        <w:spacing w:before="120"/>
        <w:ind w:firstLine="480"/>
        <w:rPr>
          <w:lang w:bidi="ar"/>
        </w:rPr>
      </w:pPr>
      <w:r>
        <w:rPr>
          <w:lang w:bidi="ar"/>
        </w:rPr>
        <w:t>经核查，保荐机构认为，发行人所预计的即期回报摊薄情况、填补即期回报措施以及发行人董事、高级管理人员、控股股东、实际控制人所作出的相关承诺事项，符合《国务院关于进一步促进资本市场健康发展的若干意见》（国发</w:t>
      </w:r>
      <w:r>
        <w:rPr>
          <w:lang w:bidi="ar"/>
        </w:rPr>
        <w:t>[2014]17</w:t>
      </w:r>
      <w:r>
        <w:rPr>
          <w:lang w:bidi="ar"/>
        </w:rPr>
        <w:t>号）和《国务院办公厅关于进一步加强资本市场中小投资者合法权益保护工作的意见》（国办发</w:t>
      </w:r>
      <w:r>
        <w:rPr>
          <w:lang w:bidi="ar"/>
        </w:rPr>
        <w:t>[2013]110</w:t>
      </w:r>
      <w:r>
        <w:rPr>
          <w:lang w:bidi="ar"/>
        </w:rPr>
        <w:t>号）中关于保护中小投资者合法权益的精神，以及中国证监会《关于首发及再融资、重大资产重组摊薄即期回报有关事项的指导意见》（中国证监会公告</w:t>
      </w:r>
      <w:r>
        <w:rPr>
          <w:lang w:bidi="ar"/>
        </w:rPr>
        <w:t>[2015]31</w:t>
      </w:r>
      <w:r>
        <w:rPr>
          <w:lang w:bidi="ar"/>
        </w:rPr>
        <w:t>号）的规定。</w:t>
      </w:r>
    </w:p>
    <w:p w14:paraId="10170FBA" w14:textId="77777777" w:rsidR="00E173A4" w:rsidRDefault="00E173A4">
      <w:pPr>
        <w:pStyle w:val="002"/>
        <w:spacing w:before="120" w:after="120"/>
      </w:pPr>
      <w:bookmarkStart w:id="110" w:name="_Toc87299701"/>
      <w:bookmarkStart w:id="111" w:name="_Toc152320946"/>
      <w:r>
        <w:t>九、对发行人发展前景的评价</w:t>
      </w:r>
      <w:bookmarkEnd w:id="110"/>
      <w:bookmarkEnd w:id="111"/>
    </w:p>
    <w:p w14:paraId="5FC31568" w14:textId="77777777" w:rsidR="00E173A4" w:rsidRDefault="00E173A4">
      <w:pPr>
        <w:pStyle w:val="003"/>
        <w:spacing w:before="120" w:after="120"/>
      </w:pPr>
      <w:r>
        <w:t>（一）发行人现有主营业务发展前景</w:t>
      </w:r>
    </w:p>
    <w:p w14:paraId="5A191185" w14:textId="77777777" w:rsidR="00E173A4" w:rsidRDefault="00E173A4">
      <w:pPr>
        <w:pStyle w:val="005"/>
        <w:spacing w:before="120"/>
        <w:ind w:firstLine="480"/>
        <w:rPr>
          <w:lang w:bidi="ar"/>
        </w:rPr>
      </w:pPr>
      <w:bookmarkStart w:id="112" w:name="_Hlk98939241"/>
      <w:r>
        <w:rPr>
          <w:lang w:bidi="ar"/>
        </w:rPr>
        <w:t>发行人主要从事工业阀门产品的设计、研发、生产和销售。近年来公司在研发和生产方面积累了多项专利和核心技术，覆盖产品设计、生产工艺等领域，依托自身阀门研发领域技术经验积累，构建了丰富的产品体系，</w:t>
      </w:r>
      <w:r>
        <w:t>包括闸阀、蝶阀、截止阀、调节阀、旋塞阀、止回阀、减压阀、报警阀、雨淋阀等在内的工业阀门产品</w:t>
      </w:r>
      <w:r>
        <w:rPr>
          <w:rFonts w:hint="eastAsia"/>
        </w:rPr>
        <w:t>，主要用于水处理领域和</w:t>
      </w:r>
      <w:r>
        <w:t>天然气</w:t>
      </w:r>
      <w:r>
        <w:rPr>
          <w:rFonts w:hint="eastAsia"/>
        </w:rPr>
        <w:t>领域</w:t>
      </w:r>
      <w:r>
        <w:rPr>
          <w:lang w:bidi="ar"/>
        </w:rPr>
        <w:t>，产品矩阵丰富，能够满足全球下游客户的多元化需求。</w:t>
      </w:r>
    </w:p>
    <w:p w14:paraId="0EC1F3E3" w14:textId="77777777" w:rsidR="00E173A4" w:rsidRDefault="00E173A4">
      <w:pPr>
        <w:pStyle w:val="005"/>
        <w:spacing w:before="120"/>
        <w:ind w:firstLine="480"/>
        <w:rPr>
          <w:lang w:bidi="ar"/>
        </w:rPr>
      </w:pPr>
      <w:r>
        <w:rPr>
          <w:lang w:bidi="ar"/>
        </w:rPr>
        <w:t>阀门行业的上游行业主要包括生铁、废钢、各类铸件、铜件、不锈钢、橡胶、驱动装置以及标准件等制造行业；而下游行业主要包括城镇给排水系统、消防给水系统、空调暖通系统及污水处理系统等行业。发行人下游市场广阔，主营业务</w:t>
      </w:r>
      <w:r>
        <w:rPr>
          <w:lang w:bidi="ar"/>
        </w:rPr>
        <w:lastRenderedPageBreak/>
        <w:t>发展前景良好，具体如下：</w:t>
      </w:r>
    </w:p>
    <w:p w14:paraId="41B5F367" w14:textId="77777777" w:rsidR="00E173A4" w:rsidRDefault="00E173A4">
      <w:pPr>
        <w:pStyle w:val="005"/>
        <w:spacing w:before="120"/>
        <w:ind w:firstLine="482"/>
        <w:rPr>
          <w:b/>
          <w:bCs/>
          <w:szCs w:val="28"/>
        </w:rPr>
      </w:pPr>
      <w:r>
        <w:rPr>
          <w:b/>
          <w:bCs/>
          <w:szCs w:val="28"/>
        </w:rPr>
        <w:t>1</w:t>
      </w:r>
      <w:r>
        <w:rPr>
          <w:b/>
          <w:bCs/>
          <w:szCs w:val="28"/>
        </w:rPr>
        <w:t>、国家政策的大力支持</w:t>
      </w:r>
    </w:p>
    <w:p w14:paraId="7C478923" w14:textId="77777777" w:rsidR="00E173A4" w:rsidRDefault="00E173A4">
      <w:pPr>
        <w:pStyle w:val="005"/>
        <w:spacing w:before="120"/>
        <w:ind w:firstLine="480"/>
        <w:rPr>
          <w:lang w:bidi="ar"/>
        </w:rPr>
      </w:pPr>
      <w:r>
        <w:rPr>
          <w:lang w:bidi="ar"/>
        </w:rPr>
        <w:t>根据国务院发布的《中国制造</w:t>
      </w:r>
      <w:r>
        <w:rPr>
          <w:lang w:bidi="ar"/>
        </w:rPr>
        <w:t>2025</w:t>
      </w:r>
      <w:r>
        <w:rPr>
          <w:lang w:bidi="ar"/>
        </w:rPr>
        <w:t>》《</w:t>
      </w:r>
      <w:r>
        <w:rPr>
          <w:rFonts w:ascii="宋体" w:hAnsi="宋体"/>
          <w:lang w:bidi="ar"/>
        </w:rPr>
        <w:t>“</w:t>
      </w:r>
      <w:r>
        <w:rPr>
          <w:lang w:bidi="ar"/>
        </w:rPr>
        <w:t>十四五</w:t>
      </w:r>
      <w:r>
        <w:rPr>
          <w:rFonts w:ascii="宋体" w:hAnsi="宋体"/>
          <w:lang w:bidi="ar"/>
        </w:rPr>
        <w:t>”</w:t>
      </w:r>
      <w:r>
        <w:rPr>
          <w:lang w:bidi="ar"/>
        </w:rPr>
        <w:t>智能制造发展规划》等政策，我国正迫切需要从制造业大国向制造业强国转型，制造业的发展方向将重点体现在提升国产化率、提高国产工业产品质量、优化产业结构以及鼓励发展智能制造。在国家相关政策的不断发布以及新一轮科技革命影响下，以智能制造作为主攻方向，大力推进数字化、自动化、智能化已经成为各个行业下一发展阶段的重要任务。</w:t>
      </w:r>
    </w:p>
    <w:p w14:paraId="5F64F1EF" w14:textId="77777777" w:rsidR="00E173A4" w:rsidRDefault="00E173A4">
      <w:pPr>
        <w:pStyle w:val="005"/>
        <w:spacing w:before="120"/>
        <w:ind w:firstLine="480"/>
        <w:rPr>
          <w:lang w:bidi="ar"/>
        </w:rPr>
      </w:pPr>
      <w:r>
        <w:rPr>
          <w:lang w:bidi="ar"/>
        </w:rPr>
        <w:t>2022</w:t>
      </w:r>
      <w:r>
        <w:rPr>
          <w:lang w:bidi="ar"/>
        </w:rPr>
        <w:t>年</w:t>
      </w:r>
      <w:r>
        <w:rPr>
          <w:lang w:bidi="ar"/>
        </w:rPr>
        <w:t>1</w:t>
      </w:r>
      <w:r>
        <w:rPr>
          <w:lang w:bidi="ar"/>
        </w:rPr>
        <w:t>月，住房城乡建设部办公厅、发展改革委办公厅联合发布《关于加强公共供水管网漏损控制的通知》，强调在管线建设改造、设备安装及分区计量系统建设中，积极推广采用先进的流量计量设备、阀门、水压水质监测设备和数据采集与传输装置，逐步实现供水管网网格化、精细化管理。此外，《产业结构调整指导目录（</w:t>
      </w:r>
      <w:r>
        <w:rPr>
          <w:lang w:bidi="ar"/>
        </w:rPr>
        <w:t>2023</w:t>
      </w:r>
      <w:r>
        <w:rPr>
          <w:lang w:bidi="ar"/>
        </w:rPr>
        <w:t>年本</w:t>
      </w:r>
      <w:r>
        <w:rPr>
          <w:rFonts w:hint="eastAsia"/>
          <w:lang w:bidi="ar"/>
        </w:rPr>
        <w:t>，征求意见稿</w:t>
      </w:r>
      <w:r>
        <w:rPr>
          <w:lang w:bidi="ar"/>
        </w:rPr>
        <w:t>）》还将</w:t>
      </w:r>
      <w:r>
        <w:rPr>
          <w:rFonts w:ascii="宋体" w:hAnsi="宋体"/>
          <w:lang w:bidi="ar"/>
        </w:rPr>
        <w:t>“</w:t>
      </w:r>
      <w:r>
        <w:rPr>
          <w:lang w:bidi="ar"/>
        </w:rPr>
        <w:t>节能、节水、节材环保及资源综合利用等技术开发、应用及设备制造</w:t>
      </w:r>
      <w:r>
        <w:rPr>
          <w:rFonts w:ascii="宋体" w:hAnsi="宋体"/>
          <w:lang w:bidi="ar"/>
        </w:rPr>
        <w:t>”</w:t>
      </w:r>
      <w:r>
        <w:rPr>
          <w:lang w:bidi="ar"/>
        </w:rPr>
        <w:t>列入鼓励类产业。以上政策推动了阀门产品不断向智能化、节能化发展。国家政策对于制造过程智能化以及阀门产品智能化、节能化的大力支持，为本项目的实施提供了良好的政策保障。</w:t>
      </w:r>
    </w:p>
    <w:p w14:paraId="3EA23F28" w14:textId="77777777" w:rsidR="00E173A4" w:rsidRDefault="00E173A4">
      <w:pPr>
        <w:pStyle w:val="005"/>
        <w:spacing w:before="120"/>
        <w:ind w:firstLine="482"/>
        <w:rPr>
          <w:b/>
          <w:bCs/>
          <w:szCs w:val="28"/>
        </w:rPr>
      </w:pPr>
      <w:r>
        <w:rPr>
          <w:b/>
          <w:bCs/>
          <w:szCs w:val="28"/>
        </w:rPr>
        <w:t>2</w:t>
      </w:r>
      <w:r>
        <w:rPr>
          <w:b/>
          <w:bCs/>
          <w:szCs w:val="28"/>
        </w:rPr>
        <w:t>、公司具备项目所需的人员及技术储备</w:t>
      </w:r>
    </w:p>
    <w:p w14:paraId="715DB97F" w14:textId="77777777" w:rsidR="00E173A4" w:rsidRDefault="00E173A4">
      <w:pPr>
        <w:pStyle w:val="005"/>
        <w:spacing w:before="120"/>
        <w:ind w:firstLine="480"/>
        <w:rPr>
          <w:bCs/>
          <w:kern w:val="0"/>
          <w:lang w:bidi="ar"/>
        </w:rPr>
      </w:pPr>
      <w:r>
        <w:rPr>
          <w:rStyle w:val="005Char"/>
        </w:rPr>
        <w:t>在人员储备方面，公司坚持内部培养和外部引进相结合，建立人才引进及培养机制，不断壮大技术人才队伍和优化人才结构，保障公司拥有充足的人才储备，是公司实现持续研发及产品规模化生产的必要支撑。在技术储备方面，公司在研发和生产方面积累了多项专利和核心技术，覆盖产品设计、生产工艺等领域，是产品性能提升、工艺改进及新产品开发的重要保障</w:t>
      </w:r>
      <w:r>
        <w:rPr>
          <w:bCs/>
          <w:kern w:val="0"/>
          <w:lang w:bidi="ar"/>
        </w:rPr>
        <w:t>。公司拥有的人员团队及技术力量，为本项目的顺利实施打下了坚实的基础。</w:t>
      </w:r>
    </w:p>
    <w:p w14:paraId="33A2206B" w14:textId="77777777" w:rsidR="00E173A4" w:rsidRDefault="00E173A4">
      <w:pPr>
        <w:pStyle w:val="005"/>
        <w:spacing w:before="120"/>
        <w:ind w:firstLine="482"/>
        <w:rPr>
          <w:b/>
          <w:bCs/>
          <w:szCs w:val="28"/>
        </w:rPr>
      </w:pPr>
      <w:r>
        <w:rPr>
          <w:b/>
          <w:bCs/>
          <w:szCs w:val="28"/>
        </w:rPr>
        <w:t>3</w:t>
      </w:r>
      <w:r>
        <w:rPr>
          <w:b/>
          <w:bCs/>
          <w:szCs w:val="28"/>
        </w:rPr>
        <w:t>、公司拥有完善的销售网络布局</w:t>
      </w:r>
    </w:p>
    <w:p w14:paraId="6DC27645" w14:textId="77777777" w:rsidR="00E173A4" w:rsidRDefault="00E173A4">
      <w:pPr>
        <w:pStyle w:val="005"/>
        <w:spacing w:before="120"/>
        <w:ind w:firstLine="480"/>
        <w:rPr>
          <w:lang w:bidi="ar"/>
        </w:rPr>
      </w:pPr>
      <w:r>
        <w:rPr>
          <w:lang w:bidi="ar"/>
        </w:rPr>
        <w:t>公司在英国、美国、香港设有全资子公司作为国际市场销售平台，在亚洲、欧洲、美洲、大洋洲及非洲的多个国家和地区积累了一批优质的品牌客户，并形成了稳定的合作关系。此外，公司在专注国际市场的同时开始逐步开拓国内市场，先后在全国建立了多个销售办事处，服务区域覆盖了除港澳台外的大部分地区，</w:t>
      </w:r>
      <w:r>
        <w:rPr>
          <w:lang w:bidi="ar"/>
        </w:rPr>
        <w:lastRenderedPageBreak/>
        <w:t>形成了集市场开拓、销售和售后服务、信息反馈</w:t>
      </w:r>
      <w:r>
        <w:rPr>
          <w:rFonts w:ascii="宋体" w:hAnsi="宋体"/>
          <w:lang w:bidi="ar"/>
        </w:rPr>
        <w:t>“</w:t>
      </w:r>
      <w:r>
        <w:rPr>
          <w:lang w:bidi="ar"/>
        </w:rPr>
        <w:t>三位一体</w:t>
      </w:r>
      <w:r>
        <w:rPr>
          <w:rFonts w:ascii="宋体" w:hAnsi="宋体"/>
          <w:lang w:bidi="ar"/>
        </w:rPr>
        <w:t>”</w:t>
      </w:r>
      <w:r>
        <w:rPr>
          <w:lang w:bidi="ar"/>
        </w:rPr>
        <w:t>的市场营销服务网络。因此，公司拥有的销售网络布局为本项目新增产能的消化提供了保证。</w:t>
      </w:r>
    </w:p>
    <w:p w14:paraId="58402742" w14:textId="77777777" w:rsidR="00E173A4" w:rsidRDefault="00E173A4">
      <w:pPr>
        <w:pStyle w:val="005"/>
        <w:spacing w:before="120"/>
        <w:ind w:firstLine="480"/>
        <w:rPr>
          <w:lang w:bidi="ar"/>
        </w:rPr>
      </w:pPr>
      <w:r>
        <w:rPr>
          <w:lang w:bidi="ar"/>
        </w:rPr>
        <w:t>目前公司已成为阀门市场最主要的参与者之一，获得了众多行业龙头的认可，积累了丰富、优质的客户资源。</w:t>
      </w:r>
    </w:p>
    <w:p w14:paraId="302EE1EC" w14:textId="77777777" w:rsidR="00E173A4" w:rsidRDefault="00E173A4">
      <w:pPr>
        <w:pStyle w:val="005"/>
        <w:spacing w:before="120"/>
        <w:ind w:firstLine="480"/>
        <w:rPr>
          <w:lang w:bidi="ar"/>
        </w:rPr>
      </w:pPr>
      <w:r>
        <w:rPr>
          <w:lang w:bidi="ar"/>
        </w:rPr>
        <w:t>综上，公司深厚的研发实力、优质的客户资源为本次募投项目实施奠定了良好的技术基础和市场基础。通过本次募投项目，公司将进一步扩大优质产能、强化成本和价格优势、满足客户需求，巩固市场地位，提升盈利能力。</w:t>
      </w:r>
    </w:p>
    <w:bookmarkEnd w:id="112"/>
    <w:p w14:paraId="119DF780" w14:textId="77777777" w:rsidR="00E173A4" w:rsidRDefault="00E173A4">
      <w:pPr>
        <w:pStyle w:val="003"/>
        <w:spacing w:before="120" w:after="120"/>
      </w:pPr>
      <w:r>
        <w:t>（二）本次向不特定对象发行募投项目发展前景</w:t>
      </w:r>
    </w:p>
    <w:p w14:paraId="742C9807" w14:textId="77777777" w:rsidR="00E173A4" w:rsidRDefault="00E173A4">
      <w:pPr>
        <w:pStyle w:val="005"/>
        <w:spacing w:before="120"/>
        <w:ind w:firstLine="480"/>
        <w:rPr>
          <w:lang w:bidi="ar"/>
        </w:rPr>
      </w:pPr>
      <w:r>
        <w:rPr>
          <w:lang w:bidi="ar"/>
        </w:rPr>
        <w:t>本次向不特定对象发行可转换公司债券所募集的资金，在扣除相关发行费用后，将全部用于</w:t>
      </w:r>
      <w:r>
        <w:rPr>
          <w:rFonts w:ascii="宋体" w:hAnsi="宋体"/>
          <w:lang w:bidi="ar"/>
        </w:rPr>
        <w:t>“</w:t>
      </w:r>
      <w:r>
        <w:rPr>
          <w:lang w:bidi="ar"/>
        </w:rPr>
        <w:t>智慧节能阀门建设项目</w:t>
      </w:r>
      <w:r>
        <w:rPr>
          <w:rFonts w:ascii="宋体" w:hAnsi="宋体"/>
          <w:lang w:bidi="ar"/>
        </w:rPr>
        <w:t>”</w:t>
      </w:r>
      <w:r>
        <w:rPr>
          <w:lang w:bidi="ar"/>
        </w:rPr>
        <w:t>和补充流动资金。这有利于进一步提升公司的资本实力，强化竞争优势，提升公司综合实力，也有利于优化公司资本结构、降低财务风险，实现公司长期可持续发展。</w:t>
      </w:r>
    </w:p>
    <w:p w14:paraId="6DD13D06" w14:textId="77777777" w:rsidR="00E173A4" w:rsidRDefault="00E173A4">
      <w:pPr>
        <w:pStyle w:val="005"/>
        <w:spacing w:before="120"/>
        <w:ind w:firstLine="480"/>
        <w:rPr>
          <w:lang w:bidi="ar"/>
        </w:rPr>
      </w:pPr>
      <w:r>
        <w:rPr>
          <w:lang w:bidi="ar"/>
        </w:rPr>
        <w:t>本次募集资金到位并投入使用后，公司资本实力有望显著增强，进一步壮大公司实力，增强公司的竞争力，促进公司的持续发展，符合公司及全体股东的利益。</w:t>
      </w:r>
    </w:p>
    <w:p w14:paraId="0F1F1262" w14:textId="77777777" w:rsidR="00E173A4" w:rsidRDefault="00E173A4">
      <w:pPr>
        <w:pStyle w:val="005"/>
        <w:spacing w:before="120"/>
        <w:ind w:firstLine="480"/>
        <w:rPr>
          <w:rFonts w:hint="eastAsia"/>
          <w:lang w:bidi="ar"/>
        </w:rPr>
      </w:pPr>
      <w:r>
        <w:rPr>
          <w:lang w:bidi="ar"/>
        </w:rPr>
        <w:t>（以下无正文）</w:t>
      </w:r>
    </w:p>
    <w:p w14:paraId="3610EF2D" w14:textId="77777777" w:rsidR="00E173A4" w:rsidRDefault="00E173A4">
      <w:pPr>
        <w:widowControl/>
        <w:spacing w:beforeLines="50" w:before="120" w:afterLines="50" w:after="120" w:line="360" w:lineRule="auto"/>
        <w:ind w:firstLineChars="200" w:firstLine="480"/>
        <w:rPr>
          <w:rFonts w:ascii="Times New Roman" w:hAnsi="Times New Roman" w:cs="Times New Roman"/>
          <w:bCs/>
          <w:kern w:val="0"/>
          <w:sz w:val="24"/>
          <w:lang w:bidi="ar"/>
        </w:rPr>
      </w:pPr>
    </w:p>
    <w:p w14:paraId="42B46651" w14:textId="41C95EBA" w:rsidR="00E173A4" w:rsidRDefault="005D54F8">
      <w:pPr>
        <w:pageBreakBefore/>
        <w:spacing w:beforeLines="50" w:before="120" w:afterLines="50" w:after="120" w:line="360" w:lineRule="auto"/>
        <w:rPr>
          <w:rFonts w:ascii="Times New Roman" w:hAnsi="Times New Roman" w:cs="Times New Roman"/>
          <w:sz w:val="24"/>
        </w:rPr>
      </w:pPr>
      <w:r>
        <w:rPr>
          <w:noProof/>
        </w:rPr>
        <w:lastRenderedPageBreak/>
        <w:drawing>
          <wp:anchor distT="0" distB="0" distL="114300" distR="114300" simplePos="0" relativeHeight="251657216" behindDoc="0" locked="0" layoutInCell="1" allowOverlap="1" wp14:anchorId="6350B23C" wp14:editId="78A20805">
            <wp:simplePos x="0" y="0"/>
            <wp:positionH relativeFrom="column">
              <wp:posOffset>-1126490</wp:posOffset>
            </wp:positionH>
            <wp:positionV relativeFrom="paragraph">
              <wp:posOffset>-788035</wp:posOffset>
            </wp:positionV>
            <wp:extent cx="7538085" cy="9458960"/>
            <wp:effectExtent l="0" t="0" r="0" b="0"/>
            <wp:wrapNone/>
            <wp:docPr id="3291406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t="3989" b="7329"/>
                    <a:stretch>
                      <a:fillRect/>
                    </a:stretch>
                  </pic:blipFill>
                  <pic:spPr bwMode="auto">
                    <a:xfrm>
                      <a:off x="0" y="0"/>
                      <a:ext cx="7538085" cy="945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3A4">
        <w:rPr>
          <w:rFonts w:ascii="Times New Roman" w:hAnsi="Times New Roman" w:cs="Times New Roman"/>
          <w:sz w:val="24"/>
        </w:rPr>
        <w:t>（本页无正文，为《中信证券股份有限公司关于青岛伟隆阀门股份有限公司向不特定对象发行可转换公司债券之发行保荐书》之签章页）</w:t>
      </w:r>
    </w:p>
    <w:p w14:paraId="1DC60A85" w14:textId="77777777" w:rsidR="00E173A4" w:rsidRDefault="00E173A4">
      <w:pPr>
        <w:tabs>
          <w:tab w:val="left" w:pos="540"/>
        </w:tabs>
        <w:spacing w:before="120" w:after="120" w:line="360" w:lineRule="auto"/>
        <w:rPr>
          <w:rFonts w:ascii="Times New Roman" w:hAnsi="Times New Roman" w:cs="Times New Roman"/>
          <w:bCs/>
          <w:sz w:val="24"/>
        </w:rPr>
      </w:pPr>
    </w:p>
    <w:tbl>
      <w:tblPr>
        <w:tblW w:w="4956" w:type="pct"/>
        <w:tblInd w:w="-119" w:type="dxa"/>
        <w:tblLook w:val="0000" w:firstRow="0" w:lastRow="0" w:firstColumn="0" w:lastColumn="0" w:noHBand="0" w:noVBand="0"/>
      </w:tblPr>
      <w:tblGrid>
        <w:gridCol w:w="2769"/>
        <w:gridCol w:w="2664"/>
        <w:gridCol w:w="2806"/>
      </w:tblGrid>
      <w:tr w:rsidR="00E173A4" w14:paraId="45C37386" w14:textId="77777777">
        <w:trPr>
          <w:trHeight w:val="624"/>
        </w:trPr>
        <w:tc>
          <w:tcPr>
            <w:tcW w:w="1680" w:type="pct"/>
          </w:tcPr>
          <w:p w14:paraId="518E42AB"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szCs w:val="21"/>
              </w:rPr>
              <w:t>保荐代表人：</w:t>
            </w:r>
          </w:p>
        </w:tc>
        <w:tc>
          <w:tcPr>
            <w:tcW w:w="1617" w:type="pct"/>
            <w:tcBorders>
              <w:bottom w:val="single" w:sz="4" w:space="0" w:color="auto"/>
            </w:tcBorders>
            <w:vAlign w:val="center"/>
          </w:tcPr>
          <w:p w14:paraId="59A0765B" w14:textId="77777777" w:rsidR="00E173A4" w:rsidRDefault="00E173A4">
            <w:pPr>
              <w:spacing w:beforeLines="50" w:before="120" w:line="300" w:lineRule="auto"/>
              <w:rPr>
                <w:rFonts w:ascii="Times New Roman" w:hAnsi="Times New Roman" w:cs="Times New Roman"/>
                <w:sz w:val="24"/>
                <w:szCs w:val="21"/>
              </w:rPr>
            </w:pPr>
          </w:p>
        </w:tc>
        <w:tc>
          <w:tcPr>
            <w:tcW w:w="1703" w:type="pct"/>
            <w:vAlign w:val="center"/>
          </w:tcPr>
          <w:p w14:paraId="7BE971E6"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77689069" w14:textId="77777777">
        <w:trPr>
          <w:trHeight w:val="624"/>
        </w:trPr>
        <w:tc>
          <w:tcPr>
            <w:tcW w:w="1680" w:type="pct"/>
          </w:tcPr>
          <w:p w14:paraId="7633B5F7"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38D8C037" w14:textId="77777777" w:rsidR="00E173A4" w:rsidRDefault="00E173A4">
            <w:pPr>
              <w:spacing w:beforeLines="50" w:before="120" w:line="300" w:lineRule="auto"/>
              <w:ind w:firstLineChars="350" w:firstLine="840"/>
              <w:rPr>
                <w:rFonts w:ascii="Times New Roman" w:hAnsi="Times New Roman" w:cs="Times New Roman"/>
                <w:sz w:val="24"/>
                <w:szCs w:val="21"/>
              </w:rPr>
            </w:pPr>
            <w:r>
              <w:rPr>
                <w:rFonts w:ascii="Times New Roman" w:hAnsi="Times New Roman" w:cs="Times New Roman"/>
                <w:sz w:val="24"/>
              </w:rPr>
              <w:t>王冠男</w:t>
            </w:r>
          </w:p>
        </w:tc>
        <w:tc>
          <w:tcPr>
            <w:tcW w:w="1703" w:type="pct"/>
            <w:vAlign w:val="center"/>
          </w:tcPr>
          <w:p w14:paraId="6E52BEA4" w14:textId="77777777" w:rsidR="00E173A4" w:rsidRDefault="00E173A4">
            <w:pPr>
              <w:wordWrap w:val="0"/>
              <w:spacing w:beforeLines="50" w:before="120" w:line="300" w:lineRule="auto"/>
              <w:jc w:val="right"/>
              <w:rPr>
                <w:rFonts w:ascii="Times New Roman" w:hAnsi="Times New Roman" w:cs="Times New Roman"/>
                <w:sz w:val="24"/>
                <w:szCs w:val="21"/>
              </w:rPr>
            </w:pPr>
          </w:p>
        </w:tc>
      </w:tr>
      <w:tr w:rsidR="00E173A4" w14:paraId="47EF3FA7" w14:textId="77777777">
        <w:trPr>
          <w:trHeight w:val="624"/>
        </w:trPr>
        <w:tc>
          <w:tcPr>
            <w:tcW w:w="1680" w:type="pct"/>
          </w:tcPr>
          <w:p w14:paraId="01790FA6"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bottom w:val="single" w:sz="4" w:space="0" w:color="auto"/>
            </w:tcBorders>
            <w:vAlign w:val="center"/>
          </w:tcPr>
          <w:p w14:paraId="1C59FE64" w14:textId="77777777" w:rsidR="00E173A4" w:rsidRDefault="00E173A4">
            <w:pPr>
              <w:spacing w:beforeLines="50" w:before="120" w:line="300" w:lineRule="auto"/>
              <w:ind w:firstLineChars="350" w:firstLine="840"/>
              <w:rPr>
                <w:rFonts w:ascii="Times New Roman" w:hAnsi="Times New Roman" w:cs="Times New Roman"/>
                <w:sz w:val="24"/>
              </w:rPr>
            </w:pPr>
          </w:p>
        </w:tc>
        <w:tc>
          <w:tcPr>
            <w:tcW w:w="1703" w:type="pct"/>
            <w:vAlign w:val="center"/>
          </w:tcPr>
          <w:p w14:paraId="438106D0"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5E0B6BB8" w14:textId="77777777">
        <w:trPr>
          <w:trHeight w:val="624"/>
        </w:trPr>
        <w:tc>
          <w:tcPr>
            <w:tcW w:w="1680" w:type="pct"/>
          </w:tcPr>
          <w:p w14:paraId="4069C2FC"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346A04CE" w14:textId="77777777" w:rsidR="00E173A4" w:rsidRDefault="00E173A4">
            <w:pPr>
              <w:spacing w:beforeLines="50" w:before="120" w:line="300" w:lineRule="auto"/>
              <w:ind w:firstLineChars="350" w:firstLine="840"/>
              <w:rPr>
                <w:rFonts w:ascii="Times New Roman" w:hAnsi="Times New Roman" w:cs="Times New Roman"/>
                <w:sz w:val="24"/>
              </w:rPr>
            </w:pPr>
            <w:r>
              <w:rPr>
                <w:rFonts w:ascii="Times New Roman" w:hAnsi="Times New Roman" w:cs="Times New Roman" w:hint="eastAsia"/>
                <w:sz w:val="24"/>
              </w:rPr>
              <w:t>李</w:t>
            </w:r>
            <w:r>
              <w:rPr>
                <w:rFonts w:ascii="Times New Roman" w:hAnsi="Times New Roman" w:cs="Times New Roman" w:hint="eastAsia"/>
                <w:sz w:val="24"/>
              </w:rPr>
              <w:t xml:space="preserve">  </w:t>
            </w:r>
            <w:r>
              <w:rPr>
                <w:rFonts w:ascii="Times New Roman" w:hAnsi="Times New Roman" w:cs="Times New Roman" w:hint="eastAsia"/>
                <w:sz w:val="24"/>
              </w:rPr>
              <w:t>良</w:t>
            </w:r>
          </w:p>
        </w:tc>
        <w:tc>
          <w:tcPr>
            <w:tcW w:w="1703" w:type="pct"/>
            <w:vAlign w:val="center"/>
          </w:tcPr>
          <w:p w14:paraId="624722B5"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4B877A7A" w14:textId="77777777">
        <w:trPr>
          <w:trHeight w:val="624"/>
        </w:trPr>
        <w:tc>
          <w:tcPr>
            <w:tcW w:w="1680" w:type="pct"/>
          </w:tcPr>
          <w:p w14:paraId="7730563F"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szCs w:val="21"/>
              </w:rPr>
              <w:t>项目协办人：</w:t>
            </w:r>
          </w:p>
        </w:tc>
        <w:tc>
          <w:tcPr>
            <w:tcW w:w="1617" w:type="pct"/>
            <w:tcBorders>
              <w:bottom w:val="single" w:sz="4" w:space="0" w:color="auto"/>
            </w:tcBorders>
            <w:vAlign w:val="center"/>
          </w:tcPr>
          <w:p w14:paraId="14699804" w14:textId="77777777" w:rsidR="00E173A4" w:rsidRDefault="00E173A4">
            <w:pPr>
              <w:spacing w:beforeLines="50" w:before="120" w:line="300" w:lineRule="auto"/>
              <w:ind w:firstLineChars="350" w:firstLine="840"/>
              <w:rPr>
                <w:rFonts w:ascii="Times New Roman" w:hAnsi="Times New Roman" w:cs="Times New Roman"/>
                <w:sz w:val="24"/>
              </w:rPr>
            </w:pPr>
          </w:p>
        </w:tc>
        <w:tc>
          <w:tcPr>
            <w:tcW w:w="1703" w:type="pct"/>
            <w:vAlign w:val="center"/>
          </w:tcPr>
          <w:p w14:paraId="31F97EF0"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06C9E4E7" w14:textId="77777777">
        <w:trPr>
          <w:trHeight w:val="624"/>
        </w:trPr>
        <w:tc>
          <w:tcPr>
            <w:tcW w:w="1680" w:type="pct"/>
          </w:tcPr>
          <w:p w14:paraId="27728A7D"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7037B406" w14:textId="77777777" w:rsidR="00E173A4" w:rsidRDefault="00E173A4">
            <w:pPr>
              <w:spacing w:beforeLines="50" w:before="120" w:line="300" w:lineRule="auto"/>
              <w:ind w:firstLineChars="350" w:firstLine="840"/>
              <w:rPr>
                <w:rFonts w:ascii="Times New Roman" w:hAnsi="Times New Roman" w:cs="Times New Roman"/>
                <w:sz w:val="24"/>
              </w:rPr>
            </w:pPr>
            <w:r>
              <w:rPr>
                <w:rFonts w:ascii="Times New Roman" w:hAnsi="Times New Roman" w:cs="Times New Roman"/>
                <w:sz w:val="24"/>
              </w:rPr>
              <w:t>何</w:t>
            </w:r>
            <w:r>
              <w:rPr>
                <w:rFonts w:ascii="Times New Roman" w:hAnsi="Times New Roman" w:cs="Times New Roman"/>
                <w:sz w:val="24"/>
              </w:rPr>
              <w:t xml:space="preserve">  </w:t>
            </w:r>
            <w:r>
              <w:rPr>
                <w:rFonts w:ascii="Times New Roman" w:hAnsi="Times New Roman" w:cs="Times New Roman"/>
                <w:sz w:val="24"/>
              </w:rPr>
              <w:t>帅</w:t>
            </w:r>
          </w:p>
        </w:tc>
        <w:tc>
          <w:tcPr>
            <w:tcW w:w="1703" w:type="pct"/>
            <w:vAlign w:val="center"/>
          </w:tcPr>
          <w:p w14:paraId="2402497C"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748C7E39" w14:textId="77777777">
        <w:trPr>
          <w:trHeight w:val="624"/>
        </w:trPr>
        <w:tc>
          <w:tcPr>
            <w:tcW w:w="1680" w:type="pct"/>
          </w:tcPr>
          <w:p w14:paraId="0A5F3701"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rPr>
              <w:t>内核负责人：</w:t>
            </w:r>
          </w:p>
        </w:tc>
        <w:tc>
          <w:tcPr>
            <w:tcW w:w="1617" w:type="pct"/>
            <w:tcBorders>
              <w:bottom w:val="single" w:sz="4" w:space="0" w:color="auto"/>
            </w:tcBorders>
            <w:vAlign w:val="center"/>
          </w:tcPr>
          <w:p w14:paraId="01CDE6FA" w14:textId="77777777" w:rsidR="00E173A4" w:rsidRDefault="00E173A4">
            <w:pPr>
              <w:spacing w:beforeLines="50" w:before="120" w:line="300" w:lineRule="auto"/>
              <w:rPr>
                <w:rFonts w:ascii="Times New Roman" w:hAnsi="Times New Roman" w:cs="Times New Roman"/>
                <w:sz w:val="24"/>
                <w:szCs w:val="21"/>
              </w:rPr>
            </w:pPr>
          </w:p>
        </w:tc>
        <w:tc>
          <w:tcPr>
            <w:tcW w:w="1703" w:type="pct"/>
            <w:vAlign w:val="center"/>
          </w:tcPr>
          <w:p w14:paraId="5322AE7B"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39F6BEC3" w14:textId="77777777">
        <w:trPr>
          <w:trHeight w:val="624"/>
        </w:trPr>
        <w:tc>
          <w:tcPr>
            <w:tcW w:w="1680" w:type="pct"/>
          </w:tcPr>
          <w:p w14:paraId="4CD343DF"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5FDFA2E4" w14:textId="77777777" w:rsidR="00E173A4" w:rsidRDefault="00E173A4">
            <w:pPr>
              <w:spacing w:beforeLines="50" w:before="120" w:line="300" w:lineRule="auto"/>
              <w:ind w:firstLineChars="350" w:firstLine="840"/>
              <w:rPr>
                <w:rFonts w:ascii="Times New Roman" w:hAnsi="Times New Roman" w:cs="Times New Roman"/>
                <w:sz w:val="24"/>
                <w:szCs w:val="21"/>
              </w:rPr>
            </w:pPr>
            <w:r>
              <w:rPr>
                <w:rFonts w:ascii="Times New Roman" w:hAnsi="Times New Roman" w:cs="Times New Roman"/>
                <w:sz w:val="24"/>
                <w:szCs w:val="21"/>
              </w:rPr>
              <w:t>朱</w:t>
            </w:r>
            <w:r>
              <w:rPr>
                <w:rFonts w:ascii="Times New Roman" w:hAnsi="Times New Roman" w:cs="Times New Roman"/>
                <w:sz w:val="24"/>
                <w:szCs w:val="21"/>
              </w:rPr>
              <w:t xml:space="preserve">  </w:t>
            </w:r>
            <w:r>
              <w:rPr>
                <w:rFonts w:ascii="Times New Roman" w:hAnsi="Times New Roman" w:cs="Times New Roman"/>
                <w:sz w:val="24"/>
                <w:szCs w:val="21"/>
              </w:rPr>
              <w:t>洁</w:t>
            </w:r>
          </w:p>
        </w:tc>
        <w:tc>
          <w:tcPr>
            <w:tcW w:w="1703" w:type="pct"/>
            <w:vAlign w:val="center"/>
          </w:tcPr>
          <w:p w14:paraId="2178FFB6"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192AEF0E" w14:textId="77777777">
        <w:trPr>
          <w:trHeight w:val="624"/>
        </w:trPr>
        <w:tc>
          <w:tcPr>
            <w:tcW w:w="1680" w:type="pct"/>
          </w:tcPr>
          <w:p w14:paraId="4A0109EB"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szCs w:val="21"/>
              </w:rPr>
              <w:t>保荐业务部门负责人</w:t>
            </w:r>
          </w:p>
        </w:tc>
        <w:tc>
          <w:tcPr>
            <w:tcW w:w="1617" w:type="pct"/>
            <w:tcBorders>
              <w:bottom w:val="single" w:sz="4" w:space="0" w:color="auto"/>
            </w:tcBorders>
            <w:vAlign w:val="center"/>
          </w:tcPr>
          <w:p w14:paraId="24E6565D" w14:textId="77777777" w:rsidR="00E173A4" w:rsidRDefault="00E173A4">
            <w:pPr>
              <w:spacing w:beforeLines="50" w:before="120" w:line="300" w:lineRule="auto"/>
              <w:ind w:firstLineChars="350" w:firstLine="840"/>
              <w:rPr>
                <w:rFonts w:ascii="Times New Roman" w:hAnsi="Times New Roman" w:cs="Times New Roman"/>
                <w:sz w:val="24"/>
                <w:szCs w:val="21"/>
              </w:rPr>
            </w:pPr>
          </w:p>
        </w:tc>
        <w:tc>
          <w:tcPr>
            <w:tcW w:w="1703" w:type="pct"/>
            <w:vAlign w:val="center"/>
          </w:tcPr>
          <w:p w14:paraId="338BE708"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3494D3D4" w14:textId="77777777">
        <w:trPr>
          <w:trHeight w:val="624"/>
        </w:trPr>
        <w:tc>
          <w:tcPr>
            <w:tcW w:w="1680" w:type="pct"/>
          </w:tcPr>
          <w:p w14:paraId="1F21BB10"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6C121985" w14:textId="77777777" w:rsidR="00E173A4" w:rsidRDefault="00E173A4">
            <w:pPr>
              <w:spacing w:beforeLines="50" w:before="120" w:line="300" w:lineRule="auto"/>
              <w:ind w:firstLineChars="350" w:firstLine="840"/>
              <w:rPr>
                <w:rFonts w:ascii="Times New Roman" w:hAnsi="Times New Roman" w:cs="Times New Roman"/>
                <w:sz w:val="24"/>
                <w:szCs w:val="21"/>
              </w:rPr>
            </w:pPr>
            <w:r>
              <w:rPr>
                <w:rFonts w:ascii="Times New Roman" w:hAnsi="Times New Roman" w:cs="Times New Roman"/>
                <w:sz w:val="24"/>
                <w:szCs w:val="21"/>
              </w:rPr>
              <w:t>唐</w:t>
            </w:r>
            <w:r>
              <w:rPr>
                <w:rFonts w:ascii="Times New Roman" w:hAnsi="Times New Roman" w:cs="Times New Roman"/>
                <w:sz w:val="24"/>
                <w:szCs w:val="21"/>
              </w:rPr>
              <w:t xml:space="preserve">  </w:t>
            </w:r>
            <w:r>
              <w:rPr>
                <w:rFonts w:ascii="Times New Roman" w:hAnsi="Times New Roman" w:cs="Times New Roman"/>
                <w:sz w:val="24"/>
                <w:szCs w:val="21"/>
              </w:rPr>
              <w:t>亮</w:t>
            </w:r>
          </w:p>
        </w:tc>
        <w:tc>
          <w:tcPr>
            <w:tcW w:w="1703" w:type="pct"/>
            <w:vAlign w:val="center"/>
          </w:tcPr>
          <w:p w14:paraId="0D69F2D0"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3B689AFF" w14:textId="77777777">
        <w:trPr>
          <w:trHeight w:val="624"/>
        </w:trPr>
        <w:tc>
          <w:tcPr>
            <w:tcW w:w="1680" w:type="pct"/>
          </w:tcPr>
          <w:p w14:paraId="4C8F43AE"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rPr>
              <w:t>保荐业务负责人：</w:t>
            </w:r>
          </w:p>
        </w:tc>
        <w:tc>
          <w:tcPr>
            <w:tcW w:w="1617" w:type="pct"/>
            <w:tcBorders>
              <w:bottom w:val="single" w:sz="4" w:space="0" w:color="auto"/>
            </w:tcBorders>
            <w:vAlign w:val="center"/>
          </w:tcPr>
          <w:p w14:paraId="2F2457FB" w14:textId="77777777" w:rsidR="00E173A4" w:rsidRDefault="00E173A4">
            <w:pPr>
              <w:spacing w:beforeLines="50" w:before="120" w:line="300" w:lineRule="auto"/>
              <w:rPr>
                <w:rFonts w:ascii="Times New Roman" w:hAnsi="Times New Roman" w:cs="Times New Roman"/>
                <w:sz w:val="24"/>
                <w:szCs w:val="21"/>
              </w:rPr>
            </w:pPr>
          </w:p>
        </w:tc>
        <w:tc>
          <w:tcPr>
            <w:tcW w:w="1703" w:type="pct"/>
            <w:vAlign w:val="center"/>
          </w:tcPr>
          <w:p w14:paraId="205015FF"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57F8E699" w14:textId="77777777">
        <w:trPr>
          <w:trHeight w:val="624"/>
        </w:trPr>
        <w:tc>
          <w:tcPr>
            <w:tcW w:w="1680" w:type="pct"/>
          </w:tcPr>
          <w:p w14:paraId="370F0DCA"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5790E076" w14:textId="77777777" w:rsidR="00E173A4" w:rsidRDefault="00E173A4">
            <w:pPr>
              <w:spacing w:beforeLines="50" w:before="120" w:line="300" w:lineRule="auto"/>
              <w:ind w:firstLineChars="350" w:firstLine="840"/>
              <w:rPr>
                <w:rFonts w:ascii="Times New Roman" w:hAnsi="Times New Roman" w:cs="Times New Roman"/>
                <w:sz w:val="24"/>
                <w:szCs w:val="21"/>
              </w:rPr>
            </w:pPr>
            <w:r>
              <w:rPr>
                <w:rFonts w:ascii="Times New Roman" w:hAnsi="Times New Roman" w:cs="Times New Roman"/>
                <w:sz w:val="24"/>
              </w:rPr>
              <w:t>马</w:t>
            </w:r>
            <w:r>
              <w:rPr>
                <w:rFonts w:ascii="Times New Roman" w:hAnsi="Times New Roman" w:cs="Times New Roman"/>
                <w:sz w:val="24"/>
              </w:rPr>
              <w:t xml:space="preserve">  </w:t>
            </w:r>
            <w:r>
              <w:rPr>
                <w:rFonts w:ascii="Times New Roman" w:hAnsi="Times New Roman" w:cs="Times New Roman"/>
                <w:sz w:val="24"/>
              </w:rPr>
              <w:t>尧</w:t>
            </w:r>
          </w:p>
        </w:tc>
        <w:tc>
          <w:tcPr>
            <w:tcW w:w="1703" w:type="pct"/>
            <w:vAlign w:val="center"/>
          </w:tcPr>
          <w:p w14:paraId="6C000627"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107A6E03" w14:textId="77777777">
        <w:trPr>
          <w:trHeight w:val="624"/>
        </w:trPr>
        <w:tc>
          <w:tcPr>
            <w:tcW w:w="1680" w:type="pct"/>
          </w:tcPr>
          <w:p w14:paraId="02B37319"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szCs w:val="21"/>
              </w:rPr>
              <w:t>总经理：</w:t>
            </w:r>
          </w:p>
        </w:tc>
        <w:tc>
          <w:tcPr>
            <w:tcW w:w="1617" w:type="pct"/>
            <w:tcBorders>
              <w:bottom w:val="single" w:sz="4" w:space="0" w:color="auto"/>
            </w:tcBorders>
            <w:vAlign w:val="center"/>
          </w:tcPr>
          <w:p w14:paraId="39532EB2" w14:textId="77777777" w:rsidR="00E173A4" w:rsidRDefault="00E173A4">
            <w:pPr>
              <w:spacing w:beforeLines="50" w:before="120" w:line="300" w:lineRule="auto"/>
              <w:ind w:firstLineChars="350" w:firstLine="840"/>
              <w:rPr>
                <w:rFonts w:ascii="Times New Roman" w:hAnsi="Times New Roman" w:cs="Times New Roman"/>
                <w:sz w:val="24"/>
              </w:rPr>
            </w:pPr>
          </w:p>
        </w:tc>
        <w:tc>
          <w:tcPr>
            <w:tcW w:w="1703" w:type="pct"/>
            <w:vAlign w:val="center"/>
          </w:tcPr>
          <w:p w14:paraId="47332760"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7B244718" w14:textId="77777777">
        <w:trPr>
          <w:trHeight w:val="624"/>
        </w:trPr>
        <w:tc>
          <w:tcPr>
            <w:tcW w:w="1680" w:type="pct"/>
          </w:tcPr>
          <w:p w14:paraId="43DB1E4A"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4825D55F" w14:textId="77777777" w:rsidR="00E173A4" w:rsidRDefault="00E173A4">
            <w:pPr>
              <w:spacing w:beforeLines="50" w:before="120" w:line="300" w:lineRule="auto"/>
              <w:ind w:firstLineChars="350" w:firstLine="840"/>
              <w:rPr>
                <w:rFonts w:ascii="Times New Roman" w:hAnsi="Times New Roman" w:cs="Times New Roman"/>
                <w:sz w:val="24"/>
              </w:rPr>
            </w:pPr>
            <w:r>
              <w:rPr>
                <w:rFonts w:ascii="Times New Roman" w:hAnsi="Times New Roman" w:cs="Times New Roman"/>
                <w:sz w:val="24"/>
              </w:rPr>
              <w:t>杨明辉</w:t>
            </w:r>
          </w:p>
        </w:tc>
        <w:tc>
          <w:tcPr>
            <w:tcW w:w="1703" w:type="pct"/>
            <w:vAlign w:val="center"/>
          </w:tcPr>
          <w:p w14:paraId="6E778B34"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3A3587A0" w14:textId="77777777">
        <w:trPr>
          <w:trHeight w:val="624"/>
        </w:trPr>
        <w:tc>
          <w:tcPr>
            <w:tcW w:w="1680" w:type="pct"/>
          </w:tcPr>
          <w:p w14:paraId="39C851A4"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szCs w:val="21"/>
              </w:rPr>
              <w:t>董事长、法定代表人：</w:t>
            </w:r>
          </w:p>
        </w:tc>
        <w:tc>
          <w:tcPr>
            <w:tcW w:w="1617" w:type="pct"/>
            <w:tcBorders>
              <w:bottom w:val="single" w:sz="4" w:space="0" w:color="auto"/>
            </w:tcBorders>
            <w:vAlign w:val="center"/>
          </w:tcPr>
          <w:p w14:paraId="54F0C609" w14:textId="77777777" w:rsidR="00E173A4" w:rsidRDefault="00E173A4">
            <w:pPr>
              <w:spacing w:beforeLines="50" w:before="120" w:line="300" w:lineRule="auto"/>
              <w:ind w:firstLineChars="350" w:firstLine="840"/>
              <w:rPr>
                <w:rFonts w:ascii="Times New Roman" w:hAnsi="Times New Roman" w:cs="Times New Roman"/>
                <w:sz w:val="24"/>
              </w:rPr>
            </w:pPr>
          </w:p>
        </w:tc>
        <w:tc>
          <w:tcPr>
            <w:tcW w:w="1703" w:type="pct"/>
            <w:vAlign w:val="center"/>
          </w:tcPr>
          <w:p w14:paraId="33EA2FB8"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205A22AF" w14:textId="77777777">
        <w:trPr>
          <w:trHeight w:val="624"/>
        </w:trPr>
        <w:tc>
          <w:tcPr>
            <w:tcW w:w="1680" w:type="pct"/>
          </w:tcPr>
          <w:p w14:paraId="32A0E08A" w14:textId="77777777" w:rsidR="00E173A4" w:rsidRDefault="00E173A4">
            <w:pPr>
              <w:adjustRightInd w:val="0"/>
              <w:spacing w:beforeLines="50" w:before="120" w:line="300" w:lineRule="auto"/>
              <w:jc w:val="center"/>
              <w:rPr>
                <w:rFonts w:ascii="Times New Roman" w:hAnsi="Times New Roman" w:cs="Times New Roman"/>
                <w:sz w:val="24"/>
                <w:szCs w:val="21"/>
              </w:rPr>
            </w:pPr>
          </w:p>
        </w:tc>
        <w:tc>
          <w:tcPr>
            <w:tcW w:w="1617" w:type="pct"/>
            <w:tcBorders>
              <w:top w:val="single" w:sz="4" w:space="0" w:color="auto"/>
            </w:tcBorders>
            <w:vAlign w:val="center"/>
          </w:tcPr>
          <w:p w14:paraId="60D2D8AF" w14:textId="77777777" w:rsidR="00E173A4" w:rsidRDefault="00E173A4">
            <w:pPr>
              <w:spacing w:beforeLines="50" w:before="120" w:line="300" w:lineRule="auto"/>
              <w:ind w:firstLineChars="350" w:firstLine="840"/>
              <w:rPr>
                <w:rFonts w:ascii="Times New Roman" w:hAnsi="Times New Roman" w:cs="Times New Roman"/>
                <w:sz w:val="24"/>
              </w:rPr>
            </w:pPr>
            <w:r>
              <w:rPr>
                <w:rFonts w:ascii="Times New Roman" w:hAnsi="Times New Roman" w:cs="Times New Roman"/>
                <w:sz w:val="24"/>
              </w:rPr>
              <w:t>张佑君</w:t>
            </w:r>
          </w:p>
        </w:tc>
        <w:tc>
          <w:tcPr>
            <w:tcW w:w="1703" w:type="pct"/>
            <w:vAlign w:val="center"/>
          </w:tcPr>
          <w:p w14:paraId="13CFA784" w14:textId="77777777" w:rsidR="00E173A4" w:rsidRDefault="00E173A4">
            <w:pPr>
              <w:spacing w:beforeLines="50" w:before="120" w:line="300" w:lineRule="auto"/>
              <w:jc w:val="right"/>
              <w:rPr>
                <w:rFonts w:ascii="Times New Roman" w:hAnsi="Times New Roman" w:cs="Times New Roman"/>
                <w:sz w:val="24"/>
                <w:szCs w:val="21"/>
              </w:rPr>
            </w:pPr>
          </w:p>
        </w:tc>
      </w:tr>
      <w:tr w:rsidR="00E173A4" w14:paraId="58B9E00D" w14:textId="77777777">
        <w:trPr>
          <w:trHeight w:val="1134"/>
        </w:trPr>
        <w:tc>
          <w:tcPr>
            <w:tcW w:w="1680" w:type="pct"/>
            <w:vAlign w:val="bottom"/>
          </w:tcPr>
          <w:p w14:paraId="3CF16219" w14:textId="77777777" w:rsidR="00E173A4" w:rsidRDefault="00E173A4">
            <w:pPr>
              <w:adjustRightInd w:val="0"/>
              <w:spacing w:beforeLines="50" w:before="120" w:line="300" w:lineRule="auto"/>
              <w:rPr>
                <w:rFonts w:ascii="Times New Roman" w:hAnsi="Times New Roman" w:cs="Times New Roman"/>
                <w:sz w:val="24"/>
                <w:szCs w:val="21"/>
              </w:rPr>
            </w:pPr>
            <w:r>
              <w:rPr>
                <w:rFonts w:ascii="Times New Roman" w:hAnsi="Times New Roman" w:cs="Times New Roman"/>
                <w:sz w:val="24"/>
                <w:szCs w:val="21"/>
              </w:rPr>
              <w:t>保荐机构公章：</w:t>
            </w:r>
          </w:p>
        </w:tc>
        <w:tc>
          <w:tcPr>
            <w:tcW w:w="1617" w:type="pct"/>
            <w:vAlign w:val="bottom"/>
          </w:tcPr>
          <w:p w14:paraId="134D40B6" w14:textId="77777777" w:rsidR="00E173A4" w:rsidRDefault="00E173A4">
            <w:pPr>
              <w:spacing w:beforeLines="50" w:before="120" w:line="300" w:lineRule="auto"/>
              <w:rPr>
                <w:rFonts w:ascii="Times New Roman" w:hAnsi="Times New Roman" w:cs="Times New Roman"/>
                <w:sz w:val="24"/>
              </w:rPr>
            </w:pPr>
            <w:r>
              <w:rPr>
                <w:rFonts w:ascii="Times New Roman" w:hAnsi="Times New Roman" w:cs="Times New Roman"/>
                <w:sz w:val="24"/>
              </w:rPr>
              <w:t>中信证券股份有限公司</w:t>
            </w:r>
          </w:p>
        </w:tc>
        <w:tc>
          <w:tcPr>
            <w:tcW w:w="1703" w:type="pct"/>
            <w:vAlign w:val="bottom"/>
          </w:tcPr>
          <w:p w14:paraId="15B8419D" w14:textId="77777777" w:rsidR="00E173A4" w:rsidRDefault="00E173A4">
            <w:pPr>
              <w:spacing w:beforeLines="50" w:before="120" w:line="300" w:lineRule="auto"/>
              <w:jc w:val="right"/>
              <w:rPr>
                <w:rFonts w:ascii="Times New Roman" w:hAnsi="Times New Roman" w:cs="Times New Roman"/>
                <w:sz w:val="24"/>
                <w:szCs w:val="21"/>
              </w:rPr>
            </w:pPr>
            <w:r>
              <w:rPr>
                <w:rFonts w:ascii="Times New Roman" w:hAnsi="Times New Roman" w:cs="Times New Roman"/>
                <w:sz w:val="24"/>
                <w:szCs w:val="21"/>
              </w:rPr>
              <w:t>年</w:t>
            </w:r>
            <w:r>
              <w:rPr>
                <w:rFonts w:ascii="Times New Roman" w:hAnsi="Times New Roman" w:cs="Times New Roman"/>
                <w:sz w:val="24"/>
                <w:szCs w:val="21"/>
              </w:rPr>
              <w:t xml:space="preserve">    </w:t>
            </w:r>
            <w:r>
              <w:rPr>
                <w:rFonts w:ascii="Times New Roman" w:hAnsi="Times New Roman" w:cs="Times New Roman"/>
                <w:sz w:val="24"/>
                <w:szCs w:val="21"/>
              </w:rPr>
              <w:t>月</w:t>
            </w:r>
            <w:r>
              <w:rPr>
                <w:rFonts w:ascii="Times New Roman" w:hAnsi="Times New Roman" w:cs="Times New Roman"/>
                <w:sz w:val="24"/>
                <w:szCs w:val="21"/>
              </w:rPr>
              <w:t xml:space="preserve">    </w:t>
            </w:r>
            <w:r>
              <w:rPr>
                <w:rFonts w:ascii="Times New Roman" w:hAnsi="Times New Roman" w:cs="Times New Roman"/>
                <w:sz w:val="24"/>
                <w:szCs w:val="21"/>
              </w:rPr>
              <w:t>日</w:t>
            </w:r>
          </w:p>
        </w:tc>
      </w:tr>
    </w:tbl>
    <w:p w14:paraId="6DD53F84" w14:textId="77777777" w:rsidR="00E173A4" w:rsidRDefault="00E173A4">
      <w:pPr>
        <w:pStyle w:val="005"/>
        <w:spacing w:before="120"/>
        <w:ind w:firstLine="480"/>
      </w:pPr>
    </w:p>
    <w:p w14:paraId="28F2A144" w14:textId="77777777" w:rsidR="00E173A4" w:rsidRDefault="00E173A4">
      <w:pPr>
        <w:pStyle w:val="005"/>
        <w:spacing w:before="120"/>
        <w:ind w:firstLineChars="0" w:firstLine="0"/>
        <w:rPr>
          <w:rFonts w:eastAsia="黑体"/>
          <w:b/>
          <w:sz w:val="32"/>
          <w:szCs w:val="32"/>
        </w:rPr>
      </w:pPr>
      <w:r>
        <w:br w:type="page"/>
      </w:r>
      <w:bookmarkStart w:id="113" w:name="_Toc87299702"/>
      <w:bookmarkStart w:id="114" w:name="_Toc28189518"/>
      <w:bookmarkStart w:id="115" w:name="_Toc23595216"/>
      <w:bookmarkStart w:id="116" w:name="_Toc101358308"/>
      <w:bookmarkStart w:id="117" w:name="_Toc534377301"/>
      <w:r>
        <w:rPr>
          <w:rFonts w:eastAsia="黑体"/>
          <w:b/>
          <w:sz w:val="32"/>
          <w:szCs w:val="32"/>
        </w:rPr>
        <w:lastRenderedPageBreak/>
        <w:t>附件一</w:t>
      </w:r>
      <w:bookmarkEnd w:id="113"/>
      <w:bookmarkEnd w:id="114"/>
      <w:bookmarkEnd w:id="115"/>
      <w:bookmarkEnd w:id="116"/>
      <w:bookmarkEnd w:id="117"/>
    </w:p>
    <w:p w14:paraId="7F218058" w14:textId="6856208E" w:rsidR="00E173A4" w:rsidRDefault="005D54F8">
      <w:pPr>
        <w:spacing w:before="120"/>
        <w:jc w:val="center"/>
        <w:rPr>
          <w:rFonts w:ascii="Times New Roman" w:hAnsi="Times New Roman" w:cs="Times New Roman"/>
          <w:b/>
          <w:bCs/>
          <w:sz w:val="28"/>
          <w:szCs w:val="28"/>
          <w:lang w:val="zh-CN"/>
        </w:rPr>
      </w:pPr>
      <w:r>
        <w:rPr>
          <w:noProof/>
        </w:rPr>
        <w:drawing>
          <wp:anchor distT="0" distB="0" distL="114300" distR="114300" simplePos="0" relativeHeight="251658240" behindDoc="0" locked="0" layoutInCell="1" allowOverlap="1" wp14:anchorId="29D28F59" wp14:editId="6543E481">
            <wp:simplePos x="0" y="0"/>
            <wp:positionH relativeFrom="column">
              <wp:posOffset>-1126490</wp:posOffset>
            </wp:positionH>
            <wp:positionV relativeFrom="paragraph">
              <wp:posOffset>-1400810</wp:posOffset>
            </wp:positionV>
            <wp:extent cx="7536180" cy="9773285"/>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b="8566"/>
                    <a:stretch>
                      <a:fillRect/>
                    </a:stretch>
                  </pic:blipFill>
                  <pic:spPr bwMode="auto">
                    <a:xfrm>
                      <a:off x="0" y="0"/>
                      <a:ext cx="7536180" cy="977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3A4">
        <w:rPr>
          <w:rFonts w:ascii="Times New Roman" w:hAnsi="Times New Roman" w:cs="Times New Roman"/>
          <w:b/>
          <w:bCs/>
          <w:sz w:val="28"/>
          <w:szCs w:val="28"/>
          <w:lang w:val="zh-CN"/>
        </w:rPr>
        <w:t>保荐代表人专项授权书</w:t>
      </w:r>
    </w:p>
    <w:p w14:paraId="4345BD95" w14:textId="77777777" w:rsidR="00E173A4" w:rsidRDefault="00E173A4">
      <w:pPr>
        <w:pStyle w:val="005"/>
        <w:spacing w:before="120"/>
        <w:ind w:firstLine="480"/>
        <w:rPr>
          <w:lang w:val="zh-CN"/>
        </w:rPr>
      </w:pPr>
      <w:r>
        <w:rPr>
          <w:lang w:val="zh-CN"/>
        </w:rPr>
        <w:t>本人，张佑君，中信证券股份有限公司法定代表人，在此授权本公司投资银行管理委员会</w:t>
      </w:r>
      <w:r>
        <w:t>王冠男和</w:t>
      </w:r>
      <w:r>
        <w:rPr>
          <w:rFonts w:hint="eastAsia"/>
        </w:rPr>
        <w:t>李良</w:t>
      </w:r>
      <w:r>
        <w:rPr>
          <w:lang w:val="zh-CN"/>
        </w:rPr>
        <w:t>担任青岛伟隆阀门股份有限公司</w:t>
      </w:r>
      <w:r>
        <w:t>向不特定对象发行可转换公司债券</w:t>
      </w:r>
      <w:r>
        <w:rPr>
          <w:lang w:val="zh-CN"/>
        </w:rPr>
        <w:t>项目的保荐代表人，负责青岛伟隆阀门股份有限公司</w:t>
      </w:r>
      <w:r>
        <w:t>向不特定对象发行可转换公司债券</w:t>
      </w:r>
      <w:r>
        <w:rPr>
          <w:lang w:val="zh-CN"/>
        </w:rPr>
        <w:t>工作，及向不特定对象发行可转换公司债券上市后对</w:t>
      </w:r>
      <w:r>
        <w:t>青岛伟隆阀门股份有限公司</w:t>
      </w:r>
      <w:r>
        <w:rPr>
          <w:lang w:val="zh-CN"/>
        </w:rPr>
        <w:t>的持续督导工作。</w:t>
      </w:r>
    </w:p>
    <w:p w14:paraId="6586E2A8" w14:textId="77777777" w:rsidR="00E173A4" w:rsidRDefault="00E173A4">
      <w:pPr>
        <w:pStyle w:val="005"/>
        <w:spacing w:before="120"/>
        <w:ind w:firstLine="480"/>
        <w:rPr>
          <w:lang w:val="zh-CN"/>
        </w:rPr>
      </w:pPr>
      <w:r>
        <w:rPr>
          <w:lang w:val="zh-CN"/>
        </w:rPr>
        <w:t>本授权有效期限自</w:t>
      </w:r>
      <w:r>
        <w:t>本授权书签署日至持续督导期届满止。</w:t>
      </w:r>
      <w:r>
        <w:rPr>
          <w:lang w:val="zh-CN"/>
        </w:rPr>
        <w:t>如果本公司在授权有效期限内重新任命其他保荐代表人替换该保荐代表人负责青岛伟隆阀门股份有限公司的保荐工作，本授权书即行废止。</w:t>
      </w:r>
    </w:p>
    <w:p w14:paraId="02B22598" w14:textId="77777777" w:rsidR="00E173A4" w:rsidRDefault="00E173A4">
      <w:pPr>
        <w:tabs>
          <w:tab w:val="left" w:pos="540"/>
        </w:tabs>
        <w:spacing w:before="120" w:after="120" w:line="360" w:lineRule="auto"/>
        <w:ind w:firstLineChars="200" w:firstLine="480"/>
        <w:rPr>
          <w:rFonts w:ascii="Times New Roman" w:hAnsi="Times New Roman" w:cs="Times New Roman"/>
          <w:sz w:val="24"/>
          <w:lang w:val="zh-CN"/>
        </w:rPr>
      </w:pPr>
    </w:p>
    <w:p w14:paraId="0758F48A" w14:textId="77777777" w:rsidR="00E173A4" w:rsidRDefault="00E173A4">
      <w:pPr>
        <w:tabs>
          <w:tab w:val="left" w:pos="540"/>
        </w:tabs>
        <w:spacing w:before="120" w:after="120" w:line="360" w:lineRule="auto"/>
        <w:ind w:firstLineChars="200" w:firstLine="480"/>
        <w:rPr>
          <w:rFonts w:ascii="Times New Roman" w:hAnsi="Times New Roman" w:cs="Times New Roman"/>
          <w:sz w:val="24"/>
          <w:lang w:val="zh-CN"/>
        </w:rPr>
      </w:pPr>
      <w:r>
        <w:rPr>
          <w:rFonts w:ascii="Times New Roman" w:hAnsi="Times New Roman" w:cs="Times New Roman"/>
          <w:sz w:val="24"/>
          <w:lang w:val="zh-CN"/>
        </w:rPr>
        <w:t>被授权人：</w:t>
      </w:r>
    </w:p>
    <w:p w14:paraId="7AAA0E13" w14:textId="77777777" w:rsidR="00E173A4" w:rsidRDefault="00E173A4">
      <w:pPr>
        <w:tabs>
          <w:tab w:val="left" w:pos="540"/>
        </w:tabs>
        <w:spacing w:before="120" w:after="120" w:line="360" w:lineRule="auto"/>
        <w:ind w:firstLineChars="200" w:firstLine="480"/>
        <w:rPr>
          <w:rFonts w:ascii="Times New Roman" w:hAnsi="Times New Roman" w:cs="Times New Roman"/>
          <w:sz w:val="24"/>
          <w:lang w:val="zh-CN"/>
        </w:rPr>
      </w:pPr>
    </w:p>
    <w:p w14:paraId="68EAEBB9" w14:textId="77777777" w:rsidR="00E173A4" w:rsidRDefault="00E173A4">
      <w:pPr>
        <w:tabs>
          <w:tab w:val="left" w:pos="540"/>
        </w:tabs>
        <w:spacing w:before="120" w:line="360" w:lineRule="auto"/>
        <w:ind w:firstLineChars="200" w:firstLine="480"/>
        <w:rPr>
          <w:rFonts w:ascii="Times New Roman" w:hAnsi="Times New Roman" w:cs="Times New Roman"/>
          <w:sz w:val="24"/>
          <w:u w:val="single"/>
          <w:lang w:val="zh-CN"/>
        </w:rPr>
      </w:pPr>
      <w:r>
        <w:rPr>
          <w:rFonts w:ascii="Times New Roman" w:hAnsi="Times New Roman" w:cs="Times New Roman"/>
          <w:sz w:val="24"/>
          <w:u w:val="single"/>
          <w:lang w:val="zh-CN"/>
        </w:rPr>
        <w:t xml:space="preserve">                                     </w:t>
      </w:r>
    </w:p>
    <w:p w14:paraId="1761FA71" w14:textId="77777777" w:rsidR="00E173A4" w:rsidRDefault="00E173A4">
      <w:pPr>
        <w:tabs>
          <w:tab w:val="left" w:pos="540"/>
        </w:tabs>
        <w:ind w:firstLineChars="1000" w:firstLine="2400"/>
        <w:rPr>
          <w:rFonts w:ascii="Times New Roman" w:hAnsi="Times New Roman" w:cs="Times New Roman"/>
          <w:sz w:val="24"/>
          <w:lang w:val="zh-CN"/>
        </w:rPr>
      </w:pPr>
      <w:r>
        <w:rPr>
          <w:rFonts w:ascii="Times New Roman" w:hAnsi="Times New Roman" w:cs="Times New Roman"/>
          <w:sz w:val="24"/>
          <w:lang w:val="zh-CN"/>
        </w:rPr>
        <w:t>王</w:t>
      </w:r>
      <w:r>
        <w:rPr>
          <w:rFonts w:ascii="Times New Roman" w:hAnsi="Times New Roman" w:cs="Times New Roman"/>
          <w:sz w:val="24"/>
        </w:rPr>
        <w:t>冠男</w:t>
      </w:r>
    </w:p>
    <w:p w14:paraId="24D1798C" w14:textId="77777777" w:rsidR="00E173A4" w:rsidRDefault="00E173A4">
      <w:pPr>
        <w:tabs>
          <w:tab w:val="left" w:pos="540"/>
        </w:tabs>
        <w:spacing w:afterLines="50" w:after="120"/>
        <w:ind w:firstLineChars="200" w:firstLine="480"/>
        <w:rPr>
          <w:rFonts w:ascii="Times New Roman" w:hAnsi="Times New Roman" w:cs="Times New Roman"/>
          <w:sz w:val="24"/>
          <w:lang w:val="zh-CN"/>
        </w:rPr>
      </w:pPr>
    </w:p>
    <w:p w14:paraId="1330C80E" w14:textId="77777777" w:rsidR="00E173A4" w:rsidRDefault="00E173A4">
      <w:pPr>
        <w:tabs>
          <w:tab w:val="left" w:pos="540"/>
        </w:tabs>
        <w:spacing w:afterLines="50" w:after="120"/>
        <w:ind w:firstLineChars="200" w:firstLine="480"/>
        <w:rPr>
          <w:rFonts w:ascii="Times New Roman" w:hAnsi="Times New Roman" w:cs="Times New Roman"/>
          <w:sz w:val="24"/>
          <w:lang w:val="zh-CN"/>
        </w:rPr>
      </w:pPr>
    </w:p>
    <w:p w14:paraId="51776C8B" w14:textId="77777777" w:rsidR="00E173A4" w:rsidRDefault="00E173A4">
      <w:pPr>
        <w:tabs>
          <w:tab w:val="left" w:pos="540"/>
        </w:tabs>
        <w:spacing w:before="120" w:line="360" w:lineRule="auto"/>
        <w:ind w:firstLineChars="200" w:firstLine="480"/>
        <w:rPr>
          <w:rFonts w:ascii="Times New Roman" w:hAnsi="Times New Roman" w:cs="Times New Roman"/>
          <w:sz w:val="24"/>
          <w:u w:val="single"/>
          <w:lang w:val="zh-CN"/>
        </w:rPr>
      </w:pPr>
      <w:r>
        <w:rPr>
          <w:rFonts w:ascii="Times New Roman" w:hAnsi="Times New Roman" w:cs="Times New Roman"/>
          <w:sz w:val="24"/>
          <w:u w:val="single"/>
          <w:lang w:val="zh-CN"/>
        </w:rPr>
        <w:t xml:space="preserve">                                     </w:t>
      </w:r>
    </w:p>
    <w:p w14:paraId="6D8BF7D2" w14:textId="77777777" w:rsidR="00E173A4" w:rsidRDefault="00E173A4">
      <w:pPr>
        <w:tabs>
          <w:tab w:val="left" w:pos="540"/>
        </w:tabs>
        <w:ind w:firstLineChars="1000" w:firstLine="2400"/>
        <w:rPr>
          <w:rFonts w:ascii="Times New Roman" w:hAnsi="Times New Roman" w:cs="Times New Roman" w:hint="eastAsia"/>
          <w:sz w:val="24"/>
        </w:rPr>
      </w:pPr>
      <w:r>
        <w:rPr>
          <w:rFonts w:ascii="Times New Roman" w:hAnsi="Times New Roman" w:cs="Times New Roman" w:hint="eastAsia"/>
          <w:sz w:val="24"/>
        </w:rPr>
        <w:t>李</w:t>
      </w:r>
      <w:r>
        <w:rPr>
          <w:rFonts w:ascii="Times New Roman" w:hAnsi="Times New Roman" w:cs="Times New Roman" w:hint="eastAsia"/>
          <w:sz w:val="24"/>
        </w:rPr>
        <w:t xml:space="preserve">  </w:t>
      </w:r>
      <w:r>
        <w:rPr>
          <w:rFonts w:ascii="Times New Roman" w:hAnsi="Times New Roman" w:cs="Times New Roman" w:hint="eastAsia"/>
          <w:sz w:val="24"/>
        </w:rPr>
        <w:t>良</w:t>
      </w:r>
    </w:p>
    <w:p w14:paraId="2DAF1FA3" w14:textId="77777777" w:rsidR="00E173A4" w:rsidRDefault="00E173A4">
      <w:pPr>
        <w:tabs>
          <w:tab w:val="left" w:pos="540"/>
        </w:tabs>
        <w:ind w:firstLineChars="1000" w:firstLine="2400"/>
        <w:rPr>
          <w:rFonts w:ascii="Times New Roman" w:hAnsi="Times New Roman" w:cs="Times New Roman"/>
          <w:sz w:val="24"/>
          <w:lang w:val="zh-CN"/>
        </w:rPr>
      </w:pPr>
    </w:p>
    <w:p w14:paraId="325D7CDE" w14:textId="77777777" w:rsidR="00E173A4" w:rsidRDefault="00E173A4">
      <w:pPr>
        <w:tabs>
          <w:tab w:val="left" w:pos="540"/>
        </w:tabs>
        <w:ind w:firstLineChars="1000" w:firstLine="2400"/>
        <w:rPr>
          <w:rFonts w:ascii="Times New Roman" w:hAnsi="Times New Roman" w:cs="Times New Roman"/>
          <w:sz w:val="24"/>
          <w:lang w:val="zh-CN"/>
        </w:rPr>
      </w:pPr>
    </w:p>
    <w:p w14:paraId="478C2385" w14:textId="77777777" w:rsidR="00E173A4" w:rsidRDefault="00E173A4">
      <w:pPr>
        <w:pStyle w:val="005"/>
        <w:spacing w:before="120"/>
        <w:ind w:firstLine="480"/>
        <w:rPr>
          <w:lang w:val="zh-CN"/>
        </w:rPr>
      </w:pPr>
      <w:r>
        <w:rPr>
          <w:lang w:val="zh-CN"/>
        </w:rPr>
        <w:t>中信证券股份有限公司法定代表人：</w:t>
      </w:r>
    </w:p>
    <w:p w14:paraId="663B7B1B" w14:textId="77777777" w:rsidR="00E173A4" w:rsidRDefault="00E173A4">
      <w:pPr>
        <w:tabs>
          <w:tab w:val="left" w:pos="540"/>
        </w:tabs>
        <w:spacing w:before="120" w:after="120" w:line="360" w:lineRule="auto"/>
        <w:ind w:firstLineChars="200" w:firstLine="480"/>
        <w:rPr>
          <w:rFonts w:ascii="Times New Roman" w:hAnsi="Times New Roman" w:cs="Times New Roman"/>
          <w:sz w:val="24"/>
          <w:lang w:val="zh-CN"/>
        </w:rPr>
      </w:pPr>
    </w:p>
    <w:p w14:paraId="12EEBA31" w14:textId="77777777" w:rsidR="00E173A4" w:rsidRDefault="00E173A4">
      <w:pPr>
        <w:tabs>
          <w:tab w:val="left" w:pos="540"/>
        </w:tabs>
        <w:spacing w:before="120" w:line="360" w:lineRule="auto"/>
        <w:ind w:firstLineChars="200" w:firstLine="480"/>
        <w:rPr>
          <w:rFonts w:ascii="Times New Roman" w:hAnsi="Times New Roman" w:cs="Times New Roman"/>
          <w:sz w:val="24"/>
          <w:u w:val="single"/>
          <w:lang w:val="zh-CN"/>
        </w:rPr>
      </w:pPr>
      <w:r>
        <w:rPr>
          <w:rFonts w:ascii="Times New Roman" w:hAnsi="Times New Roman" w:cs="Times New Roman"/>
          <w:sz w:val="24"/>
          <w:u w:val="single"/>
          <w:lang w:val="zh-CN"/>
        </w:rPr>
        <w:t xml:space="preserve">                                     </w:t>
      </w:r>
    </w:p>
    <w:p w14:paraId="6B69952F" w14:textId="77777777" w:rsidR="00E173A4" w:rsidRDefault="00E173A4">
      <w:pPr>
        <w:tabs>
          <w:tab w:val="left" w:pos="540"/>
        </w:tabs>
        <w:ind w:firstLineChars="1000" w:firstLine="2400"/>
        <w:rPr>
          <w:rFonts w:ascii="Times New Roman" w:hAnsi="Times New Roman" w:cs="Times New Roman"/>
          <w:sz w:val="24"/>
          <w:lang w:val="zh-CN"/>
        </w:rPr>
      </w:pPr>
      <w:r>
        <w:rPr>
          <w:rFonts w:ascii="Times New Roman" w:hAnsi="Times New Roman" w:cs="Times New Roman"/>
          <w:sz w:val="24"/>
          <w:lang w:val="zh-CN"/>
        </w:rPr>
        <w:t>张佑君</w:t>
      </w:r>
    </w:p>
    <w:p w14:paraId="4C8D0C6E" w14:textId="77777777" w:rsidR="00E173A4" w:rsidRDefault="00E173A4">
      <w:pPr>
        <w:tabs>
          <w:tab w:val="left" w:pos="540"/>
        </w:tabs>
        <w:ind w:firstLineChars="1000" w:firstLine="2400"/>
        <w:rPr>
          <w:rFonts w:ascii="Times New Roman" w:hAnsi="Times New Roman" w:cs="Times New Roman"/>
          <w:sz w:val="24"/>
          <w:lang w:val="zh-CN"/>
        </w:rPr>
      </w:pPr>
    </w:p>
    <w:p w14:paraId="5A22C894" w14:textId="77777777" w:rsidR="00E173A4" w:rsidRDefault="00E173A4">
      <w:pPr>
        <w:tabs>
          <w:tab w:val="left" w:pos="540"/>
        </w:tabs>
        <w:ind w:firstLineChars="1000" w:firstLine="2400"/>
        <w:rPr>
          <w:rFonts w:ascii="Times New Roman" w:hAnsi="Times New Roman" w:cs="Times New Roman"/>
          <w:sz w:val="24"/>
          <w:lang w:val="zh-CN"/>
        </w:rPr>
      </w:pPr>
    </w:p>
    <w:p w14:paraId="0375AFD5" w14:textId="77777777" w:rsidR="00E173A4" w:rsidRDefault="00E173A4">
      <w:pPr>
        <w:tabs>
          <w:tab w:val="left" w:pos="540"/>
        </w:tabs>
        <w:ind w:firstLineChars="1000" w:firstLine="2400"/>
        <w:rPr>
          <w:rFonts w:ascii="Times New Roman" w:hAnsi="Times New Roman" w:cs="Times New Roman"/>
          <w:sz w:val="24"/>
          <w:lang w:val="zh-CN"/>
        </w:rPr>
      </w:pPr>
    </w:p>
    <w:p w14:paraId="54E73E97" w14:textId="77777777" w:rsidR="00E173A4" w:rsidRDefault="00E173A4">
      <w:pPr>
        <w:tabs>
          <w:tab w:val="left" w:pos="540"/>
        </w:tabs>
        <w:spacing w:before="120" w:after="120" w:line="360" w:lineRule="auto"/>
        <w:ind w:firstLineChars="200" w:firstLine="480"/>
        <w:jc w:val="right"/>
        <w:rPr>
          <w:rFonts w:ascii="Times New Roman" w:hAnsi="Times New Roman" w:cs="Times New Roman"/>
          <w:sz w:val="24"/>
          <w:lang w:val="zh-CN"/>
        </w:rPr>
      </w:pPr>
      <w:r>
        <w:rPr>
          <w:rFonts w:ascii="Times New Roman" w:hAnsi="Times New Roman" w:cs="Times New Roman"/>
          <w:sz w:val="24"/>
          <w:lang w:val="zh-CN"/>
        </w:rPr>
        <w:t>中信证券股份有限公司</w:t>
      </w:r>
    </w:p>
    <w:p w14:paraId="46591A3F" w14:textId="77777777" w:rsidR="00E173A4" w:rsidRDefault="00E173A4">
      <w:pPr>
        <w:tabs>
          <w:tab w:val="left" w:pos="540"/>
        </w:tabs>
        <w:spacing w:before="120" w:after="120" w:line="360" w:lineRule="auto"/>
        <w:ind w:firstLineChars="200" w:firstLine="480"/>
        <w:jc w:val="right"/>
        <w:rPr>
          <w:rFonts w:ascii="Times New Roman" w:hAnsi="Times New Roman" w:cs="Times New Roman"/>
          <w:sz w:val="24"/>
          <w:lang w:val="zh-CN"/>
        </w:rPr>
      </w:pPr>
      <w:r>
        <w:rPr>
          <w:rFonts w:ascii="Times New Roman" w:hAnsi="Times New Roman" w:cs="Times New Roman"/>
          <w:sz w:val="24"/>
          <w:lang w:val="zh-CN"/>
        </w:rPr>
        <w:t>年</w:t>
      </w:r>
      <w:r>
        <w:rPr>
          <w:rFonts w:ascii="Times New Roman" w:hAnsi="Times New Roman" w:cs="Times New Roman"/>
          <w:sz w:val="24"/>
          <w:lang w:val="zh-CN"/>
        </w:rPr>
        <w:t xml:space="preserve">    </w:t>
      </w:r>
      <w:r>
        <w:rPr>
          <w:rFonts w:ascii="Times New Roman" w:hAnsi="Times New Roman" w:cs="Times New Roman"/>
          <w:sz w:val="24"/>
          <w:lang w:val="zh-CN"/>
        </w:rPr>
        <w:t>月</w:t>
      </w:r>
      <w:r>
        <w:rPr>
          <w:rFonts w:ascii="Times New Roman" w:hAnsi="Times New Roman" w:cs="Times New Roman"/>
          <w:sz w:val="24"/>
          <w:lang w:val="zh-CN"/>
        </w:rPr>
        <w:t xml:space="preserve">    </w:t>
      </w:r>
      <w:r>
        <w:rPr>
          <w:rFonts w:ascii="Times New Roman" w:hAnsi="Times New Roman" w:cs="Times New Roman"/>
          <w:sz w:val="24"/>
          <w:lang w:val="zh-CN"/>
        </w:rPr>
        <w:t>日</w:t>
      </w:r>
    </w:p>
    <w:sectPr w:rsidR="00E173A4">
      <w:headerReference w:type="default" r:id="rId15"/>
      <w:footerReference w:type="default" r:id="rId16"/>
      <w:type w:val="continuous"/>
      <w:pgSz w:w="11906" w:h="16838"/>
      <w:pgMar w:top="1440" w:right="1797" w:bottom="1440" w:left="1797" w:header="851" w:footer="992" w:gutter="0"/>
      <w:pgNumType w:start="1"/>
      <w:cols w:space="720"/>
      <w:docGrid w:linePitch="312"/>
    </w:sectPr>
  </w:body>
</w:document>
</file>

<file path=word/customizations.xml><?xml version="1.0" encoding="utf-8"?>
<wne:tcg xmlns:r="http://schemas.openxmlformats.org/officeDocument/2006/relationships" xmlns:wne="http://schemas.microsoft.com/office/word/2006/wordml">
  <wne:keymaps>
    <wne:keymap wne:kcmPrimary="0451">
      <wne:acd wne:acdName="acd0"/>
    </wne:keymap>
    <wne:keymap wne:kcmPrimary="0453">
      <wne:acd wne:acdName="acd1"/>
    </wne:keymap>
  </wne:keymaps>
  <wne:toolbars>
    <wne:acdManifest>
      <wne:acdEntry wne:acdName="acd0"/>
      <wne:acdEntry wne:acdName="acd1"/>
    </wne:acdManifest>
  </wne:toolbars>
  <wne:acds>
    <wne:acd wne:argValue="AgAwADAANQBja4dl" wne:acdName="acd0" wne:fciIndexBasedOn="0065"/>
    <wne:acd wne:argValue="AgAwADAANgAHWehs"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1431" w14:textId="77777777" w:rsidR="00BD43E8" w:rsidRDefault="00BD43E8">
      <w:pPr>
        <w:rPr>
          <w:rFonts w:hint="eastAsia"/>
        </w:rPr>
      </w:pPr>
      <w:r>
        <w:separator/>
      </w:r>
    </w:p>
  </w:endnote>
  <w:endnote w:type="continuationSeparator" w:id="0">
    <w:p w14:paraId="08840C89" w14:textId="77777777" w:rsidR="00BD43E8" w:rsidRDefault="00BD43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等线"/>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382F" w14:textId="77777777" w:rsidR="00E173A4" w:rsidRDefault="00E173A4">
    <w:pPr>
      <w:pStyle w:val="af4"/>
      <w:framePr w:wrap="around" w:vAnchor="text" w:hAnchor="margin" w:xAlign="center" w:y="1"/>
      <w:rPr>
        <w:rStyle w:val="aff5"/>
      </w:rPr>
    </w:pPr>
    <w:r>
      <w:fldChar w:fldCharType="begin"/>
    </w:r>
    <w:r>
      <w:rPr>
        <w:rStyle w:val="aff5"/>
      </w:rPr>
      <w:instrText xml:space="preserve">PAGE  </w:instrText>
    </w:r>
    <w:r>
      <w:fldChar w:fldCharType="end"/>
    </w:r>
  </w:p>
  <w:p w14:paraId="10752AEF" w14:textId="77777777" w:rsidR="00E173A4" w:rsidRDefault="00E173A4">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B01F" w14:textId="77777777" w:rsidR="00E173A4" w:rsidRDefault="00E173A4">
    <w:pPr>
      <w:pStyle w:val="af4"/>
      <w:adjustRightInd w:val="0"/>
      <w:jc w:val="center"/>
      <w:rPr>
        <w:rFonts w:ascii="Times New Roman" w:hAnsi="Times New Roman"/>
      </w:rPr>
    </w:pPr>
    <w:r>
      <w:rPr>
        <w:rFonts w:ascii="Times New Roman" w:hAnsi="Times New Roman"/>
      </w:rPr>
      <w:t>3-1-</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21BFC" w:rsidRPr="00D21BFC">
      <w:rPr>
        <w:rFonts w:ascii="Times New Roman" w:hAnsi="Times New Roman"/>
        <w:noProof/>
        <w:lang w:val="zh-CN" w:eastAsia="zh-CN"/>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6FB2" w14:textId="77777777" w:rsidR="00BD43E8" w:rsidRDefault="00BD43E8">
      <w:pPr>
        <w:rPr>
          <w:rFonts w:hint="eastAsia"/>
        </w:rPr>
      </w:pPr>
      <w:r>
        <w:separator/>
      </w:r>
    </w:p>
  </w:footnote>
  <w:footnote w:type="continuationSeparator" w:id="0">
    <w:p w14:paraId="33919C3D" w14:textId="77777777" w:rsidR="00BD43E8" w:rsidRDefault="00BD43E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D414" w14:textId="77777777" w:rsidR="00E173A4" w:rsidRDefault="00E173A4">
    <w:pPr>
      <w:pStyle w:val="af6"/>
      <w:pBdr>
        <w:bottom w:val="none" w:sz="0" w:space="0" w:color="auto"/>
      </w:pBdr>
      <w:adjustRightInd w:val="0"/>
      <w:ind w:right="-51"/>
      <w:jc w:val="both"/>
      <w:rPr>
        <w:rFonts w:ascii="宋体" w:eastAsia="宋体" w:hAnsi="宋体" w:hint="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DCD7" w14:textId="77777777" w:rsidR="00E173A4" w:rsidRDefault="00E173A4">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2721" w14:textId="77777777" w:rsidR="00E173A4" w:rsidRDefault="00E173A4">
    <w:pPr>
      <w:pStyle w:val="af6"/>
      <w:pBdr>
        <w:bottom w:val="none" w:sz="0" w:space="0" w:color="auto"/>
      </w:pBdr>
      <w:ind w:right="-52"/>
      <w:jc w:val="both"/>
      <w:rPr>
        <w:rFonts w:eastAsia="宋体" w:hAnsi="宋体" w:hint="eastAsia"/>
        <w:w w:val="9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FFFFFF7D"/>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FFFFFF7F"/>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num w:numId="1" w16cid:durableId="2114935419">
    <w:abstractNumId w:val="3"/>
  </w:num>
  <w:num w:numId="2" w16cid:durableId="1789856335">
    <w:abstractNumId w:val="5"/>
  </w:num>
  <w:num w:numId="3" w16cid:durableId="685208548">
    <w:abstractNumId w:val="8"/>
  </w:num>
  <w:num w:numId="4" w16cid:durableId="1246498699">
    <w:abstractNumId w:val="9"/>
  </w:num>
  <w:num w:numId="5" w16cid:durableId="1768840912">
    <w:abstractNumId w:val="6"/>
  </w:num>
  <w:num w:numId="6" w16cid:durableId="619652045">
    <w:abstractNumId w:val="2"/>
  </w:num>
  <w:num w:numId="7" w16cid:durableId="801457457">
    <w:abstractNumId w:val="7"/>
  </w:num>
  <w:num w:numId="8" w16cid:durableId="439031273">
    <w:abstractNumId w:val="4"/>
  </w:num>
  <w:num w:numId="9" w16cid:durableId="1183979870">
    <w:abstractNumId w:val="1"/>
  </w:num>
  <w:num w:numId="10" w16cid:durableId="181417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zMDk0NGNiYTAzMzJiY2IzNjYyZDU0Y2MzYzFhYWIifQ=="/>
  </w:docVars>
  <w:rsids>
    <w:rsidRoot w:val="00B34D41"/>
    <w:rsid w:val="0000142B"/>
    <w:rsid w:val="00002B0D"/>
    <w:rsid w:val="00003429"/>
    <w:rsid w:val="0000346A"/>
    <w:rsid w:val="00003508"/>
    <w:rsid w:val="000047FB"/>
    <w:rsid w:val="00004A17"/>
    <w:rsid w:val="00005AF6"/>
    <w:rsid w:val="000066C2"/>
    <w:rsid w:val="00006CED"/>
    <w:rsid w:val="00006E39"/>
    <w:rsid w:val="00010A33"/>
    <w:rsid w:val="00012422"/>
    <w:rsid w:val="000131F4"/>
    <w:rsid w:val="00013DBA"/>
    <w:rsid w:val="000142FC"/>
    <w:rsid w:val="00015BDF"/>
    <w:rsid w:val="00020225"/>
    <w:rsid w:val="00021CE9"/>
    <w:rsid w:val="000234D1"/>
    <w:rsid w:val="00025106"/>
    <w:rsid w:val="00025347"/>
    <w:rsid w:val="00025FF1"/>
    <w:rsid w:val="00026C5C"/>
    <w:rsid w:val="0003042C"/>
    <w:rsid w:val="000305D7"/>
    <w:rsid w:val="000305EA"/>
    <w:rsid w:val="00030E2D"/>
    <w:rsid w:val="00032607"/>
    <w:rsid w:val="00034670"/>
    <w:rsid w:val="00036C6E"/>
    <w:rsid w:val="00037B1C"/>
    <w:rsid w:val="00040665"/>
    <w:rsid w:val="000415CD"/>
    <w:rsid w:val="00041624"/>
    <w:rsid w:val="00041B1D"/>
    <w:rsid w:val="00042084"/>
    <w:rsid w:val="00042214"/>
    <w:rsid w:val="00044239"/>
    <w:rsid w:val="00044CD7"/>
    <w:rsid w:val="00047BFC"/>
    <w:rsid w:val="00047F85"/>
    <w:rsid w:val="00050156"/>
    <w:rsid w:val="00050AA9"/>
    <w:rsid w:val="00050B21"/>
    <w:rsid w:val="00051A41"/>
    <w:rsid w:val="0005364B"/>
    <w:rsid w:val="00053B3F"/>
    <w:rsid w:val="00054F88"/>
    <w:rsid w:val="00060FD9"/>
    <w:rsid w:val="0006108D"/>
    <w:rsid w:val="000611F8"/>
    <w:rsid w:val="000625BC"/>
    <w:rsid w:val="00063C41"/>
    <w:rsid w:val="000645A4"/>
    <w:rsid w:val="00064F8B"/>
    <w:rsid w:val="0006594F"/>
    <w:rsid w:val="00066C4B"/>
    <w:rsid w:val="00066D93"/>
    <w:rsid w:val="0007211B"/>
    <w:rsid w:val="000731E9"/>
    <w:rsid w:val="000739CE"/>
    <w:rsid w:val="00073E2C"/>
    <w:rsid w:val="00073F35"/>
    <w:rsid w:val="00074882"/>
    <w:rsid w:val="00076721"/>
    <w:rsid w:val="0007683D"/>
    <w:rsid w:val="00080362"/>
    <w:rsid w:val="000809D9"/>
    <w:rsid w:val="00081102"/>
    <w:rsid w:val="00082FAE"/>
    <w:rsid w:val="0008333D"/>
    <w:rsid w:val="00083C33"/>
    <w:rsid w:val="00084228"/>
    <w:rsid w:val="00085272"/>
    <w:rsid w:val="00087325"/>
    <w:rsid w:val="00090609"/>
    <w:rsid w:val="00090BDD"/>
    <w:rsid w:val="00091023"/>
    <w:rsid w:val="0009279F"/>
    <w:rsid w:val="00092956"/>
    <w:rsid w:val="00093356"/>
    <w:rsid w:val="000947A8"/>
    <w:rsid w:val="00094805"/>
    <w:rsid w:val="000957B2"/>
    <w:rsid w:val="00095974"/>
    <w:rsid w:val="00095E87"/>
    <w:rsid w:val="00096A55"/>
    <w:rsid w:val="000A4AFA"/>
    <w:rsid w:val="000A53D0"/>
    <w:rsid w:val="000A7467"/>
    <w:rsid w:val="000A78B7"/>
    <w:rsid w:val="000B1010"/>
    <w:rsid w:val="000B311C"/>
    <w:rsid w:val="000B4000"/>
    <w:rsid w:val="000B447B"/>
    <w:rsid w:val="000B4A70"/>
    <w:rsid w:val="000B54D1"/>
    <w:rsid w:val="000B6CDA"/>
    <w:rsid w:val="000B6F24"/>
    <w:rsid w:val="000C0701"/>
    <w:rsid w:val="000C1003"/>
    <w:rsid w:val="000C1D80"/>
    <w:rsid w:val="000C24C7"/>
    <w:rsid w:val="000C30A3"/>
    <w:rsid w:val="000C32AA"/>
    <w:rsid w:val="000C443F"/>
    <w:rsid w:val="000C4930"/>
    <w:rsid w:val="000C5CDD"/>
    <w:rsid w:val="000C66A5"/>
    <w:rsid w:val="000C68F6"/>
    <w:rsid w:val="000C73AE"/>
    <w:rsid w:val="000C77D3"/>
    <w:rsid w:val="000C79B5"/>
    <w:rsid w:val="000D04A1"/>
    <w:rsid w:val="000D0AEC"/>
    <w:rsid w:val="000D1036"/>
    <w:rsid w:val="000D17FD"/>
    <w:rsid w:val="000D2AAD"/>
    <w:rsid w:val="000D33C8"/>
    <w:rsid w:val="000D495A"/>
    <w:rsid w:val="000D5BA4"/>
    <w:rsid w:val="000D615F"/>
    <w:rsid w:val="000D7D15"/>
    <w:rsid w:val="000E2A5D"/>
    <w:rsid w:val="000E2BE7"/>
    <w:rsid w:val="000E383B"/>
    <w:rsid w:val="000E3EA7"/>
    <w:rsid w:val="000E5125"/>
    <w:rsid w:val="000E5708"/>
    <w:rsid w:val="000E57A9"/>
    <w:rsid w:val="000E6707"/>
    <w:rsid w:val="000E6E52"/>
    <w:rsid w:val="000E70FE"/>
    <w:rsid w:val="000F04BB"/>
    <w:rsid w:val="000F12A0"/>
    <w:rsid w:val="000F1367"/>
    <w:rsid w:val="000F2690"/>
    <w:rsid w:val="000F43D6"/>
    <w:rsid w:val="000F5AD3"/>
    <w:rsid w:val="000F5C12"/>
    <w:rsid w:val="000F5DA3"/>
    <w:rsid w:val="0010046F"/>
    <w:rsid w:val="00100548"/>
    <w:rsid w:val="001012B6"/>
    <w:rsid w:val="00102033"/>
    <w:rsid w:val="00102452"/>
    <w:rsid w:val="001028E4"/>
    <w:rsid w:val="00102ADD"/>
    <w:rsid w:val="00103381"/>
    <w:rsid w:val="00103E2A"/>
    <w:rsid w:val="00104744"/>
    <w:rsid w:val="001067AE"/>
    <w:rsid w:val="00107716"/>
    <w:rsid w:val="0011122C"/>
    <w:rsid w:val="00112BB4"/>
    <w:rsid w:val="001136D6"/>
    <w:rsid w:val="00113FD1"/>
    <w:rsid w:val="00114955"/>
    <w:rsid w:val="001152D5"/>
    <w:rsid w:val="00115FB0"/>
    <w:rsid w:val="00116263"/>
    <w:rsid w:val="001163E7"/>
    <w:rsid w:val="00116C8B"/>
    <w:rsid w:val="001205D7"/>
    <w:rsid w:val="00122900"/>
    <w:rsid w:val="00122B6C"/>
    <w:rsid w:val="00122D7D"/>
    <w:rsid w:val="00123CBC"/>
    <w:rsid w:val="00124148"/>
    <w:rsid w:val="001252ED"/>
    <w:rsid w:val="00125E99"/>
    <w:rsid w:val="00126063"/>
    <w:rsid w:val="001266BA"/>
    <w:rsid w:val="00126B1A"/>
    <w:rsid w:val="0013186D"/>
    <w:rsid w:val="00132231"/>
    <w:rsid w:val="001340B4"/>
    <w:rsid w:val="00134DB0"/>
    <w:rsid w:val="00135041"/>
    <w:rsid w:val="00135937"/>
    <w:rsid w:val="00135A79"/>
    <w:rsid w:val="001369C5"/>
    <w:rsid w:val="00136BE6"/>
    <w:rsid w:val="001370DA"/>
    <w:rsid w:val="00137376"/>
    <w:rsid w:val="001378B8"/>
    <w:rsid w:val="001401C4"/>
    <w:rsid w:val="00141470"/>
    <w:rsid w:val="0014247F"/>
    <w:rsid w:val="0014342A"/>
    <w:rsid w:val="001439C8"/>
    <w:rsid w:val="00151EC1"/>
    <w:rsid w:val="001539AB"/>
    <w:rsid w:val="00153A51"/>
    <w:rsid w:val="00153CC3"/>
    <w:rsid w:val="00154E2A"/>
    <w:rsid w:val="00157A83"/>
    <w:rsid w:val="0016048D"/>
    <w:rsid w:val="00162153"/>
    <w:rsid w:val="00162966"/>
    <w:rsid w:val="00162EE3"/>
    <w:rsid w:val="0016306F"/>
    <w:rsid w:val="001630D5"/>
    <w:rsid w:val="00163746"/>
    <w:rsid w:val="00163BEF"/>
    <w:rsid w:val="00163C67"/>
    <w:rsid w:val="00164729"/>
    <w:rsid w:val="0016537B"/>
    <w:rsid w:val="001661CD"/>
    <w:rsid w:val="001668FC"/>
    <w:rsid w:val="00166C95"/>
    <w:rsid w:val="001706A3"/>
    <w:rsid w:val="00170E8B"/>
    <w:rsid w:val="00170F51"/>
    <w:rsid w:val="00171070"/>
    <w:rsid w:val="00174753"/>
    <w:rsid w:val="001752A7"/>
    <w:rsid w:val="001761DC"/>
    <w:rsid w:val="001774F4"/>
    <w:rsid w:val="00177AFA"/>
    <w:rsid w:val="00182B3D"/>
    <w:rsid w:val="00183A1E"/>
    <w:rsid w:val="00183D93"/>
    <w:rsid w:val="00184DFB"/>
    <w:rsid w:val="001870EB"/>
    <w:rsid w:val="0018746F"/>
    <w:rsid w:val="00191975"/>
    <w:rsid w:val="0019222F"/>
    <w:rsid w:val="00192D2D"/>
    <w:rsid w:val="00193381"/>
    <w:rsid w:val="00193F08"/>
    <w:rsid w:val="001944A6"/>
    <w:rsid w:val="001945F3"/>
    <w:rsid w:val="00194B16"/>
    <w:rsid w:val="00194DA1"/>
    <w:rsid w:val="0019570D"/>
    <w:rsid w:val="00195721"/>
    <w:rsid w:val="00195917"/>
    <w:rsid w:val="00195995"/>
    <w:rsid w:val="00196ED6"/>
    <w:rsid w:val="00197016"/>
    <w:rsid w:val="001972BC"/>
    <w:rsid w:val="001976B9"/>
    <w:rsid w:val="001A083C"/>
    <w:rsid w:val="001A17FF"/>
    <w:rsid w:val="001A335F"/>
    <w:rsid w:val="001A42C6"/>
    <w:rsid w:val="001A4DA5"/>
    <w:rsid w:val="001A571E"/>
    <w:rsid w:val="001A5D4E"/>
    <w:rsid w:val="001A6B1B"/>
    <w:rsid w:val="001B00BF"/>
    <w:rsid w:val="001B4C02"/>
    <w:rsid w:val="001B4C6B"/>
    <w:rsid w:val="001B4FFD"/>
    <w:rsid w:val="001B660D"/>
    <w:rsid w:val="001B7D34"/>
    <w:rsid w:val="001C1B38"/>
    <w:rsid w:val="001C263D"/>
    <w:rsid w:val="001C4DE6"/>
    <w:rsid w:val="001C4F79"/>
    <w:rsid w:val="001C5958"/>
    <w:rsid w:val="001C635B"/>
    <w:rsid w:val="001C638B"/>
    <w:rsid w:val="001C7386"/>
    <w:rsid w:val="001D0759"/>
    <w:rsid w:val="001D0B33"/>
    <w:rsid w:val="001D17F2"/>
    <w:rsid w:val="001D324E"/>
    <w:rsid w:val="001D3601"/>
    <w:rsid w:val="001D490E"/>
    <w:rsid w:val="001D4F74"/>
    <w:rsid w:val="001D7EBB"/>
    <w:rsid w:val="001E1BF5"/>
    <w:rsid w:val="001E390A"/>
    <w:rsid w:val="001E44C0"/>
    <w:rsid w:val="001E5793"/>
    <w:rsid w:val="001E5CEE"/>
    <w:rsid w:val="001E6041"/>
    <w:rsid w:val="001E6C84"/>
    <w:rsid w:val="001E7117"/>
    <w:rsid w:val="001E7FFE"/>
    <w:rsid w:val="001F236F"/>
    <w:rsid w:val="001F2F26"/>
    <w:rsid w:val="001F5995"/>
    <w:rsid w:val="001F5A76"/>
    <w:rsid w:val="001F682E"/>
    <w:rsid w:val="001F6A80"/>
    <w:rsid w:val="001F6B7D"/>
    <w:rsid w:val="001F7675"/>
    <w:rsid w:val="001F7B7C"/>
    <w:rsid w:val="001F7C40"/>
    <w:rsid w:val="001F7D34"/>
    <w:rsid w:val="002008F4"/>
    <w:rsid w:val="00200A3A"/>
    <w:rsid w:val="00200BEE"/>
    <w:rsid w:val="0020298B"/>
    <w:rsid w:val="00202EDA"/>
    <w:rsid w:val="00204343"/>
    <w:rsid w:val="00206F23"/>
    <w:rsid w:val="00206FC2"/>
    <w:rsid w:val="002103E4"/>
    <w:rsid w:val="002127E1"/>
    <w:rsid w:val="002153F3"/>
    <w:rsid w:val="00215542"/>
    <w:rsid w:val="00216F67"/>
    <w:rsid w:val="00220572"/>
    <w:rsid w:val="002209B5"/>
    <w:rsid w:val="00220FD7"/>
    <w:rsid w:val="00221CF5"/>
    <w:rsid w:val="002234F7"/>
    <w:rsid w:val="00224959"/>
    <w:rsid w:val="00224BFA"/>
    <w:rsid w:val="002265DB"/>
    <w:rsid w:val="002272D8"/>
    <w:rsid w:val="002277E8"/>
    <w:rsid w:val="002305E5"/>
    <w:rsid w:val="00231433"/>
    <w:rsid w:val="002334CE"/>
    <w:rsid w:val="00233523"/>
    <w:rsid w:val="002335FE"/>
    <w:rsid w:val="00233733"/>
    <w:rsid w:val="002346CC"/>
    <w:rsid w:val="00236C0E"/>
    <w:rsid w:val="002379C3"/>
    <w:rsid w:val="002403AE"/>
    <w:rsid w:val="0024232B"/>
    <w:rsid w:val="00242F85"/>
    <w:rsid w:val="002432D6"/>
    <w:rsid w:val="00243BEE"/>
    <w:rsid w:val="00244585"/>
    <w:rsid w:val="00244E62"/>
    <w:rsid w:val="00246353"/>
    <w:rsid w:val="00246CDC"/>
    <w:rsid w:val="002470A0"/>
    <w:rsid w:val="0024730E"/>
    <w:rsid w:val="00247766"/>
    <w:rsid w:val="002478BC"/>
    <w:rsid w:val="0025148D"/>
    <w:rsid w:val="00251886"/>
    <w:rsid w:val="00252223"/>
    <w:rsid w:val="00252F3B"/>
    <w:rsid w:val="00253A58"/>
    <w:rsid w:val="00253E82"/>
    <w:rsid w:val="00256F0E"/>
    <w:rsid w:val="00257D3F"/>
    <w:rsid w:val="002604C9"/>
    <w:rsid w:val="00261133"/>
    <w:rsid w:val="00261502"/>
    <w:rsid w:val="002618E9"/>
    <w:rsid w:val="002621A7"/>
    <w:rsid w:val="00262D4D"/>
    <w:rsid w:val="002658A8"/>
    <w:rsid w:val="00265FA4"/>
    <w:rsid w:val="00266E62"/>
    <w:rsid w:val="00267030"/>
    <w:rsid w:val="0026722A"/>
    <w:rsid w:val="00267581"/>
    <w:rsid w:val="00267B29"/>
    <w:rsid w:val="00270E44"/>
    <w:rsid w:val="002717A5"/>
    <w:rsid w:val="00272247"/>
    <w:rsid w:val="0027238C"/>
    <w:rsid w:val="00272585"/>
    <w:rsid w:val="00272A83"/>
    <w:rsid w:val="002751D6"/>
    <w:rsid w:val="0027770C"/>
    <w:rsid w:val="00277AFE"/>
    <w:rsid w:val="0028182C"/>
    <w:rsid w:val="00281E22"/>
    <w:rsid w:val="0028290F"/>
    <w:rsid w:val="00282E49"/>
    <w:rsid w:val="0028348F"/>
    <w:rsid w:val="002857DB"/>
    <w:rsid w:val="002863E0"/>
    <w:rsid w:val="002867C2"/>
    <w:rsid w:val="00287A69"/>
    <w:rsid w:val="00287F0C"/>
    <w:rsid w:val="00290F55"/>
    <w:rsid w:val="002954D2"/>
    <w:rsid w:val="00295C04"/>
    <w:rsid w:val="00295C73"/>
    <w:rsid w:val="002A0FDC"/>
    <w:rsid w:val="002A20AC"/>
    <w:rsid w:val="002A2470"/>
    <w:rsid w:val="002A2CD3"/>
    <w:rsid w:val="002A38A2"/>
    <w:rsid w:val="002A3B14"/>
    <w:rsid w:val="002A43B7"/>
    <w:rsid w:val="002A4ACA"/>
    <w:rsid w:val="002A523F"/>
    <w:rsid w:val="002A5768"/>
    <w:rsid w:val="002A7E5E"/>
    <w:rsid w:val="002B01DD"/>
    <w:rsid w:val="002B04FA"/>
    <w:rsid w:val="002B0FCE"/>
    <w:rsid w:val="002B2253"/>
    <w:rsid w:val="002B3462"/>
    <w:rsid w:val="002B36B7"/>
    <w:rsid w:val="002B3771"/>
    <w:rsid w:val="002B3F18"/>
    <w:rsid w:val="002B4EEA"/>
    <w:rsid w:val="002B6634"/>
    <w:rsid w:val="002B6B17"/>
    <w:rsid w:val="002B7568"/>
    <w:rsid w:val="002C0918"/>
    <w:rsid w:val="002C1459"/>
    <w:rsid w:val="002C1D87"/>
    <w:rsid w:val="002C2812"/>
    <w:rsid w:val="002C3109"/>
    <w:rsid w:val="002C497B"/>
    <w:rsid w:val="002C5DA0"/>
    <w:rsid w:val="002C6107"/>
    <w:rsid w:val="002C6358"/>
    <w:rsid w:val="002C6FCD"/>
    <w:rsid w:val="002C7021"/>
    <w:rsid w:val="002D05D5"/>
    <w:rsid w:val="002D0627"/>
    <w:rsid w:val="002D07DE"/>
    <w:rsid w:val="002D1258"/>
    <w:rsid w:val="002D2AAA"/>
    <w:rsid w:val="002D2F37"/>
    <w:rsid w:val="002D34DA"/>
    <w:rsid w:val="002D38BB"/>
    <w:rsid w:val="002D58F3"/>
    <w:rsid w:val="002D7DCB"/>
    <w:rsid w:val="002E0389"/>
    <w:rsid w:val="002E2199"/>
    <w:rsid w:val="002E2AD6"/>
    <w:rsid w:val="002E39BD"/>
    <w:rsid w:val="002E580C"/>
    <w:rsid w:val="002E67AD"/>
    <w:rsid w:val="002E6D3C"/>
    <w:rsid w:val="002E6F9C"/>
    <w:rsid w:val="002E7F17"/>
    <w:rsid w:val="002F2221"/>
    <w:rsid w:val="002F3EAB"/>
    <w:rsid w:val="002F3EDF"/>
    <w:rsid w:val="002F44BF"/>
    <w:rsid w:val="002F465E"/>
    <w:rsid w:val="002F4DA9"/>
    <w:rsid w:val="002F5F6C"/>
    <w:rsid w:val="00302105"/>
    <w:rsid w:val="003021F9"/>
    <w:rsid w:val="00302287"/>
    <w:rsid w:val="0030267B"/>
    <w:rsid w:val="00302E6E"/>
    <w:rsid w:val="00304142"/>
    <w:rsid w:val="00304688"/>
    <w:rsid w:val="00304B98"/>
    <w:rsid w:val="00304D48"/>
    <w:rsid w:val="00306B4E"/>
    <w:rsid w:val="0030777D"/>
    <w:rsid w:val="00307A09"/>
    <w:rsid w:val="00307F66"/>
    <w:rsid w:val="00310ED1"/>
    <w:rsid w:val="003117C5"/>
    <w:rsid w:val="00312A48"/>
    <w:rsid w:val="00313CDE"/>
    <w:rsid w:val="00313D61"/>
    <w:rsid w:val="00316767"/>
    <w:rsid w:val="003167AF"/>
    <w:rsid w:val="00317E22"/>
    <w:rsid w:val="00320902"/>
    <w:rsid w:val="00320FF7"/>
    <w:rsid w:val="00321B7D"/>
    <w:rsid w:val="00322698"/>
    <w:rsid w:val="00323501"/>
    <w:rsid w:val="00323A6C"/>
    <w:rsid w:val="00323E73"/>
    <w:rsid w:val="00324CB4"/>
    <w:rsid w:val="0032567D"/>
    <w:rsid w:val="00325ABF"/>
    <w:rsid w:val="00327780"/>
    <w:rsid w:val="00327A9D"/>
    <w:rsid w:val="00327FD8"/>
    <w:rsid w:val="0033085A"/>
    <w:rsid w:val="00332DD7"/>
    <w:rsid w:val="00332EDE"/>
    <w:rsid w:val="003372A9"/>
    <w:rsid w:val="00337346"/>
    <w:rsid w:val="0034087E"/>
    <w:rsid w:val="003409D3"/>
    <w:rsid w:val="00341B3B"/>
    <w:rsid w:val="00342A08"/>
    <w:rsid w:val="00342DD8"/>
    <w:rsid w:val="003431C1"/>
    <w:rsid w:val="00343B7B"/>
    <w:rsid w:val="003442D6"/>
    <w:rsid w:val="003456BA"/>
    <w:rsid w:val="003505CC"/>
    <w:rsid w:val="00350643"/>
    <w:rsid w:val="003508FF"/>
    <w:rsid w:val="003510E7"/>
    <w:rsid w:val="0035256F"/>
    <w:rsid w:val="003528B0"/>
    <w:rsid w:val="00352BBB"/>
    <w:rsid w:val="00352DDB"/>
    <w:rsid w:val="00352FE6"/>
    <w:rsid w:val="00353E0A"/>
    <w:rsid w:val="00354315"/>
    <w:rsid w:val="003558AE"/>
    <w:rsid w:val="00355C74"/>
    <w:rsid w:val="003569FB"/>
    <w:rsid w:val="003573C2"/>
    <w:rsid w:val="003615D0"/>
    <w:rsid w:val="003638D8"/>
    <w:rsid w:val="00363B11"/>
    <w:rsid w:val="0036459D"/>
    <w:rsid w:val="00364DBE"/>
    <w:rsid w:val="0036536B"/>
    <w:rsid w:val="00365E14"/>
    <w:rsid w:val="0036601C"/>
    <w:rsid w:val="0036694A"/>
    <w:rsid w:val="003671AD"/>
    <w:rsid w:val="00367E14"/>
    <w:rsid w:val="003716E7"/>
    <w:rsid w:val="003744AA"/>
    <w:rsid w:val="003747E0"/>
    <w:rsid w:val="00375E63"/>
    <w:rsid w:val="00376127"/>
    <w:rsid w:val="00376999"/>
    <w:rsid w:val="00376BD0"/>
    <w:rsid w:val="003773B0"/>
    <w:rsid w:val="00377C2A"/>
    <w:rsid w:val="00380852"/>
    <w:rsid w:val="00381825"/>
    <w:rsid w:val="003828D3"/>
    <w:rsid w:val="00383253"/>
    <w:rsid w:val="0038375F"/>
    <w:rsid w:val="00383E07"/>
    <w:rsid w:val="00384377"/>
    <w:rsid w:val="003855EE"/>
    <w:rsid w:val="00386924"/>
    <w:rsid w:val="00387CA2"/>
    <w:rsid w:val="00395534"/>
    <w:rsid w:val="003955C5"/>
    <w:rsid w:val="00395D35"/>
    <w:rsid w:val="003965DE"/>
    <w:rsid w:val="00396FE7"/>
    <w:rsid w:val="003970B0"/>
    <w:rsid w:val="00397ABE"/>
    <w:rsid w:val="00397F35"/>
    <w:rsid w:val="003A02F9"/>
    <w:rsid w:val="003A0975"/>
    <w:rsid w:val="003A1E73"/>
    <w:rsid w:val="003A2DF6"/>
    <w:rsid w:val="003A32CF"/>
    <w:rsid w:val="003A351C"/>
    <w:rsid w:val="003A3BAF"/>
    <w:rsid w:val="003A453F"/>
    <w:rsid w:val="003A4760"/>
    <w:rsid w:val="003A4EA2"/>
    <w:rsid w:val="003A5513"/>
    <w:rsid w:val="003A5579"/>
    <w:rsid w:val="003A57E4"/>
    <w:rsid w:val="003A5EDB"/>
    <w:rsid w:val="003A72C7"/>
    <w:rsid w:val="003A7F4F"/>
    <w:rsid w:val="003B00C6"/>
    <w:rsid w:val="003B03C9"/>
    <w:rsid w:val="003B0705"/>
    <w:rsid w:val="003B22ED"/>
    <w:rsid w:val="003B24B4"/>
    <w:rsid w:val="003B32A8"/>
    <w:rsid w:val="003B3DBD"/>
    <w:rsid w:val="003B4DBE"/>
    <w:rsid w:val="003B6402"/>
    <w:rsid w:val="003B7DAB"/>
    <w:rsid w:val="003C03B0"/>
    <w:rsid w:val="003C17C2"/>
    <w:rsid w:val="003C2086"/>
    <w:rsid w:val="003C2843"/>
    <w:rsid w:val="003C3085"/>
    <w:rsid w:val="003C3EA8"/>
    <w:rsid w:val="003C6E84"/>
    <w:rsid w:val="003C7835"/>
    <w:rsid w:val="003D0197"/>
    <w:rsid w:val="003D0AC1"/>
    <w:rsid w:val="003D10D5"/>
    <w:rsid w:val="003D1CDA"/>
    <w:rsid w:val="003D1D10"/>
    <w:rsid w:val="003D3850"/>
    <w:rsid w:val="003D4221"/>
    <w:rsid w:val="003D42E2"/>
    <w:rsid w:val="003D4D1D"/>
    <w:rsid w:val="003D581C"/>
    <w:rsid w:val="003D5A71"/>
    <w:rsid w:val="003D6E6A"/>
    <w:rsid w:val="003D6F24"/>
    <w:rsid w:val="003E0762"/>
    <w:rsid w:val="003E1B15"/>
    <w:rsid w:val="003E1C90"/>
    <w:rsid w:val="003E2B17"/>
    <w:rsid w:val="003E303B"/>
    <w:rsid w:val="003E322B"/>
    <w:rsid w:val="003E5C8F"/>
    <w:rsid w:val="003F1BC4"/>
    <w:rsid w:val="003F3673"/>
    <w:rsid w:val="003F4AB8"/>
    <w:rsid w:val="003F56B2"/>
    <w:rsid w:val="003F5E62"/>
    <w:rsid w:val="003F6088"/>
    <w:rsid w:val="003F76E0"/>
    <w:rsid w:val="00400549"/>
    <w:rsid w:val="00400A21"/>
    <w:rsid w:val="00401F0B"/>
    <w:rsid w:val="0040212E"/>
    <w:rsid w:val="00402278"/>
    <w:rsid w:val="00402618"/>
    <w:rsid w:val="00402CBA"/>
    <w:rsid w:val="00403AAC"/>
    <w:rsid w:val="00404132"/>
    <w:rsid w:val="00404167"/>
    <w:rsid w:val="00406AEA"/>
    <w:rsid w:val="0040770A"/>
    <w:rsid w:val="00410822"/>
    <w:rsid w:val="004109A9"/>
    <w:rsid w:val="00410F69"/>
    <w:rsid w:val="00411440"/>
    <w:rsid w:val="004133F1"/>
    <w:rsid w:val="00414C06"/>
    <w:rsid w:val="00414E72"/>
    <w:rsid w:val="004152ED"/>
    <w:rsid w:val="00415E4A"/>
    <w:rsid w:val="0041761F"/>
    <w:rsid w:val="00420255"/>
    <w:rsid w:val="00420263"/>
    <w:rsid w:val="00420A71"/>
    <w:rsid w:val="00421CED"/>
    <w:rsid w:val="004223E1"/>
    <w:rsid w:val="004226F3"/>
    <w:rsid w:val="004238CC"/>
    <w:rsid w:val="00423B22"/>
    <w:rsid w:val="00424F2F"/>
    <w:rsid w:val="00424F84"/>
    <w:rsid w:val="00425891"/>
    <w:rsid w:val="004258DD"/>
    <w:rsid w:val="00426E1C"/>
    <w:rsid w:val="0042705D"/>
    <w:rsid w:val="00432B13"/>
    <w:rsid w:val="0043304F"/>
    <w:rsid w:val="00433807"/>
    <w:rsid w:val="004338E5"/>
    <w:rsid w:val="00434D2B"/>
    <w:rsid w:val="00435616"/>
    <w:rsid w:val="00436857"/>
    <w:rsid w:val="00440885"/>
    <w:rsid w:val="004409F1"/>
    <w:rsid w:val="00440EDC"/>
    <w:rsid w:val="00442103"/>
    <w:rsid w:val="00442E76"/>
    <w:rsid w:val="00443002"/>
    <w:rsid w:val="00443B8E"/>
    <w:rsid w:val="004453A2"/>
    <w:rsid w:val="0044670C"/>
    <w:rsid w:val="004470CE"/>
    <w:rsid w:val="0044754D"/>
    <w:rsid w:val="0045041A"/>
    <w:rsid w:val="00451128"/>
    <w:rsid w:val="00451C3F"/>
    <w:rsid w:val="00451DBD"/>
    <w:rsid w:val="00454872"/>
    <w:rsid w:val="00454A5B"/>
    <w:rsid w:val="00455E83"/>
    <w:rsid w:val="00455F3F"/>
    <w:rsid w:val="00456537"/>
    <w:rsid w:val="00456680"/>
    <w:rsid w:val="0046185D"/>
    <w:rsid w:val="00462B94"/>
    <w:rsid w:val="00462D9F"/>
    <w:rsid w:val="0046619B"/>
    <w:rsid w:val="0046675B"/>
    <w:rsid w:val="004676DC"/>
    <w:rsid w:val="00467839"/>
    <w:rsid w:val="00467E37"/>
    <w:rsid w:val="00471004"/>
    <w:rsid w:val="0047166F"/>
    <w:rsid w:val="004723C2"/>
    <w:rsid w:val="00472895"/>
    <w:rsid w:val="00472A5C"/>
    <w:rsid w:val="004758E7"/>
    <w:rsid w:val="004806A7"/>
    <w:rsid w:val="00481662"/>
    <w:rsid w:val="00481737"/>
    <w:rsid w:val="00481D40"/>
    <w:rsid w:val="00482801"/>
    <w:rsid w:val="00482E0E"/>
    <w:rsid w:val="004833FD"/>
    <w:rsid w:val="004847EE"/>
    <w:rsid w:val="00486637"/>
    <w:rsid w:val="004876AF"/>
    <w:rsid w:val="00487DEE"/>
    <w:rsid w:val="004913C3"/>
    <w:rsid w:val="00491467"/>
    <w:rsid w:val="00493C73"/>
    <w:rsid w:val="0049539B"/>
    <w:rsid w:val="00495F01"/>
    <w:rsid w:val="0049663A"/>
    <w:rsid w:val="00496D66"/>
    <w:rsid w:val="004A2512"/>
    <w:rsid w:val="004A2ACC"/>
    <w:rsid w:val="004A37DC"/>
    <w:rsid w:val="004A51F8"/>
    <w:rsid w:val="004A6C5D"/>
    <w:rsid w:val="004A6CEC"/>
    <w:rsid w:val="004A70E1"/>
    <w:rsid w:val="004B06F2"/>
    <w:rsid w:val="004B18E0"/>
    <w:rsid w:val="004B3AC3"/>
    <w:rsid w:val="004B4234"/>
    <w:rsid w:val="004B49D3"/>
    <w:rsid w:val="004B56A9"/>
    <w:rsid w:val="004B6406"/>
    <w:rsid w:val="004B68E1"/>
    <w:rsid w:val="004B7BA9"/>
    <w:rsid w:val="004B7C58"/>
    <w:rsid w:val="004B7F2F"/>
    <w:rsid w:val="004C0287"/>
    <w:rsid w:val="004C08D2"/>
    <w:rsid w:val="004C1CC3"/>
    <w:rsid w:val="004C2FC9"/>
    <w:rsid w:val="004C3219"/>
    <w:rsid w:val="004C35F3"/>
    <w:rsid w:val="004C3922"/>
    <w:rsid w:val="004C6803"/>
    <w:rsid w:val="004C760B"/>
    <w:rsid w:val="004D04EC"/>
    <w:rsid w:val="004D11A8"/>
    <w:rsid w:val="004D1567"/>
    <w:rsid w:val="004D1776"/>
    <w:rsid w:val="004D1ED8"/>
    <w:rsid w:val="004D38F3"/>
    <w:rsid w:val="004D427C"/>
    <w:rsid w:val="004D455E"/>
    <w:rsid w:val="004D4E65"/>
    <w:rsid w:val="004D5B44"/>
    <w:rsid w:val="004D63AB"/>
    <w:rsid w:val="004D6AA1"/>
    <w:rsid w:val="004D6F93"/>
    <w:rsid w:val="004D7B08"/>
    <w:rsid w:val="004D7D17"/>
    <w:rsid w:val="004E00D0"/>
    <w:rsid w:val="004E12CC"/>
    <w:rsid w:val="004E177B"/>
    <w:rsid w:val="004E1F4E"/>
    <w:rsid w:val="004E1F75"/>
    <w:rsid w:val="004E504E"/>
    <w:rsid w:val="004E5138"/>
    <w:rsid w:val="004E5420"/>
    <w:rsid w:val="004F0681"/>
    <w:rsid w:val="004F2A89"/>
    <w:rsid w:val="004F48BC"/>
    <w:rsid w:val="004F4B10"/>
    <w:rsid w:val="004F5053"/>
    <w:rsid w:val="004F53EE"/>
    <w:rsid w:val="004F77E7"/>
    <w:rsid w:val="005005C6"/>
    <w:rsid w:val="005020B5"/>
    <w:rsid w:val="0050278A"/>
    <w:rsid w:val="00505279"/>
    <w:rsid w:val="00506259"/>
    <w:rsid w:val="0050635F"/>
    <w:rsid w:val="0051093C"/>
    <w:rsid w:val="005111E0"/>
    <w:rsid w:val="005114AB"/>
    <w:rsid w:val="005135EA"/>
    <w:rsid w:val="005141D6"/>
    <w:rsid w:val="005155D9"/>
    <w:rsid w:val="005155DA"/>
    <w:rsid w:val="005158D9"/>
    <w:rsid w:val="0051699D"/>
    <w:rsid w:val="00520B5C"/>
    <w:rsid w:val="0052125C"/>
    <w:rsid w:val="0052132D"/>
    <w:rsid w:val="00521519"/>
    <w:rsid w:val="00521FEC"/>
    <w:rsid w:val="00522FA9"/>
    <w:rsid w:val="005234F7"/>
    <w:rsid w:val="0052362D"/>
    <w:rsid w:val="005236EC"/>
    <w:rsid w:val="00524627"/>
    <w:rsid w:val="00524902"/>
    <w:rsid w:val="00527035"/>
    <w:rsid w:val="0053005F"/>
    <w:rsid w:val="00531018"/>
    <w:rsid w:val="00531298"/>
    <w:rsid w:val="00534521"/>
    <w:rsid w:val="00535153"/>
    <w:rsid w:val="005360B6"/>
    <w:rsid w:val="005362A7"/>
    <w:rsid w:val="005365F8"/>
    <w:rsid w:val="00537E02"/>
    <w:rsid w:val="00542CB1"/>
    <w:rsid w:val="005432E1"/>
    <w:rsid w:val="00543B28"/>
    <w:rsid w:val="0054498B"/>
    <w:rsid w:val="00545684"/>
    <w:rsid w:val="00546981"/>
    <w:rsid w:val="00551AEF"/>
    <w:rsid w:val="00551BA8"/>
    <w:rsid w:val="00551CE5"/>
    <w:rsid w:val="00553D9D"/>
    <w:rsid w:val="00554EFE"/>
    <w:rsid w:val="005558B9"/>
    <w:rsid w:val="00556244"/>
    <w:rsid w:val="00556DFE"/>
    <w:rsid w:val="00557EBC"/>
    <w:rsid w:val="005602D6"/>
    <w:rsid w:val="00562496"/>
    <w:rsid w:val="00562BD3"/>
    <w:rsid w:val="00562C61"/>
    <w:rsid w:val="005641B4"/>
    <w:rsid w:val="00564932"/>
    <w:rsid w:val="00564D3F"/>
    <w:rsid w:val="00565405"/>
    <w:rsid w:val="00565578"/>
    <w:rsid w:val="00567859"/>
    <w:rsid w:val="00571E02"/>
    <w:rsid w:val="0057283F"/>
    <w:rsid w:val="005814ED"/>
    <w:rsid w:val="00581622"/>
    <w:rsid w:val="00581CDB"/>
    <w:rsid w:val="0058311E"/>
    <w:rsid w:val="005833B0"/>
    <w:rsid w:val="005862C6"/>
    <w:rsid w:val="00586B6A"/>
    <w:rsid w:val="005874C0"/>
    <w:rsid w:val="00587B62"/>
    <w:rsid w:val="00590EF1"/>
    <w:rsid w:val="00591D89"/>
    <w:rsid w:val="00592514"/>
    <w:rsid w:val="00592BC5"/>
    <w:rsid w:val="005941EF"/>
    <w:rsid w:val="00594388"/>
    <w:rsid w:val="005943A3"/>
    <w:rsid w:val="005954B2"/>
    <w:rsid w:val="00595EAB"/>
    <w:rsid w:val="00596D15"/>
    <w:rsid w:val="005974ED"/>
    <w:rsid w:val="005A0A00"/>
    <w:rsid w:val="005A0FF1"/>
    <w:rsid w:val="005A1838"/>
    <w:rsid w:val="005A29C6"/>
    <w:rsid w:val="005A345B"/>
    <w:rsid w:val="005A4DF8"/>
    <w:rsid w:val="005A53FE"/>
    <w:rsid w:val="005B201B"/>
    <w:rsid w:val="005B2987"/>
    <w:rsid w:val="005B34E1"/>
    <w:rsid w:val="005B3941"/>
    <w:rsid w:val="005B528D"/>
    <w:rsid w:val="005B59CB"/>
    <w:rsid w:val="005B6B36"/>
    <w:rsid w:val="005B707C"/>
    <w:rsid w:val="005B7AE7"/>
    <w:rsid w:val="005C209F"/>
    <w:rsid w:val="005C2C65"/>
    <w:rsid w:val="005C4C50"/>
    <w:rsid w:val="005C5FCA"/>
    <w:rsid w:val="005C662C"/>
    <w:rsid w:val="005C7610"/>
    <w:rsid w:val="005D032B"/>
    <w:rsid w:val="005D24BA"/>
    <w:rsid w:val="005D268E"/>
    <w:rsid w:val="005D2C93"/>
    <w:rsid w:val="005D3858"/>
    <w:rsid w:val="005D3C12"/>
    <w:rsid w:val="005D4820"/>
    <w:rsid w:val="005D54F8"/>
    <w:rsid w:val="005D585E"/>
    <w:rsid w:val="005D6F4A"/>
    <w:rsid w:val="005D7312"/>
    <w:rsid w:val="005E0679"/>
    <w:rsid w:val="005E2244"/>
    <w:rsid w:val="005E458E"/>
    <w:rsid w:val="005E4B24"/>
    <w:rsid w:val="005F00DA"/>
    <w:rsid w:val="005F0B40"/>
    <w:rsid w:val="005F11AB"/>
    <w:rsid w:val="005F1E2D"/>
    <w:rsid w:val="005F1E38"/>
    <w:rsid w:val="005F234A"/>
    <w:rsid w:val="005F26FF"/>
    <w:rsid w:val="005F54B6"/>
    <w:rsid w:val="005F5B44"/>
    <w:rsid w:val="006008ED"/>
    <w:rsid w:val="006008FE"/>
    <w:rsid w:val="00601150"/>
    <w:rsid w:val="0060163B"/>
    <w:rsid w:val="006018DC"/>
    <w:rsid w:val="00601F6B"/>
    <w:rsid w:val="006021D6"/>
    <w:rsid w:val="006044A4"/>
    <w:rsid w:val="006047A0"/>
    <w:rsid w:val="006049EA"/>
    <w:rsid w:val="0060510A"/>
    <w:rsid w:val="00605431"/>
    <w:rsid w:val="006106D4"/>
    <w:rsid w:val="006109E6"/>
    <w:rsid w:val="006128AE"/>
    <w:rsid w:val="006129D3"/>
    <w:rsid w:val="006143D7"/>
    <w:rsid w:val="00616D61"/>
    <w:rsid w:val="00616D69"/>
    <w:rsid w:val="006170BA"/>
    <w:rsid w:val="006205FB"/>
    <w:rsid w:val="0062080F"/>
    <w:rsid w:val="0062128A"/>
    <w:rsid w:val="0062165A"/>
    <w:rsid w:val="00621997"/>
    <w:rsid w:val="00622867"/>
    <w:rsid w:val="00622F5D"/>
    <w:rsid w:val="006231CC"/>
    <w:rsid w:val="00623CE9"/>
    <w:rsid w:val="006240C0"/>
    <w:rsid w:val="00625539"/>
    <w:rsid w:val="006258F7"/>
    <w:rsid w:val="00626997"/>
    <w:rsid w:val="00627207"/>
    <w:rsid w:val="00627861"/>
    <w:rsid w:val="00630B83"/>
    <w:rsid w:val="00631CE5"/>
    <w:rsid w:val="00632452"/>
    <w:rsid w:val="006347BD"/>
    <w:rsid w:val="00635B78"/>
    <w:rsid w:val="00636325"/>
    <w:rsid w:val="006419AC"/>
    <w:rsid w:val="00641DAA"/>
    <w:rsid w:val="00643B22"/>
    <w:rsid w:val="00643FC6"/>
    <w:rsid w:val="00646B7F"/>
    <w:rsid w:val="00650362"/>
    <w:rsid w:val="00650DEE"/>
    <w:rsid w:val="006516DF"/>
    <w:rsid w:val="00651B51"/>
    <w:rsid w:val="006524C5"/>
    <w:rsid w:val="00652650"/>
    <w:rsid w:val="00653633"/>
    <w:rsid w:val="0065380C"/>
    <w:rsid w:val="00655C93"/>
    <w:rsid w:val="00655E18"/>
    <w:rsid w:val="00655EE8"/>
    <w:rsid w:val="00656D0A"/>
    <w:rsid w:val="00657B60"/>
    <w:rsid w:val="00660104"/>
    <w:rsid w:val="00660786"/>
    <w:rsid w:val="00660BDE"/>
    <w:rsid w:val="00661AD8"/>
    <w:rsid w:val="00663792"/>
    <w:rsid w:val="00664A61"/>
    <w:rsid w:val="006650F4"/>
    <w:rsid w:val="0066684A"/>
    <w:rsid w:val="00667CA8"/>
    <w:rsid w:val="00670060"/>
    <w:rsid w:val="00670FFA"/>
    <w:rsid w:val="00671097"/>
    <w:rsid w:val="00673075"/>
    <w:rsid w:val="006730F9"/>
    <w:rsid w:val="0067334A"/>
    <w:rsid w:val="006733AD"/>
    <w:rsid w:val="0067430D"/>
    <w:rsid w:val="00675802"/>
    <w:rsid w:val="00676FD4"/>
    <w:rsid w:val="006814FF"/>
    <w:rsid w:val="00682BC0"/>
    <w:rsid w:val="0068302B"/>
    <w:rsid w:val="006840D8"/>
    <w:rsid w:val="006844B1"/>
    <w:rsid w:val="0068465A"/>
    <w:rsid w:val="00684CAE"/>
    <w:rsid w:val="00685894"/>
    <w:rsid w:val="0068774F"/>
    <w:rsid w:val="00687901"/>
    <w:rsid w:val="00687A05"/>
    <w:rsid w:val="006916F4"/>
    <w:rsid w:val="006918C0"/>
    <w:rsid w:val="0069201E"/>
    <w:rsid w:val="006928E3"/>
    <w:rsid w:val="00692D0E"/>
    <w:rsid w:val="00692D2B"/>
    <w:rsid w:val="0069393A"/>
    <w:rsid w:val="006939C1"/>
    <w:rsid w:val="00694FAD"/>
    <w:rsid w:val="00695A00"/>
    <w:rsid w:val="00695B9C"/>
    <w:rsid w:val="006960BD"/>
    <w:rsid w:val="006975D8"/>
    <w:rsid w:val="00697B3A"/>
    <w:rsid w:val="00697F55"/>
    <w:rsid w:val="006A00F2"/>
    <w:rsid w:val="006A0BAB"/>
    <w:rsid w:val="006A1DE7"/>
    <w:rsid w:val="006A230B"/>
    <w:rsid w:val="006A2F4E"/>
    <w:rsid w:val="006A2F59"/>
    <w:rsid w:val="006A4675"/>
    <w:rsid w:val="006A46D1"/>
    <w:rsid w:val="006A60B9"/>
    <w:rsid w:val="006A61CE"/>
    <w:rsid w:val="006A6AB7"/>
    <w:rsid w:val="006B0F31"/>
    <w:rsid w:val="006B19F2"/>
    <w:rsid w:val="006B2C9A"/>
    <w:rsid w:val="006B2EB6"/>
    <w:rsid w:val="006B2F42"/>
    <w:rsid w:val="006B3778"/>
    <w:rsid w:val="006B3998"/>
    <w:rsid w:val="006B47DC"/>
    <w:rsid w:val="006B4F35"/>
    <w:rsid w:val="006B5800"/>
    <w:rsid w:val="006B5E37"/>
    <w:rsid w:val="006B6021"/>
    <w:rsid w:val="006B6146"/>
    <w:rsid w:val="006B65FA"/>
    <w:rsid w:val="006B70A4"/>
    <w:rsid w:val="006B7756"/>
    <w:rsid w:val="006C0FE1"/>
    <w:rsid w:val="006C15EB"/>
    <w:rsid w:val="006C2658"/>
    <w:rsid w:val="006C309A"/>
    <w:rsid w:val="006C328D"/>
    <w:rsid w:val="006C3CC1"/>
    <w:rsid w:val="006C4B61"/>
    <w:rsid w:val="006C4E16"/>
    <w:rsid w:val="006C5990"/>
    <w:rsid w:val="006C63AD"/>
    <w:rsid w:val="006D2D8F"/>
    <w:rsid w:val="006D3BDC"/>
    <w:rsid w:val="006D44C1"/>
    <w:rsid w:val="006D5AC8"/>
    <w:rsid w:val="006D5FFB"/>
    <w:rsid w:val="006D6225"/>
    <w:rsid w:val="006E1BE5"/>
    <w:rsid w:val="006E1E37"/>
    <w:rsid w:val="006E33F4"/>
    <w:rsid w:val="006E3B1A"/>
    <w:rsid w:val="006E4D53"/>
    <w:rsid w:val="006E6241"/>
    <w:rsid w:val="006E7332"/>
    <w:rsid w:val="006F0023"/>
    <w:rsid w:val="006F072C"/>
    <w:rsid w:val="006F11C5"/>
    <w:rsid w:val="006F1760"/>
    <w:rsid w:val="006F2B7F"/>
    <w:rsid w:val="006F645F"/>
    <w:rsid w:val="006F66E3"/>
    <w:rsid w:val="006F6E48"/>
    <w:rsid w:val="006F7267"/>
    <w:rsid w:val="00701971"/>
    <w:rsid w:val="00702EFB"/>
    <w:rsid w:val="00703403"/>
    <w:rsid w:val="0070354C"/>
    <w:rsid w:val="007038D4"/>
    <w:rsid w:val="00703AE4"/>
    <w:rsid w:val="00703F7D"/>
    <w:rsid w:val="00705AEB"/>
    <w:rsid w:val="00705BE1"/>
    <w:rsid w:val="007066DB"/>
    <w:rsid w:val="00706851"/>
    <w:rsid w:val="0071005D"/>
    <w:rsid w:val="007109D4"/>
    <w:rsid w:val="00710BB6"/>
    <w:rsid w:val="0071124F"/>
    <w:rsid w:val="007119F4"/>
    <w:rsid w:val="00711FB9"/>
    <w:rsid w:val="0071201D"/>
    <w:rsid w:val="007144B4"/>
    <w:rsid w:val="00714DBB"/>
    <w:rsid w:val="00715E8F"/>
    <w:rsid w:val="00716CBF"/>
    <w:rsid w:val="00717CB5"/>
    <w:rsid w:val="00717E31"/>
    <w:rsid w:val="00720273"/>
    <w:rsid w:val="007208C9"/>
    <w:rsid w:val="007208DF"/>
    <w:rsid w:val="00721010"/>
    <w:rsid w:val="00723245"/>
    <w:rsid w:val="00723F38"/>
    <w:rsid w:val="00725880"/>
    <w:rsid w:val="00725DD8"/>
    <w:rsid w:val="007265CF"/>
    <w:rsid w:val="007300C1"/>
    <w:rsid w:val="00730F68"/>
    <w:rsid w:val="0073117F"/>
    <w:rsid w:val="00733DB3"/>
    <w:rsid w:val="007352F0"/>
    <w:rsid w:val="007374C3"/>
    <w:rsid w:val="00737852"/>
    <w:rsid w:val="00740797"/>
    <w:rsid w:val="00740E55"/>
    <w:rsid w:val="00742F0A"/>
    <w:rsid w:val="007431D5"/>
    <w:rsid w:val="007441E4"/>
    <w:rsid w:val="00744CBA"/>
    <w:rsid w:val="00744E5E"/>
    <w:rsid w:val="00745A86"/>
    <w:rsid w:val="007467F3"/>
    <w:rsid w:val="00746949"/>
    <w:rsid w:val="00746E41"/>
    <w:rsid w:val="0074742E"/>
    <w:rsid w:val="007474B0"/>
    <w:rsid w:val="0075025E"/>
    <w:rsid w:val="007513B0"/>
    <w:rsid w:val="00752762"/>
    <w:rsid w:val="00752C6C"/>
    <w:rsid w:val="00753A14"/>
    <w:rsid w:val="007547CA"/>
    <w:rsid w:val="00754F95"/>
    <w:rsid w:val="007551F9"/>
    <w:rsid w:val="00756677"/>
    <w:rsid w:val="0075693F"/>
    <w:rsid w:val="0076207E"/>
    <w:rsid w:val="00762475"/>
    <w:rsid w:val="00762A21"/>
    <w:rsid w:val="007650F6"/>
    <w:rsid w:val="00765EC0"/>
    <w:rsid w:val="0076652C"/>
    <w:rsid w:val="00770E2A"/>
    <w:rsid w:val="00771474"/>
    <w:rsid w:val="00771AAA"/>
    <w:rsid w:val="00772291"/>
    <w:rsid w:val="00772ED1"/>
    <w:rsid w:val="00773AFE"/>
    <w:rsid w:val="007740B5"/>
    <w:rsid w:val="00774EF9"/>
    <w:rsid w:val="007754F4"/>
    <w:rsid w:val="00776C23"/>
    <w:rsid w:val="00777436"/>
    <w:rsid w:val="0078009F"/>
    <w:rsid w:val="0078016F"/>
    <w:rsid w:val="007803D1"/>
    <w:rsid w:val="00780647"/>
    <w:rsid w:val="007825F1"/>
    <w:rsid w:val="00782B2E"/>
    <w:rsid w:val="00782D1F"/>
    <w:rsid w:val="007836EE"/>
    <w:rsid w:val="00786692"/>
    <w:rsid w:val="00787BC5"/>
    <w:rsid w:val="007901F5"/>
    <w:rsid w:val="0079076E"/>
    <w:rsid w:val="0079077E"/>
    <w:rsid w:val="00790C9C"/>
    <w:rsid w:val="00792B0D"/>
    <w:rsid w:val="00792C87"/>
    <w:rsid w:val="00793527"/>
    <w:rsid w:val="00794728"/>
    <w:rsid w:val="0079497E"/>
    <w:rsid w:val="0079509F"/>
    <w:rsid w:val="00795B40"/>
    <w:rsid w:val="00797210"/>
    <w:rsid w:val="00797A02"/>
    <w:rsid w:val="00797FDC"/>
    <w:rsid w:val="007A06E4"/>
    <w:rsid w:val="007A0EE5"/>
    <w:rsid w:val="007A1047"/>
    <w:rsid w:val="007A1DBC"/>
    <w:rsid w:val="007A245E"/>
    <w:rsid w:val="007A2733"/>
    <w:rsid w:val="007A3BC8"/>
    <w:rsid w:val="007A3D37"/>
    <w:rsid w:val="007A48D3"/>
    <w:rsid w:val="007A6BB8"/>
    <w:rsid w:val="007A6F5F"/>
    <w:rsid w:val="007A6FFF"/>
    <w:rsid w:val="007B0132"/>
    <w:rsid w:val="007B31BE"/>
    <w:rsid w:val="007B387C"/>
    <w:rsid w:val="007B3D3E"/>
    <w:rsid w:val="007B5AF2"/>
    <w:rsid w:val="007B5D76"/>
    <w:rsid w:val="007B5ED7"/>
    <w:rsid w:val="007B68FC"/>
    <w:rsid w:val="007C0A29"/>
    <w:rsid w:val="007C0EC4"/>
    <w:rsid w:val="007C1611"/>
    <w:rsid w:val="007C192A"/>
    <w:rsid w:val="007C3C14"/>
    <w:rsid w:val="007C49F6"/>
    <w:rsid w:val="007C5EA1"/>
    <w:rsid w:val="007D056D"/>
    <w:rsid w:val="007D2CE7"/>
    <w:rsid w:val="007D3C8B"/>
    <w:rsid w:val="007D3CA6"/>
    <w:rsid w:val="007D4409"/>
    <w:rsid w:val="007D4875"/>
    <w:rsid w:val="007D63B1"/>
    <w:rsid w:val="007E0057"/>
    <w:rsid w:val="007E2D33"/>
    <w:rsid w:val="007E3FBD"/>
    <w:rsid w:val="007E4057"/>
    <w:rsid w:val="007E614D"/>
    <w:rsid w:val="007E77F5"/>
    <w:rsid w:val="007F0B0C"/>
    <w:rsid w:val="007F162D"/>
    <w:rsid w:val="007F22B3"/>
    <w:rsid w:val="007F29FF"/>
    <w:rsid w:val="007F2C36"/>
    <w:rsid w:val="007F46BA"/>
    <w:rsid w:val="007F48BD"/>
    <w:rsid w:val="007F61A5"/>
    <w:rsid w:val="007F626F"/>
    <w:rsid w:val="007F64E8"/>
    <w:rsid w:val="007F6DF9"/>
    <w:rsid w:val="007F7BC1"/>
    <w:rsid w:val="0080083C"/>
    <w:rsid w:val="00800CA4"/>
    <w:rsid w:val="00801C99"/>
    <w:rsid w:val="00801FEC"/>
    <w:rsid w:val="00803D0C"/>
    <w:rsid w:val="008040D1"/>
    <w:rsid w:val="008045BC"/>
    <w:rsid w:val="00804749"/>
    <w:rsid w:val="008048C3"/>
    <w:rsid w:val="00804EB0"/>
    <w:rsid w:val="008066AE"/>
    <w:rsid w:val="00810C04"/>
    <w:rsid w:val="00810E56"/>
    <w:rsid w:val="0081140F"/>
    <w:rsid w:val="00812674"/>
    <w:rsid w:val="008129B5"/>
    <w:rsid w:val="00812CC9"/>
    <w:rsid w:val="00812D43"/>
    <w:rsid w:val="00813415"/>
    <w:rsid w:val="0081377D"/>
    <w:rsid w:val="00814011"/>
    <w:rsid w:val="008146E4"/>
    <w:rsid w:val="00815224"/>
    <w:rsid w:val="00815F72"/>
    <w:rsid w:val="00816644"/>
    <w:rsid w:val="0081670D"/>
    <w:rsid w:val="00820848"/>
    <w:rsid w:val="00820A65"/>
    <w:rsid w:val="00821347"/>
    <w:rsid w:val="00821BC7"/>
    <w:rsid w:val="00821DDB"/>
    <w:rsid w:val="00822697"/>
    <w:rsid w:val="008227E7"/>
    <w:rsid w:val="00822D96"/>
    <w:rsid w:val="00823173"/>
    <w:rsid w:val="0082357F"/>
    <w:rsid w:val="0082397A"/>
    <w:rsid w:val="00824A1B"/>
    <w:rsid w:val="00824B7E"/>
    <w:rsid w:val="008278C2"/>
    <w:rsid w:val="00827DC1"/>
    <w:rsid w:val="00830493"/>
    <w:rsid w:val="00830911"/>
    <w:rsid w:val="00830B96"/>
    <w:rsid w:val="00831427"/>
    <w:rsid w:val="00834AA2"/>
    <w:rsid w:val="00835511"/>
    <w:rsid w:val="00835562"/>
    <w:rsid w:val="00835842"/>
    <w:rsid w:val="00836F11"/>
    <w:rsid w:val="00837400"/>
    <w:rsid w:val="00843D81"/>
    <w:rsid w:val="0084494C"/>
    <w:rsid w:val="008453C7"/>
    <w:rsid w:val="00845464"/>
    <w:rsid w:val="008458A1"/>
    <w:rsid w:val="008463C3"/>
    <w:rsid w:val="00846962"/>
    <w:rsid w:val="0084714F"/>
    <w:rsid w:val="00847248"/>
    <w:rsid w:val="008474D6"/>
    <w:rsid w:val="0085086F"/>
    <w:rsid w:val="00850D1F"/>
    <w:rsid w:val="00852E22"/>
    <w:rsid w:val="00853738"/>
    <w:rsid w:val="008543E0"/>
    <w:rsid w:val="008547D4"/>
    <w:rsid w:val="00854C11"/>
    <w:rsid w:val="00857A7D"/>
    <w:rsid w:val="00857E4B"/>
    <w:rsid w:val="00860FA7"/>
    <w:rsid w:val="00862298"/>
    <w:rsid w:val="00862ED2"/>
    <w:rsid w:val="00863CF5"/>
    <w:rsid w:val="00865AC0"/>
    <w:rsid w:val="00865D7F"/>
    <w:rsid w:val="0086694B"/>
    <w:rsid w:val="00866D31"/>
    <w:rsid w:val="008672C3"/>
    <w:rsid w:val="008673C5"/>
    <w:rsid w:val="00870570"/>
    <w:rsid w:val="00870733"/>
    <w:rsid w:val="0087273F"/>
    <w:rsid w:val="00873335"/>
    <w:rsid w:val="00874E4E"/>
    <w:rsid w:val="00875595"/>
    <w:rsid w:val="0087569E"/>
    <w:rsid w:val="00875906"/>
    <w:rsid w:val="00876EDC"/>
    <w:rsid w:val="0087731C"/>
    <w:rsid w:val="00877D77"/>
    <w:rsid w:val="0088043F"/>
    <w:rsid w:val="00880A58"/>
    <w:rsid w:val="00880AA6"/>
    <w:rsid w:val="0088166C"/>
    <w:rsid w:val="00881B93"/>
    <w:rsid w:val="008832B6"/>
    <w:rsid w:val="0088369D"/>
    <w:rsid w:val="00884817"/>
    <w:rsid w:val="0088542D"/>
    <w:rsid w:val="00885F05"/>
    <w:rsid w:val="00890454"/>
    <w:rsid w:val="00890CCB"/>
    <w:rsid w:val="0089159C"/>
    <w:rsid w:val="00892788"/>
    <w:rsid w:val="008929C6"/>
    <w:rsid w:val="00892DEA"/>
    <w:rsid w:val="008936E9"/>
    <w:rsid w:val="00893A14"/>
    <w:rsid w:val="008949C1"/>
    <w:rsid w:val="00894A8D"/>
    <w:rsid w:val="00894AA1"/>
    <w:rsid w:val="00895FAF"/>
    <w:rsid w:val="00896092"/>
    <w:rsid w:val="00896D5B"/>
    <w:rsid w:val="00896F0B"/>
    <w:rsid w:val="008A1BA9"/>
    <w:rsid w:val="008A1EA9"/>
    <w:rsid w:val="008A3713"/>
    <w:rsid w:val="008A3BC5"/>
    <w:rsid w:val="008A4FAF"/>
    <w:rsid w:val="008B0059"/>
    <w:rsid w:val="008B0A70"/>
    <w:rsid w:val="008B0EA0"/>
    <w:rsid w:val="008B1A46"/>
    <w:rsid w:val="008B3918"/>
    <w:rsid w:val="008B3A50"/>
    <w:rsid w:val="008B4FD6"/>
    <w:rsid w:val="008B638B"/>
    <w:rsid w:val="008B7942"/>
    <w:rsid w:val="008C1F75"/>
    <w:rsid w:val="008C2037"/>
    <w:rsid w:val="008C2726"/>
    <w:rsid w:val="008C33ED"/>
    <w:rsid w:val="008C3A1F"/>
    <w:rsid w:val="008C6333"/>
    <w:rsid w:val="008C7852"/>
    <w:rsid w:val="008D0102"/>
    <w:rsid w:val="008D04FA"/>
    <w:rsid w:val="008D234F"/>
    <w:rsid w:val="008D3149"/>
    <w:rsid w:val="008D33FB"/>
    <w:rsid w:val="008D4165"/>
    <w:rsid w:val="008D46DD"/>
    <w:rsid w:val="008D5245"/>
    <w:rsid w:val="008D6E07"/>
    <w:rsid w:val="008E0609"/>
    <w:rsid w:val="008E0775"/>
    <w:rsid w:val="008E0816"/>
    <w:rsid w:val="008E114E"/>
    <w:rsid w:val="008E1DF5"/>
    <w:rsid w:val="008E29CD"/>
    <w:rsid w:val="008E33B5"/>
    <w:rsid w:val="008E38D5"/>
    <w:rsid w:val="008E6692"/>
    <w:rsid w:val="008E7741"/>
    <w:rsid w:val="008E7AC6"/>
    <w:rsid w:val="008F059A"/>
    <w:rsid w:val="008F1073"/>
    <w:rsid w:val="008F1D01"/>
    <w:rsid w:val="008F1DC3"/>
    <w:rsid w:val="008F22E6"/>
    <w:rsid w:val="008F3896"/>
    <w:rsid w:val="008F4440"/>
    <w:rsid w:val="008F6181"/>
    <w:rsid w:val="008F6357"/>
    <w:rsid w:val="008F6441"/>
    <w:rsid w:val="008F7BA0"/>
    <w:rsid w:val="009005DB"/>
    <w:rsid w:val="00902318"/>
    <w:rsid w:val="00902C9D"/>
    <w:rsid w:val="009031C0"/>
    <w:rsid w:val="00903467"/>
    <w:rsid w:val="00904F01"/>
    <w:rsid w:val="00905D59"/>
    <w:rsid w:val="009064D3"/>
    <w:rsid w:val="00906ACF"/>
    <w:rsid w:val="00906E9A"/>
    <w:rsid w:val="00907B10"/>
    <w:rsid w:val="00911AB1"/>
    <w:rsid w:val="00912166"/>
    <w:rsid w:val="00913065"/>
    <w:rsid w:val="00913300"/>
    <w:rsid w:val="0091442B"/>
    <w:rsid w:val="009169CE"/>
    <w:rsid w:val="00917E4D"/>
    <w:rsid w:val="0092089C"/>
    <w:rsid w:val="00921478"/>
    <w:rsid w:val="0092195D"/>
    <w:rsid w:val="00922A08"/>
    <w:rsid w:val="00922EFA"/>
    <w:rsid w:val="00923AD1"/>
    <w:rsid w:val="00923FF1"/>
    <w:rsid w:val="00924CDE"/>
    <w:rsid w:val="009269DC"/>
    <w:rsid w:val="00930295"/>
    <w:rsid w:val="009320E2"/>
    <w:rsid w:val="009321F7"/>
    <w:rsid w:val="00933355"/>
    <w:rsid w:val="00934FC7"/>
    <w:rsid w:val="0093536C"/>
    <w:rsid w:val="009373E0"/>
    <w:rsid w:val="00941767"/>
    <w:rsid w:val="00941DDE"/>
    <w:rsid w:val="009422B9"/>
    <w:rsid w:val="009434EA"/>
    <w:rsid w:val="009438A8"/>
    <w:rsid w:val="009448AB"/>
    <w:rsid w:val="0094554B"/>
    <w:rsid w:val="00947A59"/>
    <w:rsid w:val="009500BC"/>
    <w:rsid w:val="00950694"/>
    <w:rsid w:val="00950BC7"/>
    <w:rsid w:val="009517E4"/>
    <w:rsid w:val="0095192A"/>
    <w:rsid w:val="00951FCC"/>
    <w:rsid w:val="009529BD"/>
    <w:rsid w:val="0095489D"/>
    <w:rsid w:val="00954BBA"/>
    <w:rsid w:val="00955770"/>
    <w:rsid w:val="00956C82"/>
    <w:rsid w:val="00957084"/>
    <w:rsid w:val="00957A56"/>
    <w:rsid w:val="009603BC"/>
    <w:rsid w:val="00961194"/>
    <w:rsid w:val="0096197D"/>
    <w:rsid w:val="00963376"/>
    <w:rsid w:val="00963377"/>
    <w:rsid w:val="00963862"/>
    <w:rsid w:val="0096524E"/>
    <w:rsid w:val="00966D1B"/>
    <w:rsid w:val="00966E92"/>
    <w:rsid w:val="009711BA"/>
    <w:rsid w:val="0097185B"/>
    <w:rsid w:val="00972870"/>
    <w:rsid w:val="00973EB7"/>
    <w:rsid w:val="0097429E"/>
    <w:rsid w:val="00976498"/>
    <w:rsid w:val="0097691F"/>
    <w:rsid w:val="00976B67"/>
    <w:rsid w:val="00976C54"/>
    <w:rsid w:val="00976DE2"/>
    <w:rsid w:val="00977953"/>
    <w:rsid w:val="009807A9"/>
    <w:rsid w:val="00984E36"/>
    <w:rsid w:val="00987962"/>
    <w:rsid w:val="0099025A"/>
    <w:rsid w:val="0099044A"/>
    <w:rsid w:val="00991E2A"/>
    <w:rsid w:val="00992E06"/>
    <w:rsid w:val="00993044"/>
    <w:rsid w:val="00993EAC"/>
    <w:rsid w:val="00993FE2"/>
    <w:rsid w:val="00995E64"/>
    <w:rsid w:val="00997115"/>
    <w:rsid w:val="00997209"/>
    <w:rsid w:val="009A07C4"/>
    <w:rsid w:val="009A17FB"/>
    <w:rsid w:val="009A3EB5"/>
    <w:rsid w:val="009A4842"/>
    <w:rsid w:val="009A6093"/>
    <w:rsid w:val="009A609F"/>
    <w:rsid w:val="009A6183"/>
    <w:rsid w:val="009A6264"/>
    <w:rsid w:val="009A6542"/>
    <w:rsid w:val="009A68FF"/>
    <w:rsid w:val="009B0298"/>
    <w:rsid w:val="009B05D9"/>
    <w:rsid w:val="009B21D1"/>
    <w:rsid w:val="009B45EB"/>
    <w:rsid w:val="009B47F2"/>
    <w:rsid w:val="009B52C7"/>
    <w:rsid w:val="009B5F6C"/>
    <w:rsid w:val="009B6944"/>
    <w:rsid w:val="009B7B31"/>
    <w:rsid w:val="009B7C91"/>
    <w:rsid w:val="009C3B49"/>
    <w:rsid w:val="009C3CBB"/>
    <w:rsid w:val="009C4CD6"/>
    <w:rsid w:val="009C5334"/>
    <w:rsid w:val="009C53EB"/>
    <w:rsid w:val="009C5FFD"/>
    <w:rsid w:val="009D07B7"/>
    <w:rsid w:val="009D0CE2"/>
    <w:rsid w:val="009D22B8"/>
    <w:rsid w:val="009D2A59"/>
    <w:rsid w:val="009D3865"/>
    <w:rsid w:val="009D3C07"/>
    <w:rsid w:val="009D4C5F"/>
    <w:rsid w:val="009D7A45"/>
    <w:rsid w:val="009E09F0"/>
    <w:rsid w:val="009E1D8E"/>
    <w:rsid w:val="009E1E81"/>
    <w:rsid w:val="009E20B6"/>
    <w:rsid w:val="009E26E9"/>
    <w:rsid w:val="009E3171"/>
    <w:rsid w:val="009E31D4"/>
    <w:rsid w:val="009E34E9"/>
    <w:rsid w:val="009E35F2"/>
    <w:rsid w:val="009E3C68"/>
    <w:rsid w:val="009E40A0"/>
    <w:rsid w:val="009E4512"/>
    <w:rsid w:val="009E5A2A"/>
    <w:rsid w:val="009E5C34"/>
    <w:rsid w:val="009E6846"/>
    <w:rsid w:val="009E787B"/>
    <w:rsid w:val="009E7E0F"/>
    <w:rsid w:val="009F0DFD"/>
    <w:rsid w:val="009F2D77"/>
    <w:rsid w:val="009F3777"/>
    <w:rsid w:val="009F3854"/>
    <w:rsid w:val="009F41BD"/>
    <w:rsid w:val="009F54AE"/>
    <w:rsid w:val="009F5628"/>
    <w:rsid w:val="00A00FA2"/>
    <w:rsid w:val="00A01A90"/>
    <w:rsid w:val="00A039BC"/>
    <w:rsid w:val="00A0546B"/>
    <w:rsid w:val="00A059D3"/>
    <w:rsid w:val="00A065E5"/>
    <w:rsid w:val="00A077CC"/>
    <w:rsid w:val="00A116B8"/>
    <w:rsid w:val="00A11A56"/>
    <w:rsid w:val="00A1203F"/>
    <w:rsid w:val="00A134CE"/>
    <w:rsid w:val="00A1463F"/>
    <w:rsid w:val="00A14F04"/>
    <w:rsid w:val="00A153B6"/>
    <w:rsid w:val="00A15E6A"/>
    <w:rsid w:val="00A17179"/>
    <w:rsid w:val="00A1779B"/>
    <w:rsid w:val="00A20F80"/>
    <w:rsid w:val="00A2145B"/>
    <w:rsid w:val="00A217B3"/>
    <w:rsid w:val="00A21897"/>
    <w:rsid w:val="00A21BEE"/>
    <w:rsid w:val="00A23524"/>
    <w:rsid w:val="00A23C4C"/>
    <w:rsid w:val="00A25056"/>
    <w:rsid w:val="00A25425"/>
    <w:rsid w:val="00A25E18"/>
    <w:rsid w:val="00A263B0"/>
    <w:rsid w:val="00A279BD"/>
    <w:rsid w:val="00A305FA"/>
    <w:rsid w:val="00A30F30"/>
    <w:rsid w:val="00A30F84"/>
    <w:rsid w:val="00A36009"/>
    <w:rsid w:val="00A3683B"/>
    <w:rsid w:val="00A36C03"/>
    <w:rsid w:val="00A37332"/>
    <w:rsid w:val="00A37909"/>
    <w:rsid w:val="00A409AD"/>
    <w:rsid w:val="00A40A00"/>
    <w:rsid w:val="00A4169E"/>
    <w:rsid w:val="00A4235B"/>
    <w:rsid w:val="00A427AF"/>
    <w:rsid w:val="00A42E3A"/>
    <w:rsid w:val="00A42E45"/>
    <w:rsid w:val="00A44079"/>
    <w:rsid w:val="00A44629"/>
    <w:rsid w:val="00A4504F"/>
    <w:rsid w:val="00A467F4"/>
    <w:rsid w:val="00A46A61"/>
    <w:rsid w:val="00A46D15"/>
    <w:rsid w:val="00A47CE9"/>
    <w:rsid w:val="00A501A5"/>
    <w:rsid w:val="00A50A87"/>
    <w:rsid w:val="00A5393E"/>
    <w:rsid w:val="00A53D6F"/>
    <w:rsid w:val="00A55039"/>
    <w:rsid w:val="00A56042"/>
    <w:rsid w:val="00A576A2"/>
    <w:rsid w:val="00A61F20"/>
    <w:rsid w:val="00A62982"/>
    <w:rsid w:val="00A62AFD"/>
    <w:rsid w:val="00A62F51"/>
    <w:rsid w:val="00A62FFF"/>
    <w:rsid w:val="00A6313D"/>
    <w:rsid w:val="00A638B3"/>
    <w:rsid w:val="00A645EE"/>
    <w:rsid w:val="00A64CFE"/>
    <w:rsid w:val="00A653F2"/>
    <w:rsid w:val="00A658AD"/>
    <w:rsid w:val="00A66483"/>
    <w:rsid w:val="00A66998"/>
    <w:rsid w:val="00A67DA2"/>
    <w:rsid w:val="00A67FA6"/>
    <w:rsid w:val="00A70BB4"/>
    <w:rsid w:val="00A73580"/>
    <w:rsid w:val="00A743DE"/>
    <w:rsid w:val="00A7460B"/>
    <w:rsid w:val="00A75489"/>
    <w:rsid w:val="00A75B8B"/>
    <w:rsid w:val="00A75CFE"/>
    <w:rsid w:val="00A76F29"/>
    <w:rsid w:val="00A77569"/>
    <w:rsid w:val="00A8319F"/>
    <w:rsid w:val="00A83454"/>
    <w:rsid w:val="00A865D5"/>
    <w:rsid w:val="00A90A70"/>
    <w:rsid w:val="00A90D68"/>
    <w:rsid w:val="00A92837"/>
    <w:rsid w:val="00A92DF7"/>
    <w:rsid w:val="00A939DE"/>
    <w:rsid w:val="00A9466E"/>
    <w:rsid w:val="00A94B05"/>
    <w:rsid w:val="00A97BCC"/>
    <w:rsid w:val="00AA0D58"/>
    <w:rsid w:val="00AA1F7E"/>
    <w:rsid w:val="00AA2B23"/>
    <w:rsid w:val="00AA2DE0"/>
    <w:rsid w:val="00AA336B"/>
    <w:rsid w:val="00AA3584"/>
    <w:rsid w:val="00AA3DD0"/>
    <w:rsid w:val="00AA3DD1"/>
    <w:rsid w:val="00AA4941"/>
    <w:rsid w:val="00AA5AB1"/>
    <w:rsid w:val="00AA5AC8"/>
    <w:rsid w:val="00AA693D"/>
    <w:rsid w:val="00AA7CC6"/>
    <w:rsid w:val="00AA7F36"/>
    <w:rsid w:val="00AB0AD0"/>
    <w:rsid w:val="00AB0E3A"/>
    <w:rsid w:val="00AB2DEF"/>
    <w:rsid w:val="00AB367F"/>
    <w:rsid w:val="00AB3F78"/>
    <w:rsid w:val="00AB5A70"/>
    <w:rsid w:val="00AB6F4B"/>
    <w:rsid w:val="00AB7668"/>
    <w:rsid w:val="00AC13BB"/>
    <w:rsid w:val="00AC2693"/>
    <w:rsid w:val="00AC323F"/>
    <w:rsid w:val="00AC3857"/>
    <w:rsid w:val="00AC38BF"/>
    <w:rsid w:val="00AC4A54"/>
    <w:rsid w:val="00AC5EE9"/>
    <w:rsid w:val="00AC603A"/>
    <w:rsid w:val="00AC7504"/>
    <w:rsid w:val="00AD0127"/>
    <w:rsid w:val="00AD08D0"/>
    <w:rsid w:val="00AD2E87"/>
    <w:rsid w:val="00AD3AB0"/>
    <w:rsid w:val="00AD3F41"/>
    <w:rsid w:val="00AD469D"/>
    <w:rsid w:val="00AD4B8C"/>
    <w:rsid w:val="00AD6071"/>
    <w:rsid w:val="00AD60FB"/>
    <w:rsid w:val="00AD635B"/>
    <w:rsid w:val="00AD6F6D"/>
    <w:rsid w:val="00AD72E5"/>
    <w:rsid w:val="00AD73CD"/>
    <w:rsid w:val="00AD7A0C"/>
    <w:rsid w:val="00AE2ECC"/>
    <w:rsid w:val="00AE3B16"/>
    <w:rsid w:val="00AE49E2"/>
    <w:rsid w:val="00AE74C5"/>
    <w:rsid w:val="00AF07EA"/>
    <w:rsid w:val="00AF0B29"/>
    <w:rsid w:val="00AF2E44"/>
    <w:rsid w:val="00AF3125"/>
    <w:rsid w:val="00AF3FB0"/>
    <w:rsid w:val="00AF4641"/>
    <w:rsid w:val="00AF4ED4"/>
    <w:rsid w:val="00AF578D"/>
    <w:rsid w:val="00AF5AAF"/>
    <w:rsid w:val="00AF6369"/>
    <w:rsid w:val="00AF689B"/>
    <w:rsid w:val="00B0010C"/>
    <w:rsid w:val="00B0126C"/>
    <w:rsid w:val="00B013FC"/>
    <w:rsid w:val="00B028B3"/>
    <w:rsid w:val="00B04656"/>
    <w:rsid w:val="00B04BDF"/>
    <w:rsid w:val="00B05D57"/>
    <w:rsid w:val="00B06A33"/>
    <w:rsid w:val="00B075CC"/>
    <w:rsid w:val="00B07676"/>
    <w:rsid w:val="00B12283"/>
    <w:rsid w:val="00B125B7"/>
    <w:rsid w:val="00B12C8B"/>
    <w:rsid w:val="00B12E33"/>
    <w:rsid w:val="00B13860"/>
    <w:rsid w:val="00B13B49"/>
    <w:rsid w:val="00B14C83"/>
    <w:rsid w:val="00B14F25"/>
    <w:rsid w:val="00B155CB"/>
    <w:rsid w:val="00B15A2C"/>
    <w:rsid w:val="00B16924"/>
    <w:rsid w:val="00B17D03"/>
    <w:rsid w:val="00B2072E"/>
    <w:rsid w:val="00B20B3D"/>
    <w:rsid w:val="00B20D49"/>
    <w:rsid w:val="00B20F47"/>
    <w:rsid w:val="00B223C4"/>
    <w:rsid w:val="00B227DB"/>
    <w:rsid w:val="00B23198"/>
    <w:rsid w:val="00B23CC0"/>
    <w:rsid w:val="00B26104"/>
    <w:rsid w:val="00B27B87"/>
    <w:rsid w:val="00B3064E"/>
    <w:rsid w:val="00B317A2"/>
    <w:rsid w:val="00B31FD5"/>
    <w:rsid w:val="00B32B17"/>
    <w:rsid w:val="00B33125"/>
    <w:rsid w:val="00B34D41"/>
    <w:rsid w:val="00B35D97"/>
    <w:rsid w:val="00B36CD5"/>
    <w:rsid w:val="00B37116"/>
    <w:rsid w:val="00B3735A"/>
    <w:rsid w:val="00B40553"/>
    <w:rsid w:val="00B408ED"/>
    <w:rsid w:val="00B4118F"/>
    <w:rsid w:val="00B41811"/>
    <w:rsid w:val="00B4296F"/>
    <w:rsid w:val="00B42CFE"/>
    <w:rsid w:val="00B44325"/>
    <w:rsid w:val="00B44D14"/>
    <w:rsid w:val="00B46906"/>
    <w:rsid w:val="00B46FCD"/>
    <w:rsid w:val="00B5011F"/>
    <w:rsid w:val="00B507C5"/>
    <w:rsid w:val="00B50935"/>
    <w:rsid w:val="00B512CC"/>
    <w:rsid w:val="00B51D03"/>
    <w:rsid w:val="00B52770"/>
    <w:rsid w:val="00B534CC"/>
    <w:rsid w:val="00B542CD"/>
    <w:rsid w:val="00B55C65"/>
    <w:rsid w:val="00B576BA"/>
    <w:rsid w:val="00B57F3E"/>
    <w:rsid w:val="00B60FE3"/>
    <w:rsid w:val="00B61EEF"/>
    <w:rsid w:val="00B63F13"/>
    <w:rsid w:val="00B65758"/>
    <w:rsid w:val="00B65922"/>
    <w:rsid w:val="00B669E7"/>
    <w:rsid w:val="00B66B44"/>
    <w:rsid w:val="00B672A2"/>
    <w:rsid w:val="00B702F3"/>
    <w:rsid w:val="00B707C2"/>
    <w:rsid w:val="00B70A2A"/>
    <w:rsid w:val="00B71175"/>
    <w:rsid w:val="00B711FD"/>
    <w:rsid w:val="00B714A2"/>
    <w:rsid w:val="00B71CBB"/>
    <w:rsid w:val="00B7250C"/>
    <w:rsid w:val="00B72F2A"/>
    <w:rsid w:val="00B73750"/>
    <w:rsid w:val="00B7461C"/>
    <w:rsid w:val="00B74A4B"/>
    <w:rsid w:val="00B7670B"/>
    <w:rsid w:val="00B768CF"/>
    <w:rsid w:val="00B76A80"/>
    <w:rsid w:val="00B76CBF"/>
    <w:rsid w:val="00B76D34"/>
    <w:rsid w:val="00B80E7F"/>
    <w:rsid w:val="00B81A2B"/>
    <w:rsid w:val="00B81BA8"/>
    <w:rsid w:val="00B81E48"/>
    <w:rsid w:val="00B82170"/>
    <w:rsid w:val="00B8220A"/>
    <w:rsid w:val="00B82E17"/>
    <w:rsid w:val="00B8422A"/>
    <w:rsid w:val="00B842DC"/>
    <w:rsid w:val="00B84C16"/>
    <w:rsid w:val="00B86690"/>
    <w:rsid w:val="00B878E3"/>
    <w:rsid w:val="00B90018"/>
    <w:rsid w:val="00B90C70"/>
    <w:rsid w:val="00B91308"/>
    <w:rsid w:val="00B91632"/>
    <w:rsid w:val="00B91B75"/>
    <w:rsid w:val="00B9409C"/>
    <w:rsid w:val="00B94448"/>
    <w:rsid w:val="00B961C9"/>
    <w:rsid w:val="00B97595"/>
    <w:rsid w:val="00BA057D"/>
    <w:rsid w:val="00BA0609"/>
    <w:rsid w:val="00BA163D"/>
    <w:rsid w:val="00BA1946"/>
    <w:rsid w:val="00BA3CA8"/>
    <w:rsid w:val="00BA5E1A"/>
    <w:rsid w:val="00BA6C1F"/>
    <w:rsid w:val="00BA6FAF"/>
    <w:rsid w:val="00BB04C6"/>
    <w:rsid w:val="00BB1439"/>
    <w:rsid w:val="00BB14EB"/>
    <w:rsid w:val="00BB1D76"/>
    <w:rsid w:val="00BB1EFF"/>
    <w:rsid w:val="00BB2616"/>
    <w:rsid w:val="00BB26E4"/>
    <w:rsid w:val="00BB2E92"/>
    <w:rsid w:val="00BB3389"/>
    <w:rsid w:val="00BB36C7"/>
    <w:rsid w:val="00BB4299"/>
    <w:rsid w:val="00BB67AA"/>
    <w:rsid w:val="00BB6A06"/>
    <w:rsid w:val="00BB7DB6"/>
    <w:rsid w:val="00BB7FF0"/>
    <w:rsid w:val="00BC0033"/>
    <w:rsid w:val="00BC0909"/>
    <w:rsid w:val="00BC261F"/>
    <w:rsid w:val="00BC2849"/>
    <w:rsid w:val="00BC3CD0"/>
    <w:rsid w:val="00BC44DE"/>
    <w:rsid w:val="00BC4864"/>
    <w:rsid w:val="00BC5763"/>
    <w:rsid w:val="00BC5C05"/>
    <w:rsid w:val="00BC5CC6"/>
    <w:rsid w:val="00BC7F73"/>
    <w:rsid w:val="00BD2B7F"/>
    <w:rsid w:val="00BD2E14"/>
    <w:rsid w:val="00BD43E8"/>
    <w:rsid w:val="00BD4617"/>
    <w:rsid w:val="00BD5C6E"/>
    <w:rsid w:val="00BD6CE6"/>
    <w:rsid w:val="00BD740F"/>
    <w:rsid w:val="00BD753D"/>
    <w:rsid w:val="00BE1759"/>
    <w:rsid w:val="00BE1C9A"/>
    <w:rsid w:val="00BE2184"/>
    <w:rsid w:val="00BE5FE6"/>
    <w:rsid w:val="00BE62C2"/>
    <w:rsid w:val="00BE6AFA"/>
    <w:rsid w:val="00BE6C1D"/>
    <w:rsid w:val="00BE7B52"/>
    <w:rsid w:val="00BF042D"/>
    <w:rsid w:val="00BF0DD5"/>
    <w:rsid w:val="00BF1219"/>
    <w:rsid w:val="00BF1695"/>
    <w:rsid w:val="00BF325A"/>
    <w:rsid w:val="00BF36CE"/>
    <w:rsid w:val="00BF382B"/>
    <w:rsid w:val="00BF3D0B"/>
    <w:rsid w:val="00BF6A2C"/>
    <w:rsid w:val="00BF7324"/>
    <w:rsid w:val="00BF7542"/>
    <w:rsid w:val="00BF7B36"/>
    <w:rsid w:val="00C00B89"/>
    <w:rsid w:val="00C01590"/>
    <w:rsid w:val="00C02CB3"/>
    <w:rsid w:val="00C0317B"/>
    <w:rsid w:val="00C058F8"/>
    <w:rsid w:val="00C07A43"/>
    <w:rsid w:val="00C07CFA"/>
    <w:rsid w:val="00C128D1"/>
    <w:rsid w:val="00C13114"/>
    <w:rsid w:val="00C132FE"/>
    <w:rsid w:val="00C14A43"/>
    <w:rsid w:val="00C15318"/>
    <w:rsid w:val="00C16063"/>
    <w:rsid w:val="00C20574"/>
    <w:rsid w:val="00C20606"/>
    <w:rsid w:val="00C206F9"/>
    <w:rsid w:val="00C243EB"/>
    <w:rsid w:val="00C27D5B"/>
    <w:rsid w:val="00C27ECE"/>
    <w:rsid w:val="00C27F7D"/>
    <w:rsid w:val="00C30EEC"/>
    <w:rsid w:val="00C31203"/>
    <w:rsid w:val="00C31536"/>
    <w:rsid w:val="00C31817"/>
    <w:rsid w:val="00C318AD"/>
    <w:rsid w:val="00C33640"/>
    <w:rsid w:val="00C33FA5"/>
    <w:rsid w:val="00C35507"/>
    <w:rsid w:val="00C35523"/>
    <w:rsid w:val="00C37866"/>
    <w:rsid w:val="00C40413"/>
    <w:rsid w:val="00C40665"/>
    <w:rsid w:val="00C4103B"/>
    <w:rsid w:val="00C42CE1"/>
    <w:rsid w:val="00C42F3B"/>
    <w:rsid w:val="00C43279"/>
    <w:rsid w:val="00C441E5"/>
    <w:rsid w:val="00C467D8"/>
    <w:rsid w:val="00C47947"/>
    <w:rsid w:val="00C503FE"/>
    <w:rsid w:val="00C51A19"/>
    <w:rsid w:val="00C51EE2"/>
    <w:rsid w:val="00C52512"/>
    <w:rsid w:val="00C53B31"/>
    <w:rsid w:val="00C53D32"/>
    <w:rsid w:val="00C55295"/>
    <w:rsid w:val="00C55578"/>
    <w:rsid w:val="00C57095"/>
    <w:rsid w:val="00C57226"/>
    <w:rsid w:val="00C57E5C"/>
    <w:rsid w:val="00C61294"/>
    <w:rsid w:val="00C61622"/>
    <w:rsid w:val="00C62A54"/>
    <w:rsid w:val="00C630A5"/>
    <w:rsid w:val="00C650C9"/>
    <w:rsid w:val="00C651DA"/>
    <w:rsid w:val="00C665B1"/>
    <w:rsid w:val="00C66CF9"/>
    <w:rsid w:val="00C67073"/>
    <w:rsid w:val="00C6755F"/>
    <w:rsid w:val="00C70FA0"/>
    <w:rsid w:val="00C7195D"/>
    <w:rsid w:val="00C759EB"/>
    <w:rsid w:val="00C75D63"/>
    <w:rsid w:val="00C76C02"/>
    <w:rsid w:val="00C76EE6"/>
    <w:rsid w:val="00C816BE"/>
    <w:rsid w:val="00C81C0D"/>
    <w:rsid w:val="00C81F7E"/>
    <w:rsid w:val="00C83AE6"/>
    <w:rsid w:val="00C8438B"/>
    <w:rsid w:val="00C84FAD"/>
    <w:rsid w:val="00C90505"/>
    <w:rsid w:val="00C917B6"/>
    <w:rsid w:val="00C91A65"/>
    <w:rsid w:val="00C91C2F"/>
    <w:rsid w:val="00C91D7C"/>
    <w:rsid w:val="00C92FCD"/>
    <w:rsid w:val="00C93603"/>
    <w:rsid w:val="00C93F1F"/>
    <w:rsid w:val="00C9411F"/>
    <w:rsid w:val="00C94160"/>
    <w:rsid w:val="00C95ACF"/>
    <w:rsid w:val="00C95BC7"/>
    <w:rsid w:val="00C95CB1"/>
    <w:rsid w:val="00C9658F"/>
    <w:rsid w:val="00CA08B5"/>
    <w:rsid w:val="00CA1875"/>
    <w:rsid w:val="00CA2755"/>
    <w:rsid w:val="00CA3F2C"/>
    <w:rsid w:val="00CA5D5C"/>
    <w:rsid w:val="00CA6111"/>
    <w:rsid w:val="00CA68C3"/>
    <w:rsid w:val="00CA740E"/>
    <w:rsid w:val="00CA7FBE"/>
    <w:rsid w:val="00CB37F3"/>
    <w:rsid w:val="00CB4E3C"/>
    <w:rsid w:val="00CB567F"/>
    <w:rsid w:val="00CB5A83"/>
    <w:rsid w:val="00CB6665"/>
    <w:rsid w:val="00CC0BA9"/>
    <w:rsid w:val="00CC1F90"/>
    <w:rsid w:val="00CC2950"/>
    <w:rsid w:val="00CC29C9"/>
    <w:rsid w:val="00CC30C4"/>
    <w:rsid w:val="00CC3B4C"/>
    <w:rsid w:val="00CC5134"/>
    <w:rsid w:val="00CC61A1"/>
    <w:rsid w:val="00CC6ACE"/>
    <w:rsid w:val="00CC7467"/>
    <w:rsid w:val="00CC76A2"/>
    <w:rsid w:val="00CC7AD9"/>
    <w:rsid w:val="00CC7B56"/>
    <w:rsid w:val="00CD07D2"/>
    <w:rsid w:val="00CD0EDF"/>
    <w:rsid w:val="00CD10BE"/>
    <w:rsid w:val="00CD34A0"/>
    <w:rsid w:val="00CD3D0F"/>
    <w:rsid w:val="00CD5728"/>
    <w:rsid w:val="00CD57A6"/>
    <w:rsid w:val="00CD59ED"/>
    <w:rsid w:val="00CD5D8B"/>
    <w:rsid w:val="00CD7050"/>
    <w:rsid w:val="00CE1B55"/>
    <w:rsid w:val="00CE23B9"/>
    <w:rsid w:val="00CE2FDA"/>
    <w:rsid w:val="00CE4FF6"/>
    <w:rsid w:val="00CE53C1"/>
    <w:rsid w:val="00CE5A0D"/>
    <w:rsid w:val="00CE5C8E"/>
    <w:rsid w:val="00CE6506"/>
    <w:rsid w:val="00CE7150"/>
    <w:rsid w:val="00CE7A11"/>
    <w:rsid w:val="00CF0768"/>
    <w:rsid w:val="00CF116A"/>
    <w:rsid w:val="00CF1E69"/>
    <w:rsid w:val="00CF3D1E"/>
    <w:rsid w:val="00CF3F0D"/>
    <w:rsid w:val="00CF46BC"/>
    <w:rsid w:val="00CF5A04"/>
    <w:rsid w:val="00CF5A9A"/>
    <w:rsid w:val="00CF6050"/>
    <w:rsid w:val="00D01AAB"/>
    <w:rsid w:val="00D024DD"/>
    <w:rsid w:val="00D048AF"/>
    <w:rsid w:val="00D054D2"/>
    <w:rsid w:val="00D05889"/>
    <w:rsid w:val="00D05C87"/>
    <w:rsid w:val="00D06185"/>
    <w:rsid w:val="00D061EB"/>
    <w:rsid w:val="00D0711F"/>
    <w:rsid w:val="00D10ECB"/>
    <w:rsid w:val="00D113EA"/>
    <w:rsid w:val="00D1242B"/>
    <w:rsid w:val="00D1406D"/>
    <w:rsid w:val="00D14C4E"/>
    <w:rsid w:val="00D15AC8"/>
    <w:rsid w:val="00D16522"/>
    <w:rsid w:val="00D17406"/>
    <w:rsid w:val="00D21BFC"/>
    <w:rsid w:val="00D22E62"/>
    <w:rsid w:val="00D23060"/>
    <w:rsid w:val="00D240EF"/>
    <w:rsid w:val="00D24628"/>
    <w:rsid w:val="00D25964"/>
    <w:rsid w:val="00D26663"/>
    <w:rsid w:val="00D26EC3"/>
    <w:rsid w:val="00D27E22"/>
    <w:rsid w:val="00D305F4"/>
    <w:rsid w:val="00D32E8B"/>
    <w:rsid w:val="00D33935"/>
    <w:rsid w:val="00D3401A"/>
    <w:rsid w:val="00D340CB"/>
    <w:rsid w:val="00D34D04"/>
    <w:rsid w:val="00D40902"/>
    <w:rsid w:val="00D41403"/>
    <w:rsid w:val="00D431B5"/>
    <w:rsid w:val="00D4326D"/>
    <w:rsid w:val="00D4349D"/>
    <w:rsid w:val="00D4363D"/>
    <w:rsid w:val="00D4394E"/>
    <w:rsid w:val="00D44051"/>
    <w:rsid w:val="00D45476"/>
    <w:rsid w:val="00D45A8D"/>
    <w:rsid w:val="00D47D34"/>
    <w:rsid w:val="00D514D9"/>
    <w:rsid w:val="00D52C1D"/>
    <w:rsid w:val="00D53547"/>
    <w:rsid w:val="00D54460"/>
    <w:rsid w:val="00D56322"/>
    <w:rsid w:val="00D5777B"/>
    <w:rsid w:val="00D57C0B"/>
    <w:rsid w:val="00D57C29"/>
    <w:rsid w:val="00D57E35"/>
    <w:rsid w:val="00D6054A"/>
    <w:rsid w:val="00D638E3"/>
    <w:rsid w:val="00D6555B"/>
    <w:rsid w:val="00D70CA7"/>
    <w:rsid w:val="00D70E35"/>
    <w:rsid w:val="00D72105"/>
    <w:rsid w:val="00D72366"/>
    <w:rsid w:val="00D72938"/>
    <w:rsid w:val="00D738CD"/>
    <w:rsid w:val="00D75A11"/>
    <w:rsid w:val="00D766D8"/>
    <w:rsid w:val="00D76BBC"/>
    <w:rsid w:val="00D80DCA"/>
    <w:rsid w:val="00D8167D"/>
    <w:rsid w:val="00D831C1"/>
    <w:rsid w:val="00D8333B"/>
    <w:rsid w:val="00D83D8E"/>
    <w:rsid w:val="00D848D4"/>
    <w:rsid w:val="00D852AD"/>
    <w:rsid w:val="00D8551D"/>
    <w:rsid w:val="00D86512"/>
    <w:rsid w:val="00D866C7"/>
    <w:rsid w:val="00D874AA"/>
    <w:rsid w:val="00D877D9"/>
    <w:rsid w:val="00D901E8"/>
    <w:rsid w:val="00D905D5"/>
    <w:rsid w:val="00D91B3D"/>
    <w:rsid w:val="00D91DFA"/>
    <w:rsid w:val="00D92613"/>
    <w:rsid w:val="00D92F29"/>
    <w:rsid w:val="00D941EF"/>
    <w:rsid w:val="00D94D88"/>
    <w:rsid w:val="00D95D9F"/>
    <w:rsid w:val="00D976EA"/>
    <w:rsid w:val="00DA09AB"/>
    <w:rsid w:val="00DA10FC"/>
    <w:rsid w:val="00DA2EFA"/>
    <w:rsid w:val="00DA3016"/>
    <w:rsid w:val="00DA3E94"/>
    <w:rsid w:val="00DA414F"/>
    <w:rsid w:val="00DA4B91"/>
    <w:rsid w:val="00DA4C76"/>
    <w:rsid w:val="00DA5397"/>
    <w:rsid w:val="00DA53E0"/>
    <w:rsid w:val="00DA5BB7"/>
    <w:rsid w:val="00DA5E50"/>
    <w:rsid w:val="00DA6337"/>
    <w:rsid w:val="00DA728F"/>
    <w:rsid w:val="00DA7C00"/>
    <w:rsid w:val="00DB0B25"/>
    <w:rsid w:val="00DB4458"/>
    <w:rsid w:val="00DB4A9D"/>
    <w:rsid w:val="00DB4EBA"/>
    <w:rsid w:val="00DB50B2"/>
    <w:rsid w:val="00DB5930"/>
    <w:rsid w:val="00DB61A1"/>
    <w:rsid w:val="00DB62F4"/>
    <w:rsid w:val="00DB6E74"/>
    <w:rsid w:val="00DC080F"/>
    <w:rsid w:val="00DC0B43"/>
    <w:rsid w:val="00DC0D16"/>
    <w:rsid w:val="00DC29F7"/>
    <w:rsid w:val="00DC33DA"/>
    <w:rsid w:val="00DC435D"/>
    <w:rsid w:val="00DC55E0"/>
    <w:rsid w:val="00DC6177"/>
    <w:rsid w:val="00DC7468"/>
    <w:rsid w:val="00DC76A6"/>
    <w:rsid w:val="00DC79A4"/>
    <w:rsid w:val="00DD5802"/>
    <w:rsid w:val="00DD5AC0"/>
    <w:rsid w:val="00DD6404"/>
    <w:rsid w:val="00DD6719"/>
    <w:rsid w:val="00DD6F58"/>
    <w:rsid w:val="00DD72E0"/>
    <w:rsid w:val="00DD77BE"/>
    <w:rsid w:val="00DD7C06"/>
    <w:rsid w:val="00DE07A7"/>
    <w:rsid w:val="00DE2340"/>
    <w:rsid w:val="00DE2F0D"/>
    <w:rsid w:val="00DE504B"/>
    <w:rsid w:val="00DE529A"/>
    <w:rsid w:val="00DE55D5"/>
    <w:rsid w:val="00DF20AA"/>
    <w:rsid w:val="00DF2495"/>
    <w:rsid w:val="00DF298B"/>
    <w:rsid w:val="00DF36A1"/>
    <w:rsid w:val="00DF3FEF"/>
    <w:rsid w:val="00DF61CB"/>
    <w:rsid w:val="00DF6DBC"/>
    <w:rsid w:val="00DF7C37"/>
    <w:rsid w:val="00E00182"/>
    <w:rsid w:val="00E00519"/>
    <w:rsid w:val="00E0132B"/>
    <w:rsid w:val="00E0137D"/>
    <w:rsid w:val="00E02075"/>
    <w:rsid w:val="00E0263B"/>
    <w:rsid w:val="00E0275C"/>
    <w:rsid w:val="00E02943"/>
    <w:rsid w:val="00E036DF"/>
    <w:rsid w:val="00E06012"/>
    <w:rsid w:val="00E06171"/>
    <w:rsid w:val="00E0625E"/>
    <w:rsid w:val="00E06999"/>
    <w:rsid w:val="00E06B6A"/>
    <w:rsid w:val="00E06F81"/>
    <w:rsid w:val="00E0741D"/>
    <w:rsid w:val="00E078C1"/>
    <w:rsid w:val="00E107B8"/>
    <w:rsid w:val="00E108B7"/>
    <w:rsid w:val="00E11DCA"/>
    <w:rsid w:val="00E131F4"/>
    <w:rsid w:val="00E14293"/>
    <w:rsid w:val="00E14629"/>
    <w:rsid w:val="00E151E3"/>
    <w:rsid w:val="00E15798"/>
    <w:rsid w:val="00E15EDE"/>
    <w:rsid w:val="00E16C12"/>
    <w:rsid w:val="00E173A4"/>
    <w:rsid w:val="00E17947"/>
    <w:rsid w:val="00E17E4A"/>
    <w:rsid w:val="00E17ED7"/>
    <w:rsid w:val="00E205F8"/>
    <w:rsid w:val="00E21931"/>
    <w:rsid w:val="00E22C23"/>
    <w:rsid w:val="00E245D0"/>
    <w:rsid w:val="00E25644"/>
    <w:rsid w:val="00E257E8"/>
    <w:rsid w:val="00E26915"/>
    <w:rsid w:val="00E2735B"/>
    <w:rsid w:val="00E27ACD"/>
    <w:rsid w:val="00E27E7A"/>
    <w:rsid w:val="00E325DD"/>
    <w:rsid w:val="00E34490"/>
    <w:rsid w:val="00E354D8"/>
    <w:rsid w:val="00E35ABD"/>
    <w:rsid w:val="00E35B08"/>
    <w:rsid w:val="00E36AB3"/>
    <w:rsid w:val="00E36E52"/>
    <w:rsid w:val="00E37051"/>
    <w:rsid w:val="00E40927"/>
    <w:rsid w:val="00E4093C"/>
    <w:rsid w:val="00E416C7"/>
    <w:rsid w:val="00E46366"/>
    <w:rsid w:val="00E46FF5"/>
    <w:rsid w:val="00E500C6"/>
    <w:rsid w:val="00E51DAB"/>
    <w:rsid w:val="00E51F03"/>
    <w:rsid w:val="00E5434C"/>
    <w:rsid w:val="00E557E0"/>
    <w:rsid w:val="00E55CCA"/>
    <w:rsid w:val="00E56781"/>
    <w:rsid w:val="00E56A07"/>
    <w:rsid w:val="00E60843"/>
    <w:rsid w:val="00E613B2"/>
    <w:rsid w:val="00E62C6B"/>
    <w:rsid w:val="00E64AE1"/>
    <w:rsid w:val="00E64FD9"/>
    <w:rsid w:val="00E6574A"/>
    <w:rsid w:val="00E659B2"/>
    <w:rsid w:val="00E665A4"/>
    <w:rsid w:val="00E66F57"/>
    <w:rsid w:val="00E678DD"/>
    <w:rsid w:val="00E701AA"/>
    <w:rsid w:val="00E70662"/>
    <w:rsid w:val="00E712EB"/>
    <w:rsid w:val="00E716B8"/>
    <w:rsid w:val="00E7246F"/>
    <w:rsid w:val="00E7352E"/>
    <w:rsid w:val="00E738C2"/>
    <w:rsid w:val="00E75500"/>
    <w:rsid w:val="00E76A0D"/>
    <w:rsid w:val="00E80819"/>
    <w:rsid w:val="00E80836"/>
    <w:rsid w:val="00E82054"/>
    <w:rsid w:val="00E85359"/>
    <w:rsid w:val="00E85489"/>
    <w:rsid w:val="00E859A2"/>
    <w:rsid w:val="00E85F48"/>
    <w:rsid w:val="00E867E9"/>
    <w:rsid w:val="00E86FD5"/>
    <w:rsid w:val="00E87BDB"/>
    <w:rsid w:val="00E87E6F"/>
    <w:rsid w:val="00E9161D"/>
    <w:rsid w:val="00E92050"/>
    <w:rsid w:val="00E93093"/>
    <w:rsid w:val="00E93331"/>
    <w:rsid w:val="00E937F4"/>
    <w:rsid w:val="00E93B9C"/>
    <w:rsid w:val="00E93C8D"/>
    <w:rsid w:val="00E95FF8"/>
    <w:rsid w:val="00E9606D"/>
    <w:rsid w:val="00E9668A"/>
    <w:rsid w:val="00E96DAB"/>
    <w:rsid w:val="00E970EF"/>
    <w:rsid w:val="00E97E7C"/>
    <w:rsid w:val="00EA1287"/>
    <w:rsid w:val="00EA1713"/>
    <w:rsid w:val="00EA1B3C"/>
    <w:rsid w:val="00EA228B"/>
    <w:rsid w:val="00EA31ED"/>
    <w:rsid w:val="00EA3824"/>
    <w:rsid w:val="00EA4D3A"/>
    <w:rsid w:val="00EA68A6"/>
    <w:rsid w:val="00EA7323"/>
    <w:rsid w:val="00EB17B5"/>
    <w:rsid w:val="00EB3475"/>
    <w:rsid w:val="00EB3C82"/>
    <w:rsid w:val="00EB43C4"/>
    <w:rsid w:val="00EB45F4"/>
    <w:rsid w:val="00EB48EF"/>
    <w:rsid w:val="00EB4FCB"/>
    <w:rsid w:val="00EB6E01"/>
    <w:rsid w:val="00EC06A3"/>
    <w:rsid w:val="00EC089A"/>
    <w:rsid w:val="00EC0DBC"/>
    <w:rsid w:val="00EC166A"/>
    <w:rsid w:val="00EC1EA4"/>
    <w:rsid w:val="00EC2639"/>
    <w:rsid w:val="00EC3591"/>
    <w:rsid w:val="00EC5312"/>
    <w:rsid w:val="00EC7A19"/>
    <w:rsid w:val="00ED0B4C"/>
    <w:rsid w:val="00ED1E6A"/>
    <w:rsid w:val="00ED2268"/>
    <w:rsid w:val="00ED2297"/>
    <w:rsid w:val="00ED2571"/>
    <w:rsid w:val="00ED27DF"/>
    <w:rsid w:val="00ED2D1C"/>
    <w:rsid w:val="00ED6633"/>
    <w:rsid w:val="00ED6A3C"/>
    <w:rsid w:val="00ED6C0A"/>
    <w:rsid w:val="00ED705D"/>
    <w:rsid w:val="00EE19DF"/>
    <w:rsid w:val="00EE1EC4"/>
    <w:rsid w:val="00EE2874"/>
    <w:rsid w:val="00EE3426"/>
    <w:rsid w:val="00EE34B3"/>
    <w:rsid w:val="00EE363B"/>
    <w:rsid w:val="00EE3BAD"/>
    <w:rsid w:val="00EE610E"/>
    <w:rsid w:val="00EE7E3E"/>
    <w:rsid w:val="00EF0C0F"/>
    <w:rsid w:val="00EF11A8"/>
    <w:rsid w:val="00EF1E43"/>
    <w:rsid w:val="00EF2843"/>
    <w:rsid w:val="00EF4886"/>
    <w:rsid w:val="00EF4B15"/>
    <w:rsid w:val="00EF4CBE"/>
    <w:rsid w:val="00EF5776"/>
    <w:rsid w:val="00EF6C28"/>
    <w:rsid w:val="00F034BF"/>
    <w:rsid w:val="00F04E45"/>
    <w:rsid w:val="00F063B8"/>
    <w:rsid w:val="00F10920"/>
    <w:rsid w:val="00F125C4"/>
    <w:rsid w:val="00F139F0"/>
    <w:rsid w:val="00F13B74"/>
    <w:rsid w:val="00F155BE"/>
    <w:rsid w:val="00F159AA"/>
    <w:rsid w:val="00F162B5"/>
    <w:rsid w:val="00F16E06"/>
    <w:rsid w:val="00F174BF"/>
    <w:rsid w:val="00F20845"/>
    <w:rsid w:val="00F209F8"/>
    <w:rsid w:val="00F211B7"/>
    <w:rsid w:val="00F224B4"/>
    <w:rsid w:val="00F22F47"/>
    <w:rsid w:val="00F24FAC"/>
    <w:rsid w:val="00F252D6"/>
    <w:rsid w:val="00F262CE"/>
    <w:rsid w:val="00F27C15"/>
    <w:rsid w:val="00F305D8"/>
    <w:rsid w:val="00F30EE8"/>
    <w:rsid w:val="00F314EE"/>
    <w:rsid w:val="00F31B65"/>
    <w:rsid w:val="00F32BC3"/>
    <w:rsid w:val="00F32EAA"/>
    <w:rsid w:val="00F32F2B"/>
    <w:rsid w:val="00F33ACE"/>
    <w:rsid w:val="00F34774"/>
    <w:rsid w:val="00F3482D"/>
    <w:rsid w:val="00F351F2"/>
    <w:rsid w:val="00F35462"/>
    <w:rsid w:val="00F37442"/>
    <w:rsid w:val="00F408EE"/>
    <w:rsid w:val="00F4273E"/>
    <w:rsid w:val="00F42AB4"/>
    <w:rsid w:val="00F42F88"/>
    <w:rsid w:val="00F43FAA"/>
    <w:rsid w:val="00F46427"/>
    <w:rsid w:val="00F47B18"/>
    <w:rsid w:val="00F50402"/>
    <w:rsid w:val="00F51F09"/>
    <w:rsid w:val="00F55D81"/>
    <w:rsid w:val="00F5738C"/>
    <w:rsid w:val="00F574C5"/>
    <w:rsid w:val="00F57814"/>
    <w:rsid w:val="00F60B99"/>
    <w:rsid w:val="00F60E6C"/>
    <w:rsid w:val="00F63B66"/>
    <w:rsid w:val="00F652E5"/>
    <w:rsid w:val="00F65906"/>
    <w:rsid w:val="00F66550"/>
    <w:rsid w:val="00F66849"/>
    <w:rsid w:val="00F66E25"/>
    <w:rsid w:val="00F713C2"/>
    <w:rsid w:val="00F74373"/>
    <w:rsid w:val="00F77565"/>
    <w:rsid w:val="00F777B1"/>
    <w:rsid w:val="00F806D0"/>
    <w:rsid w:val="00F81280"/>
    <w:rsid w:val="00F8160B"/>
    <w:rsid w:val="00F81F20"/>
    <w:rsid w:val="00F820B1"/>
    <w:rsid w:val="00F82187"/>
    <w:rsid w:val="00F85151"/>
    <w:rsid w:val="00F8543D"/>
    <w:rsid w:val="00F90EDF"/>
    <w:rsid w:val="00F914ED"/>
    <w:rsid w:val="00F91C8A"/>
    <w:rsid w:val="00F922F2"/>
    <w:rsid w:val="00F9333B"/>
    <w:rsid w:val="00F938AF"/>
    <w:rsid w:val="00F93C15"/>
    <w:rsid w:val="00F95386"/>
    <w:rsid w:val="00F95626"/>
    <w:rsid w:val="00F95845"/>
    <w:rsid w:val="00F959FF"/>
    <w:rsid w:val="00F95A92"/>
    <w:rsid w:val="00F95DDC"/>
    <w:rsid w:val="00FA02A6"/>
    <w:rsid w:val="00FA0E1B"/>
    <w:rsid w:val="00FA2450"/>
    <w:rsid w:val="00FA3785"/>
    <w:rsid w:val="00FA3A20"/>
    <w:rsid w:val="00FA3D8C"/>
    <w:rsid w:val="00FA5261"/>
    <w:rsid w:val="00FA5518"/>
    <w:rsid w:val="00FA5839"/>
    <w:rsid w:val="00FA5A91"/>
    <w:rsid w:val="00FA61F2"/>
    <w:rsid w:val="00FA7E5B"/>
    <w:rsid w:val="00FB009A"/>
    <w:rsid w:val="00FB0E6A"/>
    <w:rsid w:val="00FB24B7"/>
    <w:rsid w:val="00FB32C4"/>
    <w:rsid w:val="00FB3D58"/>
    <w:rsid w:val="00FB65FC"/>
    <w:rsid w:val="00FB6B23"/>
    <w:rsid w:val="00FC2C30"/>
    <w:rsid w:val="00FC463D"/>
    <w:rsid w:val="00FC53EC"/>
    <w:rsid w:val="00FC5E05"/>
    <w:rsid w:val="00FC6572"/>
    <w:rsid w:val="00FC6942"/>
    <w:rsid w:val="00FC6A1A"/>
    <w:rsid w:val="00FC7714"/>
    <w:rsid w:val="00FD01AF"/>
    <w:rsid w:val="00FD053C"/>
    <w:rsid w:val="00FD27B0"/>
    <w:rsid w:val="00FD50FF"/>
    <w:rsid w:val="00FD5B6C"/>
    <w:rsid w:val="00FD688B"/>
    <w:rsid w:val="00FE08A3"/>
    <w:rsid w:val="00FE09A9"/>
    <w:rsid w:val="00FE0D4A"/>
    <w:rsid w:val="00FE2473"/>
    <w:rsid w:val="00FE5684"/>
    <w:rsid w:val="00FE6E55"/>
    <w:rsid w:val="00FE6F98"/>
    <w:rsid w:val="00FF25BB"/>
    <w:rsid w:val="00FF395F"/>
    <w:rsid w:val="00FF3B4E"/>
    <w:rsid w:val="00FF4418"/>
    <w:rsid w:val="00FF4E53"/>
    <w:rsid w:val="00FF54B1"/>
    <w:rsid w:val="00FF62A7"/>
    <w:rsid w:val="00FF6ED2"/>
    <w:rsid w:val="00FF7270"/>
    <w:rsid w:val="01395070"/>
    <w:rsid w:val="01527123"/>
    <w:rsid w:val="01E12B9D"/>
    <w:rsid w:val="02127E3B"/>
    <w:rsid w:val="022571D2"/>
    <w:rsid w:val="02CE0832"/>
    <w:rsid w:val="030376E3"/>
    <w:rsid w:val="03081710"/>
    <w:rsid w:val="03C4784F"/>
    <w:rsid w:val="04357D70"/>
    <w:rsid w:val="04545877"/>
    <w:rsid w:val="048E4E2D"/>
    <w:rsid w:val="04B844FD"/>
    <w:rsid w:val="05804229"/>
    <w:rsid w:val="0593729F"/>
    <w:rsid w:val="05CB6364"/>
    <w:rsid w:val="060317A8"/>
    <w:rsid w:val="068A115D"/>
    <w:rsid w:val="06BC30C0"/>
    <w:rsid w:val="06D63896"/>
    <w:rsid w:val="07CF4038"/>
    <w:rsid w:val="087F5A5E"/>
    <w:rsid w:val="08AC7775"/>
    <w:rsid w:val="08D00067"/>
    <w:rsid w:val="08D062B9"/>
    <w:rsid w:val="08E81855"/>
    <w:rsid w:val="090760AC"/>
    <w:rsid w:val="09127E8F"/>
    <w:rsid w:val="09251D59"/>
    <w:rsid w:val="095962AF"/>
    <w:rsid w:val="09774987"/>
    <w:rsid w:val="097906FF"/>
    <w:rsid w:val="09A454D4"/>
    <w:rsid w:val="09BA65D2"/>
    <w:rsid w:val="0A9B6453"/>
    <w:rsid w:val="0B454CF7"/>
    <w:rsid w:val="0B472137"/>
    <w:rsid w:val="0B6251C3"/>
    <w:rsid w:val="0B675365"/>
    <w:rsid w:val="0B6A2548"/>
    <w:rsid w:val="0BFE6C9A"/>
    <w:rsid w:val="0C315A51"/>
    <w:rsid w:val="0C411129"/>
    <w:rsid w:val="0D6276FC"/>
    <w:rsid w:val="0D7C6A10"/>
    <w:rsid w:val="0D991370"/>
    <w:rsid w:val="0DAD4E1B"/>
    <w:rsid w:val="0DD3103A"/>
    <w:rsid w:val="0E512388"/>
    <w:rsid w:val="0EAD7466"/>
    <w:rsid w:val="0EBD2E3C"/>
    <w:rsid w:val="0F2753AE"/>
    <w:rsid w:val="0F652962"/>
    <w:rsid w:val="0FA83AEC"/>
    <w:rsid w:val="0FB34ACD"/>
    <w:rsid w:val="104666EA"/>
    <w:rsid w:val="10AE189A"/>
    <w:rsid w:val="10B95885"/>
    <w:rsid w:val="10E53C81"/>
    <w:rsid w:val="10EC0872"/>
    <w:rsid w:val="10FD4F74"/>
    <w:rsid w:val="117834E4"/>
    <w:rsid w:val="11887E55"/>
    <w:rsid w:val="11DE7416"/>
    <w:rsid w:val="12413D84"/>
    <w:rsid w:val="12BD4102"/>
    <w:rsid w:val="12C47AD5"/>
    <w:rsid w:val="12E86732"/>
    <w:rsid w:val="12FD4C5E"/>
    <w:rsid w:val="134578A4"/>
    <w:rsid w:val="134D0507"/>
    <w:rsid w:val="13870963"/>
    <w:rsid w:val="13873911"/>
    <w:rsid w:val="13A97E33"/>
    <w:rsid w:val="14257A7C"/>
    <w:rsid w:val="14432035"/>
    <w:rsid w:val="149117A5"/>
    <w:rsid w:val="149E726C"/>
    <w:rsid w:val="14F528DA"/>
    <w:rsid w:val="155344FA"/>
    <w:rsid w:val="15D849FF"/>
    <w:rsid w:val="15FB06EE"/>
    <w:rsid w:val="16DE5141"/>
    <w:rsid w:val="18153CE9"/>
    <w:rsid w:val="181D494B"/>
    <w:rsid w:val="184A0904"/>
    <w:rsid w:val="18652FC2"/>
    <w:rsid w:val="1894312E"/>
    <w:rsid w:val="18D94D16"/>
    <w:rsid w:val="19363D40"/>
    <w:rsid w:val="198D5B01"/>
    <w:rsid w:val="19D810CA"/>
    <w:rsid w:val="1A455583"/>
    <w:rsid w:val="1B612DA1"/>
    <w:rsid w:val="1C291D08"/>
    <w:rsid w:val="1C712470"/>
    <w:rsid w:val="1D230C56"/>
    <w:rsid w:val="1D5C2229"/>
    <w:rsid w:val="1DA209BF"/>
    <w:rsid w:val="1E0F4D36"/>
    <w:rsid w:val="1E9E7DD6"/>
    <w:rsid w:val="1EB83BDA"/>
    <w:rsid w:val="1EDF6EEA"/>
    <w:rsid w:val="1F02211F"/>
    <w:rsid w:val="1F4E7296"/>
    <w:rsid w:val="1F574CD6"/>
    <w:rsid w:val="1FA85823"/>
    <w:rsid w:val="1FCC7AD2"/>
    <w:rsid w:val="1FE506E9"/>
    <w:rsid w:val="20027121"/>
    <w:rsid w:val="202B0237"/>
    <w:rsid w:val="205C08B5"/>
    <w:rsid w:val="20935C17"/>
    <w:rsid w:val="20BA1993"/>
    <w:rsid w:val="211F34E2"/>
    <w:rsid w:val="213114B9"/>
    <w:rsid w:val="213F0E29"/>
    <w:rsid w:val="21494A03"/>
    <w:rsid w:val="21537DFC"/>
    <w:rsid w:val="215A451A"/>
    <w:rsid w:val="21621621"/>
    <w:rsid w:val="21933ED0"/>
    <w:rsid w:val="21D93975"/>
    <w:rsid w:val="21EA4D76"/>
    <w:rsid w:val="220A18B3"/>
    <w:rsid w:val="2234437A"/>
    <w:rsid w:val="22416B0A"/>
    <w:rsid w:val="228D2D85"/>
    <w:rsid w:val="237630B8"/>
    <w:rsid w:val="24030E99"/>
    <w:rsid w:val="24102C45"/>
    <w:rsid w:val="24EF141E"/>
    <w:rsid w:val="25D00700"/>
    <w:rsid w:val="25D72B4E"/>
    <w:rsid w:val="26892E97"/>
    <w:rsid w:val="26C36A7D"/>
    <w:rsid w:val="26DF78A8"/>
    <w:rsid w:val="26EA5B20"/>
    <w:rsid w:val="272C3838"/>
    <w:rsid w:val="274176DD"/>
    <w:rsid w:val="27604855"/>
    <w:rsid w:val="27B5694E"/>
    <w:rsid w:val="28220882"/>
    <w:rsid w:val="28410C28"/>
    <w:rsid w:val="285A74F6"/>
    <w:rsid w:val="28CD2D8F"/>
    <w:rsid w:val="28DE3C83"/>
    <w:rsid w:val="2927562A"/>
    <w:rsid w:val="29411C76"/>
    <w:rsid w:val="295E3016"/>
    <w:rsid w:val="2981695C"/>
    <w:rsid w:val="299A001A"/>
    <w:rsid w:val="29C71EE7"/>
    <w:rsid w:val="2A2D265B"/>
    <w:rsid w:val="2A475858"/>
    <w:rsid w:val="2A585908"/>
    <w:rsid w:val="2A726EB4"/>
    <w:rsid w:val="2AEB2687"/>
    <w:rsid w:val="2B4667E1"/>
    <w:rsid w:val="2B9D7E25"/>
    <w:rsid w:val="2C1F4CDE"/>
    <w:rsid w:val="2C300C99"/>
    <w:rsid w:val="2C4E0718"/>
    <w:rsid w:val="2D2C76B3"/>
    <w:rsid w:val="2E0511D8"/>
    <w:rsid w:val="2E170FF0"/>
    <w:rsid w:val="2E3D6001"/>
    <w:rsid w:val="2EB11545"/>
    <w:rsid w:val="2F0742E4"/>
    <w:rsid w:val="2F0F45A5"/>
    <w:rsid w:val="2F104CD5"/>
    <w:rsid w:val="2F8D6403"/>
    <w:rsid w:val="2F9A5E36"/>
    <w:rsid w:val="2FF36369"/>
    <w:rsid w:val="3008511A"/>
    <w:rsid w:val="305111DE"/>
    <w:rsid w:val="309C4B4F"/>
    <w:rsid w:val="30A72E91"/>
    <w:rsid w:val="30B451C1"/>
    <w:rsid w:val="30FB1EEF"/>
    <w:rsid w:val="311546EA"/>
    <w:rsid w:val="31A83831"/>
    <w:rsid w:val="31D130EA"/>
    <w:rsid w:val="31F938DC"/>
    <w:rsid w:val="32DB1233"/>
    <w:rsid w:val="331F407C"/>
    <w:rsid w:val="33371370"/>
    <w:rsid w:val="33791CF9"/>
    <w:rsid w:val="33D22636"/>
    <w:rsid w:val="34237336"/>
    <w:rsid w:val="34324646"/>
    <w:rsid w:val="34B95C8F"/>
    <w:rsid w:val="34C93A39"/>
    <w:rsid w:val="34DA795B"/>
    <w:rsid w:val="34EB5C0C"/>
    <w:rsid w:val="35CB77EA"/>
    <w:rsid w:val="35F920FC"/>
    <w:rsid w:val="364A6DFC"/>
    <w:rsid w:val="368F6EB1"/>
    <w:rsid w:val="369342FF"/>
    <w:rsid w:val="36BC133A"/>
    <w:rsid w:val="37044201"/>
    <w:rsid w:val="3709636F"/>
    <w:rsid w:val="372F3732"/>
    <w:rsid w:val="37765445"/>
    <w:rsid w:val="37BB6FB7"/>
    <w:rsid w:val="37C720B1"/>
    <w:rsid w:val="37EA2644"/>
    <w:rsid w:val="383D7513"/>
    <w:rsid w:val="3890394B"/>
    <w:rsid w:val="389941F9"/>
    <w:rsid w:val="38EB6E2C"/>
    <w:rsid w:val="38FB43DD"/>
    <w:rsid w:val="39496958"/>
    <w:rsid w:val="39D30B18"/>
    <w:rsid w:val="3A414072"/>
    <w:rsid w:val="3A4D0C68"/>
    <w:rsid w:val="3A666D2F"/>
    <w:rsid w:val="3A726921"/>
    <w:rsid w:val="3A7E52C6"/>
    <w:rsid w:val="3A80103E"/>
    <w:rsid w:val="3A82188E"/>
    <w:rsid w:val="3A9C74FA"/>
    <w:rsid w:val="3AEC0D6E"/>
    <w:rsid w:val="3B7F4E52"/>
    <w:rsid w:val="3C0147DC"/>
    <w:rsid w:val="3C376285"/>
    <w:rsid w:val="3D226C1F"/>
    <w:rsid w:val="3D4F2F4A"/>
    <w:rsid w:val="3D600CB3"/>
    <w:rsid w:val="3DCB25D0"/>
    <w:rsid w:val="3DD07BE6"/>
    <w:rsid w:val="3DFF671E"/>
    <w:rsid w:val="3E0D0E3B"/>
    <w:rsid w:val="3EEF6792"/>
    <w:rsid w:val="3F593C0C"/>
    <w:rsid w:val="3F6F78D3"/>
    <w:rsid w:val="3FA95343"/>
    <w:rsid w:val="3FEA0D08"/>
    <w:rsid w:val="41630D72"/>
    <w:rsid w:val="41F63994"/>
    <w:rsid w:val="42567218"/>
    <w:rsid w:val="42AB2039"/>
    <w:rsid w:val="431442B1"/>
    <w:rsid w:val="43731787"/>
    <w:rsid w:val="438C0A54"/>
    <w:rsid w:val="439722B1"/>
    <w:rsid w:val="43A17DC2"/>
    <w:rsid w:val="43E40889"/>
    <w:rsid w:val="440467DA"/>
    <w:rsid w:val="440C719A"/>
    <w:rsid w:val="44142F26"/>
    <w:rsid w:val="448E7078"/>
    <w:rsid w:val="44BD3783"/>
    <w:rsid w:val="44CC0E29"/>
    <w:rsid w:val="46405B25"/>
    <w:rsid w:val="466A4950"/>
    <w:rsid w:val="46CD68C5"/>
    <w:rsid w:val="472B0583"/>
    <w:rsid w:val="47795AAC"/>
    <w:rsid w:val="47951367"/>
    <w:rsid w:val="479E6CA3"/>
    <w:rsid w:val="47A45C40"/>
    <w:rsid w:val="480D1AA5"/>
    <w:rsid w:val="480D7C89"/>
    <w:rsid w:val="4819662E"/>
    <w:rsid w:val="4861761A"/>
    <w:rsid w:val="48C53CED"/>
    <w:rsid w:val="48D013E2"/>
    <w:rsid w:val="48D118F2"/>
    <w:rsid w:val="48D2515B"/>
    <w:rsid w:val="48E1714C"/>
    <w:rsid w:val="49635DB3"/>
    <w:rsid w:val="49BD03E9"/>
    <w:rsid w:val="49D26C0F"/>
    <w:rsid w:val="49F63348"/>
    <w:rsid w:val="4A176B9D"/>
    <w:rsid w:val="4A2A2D74"/>
    <w:rsid w:val="4A561CF3"/>
    <w:rsid w:val="4A7A47DD"/>
    <w:rsid w:val="4A7B1BAD"/>
    <w:rsid w:val="4AA63263"/>
    <w:rsid w:val="4AA82F6B"/>
    <w:rsid w:val="4B0435C5"/>
    <w:rsid w:val="4B475D73"/>
    <w:rsid w:val="4B5310D8"/>
    <w:rsid w:val="4B8D7117"/>
    <w:rsid w:val="4C1A1042"/>
    <w:rsid w:val="4C903074"/>
    <w:rsid w:val="4CCE0B6D"/>
    <w:rsid w:val="4D2B14AA"/>
    <w:rsid w:val="4D522935"/>
    <w:rsid w:val="4DC808DA"/>
    <w:rsid w:val="4DF16560"/>
    <w:rsid w:val="4E2448D3"/>
    <w:rsid w:val="4E2927A4"/>
    <w:rsid w:val="4EB81345"/>
    <w:rsid w:val="4F0F5183"/>
    <w:rsid w:val="4F5F4F3A"/>
    <w:rsid w:val="4F774993"/>
    <w:rsid w:val="4F9B30E3"/>
    <w:rsid w:val="50034479"/>
    <w:rsid w:val="50076E3A"/>
    <w:rsid w:val="50487B81"/>
    <w:rsid w:val="5080549C"/>
    <w:rsid w:val="50855C6C"/>
    <w:rsid w:val="50E9588C"/>
    <w:rsid w:val="510A1BCD"/>
    <w:rsid w:val="51453FF0"/>
    <w:rsid w:val="51690567"/>
    <w:rsid w:val="529F2FF6"/>
    <w:rsid w:val="52CA365D"/>
    <w:rsid w:val="53042DB3"/>
    <w:rsid w:val="535F773A"/>
    <w:rsid w:val="53E64970"/>
    <w:rsid w:val="53E80FA0"/>
    <w:rsid w:val="542F6D6F"/>
    <w:rsid w:val="54516500"/>
    <w:rsid w:val="54A223CF"/>
    <w:rsid w:val="54EF2BF0"/>
    <w:rsid w:val="54F20C8D"/>
    <w:rsid w:val="5540169E"/>
    <w:rsid w:val="554C35FE"/>
    <w:rsid w:val="559519EA"/>
    <w:rsid w:val="55BE01BB"/>
    <w:rsid w:val="55D20A15"/>
    <w:rsid w:val="55D33E62"/>
    <w:rsid w:val="55DA6714"/>
    <w:rsid w:val="56101070"/>
    <w:rsid w:val="57254C9B"/>
    <w:rsid w:val="57830B6F"/>
    <w:rsid w:val="57AA0330"/>
    <w:rsid w:val="58223BCE"/>
    <w:rsid w:val="582B2191"/>
    <w:rsid w:val="58EC4871"/>
    <w:rsid w:val="58FD48AA"/>
    <w:rsid w:val="590115C8"/>
    <w:rsid w:val="592109A0"/>
    <w:rsid w:val="59396B30"/>
    <w:rsid w:val="59590F80"/>
    <w:rsid w:val="595974BE"/>
    <w:rsid w:val="59F517F2"/>
    <w:rsid w:val="5A49108E"/>
    <w:rsid w:val="5A7D0C9E"/>
    <w:rsid w:val="5AA71457"/>
    <w:rsid w:val="5B445194"/>
    <w:rsid w:val="5B9C6F02"/>
    <w:rsid w:val="5BF22DCA"/>
    <w:rsid w:val="5BFA4059"/>
    <w:rsid w:val="5C57483D"/>
    <w:rsid w:val="5CCF73FD"/>
    <w:rsid w:val="5D243653"/>
    <w:rsid w:val="5D507783"/>
    <w:rsid w:val="5E182423"/>
    <w:rsid w:val="5E6068C8"/>
    <w:rsid w:val="5EDF45D6"/>
    <w:rsid w:val="5EF330C9"/>
    <w:rsid w:val="5F4B3DBC"/>
    <w:rsid w:val="5F6661A5"/>
    <w:rsid w:val="5F750196"/>
    <w:rsid w:val="5FEA632E"/>
    <w:rsid w:val="60C158A9"/>
    <w:rsid w:val="61305965"/>
    <w:rsid w:val="614F0B05"/>
    <w:rsid w:val="617D1584"/>
    <w:rsid w:val="617E0921"/>
    <w:rsid w:val="618A333F"/>
    <w:rsid w:val="6200643D"/>
    <w:rsid w:val="6210670D"/>
    <w:rsid w:val="6252656D"/>
    <w:rsid w:val="6285766B"/>
    <w:rsid w:val="632379EE"/>
    <w:rsid w:val="63F16CEA"/>
    <w:rsid w:val="64833355"/>
    <w:rsid w:val="64BB183B"/>
    <w:rsid w:val="65220960"/>
    <w:rsid w:val="65332685"/>
    <w:rsid w:val="654E78BA"/>
    <w:rsid w:val="65901886"/>
    <w:rsid w:val="65B3610E"/>
    <w:rsid w:val="6614127C"/>
    <w:rsid w:val="663277E4"/>
    <w:rsid w:val="66D32372"/>
    <w:rsid w:val="678E44EB"/>
    <w:rsid w:val="67B6759E"/>
    <w:rsid w:val="67FA1F52"/>
    <w:rsid w:val="68910450"/>
    <w:rsid w:val="68AD09A1"/>
    <w:rsid w:val="690D100C"/>
    <w:rsid w:val="692A7234"/>
    <w:rsid w:val="698C6808"/>
    <w:rsid w:val="69CC7408"/>
    <w:rsid w:val="69EE74C3"/>
    <w:rsid w:val="69F50114"/>
    <w:rsid w:val="6A16664E"/>
    <w:rsid w:val="6A39129E"/>
    <w:rsid w:val="6AD71D05"/>
    <w:rsid w:val="6B1A4EE6"/>
    <w:rsid w:val="6B486162"/>
    <w:rsid w:val="6B6F5EFF"/>
    <w:rsid w:val="6BC62982"/>
    <w:rsid w:val="6C6C3430"/>
    <w:rsid w:val="6C7D1B5B"/>
    <w:rsid w:val="6C94136F"/>
    <w:rsid w:val="6C9E6F7E"/>
    <w:rsid w:val="6CA4030D"/>
    <w:rsid w:val="6D27248D"/>
    <w:rsid w:val="6DAC0B3C"/>
    <w:rsid w:val="6DC63D25"/>
    <w:rsid w:val="6E030AA0"/>
    <w:rsid w:val="6E10454B"/>
    <w:rsid w:val="6E9C61C8"/>
    <w:rsid w:val="6EB5235D"/>
    <w:rsid w:val="6EB63269"/>
    <w:rsid w:val="6ED53D6E"/>
    <w:rsid w:val="6EF647E8"/>
    <w:rsid w:val="6F2F65B3"/>
    <w:rsid w:val="6F39716C"/>
    <w:rsid w:val="6F696861"/>
    <w:rsid w:val="6F8F6829"/>
    <w:rsid w:val="6F98681C"/>
    <w:rsid w:val="6FCE43F9"/>
    <w:rsid w:val="6FDE7283"/>
    <w:rsid w:val="6FEE43E8"/>
    <w:rsid w:val="6FF204E1"/>
    <w:rsid w:val="700215D2"/>
    <w:rsid w:val="704A4002"/>
    <w:rsid w:val="70514307"/>
    <w:rsid w:val="70CA18C4"/>
    <w:rsid w:val="70E23A69"/>
    <w:rsid w:val="70E37655"/>
    <w:rsid w:val="70F311A0"/>
    <w:rsid w:val="712B7DB0"/>
    <w:rsid w:val="712F5E96"/>
    <w:rsid w:val="71A64520"/>
    <w:rsid w:val="72AA4610"/>
    <w:rsid w:val="72F33B28"/>
    <w:rsid w:val="731F2796"/>
    <w:rsid w:val="73472096"/>
    <w:rsid w:val="73A155A6"/>
    <w:rsid w:val="73AC76E0"/>
    <w:rsid w:val="74257F85"/>
    <w:rsid w:val="742B0947"/>
    <w:rsid w:val="748E0E94"/>
    <w:rsid w:val="75290B12"/>
    <w:rsid w:val="753A7A60"/>
    <w:rsid w:val="75555565"/>
    <w:rsid w:val="756E14B8"/>
    <w:rsid w:val="75F44C98"/>
    <w:rsid w:val="760140DA"/>
    <w:rsid w:val="760F41B4"/>
    <w:rsid w:val="762D5A38"/>
    <w:rsid w:val="76373F9F"/>
    <w:rsid w:val="7663250C"/>
    <w:rsid w:val="76933D43"/>
    <w:rsid w:val="769863AF"/>
    <w:rsid w:val="773846DF"/>
    <w:rsid w:val="77CD0717"/>
    <w:rsid w:val="77E00CCD"/>
    <w:rsid w:val="77E837A3"/>
    <w:rsid w:val="7853368E"/>
    <w:rsid w:val="787E7C64"/>
    <w:rsid w:val="788F1E71"/>
    <w:rsid w:val="78AB5695"/>
    <w:rsid w:val="78B464D6"/>
    <w:rsid w:val="799B05AC"/>
    <w:rsid w:val="79B002F1"/>
    <w:rsid w:val="79B853F7"/>
    <w:rsid w:val="79FB375A"/>
    <w:rsid w:val="7A107F26"/>
    <w:rsid w:val="7B310FBD"/>
    <w:rsid w:val="7B5D0004"/>
    <w:rsid w:val="7BE13E07"/>
    <w:rsid w:val="7C520A0E"/>
    <w:rsid w:val="7C6123BD"/>
    <w:rsid w:val="7CCD39E9"/>
    <w:rsid w:val="7D305CC2"/>
    <w:rsid w:val="7D473EDC"/>
    <w:rsid w:val="7D780D9D"/>
    <w:rsid w:val="7DC07555"/>
    <w:rsid w:val="7DE642E1"/>
    <w:rsid w:val="7E362D69"/>
    <w:rsid w:val="7E3E1B66"/>
    <w:rsid w:val="7E4234E1"/>
    <w:rsid w:val="7EA7290F"/>
    <w:rsid w:val="7F8B3532"/>
    <w:rsid w:val="7FA10B60"/>
    <w:rsid w:val="7FB7717F"/>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7F4049"/>
  <w15:chartTrackingRefBased/>
  <w15:docId w15:val="{2B9AD639-E231-4630-AAD3-32552C7E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lsdException w:name="annotation text" w:semiHidden="1" w:uiPriority="99" w:qFormat="1"/>
    <w:lsdException w:name="header" w:semiHidden="1" w:uiPriority="99" w:qFormat="1"/>
    <w:lsdException w:name="footer" w:semiHidden="1" w:uiPriority="99"/>
    <w:lsdException w:name="index heading" w:semiHidden="1" w:uiPriority="99"/>
    <w:lsdException w:name="caption" w:semiHidden="1" w:uiPriority="35" w:unhideWhenUsed="1" w:qFormat="1"/>
    <w:lsdException w:name="table of figures" w:semiHidden="1" w:uiPriority="99"/>
    <w:lsdException w:name="envelope address" w:semiHidden="1"/>
    <w:lsdException w:name="envelope return" w:semiHidden="1"/>
    <w:lsdException w:name="footnote reference" w:semiHidden="1" w:uiPriority="99"/>
    <w:lsdException w:name="annotation reference" w:semiHidden="1" w:uiPriority="99" w:qFormat="1"/>
    <w:lsdException w:name="line number" w:semiHidden="1"/>
    <w:lsdException w:name="page number" w:semiHidden="1"/>
    <w:lsdException w:name="endnote reference" w:semiHidden="1" w:uiPriority="99"/>
    <w:lsdException w:name="endnote text" w:semiHidden="1" w:uiPriority="99"/>
    <w:lsdException w:name="table of authorities" w:semiHidden="1" w:uiPriority="99"/>
    <w:lsdException w:name="macro" w:semiHidden="1" w:uiPriority="99"/>
    <w:lsdException w:name="toa heading" w:semiHidden="1" w:uiPriority="99"/>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qFormat="1"/>
    <w:lsdException w:name="Emphasis" w:uiPriority="20"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99"/>
    <w:lsdException w:name="Table Grid" w:semiHidden="1"/>
    <w:lsdException w:name="Table Theme"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ˎ̥" w:hAnsi="ˎ̥" w:cs="ˎ̥"/>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
    <w:qFormat/>
    <w:pPr>
      <w:keepNext/>
      <w:keepLines/>
      <w:spacing w:before="120" w:after="120" w:line="415" w:lineRule="auto"/>
      <w:outlineLvl w:val="1"/>
    </w:pPr>
    <w:rPr>
      <w:rFonts w:ascii="Calibri Light" w:hAnsi="Calibri Light" w:cs="Times New Roman"/>
      <w:b/>
      <w:bCs/>
      <w:kern w:val="0"/>
      <w:sz w:val="24"/>
      <w:szCs w:val="32"/>
    </w:rPr>
  </w:style>
  <w:style w:type="paragraph" w:styleId="3">
    <w:name w:val="heading 3"/>
    <w:basedOn w:val="a"/>
    <w:next w:val="a"/>
    <w:link w:val="3Char"/>
    <w:uiPriority w:val="9"/>
    <w:qFormat/>
    <w:pPr>
      <w:keepNext/>
      <w:keepLines/>
      <w:spacing w:beforeLines="50" w:before="50" w:afterLines="50" w:after="50" w:line="360" w:lineRule="auto"/>
      <w:outlineLvl w:val="2"/>
    </w:pPr>
    <w:rPr>
      <w:rFonts w:cs="Times New Roman"/>
      <w:b/>
      <w:bCs/>
      <w:kern w:val="0"/>
      <w:sz w:val="24"/>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cs="Times New Roman"/>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cs="Times New Roman"/>
      <w:b/>
      <w:bCs/>
      <w:sz w:val="24"/>
    </w:rPr>
  </w:style>
  <w:style w:type="paragraph" w:styleId="7">
    <w:name w:val="heading 7"/>
    <w:basedOn w:val="a"/>
    <w:next w:val="a"/>
    <w:qFormat/>
    <w:pPr>
      <w:keepNext/>
      <w:keepLines/>
      <w:spacing w:before="240" w:after="64" w:line="320" w:lineRule="auto"/>
      <w:outlineLvl w:val="6"/>
    </w:pPr>
    <w:rPr>
      <w:b/>
      <w:bCs/>
      <w:sz w:val="24"/>
    </w:rPr>
  </w:style>
  <w:style w:type="paragraph" w:styleId="8">
    <w:name w:val="heading 8"/>
    <w:basedOn w:val="a"/>
    <w:next w:val="a"/>
    <w:qFormat/>
    <w:pPr>
      <w:keepNext/>
      <w:keepLines/>
      <w:spacing w:before="240" w:after="64" w:line="320" w:lineRule="auto"/>
      <w:outlineLvl w:val="7"/>
    </w:pPr>
    <w:rPr>
      <w:rFonts w:ascii="Arial" w:eastAsia="黑体" w:hAnsi="Arial" w:cs="Times New Roman"/>
      <w:sz w:val="24"/>
    </w:rPr>
  </w:style>
  <w:style w:type="paragraph" w:styleId="9">
    <w:name w:val="heading 9"/>
    <w:basedOn w:val="a"/>
    <w:next w:val="a"/>
    <w:qFormat/>
    <w:pPr>
      <w:keepNext/>
      <w:keepLines/>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semiHidden/>
    <w:rPr>
      <w:rFonts w:ascii="ˎ̥" w:hAnsi="ˎ̥"/>
      <w:b/>
      <w:bCs/>
      <w:kern w:val="44"/>
      <w:sz w:val="44"/>
      <w:szCs w:val="44"/>
    </w:rPr>
  </w:style>
  <w:style w:type="character" w:customStyle="1" w:styleId="2Char">
    <w:name w:val="标题 2 Char"/>
    <w:link w:val="2"/>
    <w:uiPriority w:val="9"/>
    <w:semiHidden/>
    <w:rPr>
      <w:rFonts w:ascii="Calibri Light" w:hAnsi="Calibri Light"/>
      <w:b/>
      <w:bCs/>
      <w:sz w:val="24"/>
      <w:szCs w:val="32"/>
    </w:rPr>
  </w:style>
  <w:style w:type="character" w:customStyle="1" w:styleId="3Char">
    <w:name w:val="标题 3 Char"/>
    <w:link w:val="3"/>
    <w:uiPriority w:val="9"/>
    <w:semiHidden/>
    <w:rPr>
      <w:rFonts w:ascii="ˎ̥" w:hAnsi="ˎ̥"/>
      <w:b/>
      <w:bCs/>
      <w:sz w:val="24"/>
      <w:szCs w:val="32"/>
    </w:rPr>
  </w:style>
  <w:style w:type="character" w:customStyle="1" w:styleId="4Char">
    <w:name w:val="标题 4 Char"/>
    <w:link w:val="4"/>
    <w:uiPriority w:val="9"/>
    <w:semiHidden/>
    <w:rPr>
      <w:rFonts w:ascii="Cambria" w:hAnsi="Cambria"/>
      <w:b/>
      <w:bCs/>
      <w:kern w:val="2"/>
      <w:sz w:val="28"/>
      <w:szCs w:val="28"/>
    </w:rPr>
  </w:style>
  <w:style w:type="paragraph" w:styleId="30">
    <w:name w:val="List 3"/>
    <w:basedOn w:val="a"/>
    <w:semiHidden/>
    <w:pPr>
      <w:ind w:leftChars="400" w:left="100" w:hangingChars="200" w:hanging="200"/>
    </w:pPr>
  </w:style>
  <w:style w:type="paragraph" w:styleId="20">
    <w:name w:val="List Number 2"/>
    <w:basedOn w:val="a"/>
    <w:semiHidden/>
    <w:pPr>
      <w:numPr>
        <w:numId w:val="1"/>
      </w:numPr>
      <w:tabs>
        <w:tab w:val="left" w:pos="780"/>
      </w:tabs>
    </w:pPr>
  </w:style>
  <w:style w:type="paragraph" w:styleId="a3">
    <w:name w:val="Note Heading"/>
    <w:basedOn w:val="a"/>
    <w:next w:val="a"/>
    <w:semiHidden/>
    <w:pPr>
      <w:jc w:val="center"/>
    </w:pPr>
  </w:style>
  <w:style w:type="paragraph" w:styleId="40">
    <w:name w:val="List Bullet 4"/>
    <w:basedOn w:val="a"/>
    <w:semiHidden/>
    <w:pPr>
      <w:numPr>
        <w:numId w:val="2"/>
      </w:numPr>
      <w:tabs>
        <w:tab w:val="left" w:pos="1620"/>
      </w:tabs>
    </w:pPr>
  </w:style>
  <w:style w:type="paragraph" w:styleId="a4">
    <w:name w:val="E-mail Signature"/>
    <w:basedOn w:val="a"/>
    <w:semiHidden/>
  </w:style>
  <w:style w:type="paragraph" w:styleId="a5">
    <w:name w:val="List Number"/>
    <w:basedOn w:val="a"/>
    <w:semiHidden/>
    <w:pPr>
      <w:numPr>
        <w:numId w:val="3"/>
      </w:numPr>
      <w:tabs>
        <w:tab w:val="left" w:pos="360"/>
      </w:tabs>
    </w:pPr>
  </w:style>
  <w:style w:type="paragraph" w:styleId="a6">
    <w:name w:val="Normal Indent"/>
    <w:basedOn w:val="a"/>
    <w:semiHidden/>
    <w:pPr>
      <w:ind w:firstLine="567"/>
    </w:pPr>
    <w:rPr>
      <w:rFonts w:ascii="宋体" w:hAnsi="Times New Roman" w:cs="Times New Roman"/>
      <w:sz w:val="28"/>
      <w:szCs w:val="20"/>
    </w:rPr>
  </w:style>
  <w:style w:type="paragraph" w:styleId="a7">
    <w:name w:val="List Bullet"/>
    <w:basedOn w:val="a"/>
    <w:semiHidden/>
    <w:pPr>
      <w:numPr>
        <w:numId w:val="4"/>
      </w:numPr>
      <w:tabs>
        <w:tab w:val="left" w:pos="360"/>
      </w:tabs>
    </w:pPr>
  </w:style>
  <w:style w:type="paragraph" w:styleId="a8">
    <w:name w:val="envelope address"/>
    <w:basedOn w:val="a"/>
    <w:semiHidden/>
    <w:pPr>
      <w:framePr w:w="7920" w:h="1980" w:hRule="exact" w:hSpace="180" w:wrap="auto" w:hAnchor="page" w:xAlign="center" w:yAlign="bottom"/>
      <w:snapToGrid w:val="0"/>
      <w:ind w:leftChars="1400" w:left="100"/>
    </w:pPr>
    <w:rPr>
      <w:rFonts w:ascii="Arial" w:hAnsi="Arial" w:cs="Arial"/>
      <w:sz w:val="24"/>
    </w:rPr>
  </w:style>
  <w:style w:type="paragraph" w:styleId="a9">
    <w:name w:val="Document Map"/>
    <w:basedOn w:val="a"/>
    <w:semiHidden/>
    <w:pPr>
      <w:shd w:val="clear" w:color="auto" w:fill="000080"/>
    </w:pPr>
  </w:style>
  <w:style w:type="paragraph" w:styleId="aa">
    <w:name w:val="annotation text"/>
    <w:basedOn w:val="a"/>
    <w:link w:val="Char"/>
    <w:uiPriority w:val="99"/>
    <w:semiHidden/>
    <w:qFormat/>
    <w:pPr>
      <w:widowControl/>
      <w:spacing w:after="160" w:line="259" w:lineRule="auto"/>
      <w:jc w:val="left"/>
    </w:pPr>
    <w:rPr>
      <w:rFonts w:ascii="Calibri" w:hAnsi="Calibri" w:cs="Times New Roman"/>
      <w:kern w:val="0"/>
      <w:sz w:val="22"/>
      <w:szCs w:val="20"/>
    </w:rPr>
  </w:style>
  <w:style w:type="character" w:customStyle="1" w:styleId="Char">
    <w:name w:val="批注文字 Char"/>
    <w:link w:val="aa"/>
    <w:uiPriority w:val="99"/>
    <w:semiHidden/>
    <w:qFormat/>
    <w:rPr>
      <w:rFonts w:ascii="Calibri" w:hAnsi="Calibri"/>
      <w:sz w:val="22"/>
    </w:rPr>
  </w:style>
  <w:style w:type="paragraph" w:styleId="ab">
    <w:name w:val="Salutation"/>
    <w:basedOn w:val="a"/>
    <w:next w:val="a"/>
    <w:semiHidden/>
  </w:style>
  <w:style w:type="paragraph" w:styleId="31">
    <w:name w:val="Body Text 3"/>
    <w:basedOn w:val="a"/>
    <w:semiHidden/>
    <w:pPr>
      <w:spacing w:after="120"/>
    </w:pPr>
    <w:rPr>
      <w:sz w:val="16"/>
      <w:szCs w:val="16"/>
    </w:rPr>
  </w:style>
  <w:style w:type="paragraph" w:styleId="ac">
    <w:name w:val="Closing"/>
    <w:basedOn w:val="a"/>
    <w:semiHidden/>
    <w:pPr>
      <w:ind w:leftChars="2100" w:left="100"/>
    </w:pPr>
  </w:style>
  <w:style w:type="paragraph" w:styleId="32">
    <w:name w:val="List Bullet 3"/>
    <w:basedOn w:val="a"/>
    <w:semiHidden/>
    <w:pPr>
      <w:numPr>
        <w:numId w:val="5"/>
      </w:numPr>
      <w:tabs>
        <w:tab w:val="left" w:pos="1200"/>
      </w:tabs>
    </w:pPr>
  </w:style>
  <w:style w:type="paragraph" w:styleId="ad">
    <w:name w:val="Body Text"/>
    <w:basedOn w:val="a"/>
    <w:link w:val="Char0"/>
    <w:semiHidden/>
    <w:pPr>
      <w:spacing w:line="320" w:lineRule="exact"/>
      <w:jc w:val="center"/>
    </w:pPr>
    <w:rPr>
      <w:rFonts w:cs="Times New Roman"/>
      <w:kern w:val="0"/>
      <w:sz w:val="24"/>
      <w:szCs w:val="20"/>
    </w:rPr>
  </w:style>
  <w:style w:type="character" w:customStyle="1" w:styleId="Char0">
    <w:name w:val="正文文本 Char"/>
    <w:link w:val="ad"/>
    <w:semiHidden/>
    <w:rPr>
      <w:rFonts w:ascii="ˎ̥" w:hAnsi="ˎ̥"/>
      <w:sz w:val="24"/>
    </w:rPr>
  </w:style>
  <w:style w:type="paragraph" w:styleId="ae">
    <w:name w:val="Body Text Indent"/>
    <w:basedOn w:val="a"/>
    <w:semiHidden/>
    <w:pPr>
      <w:spacing w:after="120"/>
      <w:ind w:leftChars="200" w:left="420"/>
    </w:pPr>
  </w:style>
  <w:style w:type="paragraph" w:styleId="33">
    <w:name w:val="List Number 3"/>
    <w:basedOn w:val="a"/>
    <w:semiHidden/>
    <w:pPr>
      <w:numPr>
        <w:numId w:val="6"/>
      </w:numPr>
      <w:tabs>
        <w:tab w:val="left" w:pos="1200"/>
      </w:tabs>
    </w:pPr>
  </w:style>
  <w:style w:type="paragraph" w:styleId="21">
    <w:name w:val="List 2"/>
    <w:basedOn w:val="a"/>
    <w:semiHidden/>
    <w:pPr>
      <w:ind w:leftChars="200" w:left="100" w:hangingChars="200" w:hanging="200"/>
    </w:pPr>
  </w:style>
  <w:style w:type="paragraph" w:styleId="af">
    <w:name w:val="List Continue"/>
    <w:basedOn w:val="a"/>
    <w:semiHidden/>
    <w:pPr>
      <w:spacing w:after="120"/>
      <w:ind w:leftChars="200" w:left="420"/>
    </w:pPr>
  </w:style>
  <w:style w:type="paragraph" w:styleId="af0">
    <w:name w:val="Block Text"/>
    <w:basedOn w:val="a"/>
    <w:semiHidden/>
    <w:pPr>
      <w:spacing w:after="120"/>
      <w:ind w:leftChars="700" w:left="1440" w:rightChars="700" w:right="1440"/>
    </w:pPr>
  </w:style>
  <w:style w:type="paragraph" w:styleId="22">
    <w:name w:val="List Bullet 2"/>
    <w:basedOn w:val="a"/>
    <w:semiHidden/>
    <w:pPr>
      <w:numPr>
        <w:numId w:val="7"/>
      </w:numPr>
      <w:tabs>
        <w:tab w:val="left" w:pos="780"/>
      </w:tabs>
    </w:pPr>
  </w:style>
  <w:style w:type="paragraph" w:styleId="HTML">
    <w:name w:val="HTML Address"/>
    <w:basedOn w:val="a"/>
    <w:semiHidden/>
    <w:rPr>
      <w:i/>
      <w:iCs/>
    </w:rPr>
  </w:style>
  <w:style w:type="paragraph" w:styleId="af1">
    <w:name w:val="Plain Text"/>
    <w:basedOn w:val="a"/>
    <w:semiHidden/>
    <w:rPr>
      <w:rFonts w:ascii="宋体" w:hAnsi="Courier New" w:cs="Courier New"/>
      <w:szCs w:val="21"/>
    </w:rPr>
  </w:style>
  <w:style w:type="paragraph" w:styleId="50">
    <w:name w:val="List Bullet 5"/>
    <w:basedOn w:val="a"/>
    <w:semiHidden/>
    <w:pPr>
      <w:numPr>
        <w:numId w:val="8"/>
      </w:numPr>
      <w:tabs>
        <w:tab w:val="left" w:pos="2040"/>
      </w:tabs>
    </w:pPr>
  </w:style>
  <w:style w:type="paragraph" w:styleId="41">
    <w:name w:val="List Number 4"/>
    <w:basedOn w:val="a"/>
    <w:semiHidden/>
    <w:pPr>
      <w:numPr>
        <w:numId w:val="9"/>
      </w:numPr>
      <w:tabs>
        <w:tab w:val="left" w:pos="1620"/>
      </w:tabs>
    </w:pPr>
  </w:style>
  <w:style w:type="paragraph" w:styleId="af2">
    <w:name w:val="Date"/>
    <w:basedOn w:val="a"/>
    <w:next w:val="a"/>
    <w:semiHidden/>
    <w:pPr>
      <w:ind w:leftChars="2500" w:left="100"/>
    </w:pPr>
  </w:style>
  <w:style w:type="paragraph" w:styleId="23">
    <w:name w:val="Body Text Indent 2"/>
    <w:basedOn w:val="a"/>
    <w:link w:val="2Char0"/>
    <w:semiHidden/>
    <w:pPr>
      <w:spacing w:after="120" w:line="480" w:lineRule="auto"/>
      <w:ind w:leftChars="200" w:left="420"/>
    </w:pPr>
    <w:rPr>
      <w:rFonts w:ascii="Times New Roman" w:hAnsi="Times New Roman" w:cs="Times New Roman"/>
      <w:kern w:val="0"/>
      <w:sz w:val="20"/>
    </w:rPr>
  </w:style>
  <w:style w:type="character" w:customStyle="1" w:styleId="2Char0">
    <w:name w:val="正文文本缩进 2 Char"/>
    <w:link w:val="23"/>
    <w:semiHidden/>
    <w:rPr>
      <w:szCs w:val="24"/>
    </w:rPr>
  </w:style>
  <w:style w:type="paragraph" w:styleId="51">
    <w:name w:val="List Continue 5"/>
    <w:basedOn w:val="a"/>
    <w:semiHidden/>
    <w:pPr>
      <w:spacing w:after="120"/>
      <w:ind w:leftChars="1000" w:left="2100"/>
    </w:pPr>
  </w:style>
  <w:style w:type="paragraph" w:styleId="af3">
    <w:name w:val="Balloon Text"/>
    <w:basedOn w:val="a"/>
    <w:link w:val="Char1"/>
    <w:uiPriority w:val="99"/>
    <w:semiHidden/>
    <w:rPr>
      <w:rFonts w:cs="Times New Roman"/>
      <w:kern w:val="0"/>
      <w:sz w:val="18"/>
      <w:szCs w:val="18"/>
    </w:rPr>
  </w:style>
  <w:style w:type="character" w:customStyle="1" w:styleId="Char1">
    <w:name w:val="批注框文本 Char"/>
    <w:link w:val="af3"/>
    <w:uiPriority w:val="99"/>
    <w:semiHidden/>
    <w:rPr>
      <w:rFonts w:ascii="ˎ̥" w:hAnsi="ˎ̥"/>
      <w:sz w:val="18"/>
      <w:szCs w:val="18"/>
    </w:rPr>
  </w:style>
  <w:style w:type="paragraph" w:styleId="af4">
    <w:name w:val="footer"/>
    <w:basedOn w:val="a"/>
    <w:link w:val="Char2"/>
    <w:uiPriority w:val="99"/>
    <w:semiHidden/>
    <w:pPr>
      <w:tabs>
        <w:tab w:val="center" w:pos="4153"/>
        <w:tab w:val="right" w:pos="8306"/>
      </w:tabs>
      <w:snapToGrid w:val="0"/>
      <w:jc w:val="left"/>
    </w:pPr>
    <w:rPr>
      <w:rFonts w:eastAsia="Arial Unicode MS" w:cs="Times New Roman"/>
      <w:kern w:val="0"/>
      <w:sz w:val="18"/>
      <w:szCs w:val="18"/>
    </w:rPr>
  </w:style>
  <w:style w:type="character" w:customStyle="1" w:styleId="Char2">
    <w:name w:val="页脚 Char"/>
    <w:link w:val="af4"/>
    <w:uiPriority w:val="99"/>
    <w:semiHidden/>
    <w:rPr>
      <w:rFonts w:ascii="ˎ̥" w:eastAsia="Arial Unicode MS" w:hAnsi="ˎ̥"/>
      <w:sz w:val="18"/>
      <w:szCs w:val="18"/>
    </w:rPr>
  </w:style>
  <w:style w:type="paragraph" w:styleId="af5">
    <w:name w:val="envelope return"/>
    <w:basedOn w:val="a"/>
    <w:semiHidden/>
    <w:pPr>
      <w:snapToGrid w:val="0"/>
    </w:pPr>
    <w:rPr>
      <w:rFonts w:ascii="Arial" w:hAnsi="Arial" w:cs="Arial"/>
    </w:rPr>
  </w:style>
  <w:style w:type="paragraph" w:styleId="af6">
    <w:name w:val="header"/>
    <w:basedOn w:val="a"/>
    <w:link w:val="Char20"/>
    <w:uiPriority w:val="99"/>
    <w:semiHidden/>
    <w:qFormat/>
    <w:pPr>
      <w:pBdr>
        <w:bottom w:val="single" w:sz="6" w:space="1" w:color="auto"/>
      </w:pBdr>
      <w:tabs>
        <w:tab w:val="center" w:pos="4153"/>
        <w:tab w:val="right" w:pos="8306"/>
      </w:tabs>
      <w:snapToGrid w:val="0"/>
      <w:jc w:val="center"/>
    </w:pPr>
    <w:rPr>
      <w:rFonts w:eastAsia="Arial Unicode MS" w:cs="Times New Roman"/>
      <w:kern w:val="0"/>
      <w:sz w:val="18"/>
      <w:szCs w:val="18"/>
    </w:rPr>
  </w:style>
  <w:style w:type="character" w:customStyle="1" w:styleId="Char20">
    <w:name w:val="页眉 Char2"/>
    <w:link w:val="af6"/>
    <w:uiPriority w:val="99"/>
    <w:semiHidden/>
    <w:rPr>
      <w:rFonts w:ascii="ˎ̥" w:eastAsia="Arial Unicode MS" w:hAnsi="ˎ̥"/>
      <w:sz w:val="18"/>
      <w:szCs w:val="18"/>
    </w:rPr>
  </w:style>
  <w:style w:type="paragraph" w:styleId="af7">
    <w:name w:val="Signature"/>
    <w:basedOn w:val="a"/>
    <w:semiHidden/>
    <w:pPr>
      <w:ind w:leftChars="2100" w:left="100"/>
    </w:pPr>
  </w:style>
  <w:style w:type="paragraph" w:styleId="10">
    <w:name w:val="目录 1"/>
    <w:basedOn w:val="a"/>
    <w:next w:val="a"/>
    <w:uiPriority w:val="39"/>
    <w:pPr>
      <w:tabs>
        <w:tab w:val="right" w:leader="dot" w:pos="8302"/>
      </w:tabs>
      <w:spacing w:line="360" w:lineRule="auto"/>
    </w:pPr>
    <w:rPr>
      <w:rFonts w:ascii="Times New Roman" w:hAnsi="Times New Roman"/>
      <w:b/>
      <w:sz w:val="24"/>
    </w:rPr>
  </w:style>
  <w:style w:type="paragraph" w:styleId="42">
    <w:name w:val="List Continue 4"/>
    <w:basedOn w:val="a"/>
    <w:semiHidden/>
    <w:pPr>
      <w:spacing w:after="120"/>
      <w:ind w:leftChars="800" w:left="1680"/>
    </w:pPr>
  </w:style>
  <w:style w:type="paragraph" w:styleId="af8">
    <w:name w:val="Subtitle"/>
    <w:basedOn w:val="a"/>
    <w:qFormat/>
    <w:pPr>
      <w:spacing w:before="240" w:after="60" w:line="312" w:lineRule="auto"/>
      <w:jc w:val="center"/>
      <w:outlineLvl w:val="1"/>
    </w:pPr>
    <w:rPr>
      <w:rFonts w:ascii="Arial" w:hAnsi="Arial" w:cs="Arial"/>
      <w:b/>
      <w:bCs/>
      <w:kern w:val="28"/>
      <w:sz w:val="32"/>
      <w:szCs w:val="32"/>
    </w:rPr>
  </w:style>
  <w:style w:type="paragraph" w:styleId="52">
    <w:name w:val="List Number 5"/>
    <w:basedOn w:val="a"/>
    <w:semiHidden/>
    <w:pPr>
      <w:numPr>
        <w:numId w:val="10"/>
      </w:numPr>
      <w:tabs>
        <w:tab w:val="left" w:pos="2040"/>
      </w:tabs>
    </w:pPr>
  </w:style>
  <w:style w:type="paragraph" w:styleId="af9">
    <w:name w:val="List"/>
    <w:basedOn w:val="a"/>
    <w:semiHidden/>
    <w:pPr>
      <w:ind w:left="200" w:hangingChars="200" w:hanging="200"/>
    </w:pPr>
  </w:style>
  <w:style w:type="paragraph" w:styleId="53">
    <w:name w:val="List 5"/>
    <w:basedOn w:val="a"/>
    <w:semiHidden/>
    <w:pPr>
      <w:ind w:leftChars="800" w:left="100" w:hangingChars="200" w:hanging="200"/>
    </w:pPr>
  </w:style>
  <w:style w:type="paragraph" w:styleId="34">
    <w:name w:val="Body Text Indent 3"/>
    <w:basedOn w:val="a"/>
    <w:semiHidden/>
    <w:pPr>
      <w:spacing w:after="120"/>
      <w:ind w:leftChars="200" w:left="420"/>
    </w:pPr>
    <w:rPr>
      <w:sz w:val="16"/>
      <w:szCs w:val="16"/>
    </w:rPr>
  </w:style>
  <w:style w:type="paragraph" w:styleId="24">
    <w:name w:val="目录 2"/>
    <w:basedOn w:val="a"/>
    <w:next w:val="a"/>
    <w:uiPriority w:val="39"/>
    <w:pPr>
      <w:adjustRightInd w:val="0"/>
      <w:snapToGrid w:val="0"/>
      <w:spacing w:line="360" w:lineRule="auto"/>
      <w:ind w:leftChars="200" w:left="200"/>
    </w:pPr>
    <w:rPr>
      <w:rFonts w:ascii="Times New Roman" w:hAnsi="Times New Roman"/>
      <w:sz w:val="24"/>
    </w:rPr>
  </w:style>
  <w:style w:type="paragraph" w:styleId="25">
    <w:name w:val="Body Text 2"/>
    <w:basedOn w:val="a"/>
    <w:semiHidden/>
    <w:pPr>
      <w:spacing w:after="120" w:line="480" w:lineRule="auto"/>
    </w:pPr>
  </w:style>
  <w:style w:type="paragraph" w:styleId="43">
    <w:name w:val="List 4"/>
    <w:basedOn w:val="a"/>
    <w:semiHidden/>
    <w:pPr>
      <w:ind w:leftChars="600" w:left="100" w:hangingChars="200" w:hanging="200"/>
    </w:pPr>
  </w:style>
  <w:style w:type="paragraph" w:styleId="26">
    <w:name w:val="List Continue 2"/>
    <w:basedOn w:val="a"/>
    <w:semiHidden/>
    <w:pPr>
      <w:spacing w:after="120"/>
      <w:ind w:leftChars="400" w:left="840"/>
    </w:pPr>
  </w:style>
  <w:style w:type="paragraph" w:styleId="afa">
    <w:name w:val="Message Header"/>
    <w:basedOn w:val="a"/>
    <w:semiHidden/>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semiHidden/>
    <w:rPr>
      <w:rFonts w:ascii="Courier New" w:hAnsi="Courier New" w:cs="Courier New"/>
      <w:sz w:val="20"/>
      <w:szCs w:val="20"/>
    </w:rPr>
  </w:style>
  <w:style w:type="paragraph" w:styleId="afb">
    <w:name w:val="Normal (Web)"/>
    <w:basedOn w:val="a"/>
    <w:semiHidden/>
    <w:rPr>
      <w:rFonts w:ascii="Times New Roman" w:hAnsi="Times New Roman" w:cs="Times New Roman"/>
      <w:sz w:val="24"/>
    </w:rPr>
  </w:style>
  <w:style w:type="paragraph" w:styleId="35">
    <w:name w:val="List Continue 3"/>
    <w:basedOn w:val="a"/>
    <w:semiHidden/>
    <w:pPr>
      <w:spacing w:after="120"/>
      <w:ind w:leftChars="600" w:left="1260"/>
    </w:pPr>
  </w:style>
  <w:style w:type="paragraph" w:styleId="afc">
    <w:name w:val="Title"/>
    <w:basedOn w:val="a"/>
    <w:qFormat/>
    <w:pPr>
      <w:spacing w:before="240" w:after="60"/>
      <w:jc w:val="center"/>
      <w:outlineLvl w:val="0"/>
    </w:pPr>
    <w:rPr>
      <w:rFonts w:ascii="Arial" w:hAnsi="Arial" w:cs="Arial"/>
      <w:b/>
      <w:bCs/>
      <w:sz w:val="32"/>
      <w:szCs w:val="32"/>
    </w:rPr>
  </w:style>
  <w:style w:type="paragraph" w:styleId="afd">
    <w:name w:val="annotation subject"/>
    <w:basedOn w:val="aa"/>
    <w:next w:val="aa"/>
    <w:link w:val="Char3"/>
    <w:uiPriority w:val="99"/>
    <w:semiHidden/>
    <w:pPr>
      <w:widowControl w:val="0"/>
      <w:spacing w:after="0" w:line="240" w:lineRule="auto"/>
    </w:pPr>
    <w:rPr>
      <w:rFonts w:ascii="ˎ̥" w:hAnsi="ˎ̥"/>
      <w:b/>
      <w:bCs/>
      <w:szCs w:val="24"/>
    </w:rPr>
  </w:style>
  <w:style w:type="character" w:customStyle="1" w:styleId="Char3">
    <w:name w:val="批注主题 Char"/>
    <w:link w:val="afd"/>
    <w:uiPriority w:val="99"/>
    <w:semiHidden/>
    <w:rPr>
      <w:rFonts w:ascii="ˎ̥" w:hAnsi="ˎ̥"/>
      <w:b/>
      <w:bCs/>
      <w:sz w:val="22"/>
      <w:szCs w:val="24"/>
    </w:rPr>
  </w:style>
  <w:style w:type="paragraph" w:styleId="afe">
    <w:name w:val="正文首行缩进"/>
    <w:basedOn w:val="ad"/>
    <w:semiHidden/>
    <w:pPr>
      <w:spacing w:after="120" w:line="240" w:lineRule="auto"/>
      <w:ind w:firstLineChars="100" w:firstLine="420"/>
      <w:jc w:val="both"/>
    </w:pPr>
    <w:rPr>
      <w:rFonts w:cs="ˎ̥"/>
      <w:kern w:val="2"/>
      <w:sz w:val="21"/>
      <w:szCs w:val="24"/>
    </w:rPr>
  </w:style>
  <w:style w:type="paragraph" w:styleId="27">
    <w:name w:val="正文首行缩进 2"/>
    <w:basedOn w:val="ae"/>
    <w:semiHidden/>
    <w:pPr>
      <w:ind w:firstLineChars="200" w:firstLine="420"/>
    </w:pPr>
  </w:style>
  <w:style w:type="table" w:styleId="aff">
    <w:name w:val="Table Grid"/>
    <w:basedOn w:val="a1"/>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Theme"/>
    <w:basedOn w:val="a1"/>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1"/>
    <w:semiHidden/>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8">
    <w:name w:val="Table Colorful 2"/>
    <w:basedOn w:val="a1"/>
    <w:semiHidden/>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6">
    <w:name w:val="Table Colorful 3"/>
    <w:basedOn w:val="a1"/>
    <w:semiHidden/>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1">
    <w:name w:val="Table Elegant"/>
    <w:basedOn w:val="a1"/>
    <w:semiHidden/>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Classic 1"/>
    <w:basedOn w:val="a1"/>
    <w:semiHidden/>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Classic 2"/>
    <w:basedOn w:val="a1"/>
    <w:semiHidden/>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7">
    <w:name w:val="Table Classic 3"/>
    <w:basedOn w:val="a1"/>
    <w:semiHidden/>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1"/>
    <w:semiHidden/>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3">
    <w:name w:val="Table Simple 1"/>
    <w:basedOn w:val="a1"/>
    <w:semiHidden/>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a">
    <w:name w:val="Table Simple 2"/>
    <w:basedOn w:val="a1"/>
    <w:semiHidden/>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8">
    <w:name w:val="Table Simple 3"/>
    <w:basedOn w:val="a1"/>
    <w:semiHidden/>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
    <w:name w:val="Table Subtle 1"/>
    <w:basedOn w:val="a1"/>
    <w:semiHidden/>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Subtle 2"/>
    <w:basedOn w:val="a1"/>
    <w:semiHidden/>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
    <w:name w:val="立体型 1"/>
    <w:basedOn w:val="a1"/>
    <w:semiHidden/>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c">
    <w:name w:val="立体型 2"/>
    <w:basedOn w:val="a1"/>
    <w:semiHidden/>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立体型 3"/>
    <w:basedOn w:val="a1"/>
    <w:semiHidden/>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List 1"/>
    <w:basedOn w:val="a1"/>
    <w:semiHidden/>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List 2"/>
    <w:basedOn w:val="a1"/>
    <w:semiHidden/>
    <w:pPr>
      <w:widowControl w:val="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List 3"/>
    <w:basedOn w:val="a1"/>
    <w:semiHidden/>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1"/>
    <w:semiHidden/>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1"/>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0">
    <w:name w:val="Table List 6"/>
    <w:basedOn w:val="a1"/>
    <w:semiHidden/>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0">
    <w:name w:val="Table List 7"/>
    <w:basedOn w:val="a1"/>
    <w:semiHidden/>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0">
    <w:name w:val="Table List 8"/>
    <w:basedOn w:val="a1"/>
    <w:semiHidden/>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2">
    <w:name w:val="Table Contemporary"/>
    <w:basedOn w:val="a1"/>
    <w:semiHidden/>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7">
    <w:name w:val="Table Columns 1"/>
    <w:basedOn w:val="a1"/>
    <w:semiHidden/>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olumns 2"/>
    <w:basedOn w:val="a1"/>
    <w:semiHidden/>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Columns 3"/>
    <w:basedOn w:val="a1"/>
    <w:semiHidden/>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1"/>
    <w:semiHidden/>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1"/>
    <w:semiHidden/>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1"/>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
    <w:name w:val="Table Grid 2"/>
    <w:basedOn w:val="a1"/>
    <w:semiHidden/>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c">
    <w:name w:val="Table Grid 3"/>
    <w:basedOn w:val="a1"/>
    <w:semiHidden/>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1"/>
    <w:semiHidden/>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1"/>
    <w:semiHidden/>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1">
    <w:name w:val="Table Grid 6"/>
    <w:basedOn w:val="a1"/>
    <w:semiHidden/>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Grid 7"/>
    <w:basedOn w:val="a1"/>
    <w:semiHidden/>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semiHidden/>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9">
    <w:name w:val="Table Web 1"/>
    <w:basedOn w:val="a1"/>
    <w:semiHidden/>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0">
    <w:name w:val="Table Web 2"/>
    <w:basedOn w:val="a1"/>
    <w:semiHidden/>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d">
    <w:name w:val="Table Web 3"/>
    <w:basedOn w:val="a1"/>
    <w:semiHidden/>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3">
    <w:name w:val="Table Professional"/>
    <w:basedOn w:val="a1"/>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4">
    <w:name w:val="Strong"/>
    <w:qFormat/>
    <w:rPr>
      <w:b/>
      <w:bCs/>
    </w:rPr>
  </w:style>
  <w:style w:type="character" w:styleId="aff5">
    <w:name w:val="page number"/>
    <w:semiHidden/>
  </w:style>
  <w:style w:type="character" w:styleId="aff6">
    <w:name w:val="FollowedHyperlink"/>
    <w:semiHidden/>
    <w:rPr>
      <w:color w:val="800080"/>
      <w:u w:val="single"/>
    </w:rPr>
  </w:style>
  <w:style w:type="character" w:styleId="aff7">
    <w:name w:val="Emphasis"/>
    <w:uiPriority w:val="20"/>
    <w:qFormat/>
    <w:rPr>
      <w:i/>
      <w:iCs/>
    </w:rPr>
  </w:style>
  <w:style w:type="character" w:styleId="aff8">
    <w:name w:val="line number"/>
    <w:semiHidden/>
  </w:style>
  <w:style w:type="character" w:styleId="HTML1">
    <w:name w:val="HTML Definition"/>
    <w:semiHidden/>
    <w:rPr>
      <w:i/>
      <w:iCs/>
    </w:rPr>
  </w:style>
  <w:style w:type="character" w:styleId="HTML2">
    <w:name w:val="HTML Typewriter"/>
    <w:semiHidden/>
    <w:rPr>
      <w:rFonts w:ascii="Courier New" w:hAnsi="Courier New" w:cs="Courier New"/>
      <w:sz w:val="20"/>
      <w:szCs w:val="20"/>
    </w:rPr>
  </w:style>
  <w:style w:type="character" w:styleId="HTML3">
    <w:name w:val="HTML Acronym"/>
    <w:semiHidden/>
  </w:style>
  <w:style w:type="character" w:styleId="HTML4">
    <w:name w:val="HTML Variable"/>
    <w:semiHidden/>
    <w:rPr>
      <w:i/>
      <w:iCs/>
    </w:rPr>
  </w:style>
  <w:style w:type="character" w:styleId="aff9">
    <w:name w:val="Hyperlink"/>
    <w:uiPriority w:val="99"/>
    <w:rPr>
      <w:color w:val="0563C1"/>
      <w:u w:val="single"/>
    </w:rPr>
  </w:style>
  <w:style w:type="character" w:styleId="HTML5">
    <w:name w:val="HTML Code"/>
    <w:semiHidden/>
    <w:rPr>
      <w:rFonts w:ascii="Courier New" w:hAnsi="Courier New" w:cs="Courier New"/>
      <w:sz w:val="20"/>
      <w:szCs w:val="20"/>
    </w:rPr>
  </w:style>
  <w:style w:type="character" w:styleId="affa">
    <w:name w:val="annotation reference"/>
    <w:uiPriority w:val="99"/>
    <w:semiHidden/>
    <w:qFormat/>
    <w:rPr>
      <w:sz w:val="21"/>
      <w:szCs w:val="21"/>
    </w:rPr>
  </w:style>
  <w:style w:type="character" w:styleId="HTML6">
    <w:name w:val="HTML Cite"/>
    <w:semiHidden/>
    <w:rPr>
      <w:i/>
      <w:iCs/>
    </w:rPr>
  </w:style>
  <w:style w:type="character" w:styleId="HTML7">
    <w:name w:val="HTML Keyboard"/>
    <w:semiHidden/>
    <w:rPr>
      <w:rFonts w:ascii="Courier New" w:hAnsi="Courier New" w:cs="Courier New"/>
      <w:sz w:val="20"/>
      <w:szCs w:val="20"/>
    </w:rPr>
  </w:style>
  <w:style w:type="character" w:styleId="HTML8">
    <w:name w:val="HTML Sample"/>
    <w:semiHidden/>
    <w:rPr>
      <w:rFonts w:ascii="Courier New" w:hAnsi="Courier New" w:cs="Courier New"/>
    </w:rPr>
  </w:style>
  <w:style w:type="table" w:customStyle="1" w:styleId="410">
    <w:name w:val="网格型 41"/>
    <w:basedOn w:val="a1"/>
    <w:semiHidden/>
    <w:pPr>
      <w:widowControl w:val="0"/>
      <w:spacing w:beforeLines="50" w:before="50" w:line="360" w:lineRule="auto"/>
      <w:ind w:firstLineChars="200" w:firstLine="200"/>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customStyle="1" w:styleId="3Char0">
    <w:name w:val="标题  3 Char"/>
    <w:link w:val="3e"/>
    <w:semiHidden/>
    <w:rPr>
      <w:rFonts w:ascii="黑体" w:eastAsia="黑体" w:hAnsi="黑体"/>
      <w:b/>
      <w:bCs/>
      <w:kern w:val="2"/>
      <w:sz w:val="24"/>
      <w:szCs w:val="32"/>
    </w:rPr>
  </w:style>
  <w:style w:type="paragraph" w:customStyle="1" w:styleId="3e">
    <w:name w:val="标题  3"/>
    <w:basedOn w:val="a"/>
    <w:next w:val="a"/>
    <w:link w:val="3Char0"/>
    <w:semiHidden/>
    <w:qFormat/>
    <w:pPr>
      <w:keepNext/>
      <w:keepLines/>
      <w:spacing w:beforeLines="50" w:before="156" w:afterLines="50" w:after="156" w:line="360" w:lineRule="auto"/>
      <w:ind w:firstLineChars="200" w:firstLine="482"/>
      <w:outlineLvl w:val="2"/>
    </w:pPr>
    <w:rPr>
      <w:rFonts w:ascii="黑体" w:eastAsia="黑体" w:hAnsi="黑体" w:cs="Times New Roman"/>
      <w:b/>
      <w:bCs/>
      <w:sz w:val="24"/>
      <w:szCs w:val="32"/>
    </w:rPr>
  </w:style>
  <w:style w:type="character" w:customStyle="1" w:styleId="Char4">
    <w:name w:val="页眉 Char"/>
    <w:uiPriority w:val="99"/>
    <w:semiHidden/>
    <w:rPr>
      <w:rFonts w:ascii="ˎ̥" w:eastAsia="宋体" w:hAnsi="ˎ̥" w:cs="ˎ̥"/>
      <w:sz w:val="18"/>
      <w:szCs w:val="18"/>
    </w:rPr>
  </w:style>
  <w:style w:type="character" w:customStyle="1" w:styleId="1-1Char">
    <w:name w:val="1-1 Char"/>
    <w:link w:val="1-1"/>
    <w:semiHidden/>
    <w:rPr>
      <w:rFonts w:ascii="ˎ̥" w:eastAsia="Courier New" w:hAnsi="ˎ̥"/>
      <w:b/>
      <w:kern w:val="44"/>
      <w:sz w:val="36"/>
      <w:szCs w:val="36"/>
    </w:rPr>
  </w:style>
  <w:style w:type="paragraph" w:customStyle="1" w:styleId="1-1">
    <w:name w:val="1-1"/>
    <w:basedOn w:val="1"/>
    <w:link w:val="1-1Char"/>
    <w:semiHidden/>
    <w:qFormat/>
    <w:pPr>
      <w:pageBreakBefore/>
      <w:tabs>
        <w:tab w:val="left" w:pos="1440"/>
      </w:tabs>
      <w:adjustRightInd w:val="0"/>
      <w:snapToGrid w:val="0"/>
      <w:spacing w:before="360" w:after="360" w:line="360" w:lineRule="auto"/>
      <w:jc w:val="center"/>
    </w:pPr>
    <w:rPr>
      <w:rFonts w:eastAsia="Courier New"/>
      <w:bCs w:val="0"/>
      <w:sz w:val="36"/>
      <w:szCs w:val="36"/>
    </w:rPr>
  </w:style>
  <w:style w:type="character" w:customStyle="1" w:styleId="jin3Char">
    <w:name w:val="jin3 Char"/>
    <w:link w:val="jin3"/>
    <w:semiHidden/>
    <w:rPr>
      <w:bCs/>
      <w:sz w:val="24"/>
      <w:szCs w:val="24"/>
    </w:rPr>
  </w:style>
  <w:style w:type="paragraph" w:customStyle="1" w:styleId="jin3">
    <w:name w:val="jin3"/>
    <w:basedOn w:val="3"/>
    <w:link w:val="jin3Char"/>
    <w:semiHidden/>
    <w:qFormat/>
    <w:pPr>
      <w:widowControl/>
      <w:spacing w:before="260" w:after="260"/>
      <w:jc w:val="left"/>
    </w:pPr>
    <w:rPr>
      <w:rFonts w:ascii="Times New Roman" w:hAnsi="Times New Roman"/>
      <w:b w:val="0"/>
      <w:szCs w:val="24"/>
    </w:rPr>
  </w:style>
  <w:style w:type="character" w:customStyle="1" w:styleId="jin6Char">
    <w:name w:val="jin6 Char"/>
    <w:link w:val="jin6"/>
    <w:semiHidden/>
    <w:rPr>
      <w:sz w:val="24"/>
      <w:szCs w:val="24"/>
    </w:rPr>
  </w:style>
  <w:style w:type="paragraph" w:customStyle="1" w:styleId="jin6">
    <w:name w:val="jin6"/>
    <w:basedOn w:val="a"/>
    <w:link w:val="jin6Char"/>
    <w:semiHidden/>
    <w:qFormat/>
    <w:pPr>
      <w:widowControl/>
      <w:spacing w:line="360" w:lineRule="auto"/>
      <w:ind w:leftChars="-12" w:left="-29" w:firstLineChars="185" w:firstLine="444"/>
    </w:pPr>
    <w:rPr>
      <w:rFonts w:ascii="Times New Roman" w:hAnsi="Times New Roman" w:cs="Times New Roman"/>
      <w:kern w:val="0"/>
      <w:sz w:val="24"/>
    </w:rPr>
  </w:style>
  <w:style w:type="character" w:customStyle="1" w:styleId="1-6Char">
    <w:name w:val="1-6 Char"/>
    <w:link w:val="1-6"/>
    <w:semiHidden/>
    <w:rPr>
      <w:rFonts w:ascii="ˎ̥" w:hAnsi="Arial Unicode MS"/>
      <w:sz w:val="24"/>
      <w:szCs w:val="24"/>
    </w:rPr>
  </w:style>
  <w:style w:type="paragraph" w:customStyle="1" w:styleId="1-6">
    <w:name w:val="1-6"/>
    <w:basedOn w:val="a"/>
    <w:link w:val="1-6Char"/>
    <w:semiHidden/>
    <w:qFormat/>
    <w:pPr>
      <w:adjustRightInd w:val="0"/>
      <w:snapToGrid w:val="0"/>
      <w:spacing w:line="360" w:lineRule="auto"/>
      <w:ind w:firstLineChars="200" w:firstLine="480"/>
    </w:pPr>
    <w:rPr>
      <w:rFonts w:hAnsi="Arial Unicode MS" w:cs="Times New Roman"/>
      <w:kern w:val="0"/>
      <w:sz w:val="24"/>
    </w:rPr>
  </w:style>
  <w:style w:type="paragraph" w:customStyle="1" w:styleId="005">
    <w:name w:val="005正文"/>
    <w:link w:val="005Char"/>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kern w:val="2"/>
      <w:sz w:val="24"/>
      <w:szCs w:val="22"/>
    </w:rPr>
  </w:style>
  <w:style w:type="paragraph" w:customStyle="1" w:styleId="009">
    <w:name w:val="009单位"/>
    <w:link w:val="009Char"/>
    <w:pPr>
      <w:keepNext/>
      <w:widowControl w:val="0"/>
      <w:jc w:val="right"/>
    </w:pPr>
    <w:rPr>
      <w:kern w:val="2"/>
      <w:sz w:val="21"/>
      <w:szCs w:val="22"/>
    </w:rPr>
  </w:style>
  <w:style w:type="character" w:customStyle="1" w:styleId="009Char">
    <w:name w:val="009单位 Char"/>
    <w:link w:val="009"/>
    <w:rPr>
      <w:kern w:val="2"/>
      <w:sz w:val="21"/>
      <w:szCs w:val="22"/>
    </w:rPr>
  </w:style>
  <w:style w:type="paragraph" w:customStyle="1" w:styleId="affb">
    <w:name w:val="招股正文"/>
    <w:basedOn w:val="a"/>
    <w:semiHidden/>
    <w:qFormat/>
    <w:pPr>
      <w:spacing w:line="360" w:lineRule="auto"/>
      <w:ind w:firstLineChars="200" w:firstLine="200"/>
    </w:pPr>
    <w:rPr>
      <w:rFonts w:ascii="Times New Roman" w:eastAsia="等线" w:hAnsi="Times New Roman" w:cs="Times New Roman"/>
      <w:sz w:val="24"/>
    </w:rPr>
  </w:style>
  <w:style w:type="character" w:customStyle="1" w:styleId="Char10">
    <w:name w:val="页眉 Char1"/>
    <w:aliases w:val="联证页眉 Char,g Char1"/>
    <w:uiPriority w:val="99"/>
    <w:semiHidden/>
    <w:qFormat/>
    <w:rPr>
      <w:sz w:val="18"/>
      <w:szCs w:val="18"/>
    </w:rPr>
  </w:style>
  <w:style w:type="character" w:customStyle="1" w:styleId="fontstyle01">
    <w:name w:val="fontstyle01"/>
    <w:semiHidden/>
    <w:rPr>
      <w:rFonts w:ascii="宋体" w:eastAsia="宋体" w:hAnsi="宋体" w:hint="eastAsia"/>
      <w:b w:val="0"/>
      <w:bCs w:val="0"/>
      <w:i w:val="0"/>
      <w:iCs w:val="0"/>
      <w:color w:val="000000"/>
      <w:sz w:val="24"/>
      <w:szCs w:val="24"/>
    </w:rPr>
  </w:style>
  <w:style w:type="character" w:customStyle="1" w:styleId="fontstyle21">
    <w:name w:val="fontstyle21"/>
    <w:semiHidden/>
    <w:rPr>
      <w:rFonts w:ascii="Times New Roman" w:hAnsi="Times New Roman" w:cs="Times New Roman" w:hint="default"/>
      <w:b w:val="0"/>
      <w:bCs w:val="0"/>
      <w:i w:val="0"/>
      <w:iCs w:val="0"/>
      <w:color w:val="000000"/>
      <w:sz w:val="24"/>
      <w:szCs w:val="24"/>
    </w:rPr>
  </w:style>
  <w:style w:type="paragraph" w:customStyle="1" w:styleId="002">
    <w:name w:val="002二级标题"/>
    <w:link w:val="002Char"/>
    <w:pPr>
      <w:keepNext/>
      <w:keepLines/>
      <w:widowControl w:val="0"/>
      <w:spacing w:beforeLines="50" w:before="50" w:afterLines="50" w:after="50" w:line="360" w:lineRule="auto"/>
      <w:jc w:val="both"/>
      <w:outlineLvl w:val="1"/>
    </w:pPr>
    <w:rPr>
      <w:rFonts w:eastAsia="黑体"/>
      <w:b/>
      <w:bCs/>
      <w:kern w:val="2"/>
      <w:sz w:val="28"/>
      <w:szCs w:val="28"/>
    </w:rPr>
  </w:style>
  <w:style w:type="character" w:customStyle="1" w:styleId="002Char">
    <w:name w:val="002二级标题 Char"/>
    <w:link w:val="002"/>
    <w:rPr>
      <w:rFonts w:eastAsia="黑体"/>
      <w:b/>
      <w:bCs/>
      <w:kern w:val="2"/>
      <w:sz w:val="28"/>
      <w:szCs w:val="28"/>
    </w:rPr>
  </w:style>
  <w:style w:type="character" w:customStyle="1" w:styleId="affc">
    <w:name w:val="尽调二级 字符"/>
    <w:link w:val="affd"/>
    <w:semiHidden/>
    <w:rPr>
      <w:b/>
      <w:kern w:val="2"/>
      <w:sz w:val="24"/>
      <w:szCs w:val="32"/>
    </w:rPr>
  </w:style>
  <w:style w:type="paragraph" w:customStyle="1" w:styleId="affd">
    <w:name w:val="尽调二级"/>
    <w:basedOn w:val="a"/>
    <w:link w:val="affc"/>
    <w:semiHidden/>
    <w:qFormat/>
    <w:pPr>
      <w:keepNext/>
      <w:keepLines/>
      <w:adjustRightInd w:val="0"/>
      <w:snapToGrid w:val="0"/>
      <w:spacing w:beforeLines="50" w:before="120" w:line="360" w:lineRule="auto"/>
      <w:ind w:firstLineChars="200" w:firstLine="482"/>
      <w:outlineLvl w:val="2"/>
    </w:pPr>
    <w:rPr>
      <w:rFonts w:ascii="Times New Roman" w:hAnsi="Times New Roman" w:cs="Times New Roman"/>
      <w:b/>
      <w:sz w:val="24"/>
      <w:szCs w:val="32"/>
    </w:rPr>
  </w:style>
  <w:style w:type="paragraph" w:customStyle="1" w:styleId="003">
    <w:name w:val="003三级标题"/>
    <w:link w:val="003Char"/>
    <w:pPr>
      <w:keepNext/>
      <w:keepLines/>
      <w:widowControl w:val="0"/>
      <w:spacing w:beforeLines="50" w:before="50" w:afterLines="50" w:after="50" w:line="360" w:lineRule="auto"/>
      <w:jc w:val="both"/>
      <w:outlineLvl w:val="2"/>
    </w:pPr>
    <w:rPr>
      <w:rFonts w:eastAsia="黑体"/>
      <w:b/>
      <w:bCs/>
      <w:kern w:val="2"/>
      <w:sz w:val="24"/>
      <w:szCs w:val="28"/>
    </w:rPr>
  </w:style>
  <w:style w:type="character" w:customStyle="1" w:styleId="003Char">
    <w:name w:val="003三级标题 Char"/>
    <w:link w:val="003"/>
    <w:rPr>
      <w:rFonts w:eastAsia="黑体"/>
      <w:b/>
      <w:bCs/>
      <w:kern w:val="2"/>
      <w:sz w:val="24"/>
      <w:szCs w:val="28"/>
    </w:rPr>
  </w:style>
  <w:style w:type="character" w:customStyle="1" w:styleId="fontstyle31">
    <w:name w:val="fontstyle31"/>
    <w:semiHidden/>
    <w:rPr>
      <w:rFonts w:ascii="TimesNewRomanPSMT" w:hAnsi="TimesNewRomanPSMT" w:hint="default"/>
      <w:b w:val="0"/>
      <w:bCs w:val="0"/>
      <w:i w:val="0"/>
      <w:iCs w:val="0"/>
      <w:color w:val="000000"/>
      <w:sz w:val="24"/>
      <w:szCs w:val="24"/>
    </w:rPr>
  </w:style>
  <w:style w:type="paragraph" w:customStyle="1" w:styleId="affe">
    <w:name w:val="尽调正文"/>
    <w:basedOn w:val="a"/>
    <w:link w:val="CharChar"/>
    <w:semiHidden/>
    <w:qFormat/>
    <w:pPr>
      <w:spacing w:beforeLines="50" w:before="120" w:line="360" w:lineRule="auto"/>
      <w:ind w:firstLineChars="200" w:firstLine="480"/>
    </w:pPr>
    <w:rPr>
      <w:rFonts w:ascii="Times New Roman" w:hAnsi="Times New Roman" w:cs="Times New Roman"/>
      <w:sz w:val="24"/>
    </w:rPr>
  </w:style>
  <w:style w:type="character" w:customStyle="1" w:styleId="CharChar">
    <w:name w:val="尽调正文 Char Char"/>
    <w:link w:val="affe"/>
    <w:semiHidden/>
    <w:qFormat/>
    <w:rPr>
      <w:kern w:val="2"/>
      <w:sz w:val="24"/>
      <w:szCs w:val="24"/>
    </w:rPr>
  </w:style>
  <w:style w:type="character" w:customStyle="1" w:styleId="afff">
    <w:name w:val="批注文字 字符"/>
    <w:uiPriority w:val="99"/>
    <w:semiHidden/>
    <w:rPr>
      <w:kern w:val="0"/>
      <w:sz w:val="22"/>
    </w:rPr>
  </w:style>
  <w:style w:type="paragraph" w:customStyle="1" w:styleId="001">
    <w:name w:val="001一级标题"/>
    <w:link w:val="001Char"/>
    <w:pPr>
      <w:keepNext/>
      <w:keepLines/>
      <w:pageBreakBefore/>
      <w:widowControl w:val="0"/>
      <w:spacing w:beforeLines="50" w:before="50" w:afterLines="50" w:after="50" w:line="360" w:lineRule="auto"/>
      <w:jc w:val="center"/>
      <w:outlineLvl w:val="0"/>
    </w:pPr>
    <w:rPr>
      <w:rFonts w:eastAsia="黑体"/>
      <w:b/>
      <w:bCs/>
      <w:kern w:val="2"/>
      <w:sz w:val="32"/>
      <w:szCs w:val="28"/>
    </w:rPr>
  </w:style>
  <w:style w:type="character" w:customStyle="1" w:styleId="001Char">
    <w:name w:val="001一级标题 Char"/>
    <w:link w:val="001"/>
    <w:rPr>
      <w:rFonts w:eastAsia="黑体"/>
      <w:b/>
      <w:bCs/>
      <w:kern w:val="2"/>
      <w:sz w:val="32"/>
      <w:szCs w:val="28"/>
    </w:rPr>
  </w:style>
  <w:style w:type="paragraph" w:customStyle="1" w:styleId="004">
    <w:name w:val="004四级标题"/>
    <w:link w:val="004Char"/>
    <w:pPr>
      <w:keepNext/>
      <w:keepLines/>
      <w:widowControl w:val="0"/>
      <w:spacing w:beforeLines="50" w:before="50" w:afterLines="50" w:after="50" w:line="360" w:lineRule="auto"/>
      <w:ind w:firstLineChars="200" w:firstLine="200"/>
      <w:jc w:val="both"/>
      <w:outlineLvl w:val="3"/>
    </w:pPr>
    <w:rPr>
      <w:b/>
      <w:bCs/>
      <w:kern w:val="2"/>
      <w:sz w:val="24"/>
      <w:szCs w:val="28"/>
    </w:rPr>
  </w:style>
  <w:style w:type="character" w:customStyle="1" w:styleId="004Char">
    <w:name w:val="004四级标题 Char"/>
    <w:link w:val="004"/>
    <w:rPr>
      <w:b/>
      <w:bCs/>
      <w:kern w:val="2"/>
      <w:sz w:val="24"/>
      <w:szCs w:val="28"/>
    </w:rPr>
  </w:style>
  <w:style w:type="paragraph" w:customStyle="1" w:styleId="006">
    <w:name w:val="006备注"/>
    <w:pPr>
      <w:widowControl w:val="0"/>
      <w:ind w:firstLineChars="200" w:firstLine="200"/>
      <w:jc w:val="both"/>
    </w:pPr>
    <w:rPr>
      <w:rFonts w:cs="Arial"/>
      <w:bCs/>
      <w:kern w:val="2"/>
      <w:sz w:val="21"/>
      <w:szCs w:val="22"/>
    </w:rPr>
  </w:style>
  <w:style w:type="character" w:customStyle="1" w:styleId="Char21">
    <w:name w:val="批注文字 Char2"/>
    <w:uiPriority w:val="99"/>
    <w:semiHidden/>
    <w:qFormat/>
    <w:rPr>
      <w:rFonts w:ascii="等线" w:eastAsia="等线" w:hAnsi="等线" w:cs="Times New Roman"/>
      <w:kern w:val="2"/>
      <w:sz w:val="21"/>
      <w:szCs w:val="24"/>
    </w:rPr>
  </w:style>
  <w:style w:type="paragraph" w:customStyle="1" w:styleId="afff0">
    <w:name w:val="表"/>
    <w:basedOn w:val="a"/>
    <w:semiHidden/>
    <w:qFormat/>
    <w:pPr>
      <w:widowControl/>
      <w:spacing w:line="360" w:lineRule="auto"/>
      <w:ind w:firstLine="78"/>
      <w:jc w:val="center"/>
    </w:pPr>
    <w:rPr>
      <w:rFonts w:ascii="宋体" w:hAnsi="宋体" w:cs="Times New Roman"/>
      <w:kern w:val="0"/>
      <w:sz w:val="24"/>
    </w:rPr>
  </w:style>
  <w:style w:type="paragraph" w:customStyle="1" w:styleId="afff1">
    <w:name w:val="东亚正文"/>
    <w:basedOn w:val="a"/>
    <w:link w:val="afff2"/>
    <w:semiHidden/>
    <w:qFormat/>
    <w:pPr>
      <w:spacing w:line="360" w:lineRule="auto"/>
      <w:ind w:firstLineChars="200" w:firstLine="200"/>
    </w:pPr>
    <w:rPr>
      <w:rFonts w:ascii="Times New Roman" w:hAnsi="Times New Roman" w:cs="Times New Roman"/>
      <w:sz w:val="24"/>
      <w:szCs w:val="21"/>
    </w:rPr>
  </w:style>
  <w:style w:type="character" w:customStyle="1" w:styleId="afff2">
    <w:name w:val="东亚正文 字符"/>
    <w:link w:val="afff1"/>
    <w:semiHidden/>
    <w:rPr>
      <w:kern w:val="2"/>
      <w:sz w:val="24"/>
      <w:szCs w:val="21"/>
    </w:rPr>
  </w:style>
  <w:style w:type="character" w:customStyle="1" w:styleId="nfChar">
    <w:name w:val="正文nf Char"/>
    <w:link w:val="nf"/>
    <w:semiHidden/>
    <w:qFormat/>
    <w:locked/>
    <w:rPr>
      <w:rFonts w:ascii="宋体" w:hAnsi="宋体"/>
      <w:sz w:val="24"/>
      <w:szCs w:val="24"/>
    </w:rPr>
  </w:style>
  <w:style w:type="paragraph" w:customStyle="1" w:styleId="nf">
    <w:name w:val="正文nf"/>
    <w:basedOn w:val="a"/>
    <w:link w:val="nfChar"/>
    <w:semiHidden/>
    <w:qFormat/>
    <w:pPr>
      <w:spacing w:beforeLines="35"/>
      <w:ind w:firstLineChars="200" w:firstLine="480"/>
      <w:jc w:val="left"/>
    </w:pPr>
    <w:rPr>
      <w:rFonts w:ascii="宋体" w:hAnsi="宋体" w:cs="Times New Roman"/>
      <w:kern w:val="0"/>
      <w:sz w:val="24"/>
    </w:rPr>
  </w:style>
  <w:style w:type="character" w:customStyle="1" w:styleId="62">
    <w:name w:val="批注文字 字符6"/>
    <w:uiPriority w:val="99"/>
    <w:semiHidden/>
    <w:qFormat/>
    <w:rPr>
      <w:szCs w:val="24"/>
    </w:rPr>
  </w:style>
  <w:style w:type="paragraph" w:styleId="afff3">
    <w:name w:val="Revision"/>
    <w:uiPriority w:val="99"/>
    <w:semiHidden/>
    <w:rPr>
      <w:rFonts w:ascii="ˎ̥" w:hAnsi="ˎ̥" w:cs="ˎ̥"/>
      <w:kern w:val="2"/>
      <w:sz w:val="21"/>
      <w:szCs w:val="24"/>
    </w:rPr>
  </w:style>
  <w:style w:type="table" w:customStyle="1" w:styleId="420">
    <w:name w:val="网格型 42"/>
    <w:basedOn w:val="a1"/>
    <w:semiHidden/>
    <w:pPr>
      <w:widowControl w:val="0"/>
      <w:spacing w:beforeLines="50" w:before="50" w:line="360" w:lineRule="auto"/>
      <w:ind w:firstLineChars="200" w:firstLine="200"/>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430">
    <w:name w:val="网格型 43"/>
    <w:basedOn w:val="a1"/>
    <w:semiHidden/>
    <w:pPr>
      <w:widowControl w:val="0"/>
      <w:spacing w:beforeLines="50" w:before="50" w:line="360" w:lineRule="auto"/>
      <w:ind w:firstLineChars="200" w:firstLine="200"/>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3984</Words>
  <Characters>22715</Characters>
  <Application>Microsoft Office Word</Application>
  <DocSecurity>0</DocSecurity>
  <Lines>189</Lines>
  <Paragraphs>53</Paragraphs>
  <ScaleCrop>false</ScaleCrop>
  <Company>Microsoft</Company>
  <LinksUpToDate>false</LinksUpToDate>
  <CharactersWithSpaces>26646</CharactersWithSpaces>
  <SharedDoc>false</SharedDoc>
  <HLinks>
    <vt:vector size="120" baseType="variant">
      <vt:variant>
        <vt:i4>1376312</vt:i4>
      </vt:variant>
      <vt:variant>
        <vt:i4>116</vt:i4>
      </vt:variant>
      <vt:variant>
        <vt:i4>0</vt:i4>
      </vt:variant>
      <vt:variant>
        <vt:i4>5</vt:i4>
      </vt:variant>
      <vt:variant>
        <vt:lpwstr/>
      </vt:variant>
      <vt:variant>
        <vt:lpwstr>_Toc152320946</vt:lpwstr>
      </vt:variant>
      <vt:variant>
        <vt:i4>1376312</vt:i4>
      </vt:variant>
      <vt:variant>
        <vt:i4>110</vt:i4>
      </vt:variant>
      <vt:variant>
        <vt:i4>0</vt:i4>
      </vt:variant>
      <vt:variant>
        <vt:i4>5</vt:i4>
      </vt:variant>
      <vt:variant>
        <vt:lpwstr/>
      </vt:variant>
      <vt:variant>
        <vt:lpwstr>_Toc152320945</vt:lpwstr>
      </vt:variant>
      <vt:variant>
        <vt:i4>1376312</vt:i4>
      </vt:variant>
      <vt:variant>
        <vt:i4>104</vt:i4>
      </vt:variant>
      <vt:variant>
        <vt:i4>0</vt:i4>
      </vt:variant>
      <vt:variant>
        <vt:i4>5</vt:i4>
      </vt:variant>
      <vt:variant>
        <vt:lpwstr/>
      </vt:variant>
      <vt:variant>
        <vt:lpwstr>_Toc152320944</vt:lpwstr>
      </vt:variant>
      <vt:variant>
        <vt:i4>1376312</vt:i4>
      </vt:variant>
      <vt:variant>
        <vt:i4>98</vt:i4>
      </vt:variant>
      <vt:variant>
        <vt:i4>0</vt:i4>
      </vt:variant>
      <vt:variant>
        <vt:i4>5</vt:i4>
      </vt:variant>
      <vt:variant>
        <vt:lpwstr/>
      </vt:variant>
      <vt:variant>
        <vt:lpwstr>_Toc152320943</vt:lpwstr>
      </vt:variant>
      <vt:variant>
        <vt:i4>1376312</vt:i4>
      </vt:variant>
      <vt:variant>
        <vt:i4>92</vt:i4>
      </vt:variant>
      <vt:variant>
        <vt:i4>0</vt:i4>
      </vt:variant>
      <vt:variant>
        <vt:i4>5</vt:i4>
      </vt:variant>
      <vt:variant>
        <vt:lpwstr/>
      </vt:variant>
      <vt:variant>
        <vt:lpwstr>_Toc152320942</vt:lpwstr>
      </vt:variant>
      <vt:variant>
        <vt:i4>1376312</vt:i4>
      </vt:variant>
      <vt:variant>
        <vt:i4>86</vt:i4>
      </vt:variant>
      <vt:variant>
        <vt:i4>0</vt:i4>
      </vt:variant>
      <vt:variant>
        <vt:i4>5</vt:i4>
      </vt:variant>
      <vt:variant>
        <vt:lpwstr/>
      </vt:variant>
      <vt:variant>
        <vt:lpwstr>_Toc152320941</vt:lpwstr>
      </vt:variant>
      <vt:variant>
        <vt:i4>1376312</vt:i4>
      </vt:variant>
      <vt:variant>
        <vt:i4>80</vt:i4>
      </vt:variant>
      <vt:variant>
        <vt:i4>0</vt:i4>
      </vt:variant>
      <vt:variant>
        <vt:i4>5</vt:i4>
      </vt:variant>
      <vt:variant>
        <vt:lpwstr/>
      </vt:variant>
      <vt:variant>
        <vt:lpwstr>_Toc152320940</vt:lpwstr>
      </vt:variant>
      <vt:variant>
        <vt:i4>1179704</vt:i4>
      </vt:variant>
      <vt:variant>
        <vt:i4>74</vt:i4>
      </vt:variant>
      <vt:variant>
        <vt:i4>0</vt:i4>
      </vt:variant>
      <vt:variant>
        <vt:i4>5</vt:i4>
      </vt:variant>
      <vt:variant>
        <vt:lpwstr/>
      </vt:variant>
      <vt:variant>
        <vt:lpwstr>_Toc152320939</vt:lpwstr>
      </vt:variant>
      <vt:variant>
        <vt:i4>1179704</vt:i4>
      </vt:variant>
      <vt:variant>
        <vt:i4>68</vt:i4>
      </vt:variant>
      <vt:variant>
        <vt:i4>0</vt:i4>
      </vt:variant>
      <vt:variant>
        <vt:i4>5</vt:i4>
      </vt:variant>
      <vt:variant>
        <vt:lpwstr/>
      </vt:variant>
      <vt:variant>
        <vt:lpwstr>_Toc152320938</vt:lpwstr>
      </vt:variant>
      <vt:variant>
        <vt:i4>1179704</vt:i4>
      </vt:variant>
      <vt:variant>
        <vt:i4>62</vt:i4>
      </vt:variant>
      <vt:variant>
        <vt:i4>0</vt:i4>
      </vt:variant>
      <vt:variant>
        <vt:i4>5</vt:i4>
      </vt:variant>
      <vt:variant>
        <vt:lpwstr/>
      </vt:variant>
      <vt:variant>
        <vt:lpwstr>_Toc152320937</vt:lpwstr>
      </vt:variant>
      <vt:variant>
        <vt:i4>1179704</vt:i4>
      </vt:variant>
      <vt:variant>
        <vt:i4>56</vt:i4>
      </vt:variant>
      <vt:variant>
        <vt:i4>0</vt:i4>
      </vt:variant>
      <vt:variant>
        <vt:i4>5</vt:i4>
      </vt:variant>
      <vt:variant>
        <vt:lpwstr/>
      </vt:variant>
      <vt:variant>
        <vt:lpwstr>_Toc152320936</vt:lpwstr>
      </vt:variant>
      <vt:variant>
        <vt:i4>1179704</vt:i4>
      </vt:variant>
      <vt:variant>
        <vt:i4>50</vt:i4>
      </vt:variant>
      <vt:variant>
        <vt:i4>0</vt:i4>
      </vt:variant>
      <vt:variant>
        <vt:i4>5</vt:i4>
      </vt:variant>
      <vt:variant>
        <vt:lpwstr/>
      </vt:variant>
      <vt:variant>
        <vt:lpwstr>_Toc152320935</vt:lpwstr>
      </vt:variant>
      <vt:variant>
        <vt:i4>1179704</vt:i4>
      </vt:variant>
      <vt:variant>
        <vt:i4>44</vt:i4>
      </vt:variant>
      <vt:variant>
        <vt:i4>0</vt:i4>
      </vt:variant>
      <vt:variant>
        <vt:i4>5</vt:i4>
      </vt:variant>
      <vt:variant>
        <vt:lpwstr/>
      </vt:variant>
      <vt:variant>
        <vt:lpwstr>_Toc152320934</vt:lpwstr>
      </vt:variant>
      <vt:variant>
        <vt:i4>1179704</vt:i4>
      </vt:variant>
      <vt:variant>
        <vt:i4>38</vt:i4>
      </vt:variant>
      <vt:variant>
        <vt:i4>0</vt:i4>
      </vt:variant>
      <vt:variant>
        <vt:i4>5</vt:i4>
      </vt:variant>
      <vt:variant>
        <vt:lpwstr/>
      </vt:variant>
      <vt:variant>
        <vt:lpwstr>_Toc152320933</vt:lpwstr>
      </vt:variant>
      <vt:variant>
        <vt:i4>1179704</vt:i4>
      </vt:variant>
      <vt:variant>
        <vt:i4>32</vt:i4>
      </vt:variant>
      <vt:variant>
        <vt:i4>0</vt:i4>
      </vt:variant>
      <vt:variant>
        <vt:i4>5</vt:i4>
      </vt:variant>
      <vt:variant>
        <vt:lpwstr/>
      </vt:variant>
      <vt:variant>
        <vt:lpwstr>_Toc152320932</vt:lpwstr>
      </vt:variant>
      <vt:variant>
        <vt:i4>1179704</vt:i4>
      </vt:variant>
      <vt:variant>
        <vt:i4>26</vt:i4>
      </vt:variant>
      <vt:variant>
        <vt:i4>0</vt:i4>
      </vt:variant>
      <vt:variant>
        <vt:i4>5</vt:i4>
      </vt:variant>
      <vt:variant>
        <vt:lpwstr/>
      </vt:variant>
      <vt:variant>
        <vt:lpwstr>_Toc152320931</vt:lpwstr>
      </vt:variant>
      <vt:variant>
        <vt:i4>1179704</vt:i4>
      </vt:variant>
      <vt:variant>
        <vt:i4>20</vt:i4>
      </vt:variant>
      <vt:variant>
        <vt:i4>0</vt:i4>
      </vt:variant>
      <vt:variant>
        <vt:i4>5</vt:i4>
      </vt:variant>
      <vt:variant>
        <vt:lpwstr/>
      </vt:variant>
      <vt:variant>
        <vt:lpwstr>_Toc152320930</vt:lpwstr>
      </vt:variant>
      <vt:variant>
        <vt:i4>1245240</vt:i4>
      </vt:variant>
      <vt:variant>
        <vt:i4>14</vt:i4>
      </vt:variant>
      <vt:variant>
        <vt:i4>0</vt:i4>
      </vt:variant>
      <vt:variant>
        <vt:i4>5</vt:i4>
      </vt:variant>
      <vt:variant>
        <vt:lpwstr/>
      </vt:variant>
      <vt:variant>
        <vt:lpwstr>_Toc152320929</vt:lpwstr>
      </vt:variant>
      <vt:variant>
        <vt:i4>1245240</vt:i4>
      </vt:variant>
      <vt:variant>
        <vt:i4>8</vt:i4>
      </vt:variant>
      <vt:variant>
        <vt:i4>0</vt:i4>
      </vt:variant>
      <vt:variant>
        <vt:i4>5</vt:i4>
      </vt:variant>
      <vt:variant>
        <vt:lpwstr/>
      </vt:variant>
      <vt:variant>
        <vt:lpwstr>_Toc152320928</vt:lpwstr>
      </vt:variant>
      <vt:variant>
        <vt:i4>1245240</vt:i4>
      </vt:variant>
      <vt:variant>
        <vt:i4>2</vt:i4>
      </vt:variant>
      <vt:variant>
        <vt:i4>0</vt:i4>
      </vt:variant>
      <vt:variant>
        <vt:i4>5</vt:i4>
      </vt:variant>
      <vt:variant>
        <vt:lpwstr/>
      </vt:variant>
      <vt:variant>
        <vt:lpwstr>_Toc152320927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何帅047185</cp:lastModifiedBy>
  <cp:revision>2</cp:revision>
  <cp:lastPrinted>2024-01-02T11:00:00Z</cp:lastPrinted>
  <dcterms:created xsi:type="dcterms:W3CDTF">2024-01-02T11:58:00Z</dcterms:created>
  <dcterms:modified xsi:type="dcterms:W3CDTF">2024-01-02T11:58:00Z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69E2CF3651EA43DABBDBBF153DC4FD28</vt:lpwstr>
  </property>
</Properties>
</file>