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81B3" w14:textId="5C51DE3D" w:rsidR="008D76D6" w:rsidRDefault="00B42FC7">
      <w:pPr>
        <w:spacing w:before="120" w:after="120"/>
        <w:ind w:firstLine="480"/>
        <w:rPr>
          <w:rFonts w:ascii="Times New Roman" w:hAnsi="Times New Roman" w:hint="eastAsia"/>
        </w:rPr>
      </w:pPr>
      <w:r>
        <w:rPr>
          <w:noProof/>
          <w:lang w:val="en-US" w:eastAsia="zh-CN"/>
        </w:rPr>
        <w:drawing>
          <wp:anchor distT="0" distB="0" distL="114300" distR="114300" simplePos="0" relativeHeight="251657216" behindDoc="1" locked="0" layoutInCell="1" allowOverlap="1" wp14:anchorId="67AEB2E8" wp14:editId="4BC7A918">
            <wp:simplePos x="0" y="0"/>
            <wp:positionH relativeFrom="column">
              <wp:posOffset>-916940</wp:posOffset>
            </wp:positionH>
            <wp:positionV relativeFrom="paragraph">
              <wp:posOffset>-1139825</wp:posOffset>
            </wp:positionV>
            <wp:extent cx="7708900" cy="10699750"/>
            <wp:effectExtent l="0" t="0" r="0" b="0"/>
            <wp:wrapNone/>
            <wp:docPr id="1469763539" name="图片 1" descr="封皮-德和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封皮-德和衡"/>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0" cy="1069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99E2B" w14:textId="77777777" w:rsidR="008D76D6" w:rsidRDefault="008D76D6">
      <w:pPr>
        <w:spacing w:before="120" w:after="120"/>
        <w:ind w:firstLine="480"/>
        <w:rPr>
          <w:rFonts w:ascii="Times New Roman" w:hAnsi="Times New Roman"/>
        </w:rPr>
      </w:pPr>
    </w:p>
    <w:p w14:paraId="63E5D845" w14:textId="77777777" w:rsidR="008D76D6" w:rsidRDefault="008D76D6">
      <w:pPr>
        <w:spacing w:before="120" w:after="120"/>
        <w:ind w:firstLine="480"/>
        <w:rPr>
          <w:rFonts w:ascii="Times New Roman" w:hAnsi="Times New Roman" w:hint="eastAsia"/>
        </w:rPr>
      </w:pPr>
    </w:p>
    <w:p w14:paraId="03A6CAA1" w14:textId="77777777" w:rsidR="008D76D6" w:rsidRDefault="008D76D6">
      <w:pPr>
        <w:spacing w:beforeLines="0" w:before="156" w:afterLines="0" w:after="156" w:line="240" w:lineRule="auto"/>
        <w:ind w:firstLineChars="194" w:firstLine="409"/>
        <w:rPr>
          <w:rFonts w:ascii="Times New Roman" w:hAnsi="Times New Roman"/>
          <w:b/>
          <w:bCs/>
          <w:color w:val="2F5496"/>
          <w:kern w:val="0"/>
          <w:sz w:val="21"/>
          <w:szCs w:val="21"/>
        </w:rPr>
      </w:pPr>
      <w:r>
        <w:rPr>
          <w:rFonts w:ascii="Times New Roman" w:hAnsi="Times New Roman" w:hint="eastAsia"/>
          <w:b/>
          <w:bCs/>
          <w:color w:val="2F5496"/>
          <w:kern w:val="0"/>
          <w:sz w:val="21"/>
          <w:szCs w:val="21"/>
        </w:rPr>
        <w:t>北京德和衡律师事务所</w:t>
      </w:r>
    </w:p>
    <w:p w14:paraId="30B823C2" w14:textId="77777777" w:rsidR="008D76D6" w:rsidRDefault="008D76D6">
      <w:pPr>
        <w:spacing w:beforeLines="0" w:before="156" w:afterLines="0" w:after="156" w:line="240" w:lineRule="auto"/>
        <w:ind w:firstLineChars="94" w:firstLine="198"/>
        <w:rPr>
          <w:rFonts w:ascii="Times New Roman" w:hAnsi="Times New Roman"/>
          <w:b/>
          <w:bCs/>
          <w:color w:val="2F5496"/>
          <w:kern w:val="0"/>
          <w:sz w:val="21"/>
          <w:szCs w:val="21"/>
        </w:rPr>
      </w:pPr>
      <w:r>
        <w:rPr>
          <w:rFonts w:ascii="Times New Roman" w:hAnsi="Times New Roman" w:hint="eastAsia"/>
          <w:b/>
          <w:bCs/>
          <w:color w:val="2F5496"/>
          <w:kern w:val="0"/>
          <w:sz w:val="21"/>
          <w:szCs w:val="21"/>
        </w:rPr>
        <w:t>B</w:t>
      </w:r>
      <w:r>
        <w:rPr>
          <w:rFonts w:ascii="Times New Roman" w:hAnsi="Times New Roman"/>
          <w:b/>
          <w:bCs/>
          <w:color w:val="2F5496"/>
          <w:kern w:val="0"/>
          <w:sz w:val="21"/>
          <w:szCs w:val="21"/>
        </w:rPr>
        <w:t>EIJING DHH LAW FIRM</w:t>
      </w:r>
    </w:p>
    <w:p w14:paraId="234095D5" w14:textId="77777777" w:rsidR="008D76D6" w:rsidRDefault="008D76D6">
      <w:pPr>
        <w:spacing w:before="120" w:after="120"/>
        <w:ind w:firstLine="560"/>
        <w:rPr>
          <w:rFonts w:ascii="Times New Roman" w:hAnsi="Times New Roman"/>
          <w:sz w:val="28"/>
          <w:szCs w:val="28"/>
        </w:rPr>
      </w:pPr>
    </w:p>
    <w:p w14:paraId="7FC0C35F" w14:textId="77777777" w:rsidR="008D76D6" w:rsidRDefault="008D76D6">
      <w:pPr>
        <w:tabs>
          <w:tab w:val="left" w:pos="5773"/>
        </w:tabs>
        <w:spacing w:before="120" w:after="120"/>
        <w:ind w:firstLine="1920"/>
        <w:rPr>
          <w:rFonts w:ascii="Times New Roman" w:hAnsi="Times New Roman"/>
          <w:sz w:val="96"/>
          <w:szCs w:val="96"/>
        </w:rPr>
      </w:pPr>
      <w:r>
        <w:rPr>
          <w:rFonts w:ascii="Times New Roman" w:hAnsi="Times New Roman"/>
          <w:sz w:val="96"/>
          <w:szCs w:val="96"/>
        </w:rPr>
        <w:tab/>
      </w:r>
    </w:p>
    <w:p w14:paraId="21142028" w14:textId="77777777" w:rsidR="008D76D6" w:rsidRDefault="008D76D6">
      <w:pPr>
        <w:tabs>
          <w:tab w:val="left" w:pos="5773"/>
        </w:tabs>
        <w:spacing w:before="120" w:after="120"/>
        <w:ind w:firstLine="883"/>
        <w:rPr>
          <w:rFonts w:ascii="Times New Roman" w:hAnsi="Times New Roman"/>
          <w:b/>
          <w:color w:val="002A6D"/>
          <w:sz w:val="44"/>
          <w:szCs w:val="44"/>
        </w:rPr>
      </w:pPr>
    </w:p>
    <w:p w14:paraId="1C224FC3" w14:textId="77777777" w:rsidR="008D76D6" w:rsidRDefault="008D76D6">
      <w:pPr>
        <w:autoSpaceDE w:val="0"/>
        <w:autoSpaceDN w:val="0"/>
        <w:adjustRightInd w:val="0"/>
        <w:spacing w:before="120" w:after="120"/>
        <w:ind w:firstLineChars="0" w:firstLine="0"/>
        <w:jc w:val="center"/>
        <w:rPr>
          <w:rFonts w:ascii="Times New Roman" w:hAnsi="Times New Roman" w:cs="宋体"/>
          <w:b/>
          <w:kern w:val="0"/>
          <w:sz w:val="44"/>
          <w:szCs w:val="44"/>
        </w:rPr>
      </w:pPr>
      <w:r>
        <w:rPr>
          <w:rFonts w:ascii="Times New Roman" w:hAnsi="Times New Roman" w:cs="宋体" w:hint="eastAsia"/>
          <w:b/>
          <w:kern w:val="0"/>
          <w:sz w:val="44"/>
          <w:szCs w:val="44"/>
        </w:rPr>
        <w:t>北京德和衡律师事务所</w:t>
      </w:r>
    </w:p>
    <w:p w14:paraId="6B5AAC47" w14:textId="77777777" w:rsidR="008D76D6" w:rsidRDefault="008D76D6">
      <w:pPr>
        <w:autoSpaceDE w:val="0"/>
        <w:autoSpaceDN w:val="0"/>
        <w:adjustRightInd w:val="0"/>
        <w:spacing w:before="120" w:after="120"/>
        <w:ind w:firstLineChars="0" w:firstLine="0"/>
        <w:jc w:val="center"/>
        <w:rPr>
          <w:rFonts w:ascii="Times New Roman" w:hAnsi="Times New Roman" w:cs="宋体"/>
          <w:b/>
          <w:kern w:val="0"/>
          <w:sz w:val="44"/>
          <w:szCs w:val="44"/>
        </w:rPr>
      </w:pPr>
      <w:r>
        <w:rPr>
          <w:rFonts w:ascii="Times New Roman" w:hAnsi="Times New Roman" w:cs="宋体" w:hint="eastAsia"/>
          <w:b/>
          <w:kern w:val="0"/>
          <w:sz w:val="44"/>
          <w:szCs w:val="44"/>
        </w:rPr>
        <w:t>关于</w:t>
      </w:r>
      <w:r>
        <w:rPr>
          <w:rFonts w:ascii="Times New Roman" w:hAnsi="Times New Roman" w:cs="宋体" w:hint="eastAsia"/>
          <w:b/>
          <w:kern w:val="0"/>
          <w:sz w:val="44"/>
          <w:szCs w:val="44"/>
          <w:lang w:eastAsia="zh-Hans"/>
        </w:rPr>
        <w:t>青岛伟隆阀门股份有限公司</w:t>
      </w:r>
    </w:p>
    <w:p w14:paraId="109001BA" w14:textId="77777777" w:rsidR="008D76D6" w:rsidRDefault="008D76D6">
      <w:pPr>
        <w:autoSpaceDE w:val="0"/>
        <w:autoSpaceDN w:val="0"/>
        <w:adjustRightInd w:val="0"/>
        <w:spacing w:before="120" w:after="120"/>
        <w:ind w:firstLineChars="0" w:firstLine="0"/>
        <w:jc w:val="center"/>
        <w:rPr>
          <w:rFonts w:ascii="Times New Roman" w:hAnsi="Times New Roman" w:cs="宋体"/>
          <w:b/>
          <w:kern w:val="0"/>
          <w:sz w:val="44"/>
          <w:szCs w:val="44"/>
        </w:rPr>
      </w:pPr>
      <w:r>
        <w:rPr>
          <w:rFonts w:ascii="Times New Roman" w:hAnsi="Times New Roman" w:cs="宋体" w:hint="eastAsia"/>
          <w:b/>
          <w:kern w:val="0"/>
          <w:sz w:val="44"/>
          <w:szCs w:val="44"/>
        </w:rPr>
        <w:t>向不特定对象发行可转换公司债券的</w:t>
      </w:r>
    </w:p>
    <w:p w14:paraId="7F9EFFA1" w14:textId="77777777" w:rsidR="008D76D6" w:rsidRDefault="008D76D6">
      <w:pPr>
        <w:autoSpaceDE w:val="0"/>
        <w:autoSpaceDN w:val="0"/>
        <w:adjustRightInd w:val="0"/>
        <w:spacing w:before="120" w:after="120"/>
        <w:ind w:firstLineChars="0" w:firstLine="0"/>
        <w:jc w:val="center"/>
        <w:rPr>
          <w:rFonts w:ascii="Times New Roman" w:hAnsi="Times New Roman" w:cs="宋体"/>
          <w:b/>
          <w:kern w:val="0"/>
          <w:sz w:val="44"/>
          <w:szCs w:val="44"/>
        </w:rPr>
      </w:pPr>
      <w:r>
        <w:rPr>
          <w:rFonts w:ascii="Times New Roman" w:hAnsi="Times New Roman" w:cs="宋体" w:hint="eastAsia"/>
          <w:b/>
          <w:kern w:val="0"/>
          <w:sz w:val="44"/>
          <w:szCs w:val="44"/>
          <w:lang w:eastAsia="zh-Hans"/>
        </w:rPr>
        <w:t>补充</w:t>
      </w:r>
      <w:r>
        <w:rPr>
          <w:rFonts w:ascii="Times New Roman" w:hAnsi="Times New Roman" w:cs="宋体" w:hint="eastAsia"/>
          <w:b/>
          <w:kern w:val="0"/>
          <w:sz w:val="44"/>
          <w:szCs w:val="44"/>
        </w:rPr>
        <w:t>法律意见书</w:t>
      </w:r>
      <w:r>
        <w:rPr>
          <w:rFonts w:ascii="Times New Roman" w:hAnsi="Times New Roman" w:cs="宋体" w:hint="eastAsia"/>
          <w:b/>
          <w:kern w:val="0"/>
          <w:sz w:val="44"/>
          <w:szCs w:val="44"/>
          <w:lang w:eastAsia="zh-Hans"/>
        </w:rPr>
        <w:t>（一）</w:t>
      </w:r>
    </w:p>
    <w:p w14:paraId="11C1B322" w14:textId="77777777" w:rsidR="008D76D6" w:rsidRDefault="008D76D6">
      <w:pPr>
        <w:spacing w:before="120" w:after="120"/>
        <w:ind w:firstLineChars="0" w:firstLine="0"/>
        <w:jc w:val="center"/>
        <w:rPr>
          <w:rFonts w:ascii="Times New Roman" w:hAnsi="Times New Roman"/>
          <w:b/>
          <w:sz w:val="28"/>
          <w:szCs w:val="28"/>
        </w:rPr>
      </w:pPr>
      <w:r>
        <w:rPr>
          <w:rFonts w:ascii="Times New Roman" w:hAnsi="Times New Roman" w:hint="eastAsia"/>
          <w:b/>
          <w:sz w:val="28"/>
          <w:szCs w:val="28"/>
        </w:rPr>
        <w:t>德和衡证律意见（</w:t>
      </w:r>
      <w:r>
        <w:rPr>
          <w:rFonts w:ascii="Times New Roman" w:hAnsi="Times New Roman" w:hint="eastAsia"/>
          <w:b/>
          <w:sz w:val="28"/>
          <w:szCs w:val="28"/>
        </w:rPr>
        <w:t>2</w:t>
      </w:r>
      <w:r>
        <w:rPr>
          <w:rFonts w:ascii="Times New Roman" w:hAnsi="Times New Roman"/>
          <w:b/>
          <w:sz w:val="28"/>
          <w:szCs w:val="28"/>
        </w:rPr>
        <w:t>02</w:t>
      </w:r>
      <w:r w:rsidR="00037063">
        <w:rPr>
          <w:rFonts w:ascii="Times New Roman" w:hAnsi="Times New Roman"/>
          <w:b/>
          <w:sz w:val="28"/>
          <w:szCs w:val="28"/>
        </w:rPr>
        <w:t>4</w:t>
      </w:r>
      <w:r>
        <w:rPr>
          <w:rFonts w:ascii="Times New Roman" w:hAnsi="Times New Roman" w:hint="eastAsia"/>
          <w:b/>
          <w:sz w:val="28"/>
          <w:szCs w:val="28"/>
        </w:rPr>
        <w:t>）第</w:t>
      </w:r>
      <w:r w:rsidR="008A0CBD">
        <w:rPr>
          <w:rFonts w:ascii="Times New Roman" w:hAnsi="Times New Roman" w:hint="eastAsia"/>
          <w:b/>
          <w:sz w:val="28"/>
          <w:szCs w:val="28"/>
        </w:rPr>
        <w:t>1</w:t>
      </w:r>
      <w:r>
        <w:rPr>
          <w:rFonts w:ascii="Times New Roman" w:hAnsi="Times New Roman" w:hint="eastAsia"/>
          <w:b/>
          <w:sz w:val="28"/>
          <w:szCs w:val="28"/>
        </w:rPr>
        <w:t>号</w:t>
      </w:r>
    </w:p>
    <w:p w14:paraId="4F01EBB4" w14:textId="77777777" w:rsidR="008D76D6" w:rsidRDefault="008D76D6">
      <w:pPr>
        <w:spacing w:before="120" w:after="120"/>
        <w:ind w:firstLine="480"/>
        <w:rPr>
          <w:rFonts w:ascii="Times New Roman" w:hAnsi="Times New Roman"/>
        </w:rPr>
      </w:pPr>
    </w:p>
    <w:p w14:paraId="17BC35C1" w14:textId="77777777" w:rsidR="00037063" w:rsidRDefault="00037063">
      <w:pPr>
        <w:spacing w:before="120" w:after="120"/>
        <w:ind w:firstLine="480"/>
        <w:jc w:val="center"/>
        <w:rPr>
          <w:rFonts w:ascii="Times New Roman" w:hAnsi="Times New Roman"/>
        </w:rPr>
        <w:sectPr w:rsidR="00037063">
          <w:headerReference w:type="even" r:id="rId8"/>
          <w:headerReference w:type="default" r:id="rId9"/>
          <w:footerReference w:type="even" r:id="rId10"/>
          <w:footerReference w:type="default" r:id="rId11"/>
          <w:headerReference w:type="first" r:id="rId12"/>
          <w:footerReference w:type="first" r:id="rId13"/>
          <w:pgSz w:w="11906" w:h="16838"/>
          <w:pgMar w:top="1797" w:right="1440" w:bottom="1797" w:left="1440" w:header="851" w:footer="567" w:gutter="0"/>
          <w:pgNumType w:start="1"/>
          <w:cols w:space="720"/>
          <w:docGrid w:linePitch="326"/>
        </w:sectPr>
      </w:pPr>
    </w:p>
    <w:p w14:paraId="2A66ED07" w14:textId="77777777" w:rsidR="008D76D6" w:rsidRDefault="008D76D6">
      <w:pPr>
        <w:spacing w:before="120" w:after="120"/>
        <w:ind w:firstLine="562"/>
        <w:jc w:val="center"/>
        <w:rPr>
          <w:rFonts w:ascii="宋体" w:hAnsi="宋体"/>
          <w:b/>
          <w:bCs/>
          <w:sz w:val="28"/>
          <w:szCs w:val="28"/>
        </w:rPr>
      </w:pPr>
      <w:r>
        <w:rPr>
          <w:rFonts w:ascii="宋体" w:hAnsi="宋体"/>
          <w:b/>
          <w:bCs/>
          <w:sz w:val="28"/>
          <w:szCs w:val="28"/>
          <w:lang w:val="zh-CN"/>
        </w:rPr>
        <w:lastRenderedPageBreak/>
        <w:t>目</w:t>
      </w:r>
      <w:r>
        <w:rPr>
          <w:rFonts w:ascii="宋体" w:hAnsi="宋体" w:hint="eastAsia"/>
          <w:b/>
          <w:bCs/>
          <w:sz w:val="28"/>
          <w:szCs w:val="28"/>
          <w:lang w:val="zh-CN"/>
        </w:rPr>
        <w:t xml:space="preserve"> </w:t>
      </w:r>
      <w:r>
        <w:rPr>
          <w:rFonts w:ascii="宋体" w:hAnsi="宋体"/>
          <w:b/>
          <w:bCs/>
          <w:sz w:val="28"/>
          <w:szCs w:val="28"/>
          <w:lang w:val="zh-CN"/>
        </w:rPr>
        <w:t xml:space="preserve"> 录</w:t>
      </w:r>
    </w:p>
    <w:p w14:paraId="499FFD0F" w14:textId="77777777" w:rsidR="008D76D6" w:rsidRDefault="008D76D6" w:rsidP="00B434D2">
      <w:pPr>
        <w:pStyle w:val="TOC1"/>
        <w:tabs>
          <w:tab w:val="right" w:leader="dot" w:pos="9016"/>
        </w:tabs>
        <w:ind w:firstLine="482"/>
        <w:jc w:val="both"/>
        <w:rPr>
          <w:rFonts w:ascii="Times New Roman" w:eastAsia="等线" w:hAnsi="Times New Roman" w:cs="Times New Roman"/>
          <w:b w:val="0"/>
          <w:bCs w:val="0"/>
          <w:caps w:val="0"/>
          <w:noProof/>
          <w:sz w:val="24"/>
          <w:szCs w:val="24"/>
          <w:lang w:val="en-US" w:eastAsia="zh-CN"/>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hyperlink w:anchor="_Toc153983217" w:history="1">
        <w:r>
          <w:rPr>
            <w:rStyle w:val="affd"/>
            <w:rFonts w:ascii="Times New Roman" w:hAnsi="Times New Roman" w:cs="Times New Roman"/>
            <w:noProof/>
            <w:sz w:val="24"/>
            <w:szCs w:val="24"/>
            <w:lang w:val="en-US" w:eastAsia="zh-Hans"/>
          </w:rPr>
          <w:t>问题</w:t>
        </w:r>
        <w:r>
          <w:rPr>
            <w:rStyle w:val="affd"/>
            <w:rFonts w:ascii="Times New Roman" w:hAnsi="Times New Roman" w:cs="Times New Roman"/>
            <w:noProof/>
            <w:sz w:val="24"/>
            <w:szCs w:val="24"/>
            <w:lang w:val="en-US" w:eastAsia="zh-Hans"/>
          </w:rPr>
          <w:t>2.</w:t>
        </w:r>
        <w:r>
          <w:rPr>
            <w:rFonts w:ascii="Times New Roman" w:hAnsi="Times New Roman" w:cs="Times New Roman"/>
            <w:noProof/>
            <w:sz w:val="24"/>
            <w:szCs w:val="24"/>
            <w:lang w:val="en-US" w:eastAsia="zh-CN"/>
          </w:rPr>
          <w:tab/>
        </w:r>
        <w:r>
          <w:rPr>
            <w:rFonts w:ascii="Times New Roman" w:hAnsi="Times New Roman" w:cs="Times New Roman"/>
            <w:noProof/>
            <w:sz w:val="24"/>
            <w:szCs w:val="24"/>
            <w:lang w:val="en-US" w:eastAsia="zh-CN"/>
          </w:rPr>
          <w:fldChar w:fldCharType="begin"/>
        </w:r>
        <w:r>
          <w:rPr>
            <w:rFonts w:ascii="Times New Roman" w:hAnsi="Times New Roman" w:cs="Times New Roman"/>
            <w:noProof/>
            <w:sz w:val="24"/>
            <w:szCs w:val="24"/>
            <w:lang w:val="en-US" w:eastAsia="zh-CN"/>
          </w:rPr>
          <w:instrText xml:space="preserve"> PAGEREF _Toc153983217 \h </w:instrText>
        </w:r>
        <w:r w:rsidR="007051DE">
          <w:rPr>
            <w:rFonts w:ascii="Times New Roman" w:hAnsi="Times New Roman" w:cs="Times New Roman"/>
            <w:noProof/>
            <w:sz w:val="24"/>
            <w:szCs w:val="24"/>
            <w:lang w:val="en-US" w:eastAsia="zh-CN"/>
          </w:rPr>
        </w:r>
        <w:r>
          <w:rPr>
            <w:rFonts w:ascii="Times New Roman" w:hAnsi="Times New Roman" w:cs="Times New Roman"/>
            <w:noProof/>
            <w:sz w:val="24"/>
            <w:szCs w:val="24"/>
            <w:lang w:val="en-US" w:eastAsia="zh-CN"/>
          </w:rPr>
          <w:fldChar w:fldCharType="separate"/>
        </w:r>
        <w:r w:rsidR="00DA78AC">
          <w:rPr>
            <w:rFonts w:ascii="Times New Roman" w:hAnsi="Times New Roman" w:cs="Times New Roman"/>
            <w:noProof/>
            <w:sz w:val="24"/>
            <w:szCs w:val="24"/>
            <w:lang w:val="en-US" w:eastAsia="zh-CN"/>
          </w:rPr>
          <w:t>3</w:t>
        </w:r>
        <w:r>
          <w:rPr>
            <w:rFonts w:ascii="Times New Roman" w:hAnsi="Times New Roman" w:cs="Times New Roman"/>
            <w:noProof/>
            <w:sz w:val="24"/>
            <w:szCs w:val="24"/>
            <w:lang w:val="en-US" w:eastAsia="zh-CN"/>
          </w:rPr>
          <w:fldChar w:fldCharType="end"/>
        </w:r>
      </w:hyperlink>
    </w:p>
    <w:p w14:paraId="19BC0849" w14:textId="77777777" w:rsidR="008D76D6" w:rsidRDefault="008D76D6">
      <w:pPr>
        <w:pStyle w:val="TOC1"/>
        <w:tabs>
          <w:tab w:val="right" w:leader="dot" w:pos="9016"/>
        </w:tabs>
        <w:ind w:firstLine="482"/>
        <w:jc w:val="both"/>
        <w:rPr>
          <w:rFonts w:ascii="Times New Roman" w:eastAsia="等线" w:hAnsi="Times New Roman" w:cs="Times New Roman"/>
          <w:b w:val="0"/>
          <w:bCs w:val="0"/>
          <w:caps w:val="0"/>
          <w:noProof/>
          <w:sz w:val="24"/>
          <w:szCs w:val="24"/>
          <w:lang w:val="en-US" w:eastAsia="zh-CN"/>
        </w:rPr>
      </w:pPr>
      <w:hyperlink w:anchor="_Toc153983218" w:history="1">
        <w:r>
          <w:rPr>
            <w:rStyle w:val="affd"/>
            <w:rFonts w:ascii="Times New Roman" w:hAnsi="Times New Roman" w:cs="Times New Roman"/>
            <w:noProof/>
            <w:sz w:val="24"/>
            <w:szCs w:val="24"/>
            <w:lang w:val="en-US" w:eastAsia="zh-Hans"/>
          </w:rPr>
          <w:t>问题</w:t>
        </w:r>
        <w:r>
          <w:rPr>
            <w:rStyle w:val="affd"/>
            <w:rFonts w:ascii="Times New Roman" w:hAnsi="Times New Roman" w:cs="Times New Roman"/>
            <w:noProof/>
            <w:sz w:val="24"/>
            <w:szCs w:val="24"/>
            <w:lang w:val="en-US" w:eastAsia="zh-Hans"/>
          </w:rPr>
          <w:t>3.</w:t>
        </w:r>
        <w:r>
          <w:rPr>
            <w:rFonts w:ascii="Times New Roman" w:hAnsi="Times New Roman" w:cs="Times New Roman"/>
            <w:noProof/>
            <w:sz w:val="24"/>
            <w:szCs w:val="24"/>
            <w:lang w:val="en-US" w:eastAsia="zh-CN"/>
          </w:rPr>
          <w:tab/>
        </w:r>
        <w:r>
          <w:rPr>
            <w:rFonts w:ascii="Times New Roman" w:hAnsi="Times New Roman" w:cs="Times New Roman"/>
            <w:noProof/>
            <w:sz w:val="24"/>
            <w:szCs w:val="24"/>
            <w:lang w:val="en-US" w:eastAsia="zh-CN"/>
          </w:rPr>
          <w:fldChar w:fldCharType="begin"/>
        </w:r>
        <w:r>
          <w:rPr>
            <w:rFonts w:ascii="Times New Roman" w:hAnsi="Times New Roman" w:cs="Times New Roman"/>
            <w:noProof/>
            <w:sz w:val="24"/>
            <w:szCs w:val="24"/>
            <w:lang w:val="en-US" w:eastAsia="zh-CN"/>
          </w:rPr>
          <w:instrText xml:space="preserve"> PAGEREF _Toc153983218 \h </w:instrText>
        </w:r>
        <w:r w:rsidR="007051DE">
          <w:rPr>
            <w:rFonts w:ascii="Times New Roman" w:hAnsi="Times New Roman" w:cs="Times New Roman"/>
            <w:noProof/>
            <w:sz w:val="24"/>
            <w:szCs w:val="24"/>
            <w:lang w:val="en-US" w:eastAsia="zh-CN"/>
          </w:rPr>
        </w:r>
        <w:r>
          <w:rPr>
            <w:rFonts w:ascii="Times New Roman" w:hAnsi="Times New Roman" w:cs="Times New Roman"/>
            <w:noProof/>
            <w:sz w:val="24"/>
            <w:szCs w:val="24"/>
            <w:lang w:val="en-US" w:eastAsia="zh-CN"/>
          </w:rPr>
          <w:fldChar w:fldCharType="separate"/>
        </w:r>
        <w:r w:rsidR="00DA78AC">
          <w:rPr>
            <w:rFonts w:ascii="Times New Roman" w:hAnsi="Times New Roman" w:cs="Times New Roman"/>
            <w:noProof/>
            <w:sz w:val="24"/>
            <w:szCs w:val="24"/>
            <w:lang w:val="en-US" w:eastAsia="zh-CN"/>
          </w:rPr>
          <w:t>52</w:t>
        </w:r>
        <w:r>
          <w:rPr>
            <w:rFonts w:ascii="Times New Roman" w:hAnsi="Times New Roman" w:cs="Times New Roman"/>
            <w:noProof/>
            <w:sz w:val="24"/>
            <w:szCs w:val="24"/>
            <w:lang w:val="en-US" w:eastAsia="zh-CN"/>
          </w:rPr>
          <w:fldChar w:fldCharType="end"/>
        </w:r>
      </w:hyperlink>
    </w:p>
    <w:p w14:paraId="5D969835" w14:textId="77777777" w:rsidR="008D76D6" w:rsidRDefault="008D76D6">
      <w:pPr>
        <w:pStyle w:val="TOC1"/>
        <w:tabs>
          <w:tab w:val="right" w:leader="dot" w:pos="9016"/>
        </w:tabs>
        <w:ind w:firstLine="482"/>
        <w:jc w:val="both"/>
        <w:rPr>
          <w:rFonts w:ascii="Times New Roman" w:eastAsia="等线" w:hAnsi="Times New Roman" w:cs="Times New Roman"/>
          <w:b w:val="0"/>
          <w:bCs w:val="0"/>
          <w:caps w:val="0"/>
          <w:noProof/>
          <w:sz w:val="24"/>
          <w:szCs w:val="24"/>
          <w:lang w:val="en-US" w:eastAsia="zh-CN"/>
        </w:rPr>
      </w:pPr>
      <w:hyperlink w:anchor="_Toc153983219" w:history="1">
        <w:r>
          <w:rPr>
            <w:rStyle w:val="affd"/>
            <w:rFonts w:ascii="Times New Roman" w:hAnsi="Times New Roman" w:cs="Times New Roman"/>
            <w:noProof/>
            <w:sz w:val="24"/>
            <w:szCs w:val="24"/>
            <w:lang w:val="en-US" w:eastAsia="zh-Hans"/>
          </w:rPr>
          <w:t>问题</w:t>
        </w:r>
        <w:r>
          <w:rPr>
            <w:rStyle w:val="affd"/>
            <w:rFonts w:ascii="Times New Roman" w:hAnsi="Times New Roman" w:cs="Times New Roman"/>
            <w:noProof/>
            <w:sz w:val="24"/>
            <w:szCs w:val="24"/>
            <w:lang w:val="en-US" w:eastAsia="zh-Hans"/>
          </w:rPr>
          <w:t>4.</w:t>
        </w:r>
        <w:r>
          <w:rPr>
            <w:rFonts w:ascii="Times New Roman" w:hAnsi="Times New Roman" w:cs="Times New Roman"/>
            <w:noProof/>
            <w:sz w:val="24"/>
            <w:szCs w:val="24"/>
            <w:lang w:val="en-US" w:eastAsia="zh-CN"/>
          </w:rPr>
          <w:tab/>
        </w:r>
        <w:r>
          <w:rPr>
            <w:rFonts w:ascii="Times New Roman" w:hAnsi="Times New Roman" w:cs="Times New Roman"/>
            <w:noProof/>
            <w:sz w:val="24"/>
            <w:szCs w:val="24"/>
            <w:lang w:val="en-US" w:eastAsia="zh-CN"/>
          </w:rPr>
          <w:fldChar w:fldCharType="begin"/>
        </w:r>
        <w:r>
          <w:rPr>
            <w:rFonts w:ascii="Times New Roman" w:hAnsi="Times New Roman" w:cs="Times New Roman"/>
            <w:noProof/>
            <w:sz w:val="24"/>
            <w:szCs w:val="24"/>
            <w:lang w:val="en-US" w:eastAsia="zh-CN"/>
          </w:rPr>
          <w:instrText xml:space="preserve"> PAGEREF _Toc153983219 \h </w:instrText>
        </w:r>
        <w:r w:rsidR="007051DE">
          <w:rPr>
            <w:rFonts w:ascii="Times New Roman" w:hAnsi="Times New Roman" w:cs="Times New Roman"/>
            <w:noProof/>
            <w:sz w:val="24"/>
            <w:szCs w:val="24"/>
            <w:lang w:val="en-US" w:eastAsia="zh-CN"/>
          </w:rPr>
        </w:r>
        <w:r>
          <w:rPr>
            <w:rFonts w:ascii="Times New Roman" w:hAnsi="Times New Roman" w:cs="Times New Roman"/>
            <w:noProof/>
            <w:sz w:val="24"/>
            <w:szCs w:val="24"/>
            <w:lang w:val="en-US" w:eastAsia="zh-CN"/>
          </w:rPr>
          <w:fldChar w:fldCharType="separate"/>
        </w:r>
        <w:r w:rsidR="00DA78AC">
          <w:rPr>
            <w:rFonts w:ascii="Times New Roman" w:hAnsi="Times New Roman" w:cs="Times New Roman"/>
            <w:noProof/>
            <w:sz w:val="24"/>
            <w:szCs w:val="24"/>
            <w:lang w:val="en-US" w:eastAsia="zh-CN"/>
          </w:rPr>
          <w:t>57</w:t>
        </w:r>
        <w:r>
          <w:rPr>
            <w:rFonts w:ascii="Times New Roman" w:hAnsi="Times New Roman" w:cs="Times New Roman"/>
            <w:noProof/>
            <w:sz w:val="24"/>
            <w:szCs w:val="24"/>
            <w:lang w:val="en-US" w:eastAsia="zh-CN"/>
          </w:rPr>
          <w:fldChar w:fldCharType="end"/>
        </w:r>
      </w:hyperlink>
    </w:p>
    <w:p w14:paraId="755A123A" w14:textId="77777777" w:rsidR="008D76D6" w:rsidRDefault="008D76D6">
      <w:pPr>
        <w:spacing w:beforeLines="0" w:before="0" w:afterLines="0" w:after="0" w:line="300" w:lineRule="auto"/>
        <w:ind w:firstLine="482"/>
        <w:rPr>
          <w:rFonts w:hint="eastAsia"/>
        </w:rPr>
      </w:pPr>
      <w:r>
        <w:rPr>
          <w:rFonts w:ascii="宋体" w:hAnsi="宋体"/>
          <w:b/>
          <w:bCs/>
          <w:szCs w:val="24"/>
          <w:lang w:val="zh-CN"/>
        </w:rPr>
        <w:fldChar w:fldCharType="end"/>
      </w:r>
    </w:p>
    <w:p w14:paraId="1B7A2745" w14:textId="77777777" w:rsidR="008D76D6" w:rsidRDefault="008D76D6">
      <w:pPr>
        <w:widowControl/>
        <w:spacing w:beforeLines="0" w:before="0" w:afterLines="0" w:after="0"/>
        <w:ind w:firstLineChars="0" w:firstLine="0"/>
        <w:jc w:val="center"/>
        <w:rPr>
          <w:rFonts w:ascii="Times New Roman" w:hAnsi="Times New Roman" w:cs="楷体_GB2312"/>
          <w:b/>
          <w:kern w:val="0"/>
          <w:sz w:val="32"/>
          <w:szCs w:val="32"/>
          <w:lang w:bidi="en-US"/>
        </w:rPr>
      </w:pPr>
      <w:r>
        <w:rPr>
          <w:rFonts w:ascii="Times New Roman" w:hAnsi="Times New Roman" w:cs="楷体_GB2312"/>
          <w:b/>
          <w:kern w:val="0"/>
          <w:sz w:val="32"/>
          <w:szCs w:val="32"/>
          <w:lang w:bidi="en-US"/>
        </w:rPr>
        <w:br w:type="page"/>
      </w:r>
      <w:r>
        <w:rPr>
          <w:rFonts w:ascii="Times New Roman" w:hAnsi="Times New Roman" w:cs="楷体_GB2312" w:hint="eastAsia"/>
          <w:b/>
          <w:kern w:val="0"/>
          <w:sz w:val="32"/>
          <w:szCs w:val="32"/>
          <w:lang w:bidi="en-US"/>
        </w:rPr>
        <w:lastRenderedPageBreak/>
        <w:t>北京德和衡律师事务所</w:t>
      </w:r>
    </w:p>
    <w:p w14:paraId="384140A2" w14:textId="77777777" w:rsidR="008D76D6" w:rsidRDefault="008D76D6">
      <w:pPr>
        <w:widowControl/>
        <w:spacing w:beforeLines="0" w:before="0" w:afterLines="0" w:after="0"/>
        <w:ind w:firstLineChars="0" w:firstLine="0"/>
        <w:jc w:val="center"/>
        <w:rPr>
          <w:rFonts w:ascii="Times New Roman" w:hAnsi="Times New Roman" w:cs="楷体_GB2312"/>
          <w:b/>
          <w:kern w:val="0"/>
          <w:sz w:val="32"/>
          <w:szCs w:val="32"/>
          <w:lang w:bidi="en-US"/>
        </w:rPr>
      </w:pPr>
      <w:r>
        <w:rPr>
          <w:rFonts w:ascii="Times New Roman" w:hAnsi="Times New Roman" w:cs="楷体_GB2312" w:hint="eastAsia"/>
          <w:b/>
          <w:kern w:val="0"/>
          <w:sz w:val="32"/>
          <w:szCs w:val="32"/>
          <w:lang w:bidi="en-US"/>
        </w:rPr>
        <w:t>关于</w:t>
      </w:r>
      <w:r>
        <w:rPr>
          <w:rFonts w:ascii="Times New Roman" w:hAnsi="Times New Roman" w:cs="楷体_GB2312" w:hint="eastAsia"/>
          <w:b/>
          <w:kern w:val="0"/>
          <w:sz w:val="32"/>
          <w:szCs w:val="32"/>
          <w:lang w:eastAsia="zh-Hans" w:bidi="en-US"/>
        </w:rPr>
        <w:t>青岛伟隆阀门股份有限公司</w:t>
      </w:r>
    </w:p>
    <w:p w14:paraId="3A595407" w14:textId="77777777" w:rsidR="008D76D6" w:rsidRDefault="008D76D6">
      <w:pPr>
        <w:widowControl/>
        <w:spacing w:beforeLines="0" w:before="0" w:afterLines="0" w:after="0"/>
        <w:ind w:firstLineChars="0" w:firstLine="0"/>
        <w:jc w:val="center"/>
        <w:rPr>
          <w:rFonts w:ascii="Times New Roman" w:hAnsi="Times New Roman" w:cs="楷体_GB2312"/>
          <w:b/>
          <w:kern w:val="0"/>
          <w:sz w:val="32"/>
          <w:szCs w:val="32"/>
          <w:lang w:bidi="en-US"/>
        </w:rPr>
      </w:pPr>
      <w:r>
        <w:rPr>
          <w:rFonts w:ascii="Times New Roman" w:hAnsi="Times New Roman" w:cs="楷体_GB2312" w:hint="eastAsia"/>
          <w:b/>
          <w:kern w:val="0"/>
          <w:sz w:val="32"/>
          <w:szCs w:val="32"/>
          <w:lang w:bidi="en-US"/>
        </w:rPr>
        <w:t>向不特定对象发行可转换公司债券的</w:t>
      </w:r>
    </w:p>
    <w:p w14:paraId="0FF96DD5" w14:textId="77777777" w:rsidR="008D76D6" w:rsidRDefault="008D76D6">
      <w:pPr>
        <w:widowControl/>
        <w:spacing w:beforeLines="0" w:before="0" w:afterLines="0" w:after="0"/>
        <w:ind w:firstLineChars="0" w:firstLine="0"/>
        <w:jc w:val="center"/>
        <w:rPr>
          <w:rFonts w:ascii="Times New Roman" w:hAnsi="Times New Roman"/>
          <w:kern w:val="0"/>
          <w:sz w:val="32"/>
          <w:szCs w:val="32"/>
          <w:lang w:bidi="en-US"/>
        </w:rPr>
      </w:pPr>
      <w:r>
        <w:rPr>
          <w:rFonts w:ascii="Times New Roman" w:hAnsi="Times New Roman" w:cs="楷体_GB2312" w:hint="eastAsia"/>
          <w:b/>
          <w:kern w:val="0"/>
          <w:sz w:val="32"/>
          <w:szCs w:val="32"/>
          <w:lang w:eastAsia="zh-Hans" w:bidi="en-US"/>
        </w:rPr>
        <w:t>补充</w:t>
      </w:r>
      <w:r>
        <w:rPr>
          <w:rFonts w:ascii="Times New Roman" w:hAnsi="Times New Roman" w:cs="楷体_GB2312" w:hint="eastAsia"/>
          <w:b/>
          <w:kern w:val="0"/>
          <w:sz w:val="32"/>
          <w:szCs w:val="32"/>
          <w:lang w:bidi="en-US"/>
        </w:rPr>
        <w:t>法律意见书</w:t>
      </w:r>
      <w:r>
        <w:rPr>
          <w:rFonts w:ascii="Times New Roman" w:hAnsi="Times New Roman" w:cs="楷体_GB2312" w:hint="eastAsia"/>
          <w:b/>
          <w:kern w:val="0"/>
          <w:sz w:val="32"/>
          <w:szCs w:val="32"/>
          <w:lang w:eastAsia="zh-Hans" w:bidi="en-US"/>
        </w:rPr>
        <w:t>（一）</w:t>
      </w:r>
    </w:p>
    <w:p w14:paraId="6EF73D52" w14:textId="77777777" w:rsidR="008D76D6" w:rsidRDefault="008D76D6">
      <w:pPr>
        <w:widowControl/>
        <w:autoSpaceDE w:val="0"/>
        <w:autoSpaceDN w:val="0"/>
        <w:adjustRightInd w:val="0"/>
        <w:spacing w:before="120" w:afterLines="0" w:after="156"/>
        <w:ind w:firstLineChars="0" w:firstLine="482"/>
        <w:jc w:val="right"/>
        <w:rPr>
          <w:rFonts w:ascii="Times New Roman" w:hAnsi="Times New Roman" w:cs="楷体_GB2312"/>
          <w:kern w:val="0"/>
          <w:sz w:val="21"/>
          <w:szCs w:val="21"/>
          <w:lang w:bidi="en-US"/>
        </w:rPr>
      </w:pPr>
      <w:r>
        <w:rPr>
          <w:rFonts w:ascii="Times New Roman" w:hAnsi="Times New Roman" w:cs="楷体_GB2312" w:hint="eastAsia"/>
          <w:kern w:val="0"/>
          <w:szCs w:val="24"/>
          <w:lang w:bidi="en-US"/>
        </w:rPr>
        <w:t xml:space="preserve">                                </w:t>
      </w:r>
      <w:r>
        <w:rPr>
          <w:rFonts w:ascii="Times New Roman" w:hAnsi="Times New Roman" w:cs="楷体_GB2312" w:hint="eastAsia"/>
          <w:kern w:val="0"/>
          <w:sz w:val="21"/>
          <w:szCs w:val="21"/>
          <w:lang w:bidi="en-US"/>
        </w:rPr>
        <w:t xml:space="preserve">    </w:t>
      </w:r>
      <w:r>
        <w:rPr>
          <w:rFonts w:ascii="Times New Roman" w:hAnsi="Times New Roman" w:cs="楷体_GB2312" w:hint="eastAsia"/>
          <w:kern w:val="0"/>
          <w:sz w:val="21"/>
          <w:szCs w:val="21"/>
          <w:lang w:bidi="en-US"/>
        </w:rPr>
        <w:t>德和衡证律意见（</w:t>
      </w:r>
      <w:r>
        <w:rPr>
          <w:rFonts w:ascii="Times New Roman" w:hAnsi="Times New Roman" w:cs="楷体_GB2312" w:hint="eastAsia"/>
          <w:kern w:val="0"/>
          <w:sz w:val="21"/>
          <w:szCs w:val="21"/>
          <w:lang w:bidi="en-US"/>
        </w:rPr>
        <w:t>2</w:t>
      </w:r>
      <w:r>
        <w:rPr>
          <w:rFonts w:ascii="Times New Roman" w:hAnsi="Times New Roman" w:cs="楷体_GB2312"/>
          <w:kern w:val="0"/>
          <w:sz w:val="21"/>
          <w:szCs w:val="21"/>
          <w:lang w:bidi="en-US"/>
        </w:rPr>
        <w:t>02</w:t>
      </w:r>
      <w:r w:rsidR="00037063">
        <w:rPr>
          <w:rFonts w:ascii="Times New Roman" w:hAnsi="Times New Roman" w:cs="楷体_GB2312"/>
          <w:kern w:val="0"/>
          <w:sz w:val="21"/>
          <w:szCs w:val="21"/>
          <w:lang w:bidi="en-US"/>
        </w:rPr>
        <w:t>4</w:t>
      </w:r>
      <w:r>
        <w:rPr>
          <w:rFonts w:ascii="Times New Roman" w:hAnsi="Times New Roman" w:cs="楷体_GB2312" w:hint="eastAsia"/>
          <w:kern w:val="0"/>
          <w:sz w:val="21"/>
          <w:szCs w:val="21"/>
          <w:lang w:bidi="en-US"/>
        </w:rPr>
        <w:t>）第</w:t>
      </w:r>
      <w:r w:rsidR="008A0CBD">
        <w:rPr>
          <w:rFonts w:ascii="Times New Roman" w:hAnsi="Times New Roman" w:cs="楷体_GB2312" w:hint="eastAsia"/>
          <w:kern w:val="0"/>
          <w:sz w:val="21"/>
          <w:szCs w:val="21"/>
          <w:lang w:bidi="en-US"/>
        </w:rPr>
        <w:t>1</w:t>
      </w:r>
      <w:r>
        <w:rPr>
          <w:rFonts w:ascii="Times New Roman" w:hAnsi="Times New Roman" w:cs="楷体_GB2312" w:hint="eastAsia"/>
          <w:kern w:val="0"/>
          <w:sz w:val="21"/>
          <w:szCs w:val="21"/>
          <w:lang w:bidi="en-US"/>
        </w:rPr>
        <w:t>号</w:t>
      </w:r>
    </w:p>
    <w:p w14:paraId="1DF874CB" w14:textId="77777777" w:rsidR="008D76D6" w:rsidRDefault="008D76D6">
      <w:pPr>
        <w:widowControl/>
        <w:autoSpaceDE w:val="0"/>
        <w:autoSpaceDN w:val="0"/>
        <w:adjustRightInd w:val="0"/>
        <w:spacing w:before="120" w:afterLines="0" w:after="0"/>
        <w:ind w:firstLineChars="0" w:firstLine="0"/>
        <w:rPr>
          <w:rFonts w:ascii="Times New Roman" w:hAnsi="Times New Roman" w:cs="楷体_GB2312"/>
          <w:b/>
          <w:kern w:val="0"/>
          <w:szCs w:val="24"/>
          <w:lang w:bidi="en-US"/>
        </w:rPr>
      </w:pPr>
      <w:r>
        <w:rPr>
          <w:rFonts w:ascii="Times New Roman" w:hAnsi="Times New Roman" w:cs="楷体_GB2312" w:hint="eastAsia"/>
          <w:b/>
          <w:kern w:val="0"/>
          <w:szCs w:val="24"/>
          <w:lang w:bidi="en-US"/>
        </w:rPr>
        <w:t>致：</w:t>
      </w:r>
      <w:r>
        <w:rPr>
          <w:rFonts w:ascii="Times New Roman" w:hAnsi="Times New Roman" w:cs="楷体_GB2312" w:hint="eastAsia"/>
          <w:b/>
          <w:kern w:val="0"/>
          <w:szCs w:val="24"/>
          <w:lang w:eastAsia="zh-Hans" w:bidi="en-US"/>
        </w:rPr>
        <w:t>青岛伟隆阀门股份有限公司</w:t>
      </w:r>
    </w:p>
    <w:p w14:paraId="5FA548EA" w14:textId="77777777" w:rsidR="008D76D6" w:rsidRPr="00B434D2" w:rsidRDefault="008D76D6">
      <w:pPr>
        <w:autoSpaceDE w:val="0"/>
        <w:autoSpaceDN w:val="0"/>
        <w:spacing w:before="120" w:afterLines="0" w:after="0"/>
        <w:ind w:firstLine="480"/>
        <w:rPr>
          <w:rFonts w:ascii="Times New Roman" w:hAnsi="Times New Roman"/>
          <w:kern w:val="0"/>
          <w:szCs w:val="32"/>
        </w:rPr>
      </w:pPr>
      <w:bookmarkStart w:id="1" w:name="_Toc263675189"/>
      <w:bookmarkStart w:id="2" w:name="_Toc398284367"/>
      <w:bookmarkStart w:id="3" w:name="_Toc398303507"/>
      <w:r w:rsidRPr="00B434D2">
        <w:rPr>
          <w:rFonts w:ascii="Times New Roman" w:hAnsi="Times New Roman"/>
          <w:kern w:val="0"/>
          <w:szCs w:val="24"/>
          <w:lang w:bidi="en-US"/>
        </w:rPr>
        <w:t>根据本所与发行人签订的《专项法律服务协议》，本所接受委托为</w:t>
      </w:r>
      <w:r w:rsidRPr="00B434D2">
        <w:rPr>
          <w:rFonts w:ascii="Times New Roman" w:hAnsi="Times New Roman"/>
          <w:kern w:val="0"/>
          <w:szCs w:val="24"/>
          <w:lang w:eastAsia="zh-Hans" w:bidi="en-US"/>
        </w:rPr>
        <w:t>发行人</w:t>
      </w:r>
      <w:r w:rsidRPr="00B434D2">
        <w:rPr>
          <w:rFonts w:ascii="Times New Roman" w:hAnsi="Times New Roman"/>
          <w:kern w:val="0"/>
          <w:szCs w:val="24"/>
          <w:lang w:bidi="en-US"/>
        </w:rPr>
        <w:t>本次发行提供专项法律服务。本所已于</w:t>
      </w:r>
      <w:r w:rsidRPr="00037063">
        <w:rPr>
          <w:rFonts w:ascii="Times New Roman" w:hAnsi="Times New Roman"/>
          <w:kern w:val="0"/>
          <w:szCs w:val="24"/>
          <w:lang w:bidi="en-US"/>
        </w:rPr>
        <w:t>2023</w:t>
      </w:r>
      <w:r w:rsidRPr="00037063">
        <w:rPr>
          <w:rFonts w:ascii="Times New Roman" w:hAnsi="Times New Roman"/>
          <w:kern w:val="0"/>
          <w:szCs w:val="24"/>
          <w:lang w:bidi="en-US"/>
        </w:rPr>
        <w:t>年</w:t>
      </w:r>
      <w:r w:rsidRPr="00037063">
        <w:rPr>
          <w:rFonts w:ascii="Times New Roman" w:hAnsi="Times New Roman"/>
          <w:kern w:val="0"/>
          <w:szCs w:val="24"/>
          <w:lang w:bidi="en-US"/>
        </w:rPr>
        <w:t>12</w:t>
      </w:r>
      <w:r w:rsidRPr="00037063">
        <w:rPr>
          <w:rFonts w:ascii="Times New Roman" w:hAnsi="Times New Roman"/>
          <w:kern w:val="0"/>
          <w:szCs w:val="24"/>
          <w:lang w:bidi="en-US"/>
        </w:rPr>
        <w:t>月</w:t>
      </w:r>
      <w:r w:rsidRPr="00B434D2">
        <w:rPr>
          <w:rFonts w:ascii="Times New Roman" w:hAnsi="Times New Roman"/>
          <w:kern w:val="0"/>
          <w:szCs w:val="24"/>
          <w:lang w:bidi="en-US"/>
        </w:rPr>
        <w:t>1</w:t>
      </w:r>
      <w:r w:rsidRPr="00B434D2">
        <w:rPr>
          <w:rFonts w:ascii="Times New Roman" w:hAnsi="Times New Roman"/>
          <w:kern w:val="0"/>
          <w:szCs w:val="24"/>
          <w:lang w:bidi="en-US"/>
        </w:rPr>
        <w:t>日出具了德和衡证律意见（</w:t>
      </w:r>
      <w:r w:rsidRPr="00037063">
        <w:rPr>
          <w:rFonts w:ascii="Times New Roman" w:hAnsi="Times New Roman"/>
          <w:kern w:val="0"/>
          <w:szCs w:val="24"/>
          <w:lang w:bidi="en-US"/>
        </w:rPr>
        <w:t>2023</w:t>
      </w:r>
      <w:r w:rsidRPr="00B434D2">
        <w:rPr>
          <w:rFonts w:ascii="Times New Roman" w:hAnsi="Times New Roman"/>
          <w:kern w:val="0"/>
          <w:szCs w:val="24"/>
          <w:lang w:bidi="en-US"/>
        </w:rPr>
        <w:t>）第</w:t>
      </w:r>
      <w:r w:rsidRPr="00037063">
        <w:rPr>
          <w:rFonts w:ascii="Times New Roman" w:hAnsi="Times New Roman"/>
          <w:kern w:val="0"/>
          <w:szCs w:val="24"/>
          <w:lang w:bidi="en-US"/>
        </w:rPr>
        <w:t>588</w:t>
      </w:r>
      <w:r w:rsidRPr="00B434D2">
        <w:rPr>
          <w:rFonts w:ascii="Times New Roman" w:hAnsi="Times New Roman"/>
          <w:kern w:val="0"/>
          <w:szCs w:val="24"/>
          <w:lang w:bidi="en-US"/>
        </w:rPr>
        <w:t>号《北京德和衡律师事务所关于</w:t>
      </w:r>
      <w:r w:rsidRPr="00B434D2">
        <w:rPr>
          <w:rFonts w:ascii="Times New Roman" w:hAnsi="Times New Roman"/>
          <w:kern w:val="0"/>
          <w:szCs w:val="24"/>
          <w:lang w:eastAsia="zh-Hans" w:bidi="en-US"/>
        </w:rPr>
        <w:t>青岛伟隆阀门股份有限公司</w:t>
      </w:r>
      <w:r w:rsidRPr="00B434D2">
        <w:rPr>
          <w:rFonts w:ascii="Times New Roman" w:hAnsi="Times New Roman"/>
          <w:kern w:val="0"/>
          <w:szCs w:val="24"/>
          <w:lang w:bidi="en-US"/>
        </w:rPr>
        <w:t>向不特定对象发行可转换公司债券</w:t>
      </w:r>
      <w:r w:rsidRPr="00B434D2">
        <w:rPr>
          <w:rFonts w:ascii="Times New Roman" w:hAnsi="Times New Roman"/>
          <w:kern w:val="0"/>
          <w:szCs w:val="24"/>
          <w:lang w:eastAsia="zh-Hans" w:bidi="en-US"/>
        </w:rPr>
        <w:t>的</w:t>
      </w:r>
      <w:r w:rsidRPr="00B434D2">
        <w:rPr>
          <w:rFonts w:ascii="Times New Roman" w:hAnsi="Times New Roman"/>
          <w:kern w:val="0"/>
          <w:szCs w:val="24"/>
          <w:lang w:bidi="en-US"/>
        </w:rPr>
        <w:t>法律意见书》（以下简称《法律意</w:t>
      </w:r>
      <w:r w:rsidRPr="00B434D2">
        <w:rPr>
          <w:rFonts w:ascii="Times New Roman" w:hAnsi="Times New Roman"/>
          <w:kern w:val="0"/>
          <w:szCs w:val="32"/>
        </w:rPr>
        <w:t>见书》）、</w:t>
      </w:r>
      <w:r w:rsidRPr="00B434D2">
        <w:rPr>
          <w:rFonts w:ascii="Times New Roman" w:hAnsi="Times New Roman"/>
          <w:kern w:val="0"/>
          <w:szCs w:val="24"/>
          <w:lang w:bidi="en-US"/>
        </w:rPr>
        <w:t>德和衡证律意见（</w:t>
      </w:r>
      <w:r w:rsidRPr="00037063">
        <w:rPr>
          <w:rFonts w:ascii="Times New Roman" w:hAnsi="Times New Roman"/>
          <w:kern w:val="0"/>
          <w:szCs w:val="24"/>
          <w:lang w:bidi="en-US"/>
        </w:rPr>
        <w:t>2023</w:t>
      </w:r>
      <w:r w:rsidRPr="00B434D2">
        <w:rPr>
          <w:rFonts w:ascii="Times New Roman" w:hAnsi="Times New Roman"/>
          <w:kern w:val="0"/>
          <w:szCs w:val="24"/>
          <w:lang w:bidi="en-US"/>
        </w:rPr>
        <w:t>）第</w:t>
      </w:r>
      <w:r w:rsidRPr="00037063">
        <w:rPr>
          <w:rFonts w:ascii="Times New Roman" w:hAnsi="Times New Roman"/>
          <w:kern w:val="0"/>
          <w:szCs w:val="24"/>
          <w:lang w:bidi="en-US"/>
        </w:rPr>
        <w:t>589</w:t>
      </w:r>
      <w:r w:rsidRPr="00B434D2">
        <w:rPr>
          <w:rFonts w:ascii="Times New Roman" w:hAnsi="Times New Roman"/>
          <w:kern w:val="0"/>
          <w:szCs w:val="24"/>
          <w:lang w:bidi="en-US"/>
        </w:rPr>
        <w:t>号《北京德和衡律师事务所关于</w:t>
      </w:r>
      <w:r w:rsidRPr="00B434D2">
        <w:rPr>
          <w:rFonts w:ascii="Times New Roman" w:hAnsi="Times New Roman"/>
          <w:kern w:val="0"/>
          <w:szCs w:val="24"/>
          <w:lang w:eastAsia="zh-Hans" w:bidi="en-US"/>
        </w:rPr>
        <w:t>青岛伟隆阀门股份有限公司</w:t>
      </w:r>
      <w:r w:rsidRPr="00B434D2">
        <w:rPr>
          <w:rFonts w:ascii="Times New Roman" w:hAnsi="Times New Roman"/>
          <w:kern w:val="0"/>
          <w:szCs w:val="24"/>
          <w:lang w:bidi="en-US"/>
        </w:rPr>
        <w:t>向不特定对象发行可转换公司债券</w:t>
      </w:r>
      <w:r w:rsidRPr="00B434D2">
        <w:rPr>
          <w:rFonts w:ascii="Times New Roman" w:hAnsi="Times New Roman"/>
          <w:kern w:val="0"/>
          <w:szCs w:val="24"/>
          <w:lang w:eastAsia="zh-Hans" w:bidi="en-US"/>
        </w:rPr>
        <w:t>的律师</w:t>
      </w:r>
      <w:r w:rsidRPr="00B434D2">
        <w:rPr>
          <w:rFonts w:ascii="Times New Roman" w:hAnsi="Times New Roman"/>
          <w:kern w:val="0"/>
          <w:szCs w:val="24"/>
          <w:lang w:bidi="en-US"/>
        </w:rPr>
        <w:t>工作报告》（以下简称《律师工作报告》）。</w:t>
      </w:r>
    </w:p>
    <w:p w14:paraId="62EB298C" w14:textId="77777777" w:rsidR="008D76D6" w:rsidRPr="00B434D2" w:rsidRDefault="008D76D6">
      <w:pPr>
        <w:autoSpaceDE w:val="0"/>
        <w:autoSpaceDN w:val="0"/>
        <w:spacing w:before="120" w:afterLines="0" w:after="0"/>
        <w:ind w:firstLine="480"/>
        <w:rPr>
          <w:rFonts w:ascii="Times New Roman" w:hAnsi="Times New Roman"/>
          <w:szCs w:val="32"/>
        </w:rPr>
      </w:pPr>
      <w:r w:rsidRPr="00B434D2">
        <w:rPr>
          <w:rFonts w:ascii="Times New Roman" w:hAnsi="Times New Roman"/>
          <w:kern w:val="0"/>
          <w:szCs w:val="32"/>
        </w:rPr>
        <w:t>鉴于深圳证券交易所于</w:t>
      </w:r>
      <w:r w:rsidRPr="00037063">
        <w:rPr>
          <w:rFonts w:ascii="Times New Roman" w:hAnsi="Times New Roman"/>
          <w:kern w:val="0"/>
          <w:szCs w:val="32"/>
        </w:rPr>
        <w:t>2023</w:t>
      </w:r>
      <w:r w:rsidRPr="00037063">
        <w:rPr>
          <w:rFonts w:ascii="Times New Roman" w:hAnsi="Times New Roman"/>
          <w:kern w:val="0"/>
          <w:szCs w:val="32"/>
        </w:rPr>
        <w:t>年</w:t>
      </w:r>
      <w:r w:rsidRPr="00037063">
        <w:rPr>
          <w:rFonts w:ascii="Times New Roman" w:hAnsi="Times New Roman"/>
          <w:kern w:val="0"/>
          <w:szCs w:val="32"/>
        </w:rPr>
        <w:t>12</w:t>
      </w:r>
      <w:r w:rsidRPr="00037063">
        <w:rPr>
          <w:rFonts w:ascii="Times New Roman" w:hAnsi="Times New Roman"/>
          <w:kern w:val="0"/>
          <w:szCs w:val="32"/>
        </w:rPr>
        <w:t>月</w:t>
      </w:r>
      <w:r w:rsidRPr="00037063">
        <w:rPr>
          <w:rFonts w:ascii="Times New Roman" w:hAnsi="Times New Roman"/>
          <w:kern w:val="0"/>
          <w:szCs w:val="32"/>
        </w:rPr>
        <w:t>14</w:t>
      </w:r>
      <w:r w:rsidRPr="00037063">
        <w:rPr>
          <w:rFonts w:ascii="Times New Roman" w:hAnsi="Times New Roman"/>
          <w:kern w:val="0"/>
          <w:szCs w:val="32"/>
        </w:rPr>
        <w:t>日</w:t>
      </w:r>
      <w:r w:rsidRPr="00B434D2">
        <w:rPr>
          <w:rFonts w:ascii="Times New Roman" w:hAnsi="Times New Roman"/>
          <w:kern w:val="0"/>
          <w:szCs w:val="32"/>
        </w:rPr>
        <w:t>向发行人出具了《关于青岛伟隆阀门股份有限公司申请向不特定对象发行可转换公司债券的审核问询函》（</w:t>
      </w:r>
      <w:r w:rsidRPr="00037063">
        <w:rPr>
          <w:rFonts w:ascii="Times New Roman" w:hAnsi="Times New Roman"/>
          <w:szCs w:val="32"/>
        </w:rPr>
        <w:t>审核函〔</w:t>
      </w:r>
      <w:r w:rsidRPr="00037063">
        <w:rPr>
          <w:rFonts w:ascii="Times New Roman" w:hAnsi="Times New Roman"/>
          <w:szCs w:val="32"/>
        </w:rPr>
        <w:t>2023</w:t>
      </w:r>
      <w:r w:rsidRPr="00037063">
        <w:rPr>
          <w:rFonts w:ascii="Times New Roman" w:hAnsi="Times New Roman"/>
          <w:szCs w:val="32"/>
        </w:rPr>
        <w:t>〕</w:t>
      </w:r>
      <w:r w:rsidRPr="00037063">
        <w:rPr>
          <w:rFonts w:ascii="Times New Roman" w:hAnsi="Times New Roman"/>
          <w:szCs w:val="32"/>
        </w:rPr>
        <w:t>120174</w:t>
      </w:r>
      <w:r w:rsidRPr="00B434D2">
        <w:rPr>
          <w:rFonts w:ascii="Times New Roman" w:hAnsi="Times New Roman"/>
          <w:kern w:val="0"/>
          <w:szCs w:val="32"/>
        </w:rPr>
        <w:t>号），</w:t>
      </w:r>
      <w:r w:rsidRPr="00B434D2">
        <w:rPr>
          <w:rFonts w:ascii="Times New Roman" w:hAnsi="Times New Roman"/>
          <w:szCs w:val="32"/>
        </w:rPr>
        <w:t>本所律师对发行人的有关事实及发行人提供的有关文件进行了进一步核查和验证，现出具本补充法律意见书。</w:t>
      </w:r>
    </w:p>
    <w:p w14:paraId="72A5D951" w14:textId="77777777" w:rsidR="008D76D6" w:rsidRPr="00B434D2" w:rsidRDefault="008D76D6">
      <w:pPr>
        <w:autoSpaceDE w:val="0"/>
        <w:autoSpaceDN w:val="0"/>
        <w:spacing w:before="120" w:afterLines="0" w:after="0"/>
        <w:ind w:firstLine="480"/>
        <w:rPr>
          <w:rFonts w:ascii="Times New Roman" w:hAnsi="Times New Roman"/>
        </w:rPr>
      </w:pPr>
      <w:r w:rsidRPr="00B434D2">
        <w:rPr>
          <w:rFonts w:ascii="Times New Roman" w:hAnsi="Times New Roman"/>
        </w:rPr>
        <w:t>本补充法律意见书是对《法律意见书》《律师工作报告》的修改和补充，上述文件的内容与本补充法律意见书不一致之处，以本补充法律意见书为准，上述文件的其他内容继续有效。</w:t>
      </w:r>
    </w:p>
    <w:p w14:paraId="5F8EE31F" w14:textId="77777777" w:rsidR="008D76D6" w:rsidRPr="00B434D2" w:rsidRDefault="008D76D6">
      <w:pPr>
        <w:autoSpaceDE w:val="0"/>
        <w:autoSpaceDN w:val="0"/>
        <w:spacing w:before="120" w:afterLines="0" w:after="0"/>
        <w:ind w:firstLine="480"/>
        <w:rPr>
          <w:rFonts w:ascii="Times New Roman" w:hAnsi="Times New Roman"/>
        </w:rPr>
      </w:pPr>
      <w:r w:rsidRPr="00B434D2">
        <w:rPr>
          <w:rFonts w:ascii="Times New Roman" w:hAnsi="Times New Roman"/>
        </w:rPr>
        <w:t>本所律师在《法律意见书》《律师工作报告》中发表法律意见的前提、声明和假设同样适用于本补充法律意见书。</w:t>
      </w:r>
    </w:p>
    <w:p w14:paraId="07AC0F48" w14:textId="77777777" w:rsidR="008D76D6" w:rsidRPr="00B434D2" w:rsidRDefault="008D76D6">
      <w:pPr>
        <w:autoSpaceDE w:val="0"/>
        <w:autoSpaceDN w:val="0"/>
        <w:spacing w:before="120" w:afterLines="0" w:after="0"/>
        <w:ind w:firstLine="480"/>
        <w:rPr>
          <w:rFonts w:ascii="Times New Roman" w:hAnsi="Times New Roman"/>
        </w:rPr>
      </w:pPr>
      <w:r w:rsidRPr="00B434D2">
        <w:rPr>
          <w:rFonts w:ascii="Times New Roman" w:hAnsi="Times New Roman"/>
        </w:rPr>
        <w:t>除非另有所指，本补充法律意见书所使用术语、名称、简称的含义与《律师工作报告》《法律意见书》中的含义相同。</w:t>
      </w:r>
    </w:p>
    <w:p w14:paraId="6ED2E9A9" w14:textId="77777777" w:rsidR="008D76D6" w:rsidRDefault="008D76D6">
      <w:pPr>
        <w:autoSpaceDE w:val="0"/>
        <w:autoSpaceDN w:val="0"/>
        <w:spacing w:before="120" w:afterLines="0" w:after="0"/>
        <w:ind w:firstLine="480"/>
        <w:rPr>
          <w:rFonts w:ascii="宋体" w:hAnsi="宋体"/>
        </w:rPr>
      </w:pPr>
      <w:r>
        <w:rPr>
          <w:rFonts w:ascii="宋体" w:hAnsi="宋体" w:hint="eastAsia"/>
        </w:rPr>
        <w:lastRenderedPageBreak/>
        <w:t>根据《中华人民共和国证券法》等相关法律法规和规范性文件的要求，按照律师行业公认的业务标准、道德规范和勤勉尽责精神，本所律师在对发行人本次发行有关的文件资料和事实进行核查验证的基础上，现出具本补充法律意见</w:t>
      </w:r>
      <w:bookmarkStart w:id="4" w:name="_Toc398303510"/>
      <w:bookmarkStart w:id="5" w:name="_Toc263675192"/>
      <w:bookmarkStart w:id="6" w:name="_Toc35115640"/>
      <w:bookmarkStart w:id="7" w:name="_Toc398284370"/>
      <w:bookmarkStart w:id="8" w:name="_Toc523489199"/>
      <w:bookmarkEnd w:id="1"/>
      <w:bookmarkEnd w:id="2"/>
      <w:bookmarkEnd w:id="3"/>
      <w:r>
        <w:rPr>
          <w:rFonts w:ascii="宋体" w:hAnsi="宋体" w:hint="eastAsia"/>
        </w:rPr>
        <w:t>。</w:t>
      </w:r>
    </w:p>
    <w:p w14:paraId="2C5AF48D" w14:textId="77777777" w:rsidR="008D76D6" w:rsidRDefault="008D76D6">
      <w:pPr>
        <w:autoSpaceDE w:val="0"/>
        <w:autoSpaceDN w:val="0"/>
        <w:spacing w:before="120" w:afterLines="0" w:after="120"/>
        <w:ind w:firstLine="480"/>
        <w:rPr>
          <w:rFonts w:ascii="宋体" w:hAnsi="宋体" w:hint="eastAsia"/>
        </w:rPr>
      </w:pPr>
    </w:p>
    <w:p w14:paraId="38649E50" w14:textId="77777777" w:rsidR="008D76D6" w:rsidRDefault="008D76D6">
      <w:pPr>
        <w:pStyle w:val="1"/>
        <w:spacing w:before="120" w:after="120"/>
        <w:ind w:firstLineChars="0" w:firstLine="0"/>
        <w:jc w:val="center"/>
        <w:rPr>
          <w:lang w:eastAsia="zh-Hans"/>
        </w:rPr>
      </w:pPr>
      <w:bookmarkStart w:id="9" w:name="_Toc153983217"/>
      <w:bookmarkEnd w:id="4"/>
      <w:bookmarkEnd w:id="5"/>
      <w:bookmarkEnd w:id="6"/>
      <w:bookmarkEnd w:id="7"/>
      <w:bookmarkEnd w:id="8"/>
      <w:r>
        <w:rPr>
          <w:rFonts w:hint="eastAsia"/>
          <w:lang w:eastAsia="zh-Hans"/>
        </w:rPr>
        <w:t>深圳证券交易所审核问询函回复</w:t>
      </w:r>
    </w:p>
    <w:p w14:paraId="071A3BC8" w14:textId="77777777" w:rsidR="008D76D6" w:rsidRDefault="008D76D6">
      <w:pPr>
        <w:pStyle w:val="1"/>
        <w:spacing w:before="120" w:after="120"/>
        <w:ind w:firstLine="482"/>
        <w:jc w:val="left"/>
        <w:rPr>
          <w:rFonts w:ascii="Times New Roman" w:hAnsi="Times New Roman"/>
          <w:sz w:val="24"/>
          <w:szCs w:val="24"/>
          <w:lang w:eastAsia="zh-Hans"/>
        </w:rPr>
      </w:pPr>
      <w:r>
        <w:rPr>
          <w:rFonts w:ascii="Times New Roman" w:hAnsi="Times New Roman"/>
          <w:sz w:val="24"/>
          <w:szCs w:val="24"/>
          <w:lang w:eastAsia="zh-Hans"/>
        </w:rPr>
        <w:t>问题</w:t>
      </w:r>
      <w:r>
        <w:rPr>
          <w:rFonts w:ascii="Times New Roman" w:hAnsi="Times New Roman"/>
          <w:sz w:val="24"/>
          <w:szCs w:val="24"/>
          <w:lang w:eastAsia="zh-Hans"/>
        </w:rPr>
        <w:t>2.</w:t>
      </w:r>
      <w:bookmarkEnd w:id="9"/>
    </w:p>
    <w:p w14:paraId="14741D88" w14:textId="77777777" w:rsidR="008D76D6" w:rsidRDefault="008D76D6">
      <w:pPr>
        <w:topLinePunct/>
        <w:adjustRightInd w:val="0"/>
        <w:snapToGrid w:val="0"/>
        <w:spacing w:before="120" w:after="120"/>
        <w:ind w:firstLine="480"/>
        <w:rPr>
          <w:rFonts w:ascii="Times New Roman" w:hAnsi="Times New Roman"/>
          <w:color w:val="000000"/>
          <w:szCs w:val="32"/>
        </w:rPr>
      </w:pPr>
      <w:r>
        <w:rPr>
          <w:rFonts w:ascii="Times New Roman" w:hAnsi="Times New Roman"/>
          <w:color w:val="000000"/>
          <w:szCs w:val="32"/>
        </w:rPr>
        <w:t>报告期内，发行人主营业务毛利率分别为</w:t>
      </w:r>
      <w:r>
        <w:rPr>
          <w:rFonts w:ascii="Times New Roman" w:hAnsi="Times New Roman"/>
          <w:color w:val="000000"/>
          <w:szCs w:val="32"/>
        </w:rPr>
        <w:t>34.40%</w:t>
      </w:r>
      <w:r>
        <w:rPr>
          <w:rFonts w:ascii="Times New Roman" w:hAnsi="Times New Roman"/>
          <w:color w:val="000000"/>
          <w:szCs w:val="32"/>
        </w:rPr>
        <w:t>、</w:t>
      </w:r>
      <w:r>
        <w:rPr>
          <w:rFonts w:ascii="Times New Roman" w:hAnsi="Times New Roman"/>
          <w:color w:val="000000"/>
          <w:szCs w:val="32"/>
        </w:rPr>
        <w:t>32.32%</w:t>
      </w:r>
      <w:r>
        <w:rPr>
          <w:rFonts w:ascii="Times New Roman" w:hAnsi="Times New Roman"/>
          <w:color w:val="000000"/>
          <w:szCs w:val="32"/>
        </w:rPr>
        <w:t>、</w:t>
      </w:r>
      <w:r>
        <w:rPr>
          <w:rFonts w:ascii="Times New Roman" w:hAnsi="Times New Roman"/>
          <w:color w:val="000000"/>
          <w:szCs w:val="32"/>
        </w:rPr>
        <w:t>37.42%</w:t>
      </w:r>
      <w:r>
        <w:rPr>
          <w:rFonts w:ascii="Times New Roman" w:hAnsi="Times New Roman"/>
          <w:color w:val="000000"/>
          <w:szCs w:val="32"/>
        </w:rPr>
        <w:t>和</w:t>
      </w:r>
      <w:r>
        <w:rPr>
          <w:rFonts w:ascii="Times New Roman" w:hAnsi="Times New Roman"/>
          <w:color w:val="000000"/>
          <w:szCs w:val="32"/>
        </w:rPr>
        <w:t>38.35%</w:t>
      </w:r>
      <w:r>
        <w:rPr>
          <w:rFonts w:ascii="Times New Roman" w:hAnsi="Times New Roman"/>
          <w:color w:val="000000"/>
          <w:szCs w:val="32"/>
        </w:rPr>
        <w:t>，主营业务收入分别为</w:t>
      </w:r>
      <w:r>
        <w:rPr>
          <w:rFonts w:ascii="Times New Roman" w:hAnsi="Times New Roman"/>
          <w:color w:val="000000"/>
          <w:szCs w:val="32"/>
        </w:rPr>
        <w:t>34,335.39</w:t>
      </w:r>
      <w:r>
        <w:rPr>
          <w:rFonts w:ascii="Times New Roman" w:hAnsi="Times New Roman"/>
          <w:color w:val="000000"/>
          <w:szCs w:val="32"/>
        </w:rPr>
        <w:t>万元、</w:t>
      </w:r>
      <w:r>
        <w:rPr>
          <w:rFonts w:ascii="Times New Roman" w:hAnsi="Times New Roman"/>
          <w:color w:val="000000"/>
          <w:szCs w:val="32"/>
        </w:rPr>
        <w:t>41,175.41</w:t>
      </w:r>
      <w:r>
        <w:rPr>
          <w:rFonts w:ascii="Times New Roman" w:hAnsi="Times New Roman"/>
          <w:color w:val="000000"/>
          <w:szCs w:val="32"/>
        </w:rPr>
        <w:t>万元、</w:t>
      </w:r>
      <w:r>
        <w:rPr>
          <w:rFonts w:ascii="Times New Roman" w:hAnsi="Times New Roman"/>
          <w:color w:val="000000"/>
          <w:szCs w:val="32"/>
        </w:rPr>
        <w:t>53,496.13</w:t>
      </w:r>
      <w:r>
        <w:rPr>
          <w:rFonts w:ascii="Times New Roman" w:hAnsi="Times New Roman"/>
          <w:color w:val="000000"/>
          <w:szCs w:val="32"/>
        </w:rPr>
        <w:t>万元和</w:t>
      </w:r>
      <w:r>
        <w:rPr>
          <w:rFonts w:ascii="Times New Roman" w:hAnsi="Times New Roman"/>
          <w:color w:val="000000"/>
          <w:szCs w:val="32"/>
        </w:rPr>
        <w:t>39,681.76</w:t>
      </w:r>
      <w:r>
        <w:rPr>
          <w:rFonts w:ascii="Times New Roman" w:hAnsi="Times New Roman"/>
          <w:color w:val="000000"/>
          <w:szCs w:val="32"/>
        </w:rPr>
        <w:t>万元，净利润分别为</w:t>
      </w:r>
      <w:r>
        <w:rPr>
          <w:rFonts w:ascii="Times New Roman" w:hAnsi="Times New Roman"/>
          <w:color w:val="000000"/>
          <w:szCs w:val="32"/>
        </w:rPr>
        <w:t>5,796.81</w:t>
      </w:r>
      <w:r>
        <w:rPr>
          <w:rFonts w:ascii="Times New Roman" w:hAnsi="Times New Roman"/>
          <w:color w:val="000000"/>
          <w:szCs w:val="32"/>
        </w:rPr>
        <w:t>万元、</w:t>
      </w:r>
      <w:r>
        <w:rPr>
          <w:rFonts w:ascii="Times New Roman" w:hAnsi="Times New Roman"/>
          <w:color w:val="000000"/>
          <w:szCs w:val="32"/>
        </w:rPr>
        <w:t>6,099.35</w:t>
      </w:r>
      <w:r>
        <w:rPr>
          <w:rFonts w:ascii="Times New Roman" w:hAnsi="Times New Roman"/>
          <w:color w:val="000000"/>
          <w:szCs w:val="32"/>
        </w:rPr>
        <w:t>万元、</w:t>
      </w:r>
      <w:r>
        <w:rPr>
          <w:rFonts w:ascii="Times New Roman" w:hAnsi="Times New Roman"/>
          <w:color w:val="000000"/>
          <w:szCs w:val="32"/>
        </w:rPr>
        <w:t>13,362.71</w:t>
      </w:r>
      <w:r>
        <w:rPr>
          <w:rFonts w:ascii="Times New Roman" w:hAnsi="Times New Roman"/>
          <w:color w:val="000000"/>
          <w:szCs w:val="32"/>
        </w:rPr>
        <w:t>万元和</w:t>
      </w:r>
      <w:r>
        <w:rPr>
          <w:rFonts w:ascii="Times New Roman" w:hAnsi="Times New Roman"/>
          <w:color w:val="000000"/>
          <w:szCs w:val="32"/>
        </w:rPr>
        <w:t>10,062.09</w:t>
      </w:r>
      <w:r>
        <w:rPr>
          <w:rFonts w:ascii="Times New Roman" w:hAnsi="Times New Roman"/>
          <w:color w:val="000000"/>
          <w:szCs w:val="32"/>
        </w:rPr>
        <w:t>万元，主营业务收入及净利润整体呈上涨趋势，但</w:t>
      </w:r>
      <w:r>
        <w:rPr>
          <w:rFonts w:ascii="Times New Roman" w:hAnsi="Times New Roman"/>
          <w:color w:val="000000"/>
          <w:szCs w:val="32"/>
        </w:rPr>
        <w:t>2023</w:t>
      </w:r>
      <w:r>
        <w:rPr>
          <w:rFonts w:ascii="Times New Roman" w:hAnsi="Times New Roman"/>
          <w:color w:val="000000"/>
          <w:szCs w:val="32"/>
        </w:rPr>
        <w:t>年第三季度扣非归母净利润同比下滑</w:t>
      </w:r>
      <w:r>
        <w:rPr>
          <w:rFonts w:ascii="Times New Roman" w:hAnsi="Times New Roman"/>
          <w:color w:val="000000"/>
          <w:szCs w:val="32"/>
        </w:rPr>
        <w:t>32.89%</w:t>
      </w:r>
      <w:r>
        <w:rPr>
          <w:rFonts w:ascii="Times New Roman" w:hAnsi="Times New Roman"/>
          <w:color w:val="000000"/>
          <w:szCs w:val="32"/>
        </w:rPr>
        <w:t>。报告期内，发行人外销收入占总收入的比重分别为</w:t>
      </w:r>
      <w:r>
        <w:rPr>
          <w:rFonts w:ascii="Times New Roman" w:hAnsi="Times New Roman"/>
          <w:color w:val="000000"/>
          <w:szCs w:val="32"/>
        </w:rPr>
        <w:t>80.11%</w:t>
      </w:r>
      <w:r>
        <w:rPr>
          <w:rFonts w:ascii="Times New Roman" w:hAnsi="Times New Roman"/>
          <w:color w:val="000000"/>
          <w:szCs w:val="32"/>
        </w:rPr>
        <w:t>、</w:t>
      </w:r>
      <w:r>
        <w:rPr>
          <w:rFonts w:ascii="Times New Roman" w:hAnsi="Times New Roman"/>
          <w:color w:val="000000"/>
          <w:szCs w:val="32"/>
        </w:rPr>
        <w:t>75.33%</w:t>
      </w:r>
      <w:r>
        <w:rPr>
          <w:rFonts w:ascii="Times New Roman" w:hAnsi="Times New Roman"/>
          <w:color w:val="000000"/>
          <w:szCs w:val="32"/>
        </w:rPr>
        <w:t>、</w:t>
      </w:r>
      <w:r>
        <w:rPr>
          <w:rFonts w:ascii="Times New Roman" w:hAnsi="Times New Roman"/>
          <w:color w:val="000000"/>
          <w:szCs w:val="32"/>
        </w:rPr>
        <w:t>83.53%</w:t>
      </w:r>
      <w:r>
        <w:rPr>
          <w:rFonts w:ascii="Times New Roman" w:hAnsi="Times New Roman"/>
          <w:color w:val="000000"/>
          <w:szCs w:val="32"/>
        </w:rPr>
        <w:t>及</w:t>
      </w:r>
      <w:r>
        <w:rPr>
          <w:rFonts w:ascii="Times New Roman" w:hAnsi="Times New Roman"/>
          <w:color w:val="000000"/>
          <w:szCs w:val="32"/>
        </w:rPr>
        <w:t>80.15%</w:t>
      </w:r>
      <w:r>
        <w:rPr>
          <w:rFonts w:ascii="Times New Roman" w:hAnsi="Times New Roman"/>
          <w:color w:val="000000"/>
          <w:szCs w:val="32"/>
        </w:rPr>
        <w:t>，其中，</w:t>
      </w:r>
      <w:r>
        <w:rPr>
          <w:rFonts w:ascii="Times New Roman" w:hAnsi="Times New Roman"/>
          <w:color w:val="000000"/>
          <w:szCs w:val="32"/>
        </w:rPr>
        <w:t>2020</w:t>
      </w:r>
      <w:r>
        <w:rPr>
          <w:rFonts w:ascii="Times New Roman" w:hAnsi="Times New Roman"/>
          <w:color w:val="000000"/>
          <w:szCs w:val="32"/>
        </w:rPr>
        <w:t>年至</w:t>
      </w:r>
      <w:r>
        <w:rPr>
          <w:rFonts w:ascii="Times New Roman" w:hAnsi="Times New Roman"/>
          <w:color w:val="000000"/>
          <w:szCs w:val="32"/>
        </w:rPr>
        <w:t>2023</w:t>
      </w:r>
      <w:r>
        <w:rPr>
          <w:rFonts w:ascii="Times New Roman" w:hAnsi="Times New Roman"/>
          <w:color w:val="000000"/>
          <w:szCs w:val="32"/>
        </w:rPr>
        <w:t>年持续为前三大客户的</w:t>
      </w:r>
      <w:r>
        <w:rPr>
          <w:rFonts w:ascii="Times New Roman" w:hAnsi="Times New Roman"/>
          <w:color w:val="000000"/>
          <w:szCs w:val="32"/>
        </w:rPr>
        <w:t>REECE AUSTRALIA PTY LTD</w:t>
      </w:r>
      <w:r>
        <w:rPr>
          <w:rFonts w:ascii="Times New Roman" w:hAnsi="Times New Roman"/>
          <w:color w:val="000000"/>
          <w:szCs w:val="32"/>
        </w:rPr>
        <w:t>，在</w:t>
      </w:r>
      <w:r>
        <w:rPr>
          <w:rFonts w:ascii="Times New Roman" w:hAnsi="Times New Roman"/>
          <w:color w:val="000000"/>
          <w:szCs w:val="32"/>
        </w:rPr>
        <w:t>2023</w:t>
      </w:r>
      <w:r>
        <w:rPr>
          <w:rFonts w:ascii="Times New Roman" w:hAnsi="Times New Roman"/>
          <w:color w:val="000000"/>
          <w:szCs w:val="32"/>
        </w:rPr>
        <w:t>年前三季度已不是前五大客户。中介机构对外销收入执行了函证程序，报告期内回函率在</w:t>
      </w:r>
      <w:r>
        <w:rPr>
          <w:rFonts w:ascii="Times New Roman" w:hAnsi="Times New Roman"/>
          <w:color w:val="000000"/>
          <w:szCs w:val="32"/>
        </w:rPr>
        <w:t>60%-70%</w:t>
      </w:r>
      <w:r>
        <w:rPr>
          <w:rFonts w:ascii="Times New Roman" w:hAnsi="Times New Roman"/>
          <w:color w:val="000000"/>
          <w:szCs w:val="32"/>
        </w:rPr>
        <w:t>左右。报告期内，发行人主要供应商变动较大，其中青岛大宇再生资源有限公司、青岛义国环保科技有限公司由于自身经营原因进行注销，部分供应商设立时间较短或注册资本较小。根据申报材料，发行人存在供应商和客户重叠的情形。</w:t>
      </w:r>
    </w:p>
    <w:p w14:paraId="459DB4E3" w14:textId="77777777" w:rsidR="008D76D6" w:rsidRDefault="008D76D6">
      <w:pPr>
        <w:topLinePunct/>
        <w:adjustRightInd w:val="0"/>
        <w:snapToGrid w:val="0"/>
        <w:spacing w:beforeLines="0" w:afterLines="0"/>
        <w:ind w:firstLine="480"/>
        <w:rPr>
          <w:rFonts w:ascii="Times New Roman" w:hAnsi="Times New Roman"/>
          <w:color w:val="000000"/>
          <w:szCs w:val="32"/>
        </w:rPr>
      </w:pPr>
      <w:r>
        <w:rPr>
          <w:rFonts w:ascii="Times New Roman" w:hAnsi="Times New Roman"/>
          <w:color w:val="000000"/>
          <w:szCs w:val="32"/>
        </w:rPr>
        <w:t>发行人最近一期末土地使用权账面价值为</w:t>
      </w:r>
      <w:r>
        <w:rPr>
          <w:rFonts w:ascii="Times New Roman" w:hAnsi="Times New Roman"/>
          <w:color w:val="000000"/>
          <w:szCs w:val="32"/>
        </w:rPr>
        <w:t>4,986.23</w:t>
      </w:r>
      <w:r>
        <w:rPr>
          <w:rFonts w:ascii="Times New Roman" w:hAnsi="Times New Roman"/>
          <w:color w:val="000000"/>
          <w:szCs w:val="32"/>
        </w:rPr>
        <w:t>万元，其中子公司青岛伟隆五金机械有限公司经营范围包括土地使用权租赁、非居住房地产租赁。发行人子公司海南伟隆投资有限公司（以下简称海南伟隆）是以对外投资为主的公司，发行人持股</w:t>
      </w:r>
      <w:r>
        <w:rPr>
          <w:rFonts w:ascii="Times New Roman" w:hAnsi="Times New Roman"/>
          <w:color w:val="000000"/>
          <w:szCs w:val="32"/>
        </w:rPr>
        <w:t>60%</w:t>
      </w:r>
      <w:r>
        <w:rPr>
          <w:rFonts w:ascii="Times New Roman" w:hAnsi="Times New Roman"/>
          <w:color w:val="000000"/>
          <w:szCs w:val="32"/>
        </w:rPr>
        <w:t>，合作方持股</w:t>
      </w:r>
      <w:r>
        <w:rPr>
          <w:rFonts w:ascii="Times New Roman" w:hAnsi="Times New Roman"/>
          <w:color w:val="000000"/>
          <w:szCs w:val="32"/>
        </w:rPr>
        <w:t>40%</w:t>
      </w:r>
      <w:r>
        <w:rPr>
          <w:rFonts w:ascii="Times New Roman" w:hAnsi="Times New Roman"/>
          <w:color w:val="000000"/>
          <w:szCs w:val="32"/>
        </w:rPr>
        <w:t>；伟隆（香港）实业有限公司（以下简称香港伟隆）经营范围包括自有资金投资。截至</w:t>
      </w:r>
      <w:r>
        <w:rPr>
          <w:rFonts w:ascii="Times New Roman" w:hAnsi="Times New Roman"/>
          <w:color w:val="000000"/>
          <w:szCs w:val="32"/>
        </w:rPr>
        <w:t>2023</w:t>
      </w:r>
      <w:r>
        <w:rPr>
          <w:rFonts w:ascii="Times New Roman" w:hAnsi="Times New Roman"/>
          <w:color w:val="000000"/>
          <w:szCs w:val="32"/>
        </w:rPr>
        <w:t>年</w:t>
      </w:r>
      <w:r>
        <w:rPr>
          <w:rFonts w:ascii="Times New Roman" w:hAnsi="Times New Roman"/>
          <w:color w:val="000000"/>
          <w:szCs w:val="32"/>
        </w:rPr>
        <w:t>9</w:t>
      </w:r>
      <w:r>
        <w:rPr>
          <w:rFonts w:ascii="Times New Roman" w:hAnsi="Times New Roman"/>
          <w:color w:val="000000"/>
          <w:szCs w:val="32"/>
        </w:rPr>
        <w:t>月</w:t>
      </w:r>
      <w:r>
        <w:rPr>
          <w:rFonts w:ascii="Times New Roman" w:hAnsi="Times New Roman"/>
          <w:color w:val="000000"/>
          <w:szCs w:val="32"/>
        </w:rPr>
        <w:t>30</w:t>
      </w:r>
      <w:r>
        <w:rPr>
          <w:rFonts w:ascii="Times New Roman" w:hAnsi="Times New Roman"/>
          <w:color w:val="000000"/>
          <w:szCs w:val="32"/>
        </w:rPr>
        <w:t>日，海南伟隆持有北京益安资本管理有限公司管理的益安地风</w:t>
      </w:r>
      <w:r>
        <w:rPr>
          <w:rFonts w:ascii="Times New Roman" w:hAnsi="Times New Roman"/>
          <w:color w:val="000000"/>
          <w:szCs w:val="32"/>
        </w:rPr>
        <w:t>5</w:t>
      </w:r>
      <w:r>
        <w:rPr>
          <w:rFonts w:ascii="Times New Roman" w:hAnsi="Times New Roman"/>
          <w:color w:val="000000"/>
          <w:szCs w:val="32"/>
        </w:rPr>
        <w:t>号私募证券投资基金，账面金额为</w:t>
      </w:r>
      <w:r>
        <w:rPr>
          <w:rFonts w:ascii="Times New Roman" w:hAnsi="Times New Roman"/>
          <w:color w:val="000000"/>
          <w:szCs w:val="32"/>
        </w:rPr>
        <w:t>11,215.11</w:t>
      </w:r>
      <w:r>
        <w:rPr>
          <w:rFonts w:ascii="Times New Roman" w:hAnsi="Times New Roman"/>
          <w:color w:val="000000"/>
          <w:szCs w:val="32"/>
        </w:rPr>
        <w:t>万元。截至</w:t>
      </w:r>
      <w:r>
        <w:rPr>
          <w:rFonts w:ascii="Times New Roman" w:hAnsi="Times New Roman"/>
          <w:color w:val="000000"/>
          <w:szCs w:val="32"/>
        </w:rPr>
        <w:t>2023</w:t>
      </w:r>
      <w:r>
        <w:rPr>
          <w:rFonts w:ascii="Times New Roman" w:hAnsi="Times New Roman"/>
          <w:color w:val="000000"/>
          <w:szCs w:val="32"/>
        </w:rPr>
        <w:t>年</w:t>
      </w:r>
      <w:r>
        <w:rPr>
          <w:rFonts w:ascii="Times New Roman" w:hAnsi="Times New Roman"/>
          <w:color w:val="000000"/>
          <w:szCs w:val="32"/>
        </w:rPr>
        <w:t>9</w:t>
      </w:r>
      <w:r>
        <w:rPr>
          <w:rFonts w:ascii="Times New Roman" w:hAnsi="Times New Roman"/>
          <w:color w:val="000000"/>
          <w:szCs w:val="32"/>
        </w:rPr>
        <w:t>月末，发行人认定财务性投资为</w:t>
      </w:r>
      <w:r>
        <w:rPr>
          <w:rFonts w:ascii="Times New Roman" w:hAnsi="Times New Roman"/>
          <w:color w:val="000000"/>
          <w:szCs w:val="32"/>
        </w:rPr>
        <w:t>11,138.97</w:t>
      </w:r>
      <w:r>
        <w:rPr>
          <w:rFonts w:ascii="Times New Roman" w:hAnsi="Times New Roman"/>
          <w:color w:val="000000"/>
          <w:szCs w:val="32"/>
        </w:rPr>
        <w:t>万元，占最近一期末发行人归母净资产的比例为</w:t>
      </w:r>
      <w:r>
        <w:rPr>
          <w:rFonts w:ascii="Times New Roman" w:hAnsi="Times New Roman"/>
          <w:color w:val="000000"/>
          <w:szCs w:val="32"/>
        </w:rPr>
        <w:t>14.23%</w:t>
      </w:r>
      <w:r>
        <w:rPr>
          <w:rFonts w:ascii="Times New Roman" w:hAnsi="Times New Roman"/>
          <w:color w:val="000000"/>
          <w:szCs w:val="32"/>
        </w:rPr>
        <w:t>；此外，发行人存在</w:t>
      </w:r>
      <w:r>
        <w:rPr>
          <w:rFonts w:ascii="Times New Roman" w:hAnsi="Times New Roman"/>
          <w:color w:val="000000"/>
          <w:szCs w:val="32"/>
        </w:rPr>
        <w:t>“</w:t>
      </w:r>
      <w:r>
        <w:rPr>
          <w:rFonts w:ascii="Times New Roman" w:hAnsi="Times New Roman"/>
          <w:color w:val="000000"/>
          <w:szCs w:val="32"/>
        </w:rPr>
        <w:t>光大信托</w:t>
      </w:r>
      <w:r>
        <w:rPr>
          <w:rFonts w:ascii="Times New Roman" w:hAnsi="Times New Roman"/>
          <w:color w:val="000000"/>
          <w:szCs w:val="32"/>
        </w:rPr>
        <w:t>-</w:t>
      </w:r>
      <w:r>
        <w:rPr>
          <w:rFonts w:ascii="Times New Roman" w:hAnsi="Times New Roman"/>
          <w:color w:val="000000"/>
          <w:szCs w:val="32"/>
        </w:rPr>
        <w:t>深汇系列集合资金信托计划</w:t>
      </w:r>
      <w:r>
        <w:rPr>
          <w:rFonts w:ascii="Times New Roman" w:hAnsi="Times New Roman"/>
          <w:color w:val="000000"/>
          <w:szCs w:val="32"/>
        </w:rPr>
        <w:t>”“</w:t>
      </w:r>
      <w:r>
        <w:rPr>
          <w:rFonts w:ascii="Times New Roman" w:hAnsi="Times New Roman"/>
          <w:color w:val="000000"/>
          <w:szCs w:val="32"/>
        </w:rPr>
        <w:t>贵竹固收增利</w:t>
      </w:r>
      <w:r>
        <w:rPr>
          <w:rFonts w:ascii="Times New Roman" w:hAnsi="Times New Roman"/>
          <w:color w:val="000000"/>
          <w:szCs w:val="32"/>
        </w:rPr>
        <w:t>6</w:t>
      </w:r>
      <w:r>
        <w:rPr>
          <w:rFonts w:ascii="Times New Roman" w:hAnsi="Times New Roman"/>
          <w:color w:val="000000"/>
          <w:szCs w:val="32"/>
        </w:rPr>
        <w:t>个月自动续期</w:t>
      </w:r>
      <w:r>
        <w:rPr>
          <w:rFonts w:ascii="Times New Roman" w:hAnsi="Times New Roman"/>
          <w:color w:val="000000"/>
          <w:szCs w:val="32"/>
        </w:rPr>
        <w:t>2</w:t>
      </w:r>
      <w:r>
        <w:rPr>
          <w:rFonts w:ascii="Times New Roman" w:hAnsi="Times New Roman"/>
          <w:color w:val="000000"/>
          <w:szCs w:val="32"/>
        </w:rPr>
        <w:t>号</w:t>
      </w:r>
      <w:r>
        <w:rPr>
          <w:rFonts w:ascii="Times New Roman" w:hAnsi="Times New Roman"/>
          <w:color w:val="000000"/>
          <w:szCs w:val="32"/>
        </w:rPr>
        <w:t>”</w:t>
      </w:r>
      <w:r>
        <w:rPr>
          <w:rFonts w:ascii="Times New Roman" w:hAnsi="Times New Roman"/>
          <w:color w:val="000000"/>
          <w:szCs w:val="32"/>
        </w:rPr>
        <w:t>等交易性金融资产，预期收益率最高至</w:t>
      </w:r>
      <w:r>
        <w:rPr>
          <w:rFonts w:ascii="Times New Roman" w:hAnsi="Times New Roman"/>
          <w:color w:val="000000"/>
          <w:szCs w:val="32"/>
        </w:rPr>
        <w:t>5.4%</w:t>
      </w:r>
      <w:r>
        <w:rPr>
          <w:rFonts w:ascii="Times New Roman" w:hAnsi="Times New Roman"/>
          <w:color w:val="000000"/>
          <w:szCs w:val="32"/>
        </w:rPr>
        <w:t>，均未认定为财务性投资。</w:t>
      </w:r>
    </w:p>
    <w:p w14:paraId="4E313112" w14:textId="77777777" w:rsidR="008D76D6" w:rsidRDefault="008D76D6">
      <w:pPr>
        <w:topLinePunct/>
        <w:adjustRightInd w:val="0"/>
        <w:snapToGrid w:val="0"/>
        <w:spacing w:before="120" w:after="120"/>
        <w:ind w:firstLine="480"/>
        <w:rPr>
          <w:rFonts w:ascii="Times New Roman" w:hAnsi="Times New Roman"/>
          <w:color w:val="000000"/>
          <w:szCs w:val="32"/>
        </w:rPr>
      </w:pPr>
      <w:r>
        <w:rPr>
          <w:rFonts w:ascii="Times New Roman" w:hAnsi="Times New Roman"/>
          <w:color w:val="000000"/>
          <w:szCs w:val="32"/>
        </w:rPr>
        <w:lastRenderedPageBreak/>
        <w:t>请发行人补充说明：（</w:t>
      </w:r>
      <w:r>
        <w:rPr>
          <w:rFonts w:ascii="Times New Roman" w:hAnsi="Times New Roman"/>
          <w:color w:val="000000"/>
          <w:szCs w:val="32"/>
        </w:rPr>
        <w:t>1</w:t>
      </w:r>
      <w:r>
        <w:rPr>
          <w:rFonts w:ascii="Times New Roman" w:hAnsi="Times New Roman"/>
          <w:color w:val="000000"/>
          <w:szCs w:val="32"/>
        </w:rPr>
        <w:t>）结合行业发展情况、业务销售模式、成本价格和毛利率变动、下游市场需求变化情况、产品议价能力情况等，说明</w:t>
      </w:r>
      <w:r>
        <w:rPr>
          <w:rFonts w:ascii="Times New Roman" w:hAnsi="Times New Roman"/>
          <w:color w:val="000000"/>
          <w:szCs w:val="32"/>
        </w:rPr>
        <w:t>2022</w:t>
      </w:r>
      <w:r>
        <w:rPr>
          <w:rFonts w:ascii="Times New Roman" w:hAnsi="Times New Roman"/>
          <w:color w:val="000000"/>
          <w:szCs w:val="32"/>
        </w:rPr>
        <w:t>年净利润大幅增长的原因及合理性，收入和净利润变动不匹配的原因，是否同行业可比；（</w:t>
      </w:r>
      <w:r>
        <w:rPr>
          <w:rFonts w:ascii="Times New Roman" w:hAnsi="Times New Roman"/>
          <w:color w:val="000000"/>
          <w:szCs w:val="32"/>
        </w:rPr>
        <w:t>2</w:t>
      </w:r>
      <w:r>
        <w:rPr>
          <w:rFonts w:ascii="Times New Roman" w:hAnsi="Times New Roman"/>
          <w:color w:val="000000"/>
          <w:szCs w:val="32"/>
        </w:rPr>
        <w:t>）</w:t>
      </w:r>
      <w:r>
        <w:rPr>
          <w:rFonts w:ascii="Times New Roman" w:hAnsi="Times New Roman"/>
          <w:szCs w:val="32"/>
          <w:lang w:bidi="ar"/>
        </w:rPr>
        <w:t>2023</w:t>
      </w:r>
      <w:r>
        <w:rPr>
          <w:rFonts w:ascii="Times New Roman" w:hAnsi="Times New Roman"/>
          <w:szCs w:val="32"/>
          <w:lang w:bidi="ar"/>
        </w:rPr>
        <w:t>年第三季度业绩下滑的原因及合理性、毛利率水平及同比变动情况，是否与同行业一致，</w:t>
      </w:r>
      <w:r>
        <w:rPr>
          <w:rFonts w:ascii="Times New Roman" w:hAnsi="Times New Roman"/>
          <w:szCs w:val="32"/>
          <w:lang w:bidi="ar"/>
        </w:rPr>
        <w:t>2022</w:t>
      </w:r>
      <w:r>
        <w:rPr>
          <w:rFonts w:ascii="Times New Roman" w:hAnsi="Times New Roman"/>
          <w:szCs w:val="32"/>
          <w:lang w:bidi="ar"/>
        </w:rPr>
        <w:t>年五大客户之一的</w:t>
      </w:r>
      <w:r>
        <w:rPr>
          <w:rFonts w:ascii="Times New Roman" w:hAnsi="Times New Roman"/>
          <w:szCs w:val="32"/>
          <w:lang w:bidi="ar"/>
        </w:rPr>
        <w:t>REECE AUSTRALIA PTY LTD</w:t>
      </w:r>
      <w:r>
        <w:rPr>
          <w:rFonts w:ascii="Times New Roman" w:hAnsi="Times New Roman"/>
          <w:szCs w:val="32"/>
          <w:lang w:bidi="ar"/>
        </w:rPr>
        <w:t>未出现在</w:t>
      </w:r>
      <w:r>
        <w:rPr>
          <w:rFonts w:ascii="Times New Roman" w:hAnsi="Times New Roman"/>
          <w:szCs w:val="32"/>
          <w:lang w:bidi="ar"/>
        </w:rPr>
        <w:t>2023</w:t>
      </w:r>
      <w:r>
        <w:rPr>
          <w:rFonts w:ascii="Times New Roman" w:hAnsi="Times New Roman"/>
          <w:szCs w:val="32"/>
          <w:lang w:bidi="ar"/>
        </w:rPr>
        <w:t>年前三季度五大客户名单中的原因，相关合作是否稳定，是否存在重要客户终止业务合作的情况，如是，说明具体终止的原因及对公司业绩的影响；（</w:t>
      </w:r>
      <w:r>
        <w:rPr>
          <w:rFonts w:ascii="Times New Roman" w:hAnsi="Times New Roman"/>
          <w:szCs w:val="32"/>
          <w:lang w:bidi="ar"/>
        </w:rPr>
        <w:t>3</w:t>
      </w:r>
      <w:r>
        <w:rPr>
          <w:rFonts w:ascii="Times New Roman" w:hAnsi="Times New Roman"/>
          <w:szCs w:val="32"/>
          <w:lang w:bidi="ar"/>
        </w:rPr>
        <w:t>）发行人境外销售占比较大，请说明汇兑损益金额等与境外收入是否匹配</w:t>
      </w:r>
      <w:r>
        <w:rPr>
          <w:rFonts w:ascii="Times New Roman" w:hAnsi="Times New Roman"/>
          <w:color w:val="000000"/>
          <w:szCs w:val="32"/>
        </w:rPr>
        <w:t>，是否符合有关进出口政策，是否存在国际贸易摩擦、汇率波动等方面的风险及对公司生产经营、募投项目实施和汇兑损益的影响；（</w:t>
      </w:r>
      <w:r>
        <w:rPr>
          <w:rFonts w:ascii="Times New Roman" w:hAnsi="Times New Roman"/>
          <w:color w:val="000000"/>
          <w:szCs w:val="32"/>
        </w:rPr>
        <w:t>4</w:t>
      </w:r>
      <w:r>
        <w:rPr>
          <w:rFonts w:ascii="Times New Roman" w:hAnsi="Times New Roman"/>
          <w:color w:val="000000"/>
          <w:szCs w:val="32"/>
        </w:rPr>
        <w:t>）结合报告期境外销售的主要业务模式和经营情况、按主要国家或地区划分的金额及占比、获取订单的方式、主要客户变化、相关信用政策、应收款项及回款、贴牌客户合作模式及协议签订情况等，说明境外销售收入的真实性、准确性，说明主要客户是否发生较大变动，如是，说明变动的原因及合理性；说明报告期内函证涉及金额占境外收入的比例，并结合报告期内回函率情况，说明未回函原因及对未回函客户收入的核查是否履行替代程序及充分性；（</w:t>
      </w:r>
      <w:r>
        <w:rPr>
          <w:rFonts w:ascii="Times New Roman" w:hAnsi="Times New Roman"/>
          <w:color w:val="000000"/>
          <w:szCs w:val="32"/>
        </w:rPr>
        <w:t>5</w:t>
      </w:r>
      <w:r>
        <w:rPr>
          <w:rFonts w:ascii="Times New Roman" w:hAnsi="Times New Roman"/>
          <w:color w:val="000000"/>
          <w:szCs w:val="32"/>
        </w:rPr>
        <w:t>）分期列示主要供应商情况，包括但不限于原材料采购种类及规模占比、设立时间、注册资本等，结合发行人生产成本结构，说明供应商存在较大变动的原因及合理性，客户与供应商存在重叠的原因及合理性，是否符合行业惯例，并说明发行人及发行人关联方、客户、供应商之间是否存在关联关系或其他密切关系，是否存在人员、业务或资金往来；（</w:t>
      </w:r>
      <w:r>
        <w:rPr>
          <w:rFonts w:ascii="Times New Roman" w:hAnsi="Times New Roman"/>
          <w:color w:val="000000"/>
          <w:szCs w:val="32"/>
        </w:rPr>
        <w:t>6</w:t>
      </w:r>
      <w:r>
        <w:rPr>
          <w:rFonts w:ascii="Times New Roman" w:hAnsi="Times New Roman"/>
          <w:color w:val="000000"/>
          <w:szCs w:val="32"/>
        </w:rPr>
        <w:t>）</w:t>
      </w:r>
      <w:r>
        <w:rPr>
          <w:rFonts w:ascii="Times New Roman" w:hAnsi="Times New Roman"/>
          <w:szCs w:val="32"/>
          <w:lang w:bidi="ar"/>
        </w:rPr>
        <w:t>说明汽车配件毛利率持续为负的原因及合理性，客户合作是否可持续，相关资产是否存在减值迹象，相关业务是否存在经营风险；</w:t>
      </w:r>
      <w:r>
        <w:rPr>
          <w:rFonts w:ascii="Times New Roman" w:hAnsi="Times New Roman"/>
          <w:color w:val="000000"/>
          <w:szCs w:val="32"/>
        </w:rPr>
        <w:t>（</w:t>
      </w:r>
      <w:r>
        <w:rPr>
          <w:rFonts w:ascii="Times New Roman" w:hAnsi="Times New Roman"/>
          <w:color w:val="000000"/>
          <w:szCs w:val="32"/>
        </w:rPr>
        <w:t>7</w:t>
      </w:r>
      <w:r>
        <w:rPr>
          <w:rFonts w:ascii="Times New Roman" w:hAnsi="Times New Roman"/>
          <w:color w:val="000000"/>
          <w:szCs w:val="32"/>
        </w:rPr>
        <w:t>）发行人是否开展商业房地产经营业务，如是，请说明相关业务开展的具体模式、经营内容，并说明为确保本次募集资金不变相投入相关业务的措施及有效性；（</w:t>
      </w:r>
      <w:r>
        <w:rPr>
          <w:rFonts w:ascii="Times New Roman" w:hAnsi="Times New Roman"/>
          <w:color w:val="000000"/>
          <w:szCs w:val="32"/>
        </w:rPr>
        <w:t>8</w:t>
      </w:r>
      <w:r>
        <w:rPr>
          <w:rFonts w:ascii="Times New Roman" w:hAnsi="Times New Roman"/>
          <w:color w:val="000000"/>
          <w:szCs w:val="32"/>
        </w:rPr>
        <w:t>）列示交易性金融资产等财务性投资相关科目的详细情形，结合海南伟隆、香港伟隆等认缴实缴和具体投资情况，说明发行人投资私募基金的原因、计量的会计政策及减值风险，并结合相关基金、资管、信托等投资协议的主要内容、投资背景、底层资产、收益率区间等，以及发行人主营业务与对被投资企业之间合作、销售、采购等情况，说明未将相关投资认定</w:t>
      </w:r>
      <w:r>
        <w:rPr>
          <w:rFonts w:ascii="Times New Roman" w:hAnsi="Times New Roman"/>
          <w:color w:val="000000"/>
          <w:szCs w:val="32"/>
        </w:rPr>
        <w:lastRenderedPageBreak/>
        <w:t>为财务性投资的依据是否充分，最近一期末是否持有金额较大的财务性投资（包括类金融业务）；结合发行人持有私募基金等产品的实际投入时点，说明自本次发行董事会决议日前六个月至今，发行人新投入或拟投入的财务性投资及类金融业务的具体情况；结合前述情形，说明是否符合《证券期货法律适用意见第</w:t>
      </w:r>
      <w:r>
        <w:rPr>
          <w:rFonts w:ascii="Times New Roman" w:hAnsi="Times New Roman"/>
          <w:color w:val="000000"/>
          <w:szCs w:val="32"/>
        </w:rPr>
        <w:t>18</w:t>
      </w:r>
      <w:r>
        <w:rPr>
          <w:rFonts w:ascii="Times New Roman" w:hAnsi="Times New Roman"/>
          <w:color w:val="000000"/>
          <w:szCs w:val="32"/>
        </w:rPr>
        <w:t>号》以及最新监管要求，是否涉及调减的情形。</w:t>
      </w:r>
    </w:p>
    <w:p w14:paraId="503459C1" w14:textId="77777777" w:rsidR="008D76D6" w:rsidRDefault="008D76D6">
      <w:pPr>
        <w:topLinePunct/>
        <w:adjustRightInd w:val="0"/>
        <w:snapToGrid w:val="0"/>
        <w:spacing w:before="120" w:after="120"/>
        <w:ind w:firstLine="480"/>
        <w:rPr>
          <w:rFonts w:ascii="Times New Roman" w:hAnsi="Times New Roman"/>
          <w:color w:val="000000"/>
          <w:szCs w:val="32"/>
        </w:rPr>
      </w:pPr>
      <w:r>
        <w:rPr>
          <w:rFonts w:ascii="Times New Roman" w:hAnsi="Times New Roman"/>
          <w:color w:val="000000"/>
          <w:szCs w:val="32"/>
        </w:rPr>
        <w:t>请发行人补充披露（</w:t>
      </w:r>
      <w:r>
        <w:rPr>
          <w:rFonts w:ascii="Times New Roman" w:hAnsi="Times New Roman"/>
          <w:color w:val="000000"/>
          <w:szCs w:val="32"/>
        </w:rPr>
        <w:t>1</w:t>
      </w:r>
      <w:r>
        <w:rPr>
          <w:rFonts w:ascii="Times New Roman" w:hAnsi="Times New Roman"/>
          <w:color w:val="000000"/>
          <w:szCs w:val="32"/>
        </w:rPr>
        <w:t>）</w:t>
      </w:r>
      <w:r>
        <w:rPr>
          <w:rFonts w:ascii="Times New Roman" w:hAnsi="Times New Roman"/>
          <w:color w:val="000000"/>
          <w:szCs w:val="32"/>
        </w:rPr>
        <w:t>-</w:t>
      </w:r>
      <w:r>
        <w:rPr>
          <w:rFonts w:ascii="Times New Roman" w:hAnsi="Times New Roman"/>
          <w:color w:val="000000"/>
          <w:szCs w:val="32"/>
        </w:rPr>
        <w:t>（</w:t>
      </w:r>
      <w:r>
        <w:rPr>
          <w:rFonts w:ascii="Times New Roman" w:hAnsi="Times New Roman"/>
          <w:color w:val="000000"/>
          <w:szCs w:val="32"/>
        </w:rPr>
        <w:t>6</w:t>
      </w:r>
      <w:r>
        <w:rPr>
          <w:rFonts w:ascii="Times New Roman" w:hAnsi="Times New Roman"/>
          <w:color w:val="000000"/>
          <w:szCs w:val="32"/>
        </w:rPr>
        <w:t>）相关风险。</w:t>
      </w:r>
    </w:p>
    <w:p w14:paraId="03640F44" w14:textId="77777777" w:rsidR="008D76D6" w:rsidRDefault="008D76D6">
      <w:pPr>
        <w:topLinePunct/>
        <w:adjustRightInd w:val="0"/>
        <w:snapToGrid w:val="0"/>
        <w:spacing w:before="120" w:after="120"/>
        <w:ind w:firstLine="480"/>
        <w:rPr>
          <w:rFonts w:ascii="Times New Roman" w:hAnsi="Times New Roman"/>
          <w:color w:val="000000"/>
          <w:szCs w:val="32"/>
        </w:rPr>
      </w:pPr>
      <w:r>
        <w:rPr>
          <w:rFonts w:ascii="Times New Roman" w:hAnsi="Times New Roman"/>
          <w:color w:val="000000"/>
          <w:szCs w:val="32"/>
        </w:rPr>
        <w:t>请保荐人和会计师核查并发表明确意见，请发行人律师核查（</w:t>
      </w:r>
      <w:r>
        <w:rPr>
          <w:rFonts w:ascii="Times New Roman" w:hAnsi="Times New Roman"/>
          <w:color w:val="000000"/>
          <w:szCs w:val="32"/>
        </w:rPr>
        <w:t>3</w:t>
      </w:r>
      <w:r>
        <w:rPr>
          <w:rFonts w:ascii="Times New Roman" w:hAnsi="Times New Roman"/>
          <w:color w:val="000000"/>
          <w:szCs w:val="32"/>
        </w:rPr>
        <w:t>）</w:t>
      </w:r>
      <w:r>
        <w:rPr>
          <w:rFonts w:ascii="Times New Roman" w:hAnsi="Times New Roman"/>
          <w:color w:val="000000"/>
          <w:szCs w:val="32"/>
        </w:rPr>
        <w:t>-</w:t>
      </w:r>
      <w:r>
        <w:rPr>
          <w:rFonts w:ascii="Times New Roman" w:hAnsi="Times New Roman"/>
          <w:color w:val="000000"/>
          <w:szCs w:val="32"/>
        </w:rPr>
        <w:t>（</w:t>
      </w:r>
      <w:r>
        <w:rPr>
          <w:rFonts w:ascii="Times New Roman" w:hAnsi="Times New Roman"/>
          <w:color w:val="000000"/>
          <w:szCs w:val="32"/>
        </w:rPr>
        <w:t>8</w:t>
      </w:r>
      <w:r>
        <w:rPr>
          <w:rFonts w:ascii="Times New Roman" w:hAnsi="Times New Roman"/>
          <w:color w:val="000000"/>
          <w:szCs w:val="32"/>
        </w:rPr>
        <w:t>）并发表明确意见。</w:t>
      </w:r>
    </w:p>
    <w:p w14:paraId="30AA687D" w14:textId="77777777" w:rsidR="008D76D6" w:rsidRDefault="008D76D6">
      <w:pPr>
        <w:spacing w:before="120" w:after="120"/>
        <w:ind w:firstLine="482"/>
        <w:rPr>
          <w:rFonts w:ascii="Times New Roman" w:hAnsi="Times New Roman"/>
          <w:b/>
          <w:szCs w:val="24"/>
        </w:rPr>
      </w:pPr>
      <w:r>
        <w:rPr>
          <w:rFonts w:ascii="Times New Roman" w:hAnsi="Times New Roman"/>
          <w:b/>
          <w:szCs w:val="24"/>
        </w:rPr>
        <w:t>回复：</w:t>
      </w:r>
    </w:p>
    <w:p w14:paraId="14775383" w14:textId="77777777" w:rsidR="008D76D6" w:rsidRPr="00B434D2" w:rsidRDefault="008D76D6" w:rsidP="00B434D2">
      <w:pPr>
        <w:pStyle w:val="003"/>
        <w:spacing w:before="120" w:after="120"/>
        <w:ind w:firstLine="482"/>
      </w:pPr>
      <w:r w:rsidRPr="00B434D2">
        <w:rPr>
          <w:rFonts w:hint="eastAsia"/>
        </w:rPr>
        <w:t>一、</w:t>
      </w:r>
      <w:r w:rsidRPr="00B434D2">
        <w:t>发行人境外销售占比较大，请说明汇兑损益金额等与境外收入是否匹配</w:t>
      </w:r>
      <w:r w:rsidRPr="00B434D2">
        <w:rPr>
          <w:rFonts w:hint="eastAsia"/>
        </w:rPr>
        <w:t>，是否符合有关进出口政策，是否存在国际贸易摩擦、汇率波动等方面的风险及对公司生产经营、募投项目实施和汇兑损益的影响。</w:t>
      </w:r>
    </w:p>
    <w:p w14:paraId="40CB82BC" w14:textId="77777777" w:rsidR="008D76D6" w:rsidRDefault="008D76D6" w:rsidP="00B434D2">
      <w:pPr>
        <w:pStyle w:val="004"/>
        <w:spacing w:before="120" w:after="120"/>
        <w:ind w:firstLine="482"/>
      </w:pPr>
      <w:r>
        <w:t>（一）汇兑损益金额等与境外收入是否匹配</w:t>
      </w:r>
    </w:p>
    <w:p w14:paraId="5A633E56" w14:textId="77777777" w:rsidR="008D76D6" w:rsidRDefault="008D76D6">
      <w:pPr>
        <w:spacing w:before="120" w:after="120"/>
        <w:ind w:firstLine="480"/>
      </w:pPr>
      <w:r>
        <w:t>报告期内，公司汇兑损益与境外收入情况如下：</w:t>
      </w:r>
    </w:p>
    <w:p w14:paraId="2C5B537E" w14:textId="77777777" w:rsidR="008D76D6" w:rsidRDefault="008D76D6" w:rsidP="00B434D2">
      <w:pPr>
        <w:spacing w:beforeLines="0" w:before="0" w:afterLines="0" w:after="0" w:line="240" w:lineRule="auto"/>
        <w:ind w:firstLine="420"/>
        <w:jc w:val="right"/>
        <w:rPr>
          <w:sz w:val="21"/>
        </w:rPr>
      </w:pPr>
      <w:r>
        <w:rPr>
          <w:sz w:val="21"/>
        </w:rPr>
        <w:t>单位：万元</w:t>
      </w:r>
    </w:p>
    <w:tbl>
      <w:tblPr>
        <w:tblW w:w="5000" w:type="pct"/>
        <w:tblInd w:w="123" w:type="dxa"/>
        <w:tblBorders>
          <w:top w:val="single" w:sz="6" w:space="0" w:color="010000"/>
          <w:left w:val="single" w:sz="6" w:space="0" w:color="010000"/>
          <w:bottom w:val="single" w:sz="6" w:space="0" w:color="010000"/>
          <w:right w:val="single" w:sz="6" w:space="0" w:color="010000"/>
          <w:insideH w:val="single" w:sz="6" w:space="0" w:color="010000"/>
          <w:insideV w:val="single" w:sz="6" w:space="0" w:color="010000"/>
        </w:tblBorders>
        <w:tblLook w:val="0000" w:firstRow="0" w:lastRow="0" w:firstColumn="0" w:lastColumn="0" w:noHBand="0" w:noVBand="0"/>
      </w:tblPr>
      <w:tblGrid>
        <w:gridCol w:w="3431"/>
        <w:gridCol w:w="1730"/>
        <w:gridCol w:w="1283"/>
        <w:gridCol w:w="1283"/>
        <w:gridCol w:w="1283"/>
      </w:tblGrid>
      <w:tr w:rsidR="008D76D6" w14:paraId="07E70720" w14:textId="77777777">
        <w:trPr>
          <w:cantSplit/>
          <w:trHeight w:val="397"/>
          <w:tblHeader/>
        </w:trPr>
        <w:tc>
          <w:tcPr>
            <w:tcW w:w="1904" w:type="pct"/>
            <w:shd w:val="clear" w:color="auto" w:fill="D9D9D9"/>
            <w:vAlign w:val="center"/>
          </w:tcPr>
          <w:p w14:paraId="469ED1FA" w14:textId="77777777" w:rsidR="008D76D6" w:rsidRDefault="008D76D6" w:rsidP="008C4ED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项目</w:t>
            </w:r>
          </w:p>
        </w:tc>
        <w:tc>
          <w:tcPr>
            <w:tcW w:w="960" w:type="pct"/>
            <w:shd w:val="clear" w:color="auto" w:fill="D9D9D9"/>
            <w:vAlign w:val="center"/>
          </w:tcPr>
          <w:p w14:paraId="55EA4F6B" w14:textId="77777777" w:rsidR="008D76D6" w:rsidRDefault="008D76D6" w:rsidP="008C4ED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2023</w:t>
            </w:r>
            <w:r>
              <w:rPr>
                <w:rFonts w:ascii="Times New Roman" w:hAnsi="Times New Roman"/>
                <w:b/>
                <w:color w:val="000000"/>
                <w:sz w:val="21"/>
              </w:rPr>
              <w:t>年</w:t>
            </w:r>
            <w:r>
              <w:rPr>
                <w:rFonts w:ascii="Times New Roman" w:hAnsi="Times New Roman"/>
                <w:b/>
                <w:color w:val="000000"/>
                <w:sz w:val="21"/>
              </w:rPr>
              <w:t>1-9</w:t>
            </w:r>
            <w:r>
              <w:rPr>
                <w:rFonts w:ascii="Times New Roman" w:hAnsi="Times New Roman"/>
                <w:b/>
                <w:color w:val="000000"/>
                <w:sz w:val="21"/>
              </w:rPr>
              <w:t>月</w:t>
            </w:r>
          </w:p>
        </w:tc>
        <w:tc>
          <w:tcPr>
            <w:tcW w:w="712" w:type="pct"/>
            <w:shd w:val="clear" w:color="auto" w:fill="D9D9D9"/>
            <w:vAlign w:val="center"/>
          </w:tcPr>
          <w:p w14:paraId="18F58F6B" w14:textId="77777777" w:rsidR="008D76D6" w:rsidRDefault="008D76D6" w:rsidP="008C4ED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2022</w:t>
            </w:r>
            <w:r>
              <w:rPr>
                <w:rFonts w:ascii="Times New Roman" w:hAnsi="Times New Roman"/>
                <w:b/>
                <w:color w:val="000000"/>
                <w:sz w:val="21"/>
              </w:rPr>
              <w:t>年度</w:t>
            </w:r>
          </w:p>
        </w:tc>
        <w:tc>
          <w:tcPr>
            <w:tcW w:w="712" w:type="pct"/>
            <w:shd w:val="clear" w:color="auto" w:fill="D9D9D9"/>
            <w:vAlign w:val="center"/>
          </w:tcPr>
          <w:p w14:paraId="1F8BC3A8" w14:textId="77777777" w:rsidR="008D76D6" w:rsidRDefault="008D76D6" w:rsidP="008C4ED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2021</w:t>
            </w:r>
            <w:r>
              <w:rPr>
                <w:rFonts w:ascii="Times New Roman" w:hAnsi="Times New Roman"/>
                <w:b/>
                <w:color w:val="000000"/>
                <w:sz w:val="21"/>
              </w:rPr>
              <w:t>年度</w:t>
            </w:r>
          </w:p>
        </w:tc>
        <w:tc>
          <w:tcPr>
            <w:tcW w:w="712" w:type="pct"/>
            <w:shd w:val="clear" w:color="auto" w:fill="D9D9D9"/>
            <w:vAlign w:val="center"/>
          </w:tcPr>
          <w:p w14:paraId="4FDDB7F5" w14:textId="77777777" w:rsidR="008D76D6" w:rsidRDefault="008D76D6" w:rsidP="008C4ED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2020</w:t>
            </w:r>
            <w:r>
              <w:rPr>
                <w:rFonts w:ascii="Times New Roman" w:hAnsi="Times New Roman"/>
                <w:b/>
                <w:color w:val="000000"/>
                <w:sz w:val="21"/>
              </w:rPr>
              <w:t>年度</w:t>
            </w:r>
          </w:p>
        </w:tc>
      </w:tr>
      <w:tr w:rsidR="008D76D6" w14:paraId="281F669C" w14:textId="77777777">
        <w:trPr>
          <w:cantSplit/>
          <w:trHeight w:val="397"/>
        </w:trPr>
        <w:tc>
          <w:tcPr>
            <w:tcW w:w="1904" w:type="pct"/>
            <w:vAlign w:val="center"/>
          </w:tcPr>
          <w:p w14:paraId="4509174A" w14:textId="77777777" w:rsidR="008D76D6" w:rsidRDefault="008D76D6" w:rsidP="008C4EDC">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境外销售收入（人民币）</w:t>
            </w:r>
          </w:p>
        </w:tc>
        <w:tc>
          <w:tcPr>
            <w:tcW w:w="960" w:type="pct"/>
            <w:vAlign w:val="center"/>
          </w:tcPr>
          <w:p w14:paraId="08CF425C"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32,056.10</w:t>
            </w:r>
          </w:p>
        </w:tc>
        <w:tc>
          <w:tcPr>
            <w:tcW w:w="712" w:type="pct"/>
            <w:vAlign w:val="center"/>
          </w:tcPr>
          <w:p w14:paraId="12317A0C"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45,118.28</w:t>
            </w:r>
          </w:p>
        </w:tc>
        <w:tc>
          <w:tcPr>
            <w:tcW w:w="712" w:type="pct"/>
            <w:vAlign w:val="center"/>
          </w:tcPr>
          <w:p w14:paraId="0F23E1CC"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31,275.26</w:t>
            </w:r>
          </w:p>
        </w:tc>
        <w:tc>
          <w:tcPr>
            <w:tcW w:w="712" w:type="pct"/>
            <w:vAlign w:val="center"/>
          </w:tcPr>
          <w:p w14:paraId="6E9A14DD"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27,604.16</w:t>
            </w:r>
          </w:p>
        </w:tc>
      </w:tr>
      <w:tr w:rsidR="008D76D6" w14:paraId="601C04C2" w14:textId="77777777">
        <w:trPr>
          <w:cantSplit/>
          <w:trHeight w:val="397"/>
        </w:trPr>
        <w:tc>
          <w:tcPr>
            <w:tcW w:w="1904" w:type="pct"/>
            <w:vAlign w:val="center"/>
          </w:tcPr>
          <w:p w14:paraId="57B0401E" w14:textId="77777777" w:rsidR="008D76D6" w:rsidRDefault="008D76D6" w:rsidP="008C4EDC">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以美元结算的外币销售额（美元）</w:t>
            </w:r>
          </w:p>
        </w:tc>
        <w:tc>
          <w:tcPr>
            <w:tcW w:w="960" w:type="pct"/>
            <w:vAlign w:val="center"/>
          </w:tcPr>
          <w:p w14:paraId="1F98A9C0"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4,557.52</w:t>
            </w:r>
          </w:p>
        </w:tc>
        <w:tc>
          <w:tcPr>
            <w:tcW w:w="712" w:type="pct"/>
            <w:vAlign w:val="center"/>
          </w:tcPr>
          <w:p w14:paraId="3EB4DEFA"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6,696.74</w:t>
            </w:r>
          </w:p>
        </w:tc>
        <w:tc>
          <w:tcPr>
            <w:tcW w:w="712" w:type="pct"/>
            <w:vAlign w:val="center"/>
          </w:tcPr>
          <w:p w14:paraId="3BDAE77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4,827.70</w:t>
            </w:r>
          </w:p>
        </w:tc>
        <w:tc>
          <w:tcPr>
            <w:tcW w:w="712" w:type="pct"/>
            <w:vAlign w:val="center"/>
          </w:tcPr>
          <w:p w14:paraId="57EDFD52"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3,948.50</w:t>
            </w:r>
          </w:p>
        </w:tc>
      </w:tr>
      <w:tr w:rsidR="008D76D6" w14:paraId="38F543C0" w14:textId="77777777" w:rsidTr="008C4EDC">
        <w:trPr>
          <w:cantSplit/>
          <w:trHeight w:val="397"/>
        </w:trPr>
        <w:tc>
          <w:tcPr>
            <w:tcW w:w="1904" w:type="pct"/>
            <w:vAlign w:val="center"/>
          </w:tcPr>
          <w:p w14:paraId="2DEF7BBE" w14:textId="77777777" w:rsidR="008D76D6" w:rsidRDefault="008D76D6" w:rsidP="004C117E">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以欧元结算的外币销售额（欧元）</w:t>
            </w:r>
          </w:p>
        </w:tc>
        <w:tc>
          <w:tcPr>
            <w:tcW w:w="960" w:type="pct"/>
            <w:vAlign w:val="center"/>
          </w:tcPr>
          <w:p w14:paraId="576AE5C3" w14:textId="77777777" w:rsidR="008D76D6" w:rsidRDefault="008D76D6" w:rsidP="004C117E">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5.35</w:t>
            </w:r>
          </w:p>
        </w:tc>
        <w:tc>
          <w:tcPr>
            <w:tcW w:w="712" w:type="pct"/>
            <w:vAlign w:val="center"/>
          </w:tcPr>
          <w:p w14:paraId="3AFD5D74" w14:textId="77777777" w:rsidR="008D76D6" w:rsidRDefault="008D76D6" w:rsidP="004C117E">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20.29</w:t>
            </w:r>
          </w:p>
        </w:tc>
        <w:tc>
          <w:tcPr>
            <w:tcW w:w="712" w:type="pct"/>
            <w:vAlign w:val="center"/>
          </w:tcPr>
          <w:p w14:paraId="24F70F66" w14:textId="77777777" w:rsidR="008D76D6" w:rsidRDefault="008D76D6" w:rsidP="004C117E">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9.90</w:t>
            </w:r>
          </w:p>
        </w:tc>
        <w:tc>
          <w:tcPr>
            <w:tcW w:w="712" w:type="pct"/>
            <w:vAlign w:val="center"/>
          </w:tcPr>
          <w:p w14:paraId="351670E1" w14:textId="77777777" w:rsidR="008D76D6" w:rsidRDefault="008D76D6" w:rsidP="004C117E">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11.93</w:t>
            </w:r>
          </w:p>
        </w:tc>
      </w:tr>
      <w:tr w:rsidR="008D76D6" w14:paraId="6295BDF0" w14:textId="77777777">
        <w:trPr>
          <w:cantSplit/>
          <w:trHeight w:val="397"/>
        </w:trPr>
        <w:tc>
          <w:tcPr>
            <w:tcW w:w="1904" w:type="pct"/>
            <w:vAlign w:val="center"/>
          </w:tcPr>
          <w:p w14:paraId="3434F8B0" w14:textId="77777777" w:rsidR="008D76D6" w:rsidRDefault="008D76D6" w:rsidP="008C4EDC">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汇兑损益（收益以负数列示）</w:t>
            </w:r>
          </w:p>
        </w:tc>
        <w:tc>
          <w:tcPr>
            <w:tcW w:w="960" w:type="pct"/>
            <w:vAlign w:val="center"/>
          </w:tcPr>
          <w:p w14:paraId="6F354CE7"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-250.47</w:t>
            </w:r>
          </w:p>
        </w:tc>
        <w:tc>
          <w:tcPr>
            <w:tcW w:w="712" w:type="pct"/>
            <w:vAlign w:val="center"/>
          </w:tcPr>
          <w:p w14:paraId="6AD4395E"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-832.82</w:t>
            </w:r>
          </w:p>
        </w:tc>
        <w:tc>
          <w:tcPr>
            <w:tcW w:w="712" w:type="pct"/>
            <w:vAlign w:val="center"/>
          </w:tcPr>
          <w:p w14:paraId="6AA9CA4D"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139.16</w:t>
            </w:r>
          </w:p>
        </w:tc>
        <w:tc>
          <w:tcPr>
            <w:tcW w:w="712" w:type="pct"/>
            <w:vAlign w:val="center"/>
          </w:tcPr>
          <w:p w14:paraId="0EC2CF42"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124.06</w:t>
            </w:r>
          </w:p>
        </w:tc>
      </w:tr>
      <w:tr w:rsidR="008D76D6" w14:paraId="54ACB3DA" w14:textId="77777777">
        <w:trPr>
          <w:cantSplit/>
          <w:trHeight w:val="397"/>
        </w:trPr>
        <w:tc>
          <w:tcPr>
            <w:tcW w:w="1904" w:type="pct"/>
            <w:vAlign w:val="center"/>
          </w:tcPr>
          <w:p w14:paraId="25A48B69" w14:textId="77777777" w:rsidR="008D76D6" w:rsidRDefault="008D76D6" w:rsidP="008C4EDC">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汇兑损益</w:t>
            </w:r>
            <w:r>
              <w:rPr>
                <w:rFonts w:ascii="Times New Roman" w:hAnsi="Times New Roman"/>
                <w:color w:val="000000"/>
                <w:sz w:val="21"/>
              </w:rPr>
              <w:t>/</w:t>
            </w:r>
            <w:r>
              <w:rPr>
                <w:rFonts w:ascii="Times New Roman" w:hAnsi="Times New Roman"/>
                <w:color w:val="000000"/>
                <w:sz w:val="21"/>
              </w:rPr>
              <w:t>境外销售收入</w:t>
            </w:r>
          </w:p>
        </w:tc>
        <w:tc>
          <w:tcPr>
            <w:tcW w:w="960" w:type="pct"/>
            <w:vAlign w:val="center"/>
          </w:tcPr>
          <w:p w14:paraId="34851236"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-0.78%</w:t>
            </w:r>
          </w:p>
        </w:tc>
        <w:tc>
          <w:tcPr>
            <w:tcW w:w="712" w:type="pct"/>
            <w:vAlign w:val="center"/>
          </w:tcPr>
          <w:p w14:paraId="70187E00"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-1.85%</w:t>
            </w:r>
          </w:p>
        </w:tc>
        <w:tc>
          <w:tcPr>
            <w:tcW w:w="712" w:type="pct"/>
            <w:vAlign w:val="center"/>
          </w:tcPr>
          <w:p w14:paraId="76A6C4C7"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0.44%</w:t>
            </w:r>
          </w:p>
        </w:tc>
        <w:tc>
          <w:tcPr>
            <w:tcW w:w="712" w:type="pct"/>
            <w:vAlign w:val="center"/>
          </w:tcPr>
          <w:p w14:paraId="76D7ED04"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0.45%</w:t>
            </w:r>
          </w:p>
        </w:tc>
      </w:tr>
      <w:tr w:rsidR="008D76D6" w14:paraId="54E8894D" w14:textId="77777777">
        <w:trPr>
          <w:cantSplit/>
          <w:trHeight w:val="397"/>
        </w:trPr>
        <w:tc>
          <w:tcPr>
            <w:tcW w:w="1904" w:type="pct"/>
            <w:vAlign w:val="center"/>
          </w:tcPr>
          <w:p w14:paraId="007CA6B7" w14:textId="77777777" w:rsidR="008D76D6" w:rsidRDefault="008D76D6" w:rsidP="008C4EDC">
            <w:pPr>
              <w:spacing w:beforeLines="0" w:before="0" w:afterLines="0" w:after="0" w:line="240" w:lineRule="auto"/>
              <w:ind w:firstLineChars="0" w:firstLine="0"/>
              <w:rPr>
                <w:rFonts w:ascii="Times New Roman" w:hAnsi="Times New Roman"/>
                <w:color w:val="000000"/>
                <w:sz w:val="21"/>
                <w:szCs w:val="18"/>
              </w:rPr>
            </w:pPr>
            <w:r>
              <w:rPr>
                <w:rFonts w:ascii="Times New Roman" w:hAnsi="Times New Roman"/>
                <w:color w:val="000000"/>
                <w:sz w:val="21"/>
                <w:szCs w:val="18"/>
              </w:rPr>
              <w:t>当期期末汇率（</w:t>
            </w:r>
            <w:r>
              <w:rPr>
                <w:rFonts w:ascii="Times New Roman" w:hAnsi="Times New Roman"/>
                <w:color w:val="000000"/>
                <w:sz w:val="21"/>
                <w:szCs w:val="18"/>
              </w:rPr>
              <w:t>US/CNY</w:t>
            </w:r>
            <w:r>
              <w:rPr>
                <w:rFonts w:ascii="Times New Roman" w:hAnsi="Times New Roman"/>
                <w:color w:val="000000"/>
                <w:sz w:val="21"/>
                <w:szCs w:val="18"/>
              </w:rPr>
              <w:t>）</w:t>
            </w:r>
          </w:p>
        </w:tc>
        <w:tc>
          <w:tcPr>
            <w:tcW w:w="960" w:type="pct"/>
            <w:vAlign w:val="center"/>
          </w:tcPr>
          <w:p w14:paraId="491458E7"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szCs w:val="18"/>
              </w:rPr>
            </w:pPr>
            <w:r>
              <w:rPr>
                <w:rFonts w:ascii="Times New Roman" w:hAnsi="Times New Roman"/>
                <w:color w:val="000000"/>
                <w:sz w:val="21"/>
                <w:szCs w:val="18"/>
              </w:rPr>
              <w:t>7.1798</w:t>
            </w:r>
          </w:p>
        </w:tc>
        <w:tc>
          <w:tcPr>
            <w:tcW w:w="712" w:type="pct"/>
            <w:vAlign w:val="center"/>
          </w:tcPr>
          <w:p w14:paraId="2CA36605"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szCs w:val="18"/>
              </w:rPr>
            </w:pPr>
            <w:r>
              <w:rPr>
                <w:rFonts w:ascii="Times New Roman" w:hAnsi="Times New Roman"/>
                <w:color w:val="000000"/>
                <w:sz w:val="21"/>
                <w:szCs w:val="18"/>
              </w:rPr>
              <w:t>6.9646</w:t>
            </w:r>
          </w:p>
        </w:tc>
        <w:tc>
          <w:tcPr>
            <w:tcW w:w="712" w:type="pct"/>
            <w:vAlign w:val="center"/>
          </w:tcPr>
          <w:p w14:paraId="138D936E"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szCs w:val="18"/>
              </w:rPr>
            </w:pPr>
            <w:r>
              <w:rPr>
                <w:rFonts w:ascii="Times New Roman" w:hAnsi="Times New Roman"/>
                <w:color w:val="000000"/>
                <w:sz w:val="21"/>
                <w:szCs w:val="18"/>
              </w:rPr>
              <w:t>6.3757</w:t>
            </w:r>
          </w:p>
        </w:tc>
        <w:tc>
          <w:tcPr>
            <w:tcW w:w="712" w:type="pct"/>
            <w:vAlign w:val="center"/>
          </w:tcPr>
          <w:p w14:paraId="395D8C9F"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zCs w:val="18"/>
              </w:rPr>
            </w:pPr>
            <w:r>
              <w:rPr>
                <w:rFonts w:ascii="Times New Roman" w:hAnsi="Times New Roman"/>
                <w:color w:val="000000"/>
                <w:sz w:val="21"/>
                <w:szCs w:val="18"/>
              </w:rPr>
              <w:t>6.5249</w:t>
            </w:r>
          </w:p>
        </w:tc>
      </w:tr>
      <w:tr w:rsidR="008D76D6" w14:paraId="3250E7DF" w14:textId="77777777">
        <w:trPr>
          <w:cantSplit/>
          <w:trHeight w:val="397"/>
        </w:trPr>
        <w:tc>
          <w:tcPr>
            <w:tcW w:w="1904" w:type="pct"/>
            <w:vAlign w:val="center"/>
          </w:tcPr>
          <w:p w14:paraId="77E82B22" w14:textId="77777777" w:rsidR="008D76D6" w:rsidRDefault="008D76D6" w:rsidP="008C4EDC">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汇率变动</w:t>
            </w:r>
          </w:p>
        </w:tc>
        <w:tc>
          <w:tcPr>
            <w:tcW w:w="960" w:type="pct"/>
            <w:vAlign w:val="center"/>
          </w:tcPr>
          <w:p w14:paraId="20CBA13A"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18"/>
              </w:rPr>
              <w:t>3.09%</w:t>
            </w:r>
          </w:p>
        </w:tc>
        <w:tc>
          <w:tcPr>
            <w:tcW w:w="712" w:type="pct"/>
            <w:vAlign w:val="center"/>
          </w:tcPr>
          <w:p w14:paraId="3EF4FADF"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18"/>
              </w:rPr>
              <w:t>9.24%</w:t>
            </w:r>
          </w:p>
        </w:tc>
        <w:tc>
          <w:tcPr>
            <w:tcW w:w="712" w:type="pct"/>
            <w:vAlign w:val="center"/>
          </w:tcPr>
          <w:p w14:paraId="57491DD1"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18"/>
              </w:rPr>
              <w:t>-2.29%</w:t>
            </w:r>
          </w:p>
        </w:tc>
        <w:tc>
          <w:tcPr>
            <w:tcW w:w="712" w:type="pct"/>
            <w:vAlign w:val="center"/>
          </w:tcPr>
          <w:p w14:paraId="2B09CED7" w14:textId="77777777" w:rsidR="008D76D6" w:rsidRDefault="008D76D6" w:rsidP="008C4ED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18"/>
              </w:rPr>
              <w:t>-6.47%</w:t>
            </w:r>
          </w:p>
        </w:tc>
      </w:tr>
    </w:tbl>
    <w:p w14:paraId="64DC20B7" w14:textId="77777777" w:rsidR="008D76D6" w:rsidRDefault="008D76D6">
      <w:pPr>
        <w:spacing w:before="120" w:after="120"/>
        <w:ind w:firstLine="420"/>
        <w:rPr>
          <w:rFonts w:ascii="宋体" w:hAnsi="宋体"/>
          <w:sz w:val="21"/>
          <w:szCs w:val="21"/>
        </w:rPr>
      </w:pPr>
      <w:r>
        <w:rPr>
          <w:rFonts w:ascii="宋体" w:hAnsi="宋体"/>
          <w:sz w:val="21"/>
          <w:szCs w:val="21"/>
        </w:rPr>
        <w:t>注：由于公司涉及的外币主要以美元为主，上述期末汇率主要指美元对人民币的汇率。公司汇兑损益包括汇兑损失和汇兑收益，人民币贬值产生汇兑收益，人民币升值产生汇兑损失，正数为汇兑损失，负数为汇兑收益。</w:t>
      </w:r>
      <w:r w:rsidR="00521EE9" w:rsidRPr="00521EE9">
        <w:rPr>
          <w:rFonts w:ascii="宋体" w:hAnsi="宋体" w:hint="eastAsia"/>
          <w:sz w:val="21"/>
          <w:szCs w:val="21"/>
        </w:rPr>
        <w:t>汇率变动=(本期期末汇率中间价-上期期末汇率中间价)/上期期末汇率</w:t>
      </w:r>
      <w:r w:rsidR="00521EE9" w:rsidRPr="00521EE9">
        <w:rPr>
          <w:rFonts w:ascii="宋体" w:hAnsi="宋体" w:hint="eastAsia"/>
          <w:sz w:val="21"/>
          <w:szCs w:val="21"/>
        </w:rPr>
        <w:lastRenderedPageBreak/>
        <w:t>中间价</w:t>
      </w:r>
    </w:p>
    <w:p w14:paraId="6BDFE9FD" w14:textId="77777777" w:rsidR="008D76D6" w:rsidRDefault="008D76D6">
      <w:pPr>
        <w:spacing w:before="120" w:after="120"/>
        <w:ind w:firstLine="480"/>
        <w:rPr>
          <w:rFonts w:ascii="Times New Roman" w:hAnsi="Times New Roman"/>
        </w:rPr>
      </w:pPr>
      <w:r>
        <w:rPr>
          <w:rFonts w:ascii="Times New Roman" w:hAnsi="Times New Roman"/>
        </w:rPr>
        <w:t>报告期各期，公司主要以美元作为结算货币，汇兑损益主要为美元兑人民币汇率波动所致，报告期各期汇兑损益分别为</w:t>
      </w:r>
      <w:r>
        <w:rPr>
          <w:rFonts w:ascii="Times New Roman" w:hAnsi="Times New Roman"/>
        </w:rPr>
        <w:t>124.06</w:t>
      </w:r>
      <w:r>
        <w:rPr>
          <w:rFonts w:ascii="Times New Roman" w:hAnsi="Times New Roman"/>
        </w:rPr>
        <w:t>万元、</w:t>
      </w:r>
      <w:r>
        <w:rPr>
          <w:rFonts w:ascii="Times New Roman" w:hAnsi="Times New Roman"/>
        </w:rPr>
        <w:t>139.16</w:t>
      </w:r>
      <w:r>
        <w:rPr>
          <w:rFonts w:ascii="Times New Roman" w:hAnsi="Times New Roman"/>
        </w:rPr>
        <w:t>万元、</w:t>
      </w:r>
      <w:r>
        <w:rPr>
          <w:rFonts w:ascii="Times New Roman" w:hAnsi="Times New Roman"/>
        </w:rPr>
        <w:t>-832.82</w:t>
      </w:r>
      <w:r>
        <w:rPr>
          <w:rFonts w:ascii="Times New Roman" w:hAnsi="Times New Roman"/>
        </w:rPr>
        <w:t>万元、</w:t>
      </w:r>
      <w:r>
        <w:rPr>
          <w:rFonts w:ascii="Times New Roman" w:hAnsi="Times New Roman"/>
        </w:rPr>
        <w:t>-250.47</w:t>
      </w:r>
      <w:r>
        <w:rPr>
          <w:rFonts w:ascii="Times New Roman" w:hAnsi="Times New Roman"/>
        </w:rPr>
        <w:t>万元，占境外销售收入的比例分别为</w:t>
      </w:r>
      <w:r>
        <w:rPr>
          <w:rFonts w:ascii="Times New Roman" w:hAnsi="Times New Roman"/>
        </w:rPr>
        <w:t>0.45%</w:t>
      </w:r>
      <w:r>
        <w:rPr>
          <w:rFonts w:ascii="Times New Roman" w:hAnsi="Times New Roman"/>
        </w:rPr>
        <w:t>、</w:t>
      </w:r>
      <w:r>
        <w:rPr>
          <w:rFonts w:ascii="Times New Roman" w:hAnsi="Times New Roman"/>
        </w:rPr>
        <w:t>0.44%</w:t>
      </w:r>
      <w:r>
        <w:rPr>
          <w:rFonts w:ascii="Times New Roman" w:hAnsi="Times New Roman"/>
        </w:rPr>
        <w:t>、</w:t>
      </w:r>
      <w:r>
        <w:rPr>
          <w:rFonts w:ascii="Times New Roman" w:hAnsi="Times New Roman"/>
        </w:rPr>
        <w:t>-1.85%</w:t>
      </w:r>
      <w:r>
        <w:rPr>
          <w:rFonts w:ascii="Times New Roman" w:hAnsi="Times New Roman"/>
        </w:rPr>
        <w:t>、</w:t>
      </w:r>
      <w:r>
        <w:rPr>
          <w:rFonts w:ascii="Times New Roman" w:hAnsi="Times New Roman"/>
        </w:rPr>
        <w:t>-0.78%</w:t>
      </w:r>
      <w:r>
        <w:rPr>
          <w:rFonts w:ascii="Times New Roman" w:hAnsi="Times New Roman"/>
        </w:rPr>
        <w:t>。由上表可见，报告期内公司境外销售收入人民币及外币金额均在持续增长，但是报告期内既有汇兑收益也有汇兑损失。对其分析如下：</w:t>
      </w:r>
    </w:p>
    <w:p w14:paraId="08208321" w14:textId="77777777" w:rsidR="008D76D6" w:rsidRDefault="008D76D6">
      <w:pPr>
        <w:spacing w:before="120" w:after="120"/>
        <w:ind w:firstLine="480"/>
        <w:rPr>
          <w:rFonts w:ascii="Times New Roman" w:hAnsi="Times New Roman"/>
        </w:rPr>
      </w:pPr>
      <w:r>
        <w:rPr>
          <w:rFonts w:ascii="Times New Roman" w:hAnsi="Times New Roman"/>
        </w:rPr>
        <w:t>报告期内，美元兑人民币汇率中间价波动情况如下图所示：</w:t>
      </w:r>
    </w:p>
    <w:p w14:paraId="625331F9" w14:textId="347EB1B5" w:rsidR="008D76D6" w:rsidRDefault="00B42FC7">
      <w:pPr>
        <w:spacing w:before="120" w:after="120"/>
        <w:ind w:firstLine="420"/>
        <w:rPr>
          <w:rFonts w:hint="eastAsia"/>
        </w:rPr>
      </w:pPr>
      <w:r>
        <w:rPr>
          <w:noProof/>
          <w:sz w:val="21"/>
          <w:lang w:val="en-US" w:eastAsia="zh-CN"/>
        </w:rPr>
        <w:drawing>
          <wp:inline distT="0" distB="0" distL="0" distR="0" wp14:anchorId="0EA8AD47" wp14:editId="61FCA625">
            <wp:extent cx="5271770" cy="2289810"/>
            <wp:effectExtent l="0" t="0" r="0" b="0"/>
            <wp:docPr id="1505751897" name="图片 514024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40243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1770" cy="2289810"/>
                    </a:xfrm>
                    <a:prstGeom prst="rect">
                      <a:avLst/>
                    </a:prstGeom>
                    <a:noFill/>
                    <a:ln>
                      <a:noFill/>
                    </a:ln>
                  </pic:spPr>
                </pic:pic>
              </a:graphicData>
            </a:graphic>
          </wp:inline>
        </w:drawing>
      </w:r>
    </w:p>
    <w:p w14:paraId="2CB10502" w14:textId="77777777" w:rsidR="008D76D6" w:rsidRDefault="008D76D6">
      <w:pPr>
        <w:spacing w:before="120" w:after="120"/>
        <w:ind w:firstLine="420"/>
        <w:rPr>
          <w:rFonts w:ascii="Times New Roman" w:hAnsi="Times New Roman"/>
          <w:sz w:val="21"/>
          <w:szCs w:val="20"/>
        </w:rPr>
      </w:pPr>
      <w:r>
        <w:rPr>
          <w:rFonts w:ascii="Times New Roman" w:hAnsi="Times New Roman"/>
          <w:sz w:val="21"/>
          <w:szCs w:val="20"/>
        </w:rPr>
        <w:t>数据来源：</w:t>
      </w:r>
      <w:r>
        <w:rPr>
          <w:rFonts w:ascii="Times New Roman" w:hAnsi="Times New Roman"/>
          <w:sz w:val="21"/>
          <w:szCs w:val="20"/>
        </w:rPr>
        <w:t>www.chinamoney.com.cn</w:t>
      </w:r>
    </w:p>
    <w:p w14:paraId="1E19F89E" w14:textId="77777777" w:rsidR="008D76D6" w:rsidRDefault="008D76D6">
      <w:pPr>
        <w:spacing w:before="120" w:after="120"/>
        <w:ind w:firstLine="480"/>
        <w:rPr>
          <w:rFonts w:ascii="Times New Roman" w:hAnsi="Times New Roman"/>
        </w:rPr>
      </w:pPr>
      <w:r>
        <w:rPr>
          <w:rFonts w:ascii="Times New Roman" w:hAnsi="Times New Roman"/>
        </w:rPr>
        <w:t>因</w:t>
      </w:r>
      <w:r>
        <w:rPr>
          <w:rFonts w:ascii="Times New Roman" w:hAnsi="Times New Roman"/>
        </w:rPr>
        <w:t>2020</w:t>
      </w:r>
      <w:r>
        <w:rPr>
          <w:rFonts w:ascii="Times New Roman" w:hAnsi="Times New Roman"/>
        </w:rPr>
        <w:t>年美元大幅度贬值，期末汇率较期初汇率变动幅度为</w:t>
      </w:r>
      <w:r>
        <w:rPr>
          <w:rFonts w:ascii="Times New Roman" w:hAnsi="Times New Roman"/>
        </w:rPr>
        <w:t>-6.47%</w:t>
      </w:r>
      <w:r>
        <w:rPr>
          <w:rFonts w:ascii="Times New Roman" w:hAnsi="Times New Roman"/>
        </w:rPr>
        <w:t>，导致公司汇兑损失大幅增加，</w:t>
      </w:r>
      <w:r>
        <w:rPr>
          <w:rFonts w:ascii="Times New Roman" w:hAnsi="Times New Roman"/>
        </w:rPr>
        <w:t>2021</w:t>
      </w:r>
      <w:r>
        <w:rPr>
          <w:rFonts w:ascii="Times New Roman" w:hAnsi="Times New Roman"/>
        </w:rPr>
        <w:t>年美元继续贬值，期末汇率较期初汇率变动幅度为</w:t>
      </w:r>
      <w:r>
        <w:rPr>
          <w:rFonts w:ascii="Times New Roman" w:hAnsi="Times New Roman"/>
        </w:rPr>
        <w:t>-2.29%</w:t>
      </w:r>
      <w:r>
        <w:rPr>
          <w:rFonts w:ascii="Times New Roman" w:hAnsi="Times New Roman"/>
        </w:rPr>
        <w:t>，较</w:t>
      </w:r>
      <w:r>
        <w:rPr>
          <w:rFonts w:ascii="Times New Roman" w:hAnsi="Times New Roman"/>
        </w:rPr>
        <w:t>2020</w:t>
      </w:r>
      <w:r>
        <w:rPr>
          <w:rFonts w:ascii="Times New Roman" w:hAnsi="Times New Roman"/>
        </w:rPr>
        <w:t>年有所下降</w:t>
      </w:r>
      <w:r w:rsidR="00332620">
        <w:rPr>
          <w:rFonts w:ascii="Times New Roman" w:hAnsi="Times New Roman" w:hint="eastAsia"/>
        </w:rPr>
        <w:t>。</w:t>
      </w:r>
      <w:r>
        <w:rPr>
          <w:rFonts w:ascii="Times New Roman" w:hAnsi="Times New Roman"/>
        </w:rPr>
        <w:t>同时，因公司</w:t>
      </w:r>
      <w:r>
        <w:rPr>
          <w:rFonts w:ascii="Times New Roman" w:hAnsi="Times New Roman"/>
        </w:rPr>
        <w:t>2021</w:t>
      </w:r>
      <w:r>
        <w:rPr>
          <w:rFonts w:ascii="Times New Roman" w:hAnsi="Times New Roman"/>
        </w:rPr>
        <w:t>年外销销售收入增加，汇兑损失的金额较</w:t>
      </w:r>
      <w:r>
        <w:rPr>
          <w:rFonts w:ascii="Times New Roman" w:hAnsi="Times New Roman"/>
        </w:rPr>
        <w:t>2020</w:t>
      </w:r>
      <w:r>
        <w:rPr>
          <w:rFonts w:ascii="Times New Roman" w:hAnsi="Times New Roman"/>
        </w:rPr>
        <w:t>年略有上升。因</w:t>
      </w:r>
      <w:r>
        <w:rPr>
          <w:rFonts w:ascii="Times New Roman" w:hAnsi="Times New Roman"/>
        </w:rPr>
        <w:t>2022</w:t>
      </w:r>
      <w:r>
        <w:rPr>
          <w:rFonts w:ascii="Times New Roman" w:hAnsi="Times New Roman"/>
        </w:rPr>
        <w:t>年美元大幅升值，期末汇率较期初汇率变动幅度为</w:t>
      </w:r>
      <w:r>
        <w:rPr>
          <w:rFonts w:ascii="Times New Roman" w:hAnsi="Times New Roman"/>
        </w:rPr>
        <w:t>9.24%</w:t>
      </w:r>
      <w:r>
        <w:rPr>
          <w:rFonts w:ascii="Times New Roman" w:hAnsi="Times New Roman"/>
        </w:rPr>
        <w:t>，导致公司汇兑收益大幅增加；</w:t>
      </w:r>
      <w:r>
        <w:rPr>
          <w:rFonts w:ascii="Times New Roman" w:hAnsi="Times New Roman"/>
        </w:rPr>
        <w:t>2023</w:t>
      </w:r>
      <w:r>
        <w:rPr>
          <w:rFonts w:ascii="Times New Roman" w:hAnsi="Times New Roman"/>
        </w:rPr>
        <w:t>年</w:t>
      </w:r>
      <w:r>
        <w:rPr>
          <w:rFonts w:ascii="Times New Roman" w:hAnsi="Times New Roman"/>
        </w:rPr>
        <w:t>1-9</w:t>
      </w:r>
      <w:r>
        <w:rPr>
          <w:rFonts w:ascii="Times New Roman" w:hAnsi="Times New Roman"/>
        </w:rPr>
        <w:t>月美元稳步升值，期末汇率较期初汇率变动幅度为</w:t>
      </w:r>
      <w:r>
        <w:rPr>
          <w:rFonts w:ascii="Times New Roman" w:hAnsi="Times New Roman"/>
        </w:rPr>
        <w:t>3.09%</w:t>
      </w:r>
      <w:r>
        <w:rPr>
          <w:rFonts w:ascii="Times New Roman" w:hAnsi="Times New Roman"/>
        </w:rPr>
        <w:t>，美元升值幅度较</w:t>
      </w:r>
      <w:r>
        <w:rPr>
          <w:rFonts w:ascii="Times New Roman" w:hAnsi="Times New Roman"/>
        </w:rPr>
        <w:t>2022</w:t>
      </w:r>
      <w:r>
        <w:rPr>
          <w:rFonts w:ascii="Times New Roman" w:hAnsi="Times New Roman"/>
        </w:rPr>
        <w:t>年较小，公司汇兑收益较</w:t>
      </w:r>
      <w:r>
        <w:rPr>
          <w:rFonts w:ascii="Times New Roman" w:hAnsi="Times New Roman"/>
        </w:rPr>
        <w:t>2022</w:t>
      </w:r>
      <w:r>
        <w:rPr>
          <w:rFonts w:ascii="Times New Roman" w:hAnsi="Times New Roman"/>
        </w:rPr>
        <w:t>年下降。</w:t>
      </w:r>
    </w:p>
    <w:p w14:paraId="65638589" w14:textId="77777777" w:rsidR="008D76D6" w:rsidRDefault="008D76D6">
      <w:pPr>
        <w:spacing w:before="120" w:after="120"/>
        <w:ind w:firstLine="480"/>
        <w:rPr>
          <w:rFonts w:ascii="Times New Roman" w:hAnsi="Times New Roman"/>
        </w:rPr>
      </w:pPr>
      <w:r>
        <w:rPr>
          <w:rFonts w:ascii="Times New Roman" w:hAnsi="Times New Roman"/>
        </w:rPr>
        <w:t>公司境外销售主要使用美元结算，公司收入确认时，以该时点的即期汇率的近似汇率折算为记账本位币，同时确认收入和应收账款（或冲减预收款项）。当月收到外币货款并结汇时，以相应银行公布的现汇买入价结汇，因记账汇率与结汇汇率存在差异，相</w:t>
      </w:r>
      <w:r>
        <w:rPr>
          <w:rFonts w:ascii="Times New Roman" w:hAnsi="Times New Roman"/>
        </w:rPr>
        <w:lastRenderedPageBreak/>
        <w:t>应产生汇兑损益；当月未收回外币货款或已收外币货款但未结汇的外币金融资产，于每月末在按月末汇率折算为记账本位币时，会产生汇兑损益。</w:t>
      </w:r>
    </w:p>
    <w:p w14:paraId="3606C531" w14:textId="77777777" w:rsidR="008D76D6" w:rsidRDefault="008D76D6">
      <w:pPr>
        <w:spacing w:before="120" w:after="120"/>
        <w:ind w:firstLine="480"/>
        <w:rPr>
          <w:rFonts w:ascii="Times New Roman" w:hAnsi="Times New Roman"/>
          <w:b/>
        </w:rPr>
      </w:pPr>
      <w:r>
        <w:rPr>
          <w:rFonts w:ascii="Times New Roman" w:hAnsi="Times New Roman"/>
        </w:rPr>
        <w:t>综上</w:t>
      </w:r>
      <w:r>
        <w:rPr>
          <w:rFonts w:ascii="Times New Roman" w:hAnsi="Times New Roman" w:hint="eastAsia"/>
        </w:rPr>
        <w:t>所述，本所律师认为</w:t>
      </w:r>
      <w:r>
        <w:rPr>
          <w:rFonts w:ascii="Times New Roman" w:hAnsi="Times New Roman"/>
        </w:rPr>
        <w:t>，公司汇兑损益的产生与外币金融资产大小及汇率波动有关，并受到应收账款确认时点、收款账期、结汇时点、汇率变动等多种因素的影响，汇兑损益的变动与汇率波动方向一致。</w:t>
      </w:r>
    </w:p>
    <w:p w14:paraId="3CC7BC45" w14:textId="77777777" w:rsidR="008D76D6" w:rsidRDefault="008D76D6" w:rsidP="00B434D2">
      <w:pPr>
        <w:pStyle w:val="004"/>
        <w:spacing w:before="120" w:after="120"/>
        <w:ind w:firstLine="482"/>
      </w:pPr>
      <w:r>
        <w:t>（二）是否符合有关进出口政策，是否存在国际贸易摩擦、汇率波动等方面的风险及对公司生产经营、募投项目实施和汇兑损益的影响</w:t>
      </w:r>
    </w:p>
    <w:p w14:paraId="558E8A3E" w14:textId="77777777" w:rsidR="008D76D6" w:rsidRPr="00B434D2" w:rsidRDefault="008D76D6" w:rsidP="00B434D2">
      <w:pPr>
        <w:spacing w:before="120" w:after="120"/>
        <w:ind w:firstLine="480"/>
        <w:rPr>
          <w:rFonts w:ascii="Times New Roman" w:hAnsi="Times New Roman"/>
        </w:rPr>
      </w:pPr>
      <w:r w:rsidRPr="00B434D2">
        <w:rPr>
          <w:rFonts w:ascii="Times New Roman" w:hAnsi="Times New Roman"/>
        </w:rPr>
        <w:t>1</w:t>
      </w:r>
      <w:r w:rsidRPr="00B434D2">
        <w:rPr>
          <w:rFonts w:ascii="Times New Roman" w:hAnsi="Times New Roman"/>
        </w:rPr>
        <w:t>、是否符合有关进出口政策</w:t>
      </w:r>
    </w:p>
    <w:p w14:paraId="585A4AEF" w14:textId="77777777" w:rsidR="008D76D6" w:rsidRDefault="008D76D6">
      <w:pPr>
        <w:spacing w:before="120" w:after="120"/>
        <w:ind w:firstLine="480"/>
        <w:rPr>
          <w:rFonts w:ascii="Times New Roman" w:hAnsi="Times New Roman"/>
        </w:rPr>
      </w:pPr>
      <w:r>
        <w:rPr>
          <w:rFonts w:ascii="Times New Roman" w:hAnsi="Times New Roman"/>
        </w:rPr>
        <w:t>公司出口产品主要销往欧洲、亚洲、北美洲等境外地区，上述区域的国家多为成熟的市场经济国家，具有健全而稳定的进出口相关政策及法规</w:t>
      </w:r>
      <w:r>
        <w:rPr>
          <w:rFonts w:ascii="Times New Roman" w:hAnsi="Times New Roman" w:hint="eastAsia"/>
        </w:rPr>
        <w:t>，</w:t>
      </w:r>
      <w:r>
        <w:rPr>
          <w:rFonts w:ascii="Times New Roman" w:hAnsi="Times New Roman"/>
        </w:rPr>
        <w:t>对于阀门类进口产品，主要通过产品质量认证的方式进行管理，保证进口产品符合当地质量、环保等要求。</w:t>
      </w:r>
    </w:p>
    <w:p w14:paraId="1AF98792" w14:textId="77777777" w:rsidR="008D76D6" w:rsidRDefault="008D76D6">
      <w:pPr>
        <w:spacing w:before="120" w:after="120"/>
        <w:ind w:firstLine="480"/>
        <w:rPr>
          <w:rFonts w:ascii="Times New Roman" w:hAnsi="Times New Roman"/>
        </w:rPr>
      </w:pPr>
      <w:r>
        <w:rPr>
          <w:rFonts w:ascii="Times New Roman" w:hAnsi="Times New Roman"/>
        </w:rPr>
        <w:t>为应对各个国家和地区的质量认证要求，公司已取得欧盟</w:t>
      </w:r>
      <w:r>
        <w:rPr>
          <w:rFonts w:ascii="Times New Roman" w:hAnsi="Times New Roman"/>
        </w:rPr>
        <w:t>CE</w:t>
      </w:r>
      <w:r>
        <w:rPr>
          <w:rFonts w:ascii="Times New Roman" w:hAnsi="Times New Roman"/>
        </w:rPr>
        <w:t>产品安全认证、英国</w:t>
      </w:r>
      <w:r>
        <w:rPr>
          <w:rFonts w:ascii="Times New Roman" w:hAnsi="Times New Roman"/>
        </w:rPr>
        <w:t>WRAS</w:t>
      </w:r>
      <w:r>
        <w:rPr>
          <w:rFonts w:ascii="Times New Roman" w:hAnsi="Times New Roman"/>
        </w:rPr>
        <w:t>饮用水认证、美国</w:t>
      </w:r>
      <w:r>
        <w:rPr>
          <w:rFonts w:ascii="Times New Roman" w:hAnsi="Times New Roman"/>
        </w:rPr>
        <w:t>UL</w:t>
      </w:r>
      <w:r>
        <w:rPr>
          <w:rFonts w:ascii="Times New Roman" w:hAnsi="Times New Roman"/>
        </w:rPr>
        <w:t>认证、美国</w:t>
      </w:r>
      <w:r>
        <w:rPr>
          <w:rFonts w:ascii="Times New Roman" w:hAnsi="Times New Roman"/>
        </w:rPr>
        <w:t>FM</w:t>
      </w:r>
      <w:r>
        <w:rPr>
          <w:rFonts w:ascii="Times New Roman" w:hAnsi="Times New Roman"/>
        </w:rPr>
        <w:t>认证、美国</w:t>
      </w:r>
      <w:r>
        <w:rPr>
          <w:rFonts w:ascii="Times New Roman" w:hAnsi="Times New Roman"/>
        </w:rPr>
        <w:t>NSF</w:t>
      </w:r>
      <w:r>
        <w:rPr>
          <w:rFonts w:ascii="Times New Roman" w:hAnsi="Times New Roman"/>
        </w:rPr>
        <w:t>认证、澳大利亚</w:t>
      </w:r>
      <w:r>
        <w:rPr>
          <w:rFonts w:ascii="Times New Roman" w:hAnsi="Times New Roman"/>
        </w:rPr>
        <w:t>WaterMark</w:t>
      </w:r>
      <w:r>
        <w:rPr>
          <w:rFonts w:ascii="Times New Roman" w:hAnsi="Times New Roman"/>
        </w:rPr>
        <w:t>认</w:t>
      </w:r>
      <w:r w:rsidR="00332620">
        <w:rPr>
          <w:rFonts w:ascii="Times New Roman" w:hAnsi="Times New Roman" w:hint="eastAsia"/>
        </w:rPr>
        <w:t>、香</w:t>
      </w:r>
      <w:r>
        <w:rPr>
          <w:rFonts w:ascii="Times New Roman" w:hAnsi="Times New Roman"/>
        </w:rPr>
        <w:t>港水务署认证、德国</w:t>
      </w:r>
      <w:r>
        <w:rPr>
          <w:rFonts w:ascii="Times New Roman" w:hAnsi="Times New Roman"/>
        </w:rPr>
        <w:t>VDS</w:t>
      </w:r>
      <w:r>
        <w:rPr>
          <w:rFonts w:ascii="Times New Roman" w:hAnsi="Times New Roman"/>
        </w:rPr>
        <w:t>认证等多项产品质量认证。</w:t>
      </w:r>
    </w:p>
    <w:p w14:paraId="71D2B039" w14:textId="77777777" w:rsidR="008D76D6" w:rsidRDefault="008D76D6" w:rsidP="008A2167">
      <w:pPr>
        <w:spacing w:before="120" w:after="120"/>
        <w:ind w:firstLine="480"/>
        <w:rPr>
          <w:rFonts w:ascii="Times New Roman" w:hAnsi="Times New Roman"/>
        </w:rPr>
      </w:pPr>
      <w:r>
        <w:rPr>
          <w:rFonts w:ascii="Times New Roman" w:hAnsi="Times New Roman"/>
        </w:rPr>
        <w:t>因此，</w:t>
      </w:r>
      <w:r>
        <w:rPr>
          <w:rFonts w:ascii="Times New Roman" w:hAnsi="Times New Roman" w:hint="eastAsia"/>
        </w:rPr>
        <w:t>本所律师认为，</w:t>
      </w:r>
      <w:r>
        <w:rPr>
          <w:rFonts w:ascii="Times New Roman" w:hAnsi="Times New Roman"/>
        </w:rPr>
        <w:t>公司的外销收入均符合各个国家和地区的进出口政策。</w:t>
      </w:r>
    </w:p>
    <w:p w14:paraId="3ABF5FC9" w14:textId="77777777" w:rsidR="008D76D6" w:rsidRPr="00B434D2" w:rsidRDefault="008D76D6" w:rsidP="00B434D2">
      <w:pPr>
        <w:spacing w:before="120" w:after="120"/>
        <w:ind w:firstLine="480"/>
        <w:rPr>
          <w:rFonts w:ascii="Times New Roman" w:hAnsi="Times New Roman"/>
        </w:rPr>
      </w:pPr>
      <w:r w:rsidRPr="00B434D2">
        <w:rPr>
          <w:rFonts w:ascii="Times New Roman" w:hAnsi="Times New Roman"/>
        </w:rPr>
        <w:t>2</w:t>
      </w:r>
      <w:r w:rsidRPr="00B434D2">
        <w:rPr>
          <w:rFonts w:ascii="Times New Roman" w:hAnsi="Times New Roman"/>
        </w:rPr>
        <w:t>、是否存在国际贸易摩擦、汇率波动等方面的风险及对公司生产经营、募投项目实施和汇兑损益的影响</w:t>
      </w:r>
    </w:p>
    <w:p w14:paraId="5ACA7D35" w14:textId="77777777" w:rsidR="008D76D6" w:rsidRDefault="008D76D6" w:rsidP="008A2167">
      <w:pPr>
        <w:spacing w:before="120" w:after="120"/>
        <w:ind w:firstLine="480"/>
      </w:pPr>
      <w:r>
        <w:rPr>
          <w:rFonts w:ascii="Times New Roman" w:hAnsi="Times New Roman"/>
        </w:rPr>
        <w:t>（</w:t>
      </w:r>
      <w:r>
        <w:rPr>
          <w:rFonts w:ascii="Times New Roman" w:hAnsi="Times New Roman"/>
        </w:rPr>
        <w:t>1</w:t>
      </w:r>
      <w:r>
        <w:rPr>
          <w:rFonts w:ascii="Times New Roman" w:hAnsi="Times New Roman"/>
        </w:rPr>
        <w:t>）</w:t>
      </w:r>
      <w:r>
        <w:t>国际贸易摩擦的风险</w:t>
      </w:r>
    </w:p>
    <w:p w14:paraId="25323645" w14:textId="77777777" w:rsidR="008D76D6" w:rsidRDefault="008D76D6" w:rsidP="00B434D2">
      <w:pPr>
        <w:shd w:val="clear" w:color="auto" w:fill="FFFFFF"/>
        <w:spacing w:before="120" w:after="120"/>
        <w:ind w:firstLine="480"/>
      </w:pPr>
      <w:r>
        <w:t>如前所述，国际上涉及阀门的进口政策较为宽松，重大贸易摩擦情况较少发生。但近年来，随着各国经济发展增速的不同变化，各国政府针对进出口贸易的不同类别陆续实施相关贸易保护政策，不排除未来相关国家对阀门的进口贸易政策和产品认证要求等方面发生变化的可能性，进而对公司的经营带来不利影响。</w:t>
      </w:r>
    </w:p>
    <w:p w14:paraId="1258AAA5" w14:textId="77777777" w:rsidR="00B4056E" w:rsidRDefault="008D76D6" w:rsidP="00B4056E">
      <w:pPr>
        <w:pStyle w:val="005"/>
        <w:spacing w:before="120" w:after="120"/>
        <w:ind w:firstLine="480"/>
      </w:pPr>
      <w:r>
        <w:t>目前，公司主要外销国家和地区中，除美国外，对公司产品的进口均未设置特殊的关税政策。公司产品在销往美国时会被额外加征关税，对于公司利润产生一定的影响。</w:t>
      </w:r>
      <w:r>
        <w:lastRenderedPageBreak/>
        <w:t>此外，中美双方贸易摩擦开始后，美国多次宣布对中国商品加征进口关税，其公布的征税清单中包括公司产品</w:t>
      </w:r>
      <w:r w:rsidR="00B4056E">
        <w:rPr>
          <w:rFonts w:hint="eastAsia"/>
        </w:rPr>
        <w:t>。</w:t>
      </w:r>
      <w:r w:rsidR="00B4056E">
        <w:t>公司销往美国的主要产品</w:t>
      </w:r>
      <w:r w:rsidR="00B4056E">
        <w:rPr>
          <w:rFonts w:hint="eastAsia"/>
        </w:rPr>
        <w:t>从</w:t>
      </w:r>
      <w:r w:rsidR="00B4056E">
        <w:rPr>
          <w:rFonts w:hint="eastAsia"/>
        </w:rPr>
        <w:t>2</w:t>
      </w:r>
      <w:r w:rsidR="00B4056E">
        <w:t>019</w:t>
      </w:r>
      <w:r w:rsidR="00B4056E">
        <w:rPr>
          <w:rFonts w:hint="eastAsia"/>
        </w:rPr>
        <w:t>年起即</w:t>
      </w:r>
      <w:r w:rsidR="00B4056E">
        <w:t>处于加征关税的范围之中，加征比例在</w:t>
      </w:r>
      <w:r w:rsidR="00B4056E">
        <w:t>10%-30%</w:t>
      </w:r>
      <w:r w:rsidR="00B4056E">
        <w:t>之间</w:t>
      </w:r>
      <w:r w:rsidR="00B4056E">
        <w:rPr>
          <w:rFonts w:hint="eastAsia"/>
        </w:rPr>
        <w:t>。报告期内，公司</w:t>
      </w:r>
      <w:r w:rsidR="00B4056E">
        <w:t>在美国地区的</w:t>
      </w:r>
      <w:r w:rsidR="00B4056E">
        <w:rPr>
          <w:rFonts w:hint="eastAsia"/>
        </w:rPr>
        <w:t>销售收入依然保持增长态势，具体</w:t>
      </w:r>
      <w:r w:rsidR="00B4056E">
        <w:t>销售情况如下：</w:t>
      </w:r>
    </w:p>
    <w:p w14:paraId="6E972A8B" w14:textId="77777777" w:rsidR="008D76D6" w:rsidRDefault="008D76D6">
      <w:pPr>
        <w:shd w:val="clear" w:color="auto" w:fill="FFFFFF"/>
        <w:spacing w:beforeLines="0" w:before="0" w:afterLines="0" w:after="0" w:line="240" w:lineRule="auto"/>
        <w:ind w:firstLine="420"/>
        <w:jc w:val="right"/>
        <w:rPr>
          <w:color w:val="303133"/>
          <w:kern w:val="0"/>
          <w:sz w:val="21"/>
          <w:szCs w:val="21"/>
        </w:rPr>
      </w:pPr>
      <w:r>
        <w:rPr>
          <w:color w:val="303133"/>
          <w:kern w:val="0"/>
          <w:sz w:val="21"/>
          <w:szCs w:val="21"/>
        </w:rPr>
        <w:t>单位：万元</w:t>
      </w:r>
    </w:p>
    <w:tbl>
      <w:tblPr>
        <w:tblW w:w="5000" w:type="pct"/>
        <w:tblInd w:w="123" w:type="dxa"/>
        <w:tblBorders>
          <w:top w:val="single" w:sz="6" w:space="0" w:color="010000"/>
          <w:left w:val="single" w:sz="6" w:space="0" w:color="010000"/>
          <w:bottom w:val="single" w:sz="6" w:space="0" w:color="010000"/>
          <w:right w:val="single" w:sz="6" w:space="0" w:color="010000"/>
          <w:insideH w:val="single" w:sz="6" w:space="0" w:color="010000"/>
          <w:insideV w:val="single" w:sz="6" w:space="0" w:color="010000"/>
        </w:tblBorders>
        <w:tblLook w:val="0000" w:firstRow="0" w:lastRow="0" w:firstColumn="0" w:lastColumn="0" w:noHBand="0" w:noVBand="0"/>
      </w:tblPr>
      <w:tblGrid>
        <w:gridCol w:w="2109"/>
        <w:gridCol w:w="2137"/>
        <w:gridCol w:w="1588"/>
        <w:gridCol w:w="1588"/>
        <w:gridCol w:w="1588"/>
      </w:tblGrid>
      <w:tr w:rsidR="008D76D6" w14:paraId="7C10A705" w14:textId="77777777">
        <w:trPr>
          <w:cantSplit/>
          <w:trHeight w:val="397"/>
          <w:tblHeader/>
        </w:trPr>
        <w:tc>
          <w:tcPr>
            <w:tcW w:w="1170" w:type="pct"/>
            <w:shd w:val="clear" w:color="auto" w:fill="D9D9D9"/>
            <w:vAlign w:val="center"/>
          </w:tcPr>
          <w:p w14:paraId="384815F3"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项目</w:t>
            </w:r>
          </w:p>
        </w:tc>
        <w:tc>
          <w:tcPr>
            <w:tcW w:w="1186" w:type="pct"/>
            <w:shd w:val="clear" w:color="auto" w:fill="D9D9D9"/>
            <w:vAlign w:val="center"/>
          </w:tcPr>
          <w:p w14:paraId="407EE411"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2023</w:t>
            </w:r>
            <w:r>
              <w:rPr>
                <w:rFonts w:ascii="Times New Roman" w:hAnsi="Times New Roman"/>
                <w:b/>
                <w:color w:val="000000"/>
                <w:sz w:val="21"/>
              </w:rPr>
              <w:t>年</w:t>
            </w:r>
            <w:r>
              <w:rPr>
                <w:rFonts w:ascii="Times New Roman" w:hAnsi="Times New Roman"/>
                <w:b/>
                <w:color w:val="000000"/>
                <w:sz w:val="21"/>
              </w:rPr>
              <w:t>1-9</w:t>
            </w:r>
            <w:r>
              <w:rPr>
                <w:rFonts w:ascii="Times New Roman" w:hAnsi="Times New Roman"/>
                <w:b/>
                <w:color w:val="000000"/>
                <w:sz w:val="21"/>
              </w:rPr>
              <w:t>月</w:t>
            </w:r>
          </w:p>
        </w:tc>
        <w:tc>
          <w:tcPr>
            <w:tcW w:w="881" w:type="pct"/>
            <w:shd w:val="clear" w:color="auto" w:fill="D9D9D9"/>
            <w:vAlign w:val="center"/>
          </w:tcPr>
          <w:p w14:paraId="5F004361"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2022</w:t>
            </w:r>
            <w:r>
              <w:rPr>
                <w:rFonts w:ascii="Times New Roman" w:hAnsi="Times New Roman"/>
                <w:b/>
                <w:color w:val="000000"/>
                <w:sz w:val="21"/>
              </w:rPr>
              <w:t>年度</w:t>
            </w:r>
          </w:p>
        </w:tc>
        <w:tc>
          <w:tcPr>
            <w:tcW w:w="881" w:type="pct"/>
            <w:shd w:val="clear" w:color="auto" w:fill="D9D9D9"/>
            <w:vAlign w:val="center"/>
          </w:tcPr>
          <w:p w14:paraId="2825CCF6"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2021</w:t>
            </w:r>
            <w:r>
              <w:rPr>
                <w:rFonts w:ascii="Times New Roman" w:hAnsi="Times New Roman"/>
                <w:b/>
                <w:color w:val="000000"/>
                <w:sz w:val="21"/>
              </w:rPr>
              <w:t>年度</w:t>
            </w:r>
          </w:p>
        </w:tc>
        <w:tc>
          <w:tcPr>
            <w:tcW w:w="881" w:type="pct"/>
            <w:shd w:val="clear" w:color="auto" w:fill="D9D9D9"/>
            <w:vAlign w:val="center"/>
          </w:tcPr>
          <w:p w14:paraId="4D34C259"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2020</w:t>
            </w:r>
            <w:r>
              <w:rPr>
                <w:rFonts w:ascii="Times New Roman" w:hAnsi="Times New Roman"/>
                <w:b/>
                <w:color w:val="000000"/>
                <w:sz w:val="21"/>
              </w:rPr>
              <w:t>年度</w:t>
            </w:r>
          </w:p>
        </w:tc>
      </w:tr>
      <w:tr w:rsidR="008D76D6" w14:paraId="1B2BE00F" w14:textId="77777777">
        <w:trPr>
          <w:cantSplit/>
          <w:trHeight w:val="397"/>
        </w:trPr>
        <w:tc>
          <w:tcPr>
            <w:tcW w:w="1170" w:type="pct"/>
            <w:vAlign w:val="center"/>
          </w:tcPr>
          <w:p w14:paraId="25E47117"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美国销售收入</w:t>
            </w:r>
          </w:p>
        </w:tc>
        <w:tc>
          <w:tcPr>
            <w:tcW w:w="1186" w:type="pct"/>
            <w:vAlign w:val="center"/>
          </w:tcPr>
          <w:p w14:paraId="47D3460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11,903.08</w:t>
            </w:r>
          </w:p>
        </w:tc>
        <w:tc>
          <w:tcPr>
            <w:tcW w:w="881" w:type="pct"/>
            <w:vAlign w:val="center"/>
          </w:tcPr>
          <w:p w14:paraId="0F31C5F2"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bookmarkStart w:id="10" w:name="_Hlk153645134"/>
            <w:r>
              <w:rPr>
                <w:rFonts w:ascii="Times New Roman" w:hAnsi="Times New Roman"/>
                <w:color w:val="000000"/>
                <w:sz w:val="21"/>
              </w:rPr>
              <w:t>15,703.43</w:t>
            </w:r>
            <w:bookmarkEnd w:id="10"/>
          </w:p>
        </w:tc>
        <w:tc>
          <w:tcPr>
            <w:tcW w:w="881" w:type="pct"/>
            <w:vAlign w:val="center"/>
          </w:tcPr>
          <w:p w14:paraId="03839B20"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9,893.70</w:t>
            </w:r>
          </w:p>
        </w:tc>
        <w:tc>
          <w:tcPr>
            <w:tcW w:w="881" w:type="pct"/>
            <w:vAlign w:val="center"/>
          </w:tcPr>
          <w:p w14:paraId="6AE2D5AB"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7,185.85</w:t>
            </w:r>
          </w:p>
        </w:tc>
      </w:tr>
      <w:tr w:rsidR="008D76D6" w14:paraId="42C89040" w14:textId="77777777">
        <w:trPr>
          <w:cantSplit/>
          <w:trHeight w:val="397"/>
        </w:trPr>
        <w:tc>
          <w:tcPr>
            <w:tcW w:w="1170" w:type="pct"/>
            <w:vAlign w:val="center"/>
          </w:tcPr>
          <w:p w14:paraId="7D3F5851"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境外销售收入</w:t>
            </w:r>
          </w:p>
        </w:tc>
        <w:tc>
          <w:tcPr>
            <w:tcW w:w="1186" w:type="pct"/>
            <w:vAlign w:val="center"/>
          </w:tcPr>
          <w:p w14:paraId="022C1676"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32,056.10</w:t>
            </w:r>
          </w:p>
        </w:tc>
        <w:tc>
          <w:tcPr>
            <w:tcW w:w="881" w:type="pct"/>
            <w:vAlign w:val="center"/>
          </w:tcPr>
          <w:p w14:paraId="70666A3B"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45,118.28</w:t>
            </w:r>
          </w:p>
        </w:tc>
        <w:tc>
          <w:tcPr>
            <w:tcW w:w="881" w:type="pct"/>
            <w:vAlign w:val="center"/>
          </w:tcPr>
          <w:p w14:paraId="2406509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31,275.26</w:t>
            </w:r>
          </w:p>
        </w:tc>
        <w:tc>
          <w:tcPr>
            <w:tcW w:w="881" w:type="pct"/>
            <w:vAlign w:val="center"/>
          </w:tcPr>
          <w:p w14:paraId="214DDA9D"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27,604.16</w:t>
            </w:r>
          </w:p>
        </w:tc>
      </w:tr>
      <w:tr w:rsidR="008D76D6" w14:paraId="23491AB7" w14:textId="77777777">
        <w:trPr>
          <w:cantSplit/>
          <w:trHeight w:val="397"/>
        </w:trPr>
        <w:tc>
          <w:tcPr>
            <w:tcW w:w="1170" w:type="pct"/>
            <w:vAlign w:val="center"/>
          </w:tcPr>
          <w:p w14:paraId="2352D193"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占比</w:t>
            </w:r>
          </w:p>
        </w:tc>
        <w:tc>
          <w:tcPr>
            <w:tcW w:w="1186" w:type="pct"/>
            <w:vAlign w:val="center"/>
          </w:tcPr>
          <w:p w14:paraId="3B3EC494"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37.13%</w:t>
            </w:r>
          </w:p>
        </w:tc>
        <w:tc>
          <w:tcPr>
            <w:tcW w:w="881" w:type="pct"/>
            <w:vAlign w:val="center"/>
          </w:tcPr>
          <w:p w14:paraId="720822E0"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34.81%</w:t>
            </w:r>
          </w:p>
        </w:tc>
        <w:tc>
          <w:tcPr>
            <w:tcW w:w="881" w:type="pct"/>
            <w:vAlign w:val="center"/>
          </w:tcPr>
          <w:p w14:paraId="3D2EE5A9"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31.63%</w:t>
            </w:r>
          </w:p>
        </w:tc>
        <w:tc>
          <w:tcPr>
            <w:tcW w:w="881" w:type="pct"/>
            <w:vAlign w:val="center"/>
          </w:tcPr>
          <w:p w14:paraId="4B2D48A7"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26.03%</w:t>
            </w:r>
          </w:p>
        </w:tc>
      </w:tr>
    </w:tbl>
    <w:p w14:paraId="4692B579" w14:textId="77777777" w:rsidR="008D76D6" w:rsidRDefault="008D76D6" w:rsidP="008C4EDC">
      <w:pPr>
        <w:pStyle w:val="005"/>
        <w:spacing w:before="120" w:after="120"/>
        <w:ind w:firstLine="480"/>
      </w:pPr>
      <w:r>
        <w:t>报告期内，公司出口到美国的销售收入分别为</w:t>
      </w:r>
      <w:r>
        <w:t>7,185.85</w:t>
      </w:r>
      <w:r>
        <w:t>万元、</w:t>
      </w:r>
      <w:r>
        <w:t>9,893.70</w:t>
      </w:r>
      <w:r>
        <w:t>万元、</w:t>
      </w:r>
      <w:r>
        <w:t>15,703.43</w:t>
      </w:r>
      <w:r>
        <w:t>万元</w:t>
      </w:r>
      <w:r w:rsidR="00120788">
        <w:rPr>
          <w:rFonts w:hint="eastAsia"/>
        </w:rPr>
        <w:t>及</w:t>
      </w:r>
      <w:r>
        <w:t>11,903.08</w:t>
      </w:r>
      <w:r>
        <w:t>万元，占境外收入的比例分别为</w:t>
      </w:r>
      <w:r>
        <w:t>26.03%</w:t>
      </w:r>
      <w:r>
        <w:t>、</w:t>
      </w:r>
      <w:r>
        <w:t>31.63%</w:t>
      </w:r>
      <w:r>
        <w:t>、</w:t>
      </w:r>
      <w:r>
        <w:t>34.81%</w:t>
      </w:r>
      <w:r w:rsidR="00120788">
        <w:rPr>
          <w:rFonts w:hint="eastAsia"/>
        </w:rPr>
        <w:t>及</w:t>
      </w:r>
      <w:r>
        <w:t>37.13%</w:t>
      </w:r>
      <w:r>
        <w:t>，美国为公司的重要出口国，</w:t>
      </w:r>
      <w:r w:rsidR="007401B0">
        <w:rPr>
          <w:rFonts w:hint="eastAsia"/>
        </w:rPr>
        <w:t>美国对公司产品</w:t>
      </w:r>
      <w:r w:rsidR="007401B0">
        <w:t>加征关税</w:t>
      </w:r>
      <w:r w:rsidR="007401B0">
        <w:rPr>
          <w:rFonts w:hint="eastAsia"/>
        </w:rPr>
        <w:t>未</w:t>
      </w:r>
      <w:r w:rsidR="007401B0">
        <w:t>对</w:t>
      </w:r>
      <w:r w:rsidR="007401B0">
        <w:rPr>
          <w:rFonts w:hint="eastAsia"/>
        </w:rPr>
        <w:t>公司报告期内的盈利能力造成严重不利影响</w:t>
      </w:r>
      <w:r w:rsidR="007401B0">
        <w:t>。</w:t>
      </w:r>
    </w:p>
    <w:p w14:paraId="0548B861" w14:textId="77777777" w:rsidR="008D76D6" w:rsidRDefault="008D76D6">
      <w:pPr>
        <w:spacing w:before="120" w:after="120"/>
        <w:ind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）汇率波动的风险</w:t>
      </w:r>
    </w:p>
    <w:p w14:paraId="51D61769" w14:textId="77777777" w:rsidR="008D76D6" w:rsidRDefault="008D76D6">
      <w:pPr>
        <w:spacing w:before="120" w:after="120"/>
        <w:ind w:firstLine="480"/>
        <w:rPr>
          <w:rFonts w:ascii="Times New Roman" w:hAnsi="Times New Roman"/>
        </w:rPr>
      </w:pPr>
      <w:r>
        <w:rPr>
          <w:rFonts w:ascii="Times New Roman" w:hAnsi="Times New Roman"/>
        </w:rPr>
        <w:t>报告期内公司外销收入占比较高，公司与外销客户的定价和结算币种以美元为主，但记账本位币为人民币，因此美元汇率波动会对公司的业绩产生一定的影响。</w:t>
      </w:r>
    </w:p>
    <w:p w14:paraId="1D4CFD80" w14:textId="77777777" w:rsidR="008D76D6" w:rsidRDefault="008D76D6">
      <w:pPr>
        <w:spacing w:before="120" w:after="120"/>
        <w:ind w:firstLine="480"/>
        <w:rPr>
          <w:rFonts w:ascii="Times New Roman" w:hAnsi="Times New Roman"/>
        </w:rPr>
      </w:pPr>
      <w:r>
        <w:rPr>
          <w:rFonts w:ascii="Times New Roman" w:hAnsi="Times New Roman"/>
        </w:rPr>
        <w:t>报告期内，公司汇兑损益对境外销售收入及利润总额的影响如下：</w:t>
      </w:r>
    </w:p>
    <w:p w14:paraId="2DA5CF9F" w14:textId="77777777" w:rsidR="008D76D6" w:rsidRDefault="008D76D6">
      <w:pPr>
        <w:shd w:val="clear" w:color="auto" w:fill="FFFFFF"/>
        <w:spacing w:beforeLines="0" w:before="0" w:afterLines="0" w:after="0" w:line="240" w:lineRule="auto"/>
        <w:ind w:firstLine="420"/>
        <w:jc w:val="right"/>
        <w:rPr>
          <w:rFonts w:ascii="Times New Roman" w:hAnsi="Times New Roman"/>
          <w:kern w:val="0"/>
          <w:sz w:val="21"/>
          <w:szCs w:val="21"/>
        </w:rPr>
      </w:pPr>
      <w:r>
        <w:rPr>
          <w:rFonts w:ascii="Times New Roman" w:hAnsi="Times New Roman"/>
          <w:kern w:val="0"/>
          <w:sz w:val="21"/>
          <w:szCs w:val="21"/>
        </w:rPr>
        <w:t>单位：万元</w:t>
      </w:r>
    </w:p>
    <w:tbl>
      <w:tblPr>
        <w:tblW w:w="5000" w:type="pct"/>
        <w:tblInd w:w="123" w:type="dxa"/>
        <w:tblBorders>
          <w:top w:val="single" w:sz="6" w:space="0" w:color="010000"/>
          <w:left w:val="single" w:sz="6" w:space="0" w:color="010000"/>
          <w:bottom w:val="single" w:sz="6" w:space="0" w:color="010000"/>
          <w:right w:val="single" w:sz="6" w:space="0" w:color="010000"/>
          <w:insideH w:val="single" w:sz="6" w:space="0" w:color="010000"/>
          <w:insideV w:val="single" w:sz="6" w:space="0" w:color="010000"/>
        </w:tblBorders>
        <w:tblLook w:val="0000" w:firstRow="0" w:lastRow="0" w:firstColumn="0" w:lastColumn="0" w:noHBand="0" w:noVBand="0"/>
      </w:tblPr>
      <w:tblGrid>
        <w:gridCol w:w="3416"/>
        <w:gridCol w:w="1733"/>
        <w:gridCol w:w="1287"/>
        <w:gridCol w:w="1287"/>
        <w:gridCol w:w="1287"/>
      </w:tblGrid>
      <w:tr w:rsidR="008D76D6" w14:paraId="50D7843D" w14:textId="77777777">
        <w:trPr>
          <w:cantSplit/>
          <w:trHeight w:val="397"/>
          <w:tblHeader/>
        </w:trPr>
        <w:tc>
          <w:tcPr>
            <w:tcW w:w="1896" w:type="pct"/>
            <w:shd w:val="clear" w:color="auto" w:fill="D9D9D9"/>
            <w:vAlign w:val="center"/>
          </w:tcPr>
          <w:p w14:paraId="4D1AE279"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项目</w:t>
            </w:r>
          </w:p>
        </w:tc>
        <w:tc>
          <w:tcPr>
            <w:tcW w:w="962" w:type="pct"/>
            <w:shd w:val="clear" w:color="auto" w:fill="D9D9D9"/>
            <w:vAlign w:val="center"/>
          </w:tcPr>
          <w:p w14:paraId="1B6F2263"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2023</w:t>
            </w:r>
            <w:r>
              <w:rPr>
                <w:rFonts w:ascii="Times New Roman" w:hAnsi="Times New Roman"/>
                <w:b/>
                <w:color w:val="000000"/>
                <w:sz w:val="21"/>
              </w:rPr>
              <w:t>年</w:t>
            </w:r>
            <w:r>
              <w:rPr>
                <w:rFonts w:ascii="Times New Roman" w:hAnsi="Times New Roman"/>
                <w:b/>
                <w:color w:val="000000"/>
                <w:sz w:val="21"/>
              </w:rPr>
              <w:t>1-9</w:t>
            </w:r>
            <w:r>
              <w:rPr>
                <w:rFonts w:ascii="Times New Roman" w:hAnsi="Times New Roman"/>
                <w:b/>
                <w:color w:val="000000"/>
                <w:sz w:val="21"/>
              </w:rPr>
              <w:t>月</w:t>
            </w:r>
          </w:p>
        </w:tc>
        <w:tc>
          <w:tcPr>
            <w:tcW w:w="714" w:type="pct"/>
            <w:shd w:val="clear" w:color="auto" w:fill="D9D9D9"/>
            <w:vAlign w:val="center"/>
          </w:tcPr>
          <w:p w14:paraId="1186EF0F"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2022</w:t>
            </w:r>
            <w:r>
              <w:rPr>
                <w:rFonts w:ascii="Times New Roman" w:hAnsi="Times New Roman"/>
                <w:b/>
                <w:color w:val="000000"/>
                <w:sz w:val="21"/>
              </w:rPr>
              <w:t>年度</w:t>
            </w:r>
          </w:p>
        </w:tc>
        <w:tc>
          <w:tcPr>
            <w:tcW w:w="714" w:type="pct"/>
            <w:shd w:val="clear" w:color="auto" w:fill="D9D9D9"/>
            <w:vAlign w:val="center"/>
          </w:tcPr>
          <w:p w14:paraId="008DC3AE"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2021</w:t>
            </w:r>
            <w:r>
              <w:rPr>
                <w:rFonts w:ascii="Times New Roman" w:hAnsi="Times New Roman"/>
                <w:b/>
                <w:color w:val="000000"/>
                <w:sz w:val="21"/>
              </w:rPr>
              <w:t>年度</w:t>
            </w:r>
          </w:p>
        </w:tc>
        <w:tc>
          <w:tcPr>
            <w:tcW w:w="714" w:type="pct"/>
            <w:shd w:val="clear" w:color="auto" w:fill="D9D9D9"/>
            <w:vAlign w:val="center"/>
          </w:tcPr>
          <w:p w14:paraId="5998AAA6"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2020</w:t>
            </w:r>
            <w:r>
              <w:rPr>
                <w:rFonts w:ascii="Times New Roman" w:hAnsi="Times New Roman"/>
                <w:b/>
                <w:color w:val="000000"/>
                <w:sz w:val="21"/>
              </w:rPr>
              <w:t>年度</w:t>
            </w:r>
          </w:p>
        </w:tc>
      </w:tr>
      <w:tr w:rsidR="008D76D6" w14:paraId="596CE5A1" w14:textId="77777777">
        <w:trPr>
          <w:cantSplit/>
          <w:trHeight w:val="397"/>
        </w:trPr>
        <w:tc>
          <w:tcPr>
            <w:tcW w:w="1896" w:type="pct"/>
            <w:vAlign w:val="center"/>
          </w:tcPr>
          <w:p w14:paraId="76F8E69B"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汇兑损益（</w:t>
            </w:r>
            <w:r>
              <w:rPr>
                <w:rFonts w:ascii="Times New Roman" w:hAnsi="Times New Roman"/>
                <w:color w:val="000000"/>
                <w:sz w:val="21"/>
              </w:rPr>
              <w:t>“-”</w:t>
            </w:r>
            <w:r>
              <w:rPr>
                <w:rFonts w:ascii="Times New Roman" w:hAnsi="Times New Roman"/>
                <w:color w:val="000000"/>
                <w:sz w:val="21"/>
              </w:rPr>
              <w:t>表示收益）</w:t>
            </w:r>
          </w:p>
        </w:tc>
        <w:tc>
          <w:tcPr>
            <w:tcW w:w="962" w:type="pct"/>
            <w:vAlign w:val="center"/>
          </w:tcPr>
          <w:p w14:paraId="45B3CF54"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20"/>
              </w:rPr>
              <w:t>-250.47</w:t>
            </w:r>
          </w:p>
        </w:tc>
        <w:tc>
          <w:tcPr>
            <w:tcW w:w="714" w:type="pct"/>
            <w:vAlign w:val="center"/>
          </w:tcPr>
          <w:p w14:paraId="1E25AFA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20"/>
              </w:rPr>
              <w:t>-832.82</w:t>
            </w:r>
          </w:p>
        </w:tc>
        <w:tc>
          <w:tcPr>
            <w:tcW w:w="714" w:type="pct"/>
            <w:vAlign w:val="center"/>
          </w:tcPr>
          <w:p w14:paraId="26D01686"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20"/>
              </w:rPr>
              <w:t>139.16</w:t>
            </w:r>
          </w:p>
        </w:tc>
        <w:tc>
          <w:tcPr>
            <w:tcW w:w="714" w:type="pct"/>
            <w:vAlign w:val="center"/>
          </w:tcPr>
          <w:p w14:paraId="17FCD46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20"/>
              </w:rPr>
              <w:t>124.06</w:t>
            </w:r>
          </w:p>
        </w:tc>
      </w:tr>
      <w:tr w:rsidR="008D76D6" w14:paraId="72BE67D6" w14:textId="77777777">
        <w:trPr>
          <w:cantSplit/>
          <w:trHeight w:val="397"/>
        </w:trPr>
        <w:tc>
          <w:tcPr>
            <w:tcW w:w="1896" w:type="pct"/>
            <w:vAlign w:val="center"/>
          </w:tcPr>
          <w:p w14:paraId="41B24182"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境外销售收入</w:t>
            </w:r>
          </w:p>
        </w:tc>
        <w:tc>
          <w:tcPr>
            <w:tcW w:w="962" w:type="pct"/>
            <w:vAlign w:val="center"/>
          </w:tcPr>
          <w:p w14:paraId="6E87E0E8"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32,056.10</w:t>
            </w:r>
          </w:p>
        </w:tc>
        <w:tc>
          <w:tcPr>
            <w:tcW w:w="714" w:type="pct"/>
            <w:vAlign w:val="center"/>
          </w:tcPr>
          <w:p w14:paraId="6DCC0576"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45,118.28</w:t>
            </w:r>
          </w:p>
        </w:tc>
        <w:tc>
          <w:tcPr>
            <w:tcW w:w="714" w:type="pct"/>
            <w:vAlign w:val="center"/>
          </w:tcPr>
          <w:p w14:paraId="46FA7056"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31,275.26</w:t>
            </w:r>
          </w:p>
        </w:tc>
        <w:tc>
          <w:tcPr>
            <w:tcW w:w="714" w:type="pct"/>
            <w:vAlign w:val="center"/>
          </w:tcPr>
          <w:p w14:paraId="10B45F7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27,604.16</w:t>
            </w:r>
          </w:p>
        </w:tc>
      </w:tr>
      <w:tr w:rsidR="008D76D6" w14:paraId="7762827D" w14:textId="77777777">
        <w:trPr>
          <w:cantSplit/>
          <w:trHeight w:val="397"/>
        </w:trPr>
        <w:tc>
          <w:tcPr>
            <w:tcW w:w="1896" w:type="pct"/>
            <w:vAlign w:val="center"/>
          </w:tcPr>
          <w:p w14:paraId="0DA26B44"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汇兑损益占境外销售收入比例</w:t>
            </w:r>
          </w:p>
        </w:tc>
        <w:tc>
          <w:tcPr>
            <w:tcW w:w="962" w:type="pct"/>
            <w:vAlign w:val="center"/>
          </w:tcPr>
          <w:p w14:paraId="2AF9C02F"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20"/>
              </w:rPr>
              <w:t>-0.78%</w:t>
            </w:r>
          </w:p>
        </w:tc>
        <w:tc>
          <w:tcPr>
            <w:tcW w:w="714" w:type="pct"/>
            <w:vAlign w:val="center"/>
          </w:tcPr>
          <w:p w14:paraId="4A4E928E"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20"/>
              </w:rPr>
              <w:t>-1.85%</w:t>
            </w:r>
          </w:p>
        </w:tc>
        <w:tc>
          <w:tcPr>
            <w:tcW w:w="714" w:type="pct"/>
            <w:vAlign w:val="center"/>
          </w:tcPr>
          <w:p w14:paraId="4359365D"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20"/>
              </w:rPr>
              <w:t>0.44%</w:t>
            </w:r>
          </w:p>
        </w:tc>
        <w:tc>
          <w:tcPr>
            <w:tcW w:w="714" w:type="pct"/>
            <w:vAlign w:val="center"/>
          </w:tcPr>
          <w:p w14:paraId="5087736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20"/>
              </w:rPr>
              <w:t>0.45%</w:t>
            </w:r>
          </w:p>
        </w:tc>
      </w:tr>
      <w:tr w:rsidR="008D76D6" w14:paraId="43E4C932" w14:textId="77777777">
        <w:trPr>
          <w:cantSplit/>
          <w:trHeight w:val="397"/>
        </w:trPr>
        <w:tc>
          <w:tcPr>
            <w:tcW w:w="1896" w:type="pct"/>
            <w:vAlign w:val="center"/>
          </w:tcPr>
          <w:p w14:paraId="1934FA56"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利润总额</w:t>
            </w:r>
          </w:p>
        </w:tc>
        <w:tc>
          <w:tcPr>
            <w:tcW w:w="962" w:type="pct"/>
            <w:vAlign w:val="center"/>
          </w:tcPr>
          <w:p w14:paraId="207471B6"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11,676.79</w:t>
            </w:r>
          </w:p>
        </w:tc>
        <w:tc>
          <w:tcPr>
            <w:tcW w:w="714" w:type="pct"/>
            <w:vAlign w:val="center"/>
          </w:tcPr>
          <w:p w14:paraId="2E3B1CFF"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15,475.41</w:t>
            </w:r>
          </w:p>
        </w:tc>
        <w:tc>
          <w:tcPr>
            <w:tcW w:w="714" w:type="pct"/>
            <w:vAlign w:val="center"/>
          </w:tcPr>
          <w:p w14:paraId="2CD44039"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6,753.57</w:t>
            </w:r>
          </w:p>
        </w:tc>
        <w:tc>
          <w:tcPr>
            <w:tcW w:w="714" w:type="pct"/>
            <w:vAlign w:val="center"/>
          </w:tcPr>
          <w:p w14:paraId="65B09F86"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6,585.06</w:t>
            </w:r>
          </w:p>
        </w:tc>
      </w:tr>
      <w:tr w:rsidR="008D76D6" w14:paraId="411D7EEA" w14:textId="77777777">
        <w:trPr>
          <w:cantSplit/>
          <w:trHeight w:val="397"/>
        </w:trPr>
        <w:tc>
          <w:tcPr>
            <w:tcW w:w="1896" w:type="pct"/>
            <w:vAlign w:val="center"/>
          </w:tcPr>
          <w:p w14:paraId="3B07641F"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汇兑损益占利润总额比例</w:t>
            </w:r>
          </w:p>
        </w:tc>
        <w:tc>
          <w:tcPr>
            <w:tcW w:w="962" w:type="pct"/>
            <w:vAlign w:val="center"/>
          </w:tcPr>
          <w:p w14:paraId="2598D4C0"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-2.15%</w:t>
            </w:r>
          </w:p>
        </w:tc>
        <w:tc>
          <w:tcPr>
            <w:tcW w:w="714" w:type="pct"/>
            <w:vAlign w:val="center"/>
          </w:tcPr>
          <w:p w14:paraId="73269B4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-5.38%</w:t>
            </w:r>
          </w:p>
        </w:tc>
        <w:tc>
          <w:tcPr>
            <w:tcW w:w="714" w:type="pct"/>
            <w:vAlign w:val="center"/>
          </w:tcPr>
          <w:p w14:paraId="2B1F97E2"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2.06%</w:t>
            </w:r>
          </w:p>
        </w:tc>
        <w:tc>
          <w:tcPr>
            <w:tcW w:w="714" w:type="pct"/>
            <w:vAlign w:val="center"/>
          </w:tcPr>
          <w:p w14:paraId="76128FA4"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1.88%</w:t>
            </w:r>
          </w:p>
        </w:tc>
      </w:tr>
    </w:tbl>
    <w:p w14:paraId="239AA60F" w14:textId="77777777" w:rsidR="008D76D6" w:rsidRDefault="008D76D6">
      <w:pPr>
        <w:spacing w:before="120" w:after="120"/>
        <w:ind w:firstLine="480"/>
        <w:rPr>
          <w:rFonts w:ascii="Times New Roman" w:hAnsi="Times New Roman"/>
        </w:rPr>
      </w:pPr>
      <w:r>
        <w:rPr>
          <w:rFonts w:ascii="Times New Roman" w:hAnsi="Times New Roman"/>
        </w:rPr>
        <w:t>报告期内，公司汇兑损益金额分别为</w:t>
      </w:r>
      <w:r>
        <w:rPr>
          <w:rFonts w:ascii="Times New Roman" w:hAnsi="Times New Roman"/>
        </w:rPr>
        <w:t>124.06</w:t>
      </w:r>
      <w:r>
        <w:rPr>
          <w:rFonts w:ascii="Times New Roman" w:hAnsi="Times New Roman"/>
        </w:rPr>
        <w:t>万元、</w:t>
      </w:r>
      <w:r>
        <w:rPr>
          <w:rFonts w:ascii="Times New Roman" w:hAnsi="Times New Roman"/>
        </w:rPr>
        <w:t>139.16</w:t>
      </w:r>
      <w:r>
        <w:rPr>
          <w:rFonts w:ascii="Times New Roman" w:hAnsi="Times New Roman"/>
        </w:rPr>
        <w:t>万元、</w:t>
      </w:r>
      <w:r>
        <w:rPr>
          <w:rFonts w:ascii="Times New Roman" w:hAnsi="Times New Roman"/>
        </w:rPr>
        <w:t>-832.82</w:t>
      </w:r>
      <w:r>
        <w:rPr>
          <w:rFonts w:ascii="Times New Roman" w:hAnsi="Times New Roman"/>
        </w:rPr>
        <w:t>万元</w:t>
      </w:r>
      <w:r w:rsidR="004A39B5">
        <w:rPr>
          <w:rFonts w:ascii="Times New Roman" w:hAnsi="Times New Roman" w:hint="eastAsia"/>
        </w:rPr>
        <w:t>及</w:t>
      </w:r>
      <w:r>
        <w:rPr>
          <w:rFonts w:ascii="Times New Roman" w:hAnsi="Times New Roman"/>
        </w:rPr>
        <w:t>-250.47</w:t>
      </w:r>
      <w:r>
        <w:rPr>
          <w:rFonts w:ascii="Times New Roman" w:hAnsi="Times New Roman"/>
        </w:rPr>
        <w:t>万元，占利润总额的比例分别为</w:t>
      </w:r>
      <w:r>
        <w:rPr>
          <w:rFonts w:ascii="Times New Roman" w:hAnsi="Times New Roman"/>
        </w:rPr>
        <w:t>1.88%</w:t>
      </w:r>
      <w:r>
        <w:rPr>
          <w:rFonts w:ascii="Times New Roman" w:hAnsi="Times New Roman"/>
        </w:rPr>
        <w:t>、</w:t>
      </w:r>
      <w:r>
        <w:rPr>
          <w:rFonts w:ascii="Times New Roman" w:hAnsi="Times New Roman"/>
        </w:rPr>
        <w:t>2.06%</w:t>
      </w:r>
      <w:r>
        <w:rPr>
          <w:rFonts w:ascii="Times New Roman" w:hAnsi="Times New Roman"/>
        </w:rPr>
        <w:t>、</w:t>
      </w:r>
      <w:r>
        <w:rPr>
          <w:rFonts w:ascii="Times New Roman" w:hAnsi="Times New Roman"/>
        </w:rPr>
        <w:t>-5.38%</w:t>
      </w:r>
      <w:r>
        <w:rPr>
          <w:rFonts w:ascii="Times New Roman" w:hAnsi="Times New Roman"/>
        </w:rPr>
        <w:t>以及</w:t>
      </w:r>
      <w:r>
        <w:rPr>
          <w:rFonts w:ascii="Times New Roman" w:hAnsi="Times New Roman"/>
        </w:rPr>
        <w:t>-2.15%</w:t>
      </w:r>
      <w:r>
        <w:rPr>
          <w:rFonts w:ascii="Times New Roman" w:hAnsi="Times New Roman"/>
        </w:rPr>
        <w:t>，汇率波动对公司年度盈利水平有一定的影响。公司报告期内累计汇兑收益金额为</w:t>
      </w:r>
      <w:r>
        <w:rPr>
          <w:rFonts w:ascii="Times New Roman" w:hAnsi="Times New Roman"/>
        </w:rPr>
        <w:t>-820.07</w:t>
      </w:r>
      <w:r>
        <w:rPr>
          <w:rFonts w:ascii="Times New Roman" w:hAnsi="Times New Roman"/>
        </w:rPr>
        <w:t>万元，占累计利润总额的比例为</w:t>
      </w:r>
      <w:r>
        <w:rPr>
          <w:rFonts w:ascii="Times New Roman" w:hAnsi="Times New Roman"/>
        </w:rPr>
        <w:t>-2.03%</w:t>
      </w:r>
      <w:r>
        <w:rPr>
          <w:rFonts w:ascii="Times New Roman" w:hAnsi="Times New Roman"/>
        </w:rPr>
        <w:t>，影响较小。</w:t>
      </w:r>
    </w:p>
    <w:p w14:paraId="7EE15920" w14:textId="77777777" w:rsidR="008D76D6" w:rsidRDefault="008D76D6">
      <w:pPr>
        <w:spacing w:before="120" w:after="120"/>
        <w:ind w:firstLine="480"/>
      </w:pPr>
      <w:r>
        <w:rPr>
          <w:rFonts w:ascii="Times New Roman" w:hAnsi="Times New Roman"/>
        </w:rPr>
        <w:t>（</w:t>
      </w:r>
      <w:r>
        <w:rPr>
          <w:rFonts w:ascii="Times New Roman" w:hAnsi="Times New Roman"/>
        </w:rPr>
        <w:t>3</w:t>
      </w:r>
      <w:r>
        <w:rPr>
          <w:rFonts w:ascii="Times New Roman" w:hAnsi="Times New Roman"/>
        </w:rPr>
        <w:t>）</w:t>
      </w:r>
      <w:r>
        <w:t>国际贸易摩擦、汇率波动等方面的风险对公司生产经营、募投项目实施和汇兑损益的影响</w:t>
      </w:r>
    </w:p>
    <w:p w14:paraId="26250C00" w14:textId="77777777" w:rsidR="008D76D6" w:rsidRDefault="008D76D6">
      <w:pPr>
        <w:spacing w:before="120" w:after="120"/>
        <w:ind w:firstLine="480"/>
      </w:pPr>
      <w:r>
        <w:rPr>
          <w:rFonts w:hint="eastAsia"/>
        </w:rPr>
        <w:t>①</w:t>
      </w:r>
      <w:r>
        <w:t>对公司生产经营的影响</w:t>
      </w:r>
    </w:p>
    <w:p w14:paraId="764A1AB6" w14:textId="77777777" w:rsidR="008D76D6" w:rsidRDefault="008D76D6">
      <w:pPr>
        <w:spacing w:before="120" w:after="120"/>
        <w:ind w:firstLine="480"/>
      </w:pPr>
      <w:r>
        <w:t>报告期内，尽管公司受到国际贸易摩擦、美国加征关税的负面影响，公司的境外销售规模及销往美国的收入仍在持续增长。公司采取了积极的应对措施，与客户沟通分担关税费用，有效减少中美贸易战的影响。因此，中美贸易摩擦对公司的境外销售收入未造成重大不利影响。</w:t>
      </w:r>
    </w:p>
    <w:p w14:paraId="13EFB999" w14:textId="77777777" w:rsidR="008D76D6" w:rsidRDefault="008D76D6">
      <w:pPr>
        <w:spacing w:before="120" w:after="120"/>
        <w:ind w:firstLine="480"/>
      </w:pPr>
      <w:r>
        <w:t>在欧洲市场中，俄乌冲突对公司欧洲市场的销售产生了一定影响，欧洲市场订单出现一定程度的下滑。公司积极应对，与欧洲客户保持良好沟通和合作关系，</w:t>
      </w:r>
      <w:r w:rsidR="000276CF">
        <w:rPr>
          <w:rFonts w:hint="eastAsia"/>
        </w:rPr>
        <w:t>预计</w:t>
      </w:r>
      <w:r>
        <w:t>冲突结束后</w:t>
      </w:r>
      <w:r w:rsidR="000A33E6">
        <w:rPr>
          <w:rFonts w:hint="eastAsia"/>
        </w:rPr>
        <w:t>订单数量将逐渐恢复</w:t>
      </w:r>
      <w:r>
        <w:t>。</w:t>
      </w:r>
    </w:p>
    <w:p w14:paraId="6EAFD143" w14:textId="77777777" w:rsidR="008D76D6" w:rsidRDefault="008D76D6">
      <w:pPr>
        <w:spacing w:before="120" w:after="120"/>
        <w:ind w:firstLine="480"/>
      </w:pPr>
      <w:r>
        <w:t>报告期内，中国与亚洲、非洲、大洋洲、除美国之外的其他美洲国家贸易政策相对稳定，公司销售到前述地区的产品未受到贸易摩擦的影响。</w:t>
      </w:r>
    </w:p>
    <w:p w14:paraId="69FBD765" w14:textId="77777777" w:rsidR="008D76D6" w:rsidRDefault="008D76D6">
      <w:pPr>
        <w:spacing w:before="120" w:after="120"/>
        <w:ind w:firstLine="480"/>
      </w:pPr>
      <w:r>
        <w:t>假设境外销售其他因素保持不变，公司以实际汇率折算的销售额与上一年度平均记账汇率测算的销售额进行对比，模拟测算的变动情况如下：</w:t>
      </w:r>
    </w:p>
    <w:tbl>
      <w:tblPr>
        <w:tblW w:w="5000" w:type="pct"/>
        <w:tblInd w:w="123" w:type="dxa"/>
        <w:tblBorders>
          <w:top w:val="single" w:sz="6" w:space="0" w:color="010000"/>
          <w:left w:val="single" w:sz="6" w:space="0" w:color="010000"/>
          <w:bottom w:val="single" w:sz="6" w:space="0" w:color="010000"/>
          <w:right w:val="single" w:sz="6" w:space="0" w:color="010000"/>
          <w:insideH w:val="single" w:sz="6" w:space="0" w:color="010000"/>
          <w:insideV w:val="single" w:sz="6" w:space="0" w:color="010000"/>
        </w:tblBorders>
        <w:tblLook w:val="0000" w:firstRow="0" w:lastRow="0" w:firstColumn="0" w:lastColumn="0" w:noHBand="0" w:noVBand="0"/>
      </w:tblPr>
      <w:tblGrid>
        <w:gridCol w:w="4011"/>
        <w:gridCol w:w="1503"/>
        <w:gridCol w:w="1166"/>
        <w:gridCol w:w="1166"/>
        <w:gridCol w:w="1164"/>
      </w:tblGrid>
      <w:tr w:rsidR="008D76D6" w14:paraId="736548C6" w14:textId="77777777">
        <w:trPr>
          <w:cantSplit/>
          <w:trHeight w:val="397"/>
          <w:tblHeader/>
        </w:trPr>
        <w:tc>
          <w:tcPr>
            <w:tcW w:w="2226" w:type="pct"/>
            <w:shd w:val="clear" w:color="auto" w:fill="D9D9D9"/>
            <w:vAlign w:val="center"/>
          </w:tcPr>
          <w:p w14:paraId="7D8338CC"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项目</w:t>
            </w:r>
          </w:p>
        </w:tc>
        <w:tc>
          <w:tcPr>
            <w:tcW w:w="834" w:type="pct"/>
            <w:shd w:val="clear" w:color="auto" w:fill="D9D9D9"/>
            <w:vAlign w:val="center"/>
          </w:tcPr>
          <w:p w14:paraId="2E26D4A9"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2023</w:t>
            </w:r>
            <w:r>
              <w:rPr>
                <w:rFonts w:ascii="Times New Roman" w:hAnsi="Times New Roman"/>
                <w:b/>
                <w:color w:val="000000"/>
                <w:sz w:val="21"/>
              </w:rPr>
              <w:t>年</w:t>
            </w:r>
            <w:r>
              <w:rPr>
                <w:rFonts w:ascii="Times New Roman" w:hAnsi="Times New Roman"/>
                <w:b/>
                <w:color w:val="000000"/>
                <w:sz w:val="21"/>
              </w:rPr>
              <w:t>1-9</w:t>
            </w:r>
            <w:r>
              <w:rPr>
                <w:rFonts w:ascii="Times New Roman" w:hAnsi="Times New Roman"/>
                <w:b/>
                <w:color w:val="000000"/>
                <w:sz w:val="21"/>
              </w:rPr>
              <w:t>月</w:t>
            </w:r>
          </w:p>
        </w:tc>
        <w:tc>
          <w:tcPr>
            <w:tcW w:w="647" w:type="pct"/>
            <w:shd w:val="clear" w:color="auto" w:fill="D9D9D9"/>
            <w:vAlign w:val="center"/>
          </w:tcPr>
          <w:p w14:paraId="22B91643"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2022</w:t>
            </w:r>
            <w:r>
              <w:rPr>
                <w:rFonts w:ascii="Times New Roman" w:hAnsi="Times New Roman"/>
                <w:b/>
                <w:color w:val="000000"/>
                <w:sz w:val="21"/>
              </w:rPr>
              <w:t>年度</w:t>
            </w:r>
          </w:p>
        </w:tc>
        <w:tc>
          <w:tcPr>
            <w:tcW w:w="647" w:type="pct"/>
            <w:shd w:val="clear" w:color="auto" w:fill="D9D9D9"/>
            <w:vAlign w:val="center"/>
          </w:tcPr>
          <w:p w14:paraId="3197CB07"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2021</w:t>
            </w:r>
            <w:r>
              <w:rPr>
                <w:rFonts w:ascii="Times New Roman" w:hAnsi="Times New Roman"/>
                <w:b/>
                <w:color w:val="000000"/>
                <w:sz w:val="21"/>
              </w:rPr>
              <w:t>年度</w:t>
            </w:r>
          </w:p>
        </w:tc>
        <w:tc>
          <w:tcPr>
            <w:tcW w:w="646" w:type="pct"/>
            <w:shd w:val="clear" w:color="auto" w:fill="D9D9D9"/>
            <w:vAlign w:val="center"/>
          </w:tcPr>
          <w:p w14:paraId="27549859"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2020</w:t>
            </w:r>
            <w:r>
              <w:rPr>
                <w:rFonts w:ascii="Times New Roman" w:hAnsi="Times New Roman"/>
                <w:b/>
                <w:color w:val="000000"/>
                <w:sz w:val="21"/>
              </w:rPr>
              <w:t>年度</w:t>
            </w:r>
          </w:p>
        </w:tc>
      </w:tr>
      <w:tr w:rsidR="008D76D6" w14:paraId="17E44B32" w14:textId="77777777">
        <w:trPr>
          <w:cantSplit/>
          <w:trHeight w:val="397"/>
        </w:trPr>
        <w:tc>
          <w:tcPr>
            <w:tcW w:w="2226" w:type="pct"/>
            <w:vAlign w:val="center"/>
          </w:tcPr>
          <w:p w14:paraId="0FA5C7D9"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销售收入（万元）（</w:t>
            </w:r>
            <w:r>
              <w:rPr>
                <w:rFonts w:ascii="Times New Roman" w:hAnsi="Times New Roman"/>
                <w:color w:val="000000"/>
                <w:sz w:val="21"/>
              </w:rPr>
              <w:t>a</w:t>
            </w:r>
            <w:r>
              <w:rPr>
                <w:rFonts w:ascii="Times New Roman" w:hAnsi="Times New Roman"/>
                <w:color w:val="000000"/>
                <w:sz w:val="21"/>
              </w:rPr>
              <w:t>）</w:t>
            </w:r>
          </w:p>
        </w:tc>
        <w:tc>
          <w:tcPr>
            <w:tcW w:w="834" w:type="pct"/>
            <w:vAlign w:val="center"/>
          </w:tcPr>
          <w:p w14:paraId="65F0834E"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39,909.71</w:t>
            </w:r>
          </w:p>
        </w:tc>
        <w:tc>
          <w:tcPr>
            <w:tcW w:w="647" w:type="pct"/>
            <w:vAlign w:val="center"/>
          </w:tcPr>
          <w:p w14:paraId="56EA3F5F"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54,014.16</w:t>
            </w:r>
          </w:p>
        </w:tc>
        <w:tc>
          <w:tcPr>
            <w:tcW w:w="647" w:type="pct"/>
            <w:vAlign w:val="center"/>
          </w:tcPr>
          <w:p w14:paraId="738DF8E6"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41,516.27</w:t>
            </w:r>
          </w:p>
        </w:tc>
        <w:tc>
          <w:tcPr>
            <w:tcW w:w="646" w:type="pct"/>
            <w:vAlign w:val="center"/>
          </w:tcPr>
          <w:p w14:paraId="2892842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34,459.00</w:t>
            </w:r>
          </w:p>
        </w:tc>
      </w:tr>
      <w:tr w:rsidR="008D76D6" w14:paraId="68D5233D" w14:textId="77777777">
        <w:trPr>
          <w:cantSplit/>
          <w:trHeight w:val="397"/>
        </w:trPr>
        <w:tc>
          <w:tcPr>
            <w:tcW w:w="2226" w:type="pct"/>
            <w:vAlign w:val="center"/>
          </w:tcPr>
          <w:p w14:paraId="2C258925"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其中外币销售额：</w:t>
            </w:r>
          </w:p>
        </w:tc>
        <w:tc>
          <w:tcPr>
            <w:tcW w:w="834" w:type="pct"/>
            <w:vAlign w:val="center"/>
          </w:tcPr>
          <w:p w14:paraId="370B0AF6"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hint="eastAsia"/>
                <w:color w:val="000000"/>
                <w:sz w:val="21"/>
              </w:rPr>
              <w:t>-</w:t>
            </w:r>
          </w:p>
        </w:tc>
        <w:tc>
          <w:tcPr>
            <w:tcW w:w="647" w:type="pct"/>
            <w:vAlign w:val="center"/>
          </w:tcPr>
          <w:p w14:paraId="3DB053E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hint="eastAsia"/>
                <w:color w:val="000000"/>
                <w:sz w:val="21"/>
              </w:rPr>
              <w:t>-</w:t>
            </w:r>
          </w:p>
        </w:tc>
        <w:tc>
          <w:tcPr>
            <w:tcW w:w="647" w:type="pct"/>
            <w:vAlign w:val="center"/>
          </w:tcPr>
          <w:p w14:paraId="308F011C"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hint="eastAsia"/>
                <w:color w:val="000000"/>
                <w:sz w:val="21"/>
              </w:rPr>
              <w:t>-</w:t>
            </w:r>
          </w:p>
        </w:tc>
        <w:tc>
          <w:tcPr>
            <w:tcW w:w="646" w:type="pct"/>
            <w:vAlign w:val="center"/>
          </w:tcPr>
          <w:p w14:paraId="792A5A3F"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hint="eastAsia"/>
                <w:color w:val="000000"/>
                <w:sz w:val="21"/>
              </w:rPr>
              <w:t>-</w:t>
            </w:r>
          </w:p>
        </w:tc>
      </w:tr>
      <w:tr w:rsidR="008D76D6" w14:paraId="50EF5299" w14:textId="77777777">
        <w:trPr>
          <w:cantSplit/>
          <w:trHeight w:val="397"/>
        </w:trPr>
        <w:tc>
          <w:tcPr>
            <w:tcW w:w="2226" w:type="pct"/>
            <w:vAlign w:val="center"/>
          </w:tcPr>
          <w:p w14:paraId="53B5BAD8"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以美元结算的外币销售额（万美元）（</w:t>
            </w:r>
            <w:r>
              <w:rPr>
                <w:rFonts w:ascii="Times New Roman" w:hAnsi="Times New Roman"/>
                <w:color w:val="000000"/>
                <w:sz w:val="21"/>
              </w:rPr>
              <w:t>b</w:t>
            </w:r>
            <w:r>
              <w:rPr>
                <w:rFonts w:ascii="Times New Roman" w:hAnsi="Times New Roman"/>
                <w:color w:val="000000"/>
                <w:sz w:val="21"/>
              </w:rPr>
              <w:t>）</w:t>
            </w:r>
          </w:p>
        </w:tc>
        <w:tc>
          <w:tcPr>
            <w:tcW w:w="834" w:type="pct"/>
            <w:vAlign w:val="center"/>
          </w:tcPr>
          <w:p w14:paraId="7DCDC89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4,557.52</w:t>
            </w:r>
          </w:p>
        </w:tc>
        <w:tc>
          <w:tcPr>
            <w:tcW w:w="647" w:type="pct"/>
            <w:vAlign w:val="center"/>
          </w:tcPr>
          <w:p w14:paraId="5A94ED58"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6,696.74</w:t>
            </w:r>
          </w:p>
        </w:tc>
        <w:tc>
          <w:tcPr>
            <w:tcW w:w="647" w:type="pct"/>
            <w:vAlign w:val="center"/>
          </w:tcPr>
          <w:p w14:paraId="1E62347E"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4,827.70</w:t>
            </w:r>
          </w:p>
        </w:tc>
        <w:tc>
          <w:tcPr>
            <w:tcW w:w="646" w:type="pct"/>
            <w:vAlign w:val="center"/>
          </w:tcPr>
          <w:p w14:paraId="3884925A"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3,948.50</w:t>
            </w:r>
          </w:p>
        </w:tc>
      </w:tr>
      <w:tr w:rsidR="008D76D6" w14:paraId="77BC28E4" w14:textId="77777777">
        <w:trPr>
          <w:cantSplit/>
          <w:trHeight w:val="397"/>
        </w:trPr>
        <w:tc>
          <w:tcPr>
            <w:tcW w:w="2226" w:type="pct"/>
            <w:vAlign w:val="center"/>
          </w:tcPr>
          <w:p w14:paraId="08409180"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以欧元结算的外币销售额（万欧元）（</w:t>
            </w:r>
            <w:r>
              <w:rPr>
                <w:rFonts w:ascii="Times New Roman" w:hAnsi="Times New Roman"/>
                <w:color w:val="000000"/>
                <w:sz w:val="21"/>
              </w:rPr>
              <w:t>c</w:t>
            </w:r>
            <w:r>
              <w:rPr>
                <w:rFonts w:ascii="Times New Roman" w:hAnsi="Times New Roman"/>
                <w:color w:val="000000"/>
                <w:sz w:val="21"/>
              </w:rPr>
              <w:t>）</w:t>
            </w:r>
          </w:p>
        </w:tc>
        <w:tc>
          <w:tcPr>
            <w:tcW w:w="834" w:type="pct"/>
            <w:vAlign w:val="center"/>
          </w:tcPr>
          <w:p w14:paraId="301A8DC7"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5.35</w:t>
            </w:r>
          </w:p>
        </w:tc>
        <w:tc>
          <w:tcPr>
            <w:tcW w:w="647" w:type="pct"/>
            <w:vAlign w:val="center"/>
          </w:tcPr>
          <w:p w14:paraId="05BDE091"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20.29</w:t>
            </w:r>
          </w:p>
        </w:tc>
        <w:tc>
          <w:tcPr>
            <w:tcW w:w="647" w:type="pct"/>
            <w:vAlign w:val="center"/>
          </w:tcPr>
          <w:p w14:paraId="605CC2E9"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9.90</w:t>
            </w:r>
          </w:p>
        </w:tc>
        <w:tc>
          <w:tcPr>
            <w:tcW w:w="646" w:type="pct"/>
            <w:vAlign w:val="center"/>
          </w:tcPr>
          <w:p w14:paraId="61AE533D"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11.93</w:t>
            </w:r>
          </w:p>
        </w:tc>
      </w:tr>
      <w:tr w:rsidR="008D76D6" w14:paraId="01BB5C05" w14:textId="77777777">
        <w:trPr>
          <w:cantSplit/>
          <w:trHeight w:val="397"/>
        </w:trPr>
        <w:tc>
          <w:tcPr>
            <w:tcW w:w="2226" w:type="pct"/>
            <w:vAlign w:val="center"/>
          </w:tcPr>
          <w:p w14:paraId="0879BBF3"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以人民币结算的外币销售额（万元）（</w:t>
            </w:r>
            <w:r>
              <w:rPr>
                <w:rFonts w:ascii="Times New Roman" w:hAnsi="Times New Roman"/>
                <w:color w:val="000000"/>
                <w:sz w:val="21"/>
              </w:rPr>
              <w:t>d</w:t>
            </w:r>
            <w:r>
              <w:rPr>
                <w:rFonts w:ascii="Times New Roman" w:hAnsi="Times New Roman"/>
                <w:color w:val="000000"/>
                <w:sz w:val="21"/>
              </w:rPr>
              <w:t>）</w:t>
            </w:r>
          </w:p>
        </w:tc>
        <w:tc>
          <w:tcPr>
            <w:tcW w:w="834" w:type="pct"/>
            <w:vAlign w:val="center"/>
          </w:tcPr>
          <w:p w14:paraId="412C1C57"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33.64</w:t>
            </w:r>
          </w:p>
        </w:tc>
        <w:tc>
          <w:tcPr>
            <w:tcW w:w="647" w:type="pct"/>
            <w:vAlign w:val="center"/>
          </w:tcPr>
          <w:p w14:paraId="5447FEE2"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91.17</w:t>
            </w:r>
          </w:p>
        </w:tc>
        <w:tc>
          <w:tcPr>
            <w:tcW w:w="647" w:type="pct"/>
            <w:vAlign w:val="center"/>
          </w:tcPr>
          <w:p w14:paraId="690A16AA"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42.69</w:t>
            </w:r>
          </w:p>
        </w:tc>
        <w:tc>
          <w:tcPr>
            <w:tcW w:w="646" w:type="pct"/>
            <w:vAlign w:val="center"/>
          </w:tcPr>
          <w:p w14:paraId="43146D8C"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145.16</w:t>
            </w:r>
          </w:p>
        </w:tc>
      </w:tr>
      <w:tr w:rsidR="008D76D6" w14:paraId="45E046CA" w14:textId="77777777">
        <w:trPr>
          <w:cantSplit/>
          <w:trHeight w:val="397"/>
        </w:trPr>
        <w:tc>
          <w:tcPr>
            <w:tcW w:w="2226" w:type="pct"/>
            <w:vAlign w:val="center"/>
          </w:tcPr>
          <w:p w14:paraId="0BC5DC39"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外销收入以人民币记账金额（万元）（</w:t>
            </w:r>
            <w:r>
              <w:rPr>
                <w:rFonts w:ascii="Times New Roman" w:hAnsi="Times New Roman"/>
                <w:color w:val="000000"/>
                <w:sz w:val="21"/>
              </w:rPr>
              <w:t>e</w:t>
            </w:r>
            <w:r>
              <w:rPr>
                <w:rFonts w:ascii="Times New Roman" w:hAnsi="Times New Roman"/>
                <w:color w:val="000000"/>
                <w:sz w:val="21"/>
              </w:rPr>
              <w:t>）</w:t>
            </w:r>
          </w:p>
        </w:tc>
        <w:tc>
          <w:tcPr>
            <w:tcW w:w="834" w:type="pct"/>
            <w:vAlign w:val="center"/>
          </w:tcPr>
          <w:p w14:paraId="409E3739"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32,056.10</w:t>
            </w:r>
          </w:p>
        </w:tc>
        <w:tc>
          <w:tcPr>
            <w:tcW w:w="647" w:type="pct"/>
            <w:vAlign w:val="center"/>
          </w:tcPr>
          <w:p w14:paraId="10B95F3D"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45,118.28</w:t>
            </w:r>
          </w:p>
        </w:tc>
        <w:tc>
          <w:tcPr>
            <w:tcW w:w="647" w:type="pct"/>
            <w:vAlign w:val="center"/>
          </w:tcPr>
          <w:p w14:paraId="3287740A"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31,275.26</w:t>
            </w:r>
          </w:p>
        </w:tc>
        <w:tc>
          <w:tcPr>
            <w:tcW w:w="646" w:type="pct"/>
            <w:vAlign w:val="center"/>
          </w:tcPr>
          <w:p w14:paraId="117B650C"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27,604.16</w:t>
            </w:r>
          </w:p>
        </w:tc>
      </w:tr>
      <w:tr w:rsidR="008D76D6" w14:paraId="6C539A66" w14:textId="77777777">
        <w:trPr>
          <w:cantSplit/>
          <w:trHeight w:val="397"/>
        </w:trPr>
        <w:tc>
          <w:tcPr>
            <w:tcW w:w="2226" w:type="pct"/>
            <w:vAlign w:val="center"/>
          </w:tcPr>
          <w:p w14:paraId="48088D85"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美元上一年度平均记账汇率</w:t>
            </w:r>
            <w:r>
              <w:rPr>
                <w:rFonts w:ascii="Times New Roman" w:hAnsi="Times New Roman"/>
                <w:color w:val="000000"/>
                <w:sz w:val="21"/>
              </w:rPr>
              <w:t>(f)</w:t>
            </w:r>
          </w:p>
        </w:tc>
        <w:tc>
          <w:tcPr>
            <w:tcW w:w="834" w:type="pct"/>
            <w:vAlign w:val="center"/>
          </w:tcPr>
          <w:p w14:paraId="0B2A14DD"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6.7168</w:t>
            </w:r>
          </w:p>
        </w:tc>
        <w:tc>
          <w:tcPr>
            <w:tcW w:w="647" w:type="pct"/>
            <w:vAlign w:val="center"/>
          </w:tcPr>
          <w:p w14:paraId="686F2B30"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6.4533</w:t>
            </w:r>
          </w:p>
        </w:tc>
        <w:tc>
          <w:tcPr>
            <w:tcW w:w="647" w:type="pct"/>
            <w:vAlign w:val="center"/>
          </w:tcPr>
          <w:p w14:paraId="0BD8C687"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6.9309</w:t>
            </w:r>
          </w:p>
        </w:tc>
        <w:tc>
          <w:tcPr>
            <w:tcW w:w="646" w:type="pct"/>
            <w:vAlign w:val="center"/>
          </w:tcPr>
          <w:p w14:paraId="1644E6B6"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6.8985</w:t>
            </w:r>
          </w:p>
        </w:tc>
      </w:tr>
      <w:tr w:rsidR="008D76D6" w14:paraId="6418043A" w14:textId="77777777">
        <w:trPr>
          <w:cantSplit/>
          <w:trHeight w:val="397"/>
        </w:trPr>
        <w:tc>
          <w:tcPr>
            <w:tcW w:w="2226" w:type="pct"/>
            <w:vAlign w:val="center"/>
          </w:tcPr>
          <w:p w14:paraId="5E57236E"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欧元上一年度平均记账汇率（</w:t>
            </w:r>
            <w:r>
              <w:rPr>
                <w:rFonts w:ascii="Times New Roman" w:hAnsi="Times New Roman"/>
                <w:color w:val="000000"/>
                <w:sz w:val="21"/>
              </w:rPr>
              <w:t>g</w:t>
            </w:r>
            <w:r>
              <w:rPr>
                <w:rFonts w:ascii="Times New Roman" w:hAnsi="Times New Roman"/>
                <w:color w:val="000000"/>
                <w:sz w:val="21"/>
              </w:rPr>
              <w:t>）</w:t>
            </w:r>
          </w:p>
        </w:tc>
        <w:tc>
          <w:tcPr>
            <w:tcW w:w="834" w:type="pct"/>
            <w:vAlign w:val="center"/>
          </w:tcPr>
          <w:p w14:paraId="4FF70DD9"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6.9852</w:t>
            </w:r>
          </w:p>
        </w:tc>
        <w:tc>
          <w:tcPr>
            <w:tcW w:w="647" w:type="pct"/>
            <w:vAlign w:val="center"/>
          </w:tcPr>
          <w:p w14:paraId="53DB245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7.8652</w:t>
            </w:r>
          </w:p>
        </w:tc>
        <w:tc>
          <w:tcPr>
            <w:tcW w:w="647" w:type="pct"/>
            <w:vAlign w:val="center"/>
          </w:tcPr>
          <w:p w14:paraId="190DBD4E"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7.7354</w:t>
            </w:r>
          </w:p>
        </w:tc>
        <w:tc>
          <w:tcPr>
            <w:tcW w:w="646" w:type="pct"/>
            <w:vAlign w:val="center"/>
          </w:tcPr>
          <w:p w14:paraId="3F240671"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7.7127</w:t>
            </w:r>
          </w:p>
        </w:tc>
      </w:tr>
      <w:tr w:rsidR="008D76D6" w14:paraId="5034B3A8" w14:textId="77777777">
        <w:trPr>
          <w:cantSplit/>
          <w:trHeight w:val="397"/>
        </w:trPr>
        <w:tc>
          <w:tcPr>
            <w:tcW w:w="2226" w:type="pct"/>
            <w:vAlign w:val="center"/>
          </w:tcPr>
          <w:p w14:paraId="0867037C"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测算的外币销售额（万元）（</w:t>
            </w:r>
            <w:r>
              <w:rPr>
                <w:rFonts w:ascii="Times New Roman" w:hAnsi="Times New Roman"/>
                <w:color w:val="000000"/>
                <w:sz w:val="21"/>
              </w:rPr>
              <w:t>h=b*f+c*g+d</w:t>
            </w:r>
            <w:r>
              <w:rPr>
                <w:rFonts w:ascii="Times New Roman" w:hAnsi="Times New Roman"/>
                <w:color w:val="000000"/>
                <w:sz w:val="21"/>
              </w:rPr>
              <w:t>）</w:t>
            </w:r>
          </w:p>
        </w:tc>
        <w:tc>
          <w:tcPr>
            <w:tcW w:w="834" w:type="pct"/>
            <w:vAlign w:val="center"/>
          </w:tcPr>
          <w:p w14:paraId="72FD5A6D"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30,683.14</w:t>
            </w:r>
          </w:p>
        </w:tc>
        <w:tc>
          <w:tcPr>
            <w:tcW w:w="647" w:type="pct"/>
            <w:vAlign w:val="center"/>
          </w:tcPr>
          <w:p w14:paraId="7C82F224"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43,466.94</w:t>
            </w:r>
          </w:p>
        </w:tc>
        <w:tc>
          <w:tcPr>
            <w:tcW w:w="647" w:type="pct"/>
            <w:vAlign w:val="center"/>
          </w:tcPr>
          <w:p w14:paraId="46905AAB"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33,579.64</w:t>
            </w:r>
          </w:p>
        </w:tc>
        <w:tc>
          <w:tcPr>
            <w:tcW w:w="646" w:type="pct"/>
            <w:vAlign w:val="center"/>
          </w:tcPr>
          <w:p w14:paraId="2AF33B3F"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27,475.91</w:t>
            </w:r>
          </w:p>
        </w:tc>
      </w:tr>
      <w:tr w:rsidR="008D76D6" w14:paraId="1BF17EE7" w14:textId="77777777">
        <w:trPr>
          <w:cantSplit/>
          <w:trHeight w:val="397"/>
        </w:trPr>
        <w:tc>
          <w:tcPr>
            <w:tcW w:w="2226" w:type="pct"/>
            <w:vAlign w:val="center"/>
          </w:tcPr>
          <w:p w14:paraId="10DD10B9"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外销销售额变动额</w:t>
            </w:r>
            <w:r>
              <w:rPr>
                <w:rFonts w:ascii="Times New Roman" w:hAnsi="Times New Roman"/>
                <w:color w:val="000000"/>
                <w:sz w:val="21"/>
              </w:rPr>
              <w:t>(</w:t>
            </w:r>
            <w:r>
              <w:rPr>
                <w:rFonts w:ascii="Times New Roman" w:hAnsi="Times New Roman"/>
                <w:color w:val="000000"/>
                <w:sz w:val="21"/>
              </w:rPr>
              <w:t>万元</w:t>
            </w:r>
            <w:r>
              <w:rPr>
                <w:rFonts w:ascii="Times New Roman" w:hAnsi="Times New Roman"/>
                <w:color w:val="000000"/>
                <w:sz w:val="21"/>
              </w:rPr>
              <w:t>)</w:t>
            </w:r>
            <w:r>
              <w:rPr>
                <w:rFonts w:ascii="Times New Roman" w:hAnsi="Times New Roman"/>
                <w:color w:val="000000"/>
                <w:sz w:val="21"/>
              </w:rPr>
              <w:t>（</w:t>
            </w:r>
            <w:r>
              <w:rPr>
                <w:rFonts w:ascii="Times New Roman" w:hAnsi="Times New Roman"/>
                <w:color w:val="000000"/>
                <w:sz w:val="21"/>
              </w:rPr>
              <w:t>i=e-h</w:t>
            </w:r>
            <w:r>
              <w:rPr>
                <w:rFonts w:ascii="Times New Roman" w:hAnsi="Times New Roman"/>
                <w:color w:val="000000"/>
                <w:sz w:val="21"/>
              </w:rPr>
              <w:t>）</w:t>
            </w:r>
          </w:p>
        </w:tc>
        <w:tc>
          <w:tcPr>
            <w:tcW w:w="834" w:type="pct"/>
            <w:vAlign w:val="center"/>
          </w:tcPr>
          <w:p w14:paraId="0BD730C6"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1,372.96</w:t>
            </w:r>
          </w:p>
        </w:tc>
        <w:tc>
          <w:tcPr>
            <w:tcW w:w="647" w:type="pct"/>
            <w:vAlign w:val="center"/>
          </w:tcPr>
          <w:p w14:paraId="5976CBCF"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1,651.34</w:t>
            </w:r>
          </w:p>
        </w:tc>
        <w:tc>
          <w:tcPr>
            <w:tcW w:w="647" w:type="pct"/>
            <w:vAlign w:val="center"/>
          </w:tcPr>
          <w:p w14:paraId="3D75A0A9"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-2,304.38</w:t>
            </w:r>
          </w:p>
        </w:tc>
        <w:tc>
          <w:tcPr>
            <w:tcW w:w="646" w:type="pct"/>
            <w:vAlign w:val="center"/>
          </w:tcPr>
          <w:p w14:paraId="64A152C7"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128.25</w:t>
            </w:r>
          </w:p>
        </w:tc>
      </w:tr>
      <w:tr w:rsidR="008D76D6" w14:paraId="4E8903A3" w14:textId="77777777">
        <w:trPr>
          <w:cantSplit/>
          <w:trHeight w:val="397"/>
        </w:trPr>
        <w:tc>
          <w:tcPr>
            <w:tcW w:w="2226" w:type="pct"/>
            <w:vAlign w:val="center"/>
          </w:tcPr>
          <w:p w14:paraId="1A9E18E5"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外销销售额变动幅度（</w:t>
            </w:r>
            <w:r>
              <w:rPr>
                <w:rFonts w:ascii="Times New Roman" w:hAnsi="Times New Roman"/>
                <w:color w:val="000000"/>
                <w:sz w:val="21"/>
              </w:rPr>
              <w:t>j=i/e</w:t>
            </w:r>
            <w:r>
              <w:rPr>
                <w:rFonts w:ascii="Times New Roman" w:hAnsi="Times New Roman"/>
                <w:color w:val="000000"/>
                <w:sz w:val="21"/>
              </w:rPr>
              <w:t>）</w:t>
            </w:r>
          </w:p>
        </w:tc>
        <w:tc>
          <w:tcPr>
            <w:tcW w:w="834" w:type="pct"/>
            <w:vAlign w:val="center"/>
          </w:tcPr>
          <w:p w14:paraId="3E2DCCC7"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4.28%</w:t>
            </w:r>
          </w:p>
        </w:tc>
        <w:tc>
          <w:tcPr>
            <w:tcW w:w="647" w:type="pct"/>
            <w:vAlign w:val="center"/>
          </w:tcPr>
          <w:p w14:paraId="7E15C1FC"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3.66%</w:t>
            </w:r>
          </w:p>
        </w:tc>
        <w:tc>
          <w:tcPr>
            <w:tcW w:w="647" w:type="pct"/>
            <w:vAlign w:val="center"/>
          </w:tcPr>
          <w:p w14:paraId="23BFDCA1"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-7.37%</w:t>
            </w:r>
          </w:p>
        </w:tc>
        <w:tc>
          <w:tcPr>
            <w:tcW w:w="646" w:type="pct"/>
            <w:vAlign w:val="center"/>
          </w:tcPr>
          <w:p w14:paraId="127FDE8A"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0.46%</w:t>
            </w:r>
          </w:p>
        </w:tc>
      </w:tr>
      <w:tr w:rsidR="008D76D6" w14:paraId="7623BE4A" w14:textId="77777777">
        <w:trPr>
          <w:cantSplit/>
          <w:trHeight w:val="397"/>
        </w:trPr>
        <w:tc>
          <w:tcPr>
            <w:tcW w:w="2226" w:type="pct"/>
            <w:vAlign w:val="center"/>
          </w:tcPr>
          <w:p w14:paraId="795D6432"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销售额变动幅度（</w:t>
            </w:r>
            <w:r>
              <w:rPr>
                <w:rFonts w:ascii="Times New Roman" w:hAnsi="Times New Roman"/>
                <w:color w:val="000000"/>
                <w:sz w:val="21"/>
              </w:rPr>
              <w:t>k=i/a</w:t>
            </w:r>
            <w:r>
              <w:rPr>
                <w:rFonts w:ascii="Times New Roman" w:hAnsi="Times New Roman"/>
                <w:color w:val="000000"/>
                <w:sz w:val="21"/>
              </w:rPr>
              <w:t>）</w:t>
            </w:r>
          </w:p>
        </w:tc>
        <w:tc>
          <w:tcPr>
            <w:tcW w:w="834" w:type="pct"/>
            <w:vAlign w:val="center"/>
          </w:tcPr>
          <w:p w14:paraId="0ED9C628"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3.44%</w:t>
            </w:r>
          </w:p>
        </w:tc>
        <w:tc>
          <w:tcPr>
            <w:tcW w:w="647" w:type="pct"/>
            <w:vAlign w:val="center"/>
          </w:tcPr>
          <w:p w14:paraId="5393A6E6"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3.06%</w:t>
            </w:r>
          </w:p>
        </w:tc>
        <w:tc>
          <w:tcPr>
            <w:tcW w:w="647" w:type="pct"/>
            <w:vAlign w:val="center"/>
          </w:tcPr>
          <w:p w14:paraId="6276B280"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-5.55%</w:t>
            </w:r>
          </w:p>
        </w:tc>
        <w:tc>
          <w:tcPr>
            <w:tcW w:w="646" w:type="pct"/>
            <w:vAlign w:val="center"/>
          </w:tcPr>
          <w:p w14:paraId="7EAAB662"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0.37%</w:t>
            </w:r>
          </w:p>
        </w:tc>
      </w:tr>
    </w:tbl>
    <w:p w14:paraId="54482447" w14:textId="77777777" w:rsidR="008D76D6" w:rsidRDefault="008D76D6">
      <w:pPr>
        <w:spacing w:before="120" w:after="120"/>
        <w:ind w:firstLine="480"/>
        <w:rPr>
          <w:rFonts w:ascii="Times New Roman" w:hAnsi="Times New Roman"/>
        </w:rPr>
      </w:pPr>
      <w:r>
        <w:rPr>
          <w:rFonts w:ascii="Times New Roman" w:hAnsi="Times New Roman"/>
        </w:rPr>
        <w:t>由上表可知，相对于上一年度美元、欧元的平均记账汇率，报告期各期受汇率波动影响的收入金额分别为</w:t>
      </w:r>
      <w:r>
        <w:rPr>
          <w:rFonts w:ascii="Times New Roman" w:hAnsi="Times New Roman"/>
        </w:rPr>
        <w:t>128.25</w:t>
      </w:r>
      <w:r>
        <w:rPr>
          <w:rFonts w:ascii="Times New Roman" w:hAnsi="Times New Roman"/>
        </w:rPr>
        <w:t>万元、</w:t>
      </w:r>
      <w:r>
        <w:rPr>
          <w:rFonts w:ascii="Times New Roman" w:hAnsi="Times New Roman"/>
        </w:rPr>
        <w:t>-2,304.38</w:t>
      </w:r>
      <w:r>
        <w:rPr>
          <w:rFonts w:ascii="Times New Roman" w:hAnsi="Times New Roman"/>
        </w:rPr>
        <w:t>万元、</w:t>
      </w:r>
      <w:r>
        <w:rPr>
          <w:rFonts w:ascii="Times New Roman" w:hAnsi="Times New Roman"/>
        </w:rPr>
        <w:t>1,651.34</w:t>
      </w:r>
      <w:r>
        <w:rPr>
          <w:rFonts w:ascii="Times New Roman" w:hAnsi="Times New Roman"/>
        </w:rPr>
        <w:t>万元</w:t>
      </w:r>
      <w:r w:rsidR="0077008B">
        <w:rPr>
          <w:rFonts w:ascii="Times New Roman" w:hAnsi="Times New Roman" w:hint="eastAsia"/>
        </w:rPr>
        <w:t>及</w:t>
      </w:r>
      <w:r>
        <w:rPr>
          <w:rFonts w:ascii="Times New Roman" w:hAnsi="Times New Roman"/>
        </w:rPr>
        <w:t>1,372.96</w:t>
      </w:r>
      <w:r>
        <w:rPr>
          <w:rFonts w:ascii="Times New Roman" w:hAnsi="Times New Roman"/>
        </w:rPr>
        <w:t>万元。报告期内，销售额变动占营业收入的比例分别为</w:t>
      </w:r>
      <w:r>
        <w:rPr>
          <w:rFonts w:ascii="Times New Roman" w:hAnsi="Times New Roman"/>
        </w:rPr>
        <w:t>0.37%</w:t>
      </w:r>
      <w:r>
        <w:rPr>
          <w:rFonts w:ascii="Times New Roman" w:hAnsi="Times New Roman"/>
        </w:rPr>
        <w:t>、</w:t>
      </w:r>
      <w:r>
        <w:rPr>
          <w:rFonts w:ascii="Times New Roman" w:hAnsi="Times New Roman"/>
        </w:rPr>
        <w:t>-5.55%</w:t>
      </w:r>
      <w:r>
        <w:rPr>
          <w:rFonts w:ascii="Times New Roman" w:hAnsi="Times New Roman"/>
        </w:rPr>
        <w:t>、</w:t>
      </w:r>
      <w:r>
        <w:rPr>
          <w:rFonts w:ascii="Times New Roman" w:hAnsi="Times New Roman"/>
        </w:rPr>
        <w:t>3.06%</w:t>
      </w:r>
      <w:r w:rsidR="0077008B">
        <w:rPr>
          <w:rFonts w:ascii="Times New Roman" w:hAnsi="Times New Roman" w:hint="eastAsia"/>
        </w:rPr>
        <w:t>及</w:t>
      </w:r>
      <w:r>
        <w:rPr>
          <w:rFonts w:ascii="Times New Roman" w:hAnsi="Times New Roman"/>
        </w:rPr>
        <w:t>3.44%</w:t>
      </w:r>
      <w:r w:rsidRPr="00B434D2">
        <w:rPr>
          <w:rFonts w:ascii="宋体" w:hAnsi="宋体"/>
        </w:rPr>
        <w:t>,</w:t>
      </w:r>
      <w:r>
        <w:rPr>
          <w:rFonts w:ascii="Times New Roman" w:hAnsi="Times New Roman"/>
        </w:rPr>
        <w:t>占比相对较低，对公司境外销售影响较小。</w:t>
      </w:r>
    </w:p>
    <w:p w14:paraId="6EA49A52" w14:textId="77777777" w:rsidR="008D76D6" w:rsidRDefault="008D76D6">
      <w:pPr>
        <w:spacing w:before="120" w:after="120"/>
        <w:ind w:firstLine="480"/>
        <w:rPr>
          <w:rFonts w:ascii="Times New Roman" w:hAnsi="Times New Roman"/>
        </w:rPr>
      </w:pPr>
      <w:r>
        <w:rPr>
          <w:rFonts w:ascii="Times New Roman" w:hAnsi="Times New Roman"/>
        </w:rPr>
        <w:t>因此，贸易摩擦及汇率波动对公司生产经营的影响较小。</w:t>
      </w:r>
    </w:p>
    <w:p w14:paraId="3BC13686" w14:textId="77777777" w:rsidR="008D76D6" w:rsidRDefault="008D76D6">
      <w:pPr>
        <w:spacing w:before="120" w:after="120"/>
        <w:ind w:firstLine="480"/>
        <w:rPr>
          <w:rFonts w:ascii="Times New Roman" w:hAnsi="Times New Roman"/>
        </w:rPr>
      </w:pPr>
      <w:r>
        <w:rPr>
          <w:rFonts w:ascii="宋体" w:hAnsi="宋体" w:cs="宋体" w:hint="eastAsia"/>
        </w:rPr>
        <w:t>②</w:t>
      </w:r>
      <w:r>
        <w:rPr>
          <w:rFonts w:ascii="Times New Roman" w:hAnsi="Times New Roman"/>
        </w:rPr>
        <w:t>对公司募投项目实施的影响</w:t>
      </w:r>
    </w:p>
    <w:p w14:paraId="7E557A88" w14:textId="77777777" w:rsidR="008D76D6" w:rsidRDefault="008D76D6">
      <w:pPr>
        <w:spacing w:before="120" w:after="120"/>
        <w:ind w:firstLine="480"/>
        <w:rPr>
          <w:rFonts w:ascii="Times New Roman" w:hAnsi="Times New Roman"/>
        </w:rPr>
      </w:pPr>
      <w:r>
        <w:rPr>
          <w:rFonts w:ascii="Times New Roman" w:hAnsi="Times New Roman"/>
        </w:rPr>
        <w:t>在募投项目建设方面，本次募投项目的建设地点及主要供应商均在国内，贸易摩擦及汇率波动不会对公司募投项目的采购及建设产生影响。</w:t>
      </w:r>
    </w:p>
    <w:p w14:paraId="304ABB07" w14:textId="77777777" w:rsidR="008D76D6" w:rsidRDefault="008D76D6">
      <w:pPr>
        <w:spacing w:before="120" w:after="120"/>
        <w:ind w:firstLine="480"/>
      </w:pPr>
      <w:r>
        <w:rPr>
          <w:rFonts w:ascii="Times New Roman" w:hAnsi="Times New Roman"/>
        </w:rPr>
        <w:t>在募投项目产品销售方面，本次募投项目</w:t>
      </w:r>
      <w:r>
        <w:rPr>
          <w:rFonts w:ascii="宋体" w:hAnsi="宋体"/>
        </w:rPr>
        <w:t>“智慧节能阀门建设项目”</w:t>
      </w:r>
      <w:r>
        <w:rPr>
          <w:rFonts w:ascii="Times New Roman" w:hAnsi="Times New Roman"/>
        </w:rPr>
        <w:t>同时面向国内及境外市场。一方面，公司将与海外客户进行积极沟通，</w:t>
      </w:r>
      <w:r w:rsidR="0077008B">
        <w:rPr>
          <w:rFonts w:ascii="Times New Roman" w:hAnsi="Times New Roman" w:hint="eastAsia"/>
        </w:rPr>
        <w:t>减少</w:t>
      </w:r>
      <w:r>
        <w:rPr>
          <w:rFonts w:ascii="Times New Roman" w:hAnsi="Times New Roman"/>
        </w:rPr>
        <w:t>贸易摩擦、地缘冲突、汇率波动等带来的负面影响</w:t>
      </w:r>
      <w:r>
        <w:rPr>
          <w:rFonts w:ascii="Times New Roman" w:hAnsi="Times New Roman" w:hint="eastAsia"/>
        </w:rPr>
        <w:t>；</w:t>
      </w:r>
      <w:r>
        <w:rPr>
          <w:rFonts w:ascii="Times New Roman" w:hAnsi="Times New Roman"/>
        </w:rPr>
        <w:t>另一方面，公司也将深化与国内客户的合作，进一步建设营销网络，加强国内市场开拓，以扩大</w:t>
      </w:r>
      <w:r>
        <w:t>内销规模来对冲外销风险，减少贸易摩擦及汇率波动对募投项目产品市场的影响。</w:t>
      </w:r>
    </w:p>
    <w:p w14:paraId="3DF5CCB1" w14:textId="77777777" w:rsidR="008D76D6" w:rsidRDefault="008D76D6">
      <w:pPr>
        <w:spacing w:before="120" w:after="120"/>
        <w:ind w:firstLine="480"/>
      </w:pPr>
      <w:r>
        <w:t>因此，预计贸易摩擦及汇率波动对公司募投项目实施的影响较小。</w:t>
      </w:r>
    </w:p>
    <w:p w14:paraId="19BA7147" w14:textId="77777777" w:rsidR="008D76D6" w:rsidRDefault="008D76D6">
      <w:pPr>
        <w:spacing w:before="120" w:after="120"/>
        <w:ind w:firstLine="480"/>
      </w:pPr>
      <w:r>
        <w:rPr>
          <w:rFonts w:hint="eastAsia"/>
        </w:rPr>
        <w:t>③</w:t>
      </w:r>
      <w:r>
        <w:t>对汇兑损益的影响</w:t>
      </w:r>
    </w:p>
    <w:p w14:paraId="20987581" w14:textId="77777777" w:rsidR="008D76D6" w:rsidRDefault="008D76D6">
      <w:pPr>
        <w:spacing w:before="120" w:after="120"/>
        <w:ind w:firstLine="480"/>
      </w:pPr>
      <w:r>
        <w:t>公司境外销售主要使用外币结算，公司汇兑损益的产生与外币金融资产大小及汇率波动有关，并受到应收账款确认时点、收款账期、结汇时点、汇率变动等多种因素的影响。公司根据业务结算周期等持有相当数量的外币货币资金、外币应收款项等外币资产，人民币单边持续升值导致公司产生汇兑损失，人民币单边持续贬值导致公司产生汇兑收益。</w:t>
      </w:r>
    </w:p>
    <w:p w14:paraId="13E09EFF" w14:textId="77777777" w:rsidR="008D76D6" w:rsidRDefault="008D76D6">
      <w:pPr>
        <w:spacing w:before="120" w:after="120"/>
        <w:ind w:firstLine="480"/>
      </w:pPr>
      <w:r>
        <w:t>综上所述，</w:t>
      </w:r>
      <w:r>
        <w:rPr>
          <w:rFonts w:hint="eastAsia"/>
        </w:rPr>
        <w:t>本所律师认为，</w:t>
      </w:r>
      <w:r>
        <w:t>报告期内公司的对外销售业务符合我国以及出口国家的进出口政策，国际贸易摩擦和汇率波动未对公司生产经营、募投项目实施和汇兑损益造成重大不利影响。</w:t>
      </w:r>
    </w:p>
    <w:p w14:paraId="2B405AE7" w14:textId="77777777" w:rsidR="008D76D6" w:rsidRPr="00B434D2" w:rsidRDefault="008D76D6" w:rsidP="00B434D2">
      <w:pPr>
        <w:pStyle w:val="003"/>
        <w:spacing w:before="120" w:after="120"/>
        <w:ind w:firstLine="482"/>
      </w:pPr>
      <w:r w:rsidRPr="00B434D2">
        <w:rPr>
          <w:rFonts w:hint="eastAsia"/>
        </w:rPr>
        <w:t>二、结合报告期境外销售的主要业务模式和经营情况、按主要国家或地区划分的金额及占比、</w:t>
      </w:r>
      <w:r w:rsidRPr="00B434D2">
        <w:t>获取订单的方式、</w:t>
      </w:r>
      <w:r w:rsidRPr="00B434D2">
        <w:rPr>
          <w:rFonts w:hint="eastAsia"/>
        </w:rPr>
        <w:t>主要客户变化、相关信用政策、应收款项及回款</w:t>
      </w:r>
      <w:r w:rsidRPr="00B434D2">
        <w:t>、贴牌客户合作模式及协议签订情况</w:t>
      </w:r>
      <w:r w:rsidRPr="00B434D2">
        <w:rPr>
          <w:rFonts w:hint="eastAsia"/>
        </w:rPr>
        <w:t>等，说明境外销售收入的真实性</w:t>
      </w:r>
      <w:r w:rsidRPr="00B434D2">
        <w:t>、准确性</w:t>
      </w:r>
      <w:r w:rsidRPr="00B434D2">
        <w:rPr>
          <w:rFonts w:hint="eastAsia"/>
        </w:rPr>
        <w:t>，说明主要客户是否发生较大变动，如是，说明变动的原因及合理性</w:t>
      </w:r>
      <w:r w:rsidRPr="00B434D2">
        <w:t>；说明报告期内函证涉及金额占境外收入的比例，</w:t>
      </w:r>
      <w:r w:rsidRPr="00B434D2">
        <w:rPr>
          <w:rFonts w:hint="eastAsia"/>
        </w:rPr>
        <w:t>并结合报告期内回函</w:t>
      </w:r>
      <w:r w:rsidRPr="00B434D2">
        <w:t>率</w:t>
      </w:r>
      <w:r w:rsidRPr="00B434D2">
        <w:rPr>
          <w:rFonts w:hint="eastAsia"/>
        </w:rPr>
        <w:t>情况，说明</w:t>
      </w:r>
      <w:r w:rsidRPr="00B434D2">
        <w:t>未回函原因及对未回函客户收入的核查是否</w:t>
      </w:r>
      <w:r w:rsidRPr="00B434D2">
        <w:rPr>
          <w:rFonts w:hint="eastAsia"/>
        </w:rPr>
        <w:t>履行替代程序及充分性。</w:t>
      </w:r>
    </w:p>
    <w:p w14:paraId="5EEC2795" w14:textId="77777777" w:rsidR="008D76D6" w:rsidRDefault="008D76D6" w:rsidP="00B434D2">
      <w:pPr>
        <w:pStyle w:val="004"/>
        <w:spacing w:before="120" w:after="120"/>
        <w:ind w:firstLine="482"/>
      </w:pPr>
      <w:r>
        <w:rPr>
          <w:rFonts w:hint="eastAsia"/>
        </w:rPr>
        <w:t>（一）</w:t>
      </w:r>
      <w:r>
        <w:t>报告期境外销售的主要业务模式和经营情况</w:t>
      </w:r>
    </w:p>
    <w:p w14:paraId="24B76CE7" w14:textId="77777777" w:rsidR="008D76D6" w:rsidRDefault="008D76D6">
      <w:pPr>
        <w:spacing w:before="120" w:after="120"/>
        <w:ind w:firstLine="480"/>
      </w:pPr>
      <w:r>
        <w:rPr>
          <w:rFonts w:ascii="Times New Roman" w:hAnsi="Times New Roman"/>
        </w:rPr>
        <w:t>1</w:t>
      </w:r>
      <w:r>
        <w:rPr>
          <w:rFonts w:ascii="Times New Roman" w:hAnsi="Times New Roman"/>
        </w:rPr>
        <w:t>、</w:t>
      </w:r>
      <w:r>
        <w:t>境外销售主要业务模式</w:t>
      </w:r>
    </w:p>
    <w:p w14:paraId="2BD9915E" w14:textId="77777777" w:rsidR="008D76D6" w:rsidRDefault="008D76D6">
      <w:pPr>
        <w:spacing w:before="120" w:after="120"/>
        <w:ind w:firstLine="480"/>
      </w:pPr>
      <w:r>
        <w:t>公司境外销售主要采取贴牌和自有品牌模式相结合的业务模式，且主要以贴牌为主。在贴牌模式下，公司通过国内外知名阀门企业或阀门品牌运营商的质量考核成为其合格供应商后，按照客户的订制要求和技术标准生产专属产品，由客户以其自有品牌通过其销售网络进行销售</w:t>
      </w:r>
      <w:r w:rsidR="005771C9">
        <w:rPr>
          <w:rFonts w:hint="eastAsia"/>
        </w:rPr>
        <w:t>。</w:t>
      </w:r>
    </w:p>
    <w:p w14:paraId="54AA8682" w14:textId="77777777" w:rsidR="005771C9" w:rsidRDefault="005771C9">
      <w:pPr>
        <w:spacing w:before="120" w:after="120"/>
        <w:ind w:firstLine="480"/>
        <w:rPr>
          <w:rFonts w:hint="eastAsia"/>
        </w:rPr>
      </w:pPr>
      <w:r>
        <w:t>在自有品牌模式下，公司利用北美和欧洲等市场客户基础，充分发挥英国、美国、香港子公司的国际销售平台和销售团队能力，推进自主</w:t>
      </w:r>
      <w:r>
        <w:rPr>
          <w:rFonts w:ascii="宋体" w:hAnsi="宋体"/>
        </w:rPr>
        <w:t>品牌“</w:t>
      </w:r>
      <w:r w:rsidRPr="00B434D2">
        <w:rPr>
          <w:rFonts w:ascii="Times New Roman" w:hAnsi="Times New Roman"/>
        </w:rPr>
        <w:t>WEFLO</w:t>
      </w:r>
      <w:r>
        <w:rPr>
          <w:rFonts w:ascii="宋体" w:hAnsi="宋体"/>
        </w:rPr>
        <w:t>”的市</w:t>
      </w:r>
      <w:r>
        <w:t>场开拓。</w:t>
      </w:r>
    </w:p>
    <w:p w14:paraId="2CF70E62" w14:textId="77777777" w:rsidR="008D76D6" w:rsidRDefault="008D76D6">
      <w:pPr>
        <w:spacing w:before="120" w:after="120"/>
        <w:ind w:firstLine="480"/>
      </w:pPr>
      <w:r>
        <w:t>报告期各期，公司外销</w:t>
      </w:r>
      <w:r>
        <w:rPr>
          <w:rFonts w:hint="eastAsia"/>
        </w:rPr>
        <w:t>收入按照</w:t>
      </w:r>
      <w:r>
        <w:t>业务模式的构成情况如下：</w:t>
      </w:r>
    </w:p>
    <w:p w14:paraId="1CEF8152" w14:textId="77777777" w:rsidR="008D76D6" w:rsidRDefault="008D76D6">
      <w:pPr>
        <w:spacing w:beforeLines="0" w:before="0" w:afterLines="0" w:after="0" w:line="240" w:lineRule="auto"/>
        <w:ind w:firstLine="420"/>
        <w:jc w:val="right"/>
        <w:rPr>
          <w:sz w:val="21"/>
        </w:rPr>
      </w:pPr>
      <w:r>
        <w:rPr>
          <w:sz w:val="21"/>
        </w:rPr>
        <w:t>单位</w:t>
      </w:r>
      <w:r>
        <w:rPr>
          <w:sz w:val="21"/>
        </w:rPr>
        <w:t>:</w:t>
      </w:r>
      <w:r>
        <w:rPr>
          <w:sz w:val="21"/>
        </w:rPr>
        <w:t>万元</w:t>
      </w:r>
    </w:p>
    <w:tbl>
      <w:tblPr>
        <w:tblW w:w="6000" w:type="pct"/>
        <w:jc w:val="center"/>
        <w:tblInd w:w="0" w:type="dxa"/>
        <w:tblBorders>
          <w:top w:val="single" w:sz="6" w:space="0" w:color="010000"/>
          <w:left w:val="single" w:sz="6" w:space="0" w:color="010000"/>
          <w:bottom w:val="single" w:sz="6" w:space="0" w:color="010000"/>
          <w:right w:val="single" w:sz="6" w:space="0" w:color="010000"/>
          <w:insideH w:val="single" w:sz="6" w:space="0" w:color="010000"/>
          <w:insideV w:val="single" w:sz="6" w:space="0" w:color="010000"/>
        </w:tblBorders>
        <w:tblLook w:val="0000" w:firstRow="0" w:lastRow="0" w:firstColumn="0" w:lastColumn="0" w:noHBand="0" w:noVBand="0"/>
      </w:tblPr>
      <w:tblGrid>
        <w:gridCol w:w="1458"/>
        <w:gridCol w:w="1056"/>
        <w:gridCol w:w="1157"/>
        <w:gridCol w:w="1222"/>
        <w:gridCol w:w="1157"/>
        <w:gridCol w:w="1223"/>
        <w:gridCol w:w="1158"/>
        <w:gridCol w:w="1223"/>
        <w:gridCol w:w="1158"/>
      </w:tblGrid>
      <w:tr w:rsidR="008D76D6" w14:paraId="2871801F" w14:textId="77777777">
        <w:trPr>
          <w:cantSplit/>
          <w:trHeight w:val="397"/>
          <w:tblHeader/>
          <w:jc w:val="center"/>
        </w:trPr>
        <w:tc>
          <w:tcPr>
            <w:tcW w:w="718" w:type="pct"/>
            <w:vMerge w:val="restart"/>
            <w:shd w:val="clear" w:color="auto" w:fill="D9D9D9"/>
            <w:vAlign w:val="center"/>
          </w:tcPr>
          <w:p w14:paraId="2B40F7B7" w14:textId="77777777" w:rsidR="008D76D6" w:rsidRDefault="00D9322E" w:rsidP="00CE3CA5">
            <w:pPr>
              <w:keepNext/>
              <w:spacing w:beforeLines="0" w:before="0" w:afterLines="0" w:after="0" w:line="240" w:lineRule="auto"/>
              <w:ind w:firstLineChars="0" w:firstLine="0"/>
              <w:jc w:val="center"/>
              <w:rPr>
                <w:rFonts w:ascii="Times New Roman" w:hAnsi="Times New Roman" w:hint="eastAsia"/>
                <w:b/>
                <w:color w:val="000000"/>
                <w:sz w:val="21"/>
              </w:rPr>
            </w:pPr>
            <w:r>
              <w:rPr>
                <w:rFonts w:ascii="Times New Roman" w:hAnsi="Times New Roman" w:hint="eastAsia"/>
                <w:b/>
                <w:color w:val="000000"/>
                <w:sz w:val="21"/>
              </w:rPr>
              <w:t>业务模式</w:t>
            </w:r>
          </w:p>
        </w:tc>
        <w:tc>
          <w:tcPr>
            <w:tcW w:w="718" w:type="pct"/>
            <w:gridSpan w:val="2"/>
            <w:shd w:val="clear" w:color="auto" w:fill="D9D9D9"/>
            <w:vAlign w:val="center"/>
          </w:tcPr>
          <w:p w14:paraId="766BE18C"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2023</w:t>
            </w:r>
            <w:r>
              <w:rPr>
                <w:rFonts w:ascii="Times New Roman" w:hAnsi="Times New Roman"/>
                <w:b/>
                <w:color w:val="000000"/>
                <w:sz w:val="21"/>
              </w:rPr>
              <w:t>年</w:t>
            </w:r>
            <w:r>
              <w:rPr>
                <w:rFonts w:ascii="Times New Roman" w:hAnsi="Times New Roman"/>
                <w:b/>
                <w:color w:val="000000"/>
                <w:sz w:val="21"/>
              </w:rPr>
              <w:t>1-9</w:t>
            </w:r>
            <w:r>
              <w:rPr>
                <w:rFonts w:ascii="Times New Roman" w:hAnsi="Times New Roman"/>
                <w:b/>
                <w:color w:val="000000"/>
                <w:sz w:val="21"/>
              </w:rPr>
              <w:t>月</w:t>
            </w:r>
          </w:p>
        </w:tc>
        <w:tc>
          <w:tcPr>
            <w:tcW w:w="1188" w:type="pct"/>
            <w:gridSpan w:val="2"/>
            <w:shd w:val="clear" w:color="auto" w:fill="D9D9D9"/>
            <w:vAlign w:val="center"/>
          </w:tcPr>
          <w:p w14:paraId="23B8AF4C"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2022</w:t>
            </w:r>
            <w:r>
              <w:rPr>
                <w:rFonts w:ascii="Times New Roman" w:hAnsi="Times New Roman"/>
                <w:b/>
                <w:color w:val="000000"/>
                <w:sz w:val="21"/>
              </w:rPr>
              <w:t>年度</w:t>
            </w:r>
          </w:p>
        </w:tc>
        <w:tc>
          <w:tcPr>
            <w:tcW w:w="1188" w:type="pct"/>
            <w:gridSpan w:val="2"/>
            <w:shd w:val="clear" w:color="auto" w:fill="D9D9D9"/>
            <w:vAlign w:val="center"/>
          </w:tcPr>
          <w:p w14:paraId="7F29BEC3"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2021</w:t>
            </w:r>
            <w:r>
              <w:rPr>
                <w:rFonts w:ascii="Times New Roman" w:hAnsi="Times New Roman"/>
                <w:b/>
                <w:color w:val="000000"/>
                <w:sz w:val="21"/>
              </w:rPr>
              <w:t>年度</w:t>
            </w:r>
          </w:p>
        </w:tc>
        <w:tc>
          <w:tcPr>
            <w:tcW w:w="1188" w:type="pct"/>
            <w:gridSpan w:val="2"/>
            <w:shd w:val="clear" w:color="auto" w:fill="D9D9D9"/>
            <w:vAlign w:val="center"/>
          </w:tcPr>
          <w:p w14:paraId="7F883BF7"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2020</w:t>
            </w:r>
            <w:r>
              <w:rPr>
                <w:rFonts w:ascii="Times New Roman" w:hAnsi="Times New Roman"/>
                <w:b/>
                <w:color w:val="000000"/>
                <w:sz w:val="21"/>
              </w:rPr>
              <w:t>年度</w:t>
            </w:r>
          </w:p>
        </w:tc>
      </w:tr>
      <w:tr w:rsidR="008D76D6" w14:paraId="5155606A" w14:textId="77777777">
        <w:trPr>
          <w:cantSplit/>
          <w:trHeight w:val="397"/>
          <w:tblHeader/>
          <w:jc w:val="center"/>
        </w:trPr>
        <w:tc>
          <w:tcPr>
            <w:tcW w:w="718" w:type="pct"/>
            <w:vMerge/>
            <w:shd w:val="clear" w:color="auto" w:fill="D9D9D9"/>
            <w:vAlign w:val="center"/>
          </w:tcPr>
          <w:p w14:paraId="254CF5D0"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p>
        </w:tc>
        <w:tc>
          <w:tcPr>
            <w:tcW w:w="139" w:type="pct"/>
            <w:shd w:val="clear" w:color="auto" w:fill="D9D9D9"/>
            <w:vAlign w:val="center"/>
          </w:tcPr>
          <w:p w14:paraId="147EEA28"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金额</w:t>
            </w:r>
          </w:p>
        </w:tc>
        <w:tc>
          <w:tcPr>
            <w:tcW w:w="579" w:type="pct"/>
            <w:shd w:val="clear" w:color="auto" w:fill="D9D9D9"/>
            <w:vAlign w:val="center"/>
          </w:tcPr>
          <w:p w14:paraId="63E9BFD8"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占比</w:t>
            </w:r>
          </w:p>
        </w:tc>
        <w:tc>
          <w:tcPr>
            <w:tcW w:w="609" w:type="pct"/>
            <w:shd w:val="clear" w:color="auto" w:fill="D9D9D9"/>
            <w:vAlign w:val="center"/>
          </w:tcPr>
          <w:p w14:paraId="1971ADF8"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金额</w:t>
            </w:r>
          </w:p>
        </w:tc>
        <w:tc>
          <w:tcPr>
            <w:tcW w:w="579" w:type="pct"/>
            <w:shd w:val="clear" w:color="auto" w:fill="D9D9D9"/>
            <w:vAlign w:val="center"/>
          </w:tcPr>
          <w:p w14:paraId="392BB72B"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占比</w:t>
            </w:r>
          </w:p>
        </w:tc>
        <w:tc>
          <w:tcPr>
            <w:tcW w:w="609" w:type="pct"/>
            <w:shd w:val="clear" w:color="auto" w:fill="D9D9D9"/>
            <w:vAlign w:val="center"/>
          </w:tcPr>
          <w:p w14:paraId="5D1ECFAD"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金额</w:t>
            </w:r>
          </w:p>
        </w:tc>
        <w:tc>
          <w:tcPr>
            <w:tcW w:w="579" w:type="pct"/>
            <w:shd w:val="clear" w:color="auto" w:fill="D9D9D9"/>
            <w:vAlign w:val="center"/>
          </w:tcPr>
          <w:p w14:paraId="0211FEA3"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占比</w:t>
            </w:r>
          </w:p>
        </w:tc>
        <w:tc>
          <w:tcPr>
            <w:tcW w:w="609" w:type="pct"/>
            <w:shd w:val="clear" w:color="auto" w:fill="D9D9D9"/>
            <w:vAlign w:val="center"/>
          </w:tcPr>
          <w:p w14:paraId="07625E14"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金额</w:t>
            </w:r>
          </w:p>
        </w:tc>
        <w:tc>
          <w:tcPr>
            <w:tcW w:w="579" w:type="pct"/>
            <w:shd w:val="clear" w:color="auto" w:fill="D9D9D9"/>
            <w:vAlign w:val="center"/>
          </w:tcPr>
          <w:p w14:paraId="63BFD4D8"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占比</w:t>
            </w:r>
          </w:p>
        </w:tc>
      </w:tr>
      <w:tr w:rsidR="008D76D6" w14:paraId="3514C165" w14:textId="77777777">
        <w:trPr>
          <w:cantSplit/>
          <w:trHeight w:val="397"/>
          <w:jc w:val="center"/>
        </w:trPr>
        <w:tc>
          <w:tcPr>
            <w:tcW w:w="718" w:type="pct"/>
            <w:vAlign w:val="center"/>
          </w:tcPr>
          <w:p w14:paraId="53609A06"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贴牌</w:t>
            </w:r>
          </w:p>
        </w:tc>
        <w:tc>
          <w:tcPr>
            <w:tcW w:w="139" w:type="pct"/>
            <w:vAlign w:val="center"/>
          </w:tcPr>
          <w:p w14:paraId="3C01B80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23,015.16</w:t>
            </w:r>
          </w:p>
        </w:tc>
        <w:tc>
          <w:tcPr>
            <w:tcW w:w="579" w:type="pct"/>
            <w:vAlign w:val="center"/>
          </w:tcPr>
          <w:p w14:paraId="28FD312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71.80%</w:t>
            </w:r>
          </w:p>
        </w:tc>
        <w:tc>
          <w:tcPr>
            <w:tcW w:w="609" w:type="pct"/>
            <w:vAlign w:val="center"/>
          </w:tcPr>
          <w:p w14:paraId="14531B0E"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31,809.86</w:t>
            </w:r>
          </w:p>
        </w:tc>
        <w:tc>
          <w:tcPr>
            <w:tcW w:w="579" w:type="pct"/>
            <w:vAlign w:val="center"/>
          </w:tcPr>
          <w:p w14:paraId="5341ADEB"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70.50%</w:t>
            </w:r>
          </w:p>
        </w:tc>
        <w:tc>
          <w:tcPr>
            <w:tcW w:w="609" w:type="pct"/>
            <w:vAlign w:val="center"/>
          </w:tcPr>
          <w:p w14:paraId="19B9F54D"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21,746.56</w:t>
            </w:r>
          </w:p>
        </w:tc>
        <w:tc>
          <w:tcPr>
            <w:tcW w:w="579" w:type="pct"/>
            <w:vAlign w:val="center"/>
          </w:tcPr>
          <w:p w14:paraId="0E045827"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69.53%</w:t>
            </w:r>
          </w:p>
        </w:tc>
        <w:tc>
          <w:tcPr>
            <w:tcW w:w="609" w:type="pct"/>
            <w:vAlign w:val="center"/>
          </w:tcPr>
          <w:p w14:paraId="57B68717"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18,058.17</w:t>
            </w:r>
          </w:p>
        </w:tc>
        <w:tc>
          <w:tcPr>
            <w:tcW w:w="579" w:type="pct"/>
            <w:vAlign w:val="center"/>
          </w:tcPr>
          <w:p w14:paraId="10695CAB"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65.42%</w:t>
            </w:r>
          </w:p>
        </w:tc>
      </w:tr>
      <w:tr w:rsidR="008D76D6" w14:paraId="6DBC20A9" w14:textId="77777777">
        <w:trPr>
          <w:cantSplit/>
          <w:trHeight w:val="397"/>
          <w:jc w:val="center"/>
        </w:trPr>
        <w:tc>
          <w:tcPr>
            <w:tcW w:w="718" w:type="pct"/>
            <w:vAlign w:val="center"/>
          </w:tcPr>
          <w:p w14:paraId="784C1F26"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自有品牌</w:t>
            </w:r>
          </w:p>
        </w:tc>
        <w:tc>
          <w:tcPr>
            <w:tcW w:w="139" w:type="pct"/>
            <w:vAlign w:val="center"/>
          </w:tcPr>
          <w:p w14:paraId="1B53DE62"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9,040.94</w:t>
            </w:r>
          </w:p>
        </w:tc>
        <w:tc>
          <w:tcPr>
            <w:tcW w:w="579" w:type="pct"/>
            <w:vAlign w:val="center"/>
          </w:tcPr>
          <w:p w14:paraId="7B870687"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28.20%</w:t>
            </w:r>
          </w:p>
        </w:tc>
        <w:tc>
          <w:tcPr>
            <w:tcW w:w="609" w:type="pct"/>
            <w:vAlign w:val="center"/>
          </w:tcPr>
          <w:p w14:paraId="06125A57"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13,308.4</w:t>
            </w:r>
            <w:r w:rsidR="00521EE9">
              <w:rPr>
                <w:rFonts w:ascii="Times New Roman" w:hAnsi="Times New Roman"/>
                <w:color w:val="000000"/>
                <w:sz w:val="21"/>
              </w:rPr>
              <w:t>2</w:t>
            </w:r>
          </w:p>
        </w:tc>
        <w:tc>
          <w:tcPr>
            <w:tcW w:w="579" w:type="pct"/>
            <w:vAlign w:val="center"/>
          </w:tcPr>
          <w:p w14:paraId="0920614C"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29.50%</w:t>
            </w:r>
          </w:p>
        </w:tc>
        <w:tc>
          <w:tcPr>
            <w:tcW w:w="609" w:type="pct"/>
            <w:vAlign w:val="center"/>
          </w:tcPr>
          <w:p w14:paraId="3A416219"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9,528.71</w:t>
            </w:r>
          </w:p>
        </w:tc>
        <w:tc>
          <w:tcPr>
            <w:tcW w:w="579" w:type="pct"/>
            <w:vAlign w:val="center"/>
          </w:tcPr>
          <w:p w14:paraId="795D297A"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30.47%</w:t>
            </w:r>
          </w:p>
        </w:tc>
        <w:tc>
          <w:tcPr>
            <w:tcW w:w="609" w:type="pct"/>
            <w:vAlign w:val="center"/>
          </w:tcPr>
          <w:p w14:paraId="060D29B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9,54</w:t>
            </w:r>
            <w:r w:rsidR="009428DD">
              <w:rPr>
                <w:rFonts w:ascii="Times New Roman" w:hAnsi="Times New Roman"/>
                <w:color w:val="000000"/>
                <w:sz w:val="21"/>
              </w:rPr>
              <w:t>5</w:t>
            </w:r>
            <w:r>
              <w:rPr>
                <w:rFonts w:ascii="Times New Roman" w:hAnsi="Times New Roman"/>
                <w:color w:val="000000"/>
                <w:sz w:val="21"/>
              </w:rPr>
              <w:t>.</w:t>
            </w:r>
            <w:r w:rsidR="009428DD">
              <w:rPr>
                <w:rFonts w:ascii="Times New Roman" w:hAnsi="Times New Roman"/>
                <w:color w:val="000000"/>
                <w:sz w:val="21"/>
              </w:rPr>
              <w:t>99</w:t>
            </w:r>
          </w:p>
        </w:tc>
        <w:tc>
          <w:tcPr>
            <w:tcW w:w="579" w:type="pct"/>
            <w:vAlign w:val="center"/>
          </w:tcPr>
          <w:p w14:paraId="4205A5F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34.58%</w:t>
            </w:r>
          </w:p>
        </w:tc>
      </w:tr>
      <w:tr w:rsidR="008D76D6" w14:paraId="4BAB8943" w14:textId="77777777">
        <w:trPr>
          <w:cantSplit/>
          <w:trHeight w:val="397"/>
          <w:jc w:val="center"/>
        </w:trPr>
        <w:tc>
          <w:tcPr>
            <w:tcW w:w="718" w:type="pct"/>
            <w:vAlign w:val="center"/>
          </w:tcPr>
          <w:p w14:paraId="653DD4E0" w14:textId="77777777" w:rsidR="008D76D6" w:rsidRDefault="008D76D6" w:rsidP="00CE3CA5">
            <w:pPr>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合计</w:t>
            </w:r>
          </w:p>
        </w:tc>
        <w:tc>
          <w:tcPr>
            <w:tcW w:w="139" w:type="pct"/>
            <w:vAlign w:val="center"/>
          </w:tcPr>
          <w:p w14:paraId="101C7B5B" w14:textId="77777777" w:rsidR="008D76D6" w:rsidRDefault="008D76D6" w:rsidP="00CE3CA5">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32,056.10</w:t>
            </w:r>
          </w:p>
        </w:tc>
        <w:tc>
          <w:tcPr>
            <w:tcW w:w="579" w:type="pct"/>
            <w:vAlign w:val="center"/>
          </w:tcPr>
          <w:p w14:paraId="2FB50DB4" w14:textId="77777777" w:rsidR="008D76D6" w:rsidRDefault="008D76D6" w:rsidP="00CE3CA5">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100.00%</w:t>
            </w:r>
          </w:p>
        </w:tc>
        <w:tc>
          <w:tcPr>
            <w:tcW w:w="609" w:type="pct"/>
            <w:vAlign w:val="center"/>
          </w:tcPr>
          <w:p w14:paraId="4FDB7C58" w14:textId="77777777" w:rsidR="008D76D6" w:rsidRDefault="008D76D6" w:rsidP="00CE3CA5">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45,118.2</w:t>
            </w:r>
            <w:r w:rsidR="00521EE9">
              <w:rPr>
                <w:rFonts w:ascii="Times New Roman" w:hAnsi="Times New Roman"/>
                <w:b/>
                <w:bCs/>
                <w:color w:val="000000"/>
                <w:sz w:val="21"/>
              </w:rPr>
              <w:t>8</w:t>
            </w:r>
          </w:p>
        </w:tc>
        <w:tc>
          <w:tcPr>
            <w:tcW w:w="579" w:type="pct"/>
            <w:vAlign w:val="center"/>
          </w:tcPr>
          <w:p w14:paraId="323E2086" w14:textId="77777777" w:rsidR="008D76D6" w:rsidRDefault="008D76D6" w:rsidP="00CE3CA5">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100.00%</w:t>
            </w:r>
          </w:p>
        </w:tc>
        <w:tc>
          <w:tcPr>
            <w:tcW w:w="609" w:type="pct"/>
            <w:vAlign w:val="center"/>
          </w:tcPr>
          <w:p w14:paraId="14728561" w14:textId="77777777" w:rsidR="008D76D6" w:rsidRDefault="008D76D6" w:rsidP="00CE3CA5">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31,275.26</w:t>
            </w:r>
          </w:p>
        </w:tc>
        <w:tc>
          <w:tcPr>
            <w:tcW w:w="579" w:type="pct"/>
            <w:vAlign w:val="center"/>
          </w:tcPr>
          <w:p w14:paraId="0873A5C5" w14:textId="77777777" w:rsidR="008D76D6" w:rsidRDefault="008D76D6" w:rsidP="00CE3CA5">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100.00%</w:t>
            </w:r>
          </w:p>
        </w:tc>
        <w:tc>
          <w:tcPr>
            <w:tcW w:w="609" w:type="pct"/>
            <w:vAlign w:val="center"/>
          </w:tcPr>
          <w:p w14:paraId="57AB2DA3" w14:textId="77777777" w:rsidR="008D76D6" w:rsidRDefault="008D76D6" w:rsidP="00CE3CA5">
            <w:pPr>
              <w:spacing w:beforeLines="0" w:before="0" w:afterLines="0" w:after="0" w:line="240" w:lineRule="auto"/>
              <w:ind w:firstLineChars="0" w:firstLine="0"/>
              <w:jc w:val="right"/>
              <w:rPr>
                <w:rFonts w:ascii="Times New Roman" w:hAnsi="Times New Roman"/>
                <w:b/>
                <w:bCs/>
                <w:color w:val="000000"/>
                <w:sz w:val="21"/>
              </w:rPr>
            </w:pPr>
            <w:bookmarkStart w:id="11" w:name="_Hlk153866377"/>
            <w:r>
              <w:rPr>
                <w:rFonts w:ascii="Times New Roman" w:hAnsi="Times New Roman"/>
                <w:b/>
                <w:bCs/>
                <w:color w:val="000000"/>
                <w:sz w:val="21"/>
              </w:rPr>
              <w:t>27,604.</w:t>
            </w:r>
            <w:r w:rsidR="009428DD">
              <w:rPr>
                <w:rFonts w:ascii="Times New Roman" w:hAnsi="Times New Roman"/>
                <w:b/>
                <w:bCs/>
                <w:color w:val="000000"/>
                <w:sz w:val="21"/>
              </w:rPr>
              <w:t>16</w:t>
            </w:r>
            <w:bookmarkEnd w:id="11"/>
          </w:p>
        </w:tc>
        <w:tc>
          <w:tcPr>
            <w:tcW w:w="579" w:type="pct"/>
            <w:vAlign w:val="center"/>
          </w:tcPr>
          <w:p w14:paraId="5D02B375" w14:textId="77777777" w:rsidR="008D76D6" w:rsidRDefault="008D76D6" w:rsidP="00CE3CA5">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100.00%</w:t>
            </w:r>
          </w:p>
        </w:tc>
      </w:tr>
    </w:tbl>
    <w:p w14:paraId="0EBDAF8D" w14:textId="77777777" w:rsidR="008D76D6" w:rsidRDefault="008D76D6">
      <w:pPr>
        <w:spacing w:before="120" w:after="120"/>
        <w:ind w:firstLine="480"/>
        <w:rPr>
          <w:rFonts w:ascii="Times New Roman" w:hAnsi="Times New Roman"/>
        </w:rPr>
      </w:pPr>
      <w:r>
        <w:rPr>
          <w:rFonts w:ascii="Times New Roman" w:hAnsi="Times New Roman"/>
        </w:rPr>
        <w:t>2</w:t>
      </w:r>
      <w:r>
        <w:rPr>
          <w:rFonts w:ascii="Times New Roman" w:hAnsi="Times New Roman"/>
        </w:rPr>
        <w:t>、公司境外经营情况</w:t>
      </w:r>
    </w:p>
    <w:p w14:paraId="1E047064" w14:textId="77777777" w:rsidR="008D76D6" w:rsidRDefault="008D76D6">
      <w:pPr>
        <w:spacing w:before="120" w:after="120"/>
        <w:ind w:firstLine="480"/>
        <w:rPr>
          <w:rFonts w:ascii="Times New Roman" w:hAnsi="Times New Roman"/>
        </w:rPr>
      </w:pPr>
      <w:r>
        <w:rPr>
          <w:rFonts w:ascii="Times New Roman" w:hAnsi="Times New Roman"/>
        </w:rPr>
        <w:t>报告期各期，公司外销收入分别为</w:t>
      </w:r>
      <w:r>
        <w:rPr>
          <w:rFonts w:ascii="Times New Roman" w:hAnsi="Times New Roman"/>
        </w:rPr>
        <w:t>27,604.43</w:t>
      </w:r>
      <w:r>
        <w:rPr>
          <w:rFonts w:ascii="Times New Roman" w:hAnsi="Times New Roman"/>
        </w:rPr>
        <w:t>万元、</w:t>
      </w:r>
      <w:r>
        <w:rPr>
          <w:rFonts w:ascii="Times New Roman" w:hAnsi="Times New Roman"/>
        </w:rPr>
        <w:t>31,275.26</w:t>
      </w:r>
      <w:r>
        <w:rPr>
          <w:rFonts w:ascii="Times New Roman" w:hAnsi="Times New Roman"/>
        </w:rPr>
        <w:t>万元、</w:t>
      </w:r>
      <w:r>
        <w:rPr>
          <w:rFonts w:ascii="Times New Roman" w:hAnsi="Times New Roman"/>
        </w:rPr>
        <w:t>45,118.29</w:t>
      </w:r>
      <w:r>
        <w:rPr>
          <w:rFonts w:ascii="Times New Roman" w:hAnsi="Times New Roman"/>
        </w:rPr>
        <w:t>万元</w:t>
      </w:r>
      <w:r w:rsidR="007D2FE8">
        <w:rPr>
          <w:rFonts w:ascii="Times New Roman" w:hAnsi="Times New Roman" w:hint="eastAsia"/>
        </w:rPr>
        <w:t>及</w:t>
      </w:r>
      <w:r>
        <w:rPr>
          <w:rFonts w:ascii="Times New Roman" w:hAnsi="Times New Roman"/>
        </w:rPr>
        <w:t>32,056.10</w:t>
      </w:r>
      <w:r>
        <w:rPr>
          <w:rFonts w:ascii="Times New Roman" w:hAnsi="Times New Roman"/>
        </w:rPr>
        <w:t>万元，占收入的比重分别为</w:t>
      </w:r>
      <w:r>
        <w:rPr>
          <w:rFonts w:ascii="Times New Roman" w:hAnsi="Times New Roman"/>
        </w:rPr>
        <w:t>80.11%</w:t>
      </w:r>
      <w:r>
        <w:rPr>
          <w:rFonts w:ascii="Times New Roman" w:hAnsi="Times New Roman"/>
        </w:rPr>
        <w:t>、</w:t>
      </w:r>
      <w:r>
        <w:rPr>
          <w:rFonts w:ascii="Times New Roman" w:hAnsi="Times New Roman"/>
        </w:rPr>
        <w:t>75.33%</w:t>
      </w:r>
      <w:r>
        <w:rPr>
          <w:rFonts w:ascii="Times New Roman" w:hAnsi="Times New Roman"/>
        </w:rPr>
        <w:t>、</w:t>
      </w:r>
      <w:r>
        <w:rPr>
          <w:rFonts w:ascii="Times New Roman" w:hAnsi="Times New Roman"/>
        </w:rPr>
        <w:t>83.53%</w:t>
      </w:r>
      <w:r>
        <w:rPr>
          <w:rFonts w:ascii="Times New Roman" w:hAnsi="Times New Roman"/>
        </w:rPr>
        <w:t>及</w:t>
      </w:r>
      <w:r>
        <w:rPr>
          <w:rFonts w:ascii="Times New Roman" w:hAnsi="Times New Roman"/>
        </w:rPr>
        <w:t>80.32%</w:t>
      </w:r>
      <w:r>
        <w:rPr>
          <w:rFonts w:ascii="Times New Roman" w:hAnsi="Times New Roman"/>
        </w:rPr>
        <w:t>，为收入的主要来源。公司国际销售业务主要以美元结算，</w:t>
      </w:r>
      <w:r>
        <w:rPr>
          <w:rFonts w:ascii="Times New Roman" w:hAnsi="Times New Roman"/>
        </w:rPr>
        <w:t>2022</w:t>
      </w:r>
      <w:r>
        <w:rPr>
          <w:rFonts w:ascii="Times New Roman" w:hAnsi="Times New Roman"/>
        </w:rPr>
        <w:t>年以来，美元对人民币年度平均汇率有所上升，对公司出口业绩产生一定的正向影响。</w:t>
      </w:r>
    </w:p>
    <w:p w14:paraId="2B5880B3" w14:textId="77777777" w:rsidR="008D76D6" w:rsidRDefault="008D76D6" w:rsidP="00B434D2">
      <w:pPr>
        <w:pStyle w:val="004"/>
        <w:spacing w:before="120" w:after="120"/>
        <w:ind w:firstLine="482"/>
      </w:pPr>
      <w:r>
        <w:rPr>
          <w:rFonts w:hint="eastAsia"/>
        </w:rPr>
        <w:t>（二）</w:t>
      </w:r>
      <w:r>
        <w:t>按主要国家或地区划分的金额及占比</w:t>
      </w:r>
    </w:p>
    <w:p w14:paraId="7D4E1ABB" w14:textId="77777777" w:rsidR="008D76D6" w:rsidRDefault="008D76D6">
      <w:pPr>
        <w:spacing w:before="120" w:after="120"/>
        <w:ind w:firstLine="480"/>
      </w:pPr>
      <w:r>
        <w:t>报告期内，公司境外主营业务收入按主要国家划分的金额及占比情况列示如下：</w:t>
      </w:r>
    </w:p>
    <w:p w14:paraId="3864719E" w14:textId="77777777" w:rsidR="008D76D6" w:rsidRDefault="008D76D6">
      <w:pPr>
        <w:shd w:val="clear" w:color="auto" w:fill="FFFFFF"/>
        <w:spacing w:beforeLines="0" w:before="0" w:afterLines="0" w:after="0" w:line="240" w:lineRule="auto"/>
        <w:ind w:firstLine="420"/>
        <w:jc w:val="right"/>
        <w:rPr>
          <w:kern w:val="0"/>
          <w:sz w:val="21"/>
          <w:szCs w:val="21"/>
        </w:rPr>
      </w:pPr>
      <w:r>
        <w:rPr>
          <w:kern w:val="0"/>
          <w:sz w:val="21"/>
          <w:szCs w:val="21"/>
        </w:rPr>
        <w:t>单位：万元</w:t>
      </w:r>
    </w:p>
    <w:tbl>
      <w:tblPr>
        <w:tblW w:w="6000" w:type="pct"/>
        <w:jc w:val="center"/>
        <w:tblInd w:w="0" w:type="dxa"/>
        <w:tblBorders>
          <w:top w:val="single" w:sz="6" w:space="0" w:color="010000"/>
          <w:left w:val="single" w:sz="6" w:space="0" w:color="010000"/>
          <w:bottom w:val="single" w:sz="6" w:space="0" w:color="010000"/>
          <w:right w:val="single" w:sz="6" w:space="0" w:color="010000"/>
          <w:insideH w:val="single" w:sz="6" w:space="0" w:color="010000"/>
          <w:insideV w:val="single" w:sz="6" w:space="0" w:color="010000"/>
        </w:tblBorders>
        <w:tblLook w:val="0000" w:firstRow="0" w:lastRow="0" w:firstColumn="0" w:lastColumn="0" w:noHBand="0" w:noVBand="0"/>
      </w:tblPr>
      <w:tblGrid>
        <w:gridCol w:w="1322"/>
        <w:gridCol w:w="1056"/>
        <w:gridCol w:w="1177"/>
        <w:gridCol w:w="1242"/>
        <w:gridCol w:w="1177"/>
        <w:gridCol w:w="1242"/>
        <w:gridCol w:w="1177"/>
        <w:gridCol w:w="1243"/>
        <w:gridCol w:w="1176"/>
      </w:tblGrid>
      <w:tr w:rsidR="008D76D6" w14:paraId="7E30513B" w14:textId="77777777">
        <w:trPr>
          <w:cantSplit/>
          <w:trHeight w:val="397"/>
          <w:tblHeader/>
          <w:jc w:val="center"/>
        </w:trPr>
        <w:tc>
          <w:tcPr>
            <w:tcW w:w="613" w:type="pct"/>
            <w:vMerge w:val="restart"/>
            <w:shd w:val="clear" w:color="auto" w:fill="D9D9D9"/>
            <w:vAlign w:val="center"/>
          </w:tcPr>
          <w:p w14:paraId="006793A4" w14:textId="77777777" w:rsidR="008D76D6" w:rsidRDefault="008D76D6" w:rsidP="00CE3CA5">
            <w:pPr>
              <w:spacing w:beforeLines="0" w:before="0" w:afterLines="0" w:after="0" w:line="240" w:lineRule="auto"/>
              <w:ind w:firstLineChars="0" w:firstLine="0"/>
              <w:jc w:val="center"/>
              <w:rPr>
                <w:rFonts w:ascii="Times New Roman" w:hAnsi="Times New Roman"/>
                <w:b/>
                <w:bCs/>
                <w:color w:val="000000"/>
                <w:sz w:val="21"/>
                <w:shd w:val="clear" w:color="auto" w:fill="FFFFFF"/>
              </w:rPr>
            </w:pPr>
            <w:r>
              <w:rPr>
                <w:rFonts w:ascii="Times New Roman" w:hAnsi="Times New Roman"/>
                <w:b/>
                <w:bCs/>
                <w:color w:val="000000"/>
                <w:sz w:val="21"/>
              </w:rPr>
              <w:t>国家或地区</w:t>
            </w:r>
          </w:p>
        </w:tc>
        <w:tc>
          <w:tcPr>
            <w:tcW w:w="1022" w:type="pct"/>
            <w:gridSpan w:val="2"/>
            <w:shd w:val="clear" w:color="auto" w:fill="D9D9D9"/>
            <w:vAlign w:val="center"/>
          </w:tcPr>
          <w:p w14:paraId="2097BADE" w14:textId="77777777" w:rsidR="008D76D6" w:rsidRDefault="008D76D6" w:rsidP="00CE3CA5">
            <w:pPr>
              <w:spacing w:beforeLines="0" w:before="0" w:afterLines="0" w:after="0" w:line="240" w:lineRule="auto"/>
              <w:ind w:firstLineChars="0" w:firstLine="0"/>
              <w:jc w:val="center"/>
              <w:rPr>
                <w:rFonts w:ascii="Times New Roman" w:hAnsi="Times New Roman"/>
                <w:b/>
                <w:bCs/>
                <w:color w:val="000000"/>
                <w:sz w:val="21"/>
                <w:shd w:val="clear" w:color="auto" w:fill="FFFFFF"/>
              </w:rPr>
            </w:pPr>
            <w:r>
              <w:rPr>
                <w:rFonts w:ascii="Times New Roman" w:hAnsi="Times New Roman"/>
                <w:b/>
                <w:bCs/>
                <w:color w:val="000000"/>
                <w:sz w:val="21"/>
              </w:rPr>
              <w:t>2023</w:t>
            </w:r>
            <w:r>
              <w:rPr>
                <w:rFonts w:ascii="Times New Roman" w:hAnsi="Times New Roman"/>
                <w:b/>
                <w:bCs/>
                <w:color w:val="000000"/>
                <w:sz w:val="21"/>
              </w:rPr>
              <w:t>年</w:t>
            </w:r>
            <w:r>
              <w:rPr>
                <w:rFonts w:ascii="Times New Roman" w:hAnsi="Times New Roman"/>
                <w:b/>
                <w:bCs/>
                <w:color w:val="000000"/>
                <w:sz w:val="21"/>
              </w:rPr>
              <w:t>1-9</w:t>
            </w:r>
            <w:r>
              <w:rPr>
                <w:rFonts w:ascii="Times New Roman" w:hAnsi="Times New Roman"/>
                <w:b/>
                <w:bCs/>
                <w:color w:val="000000"/>
                <w:sz w:val="21"/>
              </w:rPr>
              <w:t>月</w:t>
            </w:r>
          </w:p>
        </w:tc>
        <w:tc>
          <w:tcPr>
            <w:tcW w:w="1121" w:type="pct"/>
            <w:gridSpan w:val="2"/>
            <w:shd w:val="clear" w:color="auto" w:fill="D9D9D9"/>
            <w:vAlign w:val="center"/>
          </w:tcPr>
          <w:p w14:paraId="77E8AAA4" w14:textId="77777777" w:rsidR="008D76D6" w:rsidRDefault="008D76D6" w:rsidP="00CE3CA5">
            <w:pPr>
              <w:spacing w:beforeLines="0" w:before="0" w:afterLines="0" w:after="0" w:line="240" w:lineRule="auto"/>
              <w:ind w:firstLineChars="0" w:firstLine="0"/>
              <w:jc w:val="center"/>
              <w:rPr>
                <w:rFonts w:ascii="Times New Roman" w:hAnsi="Times New Roman"/>
                <w:b/>
                <w:bCs/>
                <w:color w:val="000000"/>
                <w:sz w:val="21"/>
                <w:shd w:val="clear" w:color="auto" w:fill="FFFFFF"/>
              </w:rPr>
            </w:pPr>
            <w:r>
              <w:rPr>
                <w:rFonts w:ascii="Times New Roman" w:hAnsi="Times New Roman"/>
                <w:b/>
                <w:bCs/>
                <w:color w:val="000000"/>
                <w:sz w:val="21"/>
              </w:rPr>
              <w:t>2022</w:t>
            </w:r>
            <w:r>
              <w:rPr>
                <w:rFonts w:ascii="Times New Roman" w:hAnsi="Times New Roman"/>
                <w:b/>
                <w:bCs/>
                <w:color w:val="000000"/>
                <w:sz w:val="21"/>
              </w:rPr>
              <w:t>年度</w:t>
            </w:r>
          </w:p>
        </w:tc>
        <w:tc>
          <w:tcPr>
            <w:tcW w:w="1122" w:type="pct"/>
            <w:gridSpan w:val="2"/>
            <w:shd w:val="clear" w:color="auto" w:fill="D9D9D9"/>
            <w:vAlign w:val="center"/>
          </w:tcPr>
          <w:p w14:paraId="33E7558F" w14:textId="77777777" w:rsidR="008D76D6" w:rsidRDefault="008D76D6" w:rsidP="00CE3CA5">
            <w:pPr>
              <w:spacing w:beforeLines="0" w:before="0" w:afterLines="0" w:after="0" w:line="240" w:lineRule="auto"/>
              <w:ind w:firstLineChars="0" w:firstLine="0"/>
              <w:jc w:val="center"/>
              <w:rPr>
                <w:rFonts w:ascii="Times New Roman" w:hAnsi="Times New Roman"/>
                <w:b/>
                <w:bCs/>
                <w:color w:val="000000"/>
                <w:sz w:val="21"/>
                <w:shd w:val="clear" w:color="auto" w:fill="FFFFFF"/>
              </w:rPr>
            </w:pPr>
            <w:r>
              <w:rPr>
                <w:rFonts w:ascii="Times New Roman" w:hAnsi="Times New Roman"/>
                <w:b/>
                <w:bCs/>
                <w:color w:val="000000"/>
                <w:sz w:val="21"/>
              </w:rPr>
              <w:t>2021</w:t>
            </w:r>
            <w:r>
              <w:rPr>
                <w:rFonts w:ascii="Times New Roman" w:hAnsi="Times New Roman"/>
                <w:b/>
                <w:bCs/>
                <w:color w:val="000000"/>
                <w:sz w:val="21"/>
              </w:rPr>
              <w:t>年度</w:t>
            </w:r>
          </w:p>
        </w:tc>
        <w:tc>
          <w:tcPr>
            <w:tcW w:w="1122" w:type="pct"/>
            <w:gridSpan w:val="2"/>
            <w:shd w:val="clear" w:color="auto" w:fill="D9D9D9"/>
            <w:vAlign w:val="center"/>
          </w:tcPr>
          <w:p w14:paraId="4CCA0BB7" w14:textId="77777777" w:rsidR="008D76D6" w:rsidRDefault="008D76D6" w:rsidP="00CE3CA5">
            <w:pPr>
              <w:spacing w:beforeLines="0" w:before="0" w:afterLines="0" w:after="0" w:line="240" w:lineRule="auto"/>
              <w:ind w:firstLineChars="0" w:firstLine="0"/>
              <w:jc w:val="center"/>
              <w:rPr>
                <w:rFonts w:ascii="Times New Roman" w:hAnsi="Times New Roman"/>
                <w:b/>
                <w:bCs/>
                <w:color w:val="000000"/>
                <w:sz w:val="21"/>
                <w:shd w:val="clear" w:color="auto" w:fill="FFFFFF"/>
              </w:rPr>
            </w:pPr>
            <w:r>
              <w:rPr>
                <w:rFonts w:ascii="Times New Roman" w:hAnsi="Times New Roman"/>
                <w:b/>
                <w:bCs/>
                <w:color w:val="000000"/>
                <w:sz w:val="21"/>
              </w:rPr>
              <w:t>2020</w:t>
            </w:r>
            <w:r>
              <w:rPr>
                <w:rFonts w:ascii="Times New Roman" w:hAnsi="Times New Roman"/>
                <w:b/>
                <w:bCs/>
                <w:color w:val="000000"/>
                <w:sz w:val="21"/>
              </w:rPr>
              <w:t>年度</w:t>
            </w:r>
          </w:p>
        </w:tc>
      </w:tr>
      <w:tr w:rsidR="008D76D6" w14:paraId="282DBD3F" w14:textId="77777777">
        <w:trPr>
          <w:cantSplit/>
          <w:trHeight w:val="397"/>
          <w:tblHeader/>
          <w:jc w:val="center"/>
        </w:trPr>
        <w:tc>
          <w:tcPr>
            <w:tcW w:w="613" w:type="pct"/>
            <w:vMerge/>
            <w:shd w:val="clear" w:color="auto" w:fill="D9D9D9"/>
            <w:vAlign w:val="center"/>
          </w:tcPr>
          <w:p w14:paraId="1EA937E7"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shd w:val="clear" w:color="auto" w:fill="FFFFFF"/>
              </w:rPr>
            </w:pPr>
          </w:p>
        </w:tc>
        <w:tc>
          <w:tcPr>
            <w:tcW w:w="476" w:type="pct"/>
            <w:shd w:val="clear" w:color="auto" w:fill="D9D9D9"/>
            <w:vAlign w:val="center"/>
          </w:tcPr>
          <w:p w14:paraId="5CD248F2"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shd w:val="clear" w:color="auto" w:fill="FFFFFF"/>
              </w:rPr>
            </w:pPr>
            <w:r>
              <w:rPr>
                <w:rFonts w:ascii="Times New Roman" w:hAnsi="Times New Roman"/>
                <w:b/>
                <w:color w:val="000000"/>
                <w:sz w:val="21"/>
              </w:rPr>
              <w:t>金额</w:t>
            </w:r>
          </w:p>
        </w:tc>
        <w:tc>
          <w:tcPr>
            <w:tcW w:w="546" w:type="pct"/>
            <w:shd w:val="clear" w:color="auto" w:fill="D9D9D9"/>
            <w:vAlign w:val="center"/>
          </w:tcPr>
          <w:p w14:paraId="0A455651"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shd w:val="clear" w:color="auto" w:fill="FFFFFF"/>
              </w:rPr>
            </w:pPr>
            <w:r>
              <w:rPr>
                <w:rFonts w:ascii="Times New Roman" w:hAnsi="Times New Roman"/>
                <w:b/>
                <w:color w:val="000000"/>
                <w:sz w:val="21"/>
              </w:rPr>
              <w:t>占比</w:t>
            </w:r>
          </w:p>
        </w:tc>
        <w:tc>
          <w:tcPr>
            <w:tcW w:w="576" w:type="pct"/>
            <w:shd w:val="clear" w:color="auto" w:fill="D9D9D9"/>
            <w:vAlign w:val="center"/>
          </w:tcPr>
          <w:p w14:paraId="210D1235"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shd w:val="clear" w:color="auto" w:fill="FFFFFF"/>
              </w:rPr>
            </w:pPr>
            <w:r>
              <w:rPr>
                <w:rFonts w:ascii="Times New Roman" w:hAnsi="Times New Roman"/>
                <w:b/>
                <w:color w:val="000000"/>
                <w:sz w:val="21"/>
              </w:rPr>
              <w:t>金额</w:t>
            </w:r>
          </w:p>
        </w:tc>
        <w:tc>
          <w:tcPr>
            <w:tcW w:w="546" w:type="pct"/>
            <w:shd w:val="clear" w:color="auto" w:fill="D9D9D9"/>
            <w:vAlign w:val="center"/>
          </w:tcPr>
          <w:p w14:paraId="0D803840"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shd w:val="clear" w:color="auto" w:fill="FFFFFF"/>
              </w:rPr>
            </w:pPr>
            <w:r>
              <w:rPr>
                <w:rFonts w:ascii="Times New Roman" w:hAnsi="Times New Roman"/>
                <w:b/>
                <w:color w:val="000000"/>
                <w:sz w:val="21"/>
              </w:rPr>
              <w:t>占比</w:t>
            </w:r>
          </w:p>
        </w:tc>
        <w:tc>
          <w:tcPr>
            <w:tcW w:w="576" w:type="pct"/>
            <w:shd w:val="clear" w:color="auto" w:fill="D9D9D9"/>
            <w:vAlign w:val="center"/>
          </w:tcPr>
          <w:p w14:paraId="0AFA9D2F"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shd w:val="clear" w:color="auto" w:fill="FFFFFF"/>
              </w:rPr>
            </w:pPr>
            <w:r>
              <w:rPr>
                <w:rFonts w:ascii="Times New Roman" w:hAnsi="Times New Roman"/>
                <w:b/>
                <w:color w:val="000000"/>
                <w:sz w:val="21"/>
              </w:rPr>
              <w:t>金额</w:t>
            </w:r>
          </w:p>
        </w:tc>
        <w:tc>
          <w:tcPr>
            <w:tcW w:w="546" w:type="pct"/>
            <w:shd w:val="clear" w:color="auto" w:fill="D9D9D9"/>
            <w:vAlign w:val="center"/>
          </w:tcPr>
          <w:p w14:paraId="4B6CD4D0"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shd w:val="clear" w:color="auto" w:fill="FFFFFF"/>
              </w:rPr>
            </w:pPr>
            <w:r>
              <w:rPr>
                <w:rFonts w:ascii="Times New Roman" w:hAnsi="Times New Roman"/>
                <w:b/>
                <w:color w:val="000000"/>
                <w:sz w:val="21"/>
              </w:rPr>
              <w:t>占比</w:t>
            </w:r>
          </w:p>
        </w:tc>
        <w:tc>
          <w:tcPr>
            <w:tcW w:w="576" w:type="pct"/>
            <w:shd w:val="clear" w:color="auto" w:fill="D9D9D9"/>
            <w:vAlign w:val="center"/>
          </w:tcPr>
          <w:p w14:paraId="292D0701"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shd w:val="clear" w:color="auto" w:fill="FFFFFF"/>
              </w:rPr>
            </w:pPr>
            <w:r>
              <w:rPr>
                <w:rFonts w:ascii="Times New Roman" w:hAnsi="Times New Roman"/>
                <w:b/>
                <w:color w:val="000000"/>
                <w:sz w:val="21"/>
              </w:rPr>
              <w:t>金额</w:t>
            </w:r>
          </w:p>
        </w:tc>
        <w:tc>
          <w:tcPr>
            <w:tcW w:w="546" w:type="pct"/>
            <w:shd w:val="clear" w:color="auto" w:fill="D9D9D9"/>
            <w:vAlign w:val="center"/>
          </w:tcPr>
          <w:p w14:paraId="3F728A3B" w14:textId="77777777" w:rsidR="008D76D6" w:rsidRDefault="008D76D6" w:rsidP="00CE3CA5">
            <w:pPr>
              <w:keepNext/>
              <w:spacing w:beforeLines="0" w:before="0" w:afterLines="0" w:after="0" w:line="240" w:lineRule="auto"/>
              <w:ind w:firstLineChars="0" w:firstLine="0"/>
              <w:jc w:val="center"/>
              <w:rPr>
                <w:rFonts w:ascii="Times New Roman" w:hAnsi="Times New Roman"/>
                <w:b/>
                <w:color w:val="000000"/>
                <w:sz w:val="21"/>
                <w:shd w:val="clear" w:color="auto" w:fill="FFFFFF"/>
              </w:rPr>
            </w:pPr>
            <w:r>
              <w:rPr>
                <w:rFonts w:ascii="Times New Roman" w:hAnsi="Times New Roman"/>
                <w:b/>
                <w:color w:val="000000"/>
                <w:sz w:val="21"/>
              </w:rPr>
              <w:t>占比</w:t>
            </w:r>
          </w:p>
        </w:tc>
      </w:tr>
      <w:tr w:rsidR="008D76D6" w14:paraId="18A79969" w14:textId="77777777">
        <w:trPr>
          <w:cantSplit/>
          <w:trHeight w:val="397"/>
          <w:jc w:val="center"/>
        </w:trPr>
        <w:tc>
          <w:tcPr>
            <w:tcW w:w="613" w:type="pct"/>
            <w:vAlign w:val="center"/>
          </w:tcPr>
          <w:p w14:paraId="7DC1DC1F"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shd w:val="clear" w:color="auto" w:fill="FFFFFF"/>
              </w:rPr>
            </w:pPr>
            <w:r>
              <w:rPr>
                <w:rFonts w:ascii="Times New Roman" w:hAnsi="Times New Roman"/>
                <w:color w:val="000000"/>
                <w:sz w:val="21"/>
              </w:rPr>
              <w:t>美国</w:t>
            </w:r>
          </w:p>
        </w:tc>
        <w:tc>
          <w:tcPr>
            <w:tcW w:w="476" w:type="pct"/>
            <w:vAlign w:val="center"/>
          </w:tcPr>
          <w:p w14:paraId="112680FC"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11,903.08</w:t>
            </w:r>
          </w:p>
        </w:tc>
        <w:tc>
          <w:tcPr>
            <w:tcW w:w="546" w:type="pct"/>
            <w:vAlign w:val="center"/>
          </w:tcPr>
          <w:p w14:paraId="0D2EF06F"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37.13%</w:t>
            </w:r>
          </w:p>
        </w:tc>
        <w:tc>
          <w:tcPr>
            <w:tcW w:w="576" w:type="pct"/>
            <w:vAlign w:val="center"/>
          </w:tcPr>
          <w:p w14:paraId="5CCA7E3B"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15,703.43</w:t>
            </w:r>
          </w:p>
        </w:tc>
        <w:tc>
          <w:tcPr>
            <w:tcW w:w="546" w:type="pct"/>
            <w:vAlign w:val="center"/>
          </w:tcPr>
          <w:p w14:paraId="5F598834"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34.81%</w:t>
            </w:r>
          </w:p>
        </w:tc>
        <w:tc>
          <w:tcPr>
            <w:tcW w:w="576" w:type="pct"/>
            <w:vAlign w:val="center"/>
          </w:tcPr>
          <w:p w14:paraId="08CB2CE1"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9,893.70</w:t>
            </w:r>
          </w:p>
        </w:tc>
        <w:tc>
          <w:tcPr>
            <w:tcW w:w="546" w:type="pct"/>
            <w:vAlign w:val="center"/>
          </w:tcPr>
          <w:p w14:paraId="75855C1F"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31.63%</w:t>
            </w:r>
          </w:p>
        </w:tc>
        <w:tc>
          <w:tcPr>
            <w:tcW w:w="576" w:type="pct"/>
            <w:vAlign w:val="center"/>
          </w:tcPr>
          <w:p w14:paraId="182C0DCC"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7,185.85</w:t>
            </w:r>
          </w:p>
        </w:tc>
        <w:tc>
          <w:tcPr>
            <w:tcW w:w="546" w:type="pct"/>
            <w:vAlign w:val="center"/>
          </w:tcPr>
          <w:p w14:paraId="6D19FA6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26.03%</w:t>
            </w:r>
          </w:p>
        </w:tc>
      </w:tr>
      <w:tr w:rsidR="008D76D6" w14:paraId="62F84A5D" w14:textId="77777777">
        <w:trPr>
          <w:cantSplit/>
          <w:trHeight w:val="397"/>
          <w:jc w:val="center"/>
        </w:trPr>
        <w:tc>
          <w:tcPr>
            <w:tcW w:w="613" w:type="pct"/>
            <w:vAlign w:val="center"/>
          </w:tcPr>
          <w:p w14:paraId="70B504EB"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shd w:val="clear" w:color="auto" w:fill="FFFFFF"/>
              </w:rPr>
            </w:pPr>
            <w:r>
              <w:rPr>
                <w:rFonts w:ascii="Times New Roman" w:hAnsi="Times New Roman"/>
                <w:color w:val="000000"/>
                <w:sz w:val="21"/>
              </w:rPr>
              <w:t>英国</w:t>
            </w:r>
          </w:p>
        </w:tc>
        <w:tc>
          <w:tcPr>
            <w:tcW w:w="476" w:type="pct"/>
            <w:vAlign w:val="center"/>
          </w:tcPr>
          <w:p w14:paraId="6B8A98EA"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2,402.44</w:t>
            </w:r>
          </w:p>
        </w:tc>
        <w:tc>
          <w:tcPr>
            <w:tcW w:w="546" w:type="pct"/>
            <w:vAlign w:val="center"/>
          </w:tcPr>
          <w:p w14:paraId="3F19386D"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7.49%</w:t>
            </w:r>
          </w:p>
        </w:tc>
        <w:tc>
          <w:tcPr>
            <w:tcW w:w="576" w:type="pct"/>
            <w:vAlign w:val="center"/>
          </w:tcPr>
          <w:p w14:paraId="45968B5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4,304.15</w:t>
            </w:r>
          </w:p>
        </w:tc>
        <w:tc>
          <w:tcPr>
            <w:tcW w:w="546" w:type="pct"/>
            <w:vAlign w:val="center"/>
          </w:tcPr>
          <w:p w14:paraId="3B6C1EA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9.54%</w:t>
            </w:r>
          </w:p>
        </w:tc>
        <w:tc>
          <w:tcPr>
            <w:tcW w:w="576" w:type="pct"/>
            <w:vAlign w:val="center"/>
          </w:tcPr>
          <w:p w14:paraId="3DE01620"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2,947.98</w:t>
            </w:r>
          </w:p>
        </w:tc>
        <w:tc>
          <w:tcPr>
            <w:tcW w:w="546" w:type="pct"/>
            <w:vAlign w:val="center"/>
          </w:tcPr>
          <w:p w14:paraId="58BDAB5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9.43%</w:t>
            </w:r>
          </w:p>
        </w:tc>
        <w:tc>
          <w:tcPr>
            <w:tcW w:w="576" w:type="pct"/>
            <w:vAlign w:val="center"/>
          </w:tcPr>
          <w:p w14:paraId="7F62B052"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3,057.85</w:t>
            </w:r>
          </w:p>
        </w:tc>
        <w:tc>
          <w:tcPr>
            <w:tcW w:w="546" w:type="pct"/>
            <w:vAlign w:val="center"/>
          </w:tcPr>
          <w:p w14:paraId="08132ED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11.08%</w:t>
            </w:r>
          </w:p>
        </w:tc>
      </w:tr>
      <w:tr w:rsidR="008D76D6" w14:paraId="2BFD4CCD" w14:textId="77777777">
        <w:trPr>
          <w:cantSplit/>
          <w:trHeight w:val="397"/>
          <w:jc w:val="center"/>
        </w:trPr>
        <w:tc>
          <w:tcPr>
            <w:tcW w:w="613" w:type="pct"/>
            <w:vAlign w:val="center"/>
          </w:tcPr>
          <w:p w14:paraId="6A49B955"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shd w:val="clear" w:color="auto" w:fill="FFFFFF"/>
              </w:rPr>
            </w:pPr>
            <w:r>
              <w:rPr>
                <w:rFonts w:ascii="Times New Roman" w:hAnsi="Times New Roman"/>
                <w:color w:val="000000"/>
                <w:sz w:val="21"/>
              </w:rPr>
              <w:t>澳大利亚</w:t>
            </w:r>
          </w:p>
        </w:tc>
        <w:tc>
          <w:tcPr>
            <w:tcW w:w="476" w:type="pct"/>
            <w:vAlign w:val="center"/>
          </w:tcPr>
          <w:p w14:paraId="2957F322"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1,930.47</w:t>
            </w:r>
          </w:p>
        </w:tc>
        <w:tc>
          <w:tcPr>
            <w:tcW w:w="546" w:type="pct"/>
            <w:vAlign w:val="center"/>
          </w:tcPr>
          <w:p w14:paraId="2E171F7E"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6.02%</w:t>
            </w:r>
          </w:p>
        </w:tc>
        <w:tc>
          <w:tcPr>
            <w:tcW w:w="576" w:type="pct"/>
            <w:vAlign w:val="center"/>
          </w:tcPr>
          <w:p w14:paraId="481FEAD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4,931.79</w:t>
            </w:r>
          </w:p>
        </w:tc>
        <w:tc>
          <w:tcPr>
            <w:tcW w:w="546" w:type="pct"/>
            <w:vAlign w:val="center"/>
          </w:tcPr>
          <w:p w14:paraId="0B80C0DA"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10.93%</w:t>
            </w:r>
          </w:p>
        </w:tc>
        <w:tc>
          <w:tcPr>
            <w:tcW w:w="576" w:type="pct"/>
            <w:vAlign w:val="center"/>
          </w:tcPr>
          <w:p w14:paraId="65732C02"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2,888.86</w:t>
            </w:r>
          </w:p>
        </w:tc>
        <w:tc>
          <w:tcPr>
            <w:tcW w:w="546" w:type="pct"/>
            <w:vAlign w:val="center"/>
          </w:tcPr>
          <w:p w14:paraId="0E6C2724"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9.24%</w:t>
            </w:r>
          </w:p>
        </w:tc>
        <w:tc>
          <w:tcPr>
            <w:tcW w:w="576" w:type="pct"/>
            <w:vAlign w:val="center"/>
          </w:tcPr>
          <w:p w14:paraId="66263E7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3,082.18</w:t>
            </w:r>
          </w:p>
        </w:tc>
        <w:tc>
          <w:tcPr>
            <w:tcW w:w="546" w:type="pct"/>
            <w:vAlign w:val="center"/>
          </w:tcPr>
          <w:p w14:paraId="6436F90D"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11.17%</w:t>
            </w:r>
          </w:p>
        </w:tc>
      </w:tr>
      <w:tr w:rsidR="008D76D6" w14:paraId="2257E5B1" w14:textId="77777777">
        <w:trPr>
          <w:cantSplit/>
          <w:trHeight w:val="397"/>
          <w:jc w:val="center"/>
        </w:trPr>
        <w:tc>
          <w:tcPr>
            <w:tcW w:w="613" w:type="pct"/>
            <w:vAlign w:val="center"/>
          </w:tcPr>
          <w:p w14:paraId="2F782F96"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shd w:val="clear" w:color="auto" w:fill="FFFFFF"/>
              </w:rPr>
            </w:pPr>
            <w:r>
              <w:rPr>
                <w:rFonts w:ascii="Times New Roman" w:hAnsi="Times New Roman"/>
                <w:color w:val="000000"/>
                <w:sz w:val="21"/>
              </w:rPr>
              <w:t>土耳其</w:t>
            </w:r>
          </w:p>
        </w:tc>
        <w:tc>
          <w:tcPr>
            <w:tcW w:w="476" w:type="pct"/>
            <w:vAlign w:val="center"/>
          </w:tcPr>
          <w:p w14:paraId="30C66289"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1,862.42</w:t>
            </w:r>
          </w:p>
        </w:tc>
        <w:tc>
          <w:tcPr>
            <w:tcW w:w="546" w:type="pct"/>
            <w:vAlign w:val="center"/>
          </w:tcPr>
          <w:p w14:paraId="45BF01D4"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5.81%</w:t>
            </w:r>
          </w:p>
        </w:tc>
        <w:tc>
          <w:tcPr>
            <w:tcW w:w="576" w:type="pct"/>
            <w:vAlign w:val="center"/>
          </w:tcPr>
          <w:p w14:paraId="4BB5F69C"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554.52</w:t>
            </w:r>
          </w:p>
        </w:tc>
        <w:tc>
          <w:tcPr>
            <w:tcW w:w="546" w:type="pct"/>
            <w:vAlign w:val="center"/>
          </w:tcPr>
          <w:p w14:paraId="1EC29B49"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1.23%</w:t>
            </w:r>
          </w:p>
        </w:tc>
        <w:tc>
          <w:tcPr>
            <w:tcW w:w="576" w:type="pct"/>
            <w:vAlign w:val="center"/>
          </w:tcPr>
          <w:p w14:paraId="2ACC067A"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853.80</w:t>
            </w:r>
          </w:p>
        </w:tc>
        <w:tc>
          <w:tcPr>
            <w:tcW w:w="546" w:type="pct"/>
            <w:vAlign w:val="center"/>
          </w:tcPr>
          <w:p w14:paraId="702150AE"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2.73%</w:t>
            </w:r>
          </w:p>
        </w:tc>
        <w:tc>
          <w:tcPr>
            <w:tcW w:w="576" w:type="pct"/>
            <w:vAlign w:val="center"/>
          </w:tcPr>
          <w:p w14:paraId="492125A9"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566.15</w:t>
            </w:r>
          </w:p>
        </w:tc>
        <w:tc>
          <w:tcPr>
            <w:tcW w:w="546" w:type="pct"/>
            <w:vAlign w:val="center"/>
          </w:tcPr>
          <w:p w14:paraId="17AEA761"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2.05%</w:t>
            </w:r>
          </w:p>
        </w:tc>
      </w:tr>
      <w:tr w:rsidR="008D76D6" w14:paraId="26E1A6BB" w14:textId="77777777">
        <w:trPr>
          <w:cantSplit/>
          <w:trHeight w:val="397"/>
          <w:jc w:val="center"/>
        </w:trPr>
        <w:tc>
          <w:tcPr>
            <w:tcW w:w="613" w:type="pct"/>
            <w:vAlign w:val="center"/>
          </w:tcPr>
          <w:p w14:paraId="21138CA5"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shd w:val="clear" w:color="auto" w:fill="FFFFFF"/>
              </w:rPr>
            </w:pPr>
            <w:r>
              <w:rPr>
                <w:rFonts w:ascii="Times New Roman" w:hAnsi="Times New Roman"/>
                <w:color w:val="000000"/>
                <w:sz w:val="21"/>
              </w:rPr>
              <w:t>沙特阿拉伯</w:t>
            </w:r>
          </w:p>
        </w:tc>
        <w:tc>
          <w:tcPr>
            <w:tcW w:w="476" w:type="pct"/>
            <w:vAlign w:val="center"/>
          </w:tcPr>
          <w:p w14:paraId="06076B8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1,695.26</w:t>
            </w:r>
          </w:p>
        </w:tc>
        <w:tc>
          <w:tcPr>
            <w:tcW w:w="546" w:type="pct"/>
            <w:vAlign w:val="center"/>
          </w:tcPr>
          <w:p w14:paraId="65B444B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5.29%</w:t>
            </w:r>
          </w:p>
        </w:tc>
        <w:tc>
          <w:tcPr>
            <w:tcW w:w="576" w:type="pct"/>
            <w:vAlign w:val="center"/>
          </w:tcPr>
          <w:p w14:paraId="4FBC652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2,764.86</w:t>
            </w:r>
          </w:p>
        </w:tc>
        <w:tc>
          <w:tcPr>
            <w:tcW w:w="546" w:type="pct"/>
            <w:vAlign w:val="center"/>
          </w:tcPr>
          <w:p w14:paraId="0980CEF4"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6.13%</w:t>
            </w:r>
          </w:p>
        </w:tc>
        <w:tc>
          <w:tcPr>
            <w:tcW w:w="576" w:type="pct"/>
            <w:vAlign w:val="center"/>
          </w:tcPr>
          <w:p w14:paraId="2D9014F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1,228.21</w:t>
            </w:r>
          </w:p>
        </w:tc>
        <w:tc>
          <w:tcPr>
            <w:tcW w:w="546" w:type="pct"/>
            <w:vAlign w:val="center"/>
          </w:tcPr>
          <w:p w14:paraId="0B806B7F"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3.93%</w:t>
            </w:r>
          </w:p>
        </w:tc>
        <w:tc>
          <w:tcPr>
            <w:tcW w:w="576" w:type="pct"/>
            <w:vAlign w:val="center"/>
          </w:tcPr>
          <w:p w14:paraId="58A8A9F9"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1,738.12</w:t>
            </w:r>
          </w:p>
        </w:tc>
        <w:tc>
          <w:tcPr>
            <w:tcW w:w="546" w:type="pct"/>
            <w:vAlign w:val="center"/>
          </w:tcPr>
          <w:p w14:paraId="598D9032"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6.30%</w:t>
            </w:r>
          </w:p>
        </w:tc>
      </w:tr>
      <w:tr w:rsidR="008D76D6" w14:paraId="4B8086B5" w14:textId="77777777">
        <w:trPr>
          <w:cantSplit/>
          <w:trHeight w:val="397"/>
          <w:jc w:val="center"/>
        </w:trPr>
        <w:tc>
          <w:tcPr>
            <w:tcW w:w="613" w:type="pct"/>
            <w:vAlign w:val="center"/>
          </w:tcPr>
          <w:p w14:paraId="39C6223C"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shd w:val="clear" w:color="auto" w:fill="FFFFFF"/>
              </w:rPr>
            </w:pPr>
            <w:r>
              <w:rPr>
                <w:rFonts w:ascii="Times New Roman" w:hAnsi="Times New Roman"/>
                <w:color w:val="000000"/>
                <w:sz w:val="21"/>
              </w:rPr>
              <w:t>阿联酋</w:t>
            </w:r>
          </w:p>
        </w:tc>
        <w:tc>
          <w:tcPr>
            <w:tcW w:w="476" w:type="pct"/>
            <w:vAlign w:val="center"/>
          </w:tcPr>
          <w:p w14:paraId="011C2A86"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946.69</w:t>
            </w:r>
          </w:p>
        </w:tc>
        <w:tc>
          <w:tcPr>
            <w:tcW w:w="546" w:type="pct"/>
            <w:vAlign w:val="center"/>
          </w:tcPr>
          <w:p w14:paraId="3097F82D"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2.95%</w:t>
            </w:r>
          </w:p>
        </w:tc>
        <w:tc>
          <w:tcPr>
            <w:tcW w:w="576" w:type="pct"/>
            <w:vAlign w:val="center"/>
          </w:tcPr>
          <w:p w14:paraId="5118913E"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1,709.27</w:t>
            </w:r>
          </w:p>
        </w:tc>
        <w:tc>
          <w:tcPr>
            <w:tcW w:w="546" w:type="pct"/>
            <w:vAlign w:val="center"/>
          </w:tcPr>
          <w:p w14:paraId="3688D406"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3.79%</w:t>
            </w:r>
          </w:p>
        </w:tc>
        <w:tc>
          <w:tcPr>
            <w:tcW w:w="576" w:type="pct"/>
            <w:vAlign w:val="center"/>
          </w:tcPr>
          <w:p w14:paraId="3A3AB9E7"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1,205.08</w:t>
            </w:r>
          </w:p>
        </w:tc>
        <w:tc>
          <w:tcPr>
            <w:tcW w:w="546" w:type="pct"/>
            <w:vAlign w:val="center"/>
          </w:tcPr>
          <w:p w14:paraId="79FAB6F2"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3.85%</w:t>
            </w:r>
          </w:p>
        </w:tc>
        <w:tc>
          <w:tcPr>
            <w:tcW w:w="576" w:type="pct"/>
            <w:vAlign w:val="center"/>
          </w:tcPr>
          <w:p w14:paraId="22494E90"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1,537.14</w:t>
            </w:r>
          </w:p>
        </w:tc>
        <w:tc>
          <w:tcPr>
            <w:tcW w:w="546" w:type="pct"/>
            <w:vAlign w:val="center"/>
          </w:tcPr>
          <w:p w14:paraId="7157AC79"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5.57%</w:t>
            </w:r>
          </w:p>
        </w:tc>
      </w:tr>
      <w:tr w:rsidR="008D76D6" w14:paraId="6A134492" w14:textId="77777777">
        <w:trPr>
          <w:cantSplit/>
          <w:trHeight w:val="397"/>
          <w:jc w:val="center"/>
        </w:trPr>
        <w:tc>
          <w:tcPr>
            <w:tcW w:w="613" w:type="pct"/>
            <w:vAlign w:val="center"/>
          </w:tcPr>
          <w:p w14:paraId="1CBCA533"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shd w:val="clear" w:color="auto" w:fill="FFFFFF"/>
              </w:rPr>
            </w:pPr>
            <w:r>
              <w:rPr>
                <w:rFonts w:ascii="Times New Roman" w:hAnsi="Times New Roman"/>
                <w:color w:val="000000"/>
                <w:sz w:val="21"/>
              </w:rPr>
              <w:t>加拿大</w:t>
            </w:r>
          </w:p>
        </w:tc>
        <w:tc>
          <w:tcPr>
            <w:tcW w:w="476" w:type="pct"/>
            <w:vAlign w:val="center"/>
          </w:tcPr>
          <w:p w14:paraId="0C1A4808"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748.16</w:t>
            </w:r>
          </w:p>
        </w:tc>
        <w:tc>
          <w:tcPr>
            <w:tcW w:w="546" w:type="pct"/>
            <w:vAlign w:val="center"/>
          </w:tcPr>
          <w:p w14:paraId="674A1EB7"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2.33%</w:t>
            </w:r>
          </w:p>
        </w:tc>
        <w:tc>
          <w:tcPr>
            <w:tcW w:w="576" w:type="pct"/>
            <w:vAlign w:val="center"/>
          </w:tcPr>
          <w:p w14:paraId="21893B1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1,737.83</w:t>
            </w:r>
          </w:p>
        </w:tc>
        <w:tc>
          <w:tcPr>
            <w:tcW w:w="546" w:type="pct"/>
            <w:vAlign w:val="center"/>
          </w:tcPr>
          <w:p w14:paraId="28AC5DFC"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3.85%</w:t>
            </w:r>
          </w:p>
        </w:tc>
        <w:tc>
          <w:tcPr>
            <w:tcW w:w="576" w:type="pct"/>
            <w:vAlign w:val="center"/>
          </w:tcPr>
          <w:p w14:paraId="779E5FB7"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1,128.21</w:t>
            </w:r>
          </w:p>
        </w:tc>
        <w:tc>
          <w:tcPr>
            <w:tcW w:w="546" w:type="pct"/>
            <w:vAlign w:val="center"/>
          </w:tcPr>
          <w:p w14:paraId="11CAE126"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3.61%</w:t>
            </w:r>
          </w:p>
        </w:tc>
        <w:tc>
          <w:tcPr>
            <w:tcW w:w="576" w:type="pct"/>
            <w:vAlign w:val="center"/>
          </w:tcPr>
          <w:p w14:paraId="2F2C3769"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109.72</w:t>
            </w:r>
          </w:p>
        </w:tc>
        <w:tc>
          <w:tcPr>
            <w:tcW w:w="546" w:type="pct"/>
            <w:vAlign w:val="center"/>
          </w:tcPr>
          <w:p w14:paraId="4E56915C"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0.40%</w:t>
            </w:r>
          </w:p>
        </w:tc>
      </w:tr>
      <w:tr w:rsidR="008D76D6" w14:paraId="2CCCB004" w14:textId="77777777">
        <w:trPr>
          <w:cantSplit/>
          <w:trHeight w:val="397"/>
          <w:jc w:val="center"/>
        </w:trPr>
        <w:tc>
          <w:tcPr>
            <w:tcW w:w="613" w:type="pct"/>
            <w:vAlign w:val="center"/>
          </w:tcPr>
          <w:p w14:paraId="003A8031"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shd w:val="clear" w:color="auto" w:fill="FFFFFF"/>
              </w:rPr>
            </w:pPr>
            <w:r>
              <w:rPr>
                <w:rFonts w:ascii="Times New Roman" w:hAnsi="Times New Roman"/>
                <w:color w:val="000000"/>
                <w:sz w:val="21"/>
              </w:rPr>
              <w:t>其他</w:t>
            </w:r>
          </w:p>
        </w:tc>
        <w:tc>
          <w:tcPr>
            <w:tcW w:w="476" w:type="pct"/>
            <w:vAlign w:val="center"/>
          </w:tcPr>
          <w:p w14:paraId="5F548189"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10,567.58</w:t>
            </w:r>
          </w:p>
        </w:tc>
        <w:tc>
          <w:tcPr>
            <w:tcW w:w="546" w:type="pct"/>
            <w:vAlign w:val="center"/>
          </w:tcPr>
          <w:p w14:paraId="47FA4547"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32.98%</w:t>
            </w:r>
          </w:p>
        </w:tc>
        <w:tc>
          <w:tcPr>
            <w:tcW w:w="576" w:type="pct"/>
            <w:vAlign w:val="center"/>
          </w:tcPr>
          <w:p w14:paraId="67409B38"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13,412.43</w:t>
            </w:r>
          </w:p>
        </w:tc>
        <w:tc>
          <w:tcPr>
            <w:tcW w:w="546" w:type="pct"/>
            <w:vAlign w:val="center"/>
          </w:tcPr>
          <w:p w14:paraId="348F98CC"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29.72%</w:t>
            </w:r>
          </w:p>
        </w:tc>
        <w:tc>
          <w:tcPr>
            <w:tcW w:w="576" w:type="pct"/>
            <w:vAlign w:val="center"/>
          </w:tcPr>
          <w:p w14:paraId="03E5A1B4"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11,129.42</w:t>
            </w:r>
          </w:p>
        </w:tc>
        <w:tc>
          <w:tcPr>
            <w:tcW w:w="546" w:type="pct"/>
            <w:vAlign w:val="center"/>
          </w:tcPr>
          <w:p w14:paraId="1B7936D5"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35.58%</w:t>
            </w:r>
          </w:p>
        </w:tc>
        <w:tc>
          <w:tcPr>
            <w:tcW w:w="576" w:type="pct"/>
            <w:vAlign w:val="center"/>
          </w:tcPr>
          <w:p w14:paraId="143944F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10,327.15</w:t>
            </w:r>
          </w:p>
        </w:tc>
        <w:tc>
          <w:tcPr>
            <w:tcW w:w="546" w:type="pct"/>
            <w:vAlign w:val="center"/>
          </w:tcPr>
          <w:p w14:paraId="7416E143" w14:textId="77777777" w:rsidR="008D76D6" w:rsidRDefault="008D76D6" w:rsidP="00CE3CA5">
            <w:pPr>
              <w:spacing w:beforeLines="0" w:before="0" w:afterLines="0" w:after="0" w:line="240" w:lineRule="auto"/>
              <w:ind w:firstLineChars="0" w:firstLine="0"/>
              <w:jc w:val="right"/>
              <w:rPr>
                <w:rFonts w:ascii="Times New Roman" w:hAnsi="Times New Roman"/>
                <w:color w:val="000000"/>
                <w:sz w:val="21"/>
                <w:shd w:val="clear" w:color="auto" w:fill="FFFFFF"/>
              </w:rPr>
            </w:pPr>
            <w:r>
              <w:rPr>
                <w:rFonts w:ascii="Times New Roman" w:hAnsi="Times New Roman"/>
                <w:color w:val="000000"/>
                <w:sz w:val="21"/>
              </w:rPr>
              <w:t>37.40%</w:t>
            </w:r>
          </w:p>
        </w:tc>
      </w:tr>
      <w:tr w:rsidR="008D76D6" w14:paraId="0472B466" w14:textId="77777777">
        <w:trPr>
          <w:cantSplit/>
          <w:trHeight w:val="397"/>
          <w:jc w:val="center"/>
        </w:trPr>
        <w:tc>
          <w:tcPr>
            <w:tcW w:w="613" w:type="pct"/>
            <w:vAlign w:val="center"/>
          </w:tcPr>
          <w:p w14:paraId="438959DA" w14:textId="77777777" w:rsidR="008D76D6" w:rsidRDefault="008D76D6" w:rsidP="00CE3CA5">
            <w:pPr>
              <w:spacing w:beforeLines="0" w:before="0" w:afterLines="0" w:after="0" w:line="240" w:lineRule="auto"/>
              <w:ind w:firstLineChars="0" w:firstLine="0"/>
              <w:jc w:val="center"/>
              <w:rPr>
                <w:rFonts w:ascii="Times New Roman" w:hAnsi="Times New Roman"/>
                <w:b/>
                <w:color w:val="000000"/>
                <w:sz w:val="21"/>
                <w:shd w:val="clear" w:color="auto" w:fill="FFFFFF"/>
              </w:rPr>
            </w:pPr>
            <w:r>
              <w:rPr>
                <w:rFonts w:ascii="Times New Roman" w:hAnsi="Times New Roman"/>
                <w:b/>
                <w:color w:val="000000"/>
                <w:sz w:val="21"/>
                <w:shd w:val="clear" w:color="auto" w:fill="FFFFFF"/>
              </w:rPr>
              <w:t>合计</w:t>
            </w:r>
          </w:p>
        </w:tc>
        <w:tc>
          <w:tcPr>
            <w:tcW w:w="476" w:type="pct"/>
            <w:vAlign w:val="center"/>
          </w:tcPr>
          <w:p w14:paraId="0748D637" w14:textId="77777777" w:rsidR="008D76D6" w:rsidRDefault="008D76D6" w:rsidP="00CE3CA5">
            <w:pPr>
              <w:spacing w:beforeLines="0" w:before="0" w:afterLines="0" w:after="0" w:line="240" w:lineRule="auto"/>
              <w:ind w:firstLineChars="0" w:firstLine="0"/>
              <w:jc w:val="right"/>
              <w:rPr>
                <w:rFonts w:ascii="Times New Roman" w:hAnsi="Times New Roman"/>
                <w:b/>
                <w:color w:val="000000"/>
                <w:sz w:val="21"/>
                <w:shd w:val="clear" w:color="auto" w:fill="FFFFFF"/>
              </w:rPr>
            </w:pPr>
            <w:r>
              <w:rPr>
                <w:rFonts w:ascii="Times New Roman" w:hAnsi="Times New Roman"/>
                <w:b/>
                <w:color w:val="000000"/>
                <w:sz w:val="21"/>
              </w:rPr>
              <w:t>32,056.10</w:t>
            </w:r>
          </w:p>
        </w:tc>
        <w:tc>
          <w:tcPr>
            <w:tcW w:w="546" w:type="pct"/>
            <w:vAlign w:val="center"/>
          </w:tcPr>
          <w:p w14:paraId="104EC38A" w14:textId="77777777" w:rsidR="008D76D6" w:rsidRDefault="008D76D6" w:rsidP="00CE3CA5">
            <w:pPr>
              <w:spacing w:beforeLines="0" w:before="0" w:afterLines="0" w:after="0" w:line="240" w:lineRule="auto"/>
              <w:ind w:firstLineChars="0" w:firstLine="0"/>
              <w:jc w:val="right"/>
              <w:rPr>
                <w:rFonts w:ascii="Times New Roman" w:hAnsi="Times New Roman"/>
                <w:b/>
                <w:color w:val="000000"/>
                <w:sz w:val="21"/>
                <w:shd w:val="clear" w:color="auto" w:fill="FFFFFF"/>
              </w:rPr>
            </w:pPr>
            <w:r>
              <w:rPr>
                <w:rFonts w:ascii="Times New Roman" w:hAnsi="Times New Roman"/>
                <w:b/>
                <w:color w:val="000000"/>
                <w:sz w:val="21"/>
              </w:rPr>
              <w:t>100.00%</w:t>
            </w:r>
          </w:p>
        </w:tc>
        <w:tc>
          <w:tcPr>
            <w:tcW w:w="576" w:type="pct"/>
            <w:vAlign w:val="center"/>
          </w:tcPr>
          <w:p w14:paraId="38B04A84" w14:textId="77777777" w:rsidR="008D76D6" w:rsidRDefault="008D76D6" w:rsidP="00CE3CA5">
            <w:pPr>
              <w:spacing w:beforeLines="0" w:before="0" w:afterLines="0" w:after="0" w:line="240" w:lineRule="auto"/>
              <w:ind w:firstLineChars="0" w:firstLine="0"/>
              <w:jc w:val="right"/>
              <w:rPr>
                <w:rFonts w:ascii="Times New Roman" w:hAnsi="Times New Roman"/>
                <w:b/>
                <w:color w:val="000000"/>
                <w:sz w:val="21"/>
                <w:shd w:val="clear" w:color="auto" w:fill="FFFFFF"/>
              </w:rPr>
            </w:pPr>
            <w:r>
              <w:rPr>
                <w:rFonts w:ascii="Times New Roman" w:hAnsi="Times New Roman"/>
                <w:color w:val="000000"/>
                <w:sz w:val="21"/>
              </w:rPr>
              <w:t>45,118.28</w:t>
            </w:r>
          </w:p>
        </w:tc>
        <w:tc>
          <w:tcPr>
            <w:tcW w:w="546" w:type="pct"/>
            <w:vAlign w:val="center"/>
          </w:tcPr>
          <w:p w14:paraId="5E278B6F" w14:textId="77777777" w:rsidR="008D76D6" w:rsidRDefault="008D76D6" w:rsidP="00CE3CA5">
            <w:pPr>
              <w:spacing w:beforeLines="0" w:before="0" w:afterLines="0" w:after="0" w:line="240" w:lineRule="auto"/>
              <w:ind w:firstLineChars="0" w:firstLine="0"/>
              <w:jc w:val="right"/>
              <w:rPr>
                <w:rFonts w:ascii="Times New Roman" w:hAnsi="Times New Roman"/>
                <w:b/>
                <w:color w:val="000000"/>
                <w:sz w:val="21"/>
                <w:shd w:val="clear" w:color="auto" w:fill="FFFFFF"/>
              </w:rPr>
            </w:pPr>
            <w:r>
              <w:rPr>
                <w:rFonts w:ascii="Times New Roman" w:hAnsi="Times New Roman"/>
                <w:color w:val="000000"/>
                <w:sz w:val="21"/>
              </w:rPr>
              <w:t>100.00%</w:t>
            </w:r>
          </w:p>
        </w:tc>
        <w:tc>
          <w:tcPr>
            <w:tcW w:w="576" w:type="pct"/>
            <w:vAlign w:val="center"/>
          </w:tcPr>
          <w:p w14:paraId="2E1D073A" w14:textId="77777777" w:rsidR="008D76D6" w:rsidRDefault="008D76D6" w:rsidP="00CE3CA5">
            <w:pPr>
              <w:spacing w:beforeLines="0" w:before="0" w:afterLines="0" w:after="0" w:line="240" w:lineRule="auto"/>
              <w:ind w:firstLineChars="0" w:firstLine="0"/>
              <w:jc w:val="right"/>
              <w:rPr>
                <w:rFonts w:ascii="Times New Roman" w:hAnsi="Times New Roman"/>
                <w:b/>
                <w:color w:val="000000"/>
                <w:sz w:val="21"/>
                <w:shd w:val="clear" w:color="auto" w:fill="FFFFFF"/>
              </w:rPr>
            </w:pPr>
            <w:r>
              <w:rPr>
                <w:rFonts w:ascii="Times New Roman" w:hAnsi="Times New Roman"/>
                <w:b/>
                <w:color w:val="000000"/>
                <w:sz w:val="21"/>
              </w:rPr>
              <w:t>31,275.26</w:t>
            </w:r>
          </w:p>
        </w:tc>
        <w:tc>
          <w:tcPr>
            <w:tcW w:w="546" w:type="pct"/>
            <w:vAlign w:val="center"/>
          </w:tcPr>
          <w:p w14:paraId="2AAB171C" w14:textId="77777777" w:rsidR="008D76D6" w:rsidRDefault="008D76D6" w:rsidP="00CE3CA5">
            <w:pPr>
              <w:spacing w:beforeLines="0" w:before="0" w:afterLines="0" w:after="0" w:line="240" w:lineRule="auto"/>
              <w:ind w:firstLineChars="0" w:firstLine="0"/>
              <w:jc w:val="right"/>
              <w:rPr>
                <w:rFonts w:ascii="Times New Roman" w:hAnsi="Times New Roman"/>
                <w:b/>
                <w:color w:val="000000"/>
                <w:sz w:val="21"/>
                <w:shd w:val="clear" w:color="auto" w:fill="FFFFFF"/>
              </w:rPr>
            </w:pPr>
            <w:r>
              <w:rPr>
                <w:rFonts w:ascii="Times New Roman" w:hAnsi="Times New Roman"/>
                <w:b/>
                <w:color w:val="000000"/>
                <w:sz w:val="21"/>
              </w:rPr>
              <w:t>100.00%</w:t>
            </w:r>
          </w:p>
        </w:tc>
        <w:tc>
          <w:tcPr>
            <w:tcW w:w="576" w:type="pct"/>
            <w:vAlign w:val="center"/>
          </w:tcPr>
          <w:p w14:paraId="00A25B40" w14:textId="77777777" w:rsidR="008D76D6" w:rsidRDefault="008D76D6" w:rsidP="00CE3CA5">
            <w:pPr>
              <w:spacing w:beforeLines="0" w:before="0" w:afterLines="0" w:after="0" w:line="240" w:lineRule="auto"/>
              <w:ind w:firstLineChars="0" w:firstLine="0"/>
              <w:jc w:val="right"/>
              <w:rPr>
                <w:rFonts w:ascii="Times New Roman" w:hAnsi="Times New Roman"/>
                <w:b/>
                <w:color w:val="000000"/>
                <w:sz w:val="21"/>
                <w:shd w:val="clear" w:color="auto" w:fill="FFFFFF"/>
              </w:rPr>
            </w:pPr>
            <w:r>
              <w:rPr>
                <w:rFonts w:ascii="Times New Roman" w:hAnsi="Times New Roman"/>
                <w:b/>
                <w:color w:val="000000"/>
                <w:sz w:val="21"/>
              </w:rPr>
              <w:t>27,604.16</w:t>
            </w:r>
          </w:p>
        </w:tc>
        <w:tc>
          <w:tcPr>
            <w:tcW w:w="546" w:type="pct"/>
            <w:vAlign w:val="center"/>
          </w:tcPr>
          <w:p w14:paraId="6F936410" w14:textId="77777777" w:rsidR="008D76D6" w:rsidRDefault="008D76D6" w:rsidP="00CE3CA5">
            <w:pPr>
              <w:spacing w:beforeLines="0" w:before="0" w:afterLines="0" w:after="0" w:line="240" w:lineRule="auto"/>
              <w:ind w:firstLineChars="0" w:firstLine="0"/>
              <w:jc w:val="right"/>
              <w:rPr>
                <w:rFonts w:ascii="Times New Roman" w:hAnsi="Times New Roman"/>
                <w:b/>
                <w:color w:val="000000"/>
                <w:sz w:val="21"/>
                <w:shd w:val="clear" w:color="auto" w:fill="FFFFFF"/>
              </w:rPr>
            </w:pPr>
            <w:r>
              <w:rPr>
                <w:rFonts w:ascii="Times New Roman" w:hAnsi="Times New Roman"/>
                <w:b/>
                <w:color w:val="000000"/>
                <w:sz w:val="21"/>
              </w:rPr>
              <w:t>100.00%</w:t>
            </w:r>
          </w:p>
        </w:tc>
      </w:tr>
    </w:tbl>
    <w:p w14:paraId="3F7F725D" w14:textId="77777777" w:rsidR="008D76D6" w:rsidRDefault="008D76D6">
      <w:pPr>
        <w:spacing w:before="120" w:after="120"/>
        <w:ind w:firstLine="480"/>
        <w:rPr>
          <w:rFonts w:ascii="Times New Roman" w:hAnsi="Times New Roman"/>
        </w:rPr>
      </w:pPr>
      <w:r>
        <w:rPr>
          <w:rFonts w:ascii="Times New Roman" w:hAnsi="Times New Roman"/>
        </w:rPr>
        <w:t>由上表可知，报告期内，公司的境外销售主要是销往美国、英国、澳大利亚等国家，主要销售国家的销售额合计占比在</w:t>
      </w:r>
      <w:r>
        <w:rPr>
          <w:rFonts w:ascii="Times New Roman" w:hAnsi="Times New Roman"/>
        </w:rPr>
        <w:t>60%</w:t>
      </w:r>
      <w:r>
        <w:rPr>
          <w:rFonts w:ascii="Times New Roman" w:hAnsi="Times New Roman"/>
        </w:rPr>
        <w:t>以上，占比较高，相对稳定。</w:t>
      </w:r>
    </w:p>
    <w:p w14:paraId="1753344D" w14:textId="77777777" w:rsidR="008D76D6" w:rsidRDefault="008D76D6" w:rsidP="00B434D2">
      <w:pPr>
        <w:pStyle w:val="004"/>
        <w:spacing w:before="120" w:after="120"/>
        <w:ind w:firstLine="482"/>
      </w:pPr>
      <w:r>
        <w:rPr>
          <w:rFonts w:hint="eastAsia"/>
        </w:rPr>
        <w:t>（三）</w:t>
      </w:r>
      <w:r>
        <w:t>获取订单的方式</w:t>
      </w:r>
    </w:p>
    <w:p w14:paraId="6E0A31A1" w14:textId="77777777" w:rsidR="008D76D6" w:rsidRDefault="008D76D6">
      <w:pPr>
        <w:spacing w:before="120" w:after="120"/>
        <w:ind w:firstLine="480"/>
      </w:pPr>
      <w:r>
        <w:t>公司一般通过国际展会、客户来访、客户推荐等方式来获取外销客户的订单。报告期内，主要外销客户（各期前十大客户）订单获取方式列示如下：</w:t>
      </w:r>
    </w:p>
    <w:tbl>
      <w:tblPr>
        <w:tblW w:w="5000" w:type="pct"/>
        <w:tblInd w:w="0" w:type="dxa"/>
        <w:tblBorders>
          <w:top w:val="single" w:sz="6" w:space="0" w:color="010000"/>
          <w:left w:val="single" w:sz="6" w:space="0" w:color="010000"/>
          <w:bottom w:val="single" w:sz="6" w:space="0" w:color="010000"/>
          <w:right w:val="single" w:sz="6" w:space="0" w:color="010000"/>
          <w:insideH w:val="single" w:sz="6" w:space="0" w:color="010000"/>
          <w:insideV w:val="single" w:sz="6" w:space="0" w:color="010000"/>
        </w:tblBorders>
        <w:tblLook w:val="0000" w:firstRow="0" w:lastRow="0" w:firstColumn="0" w:lastColumn="0" w:noHBand="0" w:noVBand="0"/>
      </w:tblPr>
      <w:tblGrid>
        <w:gridCol w:w="713"/>
        <w:gridCol w:w="5246"/>
        <w:gridCol w:w="3051"/>
      </w:tblGrid>
      <w:tr w:rsidR="008D76D6" w14:paraId="2E316E38" w14:textId="77777777">
        <w:trPr>
          <w:trHeight w:val="454"/>
        </w:trPr>
        <w:tc>
          <w:tcPr>
            <w:tcW w:w="396" w:type="pct"/>
            <w:shd w:val="clear" w:color="auto" w:fill="D9D9D9"/>
            <w:vAlign w:val="center"/>
          </w:tcPr>
          <w:p w14:paraId="181EEE84" w14:textId="77777777" w:rsidR="008D76D6" w:rsidRDefault="008D76D6" w:rsidP="00D232C3">
            <w:pPr>
              <w:spacing w:beforeLines="0" w:before="0" w:afterLines="0" w:after="0" w:line="240" w:lineRule="auto"/>
              <w:ind w:firstLineChars="0" w:firstLine="0"/>
              <w:jc w:val="center"/>
              <w:rPr>
                <w:rFonts w:ascii="Times New Roman" w:hAnsi="Times New Roman"/>
                <w:b/>
                <w:bCs/>
                <w:sz w:val="21"/>
                <w:szCs w:val="21"/>
                <w:shd w:val="clear" w:color="auto" w:fill="FFFFFF"/>
              </w:rPr>
            </w:pPr>
            <w:r>
              <w:rPr>
                <w:rFonts w:ascii="Times New Roman" w:hAnsi="Times New Roman"/>
                <w:b/>
                <w:bCs/>
                <w:color w:val="000000"/>
                <w:sz w:val="21"/>
                <w:szCs w:val="21"/>
              </w:rPr>
              <w:t>序号</w:t>
            </w:r>
          </w:p>
        </w:tc>
        <w:tc>
          <w:tcPr>
            <w:tcW w:w="2911" w:type="pct"/>
            <w:shd w:val="clear" w:color="auto" w:fill="D9D9D9"/>
            <w:vAlign w:val="center"/>
          </w:tcPr>
          <w:p w14:paraId="75B10FB2" w14:textId="77777777" w:rsidR="008D76D6" w:rsidRDefault="008D76D6" w:rsidP="00D232C3">
            <w:pPr>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b/>
                <w:bCs/>
                <w:color w:val="000000"/>
                <w:sz w:val="21"/>
                <w:szCs w:val="21"/>
              </w:rPr>
              <w:t>客户名称</w:t>
            </w:r>
          </w:p>
        </w:tc>
        <w:tc>
          <w:tcPr>
            <w:tcW w:w="1693" w:type="pct"/>
            <w:shd w:val="clear" w:color="auto" w:fill="D9D9D9"/>
            <w:vAlign w:val="center"/>
          </w:tcPr>
          <w:p w14:paraId="24B42663" w14:textId="77777777" w:rsidR="008D76D6" w:rsidRDefault="008D76D6" w:rsidP="00D232C3">
            <w:pPr>
              <w:spacing w:beforeLines="0" w:before="0" w:afterLines="0" w:after="0" w:line="240" w:lineRule="auto"/>
              <w:ind w:firstLineChars="0" w:firstLine="0"/>
              <w:jc w:val="center"/>
              <w:rPr>
                <w:rFonts w:ascii="Times New Roman" w:hAnsi="Times New Roman"/>
                <w:b/>
                <w:bCs/>
                <w:sz w:val="21"/>
                <w:szCs w:val="21"/>
                <w:shd w:val="clear" w:color="auto" w:fill="FFFFFF"/>
              </w:rPr>
            </w:pPr>
            <w:r>
              <w:rPr>
                <w:rFonts w:ascii="Times New Roman" w:hAnsi="Times New Roman"/>
                <w:b/>
                <w:bCs/>
                <w:color w:val="000000"/>
                <w:sz w:val="21"/>
                <w:szCs w:val="21"/>
              </w:rPr>
              <w:t>订单获取方式</w:t>
            </w:r>
          </w:p>
        </w:tc>
      </w:tr>
      <w:tr w:rsidR="008D76D6" w14:paraId="4E6AE920" w14:textId="77777777">
        <w:trPr>
          <w:trHeight w:val="454"/>
        </w:trPr>
        <w:tc>
          <w:tcPr>
            <w:tcW w:w="396" w:type="pct"/>
            <w:vAlign w:val="center"/>
          </w:tcPr>
          <w:p w14:paraId="395E3469"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w:t>
            </w:r>
          </w:p>
        </w:tc>
        <w:tc>
          <w:tcPr>
            <w:tcW w:w="2911" w:type="pct"/>
            <w:vAlign w:val="center"/>
          </w:tcPr>
          <w:p w14:paraId="6E0D605B"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J&amp;S Valve, Inc</w:t>
            </w:r>
          </w:p>
        </w:tc>
        <w:tc>
          <w:tcPr>
            <w:tcW w:w="1693" w:type="pct"/>
            <w:vAlign w:val="center"/>
          </w:tcPr>
          <w:p w14:paraId="12367674"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展会</w:t>
            </w:r>
          </w:p>
        </w:tc>
      </w:tr>
      <w:tr w:rsidR="008D76D6" w14:paraId="2076DCE7" w14:textId="77777777">
        <w:trPr>
          <w:trHeight w:val="454"/>
        </w:trPr>
        <w:tc>
          <w:tcPr>
            <w:tcW w:w="396" w:type="pct"/>
            <w:vAlign w:val="center"/>
          </w:tcPr>
          <w:p w14:paraId="767E582C"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w:t>
            </w:r>
          </w:p>
        </w:tc>
        <w:tc>
          <w:tcPr>
            <w:tcW w:w="2911" w:type="pct"/>
            <w:vAlign w:val="center"/>
          </w:tcPr>
          <w:p w14:paraId="6809913C"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LANSDALE INTERNATIONAL LLC</w:t>
            </w:r>
          </w:p>
        </w:tc>
        <w:tc>
          <w:tcPr>
            <w:tcW w:w="1693" w:type="pct"/>
            <w:vAlign w:val="center"/>
          </w:tcPr>
          <w:p w14:paraId="5215915F"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客户来访，建立商务关系</w:t>
            </w:r>
          </w:p>
        </w:tc>
      </w:tr>
      <w:tr w:rsidR="008D76D6" w14:paraId="4661E200" w14:textId="77777777">
        <w:trPr>
          <w:trHeight w:val="454"/>
        </w:trPr>
        <w:tc>
          <w:tcPr>
            <w:tcW w:w="396" w:type="pct"/>
            <w:vAlign w:val="center"/>
          </w:tcPr>
          <w:p w14:paraId="0B055945"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3</w:t>
            </w:r>
          </w:p>
        </w:tc>
        <w:tc>
          <w:tcPr>
            <w:tcW w:w="2911" w:type="pct"/>
            <w:vAlign w:val="center"/>
          </w:tcPr>
          <w:p w14:paraId="673E6D41"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GIACOMINI UNIVAL TESISAT ARMATURLERI SAN.VE TIC.LTD.STI.</w:t>
            </w:r>
          </w:p>
        </w:tc>
        <w:tc>
          <w:tcPr>
            <w:tcW w:w="1693" w:type="pct"/>
            <w:vAlign w:val="center"/>
          </w:tcPr>
          <w:p w14:paraId="60F23180"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客户来访，建立商务关系</w:t>
            </w:r>
          </w:p>
        </w:tc>
      </w:tr>
      <w:tr w:rsidR="008D76D6" w14:paraId="5197A929" w14:textId="77777777">
        <w:trPr>
          <w:trHeight w:val="454"/>
        </w:trPr>
        <w:tc>
          <w:tcPr>
            <w:tcW w:w="396" w:type="pct"/>
            <w:vAlign w:val="center"/>
          </w:tcPr>
          <w:p w14:paraId="3428066C"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4</w:t>
            </w:r>
          </w:p>
        </w:tc>
        <w:tc>
          <w:tcPr>
            <w:tcW w:w="2911" w:type="pct"/>
            <w:vAlign w:val="center"/>
          </w:tcPr>
          <w:p w14:paraId="7E8B30B3"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LICHFIELD FIRE AND SAFETY EQUIPMENT FZE</w:t>
            </w:r>
          </w:p>
        </w:tc>
        <w:tc>
          <w:tcPr>
            <w:tcW w:w="1693" w:type="pct"/>
            <w:vAlign w:val="center"/>
          </w:tcPr>
          <w:p w14:paraId="3CD85091"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展会</w:t>
            </w:r>
          </w:p>
        </w:tc>
      </w:tr>
      <w:tr w:rsidR="008D76D6" w14:paraId="0DC6E358" w14:textId="77777777">
        <w:trPr>
          <w:trHeight w:val="454"/>
        </w:trPr>
        <w:tc>
          <w:tcPr>
            <w:tcW w:w="396" w:type="pct"/>
            <w:vAlign w:val="center"/>
          </w:tcPr>
          <w:p w14:paraId="4241659B"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5</w:t>
            </w:r>
          </w:p>
        </w:tc>
        <w:tc>
          <w:tcPr>
            <w:tcW w:w="2911" w:type="pct"/>
            <w:vAlign w:val="center"/>
          </w:tcPr>
          <w:p w14:paraId="61E3D1BC"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REECE AUSTRALIA PTY LTD</w:t>
            </w:r>
          </w:p>
        </w:tc>
        <w:tc>
          <w:tcPr>
            <w:tcW w:w="1693" w:type="pct"/>
            <w:vAlign w:val="center"/>
          </w:tcPr>
          <w:p w14:paraId="7BF1FEBF"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客户推荐，建立商务关系</w:t>
            </w:r>
          </w:p>
        </w:tc>
      </w:tr>
      <w:tr w:rsidR="008D76D6" w14:paraId="48E8931C" w14:textId="77777777">
        <w:trPr>
          <w:trHeight w:val="454"/>
        </w:trPr>
        <w:tc>
          <w:tcPr>
            <w:tcW w:w="396" w:type="pct"/>
            <w:vAlign w:val="center"/>
          </w:tcPr>
          <w:p w14:paraId="220C677C"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6</w:t>
            </w:r>
          </w:p>
        </w:tc>
        <w:tc>
          <w:tcPr>
            <w:tcW w:w="2911" w:type="pct"/>
            <w:vAlign w:val="center"/>
          </w:tcPr>
          <w:p w14:paraId="50EAC295"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Victaulic Europe bvba – Belgium</w:t>
            </w:r>
          </w:p>
        </w:tc>
        <w:tc>
          <w:tcPr>
            <w:tcW w:w="1693" w:type="pct"/>
            <w:vAlign w:val="center"/>
          </w:tcPr>
          <w:p w14:paraId="5937B35B"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客户来访，建立商务关系</w:t>
            </w:r>
          </w:p>
        </w:tc>
      </w:tr>
      <w:tr w:rsidR="008D76D6" w14:paraId="74844F60" w14:textId="77777777">
        <w:trPr>
          <w:trHeight w:val="454"/>
        </w:trPr>
        <w:tc>
          <w:tcPr>
            <w:tcW w:w="396" w:type="pct"/>
            <w:vAlign w:val="center"/>
          </w:tcPr>
          <w:p w14:paraId="1D6065FA"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7</w:t>
            </w:r>
          </w:p>
        </w:tc>
        <w:tc>
          <w:tcPr>
            <w:tcW w:w="2911" w:type="pct"/>
            <w:vAlign w:val="center"/>
          </w:tcPr>
          <w:p w14:paraId="1634E244"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Matco-Norca</w:t>
            </w:r>
          </w:p>
        </w:tc>
        <w:tc>
          <w:tcPr>
            <w:tcW w:w="1693" w:type="pct"/>
            <w:vAlign w:val="center"/>
          </w:tcPr>
          <w:p w14:paraId="05D91842"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客户推荐</w:t>
            </w:r>
          </w:p>
        </w:tc>
      </w:tr>
      <w:tr w:rsidR="008D76D6" w14:paraId="6C766AEC" w14:textId="77777777">
        <w:trPr>
          <w:trHeight w:val="454"/>
        </w:trPr>
        <w:tc>
          <w:tcPr>
            <w:tcW w:w="396" w:type="pct"/>
            <w:vAlign w:val="center"/>
          </w:tcPr>
          <w:p w14:paraId="12E606F2"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8</w:t>
            </w:r>
          </w:p>
        </w:tc>
        <w:tc>
          <w:tcPr>
            <w:tcW w:w="2911" w:type="pct"/>
            <w:vAlign w:val="center"/>
          </w:tcPr>
          <w:p w14:paraId="1DA52923"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FIRE FIGHTING EQUIPMENTS SLU</w:t>
            </w:r>
          </w:p>
        </w:tc>
        <w:tc>
          <w:tcPr>
            <w:tcW w:w="1693" w:type="pct"/>
            <w:vAlign w:val="center"/>
          </w:tcPr>
          <w:p w14:paraId="6427F888"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客户来访，建立商务关系</w:t>
            </w:r>
          </w:p>
        </w:tc>
      </w:tr>
      <w:tr w:rsidR="008D76D6" w14:paraId="42E34A84" w14:textId="77777777">
        <w:trPr>
          <w:trHeight w:val="454"/>
        </w:trPr>
        <w:tc>
          <w:tcPr>
            <w:tcW w:w="396" w:type="pct"/>
            <w:vAlign w:val="center"/>
          </w:tcPr>
          <w:p w14:paraId="15F0C0B2"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9</w:t>
            </w:r>
          </w:p>
        </w:tc>
        <w:tc>
          <w:tcPr>
            <w:tcW w:w="2911" w:type="pct"/>
            <w:vAlign w:val="center"/>
          </w:tcPr>
          <w:p w14:paraId="501D21F0"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Mercatura-GS Hungary Korlatolt Felelossegu Tarsasag</w:t>
            </w:r>
          </w:p>
        </w:tc>
        <w:tc>
          <w:tcPr>
            <w:tcW w:w="1693" w:type="pct"/>
            <w:vAlign w:val="center"/>
          </w:tcPr>
          <w:p w14:paraId="08ABD3A6"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展会</w:t>
            </w:r>
          </w:p>
        </w:tc>
      </w:tr>
      <w:tr w:rsidR="008D76D6" w14:paraId="156E6F79" w14:textId="77777777">
        <w:trPr>
          <w:trHeight w:val="454"/>
        </w:trPr>
        <w:tc>
          <w:tcPr>
            <w:tcW w:w="396" w:type="pct"/>
            <w:vAlign w:val="center"/>
          </w:tcPr>
          <w:p w14:paraId="24AE812C"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10</w:t>
            </w:r>
          </w:p>
        </w:tc>
        <w:tc>
          <w:tcPr>
            <w:tcW w:w="2911" w:type="pct"/>
            <w:vAlign w:val="center"/>
          </w:tcPr>
          <w:p w14:paraId="559E38F1"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COMMERCIALE TUBI ACCIAIO S.p.A</w:t>
            </w:r>
          </w:p>
        </w:tc>
        <w:tc>
          <w:tcPr>
            <w:tcW w:w="1693" w:type="pct"/>
            <w:vAlign w:val="center"/>
          </w:tcPr>
          <w:p w14:paraId="31FB6C17"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客户来访，建立商务关系</w:t>
            </w:r>
          </w:p>
        </w:tc>
      </w:tr>
      <w:tr w:rsidR="008D76D6" w14:paraId="5C47FDC0" w14:textId="77777777">
        <w:trPr>
          <w:trHeight w:val="454"/>
        </w:trPr>
        <w:tc>
          <w:tcPr>
            <w:tcW w:w="396" w:type="pct"/>
            <w:vAlign w:val="center"/>
          </w:tcPr>
          <w:p w14:paraId="48B72283"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11</w:t>
            </w:r>
          </w:p>
        </w:tc>
        <w:tc>
          <w:tcPr>
            <w:tcW w:w="2911" w:type="pct"/>
            <w:vAlign w:val="center"/>
          </w:tcPr>
          <w:p w14:paraId="34B3E637"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SOUTHERN VALVE &amp; FITTING USA,INCO.</w:t>
            </w:r>
          </w:p>
        </w:tc>
        <w:tc>
          <w:tcPr>
            <w:tcW w:w="1693" w:type="pct"/>
            <w:vAlign w:val="center"/>
          </w:tcPr>
          <w:p w14:paraId="749391A9"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客户来访，建立商务关系</w:t>
            </w:r>
          </w:p>
        </w:tc>
      </w:tr>
      <w:tr w:rsidR="008D76D6" w14:paraId="2E66B2CA" w14:textId="77777777">
        <w:trPr>
          <w:trHeight w:val="454"/>
        </w:trPr>
        <w:tc>
          <w:tcPr>
            <w:tcW w:w="396" w:type="pct"/>
            <w:vAlign w:val="center"/>
          </w:tcPr>
          <w:p w14:paraId="50DE843E"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12</w:t>
            </w:r>
          </w:p>
        </w:tc>
        <w:tc>
          <w:tcPr>
            <w:tcW w:w="2911" w:type="pct"/>
            <w:vAlign w:val="center"/>
          </w:tcPr>
          <w:p w14:paraId="03842208"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PACIFIC INDUSTRIAL PRODUCTS SUPPLIES INC.</w:t>
            </w:r>
          </w:p>
        </w:tc>
        <w:tc>
          <w:tcPr>
            <w:tcW w:w="1693" w:type="pct"/>
            <w:vAlign w:val="center"/>
          </w:tcPr>
          <w:p w14:paraId="7F1A48C5"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客户来访，建立商务关系</w:t>
            </w:r>
          </w:p>
        </w:tc>
      </w:tr>
      <w:tr w:rsidR="008D76D6" w14:paraId="27E36DBC" w14:textId="77777777">
        <w:trPr>
          <w:trHeight w:val="454"/>
        </w:trPr>
        <w:tc>
          <w:tcPr>
            <w:tcW w:w="396" w:type="pct"/>
            <w:vAlign w:val="center"/>
          </w:tcPr>
          <w:p w14:paraId="34E5C7B9"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13</w:t>
            </w:r>
          </w:p>
        </w:tc>
        <w:tc>
          <w:tcPr>
            <w:tcW w:w="2911" w:type="pct"/>
            <w:vAlign w:val="center"/>
          </w:tcPr>
          <w:p w14:paraId="6E2BE3F7"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BAVARIA EGYPT S.A.E</w:t>
            </w:r>
          </w:p>
        </w:tc>
        <w:tc>
          <w:tcPr>
            <w:tcW w:w="1693" w:type="pct"/>
            <w:vAlign w:val="center"/>
          </w:tcPr>
          <w:p w14:paraId="24D559D1"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客户来访，建立商务关系</w:t>
            </w:r>
          </w:p>
        </w:tc>
      </w:tr>
      <w:tr w:rsidR="008D76D6" w14:paraId="00C99AFE" w14:textId="77777777">
        <w:trPr>
          <w:trHeight w:val="454"/>
        </w:trPr>
        <w:tc>
          <w:tcPr>
            <w:tcW w:w="396" w:type="pct"/>
            <w:vAlign w:val="center"/>
          </w:tcPr>
          <w:p w14:paraId="5AF591B9"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14</w:t>
            </w:r>
          </w:p>
        </w:tc>
        <w:tc>
          <w:tcPr>
            <w:tcW w:w="2911" w:type="pct"/>
            <w:vAlign w:val="center"/>
          </w:tcPr>
          <w:p w14:paraId="19E44A8A"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DANGELO COMPANY</w:t>
            </w:r>
          </w:p>
        </w:tc>
        <w:tc>
          <w:tcPr>
            <w:tcW w:w="1693" w:type="pct"/>
            <w:vAlign w:val="center"/>
          </w:tcPr>
          <w:p w14:paraId="660C4BEC"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客户来访，建立商务关系</w:t>
            </w:r>
          </w:p>
        </w:tc>
      </w:tr>
      <w:tr w:rsidR="008D76D6" w14:paraId="4E73EB41" w14:textId="77777777">
        <w:trPr>
          <w:trHeight w:val="454"/>
        </w:trPr>
        <w:tc>
          <w:tcPr>
            <w:tcW w:w="396" w:type="pct"/>
            <w:vAlign w:val="center"/>
          </w:tcPr>
          <w:p w14:paraId="514BB839"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15</w:t>
            </w:r>
          </w:p>
        </w:tc>
        <w:tc>
          <w:tcPr>
            <w:tcW w:w="2911" w:type="pct"/>
            <w:vAlign w:val="center"/>
          </w:tcPr>
          <w:p w14:paraId="60E73427"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IMI Hydronic Engineering International SA(Switzerland)</w:t>
            </w:r>
          </w:p>
        </w:tc>
        <w:tc>
          <w:tcPr>
            <w:tcW w:w="1693" w:type="pct"/>
            <w:vAlign w:val="center"/>
          </w:tcPr>
          <w:p w14:paraId="20C8B27B"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展会</w:t>
            </w:r>
          </w:p>
        </w:tc>
      </w:tr>
      <w:tr w:rsidR="008D76D6" w14:paraId="745F9D4D" w14:textId="77777777">
        <w:trPr>
          <w:trHeight w:val="454"/>
        </w:trPr>
        <w:tc>
          <w:tcPr>
            <w:tcW w:w="396" w:type="pct"/>
            <w:vAlign w:val="center"/>
          </w:tcPr>
          <w:p w14:paraId="5014FCE5"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16</w:t>
            </w:r>
          </w:p>
        </w:tc>
        <w:tc>
          <w:tcPr>
            <w:tcW w:w="2911" w:type="pct"/>
            <w:vAlign w:val="center"/>
          </w:tcPr>
          <w:p w14:paraId="5036C6B1"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PT.GENAIR NUSAINDO</w:t>
            </w:r>
          </w:p>
        </w:tc>
        <w:tc>
          <w:tcPr>
            <w:tcW w:w="1693" w:type="pct"/>
            <w:vAlign w:val="center"/>
          </w:tcPr>
          <w:p w14:paraId="6071448C"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客户来访，建立商务关系</w:t>
            </w:r>
          </w:p>
        </w:tc>
      </w:tr>
      <w:tr w:rsidR="008D76D6" w14:paraId="5740B233" w14:textId="77777777">
        <w:trPr>
          <w:trHeight w:val="454"/>
        </w:trPr>
        <w:tc>
          <w:tcPr>
            <w:tcW w:w="396" w:type="pct"/>
            <w:vAlign w:val="center"/>
          </w:tcPr>
          <w:p w14:paraId="13228923"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17</w:t>
            </w:r>
          </w:p>
        </w:tc>
        <w:tc>
          <w:tcPr>
            <w:tcW w:w="2911" w:type="pct"/>
            <w:vAlign w:val="center"/>
          </w:tcPr>
          <w:p w14:paraId="2EF3C86D"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Mendelson Infrastructures &amp; Industries Ltd</w:t>
            </w:r>
          </w:p>
        </w:tc>
        <w:tc>
          <w:tcPr>
            <w:tcW w:w="1693" w:type="pct"/>
            <w:vAlign w:val="center"/>
          </w:tcPr>
          <w:p w14:paraId="595CC6BA"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客户来访，建立商务关系</w:t>
            </w:r>
          </w:p>
        </w:tc>
      </w:tr>
      <w:tr w:rsidR="008D76D6" w14:paraId="13915F8F" w14:textId="77777777">
        <w:trPr>
          <w:trHeight w:val="454"/>
        </w:trPr>
        <w:tc>
          <w:tcPr>
            <w:tcW w:w="396" w:type="pct"/>
            <w:vAlign w:val="center"/>
          </w:tcPr>
          <w:p w14:paraId="68012631"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18</w:t>
            </w:r>
          </w:p>
        </w:tc>
        <w:tc>
          <w:tcPr>
            <w:tcW w:w="2911" w:type="pct"/>
            <w:vAlign w:val="center"/>
          </w:tcPr>
          <w:p w14:paraId="0F231393"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Tradetech Supplies Limited</w:t>
            </w:r>
          </w:p>
        </w:tc>
        <w:tc>
          <w:tcPr>
            <w:tcW w:w="1693" w:type="pct"/>
            <w:vAlign w:val="center"/>
          </w:tcPr>
          <w:p w14:paraId="4FB2A5D9"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客户来访，建立商务关系</w:t>
            </w:r>
          </w:p>
        </w:tc>
      </w:tr>
      <w:tr w:rsidR="008D76D6" w14:paraId="79B6E858" w14:textId="77777777">
        <w:trPr>
          <w:trHeight w:val="454"/>
        </w:trPr>
        <w:tc>
          <w:tcPr>
            <w:tcW w:w="396" w:type="pct"/>
            <w:vAlign w:val="center"/>
          </w:tcPr>
          <w:p w14:paraId="4B0BAFBD"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19</w:t>
            </w:r>
          </w:p>
        </w:tc>
        <w:tc>
          <w:tcPr>
            <w:tcW w:w="2911" w:type="pct"/>
            <w:vAlign w:val="center"/>
          </w:tcPr>
          <w:p w14:paraId="1A61C7BE" w14:textId="77777777" w:rsidR="008D76D6" w:rsidRDefault="008D76D6" w:rsidP="00D232C3">
            <w:pPr>
              <w:spacing w:beforeLines="0" w:before="0" w:afterLines="0" w:after="0" w:line="240" w:lineRule="auto"/>
              <w:ind w:firstLineChars="0" w:firstLine="0"/>
              <w:rPr>
                <w:rFonts w:ascii="Times New Roman" w:hAnsi="Times New Roman"/>
                <w:sz w:val="21"/>
                <w:szCs w:val="21"/>
                <w:shd w:val="clear" w:color="auto" w:fill="FFFFFF"/>
              </w:rPr>
            </w:pPr>
            <w:r>
              <w:rPr>
                <w:rFonts w:ascii="Times New Roman" w:hAnsi="Times New Roman"/>
                <w:sz w:val="21"/>
                <w:szCs w:val="21"/>
              </w:rPr>
              <w:t xml:space="preserve">NATIONAL FIRE FIGHTING MANUFACTURING FZCO </w:t>
            </w:r>
          </w:p>
        </w:tc>
        <w:tc>
          <w:tcPr>
            <w:tcW w:w="1693" w:type="pct"/>
            <w:vAlign w:val="center"/>
          </w:tcPr>
          <w:p w14:paraId="343894F2"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展会</w:t>
            </w:r>
          </w:p>
        </w:tc>
      </w:tr>
      <w:tr w:rsidR="008D76D6" w14:paraId="67F10063" w14:textId="77777777">
        <w:trPr>
          <w:trHeight w:val="454"/>
        </w:trPr>
        <w:tc>
          <w:tcPr>
            <w:tcW w:w="396" w:type="pct"/>
            <w:vAlign w:val="center"/>
          </w:tcPr>
          <w:p w14:paraId="78FC6F67" w14:textId="77777777" w:rsidR="008D76D6" w:rsidRDefault="008D76D6" w:rsidP="00D232C3">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20</w:t>
            </w:r>
          </w:p>
        </w:tc>
        <w:tc>
          <w:tcPr>
            <w:tcW w:w="2911" w:type="pct"/>
            <w:vAlign w:val="center"/>
          </w:tcPr>
          <w:p w14:paraId="074AB0F1" w14:textId="77777777" w:rsidR="008D76D6" w:rsidRDefault="00D232C3" w:rsidP="00D232C3">
            <w:pPr>
              <w:spacing w:beforeLines="0" w:before="0" w:afterLines="0" w:after="0" w:line="240" w:lineRule="auto"/>
              <w:ind w:firstLineChars="0" w:firstLine="0"/>
              <w:rPr>
                <w:rFonts w:ascii="Times New Roman" w:hAnsi="Times New Roman"/>
                <w:sz w:val="21"/>
                <w:szCs w:val="21"/>
                <w:shd w:val="clear" w:color="auto" w:fill="FFFFFF"/>
              </w:rPr>
            </w:pPr>
            <w:r w:rsidRPr="00D232C3">
              <w:rPr>
                <w:rFonts w:ascii="Times New Roman" w:hAnsi="Times New Roman"/>
                <w:sz w:val="21"/>
                <w:szCs w:val="21"/>
              </w:rPr>
              <w:t>CRANE LIMITED</w:t>
            </w:r>
          </w:p>
        </w:tc>
        <w:tc>
          <w:tcPr>
            <w:tcW w:w="1693" w:type="pct"/>
            <w:vAlign w:val="center"/>
          </w:tcPr>
          <w:p w14:paraId="5772BE07" w14:textId="77777777" w:rsidR="008D76D6" w:rsidRDefault="008D76D6" w:rsidP="00D232C3">
            <w:pPr>
              <w:spacing w:beforeLines="0" w:before="0" w:afterLines="0" w:after="0" w:line="240" w:lineRule="auto"/>
              <w:ind w:firstLineChars="0" w:firstLine="0"/>
              <w:jc w:val="center"/>
              <w:rPr>
                <w:rFonts w:ascii="Times New Roman" w:hAnsi="Times New Roman"/>
                <w:sz w:val="21"/>
                <w:szCs w:val="21"/>
                <w:shd w:val="clear" w:color="auto" w:fill="FFFFFF"/>
              </w:rPr>
            </w:pPr>
            <w:r>
              <w:rPr>
                <w:rFonts w:ascii="Times New Roman" w:hAnsi="Times New Roman"/>
                <w:color w:val="000000"/>
                <w:sz w:val="21"/>
                <w:szCs w:val="21"/>
              </w:rPr>
              <w:t>展会</w:t>
            </w:r>
          </w:p>
        </w:tc>
      </w:tr>
    </w:tbl>
    <w:p w14:paraId="23A8BABF" w14:textId="77777777" w:rsidR="002D5C92" w:rsidRDefault="002D5C92" w:rsidP="002D5C92">
      <w:pPr>
        <w:pStyle w:val="005"/>
        <w:spacing w:before="120" w:after="120"/>
        <w:ind w:firstLine="480"/>
      </w:pPr>
      <w:r>
        <w:t>报告期内，客户依据其采购需求对发行人下达采购意向订单。</w:t>
      </w:r>
    </w:p>
    <w:p w14:paraId="1B10F0A1" w14:textId="77777777" w:rsidR="008D76D6" w:rsidRDefault="008D76D6" w:rsidP="00B434D2">
      <w:pPr>
        <w:pStyle w:val="004"/>
        <w:spacing w:before="120" w:after="120"/>
        <w:ind w:firstLine="482"/>
      </w:pPr>
      <w:r>
        <w:rPr>
          <w:rFonts w:hint="eastAsia"/>
        </w:rPr>
        <w:t>（四）</w:t>
      </w:r>
      <w:r>
        <w:t>主要客户变化</w:t>
      </w:r>
    </w:p>
    <w:p w14:paraId="73EC0FA6" w14:textId="77777777" w:rsidR="008D76D6" w:rsidRDefault="008D76D6">
      <w:pPr>
        <w:spacing w:before="120" w:after="120"/>
        <w:ind w:firstLine="480"/>
      </w:pPr>
      <w:r>
        <w:t>报告期内，公司境外主要客户收入（各期前十大客户）及占境外收入比例情况列示如下：</w:t>
      </w:r>
    </w:p>
    <w:p w14:paraId="4221583A" w14:textId="77777777" w:rsidR="008D76D6" w:rsidRDefault="008D76D6">
      <w:pPr>
        <w:spacing w:before="120" w:after="120"/>
        <w:ind w:firstLine="480"/>
        <w:sectPr w:rsidR="008D76D6">
          <w:pgSz w:w="11906" w:h="16838"/>
          <w:pgMar w:top="1797" w:right="1440" w:bottom="1797" w:left="1440" w:header="851" w:footer="567" w:gutter="0"/>
          <w:pgNumType w:start="1"/>
          <w:cols w:space="720"/>
          <w:docGrid w:linePitch="326"/>
        </w:sectPr>
      </w:pPr>
    </w:p>
    <w:tbl>
      <w:tblPr>
        <w:tblW w:w="6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02"/>
        <w:gridCol w:w="2181"/>
        <w:gridCol w:w="1118"/>
        <w:gridCol w:w="1053"/>
        <w:gridCol w:w="1000"/>
        <w:gridCol w:w="1118"/>
        <w:gridCol w:w="1052"/>
        <w:gridCol w:w="1000"/>
        <w:gridCol w:w="1118"/>
        <w:gridCol w:w="1052"/>
        <w:gridCol w:w="1010"/>
        <w:gridCol w:w="1118"/>
        <w:gridCol w:w="1052"/>
        <w:gridCol w:w="1000"/>
      </w:tblGrid>
      <w:tr w:rsidR="008D76D6" w14:paraId="1176338A" w14:textId="77777777">
        <w:trPr>
          <w:trHeight w:val="397"/>
          <w:jc w:val="center"/>
        </w:trPr>
        <w:tc>
          <w:tcPr>
            <w:tcW w:w="946" w:type="dxa"/>
            <w:vMerge w:val="restart"/>
            <w:shd w:val="clear" w:color="auto" w:fill="D9D9D9"/>
            <w:vAlign w:val="center"/>
          </w:tcPr>
          <w:p w14:paraId="14428BE7"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序号</w:t>
            </w:r>
          </w:p>
        </w:tc>
        <w:tc>
          <w:tcPr>
            <w:tcW w:w="1787" w:type="dxa"/>
            <w:vMerge w:val="restart"/>
            <w:shd w:val="clear" w:color="auto" w:fill="D9D9D9"/>
            <w:vAlign w:val="center"/>
          </w:tcPr>
          <w:p w14:paraId="57FDE6CC"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客户名称</w:t>
            </w:r>
          </w:p>
        </w:tc>
        <w:tc>
          <w:tcPr>
            <w:tcW w:w="2956" w:type="dxa"/>
            <w:gridSpan w:val="3"/>
            <w:shd w:val="clear" w:color="auto" w:fill="D9D9D9"/>
            <w:vAlign w:val="center"/>
          </w:tcPr>
          <w:p w14:paraId="428BFDB2"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2023</w:t>
            </w:r>
            <w:r>
              <w:rPr>
                <w:rFonts w:ascii="Times New Roman" w:hAnsi="Times New Roman"/>
                <w:b/>
                <w:bCs/>
                <w:color w:val="000000"/>
                <w:kern w:val="0"/>
                <w:sz w:val="21"/>
                <w:szCs w:val="21"/>
              </w:rPr>
              <w:t>年</w:t>
            </w:r>
            <w:r>
              <w:rPr>
                <w:rFonts w:ascii="Times New Roman" w:hAnsi="Times New Roman"/>
                <w:b/>
                <w:bCs/>
                <w:color w:val="000000"/>
                <w:kern w:val="0"/>
                <w:sz w:val="21"/>
                <w:szCs w:val="21"/>
              </w:rPr>
              <w:t>1-9</w:t>
            </w:r>
            <w:r>
              <w:rPr>
                <w:rFonts w:ascii="Times New Roman" w:hAnsi="Times New Roman"/>
                <w:b/>
                <w:bCs/>
                <w:color w:val="000000"/>
                <w:kern w:val="0"/>
                <w:sz w:val="21"/>
                <w:szCs w:val="21"/>
              </w:rPr>
              <w:t>月</w:t>
            </w:r>
          </w:p>
        </w:tc>
        <w:tc>
          <w:tcPr>
            <w:tcW w:w="2954" w:type="dxa"/>
            <w:gridSpan w:val="3"/>
            <w:shd w:val="clear" w:color="auto" w:fill="D9D9D9"/>
            <w:vAlign w:val="center"/>
          </w:tcPr>
          <w:p w14:paraId="0F906A7C"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2022</w:t>
            </w:r>
            <w:r>
              <w:rPr>
                <w:rFonts w:ascii="Times New Roman" w:hAnsi="Times New Roman"/>
                <w:b/>
                <w:bCs/>
                <w:color w:val="000000"/>
                <w:kern w:val="0"/>
                <w:sz w:val="21"/>
                <w:szCs w:val="21"/>
              </w:rPr>
              <w:t>年度</w:t>
            </w:r>
          </w:p>
        </w:tc>
        <w:tc>
          <w:tcPr>
            <w:tcW w:w="2963" w:type="dxa"/>
            <w:gridSpan w:val="3"/>
            <w:shd w:val="clear" w:color="auto" w:fill="D9D9D9"/>
            <w:vAlign w:val="center"/>
          </w:tcPr>
          <w:p w14:paraId="3251E233"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2021</w:t>
            </w:r>
            <w:r>
              <w:rPr>
                <w:rFonts w:ascii="Times New Roman" w:hAnsi="Times New Roman"/>
                <w:b/>
                <w:bCs/>
                <w:color w:val="000000"/>
                <w:kern w:val="0"/>
                <w:sz w:val="21"/>
                <w:szCs w:val="21"/>
              </w:rPr>
              <w:t>年度</w:t>
            </w:r>
          </w:p>
        </w:tc>
        <w:tc>
          <w:tcPr>
            <w:tcW w:w="2954" w:type="dxa"/>
            <w:gridSpan w:val="3"/>
            <w:shd w:val="clear" w:color="auto" w:fill="D9D9D9"/>
            <w:vAlign w:val="center"/>
          </w:tcPr>
          <w:p w14:paraId="0A5F9F7D"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2020</w:t>
            </w:r>
            <w:r>
              <w:rPr>
                <w:rFonts w:ascii="Times New Roman" w:hAnsi="Times New Roman"/>
                <w:b/>
                <w:bCs/>
                <w:color w:val="000000"/>
                <w:kern w:val="0"/>
                <w:sz w:val="21"/>
                <w:szCs w:val="21"/>
              </w:rPr>
              <w:t>年度</w:t>
            </w:r>
          </w:p>
        </w:tc>
      </w:tr>
      <w:tr w:rsidR="008D76D6" w14:paraId="11CDF725" w14:textId="77777777">
        <w:trPr>
          <w:trHeight w:val="397"/>
          <w:jc w:val="center"/>
        </w:trPr>
        <w:tc>
          <w:tcPr>
            <w:tcW w:w="946" w:type="dxa"/>
            <w:vMerge/>
            <w:shd w:val="clear" w:color="auto" w:fill="D9D9D9"/>
            <w:vAlign w:val="center"/>
          </w:tcPr>
          <w:p w14:paraId="7EA3E04A"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p>
        </w:tc>
        <w:tc>
          <w:tcPr>
            <w:tcW w:w="1787" w:type="dxa"/>
            <w:vMerge/>
            <w:shd w:val="clear" w:color="auto" w:fill="D9D9D9"/>
            <w:vAlign w:val="center"/>
          </w:tcPr>
          <w:p w14:paraId="6FE068B2"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p>
        </w:tc>
        <w:tc>
          <w:tcPr>
            <w:tcW w:w="1016" w:type="dxa"/>
            <w:shd w:val="clear" w:color="auto" w:fill="D9D9D9"/>
            <w:vAlign w:val="center"/>
          </w:tcPr>
          <w:p w14:paraId="0F1D7193"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金额</w:t>
            </w:r>
          </w:p>
          <w:p w14:paraId="779AC015" w14:textId="77777777" w:rsidR="008D76D6" w:rsidRDefault="008D76D6" w:rsidP="008C4EDC">
            <w:pPr>
              <w:spacing w:beforeLines="0" w:before="0" w:afterLines="0" w:after="0" w:line="240" w:lineRule="auto"/>
              <w:ind w:firstLineChars="0" w:firstLine="0"/>
              <w:jc w:val="center"/>
              <w:rPr>
                <w:rFonts w:ascii="Times New Roman" w:hAnsi="Times New Roman" w:hint="eastAsia"/>
                <w:b/>
                <w:bCs/>
                <w:color w:val="000000"/>
                <w:kern w:val="0"/>
                <w:sz w:val="21"/>
                <w:szCs w:val="21"/>
              </w:rPr>
            </w:pPr>
            <w:r>
              <w:rPr>
                <w:rFonts w:ascii="Times New Roman" w:hAnsi="Times New Roman" w:hint="eastAsia"/>
                <w:b/>
                <w:bCs/>
                <w:color w:val="000000"/>
                <w:kern w:val="0"/>
                <w:sz w:val="21"/>
                <w:szCs w:val="21"/>
              </w:rPr>
              <w:t>（万元）</w:t>
            </w:r>
          </w:p>
        </w:tc>
        <w:tc>
          <w:tcPr>
            <w:tcW w:w="995" w:type="dxa"/>
            <w:shd w:val="clear" w:color="auto" w:fill="D9D9D9"/>
            <w:vAlign w:val="center"/>
          </w:tcPr>
          <w:p w14:paraId="06C7E1DD"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占比</w:t>
            </w:r>
          </w:p>
        </w:tc>
        <w:tc>
          <w:tcPr>
            <w:tcW w:w="945" w:type="dxa"/>
            <w:shd w:val="clear" w:color="auto" w:fill="D9D9D9"/>
            <w:vAlign w:val="center"/>
          </w:tcPr>
          <w:p w14:paraId="3D30950E"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占当年外销排名</w:t>
            </w:r>
          </w:p>
        </w:tc>
        <w:tc>
          <w:tcPr>
            <w:tcW w:w="1015" w:type="dxa"/>
            <w:shd w:val="clear" w:color="auto" w:fill="D9D9D9"/>
            <w:vAlign w:val="center"/>
          </w:tcPr>
          <w:p w14:paraId="0BD315A7"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金额</w:t>
            </w:r>
          </w:p>
          <w:p w14:paraId="3BF259CC" w14:textId="77777777" w:rsidR="008D76D6" w:rsidRDefault="008D76D6" w:rsidP="008C4EDC">
            <w:pPr>
              <w:spacing w:beforeLines="0" w:before="0" w:afterLines="0" w:after="0" w:line="240" w:lineRule="auto"/>
              <w:ind w:firstLineChars="0" w:firstLine="0"/>
              <w:jc w:val="center"/>
              <w:rPr>
                <w:rFonts w:ascii="Times New Roman" w:hAnsi="Times New Roman" w:hint="eastAsia"/>
                <w:b/>
                <w:bCs/>
                <w:color w:val="000000"/>
                <w:kern w:val="0"/>
                <w:sz w:val="21"/>
                <w:szCs w:val="21"/>
              </w:rPr>
            </w:pPr>
            <w:r>
              <w:rPr>
                <w:rFonts w:ascii="Times New Roman" w:hAnsi="Times New Roman" w:hint="eastAsia"/>
                <w:b/>
                <w:bCs/>
                <w:color w:val="000000"/>
                <w:kern w:val="0"/>
                <w:sz w:val="21"/>
                <w:szCs w:val="21"/>
              </w:rPr>
              <w:t>（万元）</w:t>
            </w:r>
          </w:p>
        </w:tc>
        <w:tc>
          <w:tcPr>
            <w:tcW w:w="994" w:type="dxa"/>
            <w:shd w:val="clear" w:color="auto" w:fill="D9D9D9"/>
            <w:vAlign w:val="center"/>
          </w:tcPr>
          <w:p w14:paraId="5B6BAE71"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占比</w:t>
            </w:r>
          </w:p>
        </w:tc>
        <w:tc>
          <w:tcPr>
            <w:tcW w:w="945" w:type="dxa"/>
            <w:shd w:val="clear" w:color="auto" w:fill="D9D9D9"/>
            <w:vAlign w:val="center"/>
          </w:tcPr>
          <w:p w14:paraId="4D0FFBE4"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占当年外销排名</w:t>
            </w:r>
          </w:p>
        </w:tc>
        <w:tc>
          <w:tcPr>
            <w:tcW w:w="1015" w:type="dxa"/>
            <w:shd w:val="clear" w:color="auto" w:fill="D9D9D9"/>
            <w:vAlign w:val="center"/>
          </w:tcPr>
          <w:p w14:paraId="793F47AB"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金额</w:t>
            </w:r>
          </w:p>
          <w:p w14:paraId="0BAD7644" w14:textId="77777777" w:rsidR="008D76D6" w:rsidRDefault="008D76D6" w:rsidP="008C4EDC">
            <w:pPr>
              <w:spacing w:beforeLines="0" w:before="0" w:afterLines="0" w:after="0" w:line="240" w:lineRule="auto"/>
              <w:ind w:firstLineChars="0" w:firstLine="0"/>
              <w:jc w:val="center"/>
              <w:rPr>
                <w:rFonts w:ascii="Times New Roman" w:hAnsi="Times New Roman" w:hint="eastAsia"/>
                <w:b/>
                <w:bCs/>
                <w:color w:val="000000"/>
                <w:kern w:val="0"/>
                <w:sz w:val="21"/>
                <w:szCs w:val="21"/>
              </w:rPr>
            </w:pPr>
            <w:r>
              <w:rPr>
                <w:rFonts w:ascii="Times New Roman" w:hAnsi="Times New Roman" w:hint="eastAsia"/>
                <w:b/>
                <w:bCs/>
                <w:color w:val="000000"/>
                <w:kern w:val="0"/>
                <w:sz w:val="21"/>
                <w:szCs w:val="21"/>
              </w:rPr>
              <w:t>（万元）</w:t>
            </w:r>
          </w:p>
        </w:tc>
        <w:tc>
          <w:tcPr>
            <w:tcW w:w="994" w:type="dxa"/>
            <w:shd w:val="clear" w:color="auto" w:fill="D9D9D9"/>
            <w:vAlign w:val="center"/>
          </w:tcPr>
          <w:p w14:paraId="189ECE05"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占比</w:t>
            </w:r>
          </w:p>
        </w:tc>
        <w:tc>
          <w:tcPr>
            <w:tcW w:w="954" w:type="dxa"/>
            <w:shd w:val="clear" w:color="auto" w:fill="D9D9D9"/>
            <w:vAlign w:val="center"/>
          </w:tcPr>
          <w:p w14:paraId="1F525BF4"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占当年外销排名</w:t>
            </w:r>
          </w:p>
        </w:tc>
        <w:tc>
          <w:tcPr>
            <w:tcW w:w="1015" w:type="dxa"/>
            <w:shd w:val="clear" w:color="auto" w:fill="D9D9D9"/>
            <w:vAlign w:val="center"/>
          </w:tcPr>
          <w:p w14:paraId="359E53B7"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金额</w:t>
            </w:r>
          </w:p>
          <w:p w14:paraId="15FE768A" w14:textId="77777777" w:rsidR="008D76D6" w:rsidRDefault="008D76D6" w:rsidP="008C4EDC">
            <w:pPr>
              <w:spacing w:beforeLines="0" w:before="0" w:afterLines="0" w:after="0" w:line="240" w:lineRule="auto"/>
              <w:ind w:firstLineChars="0" w:firstLine="0"/>
              <w:jc w:val="center"/>
              <w:rPr>
                <w:rFonts w:ascii="Times New Roman" w:hAnsi="Times New Roman" w:hint="eastAsia"/>
                <w:b/>
                <w:bCs/>
                <w:color w:val="000000"/>
                <w:kern w:val="0"/>
                <w:sz w:val="21"/>
                <w:szCs w:val="21"/>
              </w:rPr>
            </w:pPr>
            <w:r>
              <w:rPr>
                <w:rFonts w:ascii="Times New Roman" w:hAnsi="Times New Roman" w:hint="eastAsia"/>
                <w:b/>
                <w:bCs/>
                <w:color w:val="000000"/>
                <w:kern w:val="0"/>
                <w:sz w:val="21"/>
                <w:szCs w:val="21"/>
              </w:rPr>
              <w:t>（万元）</w:t>
            </w:r>
          </w:p>
        </w:tc>
        <w:tc>
          <w:tcPr>
            <w:tcW w:w="994" w:type="dxa"/>
            <w:shd w:val="clear" w:color="auto" w:fill="D9D9D9"/>
            <w:vAlign w:val="center"/>
          </w:tcPr>
          <w:p w14:paraId="5E16448D"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占比</w:t>
            </w:r>
          </w:p>
        </w:tc>
        <w:tc>
          <w:tcPr>
            <w:tcW w:w="945" w:type="dxa"/>
            <w:shd w:val="clear" w:color="auto" w:fill="D9D9D9"/>
            <w:vAlign w:val="center"/>
          </w:tcPr>
          <w:p w14:paraId="1750CCD0"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占当年外销排名</w:t>
            </w:r>
          </w:p>
        </w:tc>
      </w:tr>
      <w:tr w:rsidR="008D76D6" w14:paraId="271FD0F6" w14:textId="77777777">
        <w:trPr>
          <w:trHeight w:val="397"/>
          <w:jc w:val="center"/>
        </w:trPr>
        <w:tc>
          <w:tcPr>
            <w:tcW w:w="946" w:type="dxa"/>
            <w:vAlign w:val="center"/>
          </w:tcPr>
          <w:p w14:paraId="258F0708"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w:t>
            </w:r>
          </w:p>
        </w:tc>
        <w:tc>
          <w:tcPr>
            <w:tcW w:w="1787" w:type="dxa"/>
            <w:vAlign w:val="center"/>
          </w:tcPr>
          <w:p w14:paraId="7B0D8768"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J&amp;S Valve, Inc</w:t>
            </w:r>
          </w:p>
        </w:tc>
        <w:tc>
          <w:tcPr>
            <w:tcW w:w="1016" w:type="dxa"/>
            <w:vAlign w:val="center"/>
          </w:tcPr>
          <w:p w14:paraId="5110A840"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4,727.04</w:t>
            </w:r>
          </w:p>
        </w:tc>
        <w:tc>
          <w:tcPr>
            <w:tcW w:w="995" w:type="dxa"/>
            <w:vAlign w:val="center"/>
          </w:tcPr>
          <w:p w14:paraId="071388AE"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14.75%</w:t>
            </w:r>
          </w:p>
        </w:tc>
        <w:tc>
          <w:tcPr>
            <w:tcW w:w="945" w:type="dxa"/>
            <w:vAlign w:val="center"/>
          </w:tcPr>
          <w:p w14:paraId="136F1E21"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w:t>
            </w:r>
          </w:p>
        </w:tc>
        <w:tc>
          <w:tcPr>
            <w:tcW w:w="1015" w:type="dxa"/>
            <w:vAlign w:val="center"/>
          </w:tcPr>
          <w:p w14:paraId="28E3A431"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2,360.28</w:t>
            </w:r>
          </w:p>
        </w:tc>
        <w:tc>
          <w:tcPr>
            <w:tcW w:w="994" w:type="dxa"/>
            <w:vAlign w:val="center"/>
          </w:tcPr>
          <w:p w14:paraId="401EBB3A"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5.23%</w:t>
            </w:r>
          </w:p>
        </w:tc>
        <w:tc>
          <w:tcPr>
            <w:tcW w:w="945" w:type="dxa"/>
            <w:vAlign w:val="center"/>
          </w:tcPr>
          <w:p w14:paraId="76016839"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3</w:t>
            </w:r>
          </w:p>
        </w:tc>
        <w:tc>
          <w:tcPr>
            <w:tcW w:w="1015" w:type="dxa"/>
            <w:vAlign w:val="center"/>
          </w:tcPr>
          <w:p w14:paraId="2F084FD7"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2,281.08</w:t>
            </w:r>
          </w:p>
        </w:tc>
        <w:tc>
          <w:tcPr>
            <w:tcW w:w="994" w:type="dxa"/>
            <w:vAlign w:val="center"/>
          </w:tcPr>
          <w:p w14:paraId="6CEBABC4"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7.29%</w:t>
            </w:r>
          </w:p>
        </w:tc>
        <w:tc>
          <w:tcPr>
            <w:tcW w:w="954" w:type="dxa"/>
            <w:vAlign w:val="center"/>
          </w:tcPr>
          <w:p w14:paraId="2829750B"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2</w:t>
            </w:r>
          </w:p>
        </w:tc>
        <w:tc>
          <w:tcPr>
            <w:tcW w:w="1015" w:type="dxa"/>
            <w:vAlign w:val="center"/>
          </w:tcPr>
          <w:p w14:paraId="597BDDC4"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1,597.85</w:t>
            </w:r>
          </w:p>
        </w:tc>
        <w:tc>
          <w:tcPr>
            <w:tcW w:w="994" w:type="dxa"/>
            <w:vAlign w:val="center"/>
          </w:tcPr>
          <w:p w14:paraId="7FF79FEF"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5.79%</w:t>
            </w:r>
          </w:p>
        </w:tc>
        <w:tc>
          <w:tcPr>
            <w:tcW w:w="945" w:type="dxa"/>
            <w:vAlign w:val="center"/>
          </w:tcPr>
          <w:p w14:paraId="59BF9E11"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2</w:t>
            </w:r>
          </w:p>
        </w:tc>
      </w:tr>
      <w:tr w:rsidR="008D76D6" w14:paraId="5EB27152" w14:textId="77777777">
        <w:trPr>
          <w:trHeight w:val="397"/>
          <w:jc w:val="center"/>
        </w:trPr>
        <w:tc>
          <w:tcPr>
            <w:tcW w:w="946" w:type="dxa"/>
            <w:vAlign w:val="center"/>
          </w:tcPr>
          <w:p w14:paraId="0AA03E98"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2</w:t>
            </w:r>
          </w:p>
        </w:tc>
        <w:tc>
          <w:tcPr>
            <w:tcW w:w="1787" w:type="dxa"/>
            <w:vAlign w:val="center"/>
          </w:tcPr>
          <w:p w14:paraId="408DFCCC"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LANSDALE INTERNATIONAL LLC</w:t>
            </w:r>
          </w:p>
        </w:tc>
        <w:tc>
          <w:tcPr>
            <w:tcW w:w="1016" w:type="dxa"/>
            <w:vAlign w:val="center"/>
          </w:tcPr>
          <w:p w14:paraId="22280510"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2,144.03</w:t>
            </w:r>
          </w:p>
        </w:tc>
        <w:tc>
          <w:tcPr>
            <w:tcW w:w="995" w:type="dxa"/>
            <w:vAlign w:val="center"/>
          </w:tcPr>
          <w:p w14:paraId="74570050"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6.69%</w:t>
            </w:r>
          </w:p>
        </w:tc>
        <w:tc>
          <w:tcPr>
            <w:tcW w:w="945" w:type="dxa"/>
            <w:vAlign w:val="center"/>
          </w:tcPr>
          <w:p w14:paraId="48B40488"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2</w:t>
            </w:r>
          </w:p>
        </w:tc>
        <w:tc>
          <w:tcPr>
            <w:tcW w:w="1015" w:type="dxa"/>
            <w:vAlign w:val="center"/>
          </w:tcPr>
          <w:p w14:paraId="3D1EBED5"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3,862.85</w:t>
            </w:r>
          </w:p>
        </w:tc>
        <w:tc>
          <w:tcPr>
            <w:tcW w:w="994" w:type="dxa"/>
            <w:vAlign w:val="center"/>
          </w:tcPr>
          <w:p w14:paraId="5F8BBAA8"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8.56%</w:t>
            </w:r>
          </w:p>
        </w:tc>
        <w:tc>
          <w:tcPr>
            <w:tcW w:w="945" w:type="dxa"/>
            <w:vAlign w:val="center"/>
          </w:tcPr>
          <w:p w14:paraId="0E84B19A"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w:t>
            </w:r>
          </w:p>
        </w:tc>
        <w:tc>
          <w:tcPr>
            <w:tcW w:w="1015" w:type="dxa"/>
            <w:vAlign w:val="center"/>
          </w:tcPr>
          <w:p w14:paraId="139E0A0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2,765.50</w:t>
            </w:r>
          </w:p>
        </w:tc>
        <w:tc>
          <w:tcPr>
            <w:tcW w:w="994" w:type="dxa"/>
            <w:vAlign w:val="center"/>
          </w:tcPr>
          <w:p w14:paraId="30F2B6E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8.84%</w:t>
            </w:r>
          </w:p>
        </w:tc>
        <w:tc>
          <w:tcPr>
            <w:tcW w:w="954" w:type="dxa"/>
            <w:vAlign w:val="center"/>
          </w:tcPr>
          <w:p w14:paraId="6A5ED2DE"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w:t>
            </w:r>
          </w:p>
        </w:tc>
        <w:tc>
          <w:tcPr>
            <w:tcW w:w="1015" w:type="dxa"/>
            <w:vAlign w:val="center"/>
          </w:tcPr>
          <w:p w14:paraId="52CC7586"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1,456.08</w:t>
            </w:r>
          </w:p>
        </w:tc>
        <w:tc>
          <w:tcPr>
            <w:tcW w:w="994" w:type="dxa"/>
            <w:vAlign w:val="center"/>
          </w:tcPr>
          <w:p w14:paraId="08C57E95"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5.27%</w:t>
            </w:r>
          </w:p>
        </w:tc>
        <w:tc>
          <w:tcPr>
            <w:tcW w:w="945" w:type="dxa"/>
            <w:vAlign w:val="center"/>
          </w:tcPr>
          <w:p w14:paraId="1B95D8FF"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3</w:t>
            </w:r>
          </w:p>
        </w:tc>
      </w:tr>
      <w:tr w:rsidR="008D76D6" w14:paraId="539F86F5" w14:textId="77777777">
        <w:trPr>
          <w:trHeight w:val="397"/>
          <w:jc w:val="center"/>
        </w:trPr>
        <w:tc>
          <w:tcPr>
            <w:tcW w:w="946" w:type="dxa"/>
            <w:vAlign w:val="center"/>
          </w:tcPr>
          <w:p w14:paraId="7EB249F3"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3</w:t>
            </w:r>
          </w:p>
        </w:tc>
        <w:tc>
          <w:tcPr>
            <w:tcW w:w="1787" w:type="dxa"/>
            <w:vAlign w:val="center"/>
          </w:tcPr>
          <w:p w14:paraId="18CBF673"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GIACOMINI UNIVAL TESISAT ARMATURLERI SAN.VE TIC.LTD.STI.</w:t>
            </w:r>
          </w:p>
        </w:tc>
        <w:tc>
          <w:tcPr>
            <w:tcW w:w="1016" w:type="dxa"/>
            <w:vAlign w:val="center"/>
          </w:tcPr>
          <w:p w14:paraId="63BA6754"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1,734.31</w:t>
            </w:r>
          </w:p>
        </w:tc>
        <w:tc>
          <w:tcPr>
            <w:tcW w:w="995" w:type="dxa"/>
            <w:vAlign w:val="center"/>
          </w:tcPr>
          <w:p w14:paraId="011ADB49"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5.41%</w:t>
            </w:r>
          </w:p>
        </w:tc>
        <w:tc>
          <w:tcPr>
            <w:tcW w:w="945" w:type="dxa"/>
            <w:vAlign w:val="center"/>
          </w:tcPr>
          <w:p w14:paraId="7E5B23DB"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3</w:t>
            </w:r>
          </w:p>
        </w:tc>
        <w:tc>
          <w:tcPr>
            <w:tcW w:w="1015" w:type="dxa"/>
            <w:vAlign w:val="center"/>
          </w:tcPr>
          <w:p w14:paraId="097B8C70"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521.02</w:t>
            </w:r>
          </w:p>
        </w:tc>
        <w:tc>
          <w:tcPr>
            <w:tcW w:w="994" w:type="dxa"/>
            <w:vAlign w:val="center"/>
          </w:tcPr>
          <w:p w14:paraId="63C757B6"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1.15%</w:t>
            </w:r>
          </w:p>
        </w:tc>
        <w:tc>
          <w:tcPr>
            <w:tcW w:w="945" w:type="dxa"/>
            <w:vAlign w:val="center"/>
          </w:tcPr>
          <w:p w14:paraId="717CD5B4" w14:textId="77777777" w:rsidR="008D76D6" w:rsidRDefault="00C0656F"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hint="eastAsia"/>
                <w:color w:val="000000"/>
                <w:kern w:val="0"/>
                <w:sz w:val="21"/>
                <w:szCs w:val="21"/>
              </w:rPr>
              <w:t>非当期前</w:t>
            </w:r>
            <w:r>
              <w:rPr>
                <w:rFonts w:ascii="Times New Roman" w:hAnsi="Times New Roman" w:hint="eastAsia"/>
                <w:color w:val="000000"/>
                <w:kern w:val="0"/>
                <w:sz w:val="21"/>
                <w:szCs w:val="21"/>
              </w:rPr>
              <w:t>2</w:t>
            </w:r>
            <w:r>
              <w:rPr>
                <w:rFonts w:ascii="Times New Roman" w:hAnsi="Times New Roman"/>
                <w:color w:val="000000"/>
                <w:kern w:val="0"/>
                <w:sz w:val="21"/>
                <w:szCs w:val="21"/>
              </w:rPr>
              <w:t>0</w:t>
            </w:r>
            <w:r>
              <w:rPr>
                <w:rFonts w:ascii="Times New Roman" w:hAnsi="Times New Roman" w:hint="eastAsia"/>
                <w:color w:val="000000"/>
                <w:kern w:val="0"/>
                <w:sz w:val="21"/>
                <w:szCs w:val="21"/>
              </w:rPr>
              <w:t>大客户</w:t>
            </w:r>
          </w:p>
        </w:tc>
        <w:tc>
          <w:tcPr>
            <w:tcW w:w="1015" w:type="dxa"/>
            <w:vAlign w:val="center"/>
          </w:tcPr>
          <w:p w14:paraId="5D1F4C81"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853.8</w:t>
            </w:r>
            <w:r w:rsidR="00264C33">
              <w:rPr>
                <w:rFonts w:ascii="Times New Roman" w:hAnsi="Times New Roman"/>
                <w:color w:val="000000"/>
                <w:kern w:val="0"/>
                <w:sz w:val="21"/>
                <w:szCs w:val="21"/>
              </w:rPr>
              <w:t>0</w:t>
            </w:r>
          </w:p>
        </w:tc>
        <w:tc>
          <w:tcPr>
            <w:tcW w:w="994" w:type="dxa"/>
            <w:vAlign w:val="center"/>
          </w:tcPr>
          <w:p w14:paraId="14C6E348"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2.73%</w:t>
            </w:r>
          </w:p>
        </w:tc>
        <w:tc>
          <w:tcPr>
            <w:tcW w:w="954" w:type="dxa"/>
            <w:vAlign w:val="center"/>
          </w:tcPr>
          <w:p w14:paraId="2D0A02A5" w14:textId="77777777" w:rsidR="008D76D6" w:rsidRDefault="00C0656F"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7</w:t>
            </w:r>
          </w:p>
        </w:tc>
        <w:tc>
          <w:tcPr>
            <w:tcW w:w="1015" w:type="dxa"/>
            <w:vAlign w:val="center"/>
          </w:tcPr>
          <w:p w14:paraId="74144456"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545.83</w:t>
            </w:r>
          </w:p>
        </w:tc>
        <w:tc>
          <w:tcPr>
            <w:tcW w:w="994" w:type="dxa"/>
            <w:vAlign w:val="center"/>
          </w:tcPr>
          <w:p w14:paraId="488E939F"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1.98%</w:t>
            </w:r>
          </w:p>
        </w:tc>
        <w:tc>
          <w:tcPr>
            <w:tcW w:w="945" w:type="dxa"/>
            <w:vAlign w:val="center"/>
          </w:tcPr>
          <w:p w14:paraId="20C228AF"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12</w:t>
            </w:r>
          </w:p>
        </w:tc>
      </w:tr>
      <w:tr w:rsidR="008D76D6" w14:paraId="2894C509" w14:textId="77777777">
        <w:trPr>
          <w:trHeight w:val="397"/>
          <w:jc w:val="center"/>
        </w:trPr>
        <w:tc>
          <w:tcPr>
            <w:tcW w:w="946" w:type="dxa"/>
            <w:vAlign w:val="center"/>
          </w:tcPr>
          <w:p w14:paraId="2A09467D"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4</w:t>
            </w:r>
          </w:p>
        </w:tc>
        <w:tc>
          <w:tcPr>
            <w:tcW w:w="1787" w:type="dxa"/>
            <w:vAlign w:val="center"/>
          </w:tcPr>
          <w:p w14:paraId="40E1E8F3"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LICHFIELD FIRE AND SAFETY EQUIPMENT FZE</w:t>
            </w:r>
          </w:p>
        </w:tc>
        <w:tc>
          <w:tcPr>
            <w:tcW w:w="1016" w:type="dxa"/>
            <w:vAlign w:val="center"/>
          </w:tcPr>
          <w:p w14:paraId="35B28D51"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1,588.66</w:t>
            </w:r>
          </w:p>
        </w:tc>
        <w:tc>
          <w:tcPr>
            <w:tcW w:w="995" w:type="dxa"/>
            <w:vAlign w:val="center"/>
          </w:tcPr>
          <w:p w14:paraId="1DE42A81"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4.96%</w:t>
            </w:r>
          </w:p>
        </w:tc>
        <w:tc>
          <w:tcPr>
            <w:tcW w:w="945" w:type="dxa"/>
            <w:vAlign w:val="center"/>
          </w:tcPr>
          <w:p w14:paraId="553F54AE"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4</w:t>
            </w:r>
          </w:p>
        </w:tc>
        <w:tc>
          <w:tcPr>
            <w:tcW w:w="1015" w:type="dxa"/>
            <w:vAlign w:val="center"/>
          </w:tcPr>
          <w:p w14:paraId="79A06B6D"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1,830.60</w:t>
            </w:r>
          </w:p>
        </w:tc>
        <w:tc>
          <w:tcPr>
            <w:tcW w:w="994" w:type="dxa"/>
            <w:vAlign w:val="center"/>
          </w:tcPr>
          <w:p w14:paraId="1A463B19"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4.06%</w:t>
            </w:r>
          </w:p>
        </w:tc>
        <w:tc>
          <w:tcPr>
            <w:tcW w:w="945" w:type="dxa"/>
            <w:vAlign w:val="center"/>
          </w:tcPr>
          <w:p w14:paraId="1355E35C"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4</w:t>
            </w:r>
          </w:p>
        </w:tc>
        <w:tc>
          <w:tcPr>
            <w:tcW w:w="1015" w:type="dxa"/>
            <w:vAlign w:val="center"/>
          </w:tcPr>
          <w:p w14:paraId="60FFF984"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504.78</w:t>
            </w:r>
          </w:p>
        </w:tc>
        <w:tc>
          <w:tcPr>
            <w:tcW w:w="994" w:type="dxa"/>
            <w:vAlign w:val="center"/>
          </w:tcPr>
          <w:p w14:paraId="57142687"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1.61%</w:t>
            </w:r>
          </w:p>
        </w:tc>
        <w:tc>
          <w:tcPr>
            <w:tcW w:w="954" w:type="dxa"/>
            <w:vAlign w:val="center"/>
          </w:tcPr>
          <w:p w14:paraId="3B16E043"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w:t>
            </w:r>
            <w:r w:rsidR="00C0656F">
              <w:rPr>
                <w:rFonts w:ascii="Times New Roman" w:hAnsi="Times New Roman"/>
                <w:color w:val="000000"/>
                <w:kern w:val="0"/>
                <w:sz w:val="21"/>
                <w:szCs w:val="21"/>
              </w:rPr>
              <w:t>7</w:t>
            </w:r>
          </w:p>
        </w:tc>
        <w:tc>
          <w:tcPr>
            <w:tcW w:w="1015" w:type="dxa"/>
            <w:vAlign w:val="center"/>
          </w:tcPr>
          <w:p w14:paraId="77A62E4C"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974.57</w:t>
            </w:r>
          </w:p>
        </w:tc>
        <w:tc>
          <w:tcPr>
            <w:tcW w:w="994" w:type="dxa"/>
            <w:vAlign w:val="center"/>
          </w:tcPr>
          <w:p w14:paraId="3D4B1025"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3.53%</w:t>
            </w:r>
          </w:p>
        </w:tc>
        <w:tc>
          <w:tcPr>
            <w:tcW w:w="945" w:type="dxa"/>
            <w:vAlign w:val="center"/>
          </w:tcPr>
          <w:p w14:paraId="03B74312"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5</w:t>
            </w:r>
          </w:p>
        </w:tc>
      </w:tr>
      <w:tr w:rsidR="008D76D6" w14:paraId="75FCF4CE" w14:textId="77777777">
        <w:trPr>
          <w:trHeight w:val="397"/>
          <w:jc w:val="center"/>
        </w:trPr>
        <w:tc>
          <w:tcPr>
            <w:tcW w:w="946" w:type="dxa"/>
            <w:vAlign w:val="center"/>
          </w:tcPr>
          <w:p w14:paraId="6E57A649"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5</w:t>
            </w:r>
          </w:p>
        </w:tc>
        <w:tc>
          <w:tcPr>
            <w:tcW w:w="1787" w:type="dxa"/>
            <w:vAlign w:val="center"/>
          </w:tcPr>
          <w:p w14:paraId="33932B51"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REECE AUSTRALIA PTY LTD</w:t>
            </w:r>
          </w:p>
        </w:tc>
        <w:tc>
          <w:tcPr>
            <w:tcW w:w="1016" w:type="dxa"/>
            <w:vAlign w:val="center"/>
          </w:tcPr>
          <w:p w14:paraId="2FF19260"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1,234.29</w:t>
            </w:r>
          </w:p>
        </w:tc>
        <w:tc>
          <w:tcPr>
            <w:tcW w:w="995" w:type="dxa"/>
            <w:vAlign w:val="center"/>
          </w:tcPr>
          <w:p w14:paraId="61893F7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3.85%</w:t>
            </w:r>
          </w:p>
        </w:tc>
        <w:tc>
          <w:tcPr>
            <w:tcW w:w="945" w:type="dxa"/>
            <w:vAlign w:val="center"/>
          </w:tcPr>
          <w:p w14:paraId="6953D8B2"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5</w:t>
            </w:r>
          </w:p>
        </w:tc>
        <w:tc>
          <w:tcPr>
            <w:tcW w:w="1015" w:type="dxa"/>
            <w:vAlign w:val="center"/>
          </w:tcPr>
          <w:p w14:paraId="50AD0E2A"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2,953.49</w:t>
            </w:r>
          </w:p>
        </w:tc>
        <w:tc>
          <w:tcPr>
            <w:tcW w:w="994" w:type="dxa"/>
            <w:vAlign w:val="center"/>
          </w:tcPr>
          <w:p w14:paraId="1A05318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6.55%</w:t>
            </w:r>
          </w:p>
        </w:tc>
        <w:tc>
          <w:tcPr>
            <w:tcW w:w="945" w:type="dxa"/>
            <w:vAlign w:val="center"/>
          </w:tcPr>
          <w:p w14:paraId="5449104F"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2</w:t>
            </w:r>
          </w:p>
        </w:tc>
        <w:tc>
          <w:tcPr>
            <w:tcW w:w="1015" w:type="dxa"/>
            <w:vAlign w:val="center"/>
          </w:tcPr>
          <w:p w14:paraId="12037680"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1,923.47</w:t>
            </w:r>
          </w:p>
        </w:tc>
        <w:tc>
          <w:tcPr>
            <w:tcW w:w="994" w:type="dxa"/>
            <w:vAlign w:val="center"/>
          </w:tcPr>
          <w:p w14:paraId="29E5D123"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6.15%</w:t>
            </w:r>
          </w:p>
        </w:tc>
        <w:tc>
          <w:tcPr>
            <w:tcW w:w="954" w:type="dxa"/>
            <w:vAlign w:val="center"/>
          </w:tcPr>
          <w:p w14:paraId="7094EDE0"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3</w:t>
            </w:r>
          </w:p>
        </w:tc>
        <w:tc>
          <w:tcPr>
            <w:tcW w:w="1015" w:type="dxa"/>
            <w:vAlign w:val="center"/>
          </w:tcPr>
          <w:p w14:paraId="1C769321"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1,847.04</w:t>
            </w:r>
          </w:p>
        </w:tc>
        <w:tc>
          <w:tcPr>
            <w:tcW w:w="994" w:type="dxa"/>
            <w:vAlign w:val="center"/>
          </w:tcPr>
          <w:p w14:paraId="0BF70A1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6.69%</w:t>
            </w:r>
          </w:p>
        </w:tc>
        <w:tc>
          <w:tcPr>
            <w:tcW w:w="945" w:type="dxa"/>
            <w:vAlign w:val="center"/>
          </w:tcPr>
          <w:p w14:paraId="1F4A070B"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w:t>
            </w:r>
          </w:p>
        </w:tc>
      </w:tr>
      <w:tr w:rsidR="008D76D6" w14:paraId="1B0F391E" w14:textId="77777777">
        <w:trPr>
          <w:trHeight w:val="397"/>
          <w:jc w:val="center"/>
        </w:trPr>
        <w:tc>
          <w:tcPr>
            <w:tcW w:w="946" w:type="dxa"/>
            <w:vAlign w:val="center"/>
          </w:tcPr>
          <w:p w14:paraId="04486B71"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6</w:t>
            </w:r>
          </w:p>
        </w:tc>
        <w:tc>
          <w:tcPr>
            <w:tcW w:w="1787" w:type="dxa"/>
            <w:vAlign w:val="center"/>
          </w:tcPr>
          <w:p w14:paraId="694E710A"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Victaulic Europe bvba – Belgium</w:t>
            </w:r>
          </w:p>
        </w:tc>
        <w:tc>
          <w:tcPr>
            <w:tcW w:w="1016" w:type="dxa"/>
            <w:vAlign w:val="center"/>
          </w:tcPr>
          <w:p w14:paraId="0153862C"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1,192.48</w:t>
            </w:r>
          </w:p>
        </w:tc>
        <w:tc>
          <w:tcPr>
            <w:tcW w:w="995" w:type="dxa"/>
            <w:vAlign w:val="center"/>
          </w:tcPr>
          <w:p w14:paraId="7C4EEAEC"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3.72%</w:t>
            </w:r>
          </w:p>
        </w:tc>
        <w:tc>
          <w:tcPr>
            <w:tcW w:w="945" w:type="dxa"/>
            <w:vAlign w:val="center"/>
          </w:tcPr>
          <w:p w14:paraId="7A974EA0"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6</w:t>
            </w:r>
          </w:p>
        </w:tc>
        <w:tc>
          <w:tcPr>
            <w:tcW w:w="1015" w:type="dxa"/>
            <w:vAlign w:val="center"/>
          </w:tcPr>
          <w:p w14:paraId="19B05546"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838.72</w:t>
            </w:r>
          </w:p>
        </w:tc>
        <w:tc>
          <w:tcPr>
            <w:tcW w:w="994" w:type="dxa"/>
            <w:vAlign w:val="center"/>
          </w:tcPr>
          <w:p w14:paraId="1CC42FBB"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1.86%</w:t>
            </w:r>
          </w:p>
        </w:tc>
        <w:tc>
          <w:tcPr>
            <w:tcW w:w="945" w:type="dxa"/>
            <w:vAlign w:val="center"/>
          </w:tcPr>
          <w:p w14:paraId="2D67CF7C"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16</w:t>
            </w:r>
          </w:p>
        </w:tc>
        <w:tc>
          <w:tcPr>
            <w:tcW w:w="1015" w:type="dxa"/>
            <w:vAlign w:val="center"/>
          </w:tcPr>
          <w:p w14:paraId="028F8485"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1,028.04</w:t>
            </w:r>
          </w:p>
        </w:tc>
        <w:tc>
          <w:tcPr>
            <w:tcW w:w="994" w:type="dxa"/>
            <w:vAlign w:val="center"/>
          </w:tcPr>
          <w:p w14:paraId="56DB85D5"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3.29%</w:t>
            </w:r>
          </w:p>
        </w:tc>
        <w:tc>
          <w:tcPr>
            <w:tcW w:w="954" w:type="dxa"/>
            <w:vAlign w:val="center"/>
          </w:tcPr>
          <w:p w14:paraId="3EAA19F8"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6</w:t>
            </w:r>
          </w:p>
        </w:tc>
        <w:tc>
          <w:tcPr>
            <w:tcW w:w="1015" w:type="dxa"/>
            <w:vAlign w:val="center"/>
          </w:tcPr>
          <w:p w14:paraId="1EB3048E"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403.95</w:t>
            </w:r>
          </w:p>
        </w:tc>
        <w:tc>
          <w:tcPr>
            <w:tcW w:w="994" w:type="dxa"/>
            <w:vAlign w:val="center"/>
          </w:tcPr>
          <w:p w14:paraId="54C27DAC"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1.46%</w:t>
            </w:r>
          </w:p>
        </w:tc>
        <w:tc>
          <w:tcPr>
            <w:tcW w:w="945" w:type="dxa"/>
            <w:vAlign w:val="center"/>
          </w:tcPr>
          <w:p w14:paraId="445C1144"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18</w:t>
            </w:r>
          </w:p>
        </w:tc>
      </w:tr>
      <w:tr w:rsidR="008D76D6" w14:paraId="280574B8" w14:textId="77777777">
        <w:trPr>
          <w:trHeight w:val="397"/>
          <w:jc w:val="center"/>
        </w:trPr>
        <w:tc>
          <w:tcPr>
            <w:tcW w:w="946" w:type="dxa"/>
            <w:vAlign w:val="center"/>
          </w:tcPr>
          <w:p w14:paraId="320EFE74"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7</w:t>
            </w:r>
          </w:p>
        </w:tc>
        <w:tc>
          <w:tcPr>
            <w:tcW w:w="1787" w:type="dxa"/>
            <w:vAlign w:val="center"/>
          </w:tcPr>
          <w:p w14:paraId="044477B8"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Matco-Norca</w:t>
            </w:r>
          </w:p>
        </w:tc>
        <w:tc>
          <w:tcPr>
            <w:tcW w:w="1016" w:type="dxa"/>
            <w:vAlign w:val="center"/>
          </w:tcPr>
          <w:p w14:paraId="51B17D93"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1,177.34</w:t>
            </w:r>
          </w:p>
        </w:tc>
        <w:tc>
          <w:tcPr>
            <w:tcW w:w="995" w:type="dxa"/>
            <w:vAlign w:val="center"/>
          </w:tcPr>
          <w:p w14:paraId="212B3EEE"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3.67%</w:t>
            </w:r>
          </w:p>
        </w:tc>
        <w:tc>
          <w:tcPr>
            <w:tcW w:w="945" w:type="dxa"/>
            <w:vAlign w:val="center"/>
          </w:tcPr>
          <w:p w14:paraId="1319F1BA"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7</w:t>
            </w:r>
          </w:p>
        </w:tc>
        <w:tc>
          <w:tcPr>
            <w:tcW w:w="1015" w:type="dxa"/>
            <w:vAlign w:val="center"/>
          </w:tcPr>
          <w:p w14:paraId="655B2810"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1,637.10</w:t>
            </w:r>
          </w:p>
        </w:tc>
        <w:tc>
          <w:tcPr>
            <w:tcW w:w="994" w:type="dxa"/>
            <w:vAlign w:val="center"/>
          </w:tcPr>
          <w:p w14:paraId="751CD031"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3.63%</w:t>
            </w:r>
          </w:p>
        </w:tc>
        <w:tc>
          <w:tcPr>
            <w:tcW w:w="945" w:type="dxa"/>
            <w:vAlign w:val="center"/>
          </w:tcPr>
          <w:p w14:paraId="6D6BD498"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7</w:t>
            </w:r>
          </w:p>
        </w:tc>
        <w:tc>
          <w:tcPr>
            <w:tcW w:w="1015" w:type="dxa"/>
            <w:vAlign w:val="center"/>
          </w:tcPr>
          <w:p w14:paraId="5CC7C187"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530.01</w:t>
            </w:r>
          </w:p>
        </w:tc>
        <w:tc>
          <w:tcPr>
            <w:tcW w:w="994" w:type="dxa"/>
            <w:vAlign w:val="center"/>
          </w:tcPr>
          <w:p w14:paraId="7658510D"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1.69%</w:t>
            </w:r>
          </w:p>
        </w:tc>
        <w:tc>
          <w:tcPr>
            <w:tcW w:w="954" w:type="dxa"/>
            <w:vAlign w:val="center"/>
          </w:tcPr>
          <w:p w14:paraId="352A46FA"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w:t>
            </w:r>
            <w:r w:rsidR="00C0656F">
              <w:rPr>
                <w:rFonts w:ascii="Times New Roman" w:hAnsi="Times New Roman"/>
                <w:color w:val="000000"/>
                <w:kern w:val="0"/>
                <w:sz w:val="21"/>
                <w:szCs w:val="21"/>
              </w:rPr>
              <w:t>4</w:t>
            </w:r>
          </w:p>
        </w:tc>
        <w:tc>
          <w:tcPr>
            <w:tcW w:w="1015" w:type="dxa"/>
            <w:vAlign w:val="center"/>
          </w:tcPr>
          <w:p w14:paraId="31F1A3FC"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447.72</w:t>
            </w:r>
          </w:p>
        </w:tc>
        <w:tc>
          <w:tcPr>
            <w:tcW w:w="994" w:type="dxa"/>
            <w:vAlign w:val="center"/>
          </w:tcPr>
          <w:p w14:paraId="1E2CD91C"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1.62%</w:t>
            </w:r>
          </w:p>
        </w:tc>
        <w:tc>
          <w:tcPr>
            <w:tcW w:w="945" w:type="dxa"/>
            <w:vAlign w:val="center"/>
          </w:tcPr>
          <w:p w14:paraId="3991C37D"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14</w:t>
            </w:r>
          </w:p>
        </w:tc>
      </w:tr>
      <w:tr w:rsidR="008D76D6" w14:paraId="632B1137" w14:textId="77777777">
        <w:trPr>
          <w:trHeight w:val="397"/>
          <w:jc w:val="center"/>
        </w:trPr>
        <w:tc>
          <w:tcPr>
            <w:tcW w:w="946" w:type="dxa"/>
            <w:vAlign w:val="center"/>
          </w:tcPr>
          <w:p w14:paraId="745B764E"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8</w:t>
            </w:r>
          </w:p>
        </w:tc>
        <w:tc>
          <w:tcPr>
            <w:tcW w:w="1787" w:type="dxa"/>
            <w:vAlign w:val="center"/>
          </w:tcPr>
          <w:p w14:paraId="73D688C4"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FIRE FIGHTING EQUIPMENTS SLU</w:t>
            </w:r>
          </w:p>
        </w:tc>
        <w:tc>
          <w:tcPr>
            <w:tcW w:w="1016" w:type="dxa"/>
            <w:vAlign w:val="center"/>
          </w:tcPr>
          <w:p w14:paraId="0849BFEB"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1,064.29</w:t>
            </w:r>
          </w:p>
        </w:tc>
        <w:tc>
          <w:tcPr>
            <w:tcW w:w="995" w:type="dxa"/>
            <w:vAlign w:val="center"/>
          </w:tcPr>
          <w:p w14:paraId="10543F77"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3.32%</w:t>
            </w:r>
          </w:p>
        </w:tc>
        <w:tc>
          <w:tcPr>
            <w:tcW w:w="945" w:type="dxa"/>
            <w:vAlign w:val="center"/>
          </w:tcPr>
          <w:p w14:paraId="0B136857"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8</w:t>
            </w:r>
          </w:p>
        </w:tc>
        <w:tc>
          <w:tcPr>
            <w:tcW w:w="1015" w:type="dxa"/>
            <w:vAlign w:val="center"/>
          </w:tcPr>
          <w:p w14:paraId="02967640"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955.36</w:t>
            </w:r>
          </w:p>
        </w:tc>
        <w:tc>
          <w:tcPr>
            <w:tcW w:w="994" w:type="dxa"/>
            <w:vAlign w:val="center"/>
          </w:tcPr>
          <w:p w14:paraId="614321E8"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2.12%</w:t>
            </w:r>
          </w:p>
        </w:tc>
        <w:tc>
          <w:tcPr>
            <w:tcW w:w="945" w:type="dxa"/>
            <w:vAlign w:val="center"/>
          </w:tcPr>
          <w:p w14:paraId="6778A503"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14</w:t>
            </w:r>
          </w:p>
        </w:tc>
        <w:tc>
          <w:tcPr>
            <w:tcW w:w="1015" w:type="dxa"/>
            <w:vAlign w:val="center"/>
          </w:tcPr>
          <w:p w14:paraId="1A5F4BDE"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599.06</w:t>
            </w:r>
          </w:p>
        </w:tc>
        <w:tc>
          <w:tcPr>
            <w:tcW w:w="994" w:type="dxa"/>
            <w:vAlign w:val="center"/>
          </w:tcPr>
          <w:p w14:paraId="54EE4D14"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1.92%</w:t>
            </w:r>
          </w:p>
        </w:tc>
        <w:tc>
          <w:tcPr>
            <w:tcW w:w="954" w:type="dxa"/>
            <w:vAlign w:val="center"/>
          </w:tcPr>
          <w:p w14:paraId="550FD267"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w:t>
            </w:r>
            <w:r w:rsidR="00C0656F">
              <w:rPr>
                <w:rFonts w:ascii="Times New Roman" w:hAnsi="Times New Roman"/>
                <w:color w:val="000000"/>
                <w:kern w:val="0"/>
                <w:sz w:val="21"/>
                <w:szCs w:val="21"/>
              </w:rPr>
              <w:t>3</w:t>
            </w:r>
          </w:p>
        </w:tc>
        <w:tc>
          <w:tcPr>
            <w:tcW w:w="1015" w:type="dxa"/>
            <w:vAlign w:val="center"/>
          </w:tcPr>
          <w:p w14:paraId="5B07A6F6"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339.04</w:t>
            </w:r>
          </w:p>
        </w:tc>
        <w:tc>
          <w:tcPr>
            <w:tcW w:w="994" w:type="dxa"/>
            <w:vAlign w:val="center"/>
          </w:tcPr>
          <w:p w14:paraId="4F9D1AA3"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1.23%</w:t>
            </w:r>
          </w:p>
        </w:tc>
        <w:tc>
          <w:tcPr>
            <w:tcW w:w="945" w:type="dxa"/>
            <w:vAlign w:val="center"/>
          </w:tcPr>
          <w:p w14:paraId="5913AEF0"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19</w:t>
            </w:r>
          </w:p>
        </w:tc>
      </w:tr>
      <w:tr w:rsidR="008D76D6" w14:paraId="35B06A8A" w14:textId="77777777">
        <w:trPr>
          <w:trHeight w:val="397"/>
          <w:jc w:val="center"/>
        </w:trPr>
        <w:tc>
          <w:tcPr>
            <w:tcW w:w="946" w:type="dxa"/>
            <w:vAlign w:val="center"/>
          </w:tcPr>
          <w:p w14:paraId="064057A1"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9</w:t>
            </w:r>
          </w:p>
        </w:tc>
        <w:tc>
          <w:tcPr>
            <w:tcW w:w="1787" w:type="dxa"/>
            <w:vAlign w:val="center"/>
          </w:tcPr>
          <w:p w14:paraId="6D6E7D7F"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Mercatura-GS Hungary Korlatolt Felelossegu Tarsasag</w:t>
            </w:r>
          </w:p>
        </w:tc>
        <w:tc>
          <w:tcPr>
            <w:tcW w:w="1016" w:type="dxa"/>
            <w:vAlign w:val="center"/>
          </w:tcPr>
          <w:p w14:paraId="42D17250"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1,060.39</w:t>
            </w:r>
          </w:p>
        </w:tc>
        <w:tc>
          <w:tcPr>
            <w:tcW w:w="995" w:type="dxa"/>
            <w:vAlign w:val="center"/>
          </w:tcPr>
          <w:p w14:paraId="781B4698"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3.31%</w:t>
            </w:r>
          </w:p>
        </w:tc>
        <w:tc>
          <w:tcPr>
            <w:tcW w:w="945" w:type="dxa"/>
            <w:vAlign w:val="center"/>
          </w:tcPr>
          <w:p w14:paraId="497025C3"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9</w:t>
            </w:r>
          </w:p>
        </w:tc>
        <w:tc>
          <w:tcPr>
            <w:tcW w:w="1015" w:type="dxa"/>
            <w:vAlign w:val="center"/>
          </w:tcPr>
          <w:p w14:paraId="6E657D15"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1,175.22</w:t>
            </w:r>
          </w:p>
        </w:tc>
        <w:tc>
          <w:tcPr>
            <w:tcW w:w="994" w:type="dxa"/>
            <w:vAlign w:val="center"/>
          </w:tcPr>
          <w:p w14:paraId="467C8743"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2.60%</w:t>
            </w:r>
          </w:p>
        </w:tc>
        <w:tc>
          <w:tcPr>
            <w:tcW w:w="945" w:type="dxa"/>
            <w:vAlign w:val="center"/>
          </w:tcPr>
          <w:p w14:paraId="325E0044"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9</w:t>
            </w:r>
          </w:p>
        </w:tc>
        <w:tc>
          <w:tcPr>
            <w:tcW w:w="1015" w:type="dxa"/>
            <w:vAlign w:val="center"/>
          </w:tcPr>
          <w:p w14:paraId="5B3CEBE5"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510.46</w:t>
            </w:r>
          </w:p>
        </w:tc>
        <w:tc>
          <w:tcPr>
            <w:tcW w:w="994" w:type="dxa"/>
            <w:vAlign w:val="center"/>
          </w:tcPr>
          <w:p w14:paraId="4B329D10"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1.63%</w:t>
            </w:r>
          </w:p>
        </w:tc>
        <w:tc>
          <w:tcPr>
            <w:tcW w:w="954" w:type="dxa"/>
            <w:vAlign w:val="center"/>
          </w:tcPr>
          <w:p w14:paraId="6FC045BA"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w:t>
            </w:r>
            <w:r w:rsidR="009B776E">
              <w:rPr>
                <w:rFonts w:ascii="Times New Roman" w:hAnsi="Times New Roman"/>
                <w:color w:val="000000"/>
                <w:kern w:val="0"/>
                <w:sz w:val="21"/>
                <w:szCs w:val="21"/>
              </w:rPr>
              <w:t>6</w:t>
            </w:r>
          </w:p>
        </w:tc>
        <w:tc>
          <w:tcPr>
            <w:tcW w:w="1015" w:type="dxa"/>
            <w:vAlign w:val="center"/>
          </w:tcPr>
          <w:p w14:paraId="3E3FE56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585.96</w:t>
            </w:r>
          </w:p>
        </w:tc>
        <w:tc>
          <w:tcPr>
            <w:tcW w:w="994" w:type="dxa"/>
            <w:vAlign w:val="center"/>
          </w:tcPr>
          <w:p w14:paraId="344FC156"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2.12%</w:t>
            </w:r>
          </w:p>
        </w:tc>
        <w:tc>
          <w:tcPr>
            <w:tcW w:w="945" w:type="dxa"/>
            <w:vAlign w:val="center"/>
          </w:tcPr>
          <w:p w14:paraId="72B8C6D2"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10</w:t>
            </w:r>
          </w:p>
        </w:tc>
      </w:tr>
      <w:tr w:rsidR="008D76D6" w14:paraId="2D2E849F" w14:textId="77777777">
        <w:trPr>
          <w:trHeight w:val="397"/>
          <w:jc w:val="center"/>
        </w:trPr>
        <w:tc>
          <w:tcPr>
            <w:tcW w:w="946" w:type="dxa"/>
            <w:vAlign w:val="center"/>
          </w:tcPr>
          <w:p w14:paraId="4BF3FA89"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10</w:t>
            </w:r>
          </w:p>
        </w:tc>
        <w:tc>
          <w:tcPr>
            <w:tcW w:w="1787" w:type="dxa"/>
            <w:vAlign w:val="center"/>
          </w:tcPr>
          <w:p w14:paraId="69DF41C5"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COMMERCIALE TUBI ACCIAIO S.p.A</w:t>
            </w:r>
          </w:p>
        </w:tc>
        <w:tc>
          <w:tcPr>
            <w:tcW w:w="1016" w:type="dxa"/>
            <w:vAlign w:val="center"/>
          </w:tcPr>
          <w:p w14:paraId="34EB00E7"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806.07</w:t>
            </w:r>
          </w:p>
        </w:tc>
        <w:tc>
          <w:tcPr>
            <w:tcW w:w="995" w:type="dxa"/>
            <w:vAlign w:val="center"/>
          </w:tcPr>
          <w:p w14:paraId="368E6BB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2.51%</w:t>
            </w:r>
          </w:p>
        </w:tc>
        <w:tc>
          <w:tcPr>
            <w:tcW w:w="945" w:type="dxa"/>
            <w:vAlign w:val="center"/>
          </w:tcPr>
          <w:p w14:paraId="10C653F9" w14:textId="77777777" w:rsidR="008D76D6" w:rsidRDefault="009B776E"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10</w:t>
            </w:r>
          </w:p>
        </w:tc>
        <w:tc>
          <w:tcPr>
            <w:tcW w:w="1015" w:type="dxa"/>
            <w:vAlign w:val="center"/>
          </w:tcPr>
          <w:p w14:paraId="239035CD"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94.93</w:t>
            </w:r>
          </w:p>
        </w:tc>
        <w:tc>
          <w:tcPr>
            <w:tcW w:w="994" w:type="dxa"/>
            <w:vAlign w:val="center"/>
          </w:tcPr>
          <w:p w14:paraId="6E6CB1BE"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0.21%</w:t>
            </w:r>
          </w:p>
        </w:tc>
        <w:tc>
          <w:tcPr>
            <w:tcW w:w="945" w:type="dxa"/>
            <w:vAlign w:val="center"/>
          </w:tcPr>
          <w:p w14:paraId="5AEBAFAC" w14:textId="77777777" w:rsidR="008D76D6" w:rsidRDefault="009B776E"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hint="eastAsia"/>
                <w:color w:val="000000"/>
                <w:kern w:val="0"/>
                <w:sz w:val="21"/>
                <w:szCs w:val="21"/>
              </w:rPr>
              <w:t>非当期前</w:t>
            </w:r>
            <w:r>
              <w:rPr>
                <w:rFonts w:ascii="Times New Roman" w:hAnsi="Times New Roman" w:hint="eastAsia"/>
                <w:color w:val="000000"/>
                <w:kern w:val="0"/>
                <w:sz w:val="21"/>
                <w:szCs w:val="21"/>
              </w:rPr>
              <w:t>2</w:t>
            </w:r>
            <w:r>
              <w:rPr>
                <w:rFonts w:ascii="Times New Roman" w:hAnsi="Times New Roman"/>
                <w:color w:val="000000"/>
                <w:kern w:val="0"/>
                <w:sz w:val="21"/>
                <w:szCs w:val="21"/>
              </w:rPr>
              <w:t>0</w:t>
            </w:r>
            <w:r>
              <w:rPr>
                <w:rFonts w:ascii="Times New Roman" w:hAnsi="Times New Roman" w:hint="eastAsia"/>
                <w:color w:val="000000"/>
                <w:kern w:val="0"/>
                <w:sz w:val="21"/>
                <w:szCs w:val="21"/>
              </w:rPr>
              <w:t>大客户</w:t>
            </w:r>
          </w:p>
        </w:tc>
        <w:tc>
          <w:tcPr>
            <w:tcW w:w="1015" w:type="dxa"/>
            <w:vAlign w:val="center"/>
          </w:tcPr>
          <w:p w14:paraId="1EBF37D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20.61</w:t>
            </w:r>
          </w:p>
        </w:tc>
        <w:tc>
          <w:tcPr>
            <w:tcW w:w="994" w:type="dxa"/>
            <w:vAlign w:val="center"/>
          </w:tcPr>
          <w:p w14:paraId="28CD4111"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0.07%</w:t>
            </w:r>
          </w:p>
        </w:tc>
        <w:tc>
          <w:tcPr>
            <w:tcW w:w="954" w:type="dxa"/>
            <w:vAlign w:val="center"/>
          </w:tcPr>
          <w:p w14:paraId="6545F17B" w14:textId="77777777" w:rsidR="008D76D6" w:rsidRDefault="009B776E"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hint="eastAsia"/>
                <w:color w:val="000000"/>
                <w:kern w:val="0"/>
                <w:sz w:val="21"/>
                <w:szCs w:val="21"/>
              </w:rPr>
              <w:t>非当期前</w:t>
            </w:r>
            <w:r>
              <w:rPr>
                <w:rFonts w:ascii="Times New Roman" w:hAnsi="Times New Roman" w:hint="eastAsia"/>
                <w:color w:val="000000"/>
                <w:kern w:val="0"/>
                <w:sz w:val="21"/>
                <w:szCs w:val="21"/>
              </w:rPr>
              <w:t>2</w:t>
            </w:r>
            <w:r>
              <w:rPr>
                <w:rFonts w:ascii="Times New Roman" w:hAnsi="Times New Roman"/>
                <w:color w:val="000000"/>
                <w:kern w:val="0"/>
                <w:sz w:val="21"/>
                <w:szCs w:val="21"/>
              </w:rPr>
              <w:t>0</w:t>
            </w:r>
            <w:r>
              <w:rPr>
                <w:rFonts w:ascii="Times New Roman" w:hAnsi="Times New Roman" w:hint="eastAsia"/>
                <w:color w:val="000000"/>
                <w:kern w:val="0"/>
                <w:sz w:val="21"/>
                <w:szCs w:val="21"/>
              </w:rPr>
              <w:t>大客户</w:t>
            </w:r>
          </w:p>
        </w:tc>
        <w:tc>
          <w:tcPr>
            <w:tcW w:w="1015" w:type="dxa"/>
            <w:vAlign w:val="center"/>
          </w:tcPr>
          <w:p w14:paraId="474DE063"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66.77</w:t>
            </w:r>
          </w:p>
        </w:tc>
        <w:tc>
          <w:tcPr>
            <w:tcW w:w="994" w:type="dxa"/>
            <w:vAlign w:val="center"/>
          </w:tcPr>
          <w:p w14:paraId="11A6149A"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0.24%</w:t>
            </w:r>
          </w:p>
        </w:tc>
        <w:tc>
          <w:tcPr>
            <w:tcW w:w="945" w:type="dxa"/>
            <w:vAlign w:val="center"/>
          </w:tcPr>
          <w:p w14:paraId="2B711B3C" w14:textId="77777777" w:rsidR="008D76D6" w:rsidRDefault="009B776E"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hint="eastAsia"/>
                <w:color w:val="000000"/>
                <w:kern w:val="0"/>
                <w:sz w:val="21"/>
                <w:szCs w:val="21"/>
              </w:rPr>
              <w:t>非当期前</w:t>
            </w:r>
            <w:r>
              <w:rPr>
                <w:rFonts w:ascii="Times New Roman" w:hAnsi="Times New Roman" w:hint="eastAsia"/>
                <w:color w:val="000000"/>
                <w:kern w:val="0"/>
                <w:sz w:val="21"/>
                <w:szCs w:val="21"/>
              </w:rPr>
              <w:t>2</w:t>
            </w:r>
            <w:r>
              <w:rPr>
                <w:rFonts w:ascii="Times New Roman" w:hAnsi="Times New Roman"/>
                <w:color w:val="000000"/>
                <w:kern w:val="0"/>
                <w:sz w:val="21"/>
                <w:szCs w:val="21"/>
              </w:rPr>
              <w:t>0</w:t>
            </w:r>
            <w:r>
              <w:rPr>
                <w:rFonts w:ascii="Times New Roman" w:hAnsi="Times New Roman" w:hint="eastAsia"/>
                <w:color w:val="000000"/>
                <w:kern w:val="0"/>
                <w:sz w:val="21"/>
                <w:szCs w:val="21"/>
              </w:rPr>
              <w:t>大客户</w:t>
            </w:r>
          </w:p>
        </w:tc>
      </w:tr>
      <w:tr w:rsidR="008D76D6" w14:paraId="79724818" w14:textId="77777777">
        <w:trPr>
          <w:trHeight w:val="397"/>
          <w:jc w:val="center"/>
        </w:trPr>
        <w:tc>
          <w:tcPr>
            <w:tcW w:w="946" w:type="dxa"/>
            <w:vAlign w:val="center"/>
          </w:tcPr>
          <w:p w14:paraId="6CA28799"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11</w:t>
            </w:r>
          </w:p>
        </w:tc>
        <w:tc>
          <w:tcPr>
            <w:tcW w:w="1787" w:type="dxa"/>
            <w:vAlign w:val="center"/>
          </w:tcPr>
          <w:p w14:paraId="3238EF7F"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SOUTHERN VALVE &amp; FITTING USA,INCO.</w:t>
            </w:r>
          </w:p>
        </w:tc>
        <w:tc>
          <w:tcPr>
            <w:tcW w:w="1016" w:type="dxa"/>
            <w:vAlign w:val="center"/>
          </w:tcPr>
          <w:p w14:paraId="4D4898CD"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627.39</w:t>
            </w:r>
          </w:p>
        </w:tc>
        <w:tc>
          <w:tcPr>
            <w:tcW w:w="995" w:type="dxa"/>
            <w:vAlign w:val="center"/>
          </w:tcPr>
          <w:p w14:paraId="751ADD1E"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1.96%</w:t>
            </w:r>
          </w:p>
        </w:tc>
        <w:tc>
          <w:tcPr>
            <w:tcW w:w="945" w:type="dxa"/>
            <w:vAlign w:val="center"/>
          </w:tcPr>
          <w:p w14:paraId="22A1B047"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15</w:t>
            </w:r>
          </w:p>
        </w:tc>
        <w:tc>
          <w:tcPr>
            <w:tcW w:w="1015" w:type="dxa"/>
            <w:vAlign w:val="center"/>
          </w:tcPr>
          <w:p w14:paraId="2FF4485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1,738.83</w:t>
            </w:r>
          </w:p>
        </w:tc>
        <w:tc>
          <w:tcPr>
            <w:tcW w:w="994" w:type="dxa"/>
            <w:vAlign w:val="center"/>
          </w:tcPr>
          <w:p w14:paraId="498731ED"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3.85%</w:t>
            </w:r>
          </w:p>
        </w:tc>
        <w:tc>
          <w:tcPr>
            <w:tcW w:w="945" w:type="dxa"/>
            <w:vAlign w:val="center"/>
          </w:tcPr>
          <w:p w14:paraId="62933D84"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5</w:t>
            </w:r>
          </w:p>
        </w:tc>
        <w:tc>
          <w:tcPr>
            <w:tcW w:w="1015" w:type="dxa"/>
            <w:vAlign w:val="center"/>
          </w:tcPr>
          <w:p w14:paraId="45ABEAC9"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502.61</w:t>
            </w:r>
          </w:p>
        </w:tc>
        <w:tc>
          <w:tcPr>
            <w:tcW w:w="994" w:type="dxa"/>
            <w:vAlign w:val="center"/>
          </w:tcPr>
          <w:p w14:paraId="6F5B0831"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1.61%</w:t>
            </w:r>
          </w:p>
        </w:tc>
        <w:tc>
          <w:tcPr>
            <w:tcW w:w="954" w:type="dxa"/>
            <w:vAlign w:val="center"/>
          </w:tcPr>
          <w:p w14:paraId="12564494"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18</w:t>
            </w:r>
          </w:p>
        </w:tc>
        <w:tc>
          <w:tcPr>
            <w:tcW w:w="1015" w:type="dxa"/>
            <w:vAlign w:val="center"/>
          </w:tcPr>
          <w:p w14:paraId="12919026"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313.83</w:t>
            </w:r>
          </w:p>
        </w:tc>
        <w:tc>
          <w:tcPr>
            <w:tcW w:w="994" w:type="dxa"/>
            <w:vAlign w:val="center"/>
          </w:tcPr>
          <w:p w14:paraId="7553C5FD"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1.14%</w:t>
            </w:r>
          </w:p>
        </w:tc>
        <w:tc>
          <w:tcPr>
            <w:tcW w:w="945" w:type="dxa"/>
            <w:vAlign w:val="center"/>
          </w:tcPr>
          <w:p w14:paraId="29DF5FFD" w14:textId="77777777" w:rsidR="008D76D6" w:rsidRDefault="007D3B73"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hint="eastAsia"/>
                <w:color w:val="000000"/>
                <w:kern w:val="0"/>
                <w:sz w:val="21"/>
                <w:szCs w:val="21"/>
              </w:rPr>
              <w:t>非当期前</w:t>
            </w:r>
            <w:r>
              <w:rPr>
                <w:rFonts w:ascii="Times New Roman" w:hAnsi="Times New Roman" w:hint="eastAsia"/>
                <w:color w:val="000000"/>
                <w:kern w:val="0"/>
                <w:sz w:val="21"/>
                <w:szCs w:val="21"/>
              </w:rPr>
              <w:t>2</w:t>
            </w:r>
            <w:r>
              <w:rPr>
                <w:rFonts w:ascii="Times New Roman" w:hAnsi="Times New Roman"/>
                <w:color w:val="000000"/>
                <w:kern w:val="0"/>
                <w:sz w:val="21"/>
                <w:szCs w:val="21"/>
              </w:rPr>
              <w:t>0</w:t>
            </w:r>
            <w:r>
              <w:rPr>
                <w:rFonts w:ascii="Times New Roman" w:hAnsi="Times New Roman" w:hint="eastAsia"/>
                <w:color w:val="000000"/>
                <w:kern w:val="0"/>
                <w:sz w:val="21"/>
                <w:szCs w:val="21"/>
              </w:rPr>
              <w:t>大客户</w:t>
            </w:r>
          </w:p>
        </w:tc>
      </w:tr>
      <w:tr w:rsidR="008D76D6" w14:paraId="179C7848" w14:textId="77777777">
        <w:trPr>
          <w:trHeight w:val="397"/>
          <w:jc w:val="center"/>
        </w:trPr>
        <w:tc>
          <w:tcPr>
            <w:tcW w:w="946" w:type="dxa"/>
            <w:vAlign w:val="center"/>
          </w:tcPr>
          <w:p w14:paraId="3044C318"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12</w:t>
            </w:r>
          </w:p>
        </w:tc>
        <w:tc>
          <w:tcPr>
            <w:tcW w:w="1787" w:type="dxa"/>
            <w:vAlign w:val="center"/>
          </w:tcPr>
          <w:p w14:paraId="58FD4BA8"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PACIFIC INDUSTRIAL PRODUCTS SUPPLIES INC.</w:t>
            </w:r>
          </w:p>
        </w:tc>
        <w:tc>
          <w:tcPr>
            <w:tcW w:w="1016" w:type="dxa"/>
            <w:vAlign w:val="center"/>
          </w:tcPr>
          <w:p w14:paraId="084C4101"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666.43</w:t>
            </w:r>
          </w:p>
        </w:tc>
        <w:tc>
          <w:tcPr>
            <w:tcW w:w="995" w:type="dxa"/>
            <w:vAlign w:val="center"/>
          </w:tcPr>
          <w:p w14:paraId="70667616"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2.08%</w:t>
            </w:r>
          </w:p>
        </w:tc>
        <w:tc>
          <w:tcPr>
            <w:tcW w:w="945" w:type="dxa"/>
            <w:vAlign w:val="center"/>
          </w:tcPr>
          <w:p w14:paraId="25CD2913"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12</w:t>
            </w:r>
          </w:p>
        </w:tc>
        <w:tc>
          <w:tcPr>
            <w:tcW w:w="1015" w:type="dxa"/>
            <w:vAlign w:val="center"/>
          </w:tcPr>
          <w:p w14:paraId="4AAD73C7"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1,720.37</w:t>
            </w:r>
          </w:p>
        </w:tc>
        <w:tc>
          <w:tcPr>
            <w:tcW w:w="994" w:type="dxa"/>
            <w:vAlign w:val="center"/>
          </w:tcPr>
          <w:p w14:paraId="7B3F63C5"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3.81%</w:t>
            </w:r>
          </w:p>
        </w:tc>
        <w:tc>
          <w:tcPr>
            <w:tcW w:w="945" w:type="dxa"/>
            <w:vAlign w:val="center"/>
          </w:tcPr>
          <w:p w14:paraId="49E36B89"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6</w:t>
            </w:r>
          </w:p>
        </w:tc>
        <w:tc>
          <w:tcPr>
            <w:tcW w:w="1015" w:type="dxa"/>
            <w:vAlign w:val="center"/>
          </w:tcPr>
          <w:p w14:paraId="34A1410F"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1,109.17</w:t>
            </w:r>
          </w:p>
        </w:tc>
        <w:tc>
          <w:tcPr>
            <w:tcW w:w="994" w:type="dxa"/>
            <w:vAlign w:val="center"/>
          </w:tcPr>
          <w:p w14:paraId="2949B19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3.55%</w:t>
            </w:r>
          </w:p>
        </w:tc>
        <w:tc>
          <w:tcPr>
            <w:tcW w:w="954" w:type="dxa"/>
            <w:vAlign w:val="center"/>
          </w:tcPr>
          <w:p w14:paraId="0B2DEEB5"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4</w:t>
            </w:r>
          </w:p>
        </w:tc>
        <w:tc>
          <w:tcPr>
            <w:tcW w:w="1015" w:type="dxa"/>
            <w:vAlign w:val="center"/>
          </w:tcPr>
          <w:p w14:paraId="7C2B3FDC"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715.46</w:t>
            </w:r>
          </w:p>
        </w:tc>
        <w:tc>
          <w:tcPr>
            <w:tcW w:w="994" w:type="dxa"/>
            <w:vAlign w:val="center"/>
          </w:tcPr>
          <w:p w14:paraId="223DDE46"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2.59%</w:t>
            </w:r>
          </w:p>
        </w:tc>
        <w:tc>
          <w:tcPr>
            <w:tcW w:w="945" w:type="dxa"/>
            <w:vAlign w:val="center"/>
          </w:tcPr>
          <w:p w14:paraId="3A84E6F1"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8</w:t>
            </w:r>
          </w:p>
        </w:tc>
      </w:tr>
      <w:tr w:rsidR="008D76D6" w14:paraId="7375B4CB" w14:textId="77777777">
        <w:trPr>
          <w:trHeight w:val="397"/>
          <w:jc w:val="center"/>
        </w:trPr>
        <w:tc>
          <w:tcPr>
            <w:tcW w:w="946" w:type="dxa"/>
            <w:vAlign w:val="center"/>
          </w:tcPr>
          <w:p w14:paraId="68BF15A1"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13</w:t>
            </w:r>
          </w:p>
        </w:tc>
        <w:tc>
          <w:tcPr>
            <w:tcW w:w="1787" w:type="dxa"/>
            <w:vAlign w:val="center"/>
          </w:tcPr>
          <w:p w14:paraId="05ADB987"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BAVARIA EGYPT S.A.E</w:t>
            </w:r>
          </w:p>
        </w:tc>
        <w:tc>
          <w:tcPr>
            <w:tcW w:w="1016" w:type="dxa"/>
            <w:vAlign w:val="center"/>
          </w:tcPr>
          <w:p w14:paraId="74B32311"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140.41</w:t>
            </w:r>
          </w:p>
        </w:tc>
        <w:tc>
          <w:tcPr>
            <w:tcW w:w="995" w:type="dxa"/>
            <w:vAlign w:val="center"/>
          </w:tcPr>
          <w:p w14:paraId="175537C4"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0.44%</w:t>
            </w:r>
          </w:p>
        </w:tc>
        <w:tc>
          <w:tcPr>
            <w:tcW w:w="945" w:type="dxa"/>
            <w:vAlign w:val="center"/>
          </w:tcPr>
          <w:p w14:paraId="3B4925F5" w14:textId="77777777" w:rsidR="008D76D6" w:rsidRDefault="004F4743"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hint="eastAsia"/>
                <w:color w:val="000000"/>
                <w:kern w:val="0"/>
                <w:sz w:val="21"/>
                <w:szCs w:val="21"/>
              </w:rPr>
              <w:t>非当期前</w:t>
            </w:r>
            <w:r>
              <w:rPr>
                <w:rFonts w:ascii="Times New Roman" w:hAnsi="Times New Roman" w:hint="eastAsia"/>
                <w:color w:val="000000"/>
                <w:kern w:val="0"/>
                <w:sz w:val="21"/>
                <w:szCs w:val="21"/>
              </w:rPr>
              <w:t>2</w:t>
            </w:r>
            <w:r>
              <w:rPr>
                <w:rFonts w:ascii="Times New Roman" w:hAnsi="Times New Roman"/>
                <w:color w:val="000000"/>
                <w:kern w:val="0"/>
                <w:sz w:val="21"/>
                <w:szCs w:val="21"/>
              </w:rPr>
              <w:t>0</w:t>
            </w:r>
            <w:r>
              <w:rPr>
                <w:rFonts w:ascii="Times New Roman" w:hAnsi="Times New Roman" w:hint="eastAsia"/>
                <w:color w:val="000000"/>
                <w:kern w:val="0"/>
                <w:sz w:val="21"/>
                <w:szCs w:val="21"/>
              </w:rPr>
              <w:t>大客户</w:t>
            </w:r>
          </w:p>
        </w:tc>
        <w:tc>
          <w:tcPr>
            <w:tcW w:w="1015" w:type="dxa"/>
            <w:vAlign w:val="center"/>
          </w:tcPr>
          <w:p w14:paraId="0041F3FC"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1,089.57</w:t>
            </w:r>
          </w:p>
        </w:tc>
        <w:tc>
          <w:tcPr>
            <w:tcW w:w="994" w:type="dxa"/>
            <w:vAlign w:val="center"/>
          </w:tcPr>
          <w:p w14:paraId="7D39C510"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2.41%</w:t>
            </w:r>
          </w:p>
        </w:tc>
        <w:tc>
          <w:tcPr>
            <w:tcW w:w="945" w:type="dxa"/>
            <w:vAlign w:val="center"/>
          </w:tcPr>
          <w:p w14:paraId="2C49F1B3"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10</w:t>
            </w:r>
          </w:p>
        </w:tc>
        <w:tc>
          <w:tcPr>
            <w:tcW w:w="1015" w:type="dxa"/>
            <w:vAlign w:val="center"/>
          </w:tcPr>
          <w:p w14:paraId="2BCA1DB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w:t>
            </w:r>
          </w:p>
        </w:tc>
        <w:tc>
          <w:tcPr>
            <w:tcW w:w="994" w:type="dxa"/>
            <w:vAlign w:val="center"/>
          </w:tcPr>
          <w:p w14:paraId="03E1FBF3" w14:textId="77777777" w:rsidR="008D76D6" w:rsidRDefault="004F4743"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w:t>
            </w:r>
          </w:p>
        </w:tc>
        <w:tc>
          <w:tcPr>
            <w:tcW w:w="954" w:type="dxa"/>
            <w:vAlign w:val="center"/>
          </w:tcPr>
          <w:p w14:paraId="0F8B5B4B" w14:textId="77777777" w:rsidR="008D76D6" w:rsidRDefault="004F4743"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hint="eastAsia"/>
                <w:color w:val="000000"/>
                <w:kern w:val="0"/>
                <w:sz w:val="21"/>
                <w:szCs w:val="21"/>
              </w:rPr>
              <w:t>-</w:t>
            </w:r>
          </w:p>
        </w:tc>
        <w:tc>
          <w:tcPr>
            <w:tcW w:w="1015" w:type="dxa"/>
            <w:vAlign w:val="center"/>
          </w:tcPr>
          <w:p w14:paraId="703A00B1"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73.16</w:t>
            </w:r>
          </w:p>
        </w:tc>
        <w:tc>
          <w:tcPr>
            <w:tcW w:w="994" w:type="dxa"/>
            <w:vAlign w:val="center"/>
          </w:tcPr>
          <w:p w14:paraId="7C398C3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0.27%</w:t>
            </w:r>
          </w:p>
        </w:tc>
        <w:tc>
          <w:tcPr>
            <w:tcW w:w="945" w:type="dxa"/>
            <w:vAlign w:val="center"/>
          </w:tcPr>
          <w:p w14:paraId="46C44AC8" w14:textId="77777777" w:rsidR="008D76D6" w:rsidRDefault="004F4743"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hint="eastAsia"/>
                <w:color w:val="000000"/>
                <w:kern w:val="0"/>
                <w:sz w:val="21"/>
                <w:szCs w:val="21"/>
              </w:rPr>
              <w:t>非当期前</w:t>
            </w:r>
            <w:r>
              <w:rPr>
                <w:rFonts w:ascii="Times New Roman" w:hAnsi="Times New Roman" w:hint="eastAsia"/>
                <w:color w:val="000000"/>
                <w:kern w:val="0"/>
                <w:sz w:val="21"/>
                <w:szCs w:val="21"/>
              </w:rPr>
              <w:t>2</w:t>
            </w:r>
            <w:r>
              <w:rPr>
                <w:rFonts w:ascii="Times New Roman" w:hAnsi="Times New Roman"/>
                <w:color w:val="000000"/>
                <w:kern w:val="0"/>
                <w:sz w:val="21"/>
                <w:szCs w:val="21"/>
              </w:rPr>
              <w:t>0</w:t>
            </w:r>
            <w:r>
              <w:rPr>
                <w:rFonts w:ascii="Times New Roman" w:hAnsi="Times New Roman" w:hint="eastAsia"/>
                <w:color w:val="000000"/>
                <w:kern w:val="0"/>
                <w:sz w:val="21"/>
                <w:szCs w:val="21"/>
              </w:rPr>
              <w:t>大客户</w:t>
            </w:r>
          </w:p>
        </w:tc>
      </w:tr>
      <w:tr w:rsidR="008D76D6" w14:paraId="74E47C55" w14:textId="77777777">
        <w:trPr>
          <w:trHeight w:val="397"/>
          <w:jc w:val="center"/>
        </w:trPr>
        <w:tc>
          <w:tcPr>
            <w:tcW w:w="946" w:type="dxa"/>
            <w:vAlign w:val="center"/>
          </w:tcPr>
          <w:p w14:paraId="05A5BD4C"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14</w:t>
            </w:r>
          </w:p>
        </w:tc>
        <w:tc>
          <w:tcPr>
            <w:tcW w:w="1787" w:type="dxa"/>
            <w:vAlign w:val="center"/>
          </w:tcPr>
          <w:p w14:paraId="425BAF4D"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DANGELO COMPANY</w:t>
            </w:r>
          </w:p>
        </w:tc>
        <w:tc>
          <w:tcPr>
            <w:tcW w:w="1016" w:type="dxa"/>
            <w:vAlign w:val="center"/>
          </w:tcPr>
          <w:p w14:paraId="5260FAA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649.72</w:t>
            </w:r>
          </w:p>
        </w:tc>
        <w:tc>
          <w:tcPr>
            <w:tcW w:w="995" w:type="dxa"/>
            <w:vAlign w:val="center"/>
          </w:tcPr>
          <w:p w14:paraId="6D7BF4A3"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2.03%</w:t>
            </w:r>
          </w:p>
        </w:tc>
        <w:tc>
          <w:tcPr>
            <w:tcW w:w="945" w:type="dxa"/>
            <w:vAlign w:val="center"/>
          </w:tcPr>
          <w:p w14:paraId="4764FE9C"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13</w:t>
            </w:r>
          </w:p>
        </w:tc>
        <w:tc>
          <w:tcPr>
            <w:tcW w:w="1015" w:type="dxa"/>
            <w:vAlign w:val="center"/>
          </w:tcPr>
          <w:p w14:paraId="0888880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994.09</w:t>
            </w:r>
          </w:p>
        </w:tc>
        <w:tc>
          <w:tcPr>
            <w:tcW w:w="994" w:type="dxa"/>
            <w:vAlign w:val="center"/>
          </w:tcPr>
          <w:p w14:paraId="78D66653"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2.20%</w:t>
            </w:r>
          </w:p>
        </w:tc>
        <w:tc>
          <w:tcPr>
            <w:tcW w:w="945" w:type="dxa"/>
            <w:vAlign w:val="center"/>
          </w:tcPr>
          <w:p w14:paraId="542087CB"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12</w:t>
            </w:r>
          </w:p>
        </w:tc>
        <w:tc>
          <w:tcPr>
            <w:tcW w:w="1015" w:type="dxa"/>
            <w:vAlign w:val="center"/>
          </w:tcPr>
          <w:p w14:paraId="7F066A8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826.96</w:t>
            </w:r>
          </w:p>
        </w:tc>
        <w:tc>
          <w:tcPr>
            <w:tcW w:w="994" w:type="dxa"/>
            <w:vAlign w:val="center"/>
          </w:tcPr>
          <w:p w14:paraId="3430EF6B"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2.64%</w:t>
            </w:r>
          </w:p>
        </w:tc>
        <w:tc>
          <w:tcPr>
            <w:tcW w:w="954" w:type="dxa"/>
            <w:vAlign w:val="center"/>
          </w:tcPr>
          <w:p w14:paraId="545DAED1" w14:textId="77777777" w:rsidR="008D76D6" w:rsidRDefault="004F4743"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9</w:t>
            </w:r>
          </w:p>
        </w:tc>
        <w:tc>
          <w:tcPr>
            <w:tcW w:w="1015" w:type="dxa"/>
            <w:vAlign w:val="center"/>
          </w:tcPr>
          <w:p w14:paraId="290864B0"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563.05</w:t>
            </w:r>
          </w:p>
        </w:tc>
        <w:tc>
          <w:tcPr>
            <w:tcW w:w="994" w:type="dxa"/>
            <w:vAlign w:val="center"/>
          </w:tcPr>
          <w:p w14:paraId="420B88D5"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2.04%</w:t>
            </w:r>
          </w:p>
        </w:tc>
        <w:tc>
          <w:tcPr>
            <w:tcW w:w="945" w:type="dxa"/>
            <w:vAlign w:val="center"/>
          </w:tcPr>
          <w:p w14:paraId="4F8D2580"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11</w:t>
            </w:r>
          </w:p>
        </w:tc>
      </w:tr>
      <w:tr w:rsidR="008D76D6" w14:paraId="0CEB8817" w14:textId="77777777">
        <w:trPr>
          <w:trHeight w:val="397"/>
          <w:jc w:val="center"/>
        </w:trPr>
        <w:tc>
          <w:tcPr>
            <w:tcW w:w="946" w:type="dxa"/>
            <w:vAlign w:val="center"/>
          </w:tcPr>
          <w:p w14:paraId="7C82CB1A"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15</w:t>
            </w:r>
          </w:p>
        </w:tc>
        <w:tc>
          <w:tcPr>
            <w:tcW w:w="1787" w:type="dxa"/>
            <w:vAlign w:val="center"/>
          </w:tcPr>
          <w:p w14:paraId="40B698F6"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IMI Hydronic Engineering International SA(Switzerland)</w:t>
            </w:r>
          </w:p>
        </w:tc>
        <w:tc>
          <w:tcPr>
            <w:tcW w:w="1016" w:type="dxa"/>
            <w:vAlign w:val="center"/>
          </w:tcPr>
          <w:p w14:paraId="3816DA3A"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255.27</w:t>
            </w:r>
          </w:p>
        </w:tc>
        <w:tc>
          <w:tcPr>
            <w:tcW w:w="995" w:type="dxa"/>
            <w:vAlign w:val="center"/>
          </w:tcPr>
          <w:p w14:paraId="5FBEBA23"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0.80%</w:t>
            </w:r>
          </w:p>
        </w:tc>
        <w:tc>
          <w:tcPr>
            <w:tcW w:w="945" w:type="dxa"/>
            <w:vAlign w:val="center"/>
          </w:tcPr>
          <w:p w14:paraId="32F7AD1A" w14:textId="77777777" w:rsidR="008D76D6" w:rsidRDefault="004F4743"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hint="eastAsia"/>
                <w:color w:val="000000"/>
                <w:kern w:val="0"/>
                <w:sz w:val="21"/>
                <w:szCs w:val="21"/>
              </w:rPr>
              <w:t>非当期前</w:t>
            </w:r>
            <w:r>
              <w:rPr>
                <w:rFonts w:ascii="Times New Roman" w:hAnsi="Times New Roman" w:hint="eastAsia"/>
                <w:color w:val="000000"/>
                <w:kern w:val="0"/>
                <w:sz w:val="21"/>
                <w:szCs w:val="21"/>
              </w:rPr>
              <w:t>2</w:t>
            </w:r>
            <w:r>
              <w:rPr>
                <w:rFonts w:ascii="Times New Roman" w:hAnsi="Times New Roman"/>
                <w:color w:val="000000"/>
                <w:kern w:val="0"/>
                <w:sz w:val="21"/>
                <w:szCs w:val="21"/>
              </w:rPr>
              <w:t>0</w:t>
            </w:r>
            <w:r>
              <w:rPr>
                <w:rFonts w:ascii="Times New Roman" w:hAnsi="Times New Roman" w:hint="eastAsia"/>
                <w:color w:val="000000"/>
                <w:kern w:val="0"/>
                <w:sz w:val="21"/>
                <w:szCs w:val="21"/>
              </w:rPr>
              <w:t>大客户</w:t>
            </w:r>
          </w:p>
        </w:tc>
        <w:tc>
          <w:tcPr>
            <w:tcW w:w="1015" w:type="dxa"/>
            <w:vAlign w:val="center"/>
          </w:tcPr>
          <w:p w14:paraId="62B896DC"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239.74</w:t>
            </w:r>
          </w:p>
        </w:tc>
        <w:tc>
          <w:tcPr>
            <w:tcW w:w="994" w:type="dxa"/>
            <w:vAlign w:val="center"/>
          </w:tcPr>
          <w:p w14:paraId="5E805CA6"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0.53%</w:t>
            </w:r>
          </w:p>
        </w:tc>
        <w:tc>
          <w:tcPr>
            <w:tcW w:w="945" w:type="dxa"/>
            <w:vAlign w:val="center"/>
          </w:tcPr>
          <w:p w14:paraId="7D6F2744" w14:textId="77777777" w:rsidR="008D76D6" w:rsidRDefault="004F4743"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hint="eastAsia"/>
                <w:color w:val="000000"/>
                <w:kern w:val="0"/>
                <w:sz w:val="21"/>
                <w:szCs w:val="21"/>
              </w:rPr>
              <w:t>非当期前</w:t>
            </w:r>
            <w:r>
              <w:rPr>
                <w:rFonts w:ascii="Times New Roman" w:hAnsi="Times New Roman" w:hint="eastAsia"/>
                <w:color w:val="000000"/>
                <w:kern w:val="0"/>
                <w:sz w:val="21"/>
                <w:szCs w:val="21"/>
              </w:rPr>
              <w:t>2</w:t>
            </w:r>
            <w:r>
              <w:rPr>
                <w:rFonts w:ascii="Times New Roman" w:hAnsi="Times New Roman"/>
                <w:color w:val="000000"/>
                <w:kern w:val="0"/>
                <w:sz w:val="21"/>
                <w:szCs w:val="21"/>
              </w:rPr>
              <w:t>0</w:t>
            </w:r>
            <w:r>
              <w:rPr>
                <w:rFonts w:ascii="Times New Roman" w:hAnsi="Times New Roman" w:hint="eastAsia"/>
                <w:color w:val="000000"/>
                <w:kern w:val="0"/>
                <w:sz w:val="21"/>
                <w:szCs w:val="21"/>
              </w:rPr>
              <w:t>大客户</w:t>
            </w:r>
          </w:p>
        </w:tc>
        <w:tc>
          <w:tcPr>
            <w:tcW w:w="1015" w:type="dxa"/>
            <w:vAlign w:val="center"/>
          </w:tcPr>
          <w:p w14:paraId="2C42492D"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794.75</w:t>
            </w:r>
          </w:p>
        </w:tc>
        <w:tc>
          <w:tcPr>
            <w:tcW w:w="994" w:type="dxa"/>
            <w:vAlign w:val="center"/>
          </w:tcPr>
          <w:p w14:paraId="05FE055D"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2.54%</w:t>
            </w:r>
          </w:p>
        </w:tc>
        <w:tc>
          <w:tcPr>
            <w:tcW w:w="954" w:type="dxa"/>
            <w:vAlign w:val="center"/>
          </w:tcPr>
          <w:p w14:paraId="7D20753B" w14:textId="77777777" w:rsidR="008D76D6" w:rsidRDefault="004F4743"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10</w:t>
            </w:r>
          </w:p>
        </w:tc>
        <w:tc>
          <w:tcPr>
            <w:tcW w:w="1015" w:type="dxa"/>
            <w:vAlign w:val="center"/>
          </w:tcPr>
          <w:p w14:paraId="613E5E54"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327.5</w:t>
            </w:r>
          </w:p>
        </w:tc>
        <w:tc>
          <w:tcPr>
            <w:tcW w:w="994" w:type="dxa"/>
            <w:vAlign w:val="center"/>
          </w:tcPr>
          <w:p w14:paraId="30B5AD2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1.19%</w:t>
            </w:r>
          </w:p>
        </w:tc>
        <w:tc>
          <w:tcPr>
            <w:tcW w:w="945" w:type="dxa"/>
            <w:vAlign w:val="center"/>
          </w:tcPr>
          <w:p w14:paraId="44BFCB6A" w14:textId="77777777" w:rsidR="008D76D6" w:rsidRDefault="004F4743"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hint="eastAsia"/>
                <w:color w:val="000000"/>
                <w:kern w:val="0"/>
                <w:sz w:val="21"/>
                <w:szCs w:val="21"/>
              </w:rPr>
              <w:t>非当期前</w:t>
            </w:r>
            <w:r>
              <w:rPr>
                <w:rFonts w:ascii="Times New Roman" w:hAnsi="Times New Roman" w:hint="eastAsia"/>
                <w:color w:val="000000"/>
                <w:kern w:val="0"/>
                <w:sz w:val="21"/>
                <w:szCs w:val="21"/>
              </w:rPr>
              <w:t>2</w:t>
            </w:r>
            <w:r>
              <w:rPr>
                <w:rFonts w:ascii="Times New Roman" w:hAnsi="Times New Roman"/>
                <w:color w:val="000000"/>
                <w:kern w:val="0"/>
                <w:sz w:val="21"/>
                <w:szCs w:val="21"/>
              </w:rPr>
              <w:t>0</w:t>
            </w:r>
            <w:r>
              <w:rPr>
                <w:rFonts w:ascii="Times New Roman" w:hAnsi="Times New Roman" w:hint="eastAsia"/>
                <w:color w:val="000000"/>
                <w:kern w:val="0"/>
                <w:sz w:val="21"/>
                <w:szCs w:val="21"/>
              </w:rPr>
              <w:t>大客户</w:t>
            </w:r>
          </w:p>
        </w:tc>
      </w:tr>
      <w:tr w:rsidR="008D76D6" w14:paraId="07C0B43E" w14:textId="77777777">
        <w:trPr>
          <w:trHeight w:val="397"/>
          <w:jc w:val="center"/>
        </w:trPr>
        <w:tc>
          <w:tcPr>
            <w:tcW w:w="946" w:type="dxa"/>
            <w:vAlign w:val="center"/>
          </w:tcPr>
          <w:p w14:paraId="42D08105"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16</w:t>
            </w:r>
          </w:p>
        </w:tc>
        <w:tc>
          <w:tcPr>
            <w:tcW w:w="1787" w:type="dxa"/>
            <w:vAlign w:val="center"/>
          </w:tcPr>
          <w:p w14:paraId="53F26C2A"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PT.GENAIR NUSAINDO</w:t>
            </w:r>
          </w:p>
        </w:tc>
        <w:tc>
          <w:tcPr>
            <w:tcW w:w="1016" w:type="dxa"/>
            <w:vAlign w:val="center"/>
          </w:tcPr>
          <w:p w14:paraId="162C6ED0"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471.86</w:t>
            </w:r>
          </w:p>
        </w:tc>
        <w:tc>
          <w:tcPr>
            <w:tcW w:w="995" w:type="dxa"/>
            <w:vAlign w:val="center"/>
          </w:tcPr>
          <w:p w14:paraId="41A3D616"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1.47%</w:t>
            </w:r>
          </w:p>
        </w:tc>
        <w:tc>
          <w:tcPr>
            <w:tcW w:w="945" w:type="dxa"/>
            <w:vAlign w:val="center"/>
          </w:tcPr>
          <w:p w14:paraId="4558F07E"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19</w:t>
            </w:r>
          </w:p>
        </w:tc>
        <w:tc>
          <w:tcPr>
            <w:tcW w:w="1015" w:type="dxa"/>
            <w:vAlign w:val="center"/>
          </w:tcPr>
          <w:p w14:paraId="000EFE33"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963.14</w:t>
            </w:r>
          </w:p>
        </w:tc>
        <w:tc>
          <w:tcPr>
            <w:tcW w:w="994" w:type="dxa"/>
            <w:vAlign w:val="center"/>
          </w:tcPr>
          <w:p w14:paraId="5A3A97A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2.13%</w:t>
            </w:r>
          </w:p>
        </w:tc>
        <w:tc>
          <w:tcPr>
            <w:tcW w:w="945" w:type="dxa"/>
            <w:vAlign w:val="center"/>
          </w:tcPr>
          <w:p w14:paraId="14D80908"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13</w:t>
            </w:r>
          </w:p>
        </w:tc>
        <w:tc>
          <w:tcPr>
            <w:tcW w:w="1015" w:type="dxa"/>
            <w:vAlign w:val="center"/>
          </w:tcPr>
          <w:p w14:paraId="3EDF3D97"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752.35</w:t>
            </w:r>
          </w:p>
        </w:tc>
        <w:tc>
          <w:tcPr>
            <w:tcW w:w="994" w:type="dxa"/>
            <w:vAlign w:val="center"/>
          </w:tcPr>
          <w:p w14:paraId="154AA0DA"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2.41%</w:t>
            </w:r>
          </w:p>
        </w:tc>
        <w:tc>
          <w:tcPr>
            <w:tcW w:w="954" w:type="dxa"/>
            <w:vAlign w:val="center"/>
          </w:tcPr>
          <w:p w14:paraId="6B097A3F"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w:t>
            </w:r>
            <w:r w:rsidR="00542CF9">
              <w:rPr>
                <w:rFonts w:ascii="Times New Roman" w:hAnsi="Times New Roman"/>
                <w:color w:val="000000"/>
                <w:kern w:val="0"/>
                <w:sz w:val="21"/>
                <w:szCs w:val="21"/>
              </w:rPr>
              <w:t>1</w:t>
            </w:r>
          </w:p>
        </w:tc>
        <w:tc>
          <w:tcPr>
            <w:tcW w:w="1015" w:type="dxa"/>
            <w:vAlign w:val="center"/>
          </w:tcPr>
          <w:p w14:paraId="65A3C5C9"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425.28</w:t>
            </w:r>
          </w:p>
        </w:tc>
        <w:tc>
          <w:tcPr>
            <w:tcW w:w="994" w:type="dxa"/>
            <w:vAlign w:val="center"/>
          </w:tcPr>
          <w:p w14:paraId="56E7967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1.54%</w:t>
            </w:r>
          </w:p>
        </w:tc>
        <w:tc>
          <w:tcPr>
            <w:tcW w:w="945" w:type="dxa"/>
            <w:vAlign w:val="center"/>
          </w:tcPr>
          <w:p w14:paraId="0D8378DF"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16</w:t>
            </w:r>
          </w:p>
        </w:tc>
      </w:tr>
      <w:tr w:rsidR="008D76D6" w14:paraId="48B369A7" w14:textId="77777777">
        <w:trPr>
          <w:trHeight w:val="397"/>
          <w:jc w:val="center"/>
        </w:trPr>
        <w:tc>
          <w:tcPr>
            <w:tcW w:w="946" w:type="dxa"/>
            <w:vAlign w:val="center"/>
          </w:tcPr>
          <w:p w14:paraId="06CF6EF7"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17</w:t>
            </w:r>
          </w:p>
        </w:tc>
        <w:tc>
          <w:tcPr>
            <w:tcW w:w="1787" w:type="dxa"/>
            <w:vAlign w:val="center"/>
          </w:tcPr>
          <w:p w14:paraId="5EE0B54C"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Mendelson Infrastructures &amp; Industries Ltd</w:t>
            </w:r>
          </w:p>
        </w:tc>
        <w:tc>
          <w:tcPr>
            <w:tcW w:w="1016" w:type="dxa"/>
            <w:vAlign w:val="center"/>
          </w:tcPr>
          <w:p w14:paraId="6D980DF5"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97.56</w:t>
            </w:r>
          </w:p>
        </w:tc>
        <w:tc>
          <w:tcPr>
            <w:tcW w:w="995" w:type="dxa"/>
            <w:vAlign w:val="center"/>
          </w:tcPr>
          <w:p w14:paraId="7D5C58AD"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0.30%</w:t>
            </w:r>
          </w:p>
        </w:tc>
        <w:tc>
          <w:tcPr>
            <w:tcW w:w="945" w:type="dxa"/>
            <w:vAlign w:val="center"/>
          </w:tcPr>
          <w:p w14:paraId="5AC2DB9C" w14:textId="77777777" w:rsidR="008D76D6" w:rsidRDefault="007B4A39"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hint="eastAsia"/>
                <w:color w:val="000000"/>
                <w:kern w:val="0"/>
                <w:sz w:val="21"/>
                <w:szCs w:val="21"/>
              </w:rPr>
              <w:t>非当期前</w:t>
            </w:r>
            <w:r>
              <w:rPr>
                <w:rFonts w:ascii="Times New Roman" w:hAnsi="Times New Roman" w:hint="eastAsia"/>
                <w:color w:val="000000"/>
                <w:kern w:val="0"/>
                <w:sz w:val="21"/>
                <w:szCs w:val="21"/>
              </w:rPr>
              <w:t>2</w:t>
            </w:r>
            <w:r>
              <w:rPr>
                <w:rFonts w:ascii="Times New Roman" w:hAnsi="Times New Roman"/>
                <w:color w:val="000000"/>
                <w:kern w:val="0"/>
                <w:sz w:val="21"/>
                <w:szCs w:val="21"/>
              </w:rPr>
              <w:t>0</w:t>
            </w:r>
            <w:r>
              <w:rPr>
                <w:rFonts w:ascii="Times New Roman" w:hAnsi="Times New Roman" w:hint="eastAsia"/>
                <w:color w:val="000000"/>
                <w:kern w:val="0"/>
                <w:sz w:val="21"/>
                <w:szCs w:val="21"/>
              </w:rPr>
              <w:t>大客户</w:t>
            </w:r>
          </w:p>
        </w:tc>
        <w:tc>
          <w:tcPr>
            <w:tcW w:w="1015" w:type="dxa"/>
            <w:vAlign w:val="center"/>
          </w:tcPr>
          <w:p w14:paraId="006FC5C5"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167.39</w:t>
            </w:r>
          </w:p>
        </w:tc>
        <w:tc>
          <w:tcPr>
            <w:tcW w:w="994" w:type="dxa"/>
            <w:vAlign w:val="center"/>
          </w:tcPr>
          <w:p w14:paraId="5B02BEBA"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0.37%</w:t>
            </w:r>
          </w:p>
        </w:tc>
        <w:tc>
          <w:tcPr>
            <w:tcW w:w="945" w:type="dxa"/>
            <w:vAlign w:val="center"/>
          </w:tcPr>
          <w:p w14:paraId="135BCD33" w14:textId="77777777" w:rsidR="008D76D6" w:rsidRDefault="007B4A39"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hint="eastAsia"/>
                <w:color w:val="000000"/>
                <w:kern w:val="0"/>
                <w:sz w:val="21"/>
                <w:szCs w:val="21"/>
              </w:rPr>
              <w:t>非当期前</w:t>
            </w:r>
            <w:r>
              <w:rPr>
                <w:rFonts w:ascii="Times New Roman" w:hAnsi="Times New Roman" w:hint="eastAsia"/>
                <w:color w:val="000000"/>
                <w:kern w:val="0"/>
                <w:sz w:val="21"/>
                <w:szCs w:val="21"/>
              </w:rPr>
              <w:t>2</w:t>
            </w:r>
            <w:r>
              <w:rPr>
                <w:rFonts w:ascii="Times New Roman" w:hAnsi="Times New Roman"/>
                <w:color w:val="000000"/>
                <w:kern w:val="0"/>
                <w:sz w:val="21"/>
                <w:szCs w:val="21"/>
              </w:rPr>
              <w:t>0</w:t>
            </w:r>
            <w:r>
              <w:rPr>
                <w:rFonts w:ascii="Times New Roman" w:hAnsi="Times New Roman" w:hint="eastAsia"/>
                <w:color w:val="000000"/>
                <w:kern w:val="0"/>
                <w:sz w:val="21"/>
                <w:szCs w:val="21"/>
              </w:rPr>
              <w:t>大客户</w:t>
            </w:r>
          </w:p>
        </w:tc>
        <w:tc>
          <w:tcPr>
            <w:tcW w:w="1015" w:type="dxa"/>
            <w:vAlign w:val="center"/>
          </w:tcPr>
          <w:p w14:paraId="43DBE47C"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527.46</w:t>
            </w:r>
          </w:p>
        </w:tc>
        <w:tc>
          <w:tcPr>
            <w:tcW w:w="994" w:type="dxa"/>
            <w:vAlign w:val="center"/>
          </w:tcPr>
          <w:p w14:paraId="65D94369"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1.69%</w:t>
            </w:r>
          </w:p>
        </w:tc>
        <w:tc>
          <w:tcPr>
            <w:tcW w:w="954" w:type="dxa"/>
            <w:vAlign w:val="center"/>
          </w:tcPr>
          <w:p w14:paraId="5AFBEF3B"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w:t>
            </w:r>
            <w:r w:rsidR="007B4A39">
              <w:rPr>
                <w:rFonts w:ascii="Times New Roman" w:hAnsi="Times New Roman"/>
                <w:color w:val="000000"/>
                <w:kern w:val="0"/>
                <w:sz w:val="21"/>
                <w:szCs w:val="21"/>
              </w:rPr>
              <w:t>5</w:t>
            </w:r>
          </w:p>
        </w:tc>
        <w:tc>
          <w:tcPr>
            <w:tcW w:w="1015" w:type="dxa"/>
            <w:vAlign w:val="center"/>
          </w:tcPr>
          <w:p w14:paraId="0E158D58"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741.66</w:t>
            </w:r>
          </w:p>
        </w:tc>
        <w:tc>
          <w:tcPr>
            <w:tcW w:w="994" w:type="dxa"/>
            <w:vAlign w:val="center"/>
          </w:tcPr>
          <w:p w14:paraId="6BDC1373"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2.69%</w:t>
            </w:r>
          </w:p>
        </w:tc>
        <w:tc>
          <w:tcPr>
            <w:tcW w:w="945" w:type="dxa"/>
            <w:vAlign w:val="center"/>
          </w:tcPr>
          <w:p w14:paraId="74E3229A"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7</w:t>
            </w:r>
          </w:p>
        </w:tc>
      </w:tr>
      <w:tr w:rsidR="008D76D6" w14:paraId="491FCF3E" w14:textId="77777777">
        <w:trPr>
          <w:trHeight w:val="397"/>
          <w:jc w:val="center"/>
        </w:trPr>
        <w:tc>
          <w:tcPr>
            <w:tcW w:w="946" w:type="dxa"/>
            <w:vAlign w:val="center"/>
          </w:tcPr>
          <w:p w14:paraId="25E90150"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18</w:t>
            </w:r>
          </w:p>
        </w:tc>
        <w:tc>
          <w:tcPr>
            <w:tcW w:w="1787" w:type="dxa"/>
            <w:vAlign w:val="center"/>
          </w:tcPr>
          <w:p w14:paraId="76E42523"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Tradetech Supplies Limited</w:t>
            </w:r>
          </w:p>
        </w:tc>
        <w:tc>
          <w:tcPr>
            <w:tcW w:w="1016" w:type="dxa"/>
            <w:vAlign w:val="center"/>
          </w:tcPr>
          <w:p w14:paraId="2971B01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517.7</w:t>
            </w:r>
          </w:p>
        </w:tc>
        <w:tc>
          <w:tcPr>
            <w:tcW w:w="995" w:type="dxa"/>
            <w:vAlign w:val="center"/>
          </w:tcPr>
          <w:p w14:paraId="097C5BDD"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1.61%</w:t>
            </w:r>
          </w:p>
        </w:tc>
        <w:tc>
          <w:tcPr>
            <w:tcW w:w="945" w:type="dxa"/>
            <w:vAlign w:val="center"/>
          </w:tcPr>
          <w:p w14:paraId="02DCDF0B"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17</w:t>
            </w:r>
          </w:p>
        </w:tc>
        <w:tc>
          <w:tcPr>
            <w:tcW w:w="1015" w:type="dxa"/>
            <w:vAlign w:val="center"/>
          </w:tcPr>
          <w:p w14:paraId="6E654D7C"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405.53</w:t>
            </w:r>
          </w:p>
        </w:tc>
        <w:tc>
          <w:tcPr>
            <w:tcW w:w="994" w:type="dxa"/>
            <w:vAlign w:val="center"/>
          </w:tcPr>
          <w:p w14:paraId="3F5A797F"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0.90%</w:t>
            </w:r>
          </w:p>
        </w:tc>
        <w:tc>
          <w:tcPr>
            <w:tcW w:w="945" w:type="dxa"/>
            <w:vAlign w:val="center"/>
          </w:tcPr>
          <w:p w14:paraId="0CF3D9D4" w14:textId="77777777" w:rsidR="008D76D6" w:rsidRDefault="006A274B"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hint="eastAsia"/>
                <w:color w:val="000000"/>
                <w:kern w:val="0"/>
                <w:sz w:val="21"/>
                <w:szCs w:val="21"/>
              </w:rPr>
              <w:t>非当期前</w:t>
            </w:r>
            <w:r>
              <w:rPr>
                <w:rFonts w:ascii="Times New Roman" w:hAnsi="Times New Roman" w:hint="eastAsia"/>
                <w:color w:val="000000"/>
                <w:kern w:val="0"/>
                <w:sz w:val="21"/>
                <w:szCs w:val="21"/>
              </w:rPr>
              <w:t>2</w:t>
            </w:r>
            <w:r>
              <w:rPr>
                <w:rFonts w:ascii="Times New Roman" w:hAnsi="Times New Roman"/>
                <w:color w:val="000000"/>
                <w:kern w:val="0"/>
                <w:sz w:val="21"/>
                <w:szCs w:val="21"/>
              </w:rPr>
              <w:t>0</w:t>
            </w:r>
            <w:r>
              <w:rPr>
                <w:rFonts w:ascii="Times New Roman" w:hAnsi="Times New Roman" w:hint="eastAsia"/>
                <w:color w:val="000000"/>
                <w:kern w:val="0"/>
                <w:sz w:val="21"/>
                <w:szCs w:val="21"/>
              </w:rPr>
              <w:t>大客户</w:t>
            </w:r>
          </w:p>
        </w:tc>
        <w:tc>
          <w:tcPr>
            <w:tcW w:w="1015" w:type="dxa"/>
            <w:vAlign w:val="center"/>
          </w:tcPr>
          <w:p w14:paraId="01F84195"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669.59</w:t>
            </w:r>
          </w:p>
        </w:tc>
        <w:tc>
          <w:tcPr>
            <w:tcW w:w="994" w:type="dxa"/>
            <w:vAlign w:val="center"/>
          </w:tcPr>
          <w:p w14:paraId="2BF8A102"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2.14%</w:t>
            </w:r>
          </w:p>
        </w:tc>
        <w:tc>
          <w:tcPr>
            <w:tcW w:w="954" w:type="dxa"/>
            <w:vAlign w:val="center"/>
          </w:tcPr>
          <w:p w14:paraId="7C45A630"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w:t>
            </w:r>
            <w:r w:rsidR="006A274B">
              <w:rPr>
                <w:rFonts w:ascii="Times New Roman" w:hAnsi="Times New Roman"/>
                <w:color w:val="000000"/>
                <w:kern w:val="0"/>
                <w:sz w:val="21"/>
                <w:szCs w:val="21"/>
              </w:rPr>
              <w:t>2</w:t>
            </w:r>
          </w:p>
        </w:tc>
        <w:tc>
          <w:tcPr>
            <w:tcW w:w="1015" w:type="dxa"/>
            <w:vAlign w:val="center"/>
          </w:tcPr>
          <w:p w14:paraId="170575D4"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634.32</w:t>
            </w:r>
          </w:p>
        </w:tc>
        <w:tc>
          <w:tcPr>
            <w:tcW w:w="994" w:type="dxa"/>
            <w:vAlign w:val="center"/>
          </w:tcPr>
          <w:p w14:paraId="4785F931"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2.30%</w:t>
            </w:r>
          </w:p>
        </w:tc>
        <w:tc>
          <w:tcPr>
            <w:tcW w:w="945" w:type="dxa"/>
            <w:vAlign w:val="center"/>
          </w:tcPr>
          <w:p w14:paraId="79B5A8F6"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9</w:t>
            </w:r>
          </w:p>
        </w:tc>
      </w:tr>
      <w:tr w:rsidR="008D76D6" w14:paraId="289B754C" w14:textId="77777777">
        <w:trPr>
          <w:trHeight w:val="397"/>
          <w:jc w:val="center"/>
        </w:trPr>
        <w:tc>
          <w:tcPr>
            <w:tcW w:w="946" w:type="dxa"/>
            <w:vAlign w:val="center"/>
          </w:tcPr>
          <w:p w14:paraId="645E4A53"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19</w:t>
            </w:r>
          </w:p>
        </w:tc>
        <w:tc>
          <w:tcPr>
            <w:tcW w:w="1787" w:type="dxa"/>
            <w:vAlign w:val="center"/>
          </w:tcPr>
          <w:p w14:paraId="105632F7"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NATIONAL FIRE FIGHTING MANUFACTURING FZCO</w:t>
            </w:r>
          </w:p>
        </w:tc>
        <w:tc>
          <w:tcPr>
            <w:tcW w:w="1016" w:type="dxa"/>
            <w:vAlign w:val="center"/>
          </w:tcPr>
          <w:p w14:paraId="55EDD4EB"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693.55</w:t>
            </w:r>
          </w:p>
        </w:tc>
        <w:tc>
          <w:tcPr>
            <w:tcW w:w="995" w:type="dxa"/>
            <w:vAlign w:val="center"/>
          </w:tcPr>
          <w:p w14:paraId="200E1523"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2.16%</w:t>
            </w:r>
          </w:p>
        </w:tc>
        <w:tc>
          <w:tcPr>
            <w:tcW w:w="945" w:type="dxa"/>
            <w:vAlign w:val="center"/>
          </w:tcPr>
          <w:p w14:paraId="574DAA6B"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11</w:t>
            </w:r>
          </w:p>
        </w:tc>
        <w:tc>
          <w:tcPr>
            <w:tcW w:w="1015" w:type="dxa"/>
            <w:vAlign w:val="center"/>
          </w:tcPr>
          <w:p w14:paraId="598FA861"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1,553.75</w:t>
            </w:r>
          </w:p>
        </w:tc>
        <w:tc>
          <w:tcPr>
            <w:tcW w:w="994" w:type="dxa"/>
            <w:vAlign w:val="center"/>
          </w:tcPr>
          <w:p w14:paraId="773B8573"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3.44%</w:t>
            </w:r>
          </w:p>
        </w:tc>
        <w:tc>
          <w:tcPr>
            <w:tcW w:w="945" w:type="dxa"/>
            <w:vAlign w:val="center"/>
          </w:tcPr>
          <w:p w14:paraId="417B826A"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8</w:t>
            </w:r>
          </w:p>
        </w:tc>
        <w:tc>
          <w:tcPr>
            <w:tcW w:w="1015" w:type="dxa"/>
            <w:vAlign w:val="center"/>
          </w:tcPr>
          <w:p w14:paraId="3A46FD3E"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834.79</w:t>
            </w:r>
          </w:p>
        </w:tc>
        <w:tc>
          <w:tcPr>
            <w:tcW w:w="994" w:type="dxa"/>
            <w:vAlign w:val="center"/>
          </w:tcPr>
          <w:p w14:paraId="506DFA1B"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2.67%</w:t>
            </w:r>
          </w:p>
        </w:tc>
        <w:tc>
          <w:tcPr>
            <w:tcW w:w="954" w:type="dxa"/>
            <w:vAlign w:val="center"/>
          </w:tcPr>
          <w:p w14:paraId="2620BBB2" w14:textId="77777777" w:rsidR="008D76D6" w:rsidRDefault="00373A74"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8</w:t>
            </w:r>
          </w:p>
        </w:tc>
        <w:tc>
          <w:tcPr>
            <w:tcW w:w="1015" w:type="dxa"/>
            <w:vAlign w:val="center"/>
          </w:tcPr>
          <w:p w14:paraId="50CD65FE"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1,165.33</w:t>
            </w:r>
          </w:p>
        </w:tc>
        <w:tc>
          <w:tcPr>
            <w:tcW w:w="994" w:type="dxa"/>
            <w:vAlign w:val="center"/>
          </w:tcPr>
          <w:p w14:paraId="72CEA24E"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4.22%</w:t>
            </w:r>
          </w:p>
        </w:tc>
        <w:tc>
          <w:tcPr>
            <w:tcW w:w="945" w:type="dxa"/>
            <w:vAlign w:val="center"/>
          </w:tcPr>
          <w:p w14:paraId="7C356CCA"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4</w:t>
            </w:r>
          </w:p>
        </w:tc>
      </w:tr>
      <w:tr w:rsidR="008D76D6" w14:paraId="2000405C" w14:textId="77777777">
        <w:trPr>
          <w:trHeight w:val="397"/>
          <w:jc w:val="center"/>
        </w:trPr>
        <w:tc>
          <w:tcPr>
            <w:tcW w:w="946" w:type="dxa"/>
            <w:vAlign w:val="center"/>
          </w:tcPr>
          <w:p w14:paraId="6EEFBE72"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20</w:t>
            </w:r>
          </w:p>
        </w:tc>
        <w:tc>
          <w:tcPr>
            <w:tcW w:w="1787" w:type="dxa"/>
            <w:vAlign w:val="center"/>
          </w:tcPr>
          <w:p w14:paraId="7E6A1372" w14:textId="77777777" w:rsidR="008D76D6" w:rsidRDefault="00D232C3" w:rsidP="008C4EDC">
            <w:pPr>
              <w:spacing w:beforeLines="0" w:before="0" w:afterLines="0" w:after="0" w:line="240" w:lineRule="auto"/>
              <w:ind w:firstLineChars="0" w:firstLine="0"/>
              <w:jc w:val="center"/>
              <w:rPr>
                <w:rFonts w:ascii="Times New Roman" w:hAnsi="Times New Roman"/>
                <w:color w:val="000000"/>
                <w:kern w:val="0"/>
                <w:sz w:val="21"/>
                <w:szCs w:val="21"/>
              </w:rPr>
            </w:pPr>
            <w:r w:rsidRPr="00D232C3">
              <w:rPr>
                <w:rFonts w:ascii="Times New Roman" w:hAnsi="Times New Roman"/>
                <w:color w:val="000000"/>
                <w:kern w:val="0"/>
                <w:sz w:val="21"/>
                <w:szCs w:val="21"/>
              </w:rPr>
              <w:t>CRANE LIMITED</w:t>
            </w:r>
          </w:p>
        </w:tc>
        <w:tc>
          <w:tcPr>
            <w:tcW w:w="1016" w:type="dxa"/>
            <w:vAlign w:val="center"/>
          </w:tcPr>
          <w:p w14:paraId="4678FC51"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495.32</w:t>
            </w:r>
          </w:p>
        </w:tc>
        <w:tc>
          <w:tcPr>
            <w:tcW w:w="995" w:type="dxa"/>
            <w:vAlign w:val="center"/>
          </w:tcPr>
          <w:p w14:paraId="2A748BAA"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1.55%</w:t>
            </w:r>
          </w:p>
        </w:tc>
        <w:tc>
          <w:tcPr>
            <w:tcW w:w="945" w:type="dxa"/>
            <w:vAlign w:val="center"/>
          </w:tcPr>
          <w:p w14:paraId="541EC33C"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18</w:t>
            </w:r>
          </w:p>
        </w:tc>
        <w:tc>
          <w:tcPr>
            <w:tcW w:w="1015" w:type="dxa"/>
            <w:vAlign w:val="center"/>
          </w:tcPr>
          <w:p w14:paraId="3B34C3C4"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1,265.98</w:t>
            </w:r>
          </w:p>
        </w:tc>
        <w:tc>
          <w:tcPr>
            <w:tcW w:w="994" w:type="dxa"/>
            <w:vAlign w:val="center"/>
          </w:tcPr>
          <w:p w14:paraId="7247106A"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2.81%</w:t>
            </w:r>
          </w:p>
        </w:tc>
        <w:tc>
          <w:tcPr>
            <w:tcW w:w="945" w:type="dxa"/>
            <w:vAlign w:val="center"/>
          </w:tcPr>
          <w:p w14:paraId="2B4DA706"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15</w:t>
            </w:r>
          </w:p>
        </w:tc>
        <w:tc>
          <w:tcPr>
            <w:tcW w:w="1015" w:type="dxa"/>
            <w:vAlign w:val="center"/>
          </w:tcPr>
          <w:p w14:paraId="5D0D560A"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1,072.41</w:t>
            </w:r>
          </w:p>
        </w:tc>
        <w:tc>
          <w:tcPr>
            <w:tcW w:w="994" w:type="dxa"/>
            <w:vAlign w:val="center"/>
          </w:tcPr>
          <w:p w14:paraId="63AA94B3"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3.43%</w:t>
            </w:r>
          </w:p>
        </w:tc>
        <w:tc>
          <w:tcPr>
            <w:tcW w:w="954" w:type="dxa"/>
            <w:vAlign w:val="center"/>
          </w:tcPr>
          <w:p w14:paraId="2217736B"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5</w:t>
            </w:r>
          </w:p>
        </w:tc>
        <w:tc>
          <w:tcPr>
            <w:tcW w:w="1015" w:type="dxa"/>
            <w:vAlign w:val="center"/>
          </w:tcPr>
          <w:p w14:paraId="78B381EC"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1,240.74</w:t>
            </w:r>
          </w:p>
        </w:tc>
        <w:tc>
          <w:tcPr>
            <w:tcW w:w="994" w:type="dxa"/>
            <w:vAlign w:val="center"/>
          </w:tcPr>
          <w:p w14:paraId="198C2177" w14:textId="77777777" w:rsidR="008D76D6" w:rsidRDefault="008D76D6" w:rsidP="008C4EDC">
            <w:pPr>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color w:val="000000"/>
                <w:kern w:val="0"/>
                <w:sz w:val="21"/>
                <w:szCs w:val="21"/>
              </w:rPr>
              <w:t>4.49%</w:t>
            </w:r>
          </w:p>
        </w:tc>
        <w:tc>
          <w:tcPr>
            <w:tcW w:w="945" w:type="dxa"/>
            <w:vAlign w:val="center"/>
          </w:tcPr>
          <w:p w14:paraId="2FEC86E8" w14:textId="77777777" w:rsidR="008D76D6" w:rsidRDefault="008D76D6" w:rsidP="008C4EDC">
            <w:pPr>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kern w:val="0"/>
                <w:sz w:val="21"/>
                <w:szCs w:val="21"/>
              </w:rPr>
              <w:t>6</w:t>
            </w:r>
          </w:p>
        </w:tc>
      </w:tr>
      <w:tr w:rsidR="008D76D6" w14:paraId="7EF9494C" w14:textId="77777777">
        <w:trPr>
          <w:trHeight w:val="397"/>
          <w:jc w:val="center"/>
        </w:trPr>
        <w:tc>
          <w:tcPr>
            <w:tcW w:w="2733" w:type="dxa"/>
            <w:gridSpan w:val="2"/>
            <w:vAlign w:val="center"/>
          </w:tcPr>
          <w:p w14:paraId="44B1C73D"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合计</w:t>
            </w:r>
          </w:p>
        </w:tc>
        <w:tc>
          <w:tcPr>
            <w:tcW w:w="1016" w:type="dxa"/>
            <w:vAlign w:val="center"/>
          </w:tcPr>
          <w:p w14:paraId="73354360" w14:textId="77777777" w:rsidR="008D76D6" w:rsidRDefault="008D76D6" w:rsidP="008C4EDC">
            <w:pPr>
              <w:spacing w:beforeLines="0" w:before="0" w:afterLines="0" w:after="0" w:line="240" w:lineRule="auto"/>
              <w:ind w:firstLineChars="0" w:firstLine="0"/>
              <w:jc w:val="right"/>
              <w:rPr>
                <w:rFonts w:ascii="Times New Roman" w:hAnsi="Times New Roman"/>
                <w:b/>
                <w:bCs/>
                <w:color w:val="000000"/>
                <w:kern w:val="0"/>
                <w:sz w:val="21"/>
                <w:szCs w:val="21"/>
              </w:rPr>
            </w:pPr>
            <w:r>
              <w:rPr>
                <w:rFonts w:ascii="Times New Roman" w:hAnsi="Times New Roman"/>
                <w:b/>
                <w:bCs/>
                <w:color w:val="000000"/>
                <w:kern w:val="0"/>
                <w:sz w:val="21"/>
                <w:szCs w:val="21"/>
              </w:rPr>
              <w:t>21,344.11</w:t>
            </w:r>
          </w:p>
        </w:tc>
        <w:tc>
          <w:tcPr>
            <w:tcW w:w="995" w:type="dxa"/>
            <w:vAlign w:val="center"/>
          </w:tcPr>
          <w:p w14:paraId="5D66C05F" w14:textId="77777777" w:rsidR="008D76D6" w:rsidRDefault="008D76D6" w:rsidP="008C4EDC">
            <w:pPr>
              <w:spacing w:beforeLines="0" w:before="0" w:afterLines="0" w:after="0" w:line="240" w:lineRule="auto"/>
              <w:ind w:firstLineChars="0" w:firstLine="0"/>
              <w:jc w:val="right"/>
              <w:rPr>
                <w:rFonts w:ascii="Times New Roman" w:hAnsi="Times New Roman"/>
                <w:b/>
                <w:bCs/>
                <w:color w:val="000000"/>
                <w:kern w:val="0"/>
                <w:sz w:val="21"/>
                <w:szCs w:val="21"/>
              </w:rPr>
            </w:pPr>
            <w:r>
              <w:rPr>
                <w:rFonts w:ascii="Times New Roman" w:hAnsi="Times New Roman"/>
                <w:b/>
                <w:bCs/>
                <w:color w:val="000000"/>
                <w:kern w:val="0"/>
                <w:sz w:val="21"/>
                <w:szCs w:val="21"/>
              </w:rPr>
              <w:t>66.59%</w:t>
            </w:r>
          </w:p>
        </w:tc>
        <w:tc>
          <w:tcPr>
            <w:tcW w:w="945" w:type="dxa"/>
            <w:vAlign w:val="center"/>
          </w:tcPr>
          <w:p w14:paraId="49EED826"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w:t>
            </w:r>
          </w:p>
        </w:tc>
        <w:tc>
          <w:tcPr>
            <w:tcW w:w="1015" w:type="dxa"/>
            <w:vAlign w:val="center"/>
          </w:tcPr>
          <w:p w14:paraId="6AE70943" w14:textId="77777777" w:rsidR="008D76D6" w:rsidRDefault="008D76D6" w:rsidP="008C4EDC">
            <w:pPr>
              <w:spacing w:beforeLines="0" w:before="0" w:afterLines="0" w:after="0" w:line="240" w:lineRule="auto"/>
              <w:ind w:firstLineChars="0" w:firstLine="0"/>
              <w:jc w:val="right"/>
              <w:rPr>
                <w:rFonts w:ascii="Times New Roman" w:hAnsi="Times New Roman"/>
                <w:b/>
                <w:bCs/>
                <w:color w:val="000000"/>
                <w:kern w:val="0"/>
                <w:sz w:val="21"/>
                <w:szCs w:val="21"/>
              </w:rPr>
            </w:pPr>
            <w:r>
              <w:rPr>
                <w:rFonts w:ascii="Times New Roman" w:hAnsi="Times New Roman"/>
                <w:b/>
                <w:bCs/>
                <w:color w:val="000000"/>
                <w:kern w:val="0"/>
                <w:sz w:val="21"/>
                <w:szCs w:val="21"/>
              </w:rPr>
              <w:t>26,367.96</w:t>
            </w:r>
          </w:p>
        </w:tc>
        <w:tc>
          <w:tcPr>
            <w:tcW w:w="994" w:type="dxa"/>
            <w:vAlign w:val="center"/>
          </w:tcPr>
          <w:p w14:paraId="3C5B38EA" w14:textId="77777777" w:rsidR="008D76D6" w:rsidRDefault="008D76D6" w:rsidP="008C4EDC">
            <w:pPr>
              <w:spacing w:beforeLines="0" w:before="0" w:afterLines="0" w:after="0" w:line="240" w:lineRule="auto"/>
              <w:ind w:firstLineChars="0" w:firstLine="0"/>
              <w:jc w:val="right"/>
              <w:rPr>
                <w:rFonts w:ascii="Times New Roman" w:hAnsi="Times New Roman"/>
                <w:b/>
                <w:bCs/>
                <w:color w:val="000000"/>
                <w:kern w:val="0"/>
                <w:sz w:val="21"/>
                <w:szCs w:val="21"/>
              </w:rPr>
            </w:pPr>
            <w:r>
              <w:rPr>
                <w:rFonts w:ascii="Times New Roman" w:hAnsi="Times New Roman"/>
                <w:b/>
                <w:bCs/>
                <w:color w:val="000000"/>
                <w:kern w:val="0"/>
                <w:sz w:val="21"/>
                <w:szCs w:val="21"/>
              </w:rPr>
              <w:t>58.42%</w:t>
            </w:r>
          </w:p>
        </w:tc>
        <w:tc>
          <w:tcPr>
            <w:tcW w:w="945" w:type="dxa"/>
            <w:vAlign w:val="center"/>
          </w:tcPr>
          <w:p w14:paraId="12A3404D"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w:t>
            </w:r>
          </w:p>
        </w:tc>
        <w:tc>
          <w:tcPr>
            <w:tcW w:w="1015" w:type="dxa"/>
            <w:vAlign w:val="center"/>
          </w:tcPr>
          <w:p w14:paraId="1BE694E7" w14:textId="77777777" w:rsidR="008D76D6" w:rsidRDefault="008D76D6" w:rsidP="008C4EDC">
            <w:pPr>
              <w:spacing w:beforeLines="0" w:before="0" w:afterLines="0" w:after="0" w:line="240" w:lineRule="auto"/>
              <w:ind w:firstLineChars="0" w:firstLine="0"/>
              <w:jc w:val="right"/>
              <w:rPr>
                <w:rFonts w:ascii="Times New Roman" w:hAnsi="Times New Roman"/>
                <w:b/>
                <w:bCs/>
                <w:color w:val="000000"/>
                <w:kern w:val="0"/>
                <w:sz w:val="21"/>
                <w:szCs w:val="21"/>
              </w:rPr>
            </w:pPr>
            <w:r>
              <w:rPr>
                <w:rFonts w:ascii="Times New Roman" w:hAnsi="Times New Roman"/>
                <w:b/>
                <w:bCs/>
                <w:color w:val="000000"/>
                <w:kern w:val="0"/>
                <w:sz w:val="21"/>
                <w:szCs w:val="21"/>
              </w:rPr>
              <w:t>18,106.90</w:t>
            </w:r>
          </w:p>
        </w:tc>
        <w:tc>
          <w:tcPr>
            <w:tcW w:w="994" w:type="dxa"/>
            <w:vAlign w:val="center"/>
          </w:tcPr>
          <w:p w14:paraId="77EB2DF8" w14:textId="77777777" w:rsidR="008D76D6" w:rsidRDefault="008D76D6" w:rsidP="008C4EDC">
            <w:pPr>
              <w:spacing w:beforeLines="0" w:before="0" w:afterLines="0" w:after="0" w:line="240" w:lineRule="auto"/>
              <w:ind w:firstLineChars="0" w:firstLine="0"/>
              <w:jc w:val="right"/>
              <w:rPr>
                <w:rFonts w:ascii="Times New Roman" w:hAnsi="Times New Roman"/>
                <w:b/>
                <w:bCs/>
                <w:color w:val="000000"/>
                <w:kern w:val="0"/>
                <w:sz w:val="21"/>
                <w:szCs w:val="21"/>
              </w:rPr>
            </w:pPr>
            <w:r>
              <w:rPr>
                <w:rFonts w:ascii="Times New Roman" w:hAnsi="Times New Roman"/>
                <w:b/>
                <w:bCs/>
                <w:color w:val="000000"/>
                <w:kern w:val="0"/>
                <w:sz w:val="21"/>
                <w:szCs w:val="21"/>
              </w:rPr>
              <w:t>57.90%</w:t>
            </w:r>
          </w:p>
        </w:tc>
        <w:tc>
          <w:tcPr>
            <w:tcW w:w="954" w:type="dxa"/>
            <w:vAlign w:val="center"/>
          </w:tcPr>
          <w:p w14:paraId="144F6AF3" w14:textId="77777777" w:rsidR="008D76D6" w:rsidRDefault="008D76D6" w:rsidP="008C4EDC">
            <w:pPr>
              <w:spacing w:beforeLines="0" w:before="0" w:afterLines="0" w:after="0" w:line="240" w:lineRule="auto"/>
              <w:ind w:firstLineChars="0" w:firstLine="0"/>
              <w:jc w:val="right"/>
              <w:rPr>
                <w:rFonts w:ascii="Times New Roman" w:hAnsi="Times New Roman"/>
                <w:b/>
                <w:bCs/>
                <w:color w:val="000000"/>
                <w:kern w:val="0"/>
                <w:sz w:val="21"/>
                <w:szCs w:val="21"/>
              </w:rPr>
            </w:pPr>
            <w:r>
              <w:rPr>
                <w:rFonts w:ascii="Times New Roman" w:hAnsi="Times New Roman"/>
                <w:b/>
                <w:bCs/>
                <w:color w:val="000000"/>
                <w:kern w:val="0"/>
                <w:sz w:val="21"/>
                <w:szCs w:val="21"/>
              </w:rPr>
              <w:t>-</w:t>
            </w:r>
          </w:p>
        </w:tc>
        <w:tc>
          <w:tcPr>
            <w:tcW w:w="1015" w:type="dxa"/>
            <w:vAlign w:val="center"/>
          </w:tcPr>
          <w:p w14:paraId="45C69676" w14:textId="77777777" w:rsidR="008D76D6" w:rsidRDefault="008D76D6" w:rsidP="008C4EDC">
            <w:pPr>
              <w:spacing w:beforeLines="0" w:before="0" w:afterLines="0" w:after="0" w:line="240" w:lineRule="auto"/>
              <w:ind w:firstLineChars="0" w:firstLine="0"/>
              <w:jc w:val="right"/>
              <w:rPr>
                <w:rFonts w:ascii="Times New Roman" w:hAnsi="Times New Roman"/>
                <w:b/>
                <w:bCs/>
                <w:color w:val="000000"/>
                <w:kern w:val="0"/>
                <w:sz w:val="21"/>
                <w:szCs w:val="21"/>
              </w:rPr>
            </w:pPr>
            <w:r>
              <w:rPr>
                <w:rFonts w:ascii="Times New Roman" w:hAnsi="Times New Roman"/>
                <w:b/>
                <w:bCs/>
                <w:color w:val="000000"/>
                <w:kern w:val="0"/>
                <w:sz w:val="21"/>
                <w:szCs w:val="21"/>
              </w:rPr>
              <w:t>14,465.12</w:t>
            </w:r>
          </w:p>
        </w:tc>
        <w:tc>
          <w:tcPr>
            <w:tcW w:w="994" w:type="dxa"/>
            <w:vAlign w:val="center"/>
          </w:tcPr>
          <w:p w14:paraId="6E8710D2" w14:textId="77777777" w:rsidR="008D76D6" w:rsidRDefault="008D76D6" w:rsidP="008C4EDC">
            <w:pPr>
              <w:spacing w:beforeLines="0" w:before="0" w:afterLines="0" w:after="0" w:line="240" w:lineRule="auto"/>
              <w:ind w:firstLineChars="0" w:firstLine="0"/>
              <w:jc w:val="right"/>
              <w:rPr>
                <w:rFonts w:ascii="Times New Roman" w:hAnsi="Times New Roman"/>
                <w:b/>
                <w:bCs/>
                <w:color w:val="000000"/>
                <w:kern w:val="0"/>
                <w:sz w:val="21"/>
                <w:szCs w:val="21"/>
              </w:rPr>
            </w:pPr>
            <w:r>
              <w:rPr>
                <w:rFonts w:ascii="Times New Roman" w:hAnsi="Times New Roman"/>
                <w:b/>
                <w:bCs/>
                <w:color w:val="000000"/>
                <w:kern w:val="0"/>
                <w:sz w:val="21"/>
                <w:szCs w:val="21"/>
              </w:rPr>
              <w:t>52.40%</w:t>
            </w:r>
          </w:p>
        </w:tc>
        <w:tc>
          <w:tcPr>
            <w:tcW w:w="945" w:type="dxa"/>
            <w:vAlign w:val="center"/>
          </w:tcPr>
          <w:p w14:paraId="4E9D2DF7"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kern w:val="0"/>
                <w:sz w:val="21"/>
                <w:szCs w:val="21"/>
              </w:rPr>
            </w:pPr>
            <w:r>
              <w:rPr>
                <w:rFonts w:ascii="Times New Roman" w:hAnsi="Times New Roman"/>
                <w:b/>
                <w:bCs/>
                <w:color w:val="000000"/>
                <w:kern w:val="0"/>
                <w:sz w:val="21"/>
                <w:szCs w:val="21"/>
              </w:rPr>
              <w:t>-</w:t>
            </w:r>
          </w:p>
        </w:tc>
      </w:tr>
    </w:tbl>
    <w:p w14:paraId="3C7DF061" w14:textId="77777777" w:rsidR="008D76D6" w:rsidRDefault="008D76D6">
      <w:pPr>
        <w:spacing w:before="120" w:after="120"/>
        <w:ind w:firstLine="480"/>
      </w:pPr>
    </w:p>
    <w:p w14:paraId="467B982C" w14:textId="77777777" w:rsidR="008D76D6" w:rsidRDefault="008D76D6">
      <w:pPr>
        <w:spacing w:before="120" w:after="120"/>
        <w:ind w:firstLine="480"/>
        <w:sectPr w:rsidR="008D76D6">
          <w:headerReference w:type="default" r:id="rId15"/>
          <w:pgSz w:w="16838" w:h="11906" w:orient="landscape"/>
          <w:pgMar w:top="1440" w:right="1797" w:bottom="1440" w:left="1797" w:header="851" w:footer="567" w:gutter="0"/>
          <w:cols w:space="720"/>
          <w:docGrid w:linePitch="326"/>
        </w:sectPr>
      </w:pPr>
    </w:p>
    <w:p w14:paraId="0E89AF26" w14:textId="77777777" w:rsidR="008D76D6" w:rsidRDefault="008D76D6">
      <w:pPr>
        <w:spacing w:before="120" w:after="120"/>
        <w:ind w:firstLine="480"/>
      </w:pPr>
      <w:r>
        <w:t>报告期各期，公司境外主要客户变动</w:t>
      </w:r>
      <w:r w:rsidR="00373A74">
        <w:rPr>
          <w:rFonts w:hint="eastAsia"/>
        </w:rPr>
        <w:t>主要系</w:t>
      </w:r>
      <w:r>
        <w:t>客户业务市场行为所致，随着</w:t>
      </w:r>
      <w:r>
        <w:rPr>
          <w:rFonts w:hint="eastAsia"/>
        </w:rPr>
        <w:t>客户</w:t>
      </w:r>
      <w:r>
        <w:t>需求量的增减，从而对公司产品采购的数量、种类均有所增减</w:t>
      </w:r>
      <w:r>
        <w:rPr>
          <w:rFonts w:hint="eastAsia"/>
        </w:rPr>
        <w:t>。</w:t>
      </w:r>
      <w:r>
        <w:t>同时，公司积极拓展国外市场，增加潜在客户的开发，维持境外客户的订单存量</w:t>
      </w:r>
      <w:r>
        <w:rPr>
          <w:rFonts w:hint="eastAsia"/>
        </w:rPr>
        <w:t>。</w:t>
      </w:r>
      <w:r>
        <w:t>因此，报告期内，公司主要客户合计占比相对较稳定，不同客户的占比变动具有合理性。</w:t>
      </w:r>
    </w:p>
    <w:p w14:paraId="5310EC24" w14:textId="77777777" w:rsidR="008D76D6" w:rsidRDefault="008D76D6" w:rsidP="00B434D2">
      <w:pPr>
        <w:pStyle w:val="004"/>
        <w:spacing w:before="120" w:after="120"/>
        <w:ind w:firstLine="482"/>
      </w:pPr>
      <w:r>
        <w:rPr>
          <w:rFonts w:hint="eastAsia"/>
        </w:rPr>
        <w:t>（五）</w:t>
      </w:r>
      <w:r>
        <w:t>相关信用政策</w:t>
      </w:r>
    </w:p>
    <w:p w14:paraId="4B4008C7" w14:textId="77777777" w:rsidR="008D76D6" w:rsidRDefault="008D76D6">
      <w:pPr>
        <w:spacing w:before="120" w:after="120"/>
        <w:ind w:firstLine="480"/>
        <w:rPr>
          <w:rFonts w:ascii="Times New Roman" w:hAnsi="Times New Roman"/>
        </w:rPr>
      </w:pPr>
      <w:r>
        <w:rPr>
          <w:rFonts w:ascii="Times New Roman" w:hAnsi="Times New Roman"/>
        </w:rPr>
        <w:t>公司外销采取的收款方式主要有</w:t>
      </w:r>
      <w:r>
        <w:rPr>
          <w:rFonts w:ascii="Times New Roman" w:hAnsi="Times New Roman"/>
        </w:rPr>
        <w:t>T/T</w:t>
      </w:r>
      <w:r>
        <w:rPr>
          <w:rFonts w:ascii="Times New Roman" w:hAnsi="Times New Roman"/>
        </w:rPr>
        <w:t>（电汇）、</w:t>
      </w:r>
      <w:r>
        <w:rPr>
          <w:rFonts w:ascii="Times New Roman" w:hAnsi="Times New Roman"/>
        </w:rPr>
        <w:t>L/C</w:t>
      </w:r>
      <w:r>
        <w:rPr>
          <w:rFonts w:ascii="Times New Roman" w:hAnsi="Times New Roman"/>
        </w:rPr>
        <w:t>（信用证）及</w:t>
      </w:r>
      <w:r>
        <w:rPr>
          <w:rFonts w:ascii="Times New Roman" w:hAnsi="Times New Roman"/>
        </w:rPr>
        <w:t>D/P</w:t>
      </w:r>
      <w:r>
        <w:rPr>
          <w:rFonts w:ascii="Times New Roman" w:hAnsi="Times New Roman"/>
        </w:rPr>
        <w:t>（付款交单）模式。对于新合作客户或订单量较小的客户，公司一般在签订订单时要求其支付</w:t>
      </w:r>
      <w:r>
        <w:rPr>
          <w:rFonts w:ascii="Times New Roman" w:hAnsi="Times New Roman"/>
        </w:rPr>
        <w:t>30%</w:t>
      </w:r>
      <w:r>
        <w:rPr>
          <w:rFonts w:ascii="Times New Roman" w:hAnsi="Times New Roman"/>
        </w:rPr>
        <w:t>比例的预付款，并采取</w:t>
      </w:r>
      <w:r>
        <w:rPr>
          <w:rFonts w:ascii="Times New Roman" w:hAnsi="Times New Roman"/>
        </w:rPr>
        <w:t>“</w:t>
      </w:r>
      <w:r>
        <w:rPr>
          <w:rFonts w:ascii="Times New Roman" w:hAnsi="Times New Roman"/>
        </w:rPr>
        <w:t>前</w:t>
      </w:r>
      <w:r>
        <w:rPr>
          <w:rFonts w:ascii="Times New Roman" w:hAnsi="Times New Roman"/>
        </w:rPr>
        <w:t>T/T”</w:t>
      </w:r>
      <w:r>
        <w:rPr>
          <w:rFonts w:ascii="Times New Roman" w:hAnsi="Times New Roman"/>
        </w:rPr>
        <w:t>（即收到电汇款后将提单邮寄给客户）的付款方式；对于信用记录良好的长期合作客户，公司综合考虑其信用状况、盈利状况及订单规模等因素，经审批后给予其</w:t>
      </w:r>
      <w:r>
        <w:rPr>
          <w:rFonts w:ascii="Times New Roman" w:hAnsi="Times New Roman"/>
        </w:rPr>
        <w:t>30~90</w:t>
      </w:r>
      <w:r>
        <w:rPr>
          <w:rFonts w:ascii="Times New Roman" w:hAnsi="Times New Roman"/>
        </w:rPr>
        <w:t>天的信用账期，采用</w:t>
      </w:r>
      <w:r>
        <w:rPr>
          <w:rFonts w:ascii="Times New Roman" w:hAnsi="Times New Roman"/>
        </w:rPr>
        <w:t>“T/T”</w:t>
      </w:r>
      <w:r>
        <w:rPr>
          <w:rFonts w:ascii="Times New Roman" w:hAnsi="Times New Roman"/>
        </w:rPr>
        <w:t>的付款方式；对于采用信用证客户，公司一般给予其</w:t>
      </w:r>
      <w:r>
        <w:rPr>
          <w:rFonts w:ascii="Times New Roman" w:hAnsi="Times New Roman"/>
        </w:rPr>
        <w:t>60~90</w:t>
      </w:r>
      <w:r>
        <w:rPr>
          <w:rFonts w:ascii="Times New Roman" w:hAnsi="Times New Roman"/>
        </w:rPr>
        <w:t>天的信用账期。</w:t>
      </w:r>
    </w:p>
    <w:p w14:paraId="729DA31D" w14:textId="77777777" w:rsidR="008D76D6" w:rsidRDefault="008D76D6">
      <w:pPr>
        <w:spacing w:before="120" w:after="120"/>
        <w:ind w:firstLine="480"/>
      </w:pPr>
      <w:r>
        <w:t>报告期内，公司对境外销售主要客户（各期前十大客户）信用政策列示如下：</w:t>
      </w:r>
    </w:p>
    <w:tbl>
      <w:tblPr>
        <w:tblW w:w="10206" w:type="dxa"/>
        <w:jc w:val="center"/>
        <w:tblInd w:w="0" w:type="dxa"/>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ook w:val="04A0" w:firstRow="1" w:lastRow="0" w:firstColumn="1" w:lastColumn="0" w:noHBand="0" w:noVBand="1"/>
      </w:tblPr>
      <w:tblGrid>
        <w:gridCol w:w="708"/>
        <w:gridCol w:w="2269"/>
        <w:gridCol w:w="992"/>
        <w:gridCol w:w="1560"/>
        <w:gridCol w:w="1559"/>
        <w:gridCol w:w="1559"/>
        <w:gridCol w:w="1559"/>
        <w:tblGridChange w:id="12">
          <w:tblGrid>
            <w:gridCol w:w="708"/>
            <w:gridCol w:w="2269"/>
            <w:gridCol w:w="992"/>
            <w:gridCol w:w="1560"/>
            <w:gridCol w:w="1559"/>
            <w:gridCol w:w="1559"/>
            <w:gridCol w:w="1559"/>
          </w:tblGrid>
        </w:tblGridChange>
      </w:tblGrid>
      <w:tr w:rsidR="00CC322A" w:rsidRPr="007051DE" w14:paraId="5713506C" w14:textId="77777777">
        <w:trPr>
          <w:trHeight w:val="397"/>
          <w:tblHeader/>
          <w:jc w:val="center"/>
        </w:trPr>
        <w:tc>
          <w:tcPr>
            <w:tcW w:w="708" w:type="dxa"/>
            <w:tcBorders>
              <w:top w:val="single" w:sz="6" w:space="0" w:color="010000"/>
              <w:left w:val="single" w:sz="6" w:space="0" w:color="010000"/>
              <w:bottom w:val="single" w:sz="6" w:space="0" w:color="010000"/>
              <w:right w:val="single" w:sz="6" w:space="0" w:color="010000"/>
            </w:tcBorders>
            <w:shd w:val="clear" w:color="auto" w:fill="D0CECE"/>
            <w:vAlign w:val="center"/>
          </w:tcPr>
          <w:p w14:paraId="24879429" w14:textId="77777777" w:rsidR="00CC322A" w:rsidRPr="005442C5" w:rsidRDefault="00CC322A" w:rsidP="005442C5">
            <w:pPr>
              <w:spacing w:beforeLines="0" w:before="0" w:afterLines="0" w:after="0" w:line="240" w:lineRule="auto"/>
              <w:ind w:firstLineChars="0" w:firstLine="0"/>
              <w:jc w:val="center"/>
              <w:rPr>
                <w:rFonts w:ascii="Times New Roman" w:hAnsi="Times New Roman"/>
                <w:b/>
                <w:bCs/>
                <w:sz w:val="21"/>
                <w:szCs w:val="21"/>
              </w:rPr>
            </w:pPr>
            <w:r w:rsidRPr="005442C5">
              <w:rPr>
                <w:rFonts w:ascii="Times New Roman" w:hAnsi="Times New Roman"/>
                <w:b/>
                <w:bCs/>
                <w:sz w:val="21"/>
                <w:szCs w:val="21"/>
              </w:rPr>
              <w:t>序号</w:t>
            </w:r>
          </w:p>
        </w:tc>
        <w:tc>
          <w:tcPr>
            <w:tcW w:w="2269" w:type="dxa"/>
            <w:tcBorders>
              <w:top w:val="single" w:sz="6" w:space="0" w:color="010000"/>
              <w:left w:val="single" w:sz="6" w:space="0" w:color="010000"/>
              <w:bottom w:val="single" w:sz="6" w:space="0" w:color="010000"/>
              <w:right w:val="single" w:sz="6" w:space="0" w:color="010000"/>
            </w:tcBorders>
            <w:shd w:val="clear" w:color="auto" w:fill="D0CECE"/>
            <w:vAlign w:val="center"/>
          </w:tcPr>
          <w:p w14:paraId="004BAFDB" w14:textId="77777777" w:rsidR="00CC322A" w:rsidRPr="005442C5" w:rsidRDefault="00CC322A" w:rsidP="005442C5">
            <w:pPr>
              <w:spacing w:beforeLines="0" w:before="0" w:afterLines="0" w:after="0" w:line="240" w:lineRule="auto"/>
              <w:ind w:firstLineChars="0" w:firstLine="0"/>
              <w:jc w:val="center"/>
              <w:rPr>
                <w:rFonts w:ascii="Times New Roman" w:hAnsi="Times New Roman"/>
                <w:b/>
                <w:bCs/>
                <w:sz w:val="21"/>
                <w:szCs w:val="21"/>
              </w:rPr>
            </w:pPr>
            <w:r w:rsidRPr="005442C5">
              <w:rPr>
                <w:rFonts w:ascii="Times New Roman" w:hAnsi="Times New Roman"/>
                <w:b/>
                <w:bCs/>
                <w:sz w:val="21"/>
                <w:szCs w:val="21"/>
              </w:rPr>
              <w:t>客户名称</w:t>
            </w:r>
          </w:p>
        </w:tc>
        <w:tc>
          <w:tcPr>
            <w:tcW w:w="992" w:type="dxa"/>
            <w:tcBorders>
              <w:top w:val="single" w:sz="6" w:space="0" w:color="010000"/>
              <w:left w:val="single" w:sz="6" w:space="0" w:color="010000"/>
              <w:bottom w:val="single" w:sz="6" w:space="0" w:color="010000"/>
              <w:right w:val="single" w:sz="6" w:space="0" w:color="010000"/>
            </w:tcBorders>
            <w:shd w:val="clear" w:color="auto" w:fill="D0CECE"/>
            <w:vAlign w:val="center"/>
          </w:tcPr>
          <w:p w14:paraId="72A6188E" w14:textId="77777777" w:rsidR="00CC322A" w:rsidRPr="005442C5" w:rsidRDefault="00CC322A" w:rsidP="005442C5">
            <w:pPr>
              <w:spacing w:beforeLines="0" w:before="0" w:afterLines="0" w:after="0" w:line="240" w:lineRule="auto"/>
              <w:ind w:firstLineChars="0" w:firstLine="0"/>
              <w:jc w:val="center"/>
              <w:rPr>
                <w:rFonts w:ascii="Times New Roman" w:hAnsi="Times New Roman"/>
                <w:b/>
                <w:bCs/>
                <w:sz w:val="21"/>
                <w:szCs w:val="21"/>
              </w:rPr>
            </w:pPr>
            <w:r w:rsidRPr="005442C5">
              <w:rPr>
                <w:rFonts w:ascii="Times New Roman" w:hAnsi="Times New Roman"/>
                <w:b/>
                <w:bCs/>
                <w:sz w:val="21"/>
                <w:szCs w:val="21"/>
              </w:rPr>
              <w:t>信用政策是否变化</w:t>
            </w:r>
          </w:p>
        </w:tc>
        <w:tc>
          <w:tcPr>
            <w:tcW w:w="1560" w:type="dxa"/>
            <w:tcBorders>
              <w:top w:val="single" w:sz="6" w:space="0" w:color="010000"/>
              <w:left w:val="single" w:sz="6" w:space="0" w:color="010000"/>
              <w:bottom w:val="single" w:sz="6" w:space="0" w:color="010000"/>
              <w:right w:val="single" w:sz="6" w:space="0" w:color="010000"/>
            </w:tcBorders>
            <w:shd w:val="clear" w:color="auto" w:fill="D0CECE"/>
            <w:vAlign w:val="center"/>
          </w:tcPr>
          <w:p w14:paraId="69090209" w14:textId="77777777" w:rsidR="00CC322A" w:rsidRPr="005442C5" w:rsidRDefault="00CC322A" w:rsidP="005442C5">
            <w:pPr>
              <w:spacing w:beforeLines="0" w:before="0" w:afterLines="0" w:after="0" w:line="240" w:lineRule="auto"/>
              <w:ind w:firstLineChars="0" w:firstLine="0"/>
              <w:jc w:val="center"/>
              <w:rPr>
                <w:rFonts w:ascii="Times New Roman" w:hAnsi="Times New Roman"/>
                <w:b/>
                <w:bCs/>
                <w:sz w:val="21"/>
                <w:szCs w:val="21"/>
              </w:rPr>
            </w:pPr>
            <w:r w:rsidRPr="005442C5">
              <w:rPr>
                <w:rFonts w:ascii="Times New Roman" w:hAnsi="Times New Roman"/>
                <w:b/>
                <w:bCs/>
                <w:sz w:val="21"/>
                <w:szCs w:val="21"/>
              </w:rPr>
              <w:t>2023</w:t>
            </w:r>
            <w:r w:rsidRPr="005442C5">
              <w:rPr>
                <w:rFonts w:ascii="Times New Roman" w:hAnsi="Times New Roman"/>
                <w:b/>
                <w:bCs/>
                <w:sz w:val="21"/>
                <w:szCs w:val="21"/>
              </w:rPr>
              <w:t>年</w:t>
            </w:r>
          </w:p>
          <w:p w14:paraId="19A004A4" w14:textId="77777777" w:rsidR="00CC322A" w:rsidRPr="005442C5" w:rsidRDefault="00CC322A" w:rsidP="005442C5">
            <w:pPr>
              <w:spacing w:beforeLines="0" w:before="0" w:afterLines="0" w:after="0" w:line="240" w:lineRule="auto"/>
              <w:ind w:firstLineChars="0" w:firstLine="0"/>
              <w:jc w:val="center"/>
              <w:rPr>
                <w:rFonts w:ascii="Times New Roman" w:hAnsi="Times New Roman"/>
                <w:b/>
                <w:bCs/>
                <w:sz w:val="21"/>
                <w:szCs w:val="21"/>
              </w:rPr>
            </w:pPr>
            <w:r w:rsidRPr="005442C5">
              <w:rPr>
                <w:rFonts w:ascii="Times New Roman" w:hAnsi="Times New Roman"/>
                <w:b/>
                <w:bCs/>
                <w:sz w:val="21"/>
                <w:szCs w:val="21"/>
              </w:rPr>
              <w:t>1-9</w:t>
            </w:r>
            <w:r w:rsidRPr="005442C5">
              <w:rPr>
                <w:rFonts w:ascii="Times New Roman" w:hAnsi="Times New Roman"/>
                <w:b/>
                <w:bCs/>
                <w:sz w:val="21"/>
                <w:szCs w:val="21"/>
              </w:rPr>
              <w:t>月</w:t>
            </w:r>
          </w:p>
        </w:tc>
        <w:tc>
          <w:tcPr>
            <w:tcW w:w="1559" w:type="dxa"/>
            <w:tcBorders>
              <w:top w:val="single" w:sz="6" w:space="0" w:color="010000"/>
              <w:left w:val="single" w:sz="6" w:space="0" w:color="010000"/>
              <w:bottom w:val="single" w:sz="6" w:space="0" w:color="010000"/>
              <w:right w:val="single" w:sz="6" w:space="0" w:color="010000"/>
            </w:tcBorders>
            <w:shd w:val="clear" w:color="auto" w:fill="D0CECE"/>
            <w:vAlign w:val="center"/>
          </w:tcPr>
          <w:p w14:paraId="2ADEB43D" w14:textId="77777777" w:rsidR="00CC322A" w:rsidRPr="005442C5" w:rsidRDefault="00CC322A" w:rsidP="005442C5">
            <w:pPr>
              <w:spacing w:beforeLines="0" w:before="0" w:afterLines="0" w:after="0" w:line="240" w:lineRule="auto"/>
              <w:ind w:firstLineChars="0" w:firstLine="0"/>
              <w:jc w:val="center"/>
              <w:rPr>
                <w:rFonts w:ascii="Times New Roman" w:hAnsi="Times New Roman"/>
                <w:b/>
                <w:bCs/>
                <w:sz w:val="21"/>
                <w:szCs w:val="21"/>
              </w:rPr>
            </w:pPr>
            <w:r w:rsidRPr="005442C5">
              <w:rPr>
                <w:rFonts w:ascii="Times New Roman" w:hAnsi="Times New Roman"/>
                <w:b/>
                <w:bCs/>
                <w:sz w:val="21"/>
                <w:szCs w:val="21"/>
              </w:rPr>
              <w:t>2022</w:t>
            </w:r>
            <w:r w:rsidRPr="005442C5">
              <w:rPr>
                <w:rFonts w:ascii="Times New Roman" w:hAnsi="Times New Roman"/>
                <w:b/>
                <w:bCs/>
                <w:sz w:val="21"/>
                <w:szCs w:val="21"/>
              </w:rPr>
              <w:t>年</w:t>
            </w:r>
          </w:p>
        </w:tc>
        <w:tc>
          <w:tcPr>
            <w:tcW w:w="1559" w:type="dxa"/>
            <w:tcBorders>
              <w:top w:val="single" w:sz="6" w:space="0" w:color="010000"/>
              <w:left w:val="single" w:sz="6" w:space="0" w:color="010000"/>
              <w:bottom w:val="single" w:sz="6" w:space="0" w:color="010000"/>
              <w:right w:val="single" w:sz="6" w:space="0" w:color="010000"/>
            </w:tcBorders>
            <w:shd w:val="clear" w:color="auto" w:fill="D0CECE"/>
            <w:vAlign w:val="center"/>
          </w:tcPr>
          <w:p w14:paraId="3CB54587" w14:textId="77777777" w:rsidR="00CC322A" w:rsidRPr="005442C5" w:rsidRDefault="00CC322A" w:rsidP="005442C5">
            <w:pPr>
              <w:spacing w:beforeLines="0" w:before="0" w:afterLines="0" w:after="0" w:line="240" w:lineRule="auto"/>
              <w:ind w:firstLineChars="0" w:firstLine="0"/>
              <w:jc w:val="center"/>
              <w:rPr>
                <w:rFonts w:ascii="Times New Roman" w:hAnsi="Times New Roman"/>
                <w:b/>
                <w:bCs/>
                <w:sz w:val="21"/>
                <w:szCs w:val="21"/>
              </w:rPr>
            </w:pPr>
            <w:r w:rsidRPr="005442C5">
              <w:rPr>
                <w:rFonts w:ascii="Times New Roman" w:hAnsi="Times New Roman"/>
                <w:b/>
                <w:bCs/>
                <w:sz w:val="21"/>
                <w:szCs w:val="21"/>
              </w:rPr>
              <w:t>2021</w:t>
            </w:r>
            <w:r w:rsidRPr="005442C5">
              <w:rPr>
                <w:rFonts w:ascii="Times New Roman" w:hAnsi="Times New Roman"/>
                <w:b/>
                <w:bCs/>
                <w:sz w:val="21"/>
                <w:szCs w:val="21"/>
              </w:rPr>
              <w:t>年</w:t>
            </w:r>
          </w:p>
        </w:tc>
        <w:tc>
          <w:tcPr>
            <w:tcW w:w="1559" w:type="dxa"/>
            <w:tcBorders>
              <w:top w:val="single" w:sz="6" w:space="0" w:color="010000"/>
              <w:left w:val="single" w:sz="6" w:space="0" w:color="010000"/>
              <w:bottom w:val="single" w:sz="6" w:space="0" w:color="010000"/>
              <w:right w:val="single" w:sz="6" w:space="0" w:color="010000"/>
            </w:tcBorders>
            <w:shd w:val="clear" w:color="auto" w:fill="D0CECE"/>
            <w:vAlign w:val="center"/>
          </w:tcPr>
          <w:p w14:paraId="11391CD2" w14:textId="77777777" w:rsidR="00CC322A" w:rsidRPr="005442C5" w:rsidRDefault="00CC322A" w:rsidP="005442C5">
            <w:pPr>
              <w:spacing w:beforeLines="0" w:before="0" w:afterLines="0" w:after="0" w:line="240" w:lineRule="auto"/>
              <w:ind w:firstLineChars="0" w:firstLine="0"/>
              <w:jc w:val="center"/>
              <w:rPr>
                <w:rFonts w:ascii="Times New Roman" w:hAnsi="Times New Roman"/>
                <w:b/>
                <w:bCs/>
                <w:sz w:val="21"/>
                <w:szCs w:val="21"/>
              </w:rPr>
            </w:pPr>
            <w:r w:rsidRPr="005442C5">
              <w:rPr>
                <w:rFonts w:ascii="Times New Roman" w:hAnsi="Times New Roman"/>
                <w:b/>
                <w:bCs/>
                <w:sz w:val="21"/>
                <w:szCs w:val="21"/>
              </w:rPr>
              <w:t>2020</w:t>
            </w:r>
            <w:r w:rsidRPr="005442C5">
              <w:rPr>
                <w:rFonts w:ascii="Times New Roman" w:hAnsi="Times New Roman"/>
                <w:b/>
                <w:bCs/>
                <w:sz w:val="21"/>
                <w:szCs w:val="21"/>
              </w:rPr>
              <w:t>年</w:t>
            </w:r>
          </w:p>
        </w:tc>
      </w:tr>
      <w:tr w:rsidR="00CC322A" w:rsidRPr="007051DE" w14:paraId="6ED65E80"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1B01188D"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1</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1417A07C"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J&amp;S Valve, Inc</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9745E8E"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shd w:val="clear" w:color="auto" w:fill="FFFFFF"/>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05C5F8E"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2CA88A0"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EE84B41"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09BAA06"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r>
      <w:tr w:rsidR="00CC322A" w:rsidRPr="007051DE" w14:paraId="5DDDDD2F"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0F448CB"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2</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6994F2B"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LANSDALE INTERNATIONAL LLC</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27ED9AB"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shd w:val="clear" w:color="auto" w:fill="FFFFFF"/>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771660A"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收到提单复印件后电汇付清全款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14645D36"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收到提单复印件后电汇付清全款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9589058"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收到提单复印件后电汇付清全款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5A674DC"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收到提单复印件后电汇付清全款</w:t>
            </w:r>
          </w:p>
        </w:tc>
      </w:tr>
      <w:tr w:rsidR="00CC322A" w:rsidRPr="007051DE" w14:paraId="71504227"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37B35EF"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3</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48D0CDD7"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GIACOMINI UNIVAL TESISAT ARMATURLERI SAN.VE TIC.LTD.STI.</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D759DE8"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43776DD"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150</w:t>
            </w:r>
            <w:r w:rsidRPr="005442C5">
              <w:rPr>
                <w:rFonts w:ascii="Times New Roman" w:hAnsi="Times New Roman"/>
                <w:sz w:val="21"/>
                <w:szCs w:val="21"/>
              </w:rPr>
              <w:t>天内信用证付清全款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ED7F539"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150</w:t>
            </w:r>
            <w:r w:rsidRPr="005442C5">
              <w:rPr>
                <w:rFonts w:ascii="Times New Roman" w:hAnsi="Times New Roman"/>
                <w:sz w:val="21"/>
                <w:szCs w:val="21"/>
              </w:rPr>
              <w:t>天内信用证付清全款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DE745C8"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150</w:t>
            </w:r>
            <w:r w:rsidRPr="005442C5">
              <w:rPr>
                <w:rFonts w:ascii="Times New Roman" w:hAnsi="Times New Roman"/>
                <w:sz w:val="21"/>
                <w:szCs w:val="21"/>
              </w:rPr>
              <w:t>天内信用证付清全款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C6CB45D"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150</w:t>
            </w:r>
            <w:r w:rsidRPr="005442C5">
              <w:rPr>
                <w:rFonts w:ascii="Times New Roman" w:hAnsi="Times New Roman"/>
                <w:sz w:val="21"/>
                <w:szCs w:val="21"/>
              </w:rPr>
              <w:t>天内信用证付清全款</w:t>
            </w:r>
          </w:p>
        </w:tc>
      </w:tr>
      <w:tr w:rsidR="00CC322A" w:rsidRPr="007051DE" w14:paraId="4AB5AB83"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F06C170"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4</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137B57D"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LICHFIELD FIRE AND SAFETY EQUIPMENT FZE</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413A410B"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2DE2B85"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天内信用证付清全款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0387611"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天内信用证付清全款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116419F"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天内信用证付清全款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DE02343"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天内信用证付清全款</w:t>
            </w:r>
          </w:p>
        </w:tc>
      </w:tr>
      <w:tr w:rsidR="0077527A" w:rsidRPr="007051DE" w14:paraId="3AF2299C" w14:textId="77777777" w:rsidTr="008C4EDC">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681A944" w14:textId="77777777" w:rsidR="0077527A" w:rsidRPr="005442C5" w:rsidRDefault="0077527A" w:rsidP="0077527A">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5</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7476607" w14:textId="77777777" w:rsidR="0077527A" w:rsidRPr="005442C5" w:rsidRDefault="0077527A" w:rsidP="0077527A">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REECE AUSTRALIA PTY LTD</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921E997" w14:textId="77777777" w:rsidR="0077527A" w:rsidRPr="005442C5" w:rsidRDefault="0077527A" w:rsidP="0077527A">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shd w:val="clear" w:color="auto" w:fill="FFFFFF"/>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50B37E6" w14:textId="77777777" w:rsidR="0077527A" w:rsidRPr="0077527A" w:rsidRDefault="0077527A" w:rsidP="0077527A">
            <w:pPr>
              <w:spacing w:beforeLines="0" w:before="0" w:afterLines="0" w:after="0" w:line="240" w:lineRule="auto"/>
              <w:ind w:firstLineChars="0" w:firstLine="0"/>
              <w:rPr>
                <w:rFonts w:ascii="Times New Roman" w:hAnsi="Times New Roman"/>
                <w:sz w:val="21"/>
                <w:szCs w:val="21"/>
                <w:shd w:val="clear" w:color="auto" w:fill="FFFFFF"/>
              </w:rPr>
            </w:pPr>
            <w:r w:rsidRPr="008C4EDC">
              <w:rPr>
                <w:rFonts w:ascii="Times New Roman" w:hAnsi="Times New Roman"/>
                <w:sz w:val="21"/>
                <w:szCs w:val="21"/>
              </w:rPr>
              <w:t>提单日后</w:t>
            </w:r>
            <w:r w:rsidRPr="008C4EDC">
              <w:rPr>
                <w:rFonts w:ascii="Times New Roman" w:hAnsi="Times New Roman"/>
                <w:sz w:val="21"/>
                <w:szCs w:val="21"/>
              </w:rPr>
              <w:t>30~90</w:t>
            </w:r>
            <w:r w:rsidRPr="008C4EDC">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tcPr>
          <w:p w14:paraId="3A6C37B7" w14:textId="77777777" w:rsidR="0077527A" w:rsidRPr="0077527A" w:rsidRDefault="0077527A" w:rsidP="0077527A">
            <w:pPr>
              <w:spacing w:beforeLines="0" w:before="0" w:afterLines="0" w:after="0" w:line="240" w:lineRule="auto"/>
              <w:ind w:firstLineChars="0" w:firstLine="0"/>
              <w:rPr>
                <w:rFonts w:ascii="Times New Roman" w:hAnsi="Times New Roman"/>
                <w:sz w:val="21"/>
                <w:szCs w:val="21"/>
                <w:shd w:val="clear" w:color="auto" w:fill="FFFFFF"/>
              </w:rPr>
            </w:pPr>
            <w:r w:rsidRPr="008C4EDC">
              <w:rPr>
                <w:rFonts w:ascii="Times New Roman" w:hAnsi="Times New Roman"/>
                <w:sz w:val="21"/>
                <w:szCs w:val="21"/>
              </w:rPr>
              <w:t>提单日后</w:t>
            </w:r>
            <w:r w:rsidRPr="008C4EDC">
              <w:rPr>
                <w:rFonts w:ascii="Times New Roman" w:hAnsi="Times New Roman"/>
                <w:sz w:val="21"/>
                <w:szCs w:val="21"/>
              </w:rPr>
              <w:t>30~90</w:t>
            </w:r>
            <w:r w:rsidRPr="008C4EDC">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tcPr>
          <w:p w14:paraId="64A2340E" w14:textId="77777777" w:rsidR="0077527A" w:rsidRPr="0077527A" w:rsidRDefault="0077527A" w:rsidP="0077527A">
            <w:pPr>
              <w:spacing w:beforeLines="0" w:before="0" w:afterLines="0" w:after="0" w:line="240" w:lineRule="auto"/>
              <w:ind w:firstLineChars="0" w:firstLine="0"/>
              <w:rPr>
                <w:rFonts w:ascii="Times New Roman" w:hAnsi="Times New Roman"/>
                <w:sz w:val="21"/>
                <w:szCs w:val="21"/>
                <w:shd w:val="clear" w:color="auto" w:fill="FFFFFF"/>
              </w:rPr>
            </w:pPr>
            <w:r w:rsidRPr="008C4EDC">
              <w:rPr>
                <w:rFonts w:ascii="Times New Roman" w:hAnsi="Times New Roman"/>
                <w:sz w:val="21"/>
                <w:szCs w:val="21"/>
              </w:rPr>
              <w:t>提单日后</w:t>
            </w:r>
            <w:r w:rsidRPr="008C4EDC">
              <w:rPr>
                <w:rFonts w:ascii="Times New Roman" w:hAnsi="Times New Roman"/>
                <w:sz w:val="21"/>
                <w:szCs w:val="21"/>
              </w:rPr>
              <w:t>30~90</w:t>
            </w:r>
            <w:r w:rsidRPr="008C4EDC">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tcPr>
          <w:p w14:paraId="3DB3EF5A" w14:textId="77777777" w:rsidR="0077527A" w:rsidRPr="0077527A" w:rsidRDefault="0077527A" w:rsidP="0077527A">
            <w:pPr>
              <w:spacing w:beforeLines="0" w:before="0" w:afterLines="0" w:after="0" w:line="240" w:lineRule="auto"/>
              <w:ind w:firstLineChars="0" w:firstLine="0"/>
              <w:rPr>
                <w:rFonts w:ascii="Times New Roman" w:hAnsi="Times New Roman"/>
                <w:sz w:val="21"/>
                <w:szCs w:val="21"/>
                <w:shd w:val="clear" w:color="auto" w:fill="FFFFFF"/>
              </w:rPr>
            </w:pPr>
            <w:r w:rsidRPr="008C4EDC">
              <w:rPr>
                <w:rFonts w:ascii="Times New Roman" w:hAnsi="Times New Roman"/>
                <w:sz w:val="21"/>
                <w:szCs w:val="21"/>
              </w:rPr>
              <w:t>提单日后</w:t>
            </w:r>
            <w:r w:rsidRPr="008C4EDC">
              <w:rPr>
                <w:rFonts w:ascii="Times New Roman" w:hAnsi="Times New Roman"/>
                <w:sz w:val="21"/>
                <w:szCs w:val="21"/>
              </w:rPr>
              <w:t>30~90</w:t>
            </w:r>
            <w:r w:rsidRPr="008C4EDC">
              <w:rPr>
                <w:rFonts w:ascii="Times New Roman" w:hAnsi="Times New Roman"/>
                <w:sz w:val="21"/>
                <w:szCs w:val="21"/>
              </w:rPr>
              <w:t>天内电汇付清全款</w:t>
            </w:r>
          </w:p>
        </w:tc>
      </w:tr>
      <w:tr w:rsidR="00CC322A" w:rsidRPr="007051DE" w14:paraId="0E4036DD"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7331E4F"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6</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F1EB854"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Victaulic Europe bvba – Belgium</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89263A1"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304EDBC"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F20FB64"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F593113"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BBC9F82"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r>
      <w:tr w:rsidR="00CC322A" w:rsidRPr="007051DE" w14:paraId="18D587DF"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08580D8"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7</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CACC007"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Matco-Norca</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A4F930C"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9C930A3"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收到提单复印件后电汇付清全款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165BD208"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收到提单复印件后电汇付清全款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B953733"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收到提单复印件后电汇付清全款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6738582"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收到提单复印件后电汇付清全款</w:t>
            </w:r>
          </w:p>
        </w:tc>
      </w:tr>
      <w:tr w:rsidR="00CC322A" w:rsidRPr="007051DE" w14:paraId="41378C55"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2CA3FF7"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8</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404CB49"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FIRE FIGHTING EQUIPMENTS SLU</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6F78038"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是</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4FFEAFDF"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电汇</w:t>
            </w:r>
            <w:r w:rsidRPr="005442C5">
              <w:rPr>
                <w:rFonts w:ascii="Times New Roman" w:hAnsi="Times New Roman"/>
                <w:sz w:val="21"/>
                <w:szCs w:val="21"/>
              </w:rPr>
              <w:t>30%</w:t>
            </w:r>
            <w:r w:rsidRPr="005442C5">
              <w:rPr>
                <w:rFonts w:ascii="Times New Roman" w:hAnsi="Times New Roman"/>
                <w:sz w:val="21"/>
                <w:szCs w:val="21"/>
              </w:rPr>
              <w:t>下订单时预付，</w:t>
            </w:r>
            <w:r w:rsidRPr="005442C5">
              <w:rPr>
                <w:rFonts w:ascii="Times New Roman" w:hAnsi="Times New Roman"/>
                <w:sz w:val="21"/>
                <w:szCs w:val="21"/>
              </w:rPr>
              <w:t>70%</w:t>
            </w:r>
            <w:r w:rsidRPr="005442C5">
              <w:rPr>
                <w:rFonts w:ascii="Times New Roman" w:hAnsi="Times New Roman"/>
                <w:sz w:val="21"/>
                <w:szCs w:val="21"/>
              </w:rPr>
              <w:t>到目的港前支付</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8ADDB72"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电汇</w:t>
            </w:r>
            <w:r w:rsidRPr="005442C5">
              <w:rPr>
                <w:rFonts w:ascii="Times New Roman" w:hAnsi="Times New Roman"/>
                <w:sz w:val="21"/>
                <w:szCs w:val="21"/>
              </w:rPr>
              <w:t>20%</w:t>
            </w:r>
            <w:r w:rsidRPr="005442C5">
              <w:rPr>
                <w:rFonts w:ascii="Times New Roman" w:hAnsi="Times New Roman"/>
                <w:sz w:val="21"/>
                <w:szCs w:val="21"/>
              </w:rPr>
              <w:t>下订单时预付，</w:t>
            </w:r>
            <w:r w:rsidRPr="005442C5">
              <w:rPr>
                <w:rFonts w:ascii="Times New Roman" w:hAnsi="Times New Roman"/>
                <w:sz w:val="21"/>
                <w:szCs w:val="21"/>
              </w:rPr>
              <w:t>80%</w:t>
            </w:r>
            <w:r w:rsidRPr="005442C5">
              <w:rPr>
                <w:rFonts w:ascii="Times New Roman" w:hAnsi="Times New Roman"/>
                <w:sz w:val="21"/>
                <w:szCs w:val="21"/>
              </w:rPr>
              <w:t>发货前支付</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40C891A9"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电汇</w:t>
            </w:r>
            <w:r w:rsidRPr="005442C5">
              <w:rPr>
                <w:rFonts w:ascii="Times New Roman" w:hAnsi="Times New Roman"/>
                <w:sz w:val="21"/>
                <w:szCs w:val="21"/>
              </w:rPr>
              <w:t>20%</w:t>
            </w:r>
            <w:r w:rsidRPr="005442C5">
              <w:rPr>
                <w:rFonts w:ascii="Times New Roman" w:hAnsi="Times New Roman"/>
                <w:sz w:val="21"/>
                <w:szCs w:val="21"/>
              </w:rPr>
              <w:t>下订单时预付，</w:t>
            </w:r>
            <w:r w:rsidRPr="005442C5">
              <w:rPr>
                <w:rFonts w:ascii="Times New Roman" w:hAnsi="Times New Roman"/>
                <w:sz w:val="21"/>
                <w:szCs w:val="21"/>
              </w:rPr>
              <w:t>80%</w:t>
            </w:r>
            <w:r w:rsidRPr="005442C5">
              <w:rPr>
                <w:rFonts w:ascii="Times New Roman" w:hAnsi="Times New Roman"/>
                <w:sz w:val="21"/>
                <w:szCs w:val="21"/>
              </w:rPr>
              <w:t>发货前支付</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988D3F0"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电汇</w:t>
            </w:r>
            <w:r w:rsidRPr="005442C5">
              <w:rPr>
                <w:rFonts w:ascii="Times New Roman" w:hAnsi="Times New Roman"/>
                <w:sz w:val="21"/>
                <w:szCs w:val="21"/>
              </w:rPr>
              <w:t>20%</w:t>
            </w:r>
            <w:r w:rsidRPr="005442C5">
              <w:rPr>
                <w:rFonts w:ascii="Times New Roman" w:hAnsi="Times New Roman"/>
                <w:sz w:val="21"/>
                <w:szCs w:val="21"/>
              </w:rPr>
              <w:t>下订单时预付，</w:t>
            </w:r>
            <w:r w:rsidRPr="005442C5">
              <w:rPr>
                <w:rFonts w:ascii="Times New Roman" w:hAnsi="Times New Roman"/>
                <w:sz w:val="21"/>
                <w:szCs w:val="21"/>
              </w:rPr>
              <w:t>80%</w:t>
            </w:r>
            <w:r w:rsidRPr="005442C5">
              <w:rPr>
                <w:rFonts w:ascii="Times New Roman" w:hAnsi="Times New Roman"/>
                <w:sz w:val="21"/>
                <w:szCs w:val="21"/>
              </w:rPr>
              <w:t>发货前支付</w:t>
            </w:r>
          </w:p>
        </w:tc>
      </w:tr>
      <w:tr w:rsidR="00CC322A" w:rsidRPr="007051DE" w14:paraId="1CF96C0A"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B0F732C"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9</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AC20DBD"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Mercatura-GS Hungary Korlatolt Felelossegu Tarsasag</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195F2B0"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shd w:val="clear" w:color="auto" w:fill="FFFFFF"/>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08C1A69"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订单确认后电汇支付</w:t>
            </w:r>
            <w:r w:rsidRPr="005442C5">
              <w:rPr>
                <w:rFonts w:ascii="Times New Roman" w:hAnsi="Times New Roman"/>
                <w:sz w:val="21"/>
                <w:szCs w:val="21"/>
              </w:rPr>
              <w:t>30%</w:t>
            </w:r>
            <w:r w:rsidRPr="005442C5">
              <w:rPr>
                <w:rFonts w:ascii="Times New Roman" w:hAnsi="Times New Roman"/>
                <w:sz w:val="21"/>
                <w:szCs w:val="21"/>
              </w:rPr>
              <w:t>，收到货物并检验入库后</w:t>
            </w:r>
            <w:r w:rsidRPr="005442C5">
              <w:rPr>
                <w:rFonts w:ascii="Times New Roman" w:hAnsi="Times New Roman"/>
                <w:sz w:val="21"/>
                <w:szCs w:val="21"/>
              </w:rPr>
              <w:t>10</w:t>
            </w:r>
            <w:r w:rsidRPr="005442C5">
              <w:rPr>
                <w:rFonts w:ascii="Times New Roman" w:hAnsi="Times New Roman"/>
                <w:sz w:val="21"/>
                <w:szCs w:val="21"/>
              </w:rPr>
              <w:t>天支付</w:t>
            </w:r>
            <w:r w:rsidRPr="005442C5">
              <w:rPr>
                <w:rFonts w:ascii="Times New Roman" w:hAnsi="Times New Roman"/>
                <w:sz w:val="21"/>
                <w:szCs w:val="21"/>
              </w:rPr>
              <w:t>70%</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9DE0B21"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订单确认后电汇支付</w:t>
            </w:r>
            <w:r w:rsidRPr="005442C5">
              <w:rPr>
                <w:rFonts w:ascii="Times New Roman" w:hAnsi="Times New Roman"/>
                <w:sz w:val="21"/>
                <w:szCs w:val="21"/>
              </w:rPr>
              <w:t>30%</w:t>
            </w:r>
            <w:r w:rsidRPr="005442C5">
              <w:rPr>
                <w:rFonts w:ascii="Times New Roman" w:hAnsi="Times New Roman"/>
                <w:sz w:val="21"/>
                <w:szCs w:val="21"/>
              </w:rPr>
              <w:t>，收到货物并检验入库后</w:t>
            </w:r>
            <w:r w:rsidRPr="005442C5">
              <w:rPr>
                <w:rFonts w:ascii="Times New Roman" w:hAnsi="Times New Roman"/>
                <w:sz w:val="21"/>
                <w:szCs w:val="21"/>
              </w:rPr>
              <w:t>10</w:t>
            </w:r>
            <w:r w:rsidRPr="005442C5">
              <w:rPr>
                <w:rFonts w:ascii="Times New Roman" w:hAnsi="Times New Roman"/>
                <w:sz w:val="21"/>
                <w:szCs w:val="21"/>
              </w:rPr>
              <w:t>天支付</w:t>
            </w:r>
            <w:r w:rsidRPr="005442C5">
              <w:rPr>
                <w:rFonts w:ascii="Times New Roman" w:hAnsi="Times New Roman"/>
                <w:sz w:val="21"/>
                <w:szCs w:val="21"/>
              </w:rPr>
              <w:t>70%</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65DDAC9"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订单确认后电汇支付</w:t>
            </w:r>
            <w:r w:rsidRPr="005442C5">
              <w:rPr>
                <w:rFonts w:ascii="Times New Roman" w:hAnsi="Times New Roman"/>
                <w:sz w:val="21"/>
                <w:szCs w:val="21"/>
              </w:rPr>
              <w:t>30%</w:t>
            </w:r>
            <w:r w:rsidRPr="005442C5">
              <w:rPr>
                <w:rFonts w:ascii="Times New Roman" w:hAnsi="Times New Roman"/>
                <w:sz w:val="21"/>
                <w:szCs w:val="21"/>
              </w:rPr>
              <w:t>，收到货物并检验入库后</w:t>
            </w:r>
            <w:r w:rsidRPr="005442C5">
              <w:rPr>
                <w:rFonts w:ascii="Times New Roman" w:hAnsi="Times New Roman"/>
                <w:sz w:val="21"/>
                <w:szCs w:val="21"/>
              </w:rPr>
              <w:t>10</w:t>
            </w:r>
            <w:r w:rsidRPr="005442C5">
              <w:rPr>
                <w:rFonts w:ascii="Times New Roman" w:hAnsi="Times New Roman"/>
                <w:sz w:val="21"/>
                <w:szCs w:val="21"/>
              </w:rPr>
              <w:t>天支付</w:t>
            </w:r>
            <w:r w:rsidRPr="005442C5">
              <w:rPr>
                <w:rFonts w:ascii="Times New Roman" w:hAnsi="Times New Roman"/>
                <w:sz w:val="21"/>
                <w:szCs w:val="21"/>
              </w:rPr>
              <w:t>70%</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99F3D24"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订单确认后电汇支付</w:t>
            </w:r>
            <w:r w:rsidRPr="005442C5">
              <w:rPr>
                <w:rFonts w:ascii="Times New Roman" w:hAnsi="Times New Roman"/>
                <w:sz w:val="21"/>
                <w:szCs w:val="21"/>
              </w:rPr>
              <w:t>30%</w:t>
            </w:r>
            <w:r w:rsidRPr="005442C5">
              <w:rPr>
                <w:rFonts w:ascii="Times New Roman" w:hAnsi="Times New Roman"/>
                <w:sz w:val="21"/>
                <w:szCs w:val="21"/>
              </w:rPr>
              <w:t>，收到货物并检验入库后</w:t>
            </w:r>
            <w:r w:rsidRPr="005442C5">
              <w:rPr>
                <w:rFonts w:ascii="Times New Roman" w:hAnsi="Times New Roman"/>
                <w:sz w:val="21"/>
                <w:szCs w:val="21"/>
              </w:rPr>
              <w:t>10</w:t>
            </w:r>
            <w:r w:rsidRPr="005442C5">
              <w:rPr>
                <w:rFonts w:ascii="Times New Roman" w:hAnsi="Times New Roman"/>
                <w:sz w:val="21"/>
                <w:szCs w:val="21"/>
              </w:rPr>
              <w:t>天支付</w:t>
            </w:r>
            <w:r w:rsidRPr="005442C5">
              <w:rPr>
                <w:rFonts w:ascii="Times New Roman" w:hAnsi="Times New Roman"/>
                <w:sz w:val="21"/>
                <w:szCs w:val="21"/>
              </w:rPr>
              <w:t>70%</w:t>
            </w:r>
          </w:p>
        </w:tc>
      </w:tr>
      <w:tr w:rsidR="00CC322A" w:rsidRPr="007051DE" w14:paraId="683BC619"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7B28CEF"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10</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7D56360"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COMMERCIALE TUBI ACCIAIO S.p.A</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0521658"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82FF7DA"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订单确认后电汇支付</w:t>
            </w:r>
            <w:r w:rsidRPr="005442C5">
              <w:rPr>
                <w:rFonts w:ascii="Times New Roman" w:hAnsi="Times New Roman"/>
                <w:sz w:val="21"/>
                <w:szCs w:val="21"/>
              </w:rPr>
              <w:t>30%</w:t>
            </w:r>
            <w:r w:rsidRPr="005442C5">
              <w:rPr>
                <w:rFonts w:ascii="Times New Roman" w:hAnsi="Times New Roman"/>
                <w:sz w:val="21"/>
                <w:szCs w:val="21"/>
              </w:rPr>
              <w:t>，</w:t>
            </w:r>
            <w:r w:rsidRPr="005442C5">
              <w:rPr>
                <w:rFonts w:ascii="Times New Roman" w:hAnsi="Times New Roman"/>
                <w:sz w:val="21"/>
                <w:szCs w:val="21"/>
              </w:rPr>
              <w:t xml:space="preserve"> </w:t>
            </w:r>
            <w:r w:rsidRPr="005442C5">
              <w:rPr>
                <w:rFonts w:ascii="Times New Roman" w:hAnsi="Times New Roman"/>
                <w:sz w:val="21"/>
                <w:szCs w:val="21"/>
              </w:rPr>
              <w:t>其余</w:t>
            </w:r>
            <w:r w:rsidRPr="005442C5">
              <w:rPr>
                <w:rFonts w:ascii="Times New Roman" w:hAnsi="Times New Roman"/>
                <w:sz w:val="21"/>
                <w:szCs w:val="21"/>
              </w:rPr>
              <w:t>70%</w:t>
            </w:r>
            <w:r w:rsidRPr="005442C5">
              <w:rPr>
                <w:rFonts w:ascii="Times New Roman" w:hAnsi="Times New Roman"/>
                <w:sz w:val="21"/>
                <w:szCs w:val="21"/>
              </w:rPr>
              <w:t>在装船前支付</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3441D6B"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订单确认后电汇支付</w:t>
            </w:r>
            <w:r w:rsidRPr="005442C5">
              <w:rPr>
                <w:rFonts w:ascii="Times New Roman" w:hAnsi="Times New Roman"/>
                <w:sz w:val="21"/>
                <w:szCs w:val="21"/>
              </w:rPr>
              <w:t>30%</w:t>
            </w:r>
            <w:r w:rsidRPr="005442C5">
              <w:rPr>
                <w:rFonts w:ascii="Times New Roman" w:hAnsi="Times New Roman"/>
                <w:sz w:val="21"/>
                <w:szCs w:val="21"/>
              </w:rPr>
              <w:t>，</w:t>
            </w:r>
            <w:r w:rsidRPr="005442C5">
              <w:rPr>
                <w:rFonts w:ascii="Times New Roman" w:hAnsi="Times New Roman"/>
                <w:sz w:val="21"/>
                <w:szCs w:val="21"/>
              </w:rPr>
              <w:t xml:space="preserve"> </w:t>
            </w:r>
            <w:r w:rsidRPr="005442C5">
              <w:rPr>
                <w:rFonts w:ascii="Times New Roman" w:hAnsi="Times New Roman"/>
                <w:sz w:val="21"/>
                <w:szCs w:val="21"/>
              </w:rPr>
              <w:t>其余</w:t>
            </w:r>
            <w:r w:rsidRPr="005442C5">
              <w:rPr>
                <w:rFonts w:ascii="Times New Roman" w:hAnsi="Times New Roman"/>
                <w:sz w:val="21"/>
                <w:szCs w:val="21"/>
              </w:rPr>
              <w:t>70%</w:t>
            </w:r>
            <w:r w:rsidRPr="005442C5">
              <w:rPr>
                <w:rFonts w:ascii="Times New Roman" w:hAnsi="Times New Roman"/>
                <w:sz w:val="21"/>
                <w:szCs w:val="21"/>
              </w:rPr>
              <w:t>在装船前支付</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72966B0"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订单确认后电汇支付</w:t>
            </w:r>
            <w:r w:rsidRPr="005442C5">
              <w:rPr>
                <w:rFonts w:ascii="Times New Roman" w:hAnsi="Times New Roman"/>
                <w:sz w:val="21"/>
                <w:szCs w:val="21"/>
              </w:rPr>
              <w:t>30%</w:t>
            </w:r>
            <w:r w:rsidRPr="005442C5">
              <w:rPr>
                <w:rFonts w:ascii="Times New Roman" w:hAnsi="Times New Roman"/>
                <w:sz w:val="21"/>
                <w:szCs w:val="21"/>
              </w:rPr>
              <w:t>，</w:t>
            </w:r>
            <w:r w:rsidRPr="005442C5">
              <w:rPr>
                <w:rFonts w:ascii="Times New Roman" w:hAnsi="Times New Roman"/>
                <w:sz w:val="21"/>
                <w:szCs w:val="21"/>
              </w:rPr>
              <w:t xml:space="preserve"> </w:t>
            </w:r>
            <w:r w:rsidRPr="005442C5">
              <w:rPr>
                <w:rFonts w:ascii="Times New Roman" w:hAnsi="Times New Roman"/>
                <w:sz w:val="21"/>
                <w:szCs w:val="21"/>
              </w:rPr>
              <w:t>其余</w:t>
            </w:r>
            <w:r w:rsidRPr="005442C5">
              <w:rPr>
                <w:rFonts w:ascii="Times New Roman" w:hAnsi="Times New Roman"/>
                <w:sz w:val="21"/>
                <w:szCs w:val="21"/>
              </w:rPr>
              <w:t>70%</w:t>
            </w:r>
            <w:r w:rsidRPr="005442C5">
              <w:rPr>
                <w:rFonts w:ascii="Times New Roman" w:hAnsi="Times New Roman"/>
                <w:sz w:val="21"/>
                <w:szCs w:val="21"/>
              </w:rPr>
              <w:t>在装船前支付</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A555F74"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订单确认后电汇支付</w:t>
            </w:r>
            <w:r w:rsidRPr="005442C5">
              <w:rPr>
                <w:rFonts w:ascii="Times New Roman" w:hAnsi="Times New Roman"/>
                <w:sz w:val="21"/>
                <w:szCs w:val="21"/>
              </w:rPr>
              <w:t>30%</w:t>
            </w:r>
            <w:r w:rsidRPr="005442C5">
              <w:rPr>
                <w:rFonts w:ascii="Times New Roman" w:hAnsi="Times New Roman"/>
                <w:sz w:val="21"/>
                <w:szCs w:val="21"/>
              </w:rPr>
              <w:t>，</w:t>
            </w:r>
            <w:r w:rsidRPr="005442C5">
              <w:rPr>
                <w:rFonts w:ascii="Times New Roman" w:hAnsi="Times New Roman"/>
                <w:sz w:val="21"/>
                <w:szCs w:val="21"/>
              </w:rPr>
              <w:t xml:space="preserve"> </w:t>
            </w:r>
            <w:r w:rsidRPr="005442C5">
              <w:rPr>
                <w:rFonts w:ascii="Times New Roman" w:hAnsi="Times New Roman"/>
                <w:sz w:val="21"/>
                <w:szCs w:val="21"/>
              </w:rPr>
              <w:t>其余</w:t>
            </w:r>
            <w:r w:rsidRPr="005442C5">
              <w:rPr>
                <w:rFonts w:ascii="Times New Roman" w:hAnsi="Times New Roman"/>
                <w:sz w:val="21"/>
                <w:szCs w:val="21"/>
              </w:rPr>
              <w:t>70%</w:t>
            </w:r>
            <w:r w:rsidRPr="005442C5">
              <w:rPr>
                <w:rFonts w:ascii="Times New Roman" w:hAnsi="Times New Roman"/>
                <w:sz w:val="21"/>
                <w:szCs w:val="21"/>
              </w:rPr>
              <w:t>在装船前支付</w:t>
            </w:r>
          </w:p>
        </w:tc>
      </w:tr>
      <w:tr w:rsidR="00CC322A" w:rsidRPr="007051DE" w14:paraId="40168F7B"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82B8891"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11</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19231A90"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SOUTHERN VALVE &amp; FITTING USA,INCO.</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2BED1C3"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1D8222AC"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478EBA4"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4DF4AD2C"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EA44C79"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r>
      <w:tr w:rsidR="00CC322A" w:rsidRPr="007051DE" w14:paraId="35F8B82A"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C8B2D23"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12</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424F6E2F"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PACIFIC INDUSTRIAL PRODUCTS SUPPLIES INC.</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C42CC13"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99BEE4A"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预付</w:t>
            </w:r>
            <w:r w:rsidRPr="005442C5">
              <w:rPr>
                <w:rFonts w:ascii="Times New Roman" w:hAnsi="Times New Roman"/>
                <w:sz w:val="21"/>
                <w:szCs w:val="21"/>
              </w:rPr>
              <w:t>20%</w:t>
            </w: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天电汇支付</w:t>
            </w:r>
            <w:r w:rsidRPr="005442C5">
              <w:rPr>
                <w:rFonts w:ascii="Times New Roman" w:hAnsi="Times New Roman"/>
                <w:sz w:val="21"/>
                <w:szCs w:val="21"/>
              </w:rPr>
              <w:t>80%</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E114A3F"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预付</w:t>
            </w:r>
            <w:r w:rsidRPr="005442C5">
              <w:rPr>
                <w:rFonts w:ascii="Times New Roman" w:hAnsi="Times New Roman"/>
                <w:sz w:val="21"/>
                <w:szCs w:val="21"/>
              </w:rPr>
              <w:t>20%</w:t>
            </w: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天电汇支付</w:t>
            </w:r>
            <w:r w:rsidRPr="005442C5">
              <w:rPr>
                <w:rFonts w:ascii="Times New Roman" w:hAnsi="Times New Roman"/>
                <w:sz w:val="21"/>
                <w:szCs w:val="21"/>
              </w:rPr>
              <w:t>80%</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85A4A06"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预付</w:t>
            </w:r>
            <w:r w:rsidRPr="005442C5">
              <w:rPr>
                <w:rFonts w:ascii="Times New Roman" w:hAnsi="Times New Roman"/>
                <w:sz w:val="21"/>
                <w:szCs w:val="21"/>
              </w:rPr>
              <w:t>20%</w:t>
            </w: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天电汇支付</w:t>
            </w:r>
            <w:r w:rsidRPr="005442C5">
              <w:rPr>
                <w:rFonts w:ascii="Times New Roman" w:hAnsi="Times New Roman"/>
                <w:sz w:val="21"/>
                <w:szCs w:val="21"/>
              </w:rPr>
              <w:t>80%</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1AD69AAE"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预付</w:t>
            </w:r>
            <w:r w:rsidRPr="005442C5">
              <w:rPr>
                <w:rFonts w:ascii="Times New Roman" w:hAnsi="Times New Roman"/>
                <w:sz w:val="21"/>
                <w:szCs w:val="21"/>
              </w:rPr>
              <w:t>20%</w:t>
            </w: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天电汇支付</w:t>
            </w:r>
            <w:r w:rsidRPr="005442C5">
              <w:rPr>
                <w:rFonts w:ascii="Times New Roman" w:hAnsi="Times New Roman"/>
                <w:sz w:val="21"/>
                <w:szCs w:val="21"/>
              </w:rPr>
              <w:t>80%</w:t>
            </w:r>
          </w:p>
        </w:tc>
      </w:tr>
      <w:tr w:rsidR="00CC322A" w:rsidRPr="007051DE" w14:paraId="19639AD4"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1BDEA84"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13</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DDA99D4"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BAVARIA EGYPT S.A.E</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164C259F"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24C02CE"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天内信用证付清全款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9145B99"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天内信用证付清全款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D0AD05A"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天内信用证付清全款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2E80063"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天内信用证付清全款</w:t>
            </w:r>
          </w:p>
        </w:tc>
      </w:tr>
      <w:tr w:rsidR="00CC322A" w:rsidRPr="007051DE" w14:paraId="0D981461"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1D3767B9"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14</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192F13B"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DANGELO COMPANY</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D3D5A26"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5B82512"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472DF09"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5E31849"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4279551"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r>
      <w:tr w:rsidR="00CC322A" w:rsidRPr="007051DE" w14:paraId="05FCAFE1"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1E527973"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15</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D09EAB2"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IMI Hydronic Engineering International SA(Switzerland)</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07D9829"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4D435381"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AE76A4F"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AE62880"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AAC7B23"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r>
      <w:tr w:rsidR="00CC322A" w:rsidRPr="007051DE" w14:paraId="7D62BCD1"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49F40D20"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16</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2A85BEB"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PT.GENAIR NUSAINDO</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FDB114C"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12338307"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收到提单后电汇支付</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D36651B"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收到提单后电汇支付</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AD1942E"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收到提单后电汇支付</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52E543F"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收到提单后电汇支付</w:t>
            </w:r>
          </w:p>
        </w:tc>
      </w:tr>
      <w:tr w:rsidR="00CC322A" w:rsidRPr="007051DE" w14:paraId="0710EA63"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4FF28627"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17</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611531F"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Mendelson Infrastructures &amp; Industries Ltd</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1AE94A6"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1894341"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订单确认后电汇支付</w:t>
            </w:r>
            <w:r w:rsidRPr="005442C5">
              <w:rPr>
                <w:rFonts w:ascii="Times New Roman" w:hAnsi="Times New Roman"/>
                <w:sz w:val="21"/>
                <w:szCs w:val="21"/>
              </w:rPr>
              <w:t>30%</w:t>
            </w:r>
            <w:r w:rsidRPr="005442C5">
              <w:rPr>
                <w:rFonts w:ascii="Times New Roman" w:hAnsi="Times New Roman"/>
                <w:sz w:val="21"/>
                <w:szCs w:val="21"/>
              </w:rPr>
              <w:t>，</w:t>
            </w:r>
            <w:r w:rsidRPr="005442C5">
              <w:rPr>
                <w:rFonts w:ascii="Times New Roman" w:hAnsi="Times New Roman"/>
                <w:sz w:val="21"/>
                <w:szCs w:val="21"/>
              </w:rPr>
              <w:t xml:space="preserve"> </w:t>
            </w:r>
            <w:r w:rsidRPr="005442C5">
              <w:rPr>
                <w:rFonts w:ascii="Times New Roman" w:hAnsi="Times New Roman"/>
                <w:sz w:val="21"/>
                <w:szCs w:val="21"/>
              </w:rPr>
              <w:t>提单日后支付</w:t>
            </w:r>
            <w:r w:rsidRPr="005442C5">
              <w:rPr>
                <w:rFonts w:ascii="Times New Roman" w:hAnsi="Times New Roman"/>
                <w:sz w:val="21"/>
                <w:szCs w:val="21"/>
              </w:rPr>
              <w:t>70%</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9E5C8C4"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订单确认后电汇支付</w:t>
            </w:r>
            <w:r w:rsidRPr="005442C5">
              <w:rPr>
                <w:rFonts w:ascii="Times New Roman" w:hAnsi="Times New Roman"/>
                <w:sz w:val="21"/>
                <w:szCs w:val="21"/>
              </w:rPr>
              <w:t>30%</w:t>
            </w:r>
            <w:r w:rsidRPr="005442C5">
              <w:rPr>
                <w:rFonts w:ascii="Times New Roman" w:hAnsi="Times New Roman"/>
                <w:sz w:val="21"/>
                <w:szCs w:val="21"/>
              </w:rPr>
              <w:t>，</w:t>
            </w:r>
            <w:r w:rsidRPr="005442C5">
              <w:rPr>
                <w:rFonts w:ascii="Times New Roman" w:hAnsi="Times New Roman"/>
                <w:sz w:val="21"/>
                <w:szCs w:val="21"/>
              </w:rPr>
              <w:t xml:space="preserve"> </w:t>
            </w:r>
            <w:r w:rsidRPr="005442C5">
              <w:rPr>
                <w:rFonts w:ascii="Times New Roman" w:hAnsi="Times New Roman"/>
                <w:sz w:val="21"/>
                <w:szCs w:val="21"/>
              </w:rPr>
              <w:t>提单日后支付</w:t>
            </w:r>
            <w:r w:rsidRPr="005442C5">
              <w:rPr>
                <w:rFonts w:ascii="Times New Roman" w:hAnsi="Times New Roman"/>
                <w:sz w:val="21"/>
                <w:szCs w:val="21"/>
              </w:rPr>
              <w:t>70%</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F53E1DD"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订单确认后电汇支付</w:t>
            </w:r>
            <w:r w:rsidRPr="005442C5">
              <w:rPr>
                <w:rFonts w:ascii="Times New Roman" w:hAnsi="Times New Roman"/>
                <w:sz w:val="21"/>
                <w:szCs w:val="21"/>
              </w:rPr>
              <w:t>30%</w:t>
            </w:r>
            <w:r w:rsidRPr="005442C5">
              <w:rPr>
                <w:rFonts w:ascii="Times New Roman" w:hAnsi="Times New Roman"/>
                <w:sz w:val="21"/>
                <w:szCs w:val="21"/>
              </w:rPr>
              <w:t>，</w:t>
            </w:r>
            <w:r w:rsidRPr="005442C5">
              <w:rPr>
                <w:rFonts w:ascii="Times New Roman" w:hAnsi="Times New Roman"/>
                <w:sz w:val="21"/>
                <w:szCs w:val="21"/>
              </w:rPr>
              <w:t xml:space="preserve"> </w:t>
            </w:r>
            <w:r w:rsidRPr="005442C5">
              <w:rPr>
                <w:rFonts w:ascii="Times New Roman" w:hAnsi="Times New Roman"/>
                <w:sz w:val="21"/>
                <w:szCs w:val="21"/>
              </w:rPr>
              <w:t>提单日后支付</w:t>
            </w:r>
            <w:r w:rsidRPr="005442C5">
              <w:rPr>
                <w:rFonts w:ascii="Times New Roman" w:hAnsi="Times New Roman"/>
                <w:sz w:val="21"/>
                <w:szCs w:val="21"/>
              </w:rPr>
              <w:t>70%</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00CD340"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订单确认后电汇支付</w:t>
            </w:r>
            <w:r w:rsidRPr="005442C5">
              <w:rPr>
                <w:rFonts w:ascii="Times New Roman" w:hAnsi="Times New Roman"/>
                <w:sz w:val="21"/>
                <w:szCs w:val="21"/>
              </w:rPr>
              <w:t>30%</w:t>
            </w:r>
            <w:r w:rsidRPr="005442C5">
              <w:rPr>
                <w:rFonts w:ascii="Times New Roman" w:hAnsi="Times New Roman"/>
                <w:sz w:val="21"/>
                <w:szCs w:val="21"/>
              </w:rPr>
              <w:t>，</w:t>
            </w:r>
            <w:r w:rsidRPr="005442C5">
              <w:rPr>
                <w:rFonts w:ascii="Times New Roman" w:hAnsi="Times New Roman"/>
                <w:sz w:val="21"/>
                <w:szCs w:val="21"/>
              </w:rPr>
              <w:t xml:space="preserve"> </w:t>
            </w:r>
            <w:r w:rsidRPr="005442C5">
              <w:rPr>
                <w:rFonts w:ascii="Times New Roman" w:hAnsi="Times New Roman"/>
                <w:sz w:val="21"/>
                <w:szCs w:val="21"/>
              </w:rPr>
              <w:t>提单日后支付</w:t>
            </w:r>
            <w:r w:rsidRPr="005442C5">
              <w:rPr>
                <w:rFonts w:ascii="Times New Roman" w:hAnsi="Times New Roman"/>
                <w:sz w:val="21"/>
                <w:szCs w:val="21"/>
              </w:rPr>
              <w:t>70%</w:t>
            </w:r>
          </w:p>
        </w:tc>
      </w:tr>
      <w:tr w:rsidR="00CC322A" w:rsidRPr="007051DE" w14:paraId="352DFDA3"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EFC8AEB"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18</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96A2E49"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Tradetech Supplies Limited</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97E70C5"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32B935FF"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065937DB"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27C07339"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1D11210F"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r>
      <w:tr w:rsidR="00CC322A" w:rsidRPr="007051DE" w14:paraId="215F76F1"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4068311A"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19</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83098F2"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NATIONAL FIRE FIGHTING MANUFACTURING FZCO</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B686855"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F777EC9"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付款交单</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5647D33D"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付款交单</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1C7FAC7F"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付款交单</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90935BD"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付款交单</w:t>
            </w:r>
          </w:p>
        </w:tc>
      </w:tr>
      <w:tr w:rsidR="00CC322A" w:rsidRPr="007051DE" w14:paraId="687A3EF8" w14:textId="77777777">
        <w:trPr>
          <w:trHeight w:val="397"/>
          <w:jc w:val="center"/>
        </w:trPr>
        <w:tc>
          <w:tcPr>
            <w:tcW w:w="708"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662C8E0"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rPr>
            </w:pPr>
            <w:r w:rsidRPr="005442C5">
              <w:rPr>
                <w:rFonts w:ascii="Times New Roman" w:hAnsi="Times New Roman"/>
                <w:sz w:val="21"/>
                <w:szCs w:val="21"/>
              </w:rPr>
              <w:t>20</w:t>
            </w:r>
          </w:p>
        </w:tc>
        <w:tc>
          <w:tcPr>
            <w:tcW w:w="226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6C12498" w14:textId="77777777" w:rsidR="00CC322A" w:rsidRPr="005442C5" w:rsidRDefault="00D232C3"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CRANE LIMITED</w:t>
            </w:r>
          </w:p>
        </w:tc>
        <w:tc>
          <w:tcPr>
            <w:tcW w:w="992"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AA5D8A5" w14:textId="77777777" w:rsidR="00CC322A" w:rsidRPr="005442C5" w:rsidRDefault="00CC322A" w:rsidP="005442C5">
            <w:pPr>
              <w:spacing w:beforeLines="0" w:before="0" w:afterLines="0" w:after="0" w:line="240" w:lineRule="auto"/>
              <w:ind w:firstLineChars="0" w:firstLine="0"/>
              <w:jc w:val="center"/>
              <w:rPr>
                <w:rFonts w:ascii="Times New Roman" w:hAnsi="Times New Roman"/>
                <w:sz w:val="21"/>
                <w:szCs w:val="21"/>
                <w:shd w:val="clear" w:color="auto" w:fill="FFFFFF"/>
              </w:rPr>
            </w:pPr>
            <w:r w:rsidRPr="005442C5">
              <w:rPr>
                <w:rFonts w:ascii="Times New Roman" w:hAnsi="Times New Roman"/>
                <w:sz w:val="21"/>
                <w:szCs w:val="21"/>
              </w:rPr>
              <w:t>否</w:t>
            </w:r>
          </w:p>
        </w:tc>
        <w:tc>
          <w:tcPr>
            <w:tcW w:w="1560" w:type="dxa"/>
            <w:tcBorders>
              <w:top w:val="single" w:sz="6" w:space="0" w:color="010000"/>
              <w:left w:val="single" w:sz="6" w:space="0" w:color="010000"/>
              <w:bottom w:val="single" w:sz="6" w:space="0" w:color="010000"/>
              <w:right w:val="single" w:sz="6" w:space="0" w:color="010000"/>
            </w:tcBorders>
            <w:shd w:val="clear" w:color="auto" w:fill="auto"/>
            <w:vAlign w:val="center"/>
          </w:tcPr>
          <w:p w14:paraId="777534D7"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66790275"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4B602123"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c>
          <w:tcPr>
            <w:tcW w:w="1559" w:type="dxa"/>
            <w:tcBorders>
              <w:top w:val="single" w:sz="6" w:space="0" w:color="010000"/>
              <w:left w:val="single" w:sz="6" w:space="0" w:color="010000"/>
              <w:bottom w:val="single" w:sz="6" w:space="0" w:color="010000"/>
              <w:right w:val="single" w:sz="6" w:space="0" w:color="010000"/>
            </w:tcBorders>
            <w:shd w:val="clear" w:color="auto" w:fill="auto"/>
            <w:vAlign w:val="center"/>
          </w:tcPr>
          <w:p w14:paraId="41E4255D" w14:textId="77777777" w:rsidR="00CC322A" w:rsidRPr="005442C5" w:rsidRDefault="00CC322A" w:rsidP="005442C5">
            <w:pPr>
              <w:spacing w:beforeLines="0" w:before="0" w:afterLines="0" w:after="0" w:line="240" w:lineRule="auto"/>
              <w:ind w:firstLineChars="0" w:firstLine="0"/>
              <w:rPr>
                <w:rFonts w:ascii="Times New Roman" w:hAnsi="Times New Roman"/>
                <w:sz w:val="21"/>
                <w:szCs w:val="21"/>
                <w:shd w:val="clear" w:color="auto" w:fill="FFFFFF"/>
              </w:rPr>
            </w:pPr>
            <w:r w:rsidRPr="005442C5">
              <w:rPr>
                <w:rFonts w:ascii="Times New Roman" w:hAnsi="Times New Roman"/>
                <w:sz w:val="21"/>
                <w:szCs w:val="21"/>
              </w:rPr>
              <w:t>提单日后</w:t>
            </w:r>
            <w:r w:rsidRPr="005442C5">
              <w:rPr>
                <w:rFonts w:ascii="Times New Roman" w:hAnsi="Times New Roman"/>
                <w:sz w:val="21"/>
                <w:szCs w:val="21"/>
              </w:rPr>
              <w:t>30~90</w:t>
            </w:r>
            <w:r w:rsidRPr="005442C5">
              <w:rPr>
                <w:rFonts w:ascii="Times New Roman" w:hAnsi="Times New Roman"/>
                <w:sz w:val="21"/>
                <w:szCs w:val="21"/>
              </w:rPr>
              <w:t>天内电汇付清全款</w:t>
            </w:r>
          </w:p>
        </w:tc>
      </w:tr>
    </w:tbl>
    <w:p w14:paraId="34CE964C" w14:textId="77777777" w:rsidR="008D76D6" w:rsidRDefault="008D76D6">
      <w:pPr>
        <w:spacing w:before="120" w:after="120"/>
        <w:ind w:firstLine="480"/>
      </w:pPr>
      <w:r>
        <w:t>由上表可知，境外客户</w:t>
      </w:r>
      <w:r>
        <w:rPr>
          <w:rFonts w:ascii="Times New Roman" w:hAnsi="Times New Roman"/>
        </w:rPr>
        <w:t>FIRE FIGHTING EQUIPMENTS SLU</w:t>
      </w:r>
      <w:r>
        <w:t>于报告期内存在信用政策变化，</w:t>
      </w:r>
      <w:r w:rsidR="0050690E">
        <w:rPr>
          <w:rFonts w:hint="eastAsia"/>
        </w:rPr>
        <w:t>系</w:t>
      </w:r>
      <w:r w:rsidR="00B4222A">
        <w:rPr>
          <w:rFonts w:hint="eastAsia"/>
        </w:rPr>
        <w:t>公司</w:t>
      </w:r>
      <w:r>
        <w:t>与客户商谈后进行了结算款项比例的适当调整，</w:t>
      </w:r>
      <w:r w:rsidR="00B4222A">
        <w:t>报告期内公司对境外客户的信用政策未发生显著变化</w:t>
      </w:r>
      <w:r>
        <w:t>。</w:t>
      </w:r>
    </w:p>
    <w:p w14:paraId="7468B228" w14:textId="77777777" w:rsidR="008D76D6" w:rsidRDefault="008D76D6">
      <w:pPr>
        <w:spacing w:before="120" w:after="120"/>
        <w:ind w:firstLine="480"/>
      </w:pPr>
      <w:r>
        <w:t>因此，公司在报告期内对同一客户的信用政策相对稳定。</w:t>
      </w:r>
    </w:p>
    <w:p w14:paraId="6F878C7C" w14:textId="77777777" w:rsidR="008D76D6" w:rsidRDefault="008D76D6" w:rsidP="00B434D2">
      <w:pPr>
        <w:pStyle w:val="004"/>
        <w:spacing w:before="120" w:after="120"/>
        <w:ind w:firstLine="482"/>
      </w:pPr>
      <w:r>
        <w:rPr>
          <w:rFonts w:hint="eastAsia"/>
        </w:rPr>
        <w:t>（六）</w:t>
      </w:r>
      <w:r>
        <w:t>应收款项及回款</w:t>
      </w:r>
    </w:p>
    <w:p w14:paraId="3E2556E0" w14:textId="77777777" w:rsidR="008D76D6" w:rsidRDefault="008D76D6">
      <w:pPr>
        <w:spacing w:before="120" w:after="120"/>
        <w:ind w:firstLine="480"/>
      </w:pPr>
      <w:r w:rsidRPr="00B434D2">
        <w:rPr>
          <w:rFonts w:ascii="Times New Roman" w:hAnsi="Times New Roman"/>
        </w:rPr>
        <w:t>1</w:t>
      </w:r>
      <w:r w:rsidRPr="00B434D2">
        <w:rPr>
          <w:rFonts w:ascii="Times New Roman" w:hAnsi="Times New Roman"/>
        </w:rPr>
        <w:t>、</w:t>
      </w:r>
      <w:r>
        <w:t>公司报告期内境外销售收入及对应地应收账款情况</w:t>
      </w:r>
    </w:p>
    <w:p w14:paraId="3982A385" w14:textId="77777777" w:rsidR="00D43123" w:rsidRDefault="00D43123" w:rsidP="00D43123">
      <w:pPr>
        <w:spacing w:before="120" w:after="120"/>
        <w:ind w:firstLine="480"/>
      </w:pPr>
      <w:r>
        <w:rPr>
          <w:rFonts w:hint="eastAsia"/>
        </w:rPr>
        <w:t>报告期各期末，公司境外收入应收账款余额及占当期境外收入的比例情况如下：</w:t>
      </w:r>
    </w:p>
    <w:p w14:paraId="63C7FE7B" w14:textId="77777777" w:rsidR="008D76D6" w:rsidRDefault="008D76D6">
      <w:pPr>
        <w:spacing w:beforeLines="0" w:before="0" w:afterLines="0" w:after="0" w:line="240" w:lineRule="auto"/>
        <w:ind w:firstLine="420"/>
        <w:jc w:val="right"/>
        <w:rPr>
          <w:sz w:val="21"/>
          <w:szCs w:val="32"/>
        </w:rPr>
      </w:pPr>
      <w:r>
        <w:rPr>
          <w:sz w:val="21"/>
          <w:szCs w:val="32"/>
        </w:rPr>
        <w:t>单位：万元</w:t>
      </w:r>
    </w:p>
    <w:tbl>
      <w:tblPr>
        <w:tblW w:w="5000"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88"/>
        <w:gridCol w:w="1934"/>
        <w:gridCol w:w="2350"/>
        <w:gridCol w:w="3238"/>
      </w:tblGrid>
      <w:tr w:rsidR="008D76D6" w14:paraId="267C32E1" w14:textId="77777777">
        <w:trPr>
          <w:trHeight w:val="454"/>
        </w:trPr>
        <w:tc>
          <w:tcPr>
            <w:tcW w:w="826" w:type="pct"/>
            <w:shd w:val="clear" w:color="auto" w:fill="D9D9D9"/>
            <w:vAlign w:val="center"/>
          </w:tcPr>
          <w:p w14:paraId="0A7A945F" w14:textId="77777777" w:rsidR="008D76D6" w:rsidRDefault="008D76D6" w:rsidP="0077527A">
            <w:pPr>
              <w:spacing w:beforeLines="0" w:before="0" w:afterLines="0" w:after="0" w:line="240" w:lineRule="auto"/>
              <w:ind w:firstLineChars="0" w:firstLine="0"/>
              <w:jc w:val="center"/>
              <w:rPr>
                <w:rFonts w:ascii="Times New Roman" w:hAnsi="Times New Roman"/>
                <w:b/>
                <w:bCs/>
                <w:kern w:val="0"/>
                <w:sz w:val="21"/>
                <w:szCs w:val="21"/>
              </w:rPr>
            </w:pPr>
            <w:r>
              <w:rPr>
                <w:rFonts w:ascii="Times New Roman" w:hAnsi="Times New Roman"/>
                <w:b/>
                <w:bCs/>
                <w:kern w:val="0"/>
                <w:sz w:val="21"/>
                <w:szCs w:val="21"/>
              </w:rPr>
              <w:t>报告期</w:t>
            </w:r>
          </w:p>
        </w:tc>
        <w:tc>
          <w:tcPr>
            <w:tcW w:w="1073" w:type="pct"/>
            <w:shd w:val="clear" w:color="auto" w:fill="D9D9D9"/>
            <w:vAlign w:val="center"/>
          </w:tcPr>
          <w:p w14:paraId="1B9AB244" w14:textId="77777777" w:rsidR="008D76D6" w:rsidRDefault="008D76D6" w:rsidP="0077527A">
            <w:pPr>
              <w:spacing w:beforeLines="0" w:before="0" w:afterLines="0" w:after="0" w:line="240" w:lineRule="auto"/>
              <w:ind w:firstLineChars="0" w:firstLine="0"/>
              <w:jc w:val="center"/>
              <w:rPr>
                <w:rFonts w:ascii="Times New Roman" w:hAnsi="Times New Roman"/>
                <w:b/>
                <w:bCs/>
                <w:kern w:val="0"/>
                <w:sz w:val="21"/>
                <w:szCs w:val="21"/>
              </w:rPr>
            </w:pPr>
            <w:r>
              <w:rPr>
                <w:rFonts w:ascii="Times New Roman" w:hAnsi="Times New Roman"/>
                <w:b/>
                <w:bCs/>
                <w:kern w:val="0"/>
                <w:sz w:val="21"/>
                <w:szCs w:val="21"/>
              </w:rPr>
              <w:t>应收账款余额</w:t>
            </w:r>
          </w:p>
        </w:tc>
        <w:tc>
          <w:tcPr>
            <w:tcW w:w="1304" w:type="pct"/>
            <w:shd w:val="clear" w:color="auto" w:fill="D9D9D9"/>
            <w:vAlign w:val="center"/>
          </w:tcPr>
          <w:p w14:paraId="18B5A58F" w14:textId="77777777" w:rsidR="008D76D6" w:rsidRDefault="008D76D6" w:rsidP="0077527A">
            <w:pPr>
              <w:spacing w:beforeLines="0" w:before="0" w:afterLines="0" w:after="0" w:line="240" w:lineRule="auto"/>
              <w:ind w:firstLineChars="0" w:firstLine="0"/>
              <w:jc w:val="center"/>
              <w:rPr>
                <w:rFonts w:ascii="Times New Roman" w:hAnsi="Times New Roman"/>
                <w:b/>
                <w:bCs/>
                <w:kern w:val="0"/>
                <w:sz w:val="21"/>
                <w:szCs w:val="21"/>
              </w:rPr>
            </w:pPr>
            <w:r>
              <w:rPr>
                <w:rFonts w:ascii="Times New Roman" w:hAnsi="Times New Roman"/>
                <w:b/>
                <w:bCs/>
                <w:color w:val="000000"/>
                <w:kern w:val="0"/>
                <w:sz w:val="21"/>
                <w:szCs w:val="21"/>
              </w:rPr>
              <w:t>境外收入金额</w:t>
            </w:r>
          </w:p>
        </w:tc>
        <w:tc>
          <w:tcPr>
            <w:tcW w:w="1797" w:type="pct"/>
            <w:shd w:val="clear" w:color="auto" w:fill="D9D9D9"/>
            <w:vAlign w:val="center"/>
          </w:tcPr>
          <w:p w14:paraId="0B9D2409" w14:textId="77777777" w:rsidR="008D76D6" w:rsidRDefault="008D76D6" w:rsidP="0077527A">
            <w:pPr>
              <w:spacing w:beforeLines="0" w:before="0" w:afterLines="0" w:after="0" w:line="240" w:lineRule="auto"/>
              <w:ind w:firstLineChars="0" w:firstLine="0"/>
              <w:jc w:val="center"/>
              <w:rPr>
                <w:rFonts w:ascii="Times New Roman" w:hAnsi="Times New Roman"/>
                <w:b/>
                <w:bCs/>
                <w:kern w:val="0"/>
                <w:sz w:val="21"/>
                <w:szCs w:val="21"/>
              </w:rPr>
            </w:pPr>
            <w:r>
              <w:rPr>
                <w:rFonts w:ascii="Times New Roman" w:hAnsi="Times New Roman"/>
                <w:b/>
                <w:bCs/>
                <w:kern w:val="0"/>
                <w:sz w:val="21"/>
                <w:szCs w:val="21"/>
              </w:rPr>
              <w:t>应收账款余额</w:t>
            </w:r>
            <w:r>
              <w:rPr>
                <w:rFonts w:ascii="Times New Roman" w:hAnsi="Times New Roman"/>
                <w:b/>
                <w:bCs/>
                <w:kern w:val="0"/>
                <w:sz w:val="21"/>
                <w:szCs w:val="21"/>
              </w:rPr>
              <w:t>/</w:t>
            </w:r>
            <w:r>
              <w:rPr>
                <w:rFonts w:ascii="Times New Roman" w:hAnsi="Times New Roman"/>
                <w:b/>
                <w:bCs/>
                <w:kern w:val="0"/>
                <w:sz w:val="21"/>
                <w:szCs w:val="21"/>
              </w:rPr>
              <w:t>境外</w:t>
            </w:r>
            <w:r>
              <w:rPr>
                <w:rFonts w:ascii="Times New Roman" w:hAnsi="Times New Roman"/>
                <w:b/>
                <w:bCs/>
                <w:color w:val="000000"/>
                <w:kern w:val="0"/>
                <w:sz w:val="21"/>
                <w:szCs w:val="21"/>
              </w:rPr>
              <w:t>收入金额</w:t>
            </w:r>
          </w:p>
        </w:tc>
      </w:tr>
      <w:tr w:rsidR="008D76D6" w14:paraId="57CFC930" w14:textId="77777777">
        <w:trPr>
          <w:trHeight w:val="454"/>
        </w:trPr>
        <w:tc>
          <w:tcPr>
            <w:tcW w:w="826" w:type="pct"/>
            <w:vAlign w:val="center"/>
          </w:tcPr>
          <w:p w14:paraId="05B8B1C4" w14:textId="77777777" w:rsidR="008D76D6" w:rsidRDefault="008D76D6" w:rsidP="0077527A">
            <w:pPr>
              <w:spacing w:beforeLines="0" w:before="0" w:afterLines="0" w:after="0" w:line="240" w:lineRule="auto"/>
              <w:ind w:firstLineChars="0" w:firstLine="0"/>
              <w:jc w:val="center"/>
              <w:rPr>
                <w:rFonts w:ascii="Times New Roman" w:hAnsi="Times New Roman"/>
                <w:kern w:val="0"/>
                <w:sz w:val="21"/>
                <w:szCs w:val="21"/>
              </w:rPr>
            </w:pPr>
            <w:r>
              <w:rPr>
                <w:rFonts w:ascii="Times New Roman" w:hAnsi="Times New Roman"/>
                <w:kern w:val="0"/>
                <w:sz w:val="21"/>
                <w:szCs w:val="21"/>
              </w:rPr>
              <w:t>2023</w:t>
            </w:r>
            <w:r>
              <w:rPr>
                <w:rFonts w:ascii="Times New Roman" w:hAnsi="Times New Roman"/>
                <w:kern w:val="0"/>
                <w:sz w:val="21"/>
                <w:szCs w:val="21"/>
              </w:rPr>
              <w:t>年</w:t>
            </w:r>
            <w:r>
              <w:rPr>
                <w:rFonts w:ascii="Times New Roman" w:hAnsi="Times New Roman"/>
                <w:kern w:val="0"/>
                <w:sz w:val="21"/>
                <w:szCs w:val="21"/>
              </w:rPr>
              <w:t>1-9</w:t>
            </w:r>
            <w:r>
              <w:rPr>
                <w:rFonts w:ascii="Times New Roman" w:hAnsi="Times New Roman"/>
                <w:kern w:val="0"/>
                <w:sz w:val="21"/>
                <w:szCs w:val="21"/>
              </w:rPr>
              <w:t>月</w:t>
            </w:r>
          </w:p>
        </w:tc>
        <w:tc>
          <w:tcPr>
            <w:tcW w:w="1073" w:type="pct"/>
            <w:vAlign w:val="center"/>
          </w:tcPr>
          <w:p w14:paraId="19885F62"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5,522.76</w:t>
            </w:r>
          </w:p>
        </w:tc>
        <w:tc>
          <w:tcPr>
            <w:tcW w:w="1304" w:type="pct"/>
            <w:vAlign w:val="center"/>
          </w:tcPr>
          <w:p w14:paraId="1FBFE867"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32,056.10</w:t>
            </w:r>
          </w:p>
        </w:tc>
        <w:tc>
          <w:tcPr>
            <w:tcW w:w="1797" w:type="pct"/>
            <w:vAlign w:val="center"/>
          </w:tcPr>
          <w:p w14:paraId="20437AEE"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17.23%</w:t>
            </w:r>
          </w:p>
        </w:tc>
      </w:tr>
      <w:tr w:rsidR="008D76D6" w14:paraId="019429AB" w14:textId="77777777">
        <w:trPr>
          <w:trHeight w:val="454"/>
        </w:trPr>
        <w:tc>
          <w:tcPr>
            <w:tcW w:w="826" w:type="pct"/>
            <w:vAlign w:val="center"/>
          </w:tcPr>
          <w:p w14:paraId="59661046" w14:textId="77777777" w:rsidR="008D76D6" w:rsidRDefault="008D76D6" w:rsidP="0077527A">
            <w:pPr>
              <w:spacing w:beforeLines="0" w:before="0" w:afterLines="0" w:after="0" w:line="240" w:lineRule="auto"/>
              <w:ind w:firstLineChars="0" w:firstLine="0"/>
              <w:jc w:val="center"/>
              <w:rPr>
                <w:rFonts w:ascii="Times New Roman" w:hAnsi="Times New Roman"/>
                <w:kern w:val="0"/>
                <w:sz w:val="21"/>
                <w:szCs w:val="21"/>
              </w:rPr>
            </w:pPr>
            <w:r>
              <w:rPr>
                <w:rFonts w:ascii="Times New Roman" w:hAnsi="Times New Roman"/>
                <w:kern w:val="0"/>
                <w:sz w:val="21"/>
                <w:szCs w:val="21"/>
              </w:rPr>
              <w:t>2022</w:t>
            </w:r>
            <w:r>
              <w:rPr>
                <w:rFonts w:ascii="Times New Roman" w:hAnsi="Times New Roman"/>
                <w:kern w:val="0"/>
                <w:sz w:val="21"/>
                <w:szCs w:val="21"/>
              </w:rPr>
              <w:t>年</w:t>
            </w:r>
          </w:p>
        </w:tc>
        <w:tc>
          <w:tcPr>
            <w:tcW w:w="1073" w:type="pct"/>
            <w:vAlign w:val="center"/>
          </w:tcPr>
          <w:p w14:paraId="3B8B4577"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color w:val="000000"/>
                <w:sz w:val="21"/>
              </w:rPr>
              <w:t>5,403.60</w:t>
            </w:r>
          </w:p>
        </w:tc>
        <w:tc>
          <w:tcPr>
            <w:tcW w:w="1304" w:type="pct"/>
            <w:vAlign w:val="center"/>
          </w:tcPr>
          <w:p w14:paraId="68F4BF9E"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color w:val="000000"/>
                <w:sz w:val="21"/>
              </w:rPr>
              <w:t>45,118.29</w:t>
            </w:r>
          </w:p>
        </w:tc>
        <w:tc>
          <w:tcPr>
            <w:tcW w:w="1797" w:type="pct"/>
            <w:vAlign w:val="center"/>
          </w:tcPr>
          <w:p w14:paraId="106804FD"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color w:val="000000"/>
                <w:sz w:val="21"/>
              </w:rPr>
              <w:t>11.98%</w:t>
            </w:r>
          </w:p>
        </w:tc>
      </w:tr>
      <w:tr w:rsidR="008D76D6" w14:paraId="45227DA0" w14:textId="77777777">
        <w:trPr>
          <w:trHeight w:val="454"/>
        </w:trPr>
        <w:tc>
          <w:tcPr>
            <w:tcW w:w="826" w:type="pct"/>
            <w:vAlign w:val="center"/>
          </w:tcPr>
          <w:p w14:paraId="2C0F2ABD" w14:textId="77777777" w:rsidR="008D76D6" w:rsidRDefault="008D76D6" w:rsidP="0077527A">
            <w:pPr>
              <w:spacing w:beforeLines="0" w:before="0" w:afterLines="0" w:after="0" w:line="240" w:lineRule="auto"/>
              <w:ind w:firstLineChars="0" w:firstLine="0"/>
              <w:jc w:val="center"/>
              <w:rPr>
                <w:rFonts w:ascii="Times New Roman" w:hAnsi="Times New Roman"/>
                <w:kern w:val="0"/>
                <w:sz w:val="21"/>
                <w:szCs w:val="21"/>
              </w:rPr>
            </w:pPr>
            <w:r>
              <w:rPr>
                <w:rFonts w:ascii="Times New Roman" w:hAnsi="Times New Roman"/>
                <w:kern w:val="0"/>
                <w:sz w:val="21"/>
                <w:szCs w:val="21"/>
              </w:rPr>
              <w:t>2021</w:t>
            </w:r>
            <w:r>
              <w:rPr>
                <w:rFonts w:ascii="Times New Roman" w:hAnsi="Times New Roman"/>
                <w:kern w:val="0"/>
                <w:sz w:val="21"/>
                <w:szCs w:val="21"/>
              </w:rPr>
              <w:t>年</w:t>
            </w:r>
          </w:p>
        </w:tc>
        <w:tc>
          <w:tcPr>
            <w:tcW w:w="1073" w:type="pct"/>
            <w:vAlign w:val="center"/>
          </w:tcPr>
          <w:p w14:paraId="5CE74F2E"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color w:val="000000"/>
                <w:sz w:val="21"/>
              </w:rPr>
              <w:t>5,434.30</w:t>
            </w:r>
          </w:p>
        </w:tc>
        <w:tc>
          <w:tcPr>
            <w:tcW w:w="1304" w:type="pct"/>
            <w:vAlign w:val="center"/>
          </w:tcPr>
          <w:p w14:paraId="30D577BC"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color w:val="000000"/>
                <w:sz w:val="21"/>
              </w:rPr>
              <w:t>31,275.26</w:t>
            </w:r>
          </w:p>
        </w:tc>
        <w:tc>
          <w:tcPr>
            <w:tcW w:w="1797" w:type="pct"/>
            <w:vAlign w:val="center"/>
          </w:tcPr>
          <w:p w14:paraId="085F2531"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color w:val="000000"/>
                <w:sz w:val="21"/>
              </w:rPr>
              <w:t>17.38%</w:t>
            </w:r>
          </w:p>
        </w:tc>
      </w:tr>
      <w:tr w:rsidR="008D76D6" w14:paraId="48059ACB" w14:textId="77777777">
        <w:trPr>
          <w:trHeight w:val="454"/>
        </w:trPr>
        <w:tc>
          <w:tcPr>
            <w:tcW w:w="826" w:type="pct"/>
            <w:vAlign w:val="center"/>
          </w:tcPr>
          <w:p w14:paraId="573A3F23" w14:textId="77777777" w:rsidR="008D76D6" w:rsidRDefault="008D76D6" w:rsidP="0077527A">
            <w:pPr>
              <w:spacing w:beforeLines="0" w:before="0" w:afterLines="0" w:after="0" w:line="240" w:lineRule="auto"/>
              <w:ind w:firstLineChars="0" w:firstLine="0"/>
              <w:jc w:val="center"/>
              <w:rPr>
                <w:rFonts w:ascii="Times New Roman" w:hAnsi="Times New Roman"/>
                <w:kern w:val="0"/>
                <w:sz w:val="21"/>
                <w:szCs w:val="21"/>
              </w:rPr>
            </w:pPr>
            <w:r>
              <w:rPr>
                <w:rFonts w:ascii="Times New Roman" w:hAnsi="Times New Roman"/>
                <w:kern w:val="0"/>
                <w:sz w:val="21"/>
                <w:szCs w:val="21"/>
              </w:rPr>
              <w:t>2020</w:t>
            </w:r>
            <w:r>
              <w:rPr>
                <w:rFonts w:ascii="Times New Roman" w:hAnsi="Times New Roman"/>
                <w:kern w:val="0"/>
                <w:sz w:val="21"/>
                <w:szCs w:val="21"/>
              </w:rPr>
              <w:t>年</w:t>
            </w:r>
          </w:p>
        </w:tc>
        <w:tc>
          <w:tcPr>
            <w:tcW w:w="1073" w:type="pct"/>
            <w:vAlign w:val="center"/>
          </w:tcPr>
          <w:p w14:paraId="7094FDA6"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color w:val="000000"/>
                <w:sz w:val="21"/>
              </w:rPr>
              <w:t>2,764.97</w:t>
            </w:r>
          </w:p>
        </w:tc>
        <w:tc>
          <w:tcPr>
            <w:tcW w:w="1304" w:type="pct"/>
            <w:vAlign w:val="center"/>
          </w:tcPr>
          <w:p w14:paraId="1ED3C4A4"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color w:val="000000"/>
                <w:sz w:val="21"/>
              </w:rPr>
              <w:t>27,604.16</w:t>
            </w:r>
          </w:p>
        </w:tc>
        <w:tc>
          <w:tcPr>
            <w:tcW w:w="1797" w:type="pct"/>
            <w:vAlign w:val="center"/>
          </w:tcPr>
          <w:p w14:paraId="3D2B7A74"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color w:val="000000"/>
                <w:sz w:val="21"/>
              </w:rPr>
              <w:t>10.02%</w:t>
            </w:r>
          </w:p>
        </w:tc>
      </w:tr>
    </w:tbl>
    <w:p w14:paraId="1A1031BE" w14:textId="77777777" w:rsidR="008D76D6" w:rsidRDefault="008D76D6" w:rsidP="0077527A">
      <w:pPr>
        <w:spacing w:before="120" w:after="120"/>
        <w:ind w:firstLine="480"/>
        <w:rPr>
          <w:rFonts w:ascii="Times New Roman" w:hAnsi="Times New Roman"/>
        </w:rPr>
      </w:pPr>
      <w:r>
        <w:rPr>
          <w:rFonts w:ascii="Times New Roman" w:hAnsi="Times New Roman"/>
        </w:rPr>
        <w:t>由上表可知，报告期内，公司境外销售应收账款与境外收入的比例分别为</w:t>
      </w:r>
      <w:r>
        <w:rPr>
          <w:rFonts w:ascii="Times New Roman" w:hAnsi="Times New Roman"/>
        </w:rPr>
        <w:t>10.02%</w:t>
      </w:r>
      <w:r>
        <w:rPr>
          <w:rFonts w:ascii="Times New Roman" w:hAnsi="Times New Roman"/>
        </w:rPr>
        <w:t>、</w:t>
      </w:r>
      <w:r>
        <w:rPr>
          <w:rFonts w:ascii="Times New Roman" w:hAnsi="Times New Roman"/>
        </w:rPr>
        <w:t>17.38%</w:t>
      </w:r>
      <w:r>
        <w:rPr>
          <w:rFonts w:ascii="Times New Roman" w:hAnsi="Times New Roman"/>
        </w:rPr>
        <w:t>、</w:t>
      </w:r>
      <w:r>
        <w:rPr>
          <w:rFonts w:ascii="Times New Roman" w:hAnsi="Times New Roman"/>
        </w:rPr>
        <w:t>11.98%</w:t>
      </w:r>
      <w:r w:rsidR="00D43123">
        <w:rPr>
          <w:rFonts w:ascii="Times New Roman" w:hAnsi="Times New Roman" w:hint="eastAsia"/>
        </w:rPr>
        <w:t>及</w:t>
      </w:r>
      <w:r>
        <w:rPr>
          <w:rFonts w:ascii="Times New Roman" w:hAnsi="Times New Roman"/>
        </w:rPr>
        <w:t>17.23%</w:t>
      </w:r>
      <w:r>
        <w:rPr>
          <w:rFonts w:ascii="Times New Roman" w:hAnsi="Times New Roman"/>
        </w:rPr>
        <w:t>。占比</w:t>
      </w:r>
      <w:r w:rsidR="00D43123">
        <w:rPr>
          <w:rFonts w:ascii="Times New Roman" w:hAnsi="Times New Roman" w:hint="eastAsia"/>
        </w:rPr>
        <w:t>较低</w:t>
      </w:r>
      <w:r>
        <w:rPr>
          <w:rFonts w:ascii="Times New Roman" w:hAnsi="Times New Roman"/>
        </w:rPr>
        <w:t>，与公司信用政策基本一致，境外应收账款形成的原因主要受各期期末销售所致。</w:t>
      </w:r>
    </w:p>
    <w:p w14:paraId="7A511140" w14:textId="77777777" w:rsidR="008D76D6" w:rsidRDefault="008D76D6">
      <w:pPr>
        <w:spacing w:before="120" w:after="120"/>
        <w:ind w:firstLine="480"/>
        <w:rPr>
          <w:rFonts w:ascii="Times New Roman" w:hAnsi="Times New Roman" w:hint="eastAsia"/>
        </w:rPr>
      </w:pPr>
      <w:r>
        <w:rPr>
          <w:rFonts w:ascii="Times New Roman" w:hAnsi="Times New Roman"/>
        </w:rPr>
        <w:t>2</w:t>
      </w:r>
      <w:r>
        <w:rPr>
          <w:rFonts w:ascii="Times New Roman" w:hAnsi="Times New Roman"/>
        </w:rPr>
        <w:t>、报告期各期末境外销售应收账款的期后回款</w:t>
      </w:r>
    </w:p>
    <w:p w14:paraId="130FAC2E" w14:textId="77777777" w:rsidR="008D76D6" w:rsidRDefault="008D76D6">
      <w:pPr>
        <w:spacing w:beforeLines="0" w:before="0" w:afterLines="0" w:after="0" w:line="240" w:lineRule="auto"/>
        <w:ind w:firstLine="420"/>
        <w:jc w:val="right"/>
        <w:rPr>
          <w:kern w:val="0"/>
          <w:sz w:val="21"/>
          <w:szCs w:val="21"/>
        </w:rPr>
      </w:pPr>
      <w:r>
        <w:rPr>
          <w:kern w:val="0"/>
          <w:sz w:val="21"/>
          <w:szCs w:val="21"/>
        </w:rPr>
        <w:t>单位：万元</w:t>
      </w:r>
    </w:p>
    <w:tbl>
      <w:tblPr>
        <w:tblW w:w="5000"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03"/>
        <w:gridCol w:w="1703"/>
        <w:gridCol w:w="1802"/>
        <w:gridCol w:w="1802"/>
        <w:gridCol w:w="1800"/>
      </w:tblGrid>
      <w:tr w:rsidR="008D76D6" w14:paraId="068DC78D" w14:textId="77777777">
        <w:trPr>
          <w:trHeight w:val="454"/>
        </w:trPr>
        <w:tc>
          <w:tcPr>
            <w:tcW w:w="1056" w:type="pct"/>
            <w:shd w:val="clear" w:color="auto" w:fill="D9D9D9"/>
            <w:vAlign w:val="center"/>
          </w:tcPr>
          <w:p w14:paraId="5B4D11CA" w14:textId="77777777" w:rsidR="008D76D6" w:rsidRDefault="008D76D6" w:rsidP="0077527A">
            <w:pPr>
              <w:spacing w:beforeLines="0" w:before="0" w:afterLines="0" w:after="0" w:line="240" w:lineRule="auto"/>
              <w:ind w:firstLineChars="0" w:firstLine="0"/>
              <w:jc w:val="center"/>
              <w:rPr>
                <w:rFonts w:ascii="Times New Roman" w:hAnsi="Times New Roman"/>
                <w:b/>
                <w:bCs/>
                <w:kern w:val="0"/>
                <w:sz w:val="21"/>
                <w:szCs w:val="21"/>
              </w:rPr>
            </w:pPr>
            <w:r>
              <w:rPr>
                <w:rFonts w:ascii="Times New Roman" w:hAnsi="Times New Roman"/>
                <w:b/>
                <w:bCs/>
                <w:kern w:val="0"/>
                <w:sz w:val="21"/>
                <w:szCs w:val="21"/>
              </w:rPr>
              <w:t>报告期</w:t>
            </w:r>
          </w:p>
        </w:tc>
        <w:tc>
          <w:tcPr>
            <w:tcW w:w="945" w:type="pct"/>
            <w:shd w:val="clear" w:color="auto" w:fill="D9D9D9"/>
            <w:vAlign w:val="center"/>
          </w:tcPr>
          <w:p w14:paraId="36B04B40" w14:textId="77777777" w:rsidR="008D76D6" w:rsidRDefault="008D76D6" w:rsidP="0077527A">
            <w:pPr>
              <w:spacing w:beforeLines="0" w:before="0" w:afterLines="0" w:after="0" w:line="240" w:lineRule="auto"/>
              <w:ind w:firstLineChars="0" w:firstLine="0"/>
              <w:jc w:val="center"/>
              <w:rPr>
                <w:rFonts w:ascii="Times New Roman" w:hAnsi="Times New Roman"/>
                <w:b/>
                <w:bCs/>
                <w:kern w:val="0"/>
                <w:sz w:val="21"/>
                <w:szCs w:val="21"/>
              </w:rPr>
            </w:pPr>
            <w:r>
              <w:rPr>
                <w:rFonts w:ascii="Times New Roman" w:hAnsi="Times New Roman"/>
                <w:b/>
                <w:bCs/>
                <w:kern w:val="0"/>
                <w:sz w:val="21"/>
                <w:szCs w:val="21"/>
              </w:rPr>
              <w:t>应收账款余额</w:t>
            </w:r>
          </w:p>
        </w:tc>
        <w:tc>
          <w:tcPr>
            <w:tcW w:w="1000" w:type="pct"/>
            <w:shd w:val="clear" w:color="auto" w:fill="D9D9D9"/>
            <w:vAlign w:val="center"/>
          </w:tcPr>
          <w:p w14:paraId="24439A10" w14:textId="77777777" w:rsidR="008D76D6" w:rsidRDefault="008D76D6" w:rsidP="0077527A">
            <w:pPr>
              <w:spacing w:beforeLines="0" w:before="0" w:afterLines="0" w:after="0" w:line="240" w:lineRule="auto"/>
              <w:ind w:firstLineChars="0" w:firstLine="0"/>
              <w:jc w:val="center"/>
              <w:rPr>
                <w:rFonts w:ascii="Times New Roman" w:hAnsi="Times New Roman"/>
                <w:b/>
                <w:bCs/>
                <w:kern w:val="0"/>
                <w:sz w:val="21"/>
                <w:szCs w:val="21"/>
              </w:rPr>
            </w:pPr>
            <w:r>
              <w:rPr>
                <w:rFonts w:ascii="Times New Roman" w:hAnsi="Times New Roman"/>
                <w:b/>
                <w:bCs/>
                <w:kern w:val="0"/>
                <w:sz w:val="21"/>
                <w:szCs w:val="21"/>
              </w:rPr>
              <w:t>期后第一年</w:t>
            </w:r>
          </w:p>
          <w:p w14:paraId="507A1A0C" w14:textId="77777777" w:rsidR="008D76D6" w:rsidRDefault="008D76D6" w:rsidP="0077527A">
            <w:pPr>
              <w:spacing w:beforeLines="0" w:before="0" w:afterLines="0" w:after="0" w:line="240" w:lineRule="auto"/>
              <w:ind w:firstLineChars="0" w:firstLine="0"/>
              <w:jc w:val="center"/>
              <w:rPr>
                <w:rFonts w:ascii="Times New Roman" w:hAnsi="Times New Roman"/>
                <w:b/>
                <w:bCs/>
                <w:kern w:val="0"/>
                <w:sz w:val="21"/>
                <w:szCs w:val="21"/>
              </w:rPr>
            </w:pPr>
            <w:r>
              <w:rPr>
                <w:rFonts w:ascii="Times New Roman" w:hAnsi="Times New Roman"/>
                <w:b/>
                <w:bCs/>
                <w:kern w:val="0"/>
                <w:sz w:val="21"/>
                <w:szCs w:val="21"/>
              </w:rPr>
              <w:t>回款额</w:t>
            </w:r>
          </w:p>
        </w:tc>
        <w:tc>
          <w:tcPr>
            <w:tcW w:w="1000" w:type="pct"/>
            <w:shd w:val="clear" w:color="auto" w:fill="D9D9D9"/>
            <w:vAlign w:val="center"/>
          </w:tcPr>
          <w:p w14:paraId="77462E13" w14:textId="77777777" w:rsidR="008D76D6" w:rsidRDefault="008D76D6" w:rsidP="0077527A">
            <w:pPr>
              <w:spacing w:beforeLines="0" w:before="0" w:afterLines="0" w:after="0" w:line="240" w:lineRule="auto"/>
              <w:ind w:firstLineChars="0" w:firstLine="0"/>
              <w:jc w:val="center"/>
              <w:rPr>
                <w:rFonts w:ascii="Times New Roman" w:hAnsi="Times New Roman"/>
                <w:b/>
                <w:bCs/>
                <w:kern w:val="0"/>
                <w:sz w:val="21"/>
                <w:szCs w:val="21"/>
              </w:rPr>
            </w:pPr>
            <w:r>
              <w:rPr>
                <w:rFonts w:ascii="Times New Roman" w:hAnsi="Times New Roman"/>
                <w:b/>
                <w:bCs/>
                <w:kern w:val="0"/>
                <w:sz w:val="21"/>
                <w:szCs w:val="21"/>
              </w:rPr>
              <w:t>期后第二年</w:t>
            </w:r>
          </w:p>
          <w:p w14:paraId="5A62886F" w14:textId="77777777" w:rsidR="008D76D6" w:rsidRDefault="008D76D6" w:rsidP="0077527A">
            <w:pPr>
              <w:spacing w:beforeLines="0" w:before="0" w:afterLines="0" w:after="0" w:line="240" w:lineRule="auto"/>
              <w:ind w:firstLineChars="0" w:firstLine="0"/>
              <w:jc w:val="center"/>
              <w:rPr>
                <w:rFonts w:ascii="Times New Roman" w:hAnsi="Times New Roman"/>
                <w:b/>
                <w:bCs/>
                <w:kern w:val="0"/>
                <w:sz w:val="21"/>
                <w:szCs w:val="21"/>
              </w:rPr>
            </w:pPr>
            <w:r>
              <w:rPr>
                <w:rFonts w:ascii="Times New Roman" w:hAnsi="Times New Roman"/>
                <w:b/>
                <w:bCs/>
                <w:kern w:val="0"/>
                <w:sz w:val="21"/>
                <w:szCs w:val="21"/>
              </w:rPr>
              <w:t>回款额</w:t>
            </w:r>
          </w:p>
        </w:tc>
        <w:tc>
          <w:tcPr>
            <w:tcW w:w="999" w:type="pct"/>
            <w:shd w:val="clear" w:color="auto" w:fill="D9D9D9"/>
            <w:vAlign w:val="center"/>
          </w:tcPr>
          <w:p w14:paraId="1118FC25" w14:textId="77777777" w:rsidR="008D76D6" w:rsidRDefault="008D76D6" w:rsidP="0077527A">
            <w:pPr>
              <w:spacing w:beforeLines="0" w:before="0" w:afterLines="0" w:after="0" w:line="240" w:lineRule="auto"/>
              <w:ind w:firstLineChars="0" w:firstLine="0"/>
              <w:jc w:val="center"/>
              <w:rPr>
                <w:rFonts w:ascii="Times New Roman" w:hAnsi="Times New Roman"/>
                <w:b/>
                <w:bCs/>
                <w:kern w:val="0"/>
                <w:sz w:val="21"/>
                <w:szCs w:val="21"/>
              </w:rPr>
            </w:pPr>
            <w:r>
              <w:rPr>
                <w:rFonts w:ascii="Times New Roman" w:hAnsi="Times New Roman"/>
                <w:b/>
                <w:bCs/>
                <w:kern w:val="0"/>
                <w:sz w:val="21"/>
                <w:szCs w:val="21"/>
              </w:rPr>
              <w:t>1</w:t>
            </w:r>
            <w:r>
              <w:rPr>
                <w:rFonts w:ascii="Times New Roman" w:hAnsi="Times New Roman"/>
                <w:b/>
                <w:bCs/>
                <w:kern w:val="0"/>
                <w:sz w:val="21"/>
                <w:szCs w:val="21"/>
              </w:rPr>
              <w:t>年内回款占比</w:t>
            </w:r>
          </w:p>
        </w:tc>
      </w:tr>
      <w:tr w:rsidR="008D76D6" w14:paraId="1201C1FD" w14:textId="77777777">
        <w:trPr>
          <w:trHeight w:val="454"/>
        </w:trPr>
        <w:tc>
          <w:tcPr>
            <w:tcW w:w="1056" w:type="pct"/>
            <w:vAlign w:val="center"/>
          </w:tcPr>
          <w:p w14:paraId="082D10DE" w14:textId="77777777" w:rsidR="008D76D6" w:rsidRDefault="008D76D6" w:rsidP="0077527A">
            <w:pPr>
              <w:spacing w:beforeLines="0" w:before="0" w:afterLines="0" w:after="0" w:line="240" w:lineRule="auto"/>
              <w:ind w:firstLineChars="0" w:firstLine="0"/>
              <w:rPr>
                <w:rFonts w:ascii="Times New Roman" w:hAnsi="Times New Roman"/>
                <w:kern w:val="0"/>
                <w:sz w:val="21"/>
                <w:szCs w:val="21"/>
              </w:rPr>
            </w:pPr>
            <w:r>
              <w:rPr>
                <w:rFonts w:ascii="Times New Roman" w:hAnsi="Times New Roman"/>
                <w:kern w:val="0"/>
                <w:sz w:val="21"/>
                <w:szCs w:val="21"/>
              </w:rPr>
              <w:t>2023</w:t>
            </w:r>
            <w:r>
              <w:rPr>
                <w:rFonts w:ascii="Times New Roman" w:hAnsi="Times New Roman"/>
                <w:kern w:val="0"/>
                <w:sz w:val="21"/>
                <w:szCs w:val="21"/>
              </w:rPr>
              <w:t>年</w:t>
            </w:r>
            <w:r>
              <w:rPr>
                <w:rFonts w:ascii="Times New Roman" w:hAnsi="Times New Roman"/>
                <w:kern w:val="0"/>
                <w:sz w:val="21"/>
                <w:szCs w:val="21"/>
              </w:rPr>
              <w:t>9</w:t>
            </w:r>
            <w:r>
              <w:rPr>
                <w:rFonts w:ascii="Times New Roman" w:hAnsi="Times New Roman"/>
                <w:kern w:val="0"/>
                <w:sz w:val="21"/>
                <w:szCs w:val="21"/>
              </w:rPr>
              <w:t>月</w:t>
            </w:r>
            <w:r>
              <w:rPr>
                <w:rFonts w:ascii="Times New Roman" w:hAnsi="Times New Roman"/>
                <w:kern w:val="0"/>
                <w:sz w:val="21"/>
                <w:szCs w:val="21"/>
              </w:rPr>
              <w:t>30</w:t>
            </w:r>
            <w:r>
              <w:rPr>
                <w:rFonts w:ascii="Times New Roman" w:hAnsi="Times New Roman"/>
                <w:kern w:val="0"/>
                <w:sz w:val="21"/>
                <w:szCs w:val="21"/>
              </w:rPr>
              <w:t>日</w:t>
            </w:r>
          </w:p>
        </w:tc>
        <w:tc>
          <w:tcPr>
            <w:tcW w:w="945" w:type="pct"/>
            <w:vAlign w:val="center"/>
          </w:tcPr>
          <w:p w14:paraId="43ECC14E"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5,522.76</w:t>
            </w:r>
          </w:p>
        </w:tc>
        <w:tc>
          <w:tcPr>
            <w:tcW w:w="1000" w:type="pct"/>
            <w:vAlign w:val="center"/>
          </w:tcPr>
          <w:p w14:paraId="6CC0B110"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3,278.66</w:t>
            </w:r>
          </w:p>
        </w:tc>
        <w:tc>
          <w:tcPr>
            <w:tcW w:w="1000" w:type="pct"/>
            <w:vAlign w:val="center"/>
          </w:tcPr>
          <w:p w14:paraId="3755A9F3"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w:t>
            </w:r>
          </w:p>
        </w:tc>
        <w:tc>
          <w:tcPr>
            <w:tcW w:w="999" w:type="pct"/>
            <w:vAlign w:val="center"/>
          </w:tcPr>
          <w:p w14:paraId="6C65A1EC" w14:textId="77777777" w:rsidR="008D76D6" w:rsidRDefault="008D76D6" w:rsidP="0077527A">
            <w:pPr>
              <w:spacing w:beforeLines="0" w:before="0" w:afterLines="0" w:after="0" w:line="240" w:lineRule="auto"/>
              <w:ind w:firstLineChars="0" w:firstLine="0"/>
              <w:jc w:val="right"/>
              <w:rPr>
                <w:rFonts w:ascii="Times New Roman" w:hAnsi="Times New Roman"/>
                <w:sz w:val="21"/>
                <w:szCs w:val="21"/>
              </w:rPr>
            </w:pPr>
            <w:r>
              <w:rPr>
                <w:rFonts w:ascii="Times New Roman" w:hAnsi="Times New Roman"/>
                <w:sz w:val="21"/>
                <w:szCs w:val="21"/>
              </w:rPr>
              <w:t>59.37%</w:t>
            </w:r>
          </w:p>
        </w:tc>
      </w:tr>
      <w:tr w:rsidR="008D76D6" w14:paraId="53A965F4" w14:textId="77777777">
        <w:trPr>
          <w:trHeight w:val="454"/>
        </w:trPr>
        <w:tc>
          <w:tcPr>
            <w:tcW w:w="1056" w:type="pct"/>
            <w:vAlign w:val="center"/>
          </w:tcPr>
          <w:p w14:paraId="687BC613" w14:textId="77777777" w:rsidR="008D76D6" w:rsidRDefault="008D76D6" w:rsidP="0077527A">
            <w:pPr>
              <w:spacing w:beforeLines="0" w:before="0" w:afterLines="0" w:after="0" w:line="240" w:lineRule="auto"/>
              <w:ind w:firstLineChars="0" w:firstLine="0"/>
              <w:rPr>
                <w:rFonts w:ascii="Times New Roman" w:hAnsi="Times New Roman"/>
                <w:kern w:val="0"/>
                <w:sz w:val="21"/>
                <w:szCs w:val="21"/>
              </w:rPr>
            </w:pPr>
            <w:r>
              <w:rPr>
                <w:rFonts w:ascii="Times New Roman" w:hAnsi="Times New Roman"/>
                <w:kern w:val="0"/>
                <w:sz w:val="21"/>
                <w:szCs w:val="21"/>
              </w:rPr>
              <w:t>2022</w:t>
            </w:r>
            <w:r>
              <w:rPr>
                <w:rFonts w:ascii="Times New Roman" w:hAnsi="Times New Roman"/>
                <w:kern w:val="0"/>
                <w:sz w:val="21"/>
                <w:szCs w:val="21"/>
              </w:rPr>
              <w:t>年</w:t>
            </w:r>
            <w:r>
              <w:rPr>
                <w:rFonts w:ascii="Times New Roman" w:hAnsi="Times New Roman"/>
                <w:kern w:val="0"/>
                <w:sz w:val="21"/>
                <w:szCs w:val="21"/>
              </w:rPr>
              <w:t>12</w:t>
            </w:r>
            <w:r>
              <w:rPr>
                <w:rFonts w:ascii="Times New Roman" w:hAnsi="Times New Roman"/>
                <w:kern w:val="0"/>
                <w:sz w:val="21"/>
                <w:szCs w:val="21"/>
              </w:rPr>
              <w:t>月</w:t>
            </w:r>
            <w:r>
              <w:rPr>
                <w:rFonts w:ascii="Times New Roman" w:hAnsi="Times New Roman"/>
                <w:kern w:val="0"/>
                <w:sz w:val="21"/>
                <w:szCs w:val="21"/>
              </w:rPr>
              <w:t>31</w:t>
            </w:r>
            <w:r>
              <w:rPr>
                <w:rFonts w:ascii="Times New Roman" w:hAnsi="Times New Roman"/>
                <w:kern w:val="0"/>
                <w:sz w:val="21"/>
                <w:szCs w:val="21"/>
              </w:rPr>
              <w:t>日</w:t>
            </w:r>
          </w:p>
        </w:tc>
        <w:tc>
          <w:tcPr>
            <w:tcW w:w="945" w:type="pct"/>
            <w:vAlign w:val="center"/>
          </w:tcPr>
          <w:p w14:paraId="6F6AA576"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5,403.60</w:t>
            </w:r>
          </w:p>
        </w:tc>
        <w:tc>
          <w:tcPr>
            <w:tcW w:w="1000" w:type="pct"/>
            <w:vAlign w:val="center"/>
          </w:tcPr>
          <w:p w14:paraId="695A828C"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5,365.34</w:t>
            </w:r>
          </w:p>
        </w:tc>
        <w:tc>
          <w:tcPr>
            <w:tcW w:w="1000" w:type="pct"/>
            <w:vAlign w:val="center"/>
          </w:tcPr>
          <w:p w14:paraId="504F173D"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kern w:val="0"/>
                <w:sz w:val="21"/>
                <w:szCs w:val="21"/>
              </w:rPr>
              <w:t>-</w:t>
            </w:r>
          </w:p>
        </w:tc>
        <w:tc>
          <w:tcPr>
            <w:tcW w:w="999" w:type="pct"/>
            <w:vAlign w:val="center"/>
          </w:tcPr>
          <w:p w14:paraId="053B6BF6"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99.29%</w:t>
            </w:r>
          </w:p>
        </w:tc>
      </w:tr>
      <w:tr w:rsidR="008D76D6" w14:paraId="46C63FD2" w14:textId="77777777">
        <w:trPr>
          <w:trHeight w:val="454"/>
        </w:trPr>
        <w:tc>
          <w:tcPr>
            <w:tcW w:w="1056" w:type="pct"/>
            <w:vAlign w:val="center"/>
          </w:tcPr>
          <w:p w14:paraId="24B91437" w14:textId="77777777" w:rsidR="008D76D6" w:rsidRDefault="008D76D6" w:rsidP="0077527A">
            <w:pPr>
              <w:spacing w:beforeLines="0" w:before="0" w:afterLines="0" w:after="0" w:line="240" w:lineRule="auto"/>
              <w:ind w:firstLineChars="0" w:firstLine="0"/>
              <w:rPr>
                <w:rFonts w:ascii="Times New Roman" w:hAnsi="Times New Roman"/>
                <w:kern w:val="0"/>
                <w:sz w:val="21"/>
                <w:szCs w:val="21"/>
              </w:rPr>
            </w:pPr>
            <w:r>
              <w:rPr>
                <w:rFonts w:ascii="Times New Roman" w:hAnsi="Times New Roman"/>
                <w:kern w:val="0"/>
                <w:sz w:val="21"/>
                <w:szCs w:val="21"/>
              </w:rPr>
              <w:t>2021</w:t>
            </w:r>
            <w:r>
              <w:rPr>
                <w:rFonts w:ascii="Times New Roman" w:hAnsi="Times New Roman"/>
                <w:kern w:val="0"/>
                <w:sz w:val="21"/>
                <w:szCs w:val="21"/>
              </w:rPr>
              <w:t>年</w:t>
            </w:r>
            <w:r>
              <w:rPr>
                <w:rFonts w:ascii="Times New Roman" w:hAnsi="Times New Roman"/>
                <w:kern w:val="0"/>
                <w:sz w:val="21"/>
                <w:szCs w:val="21"/>
              </w:rPr>
              <w:t>12</w:t>
            </w:r>
            <w:r>
              <w:rPr>
                <w:rFonts w:ascii="Times New Roman" w:hAnsi="Times New Roman"/>
                <w:kern w:val="0"/>
                <w:sz w:val="21"/>
                <w:szCs w:val="21"/>
              </w:rPr>
              <w:t>月</w:t>
            </w:r>
            <w:r>
              <w:rPr>
                <w:rFonts w:ascii="Times New Roman" w:hAnsi="Times New Roman"/>
                <w:kern w:val="0"/>
                <w:sz w:val="21"/>
                <w:szCs w:val="21"/>
              </w:rPr>
              <w:t>31</w:t>
            </w:r>
            <w:r>
              <w:rPr>
                <w:rFonts w:ascii="Times New Roman" w:hAnsi="Times New Roman"/>
                <w:kern w:val="0"/>
                <w:sz w:val="21"/>
                <w:szCs w:val="21"/>
              </w:rPr>
              <w:t>日</w:t>
            </w:r>
          </w:p>
        </w:tc>
        <w:tc>
          <w:tcPr>
            <w:tcW w:w="945" w:type="pct"/>
            <w:vAlign w:val="center"/>
          </w:tcPr>
          <w:p w14:paraId="6B493BE6"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5,434.30</w:t>
            </w:r>
          </w:p>
        </w:tc>
        <w:tc>
          <w:tcPr>
            <w:tcW w:w="1000" w:type="pct"/>
            <w:vAlign w:val="center"/>
          </w:tcPr>
          <w:p w14:paraId="738BD00D"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5,399.27</w:t>
            </w:r>
          </w:p>
        </w:tc>
        <w:tc>
          <w:tcPr>
            <w:tcW w:w="1000" w:type="pct"/>
            <w:vAlign w:val="center"/>
          </w:tcPr>
          <w:p w14:paraId="55B97955"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kern w:val="0"/>
                <w:sz w:val="21"/>
                <w:szCs w:val="21"/>
              </w:rPr>
              <w:t>-</w:t>
            </w:r>
          </w:p>
        </w:tc>
        <w:tc>
          <w:tcPr>
            <w:tcW w:w="999" w:type="pct"/>
            <w:vAlign w:val="center"/>
          </w:tcPr>
          <w:p w14:paraId="4770A066"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99.36%</w:t>
            </w:r>
          </w:p>
        </w:tc>
      </w:tr>
      <w:tr w:rsidR="008D76D6" w14:paraId="2079240A" w14:textId="77777777">
        <w:trPr>
          <w:trHeight w:val="454"/>
        </w:trPr>
        <w:tc>
          <w:tcPr>
            <w:tcW w:w="1056" w:type="pct"/>
            <w:vAlign w:val="center"/>
          </w:tcPr>
          <w:p w14:paraId="3E8B422B" w14:textId="77777777" w:rsidR="008D76D6" w:rsidRDefault="008D76D6" w:rsidP="0077527A">
            <w:pPr>
              <w:spacing w:beforeLines="0" w:before="0" w:afterLines="0" w:after="0" w:line="240" w:lineRule="auto"/>
              <w:ind w:firstLineChars="0" w:firstLine="0"/>
              <w:rPr>
                <w:rFonts w:ascii="Times New Roman" w:hAnsi="Times New Roman"/>
                <w:kern w:val="0"/>
                <w:sz w:val="21"/>
                <w:szCs w:val="21"/>
              </w:rPr>
            </w:pPr>
            <w:r>
              <w:rPr>
                <w:rFonts w:ascii="Times New Roman" w:hAnsi="Times New Roman"/>
                <w:kern w:val="0"/>
                <w:sz w:val="21"/>
                <w:szCs w:val="21"/>
              </w:rPr>
              <w:t>2020</w:t>
            </w:r>
            <w:r>
              <w:rPr>
                <w:rFonts w:ascii="Times New Roman" w:hAnsi="Times New Roman"/>
                <w:kern w:val="0"/>
                <w:sz w:val="21"/>
                <w:szCs w:val="21"/>
              </w:rPr>
              <w:t>年</w:t>
            </w:r>
            <w:r>
              <w:rPr>
                <w:rFonts w:ascii="Times New Roman" w:hAnsi="Times New Roman"/>
                <w:kern w:val="0"/>
                <w:sz w:val="21"/>
                <w:szCs w:val="21"/>
              </w:rPr>
              <w:t>12</w:t>
            </w:r>
            <w:r>
              <w:rPr>
                <w:rFonts w:ascii="Times New Roman" w:hAnsi="Times New Roman"/>
                <w:kern w:val="0"/>
                <w:sz w:val="21"/>
                <w:szCs w:val="21"/>
              </w:rPr>
              <w:t>月</w:t>
            </w:r>
            <w:r>
              <w:rPr>
                <w:rFonts w:ascii="Times New Roman" w:hAnsi="Times New Roman"/>
                <w:kern w:val="0"/>
                <w:sz w:val="21"/>
                <w:szCs w:val="21"/>
              </w:rPr>
              <w:t>31</w:t>
            </w:r>
            <w:r>
              <w:rPr>
                <w:rFonts w:ascii="Times New Roman" w:hAnsi="Times New Roman"/>
                <w:kern w:val="0"/>
                <w:sz w:val="21"/>
                <w:szCs w:val="21"/>
              </w:rPr>
              <w:t>日</w:t>
            </w:r>
          </w:p>
        </w:tc>
        <w:tc>
          <w:tcPr>
            <w:tcW w:w="945" w:type="pct"/>
            <w:vAlign w:val="center"/>
          </w:tcPr>
          <w:p w14:paraId="7F762E27"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2,764.97</w:t>
            </w:r>
          </w:p>
        </w:tc>
        <w:tc>
          <w:tcPr>
            <w:tcW w:w="1000" w:type="pct"/>
            <w:vAlign w:val="center"/>
          </w:tcPr>
          <w:p w14:paraId="73D599C2"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2,721.04</w:t>
            </w:r>
          </w:p>
        </w:tc>
        <w:tc>
          <w:tcPr>
            <w:tcW w:w="1000" w:type="pct"/>
            <w:vAlign w:val="center"/>
          </w:tcPr>
          <w:p w14:paraId="64789099"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8.08</w:t>
            </w:r>
          </w:p>
        </w:tc>
        <w:tc>
          <w:tcPr>
            <w:tcW w:w="999" w:type="pct"/>
            <w:vAlign w:val="center"/>
          </w:tcPr>
          <w:p w14:paraId="005037CB" w14:textId="77777777" w:rsidR="008D76D6" w:rsidRDefault="008D76D6" w:rsidP="0077527A">
            <w:pPr>
              <w:spacing w:beforeLines="0" w:before="0" w:afterLines="0" w:after="0" w:line="240" w:lineRule="auto"/>
              <w:ind w:firstLineChars="0" w:firstLine="0"/>
              <w:jc w:val="right"/>
              <w:rPr>
                <w:rFonts w:ascii="Times New Roman" w:hAnsi="Times New Roman"/>
                <w:kern w:val="0"/>
                <w:sz w:val="21"/>
                <w:szCs w:val="21"/>
              </w:rPr>
            </w:pPr>
            <w:r>
              <w:rPr>
                <w:rFonts w:ascii="Times New Roman" w:hAnsi="Times New Roman"/>
                <w:sz w:val="21"/>
                <w:szCs w:val="21"/>
              </w:rPr>
              <w:t>98.41%</w:t>
            </w:r>
          </w:p>
        </w:tc>
      </w:tr>
    </w:tbl>
    <w:p w14:paraId="62685D70" w14:textId="77777777" w:rsidR="008D76D6" w:rsidRDefault="008D76D6">
      <w:pPr>
        <w:spacing w:before="120" w:after="120" w:line="240" w:lineRule="auto"/>
        <w:ind w:firstLine="420"/>
        <w:rPr>
          <w:rFonts w:ascii="Times New Roman" w:hAnsi="Times New Roman"/>
          <w:sz w:val="21"/>
          <w:szCs w:val="21"/>
        </w:rPr>
      </w:pPr>
      <w:r>
        <w:rPr>
          <w:rFonts w:ascii="Times New Roman" w:hAnsi="Times New Roman" w:hint="eastAsia"/>
          <w:sz w:val="21"/>
          <w:szCs w:val="21"/>
        </w:rPr>
        <w:t>注</w:t>
      </w:r>
      <w:r>
        <w:rPr>
          <w:rFonts w:ascii="Times New Roman" w:hAnsi="Times New Roman"/>
          <w:sz w:val="21"/>
          <w:szCs w:val="21"/>
        </w:rPr>
        <w:t>：</w:t>
      </w:r>
      <w:r>
        <w:rPr>
          <w:rFonts w:ascii="Times New Roman" w:hAnsi="Times New Roman"/>
          <w:sz w:val="21"/>
          <w:szCs w:val="21"/>
        </w:rPr>
        <w:t>2023</w:t>
      </w:r>
      <w:r>
        <w:rPr>
          <w:rFonts w:ascii="Times New Roman" w:hAnsi="Times New Roman"/>
          <w:sz w:val="21"/>
          <w:szCs w:val="21"/>
        </w:rPr>
        <w:t>年</w:t>
      </w:r>
      <w:r>
        <w:rPr>
          <w:rFonts w:ascii="Times New Roman" w:hAnsi="Times New Roman"/>
          <w:sz w:val="21"/>
          <w:szCs w:val="21"/>
        </w:rPr>
        <w:t>9</w:t>
      </w:r>
      <w:r>
        <w:rPr>
          <w:rFonts w:ascii="Times New Roman" w:hAnsi="Times New Roman"/>
          <w:sz w:val="21"/>
          <w:szCs w:val="21"/>
        </w:rPr>
        <w:t>月</w:t>
      </w:r>
      <w:r>
        <w:rPr>
          <w:rFonts w:ascii="Times New Roman" w:hAnsi="Times New Roman"/>
          <w:sz w:val="21"/>
          <w:szCs w:val="21"/>
        </w:rPr>
        <w:t>30</w:t>
      </w:r>
      <w:r>
        <w:rPr>
          <w:rFonts w:ascii="Times New Roman" w:hAnsi="Times New Roman"/>
          <w:sz w:val="21"/>
          <w:szCs w:val="21"/>
        </w:rPr>
        <w:t>日的应收账款期后回款为统计到</w:t>
      </w:r>
      <w:r>
        <w:rPr>
          <w:rFonts w:ascii="Times New Roman" w:hAnsi="Times New Roman"/>
          <w:sz w:val="21"/>
          <w:szCs w:val="21"/>
        </w:rPr>
        <w:t>2023</w:t>
      </w:r>
      <w:r>
        <w:rPr>
          <w:rFonts w:ascii="Times New Roman" w:hAnsi="Times New Roman"/>
          <w:sz w:val="21"/>
          <w:szCs w:val="21"/>
        </w:rPr>
        <w:t>年</w:t>
      </w:r>
      <w:r>
        <w:rPr>
          <w:rFonts w:ascii="Times New Roman" w:hAnsi="Times New Roman"/>
          <w:sz w:val="21"/>
          <w:szCs w:val="21"/>
        </w:rPr>
        <w:t>11</w:t>
      </w:r>
      <w:r>
        <w:rPr>
          <w:rFonts w:ascii="Times New Roman" w:hAnsi="Times New Roman"/>
          <w:sz w:val="21"/>
          <w:szCs w:val="21"/>
        </w:rPr>
        <w:t>月</w:t>
      </w:r>
      <w:r>
        <w:rPr>
          <w:rFonts w:ascii="Times New Roman" w:hAnsi="Times New Roman"/>
          <w:sz w:val="21"/>
          <w:szCs w:val="21"/>
        </w:rPr>
        <w:t>30</w:t>
      </w:r>
      <w:r>
        <w:rPr>
          <w:rFonts w:ascii="Times New Roman" w:hAnsi="Times New Roman"/>
          <w:sz w:val="21"/>
          <w:szCs w:val="21"/>
        </w:rPr>
        <w:t>日金额。</w:t>
      </w:r>
    </w:p>
    <w:p w14:paraId="58D576B1" w14:textId="77777777" w:rsidR="008D76D6" w:rsidRDefault="008D76D6">
      <w:pPr>
        <w:spacing w:before="120" w:after="120"/>
        <w:ind w:firstLine="480"/>
        <w:rPr>
          <w:rFonts w:ascii="Times New Roman" w:hAnsi="Times New Roman"/>
        </w:rPr>
      </w:pPr>
      <w:r>
        <w:rPr>
          <w:rFonts w:ascii="Times New Roman" w:hAnsi="Times New Roman"/>
        </w:rPr>
        <w:t>由上表可知，报告期内，公司境外销售应收账款期后回款情况较好，绝大部分款项能够在期后</w:t>
      </w:r>
      <w:r>
        <w:rPr>
          <w:rFonts w:ascii="Times New Roman" w:hAnsi="Times New Roman"/>
        </w:rPr>
        <w:t>1</w:t>
      </w:r>
      <w:r>
        <w:rPr>
          <w:rFonts w:ascii="Times New Roman" w:hAnsi="Times New Roman"/>
        </w:rPr>
        <w:t>年内收回，</w:t>
      </w:r>
      <w:r>
        <w:rPr>
          <w:rFonts w:ascii="Times New Roman" w:hAnsi="Times New Roman"/>
        </w:rPr>
        <w:t>2023</w:t>
      </w:r>
      <w:r>
        <w:rPr>
          <w:rFonts w:ascii="Times New Roman" w:hAnsi="Times New Roman"/>
        </w:rPr>
        <w:t>年</w:t>
      </w:r>
      <w:r>
        <w:rPr>
          <w:rFonts w:ascii="Times New Roman" w:hAnsi="Times New Roman"/>
        </w:rPr>
        <w:t>9</w:t>
      </w:r>
      <w:r>
        <w:rPr>
          <w:rFonts w:ascii="Times New Roman" w:hAnsi="Times New Roman"/>
        </w:rPr>
        <w:t>月</w:t>
      </w:r>
      <w:r>
        <w:rPr>
          <w:rFonts w:ascii="Times New Roman" w:hAnsi="Times New Roman"/>
        </w:rPr>
        <w:t>30</w:t>
      </w:r>
      <w:r>
        <w:rPr>
          <w:rFonts w:ascii="Times New Roman" w:hAnsi="Times New Roman"/>
        </w:rPr>
        <w:t>日应收账款回款比例相对较低，系部分应收账款未到回款期所致。综上，公司产品不存在大额退货的情形，产品均实现了真实的销售。</w:t>
      </w:r>
    </w:p>
    <w:p w14:paraId="10373873" w14:textId="77777777" w:rsidR="008D76D6" w:rsidRDefault="008D76D6" w:rsidP="00B434D2">
      <w:pPr>
        <w:pStyle w:val="004"/>
        <w:spacing w:before="120" w:after="120"/>
        <w:ind w:firstLine="482"/>
      </w:pPr>
      <w:r>
        <w:rPr>
          <w:rFonts w:hint="eastAsia"/>
        </w:rPr>
        <w:t>（七）</w:t>
      </w:r>
      <w:r>
        <w:t>贴牌客户合作模式及协议签订情况</w:t>
      </w:r>
    </w:p>
    <w:p w14:paraId="317D4694" w14:textId="77777777" w:rsidR="008D76D6" w:rsidRDefault="008D76D6">
      <w:pPr>
        <w:spacing w:before="120" w:after="120"/>
        <w:ind w:firstLine="480"/>
      </w:pPr>
      <w:r>
        <w:rPr>
          <w:rFonts w:hint="eastAsia"/>
        </w:rPr>
        <w:t>公司与</w:t>
      </w:r>
      <w:r>
        <w:t>贴牌客户的合作模式</w:t>
      </w:r>
      <w:r>
        <w:rPr>
          <w:rFonts w:hint="eastAsia"/>
        </w:rPr>
        <w:t>如下：</w:t>
      </w:r>
      <w:r>
        <w:t>公司通过国内外知名阀门企业或阀门品牌运营商的质量考核成为其合格供应商，按照客户的订制要求和技术标准生产专属产品，由客户以其自有品牌通过其销售网络进行销售，由客户负责对最终用户</w:t>
      </w:r>
      <w:r>
        <w:rPr>
          <w:rFonts w:hint="eastAsia"/>
        </w:rPr>
        <w:t>提供</w:t>
      </w:r>
      <w:r>
        <w:t>技术方案和售后服务，发行人作为贴牌商只对被贴牌方负责，被贴牌方即为发行人的终端用户。</w:t>
      </w:r>
    </w:p>
    <w:p w14:paraId="2E097B73" w14:textId="77777777" w:rsidR="008D76D6" w:rsidRDefault="008D76D6">
      <w:pPr>
        <w:spacing w:before="120" w:after="120"/>
        <w:ind w:firstLine="480"/>
      </w:pPr>
      <w:r>
        <w:t>报告期内，主要贴牌客户（各期前十大客户）合作模式、协议签订情况等列示如下：</w:t>
      </w:r>
    </w:p>
    <w:tbl>
      <w:tblPr>
        <w:tblW w:w="5000"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2"/>
        <w:gridCol w:w="3745"/>
        <w:gridCol w:w="1523"/>
        <w:gridCol w:w="1521"/>
        <w:gridCol w:w="1519"/>
      </w:tblGrid>
      <w:tr w:rsidR="00D170C8" w14:paraId="0B485820" w14:textId="77777777" w:rsidTr="00B434D2">
        <w:trPr>
          <w:trHeight w:val="454"/>
        </w:trPr>
        <w:tc>
          <w:tcPr>
            <w:tcW w:w="390" w:type="pct"/>
            <w:shd w:val="clear" w:color="auto" w:fill="D9D9D9"/>
            <w:vAlign w:val="center"/>
          </w:tcPr>
          <w:p w14:paraId="3CD1C2E5" w14:textId="77777777" w:rsidR="00D170C8" w:rsidRDefault="00D170C8" w:rsidP="0077527A">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b/>
                <w:bCs/>
                <w:sz w:val="21"/>
                <w:szCs w:val="21"/>
                <w:lang w:bidi="ar"/>
              </w:rPr>
              <w:t>序号</w:t>
            </w:r>
          </w:p>
        </w:tc>
        <w:tc>
          <w:tcPr>
            <w:tcW w:w="2078" w:type="pct"/>
            <w:shd w:val="clear" w:color="auto" w:fill="D9D9D9"/>
            <w:vAlign w:val="center"/>
          </w:tcPr>
          <w:p w14:paraId="562E960B" w14:textId="77777777" w:rsidR="00D170C8" w:rsidRDefault="00D170C8" w:rsidP="0077527A">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b/>
                <w:bCs/>
                <w:sz w:val="21"/>
                <w:szCs w:val="21"/>
                <w:lang w:bidi="ar"/>
              </w:rPr>
              <w:t>客户名称</w:t>
            </w:r>
          </w:p>
        </w:tc>
        <w:tc>
          <w:tcPr>
            <w:tcW w:w="845" w:type="pct"/>
            <w:shd w:val="clear" w:color="auto" w:fill="D9D9D9"/>
            <w:vAlign w:val="center"/>
          </w:tcPr>
          <w:p w14:paraId="543F0F71" w14:textId="77777777" w:rsidR="00D170C8" w:rsidRDefault="00D170C8" w:rsidP="0077527A">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b/>
                <w:bCs/>
                <w:sz w:val="21"/>
                <w:szCs w:val="21"/>
                <w:lang w:bidi="ar"/>
              </w:rPr>
              <w:t>贴牌客户</w:t>
            </w:r>
          </w:p>
          <w:p w14:paraId="12404E07" w14:textId="77777777" w:rsidR="00D170C8" w:rsidRDefault="00D170C8" w:rsidP="0077527A">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b/>
                <w:bCs/>
                <w:sz w:val="21"/>
                <w:szCs w:val="21"/>
                <w:lang w:bidi="ar"/>
              </w:rPr>
              <w:t>合作模式</w:t>
            </w:r>
          </w:p>
        </w:tc>
        <w:tc>
          <w:tcPr>
            <w:tcW w:w="844" w:type="pct"/>
            <w:shd w:val="clear" w:color="auto" w:fill="D9D9D9"/>
            <w:vAlign w:val="center"/>
          </w:tcPr>
          <w:p w14:paraId="47FE0C34" w14:textId="77777777" w:rsidR="00D170C8" w:rsidRDefault="00D170C8" w:rsidP="0077527A">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hint="eastAsia"/>
                <w:b/>
                <w:bCs/>
                <w:sz w:val="21"/>
                <w:szCs w:val="21"/>
                <w:lang w:bidi="ar"/>
              </w:rPr>
              <w:t>开始合作时间</w:t>
            </w:r>
          </w:p>
        </w:tc>
        <w:tc>
          <w:tcPr>
            <w:tcW w:w="843" w:type="pct"/>
            <w:shd w:val="clear" w:color="auto" w:fill="D9D9D9"/>
            <w:vAlign w:val="center"/>
          </w:tcPr>
          <w:p w14:paraId="7827006D" w14:textId="77777777" w:rsidR="00D170C8" w:rsidRDefault="00D170C8" w:rsidP="0077527A">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b/>
                <w:bCs/>
                <w:sz w:val="21"/>
                <w:szCs w:val="21"/>
                <w:lang w:bidi="ar"/>
              </w:rPr>
              <w:t>协议类型</w:t>
            </w:r>
          </w:p>
        </w:tc>
      </w:tr>
      <w:tr w:rsidR="00D170C8" w14:paraId="6849CE29" w14:textId="77777777" w:rsidTr="00B434D2">
        <w:trPr>
          <w:trHeight w:val="454"/>
        </w:trPr>
        <w:tc>
          <w:tcPr>
            <w:tcW w:w="390" w:type="pct"/>
            <w:vAlign w:val="center"/>
          </w:tcPr>
          <w:p w14:paraId="71698748" w14:textId="77777777" w:rsid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w:t>
            </w:r>
          </w:p>
        </w:tc>
        <w:tc>
          <w:tcPr>
            <w:tcW w:w="2078" w:type="pct"/>
            <w:vAlign w:val="center"/>
          </w:tcPr>
          <w:p w14:paraId="7877D62E" w14:textId="77777777" w:rsidR="00D170C8" w:rsidRDefault="00D170C8" w:rsidP="008C4EDC">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sz w:val="21"/>
                <w:szCs w:val="21"/>
              </w:rPr>
              <w:t>J&amp;S Valve, Inc</w:t>
            </w:r>
          </w:p>
        </w:tc>
        <w:tc>
          <w:tcPr>
            <w:tcW w:w="845" w:type="pct"/>
            <w:vAlign w:val="center"/>
          </w:tcPr>
          <w:p w14:paraId="28609AD3"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OEM</w:t>
            </w:r>
          </w:p>
        </w:tc>
        <w:tc>
          <w:tcPr>
            <w:tcW w:w="844" w:type="pct"/>
            <w:vAlign w:val="center"/>
          </w:tcPr>
          <w:p w14:paraId="1D204AB9" w14:textId="77777777" w:rsidR="00D170C8" w:rsidRP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sidRPr="00B434D2">
              <w:rPr>
                <w:rFonts w:ascii="Times New Roman" w:hAnsi="Times New Roman"/>
                <w:sz w:val="21"/>
                <w:szCs w:val="21"/>
              </w:rPr>
              <w:t>2006</w:t>
            </w:r>
            <w:r w:rsidRPr="00B434D2">
              <w:rPr>
                <w:rFonts w:ascii="Times New Roman" w:hAnsi="Times New Roman"/>
                <w:sz w:val="21"/>
                <w:szCs w:val="21"/>
              </w:rPr>
              <w:t>年</w:t>
            </w:r>
          </w:p>
        </w:tc>
        <w:tc>
          <w:tcPr>
            <w:tcW w:w="843" w:type="pct"/>
            <w:vAlign w:val="center"/>
          </w:tcPr>
          <w:p w14:paraId="7ADF6C47"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一单一签</w:t>
            </w:r>
          </w:p>
        </w:tc>
      </w:tr>
      <w:tr w:rsidR="00D170C8" w14:paraId="4F9FB64B" w14:textId="77777777" w:rsidTr="00B434D2">
        <w:trPr>
          <w:trHeight w:val="454"/>
        </w:trPr>
        <w:tc>
          <w:tcPr>
            <w:tcW w:w="390" w:type="pct"/>
            <w:vAlign w:val="center"/>
          </w:tcPr>
          <w:p w14:paraId="7276EA29" w14:textId="77777777" w:rsid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w:t>
            </w:r>
          </w:p>
        </w:tc>
        <w:tc>
          <w:tcPr>
            <w:tcW w:w="2078" w:type="pct"/>
            <w:vAlign w:val="center"/>
          </w:tcPr>
          <w:p w14:paraId="57021CFB" w14:textId="77777777" w:rsidR="00D170C8" w:rsidRDefault="00D170C8" w:rsidP="008C4EDC">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sz w:val="21"/>
                <w:szCs w:val="21"/>
              </w:rPr>
              <w:t>LANSDALE INTERNATIONAL LLC</w:t>
            </w:r>
          </w:p>
        </w:tc>
        <w:tc>
          <w:tcPr>
            <w:tcW w:w="845" w:type="pct"/>
            <w:vAlign w:val="center"/>
          </w:tcPr>
          <w:p w14:paraId="071EAD37"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OEM</w:t>
            </w:r>
          </w:p>
        </w:tc>
        <w:tc>
          <w:tcPr>
            <w:tcW w:w="844" w:type="pct"/>
            <w:vAlign w:val="center"/>
          </w:tcPr>
          <w:p w14:paraId="3EE7DD43" w14:textId="77777777" w:rsidR="00D170C8" w:rsidRP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sidRPr="00B434D2">
              <w:rPr>
                <w:rFonts w:ascii="Times New Roman" w:hAnsi="Times New Roman"/>
                <w:sz w:val="21"/>
                <w:szCs w:val="21"/>
              </w:rPr>
              <w:t>2016</w:t>
            </w:r>
            <w:r w:rsidRPr="00B434D2">
              <w:rPr>
                <w:rFonts w:ascii="Times New Roman" w:hAnsi="Times New Roman"/>
                <w:sz w:val="21"/>
                <w:szCs w:val="21"/>
              </w:rPr>
              <w:t>年</w:t>
            </w:r>
          </w:p>
        </w:tc>
        <w:tc>
          <w:tcPr>
            <w:tcW w:w="843" w:type="pct"/>
            <w:vAlign w:val="center"/>
          </w:tcPr>
          <w:p w14:paraId="60203BB7"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一单一签</w:t>
            </w:r>
          </w:p>
        </w:tc>
      </w:tr>
      <w:tr w:rsidR="00D170C8" w14:paraId="01661F44" w14:textId="77777777" w:rsidTr="00B434D2">
        <w:trPr>
          <w:trHeight w:val="454"/>
        </w:trPr>
        <w:tc>
          <w:tcPr>
            <w:tcW w:w="390" w:type="pct"/>
            <w:vAlign w:val="center"/>
          </w:tcPr>
          <w:p w14:paraId="3D213AC8" w14:textId="77777777" w:rsid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3</w:t>
            </w:r>
          </w:p>
        </w:tc>
        <w:tc>
          <w:tcPr>
            <w:tcW w:w="2078" w:type="pct"/>
            <w:vAlign w:val="center"/>
          </w:tcPr>
          <w:p w14:paraId="3ED8D4D6" w14:textId="77777777" w:rsidR="00D170C8" w:rsidRDefault="00D170C8" w:rsidP="008C4EDC">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sz w:val="21"/>
                <w:szCs w:val="21"/>
              </w:rPr>
              <w:t>GIACOMINI UNIVAL TESISAT ARMATURLERI SAN.VE TIC.LTD.STI.</w:t>
            </w:r>
          </w:p>
        </w:tc>
        <w:tc>
          <w:tcPr>
            <w:tcW w:w="845" w:type="pct"/>
            <w:vAlign w:val="center"/>
          </w:tcPr>
          <w:p w14:paraId="1F69E8D7"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OEM+ODM</w:t>
            </w:r>
          </w:p>
        </w:tc>
        <w:tc>
          <w:tcPr>
            <w:tcW w:w="844" w:type="pct"/>
            <w:vAlign w:val="center"/>
          </w:tcPr>
          <w:p w14:paraId="3D164471" w14:textId="77777777" w:rsidR="00D170C8" w:rsidRP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sidRPr="00B434D2">
              <w:rPr>
                <w:rFonts w:ascii="Times New Roman" w:hAnsi="Times New Roman"/>
                <w:sz w:val="21"/>
                <w:szCs w:val="21"/>
              </w:rPr>
              <w:t>2010</w:t>
            </w:r>
            <w:r w:rsidRPr="00B434D2">
              <w:rPr>
                <w:rFonts w:ascii="Times New Roman" w:hAnsi="Times New Roman"/>
                <w:sz w:val="21"/>
                <w:szCs w:val="21"/>
              </w:rPr>
              <w:t>年</w:t>
            </w:r>
          </w:p>
        </w:tc>
        <w:tc>
          <w:tcPr>
            <w:tcW w:w="843" w:type="pct"/>
            <w:vAlign w:val="center"/>
          </w:tcPr>
          <w:p w14:paraId="1A4C6FB4"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一单一签</w:t>
            </w:r>
          </w:p>
        </w:tc>
      </w:tr>
      <w:tr w:rsidR="00D170C8" w14:paraId="7095D4AA" w14:textId="77777777" w:rsidTr="00B434D2">
        <w:trPr>
          <w:trHeight w:val="454"/>
        </w:trPr>
        <w:tc>
          <w:tcPr>
            <w:tcW w:w="390" w:type="pct"/>
            <w:vAlign w:val="center"/>
          </w:tcPr>
          <w:p w14:paraId="45CA2322" w14:textId="77777777" w:rsid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4</w:t>
            </w:r>
          </w:p>
        </w:tc>
        <w:tc>
          <w:tcPr>
            <w:tcW w:w="2078" w:type="pct"/>
            <w:vAlign w:val="center"/>
          </w:tcPr>
          <w:p w14:paraId="76B2A85D" w14:textId="77777777" w:rsidR="00D170C8" w:rsidRDefault="00D170C8" w:rsidP="008C4EDC">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sz w:val="21"/>
                <w:szCs w:val="21"/>
              </w:rPr>
              <w:t>LICHFIELD FIRE AND SAFETY EQUIPMENT FZE</w:t>
            </w:r>
          </w:p>
        </w:tc>
        <w:tc>
          <w:tcPr>
            <w:tcW w:w="845" w:type="pct"/>
            <w:vAlign w:val="center"/>
          </w:tcPr>
          <w:p w14:paraId="3EF1FB5C"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OEM</w:t>
            </w:r>
          </w:p>
        </w:tc>
        <w:tc>
          <w:tcPr>
            <w:tcW w:w="844" w:type="pct"/>
            <w:vAlign w:val="center"/>
          </w:tcPr>
          <w:p w14:paraId="6444D0C3" w14:textId="77777777" w:rsidR="00D170C8" w:rsidRP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sidRPr="00B434D2">
              <w:rPr>
                <w:rFonts w:ascii="Times New Roman" w:hAnsi="Times New Roman"/>
                <w:sz w:val="21"/>
                <w:szCs w:val="21"/>
              </w:rPr>
              <w:t>2010</w:t>
            </w:r>
            <w:r w:rsidRPr="00B434D2">
              <w:rPr>
                <w:rFonts w:ascii="Times New Roman" w:hAnsi="Times New Roman"/>
                <w:sz w:val="21"/>
                <w:szCs w:val="21"/>
              </w:rPr>
              <w:t>年</w:t>
            </w:r>
          </w:p>
        </w:tc>
        <w:tc>
          <w:tcPr>
            <w:tcW w:w="843" w:type="pct"/>
            <w:vAlign w:val="center"/>
          </w:tcPr>
          <w:p w14:paraId="3F09A899"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一单一签</w:t>
            </w:r>
          </w:p>
        </w:tc>
      </w:tr>
      <w:tr w:rsidR="00D170C8" w14:paraId="5DC4A23D" w14:textId="77777777" w:rsidTr="00B434D2">
        <w:trPr>
          <w:trHeight w:val="454"/>
        </w:trPr>
        <w:tc>
          <w:tcPr>
            <w:tcW w:w="390" w:type="pct"/>
            <w:vAlign w:val="center"/>
          </w:tcPr>
          <w:p w14:paraId="3F0C6ADB" w14:textId="77777777" w:rsid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5</w:t>
            </w:r>
          </w:p>
        </w:tc>
        <w:tc>
          <w:tcPr>
            <w:tcW w:w="2078" w:type="pct"/>
            <w:vAlign w:val="center"/>
          </w:tcPr>
          <w:p w14:paraId="5A6C1904" w14:textId="77777777" w:rsidR="00D170C8" w:rsidRDefault="00D170C8" w:rsidP="008C4EDC">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sz w:val="21"/>
                <w:szCs w:val="21"/>
              </w:rPr>
              <w:t>REECE AUSTRALIA PTY LTD</w:t>
            </w:r>
          </w:p>
        </w:tc>
        <w:tc>
          <w:tcPr>
            <w:tcW w:w="845" w:type="pct"/>
            <w:vAlign w:val="center"/>
          </w:tcPr>
          <w:p w14:paraId="000896E8"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OEM+ODM</w:t>
            </w:r>
          </w:p>
        </w:tc>
        <w:tc>
          <w:tcPr>
            <w:tcW w:w="844" w:type="pct"/>
            <w:vAlign w:val="center"/>
          </w:tcPr>
          <w:p w14:paraId="6491FDB3" w14:textId="77777777" w:rsidR="00D170C8" w:rsidRP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sidRPr="00B434D2">
              <w:rPr>
                <w:rFonts w:ascii="Times New Roman" w:hAnsi="Times New Roman"/>
                <w:sz w:val="21"/>
                <w:szCs w:val="21"/>
              </w:rPr>
              <w:t>2005</w:t>
            </w:r>
            <w:r w:rsidRPr="00B434D2">
              <w:rPr>
                <w:rFonts w:ascii="Times New Roman" w:hAnsi="Times New Roman"/>
                <w:sz w:val="21"/>
                <w:szCs w:val="21"/>
              </w:rPr>
              <w:t>年</w:t>
            </w:r>
          </w:p>
        </w:tc>
        <w:tc>
          <w:tcPr>
            <w:tcW w:w="843" w:type="pct"/>
            <w:vAlign w:val="center"/>
          </w:tcPr>
          <w:p w14:paraId="4FBE9771"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一单一签</w:t>
            </w:r>
          </w:p>
        </w:tc>
      </w:tr>
      <w:tr w:rsidR="00D170C8" w14:paraId="5ADBC61D" w14:textId="77777777" w:rsidTr="00B434D2">
        <w:trPr>
          <w:trHeight w:val="454"/>
        </w:trPr>
        <w:tc>
          <w:tcPr>
            <w:tcW w:w="390" w:type="pct"/>
            <w:vAlign w:val="center"/>
          </w:tcPr>
          <w:p w14:paraId="5B90F658" w14:textId="77777777" w:rsid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6</w:t>
            </w:r>
          </w:p>
        </w:tc>
        <w:tc>
          <w:tcPr>
            <w:tcW w:w="2078" w:type="pct"/>
            <w:vAlign w:val="center"/>
          </w:tcPr>
          <w:p w14:paraId="6347754B" w14:textId="77777777" w:rsidR="00D170C8" w:rsidRDefault="00D170C8" w:rsidP="008C4EDC">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sz w:val="21"/>
                <w:szCs w:val="21"/>
              </w:rPr>
              <w:t>Victaulic Europe bvba – Belgium</w:t>
            </w:r>
          </w:p>
        </w:tc>
        <w:tc>
          <w:tcPr>
            <w:tcW w:w="845" w:type="pct"/>
            <w:vAlign w:val="center"/>
          </w:tcPr>
          <w:p w14:paraId="476BAA98"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OEM</w:t>
            </w:r>
          </w:p>
        </w:tc>
        <w:tc>
          <w:tcPr>
            <w:tcW w:w="844" w:type="pct"/>
            <w:vAlign w:val="center"/>
          </w:tcPr>
          <w:p w14:paraId="087C55B9" w14:textId="77777777" w:rsidR="00D170C8" w:rsidRP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sidRPr="00B434D2">
              <w:rPr>
                <w:rFonts w:ascii="Times New Roman" w:hAnsi="Times New Roman"/>
                <w:sz w:val="21"/>
                <w:szCs w:val="21"/>
              </w:rPr>
              <w:t>2017</w:t>
            </w:r>
            <w:r w:rsidRPr="00B434D2">
              <w:rPr>
                <w:rFonts w:ascii="Times New Roman" w:hAnsi="Times New Roman"/>
                <w:sz w:val="21"/>
                <w:szCs w:val="21"/>
              </w:rPr>
              <w:t>年</w:t>
            </w:r>
          </w:p>
        </w:tc>
        <w:tc>
          <w:tcPr>
            <w:tcW w:w="843" w:type="pct"/>
            <w:vAlign w:val="center"/>
          </w:tcPr>
          <w:p w14:paraId="24F15F25"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一单一签</w:t>
            </w:r>
          </w:p>
        </w:tc>
      </w:tr>
      <w:tr w:rsidR="00D170C8" w14:paraId="0878F0D9" w14:textId="77777777" w:rsidTr="00B434D2">
        <w:trPr>
          <w:trHeight w:val="454"/>
        </w:trPr>
        <w:tc>
          <w:tcPr>
            <w:tcW w:w="390" w:type="pct"/>
            <w:vAlign w:val="center"/>
          </w:tcPr>
          <w:p w14:paraId="3C4C1ECD" w14:textId="77777777" w:rsid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7</w:t>
            </w:r>
          </w:p>
        </w:tc>
        <w:tc>
          <w:tcPr>
            <w:tcW w:w="2078" w:type="pct"/>
            <w:vAlign w:val="center"/>
          </w:tcPr>
          <w:p w14:paraId="4F467743" w14:textId="77777777" w:rsidR="00D170C8" w:rsidRDefault="00D170C8" w:rsidP="008C4EDC">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sz w:val="21"/>
                <w:szCs w:val="21"/>
              </w:rPr>
              <w:t>Matco-Norca</w:t>
            </w:r>
          </w:p>
        </w:tc>
        <w:tc>
          <w:tcPr>
            <w:tcW w:w="845" w:type="pct"/>
            <w:vAlign w:val="center"/>
          </w:tcPr>
          <w:p w14:paraId="5D5A288B"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OEM</w:t>
            </w:r>
          </w:p>
        </w:tc>
        <w:tc>
          <w:tcPr>
            <w:tcW w:w="844" w:type="pct"/>
            <w:vAlign w:val="center"/>
          </w:tcPr>
          <w:p w14:paraId="66D24937" w14:textId="77777777" w:rsidR="00D170C8" w:rsidRP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sidRPr="00B434D2">
              <w:rPr>
                <w:rFonts w:ascii="Times New Roman" w:hAnsi="Times New Roman"/>
                <w:sz w:val="21"/>
                <w:szCs w:val="21"/>
              </w:rPr>
              <w:t>2011</w:t>
            </w:r>
            <w:r w:rsidRPr="00B434D2">
              <w:rPr>
                <w:rFonts w:ascii="Times New Roman" w:hAnsi="Times New Roman"/>
                <w:sz w:val="21"/>
                <w:szCs w:val="21"/>
              </w:rPr>
              <w:t>年</w:t>
            </w:r>
          </w:p>
        </w:tc>
        <w:tc>
          <w:tcPr>
            <w:tcW w:w="843" w:type="pct"/>
            <w:vAlign w:val="center"/>
          </w:tcPr>
          <w:p w14:paraId="2C4FB253"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一单一签</w:t>
            </w:r>
          </w:p>
        </w:tc>
      </w:tr>
      <w:tr w:rsidR="00D170C8" w14:paraId="3F729582" w14:textId="77777777" w:rsidTr="00B434D2">
        <w:trPr>
          <w:trHeight w:val="454"/>
        </w:trPr>
        <w:tc>
          <w:tcPr>
            <w:tcW w:w="390" w:type="pct"/>
            <w:vAlign w:val="center"/>
          </w:tcPr>
          <w:p w14:paraId="22BC6E61" w14:textId="77777777" w:rsid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8</w:t>
            </w:r>
          </w:p>
        </w:tc>
        <w:tc>
          <w:tcPr>
            <w:tcW w:w="2078" w:type="pct"/>
            <w:vAlign w:val="center"/>
          </w:tcPr>
          <w:p w14:paraId="31E345E6" w14:textId="77777777" w:rsidR="00D170C8" w:rsidRDefault="00D170C8" w:rsidP="008C4EDC">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sz w:val="21"/>
                <w:szCs w:val="21"/>
              </w:rPr>
              <w:t>FIRE FIGHTING EQUIPMENTS SLU</w:t>
            </w:r>
          </w:p>
        </w:tc>
        <w:tc>
          <w:tcPr>
            <w:tcW w:w="845" w:type="pct"/>
            <w:vAlign w:val="center"/>
          </w:tcPr>
          <w:p w14:paraId="76FD470B"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OEM</w:t>
            </w:r>
          </w:p>
        </w:tc>
        <w:tc>
          <w:tcPr>
            <w:tcW w:w="844" w:type="pct"/>
            <w:vAlign w:val="center"/>
          </w:tcPr>
          <w:p w14:paraId="6D9B5D91" w14:textId="77777777" w:rsidR="00D170C8" w:rsidRP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sidRPr="00B434D2">
              <w:rPr>
                <w:rFonts w:ascii="Times New Roman" w:hAnsi="Times New Roman"/>
                <w:sz w:val="21"/>
                <w:szCs w:val="21"/>
              </w:rPr>
              <w:t>2018</w:t>
            </w:r>
            <w:r w:rsidRPr="00B434D2">
              <w:rPr>
                <w:rFonts w:ascii="Times New Roman" w:hAnsi="Times New Roman"/>
                <w:sz w:val="21"/>
                <w:szCs w:val="21"/>
              </w:rPr>
              <w:t>年</w:t>
            </w:r>
          </w:p>
        </w:tc>
        <w:tc>
          <w:tcPr>
            <w:tcW w:w="843" w:type="pct"/>
            <w:vAlign w:val="center"/>
          </w:tcPr>
          <w:p w14:paraId="7C616527"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一单一签</w:t>
            </w:r>
          </w:p>
        </w:tc>
      </w:tr>
      <w:tr w:rsidR="00D170C8" w14:paraId="2B827E87" w14:textId="77777777" w:rsidTr="00B434D2">
        <w:trPr>
          <w:trHeight w:val="454"/>
        </w:trPr>
        <w:tc>
          <w:tcPr>
            <w:tcW w:w="390" w:type="pct"/>
            <w:vAlign w:val="center"/>
          </w:tcPr>
          <w:p w14:paraId="29DE7E4F" w14:textId="77777777" w:rsid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9</w:t>
            </w:r>
          </w:p>
        </w:tc>
        <w:tc>
          <w:tcPr>
            <w:tcW w:w="2078" w:type="pct"/>
            <w:vAlign w:val="center"/>
          </w:tcPr>
          <w:p w14:paraId="57A06D9F" w14:textId="77777777" w:rsidR="00D170C8" w:rsidRDefault="00D170C8" w:rsidP="008C4EDC">
            <w:pPr>
              <w:spacing w:beforeLines="0" w:before="0" w:afterLines="0" w:after="0" w:line="240" w:lineRule="auto"/>
              <w:ind w:firstLineChars="0" w:firstLine="0"/>
              <w:jc w:val="center"/>
              <w:rPr>
                <w:rFonts w:ascii="Times New Roman" w:hAnsi="Times New Roman"/>
                <w:b/>
                <w:bCs/>
                <w:sz w:val="21"/>
                <w:szCs w:val="21"/>
                <w:lang w:bidi="ar"/>
              </w:rPr>
            </w:pPr>
            <w:r>
              <w:rPr>
                <w:rFonts w:ascii="Times New Roman" w:hAnsi="Times New Roman"/>
                <w:sz w:val="21"/>
                <w:szCs w:val="21"/>
              </w:rPr>
              <w:t>Mercatura-GS Hungary Korlatolt Felelossegu Tarsasag</w:t>
            </w:r>
          </w:p>
        </w:tc>
        <w:tc>
          <w:tcPr>
            <w:tcW w:w="845" w:type="pct"/>
            <w:vAlign w:val="center"/>
          </w:tcPr>
          <w:p w14:paraId="409A4D32"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OEM</w:t>
            </w:r>
          </w:p>
        </w:tc>
        <w:tc>
          <w:tcPr>
            <w:tcW w:w="844" w:type="pct"/>
            <w:vAlign w:val="center"/>
          </w:tcPr>
          <w:p w14:paraId="7A90483C" w14:textId="77777777" w:rsidR="00D170C8" w:rsidRP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sidRPr="00B434D2">
              <w:rPr>
                <w:rFonts w:ascii="Times New Roman" w:hAnsi="Times New Roman"/>
                <w:sz w:val="21"/>
                <w:szCs w:val="21"/>
              </w:rPr>
              <w:t>2016</w:t>
            </w:r>
            <w:r w:rsidRPr="00B434D2">
              <w:rPr>
                <w:rFonts w:ascii="Times New Roman" w:hAnsi="Times New Roman"/>
                <w:sz w:val="21"/>
                <w:szCs w:val="21"/>
              </w:rPr>
              <w:t>年</w:t>
            </w:r>
          </w:p>
        </w:tc>
        <w:tc>
          <w:tcPr>
            <w:tcW w:w="843" w:type="pct"/>
            <w:vAlign w:val="center"/>
          </w:tcPr>
          <w:p w14:paraId="0C30142B"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一单一签</w:t>
            </w:r>
            <w:r>
              <w:rPr>
                <w:rFonts w:ascii="Times New Roman" w:hAnsi="Times New Roman"/>
                <w:color w:val="000000"/>
                <w:sz w:val="21"/>
                <w:szCs w:val="21"/>
              </w:rPr>
              <w:t>+</w:t>
            </w:r>
            <w:r>
              <w:rPr>
                <w:rFonts w:ascii="Times New Roman" w:hAnsi="Times New Roman"/>
                <w:color w:val="000000"/>
                <w:sz w:val="21"/>
                <w:szCs w:val="21"/>
              </w:rPr>
              <w:t>框架协议</w:t>
            </w:r>
          </w:p>
        </w:tc>
      </w:tr>
      <w:tr w:rsidR="00D170C8" w14:paraId="681F47DC" w14:textId="77777777" w:rsidTr="00B434D2">
        <w:trPr>
          <w:trHeight w:val="454"/>
        </w:trPr>
        <w:tc>
          <w:tcPr>
            <w:tcW w:w="390" w:type="pct"/>
            <w:vAlign w:val="center"/>
          </w:tcPr>
          <w:p w14:paraId="483CD0C4" w14:textId="77777777" w:rsid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10</w:t>
            </w:r>
          </w:p>
        </w:tc>
        <w:tc>
          <w:tcPr>
            <w:tcW w:w="2078" w:type="pct"/>
            <w:vAlign w:val="center"/>
          </w:tcPr>
          <w:p w14:paraId="6021D33B" w14:textId="77777777" w:rsidR="00D170C8" w:rsidRDefault="00D170C8" w:rsidP="00FF7218">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sz w:val="21"/>
                <w:szCs w:val="21"/>
              </w:rPr>
              <w:t>SOUTHERN VALVE &amp; FITTING USA,INCO.</w:t>
            </w:r>
          </w:p>
        </w:tc>
        <w:tc>
          <w:tcPr>
            <w:tcW w:w="845" w:type="pct"/>
            <w:vAlign w:val="center"/>
          </w:tcPr>
          <w:p w14:paraId="0CB16B15"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OEM</w:t>
            </w:r>
          </w:p>
        </w:tc>
        <w:tc>
          <w:tcPr>
            <w:tcW w:w="844" w:type="pct"/>
            <w:vAlign w:val="center"/>
          </w:tcPr>
          <w:p w14:paraId="0D65C6A5" w14:textId="77777777" w:rsidR="00D170C8" w:rsidRP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sidRPr="00B434D2">
              <w:rPr>
                <w:rFonts w:ascii="Times New Roman" w:hAnsi="Times New Roman"/>
                <w:sz w:val="21"/>
                <w:szCs w:val="21"/>
              </w:rPr>
              <w:t>2014</w:t>
            </w:r>
            <w:r w:rsidRPr="00B434D2">
              <w:rPr>
                <w:rFonts w:ascii="Times New Roman" w:hAnsi="Times New Roman"/>
                <w:sz w:val="21"/>
                <w:szCs w:val="21"/>
              </w:rPr>
              <w:t>年</w:t>
            </w:r>
          </w:p>
        </w:tc>
        <w:tc>
          <w:tcPr>
            <w:tcW w:w="843" w:type="pct"/>
            <w:vAlign w:val="center"/>
          </w:tcPr>
          <w:p w14:paraId="14825C65"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一单一签</w:t>
            </w:r>
          </w:p>
        </w:tc>
      </w:tr>
      <w:tr w:rsidR="00D170C8" w14:paraId="6B237A2E" w14:textId="77777777" w:rsidTr="00B434D2">
        <w:trPr>
          <w:trHeight w:val="454"/>
        </w:trPr>
        <w:tc>
          <w:tcPr>
            <w:tcW w:w="390" w:type="pct"/>
            <w:vAlign w:val="center"/>
          </w:tcPr>
          <w:p w14:paraId="1314B378" w14:textId="77777777" w:rsid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11</w:t>
            </w:r>
          </w:p>
        </w:tc>
        <w:tc>
          <w:tcPr>
            <w:tcW w:w="2078" w:type="pct"/>
            <w:vAlign w:val="center"/>
          </w:tcPr>
          <w:p w14:paraId="1C35AF54" w14:textId="77777777" w:rsidR="00D170C8" w:rsidRDefault="00D170C8" w:rsidP="00FF7218">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sz w:val="21"/>
                <w:szCs w:val="21"/>
              </w:rPr>
              <w:t>PACIFIC INDUSTRIAL PRODUCTS SUPPLIES INC.</w:t>
            </w:r>
          </w:p>
        </w:tc>
        <w:tc>
          <w:tcPr>
            <w:tcW w:w="845" w:type="pct"/>
            <w:vAlign w:val="center"/>
          </w:tcPr>
          <w:p w14:paraId="5293EDD9"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OEM</w:t>
            </w:r>
          </w:p>
        </w:tc>
        <w:tc>
          <w:tcPr>
            <w:tcW w:w="844" w:type="pct"/>
            <w:vAlign w:val="center"/>
          </w:tcPr>
          <w:p w14:paraId="101890DA" w14:textId="77777777" w:rsidR="00D170C8" w:rsidRP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sidRPr="00B434D2">
              <w:rPr>
                <w:rFonts w:ascii="Times New Roman" w:hAnsi="Times New Roman"/>
                <w:sz w:val="21"/>
                <w:szCs w:val="21"/>
              </w:rPr>
              <w:t>2016</w:t>
            </w:r>
            <w:r w:rsidRPr="00B434D2">
              <w:rPr>
                <w:rFonts w:ascii="Times New Roman" w:hAnsi="Times New Roman"/>
                <w:sz w:val="21"/>
                <w:szCs w:val="21"/>
              </w:rPr>
              <w:t>年</w:t>
            </w:r>
          </w:p>
        </w:tc>
        <w:tc>
          <w:tcPr>
            <w:tcW w:w="843" w:type="pct"/>
            <w:vAlign w:val="center"/>
          </w:tcPr>
          <w:p w14:paraId="1979A7B5"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一单一签</w:t>
            </w:r>
          </w:p>
        </w:tc>
      </w:tr>
      <w:tr w:rsidR="00D170C8" w14:paraId="1B20C3AB" w14:textId="77777777" w:rsidTr="00B434D2">
        <w:trPr>
          <w:trHeight w:val="454"/>
        </w:trPr>
        <w:tc>
          <w:tcPr>
            <w:tcW w:w="390" w:type="pct"/>
            <w:vAlign w:val="center"/>
          </w:tcPr>
          <w:p w14:paraId="4B133617" w14:textId="77777777" w:rsid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12</w:t>
            </w:r>
          </w:p>
        </w:tc>
        <w:tc>
          <w:tcPr>
            <w:tcW w:w="2078" w:type="pct"/>
            <w:vAlign w:val="center"/>
          </w:tcPr>
          <w:p w14:paraId="3B0EE21A" w14:textId="77777777" w:rsidR="00D170C8" w:rsidRDefault="00D170C8" w:rsidP="00FF7218">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sz w:val="21"/>
                <w:szCs w:val="21"/>
              </w:rPr>
              <w:t>IMI Hydronic Engineering International SA(Switzerland)</w:t>
            </w:r>
          </w:p>
        </w:tc>
        <w:tc>
          <w:tcPr>
            <w:tcW w:w="845" w:type="pct"/>
            <w:vAlign w:val="center"/>
          </w:tcPr>
          <w:p w14:paraId="4504DFCE"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OEM</w:t>
            </w:r>
          </w:p>
        </w:tc>
        <w:tc>
          <w:tcPr>
            <w:tcW w:w="844" w:type="pct"/>
            <w:vAlign w:val="center"/>
          </w:tcPr>
          <w:p w14:paraId="670AABF0" w14:textId="77777777" w:rsidR="00D170C8" w:rsidRP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sidRPr="00B434D2">
              <w:rPr>
                <w:rFonts w:ascii="Times New Roman" w:hAnsi="Times New Roman"/>
                <w:sz w:val="21"/>
                <w:szCs w:val="21"/>
              </w:rPr>
              <w:t>2006</w:t>
            </w:r>
            <w:r w:rsidRPr="00B434D2">
              <w:rPr>
                <w:rFonts w:ascii="Times New Roman" w:hAnsi="Times New Roman"/>
                <w:sz w:val="21"/>
                <w:szCs w:val="21"/>
              </w:rPr>
              <w:t>年</w:t>
            </w:r>
          </w:p>
        </w:tc>
        <w:tc>
          <w:tcPr>
            <w:tcW w:w="843" w:type="pct"/>
            <w:vAlign w:val="center"/>
          </w:tcPr>
          <w:p w14:paraId="1F7308AE"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一单一签</w:t>
            </w:r>
          </w:p>
        </w:tc>
      </w:tr>
      <w:tr w:rsidR="00D170C8" w14:paraId="001542AF" w14:textId="77777777" w:rsidTr="00B434D2">
        <w:trPr>
          <w:trHeight w:val="454"/>
        </w:trPr>
        <w:tc>
          <w:tcPr>
            <w:tcW w:w="390" w:type="pct"/>
            <w:vAlign w:val="center"/>
          </w:tcPr>
          <w:p w14:paraId="52FF4366" w14:textId="77777777" w:rsid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13</w:t>
            </w:r>
          </w:p>
        </w:tc>
        <w:tc>
          <w:tcPr>
            <w:tcW w:w="2078" w:type="pct"/>
            <w:vAlign w:val="center"/>
          </w:tcPr>
          <w:p w14:paraId="25C97673" w14:textId="77777777" w:rsidR="00D170C8" w:rsidRDefault="00D170C8" w:rsidP="00FF7218">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sz w:val="21"/>
                <w:szCs w:val="21"/>
              </w:rPr>
              <w:t>NATIONAL FIRE FIGHTING MANUFACTURING FZCO</w:t>
            </w:r>
          </w:p>
        </w:tc>
        <w:tc>
          <w:tcPr>
            <w:tcW w:w="845" w:type="pct"/>
            <w:vAlign w:val="center"/>
          </w:tcPr>
          <w:p w14:paraId="3CD1DDD0"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OEM</w:t>
            </w:r>
          </w:p>
        </w:tc>
        <w:tc>
          <w:tcPr>
            <w:tcW w:w="844" w:type="pct"/>
            <w:vAlign w:val="center"/>
          </w:tcPr>
          <w:p w14:paraId="5A374BB4" w14:textId="77777777" w:rsidR="00D170C8" w:rsidRP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sidRPr="00B434D2">
              <w:rPr>
                <w:rFonts w:ascii="Times New Roman" w:hAnsi="Times New Roman"/>
                <w:sz w:val="21"/>
                <w:szCs w:val="21"/>
              </w:rPr>
              <w:t>2010</w:t>
            </w:r>
            <w:r w:rsidRPr="00B434D2">
              <w:rPr>
                <w:rFonts w:ascii="Times New Roman" w:hAnsi="Times New Roman"/>
                <w:sz w:val="21"/>
                <w:szCs w:val="21"/>
              </w:rPr>
              <w:t>年</w:t>
            </w:r>
          </w:p>
        </w:tc>
        <w:tc>
          <w:tcPr>
            <w:tcW w:w="843" w:type="pct"/>
            <w:vAlign w:val="center"/>
          </w:tcPr>
          <w:p w14:paraId="16601BC0"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一单一签</w:t>
            </w:r>
          </w:p>
        </w:tc>
      </w:tr>
      <w:tr w:rsidR="00D170C8" w14:paraId="7AF9AF88" w14:textId="77777777" w:rsidTr="00B434D2">
        <w:trPr>
          <w:trHeight w:val="454"/>
        </w:trPr>
        <w:tc>
          <w:tcPr>
            <w:tcW w:w="390" w:type="pct"/>
            <w:vAlign w:val="center"/>
          </w:tcPr>
          <w:p w14:paraId="4AABF450" w14:textId="77777777" w:rsid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14</w:t>
            </w:r>
          </w:p>
        </w:tc>
        <w:tc>
          <w:tcPr>
            <w:tcW w:w="2078" w:type="pct"/>
            <w:vAlign w:val="center"/>
          </w:tcPr>
          <w:p w14:paraId="41C87881" w14:textId="77777777" w:rsidR="00D170C8" w:rsidRDefault="00D232C3" w:rsidP="00FF7218">
            <w:pPr>
              <w:spacing w:beforeLines="0" w:before="0" w:afterLines="0" w:after="0" w:line="240" w:lineRule="auto"/>
              <w:ind w:firstLineChars="0" w:firstLine="0"/>
              <w:jc w:val="center"/>
              <w:rPr>
                <w:rFonts w:ascii="Times New Roman" w:hAnsi="Times New Roman"/>
                <w:color w:val="000000"/>
                <w:sz w:val="21"/>
                <w:szCs w:val="21"/>
              </w:rPr>
            </w:pPr>
            <w:r w:rsidRPr="00D232C3">
              <w:rPr>
                <w:rFonts w:ascii="Times New Roman" w:hAnsi="Times New Roman"/>
                <w:sz w:val="21"/>
                <w:szCs w:val="21"/>
              </w:rPr>
              <w:t>CRANE LIMITED</w:t>
            </w:r>
          </w:p>
        </w:tc>
        <w:tc>
          <w:tcPr>
            <w:tcW w:w="845" w:type="pct"/>
            <w:vAlign w:val="center"/>
          </w:tcPr>
          <w:p w14:paraId="42C3D35E"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OEM</w:t>
            </w:r>
          </w:p>
        </w:tc>
        <w:tc>
          <w:tcPr>
            <w:tcW w:w="844" w:type="pct"/>
            <w:vAlign w:val="center"/>
          </w:tcPr>
          <w:p w14:paraId="6D908334" w14:textId="77777777" w:rsidR="00D170C8" w:rsidRPr="00D170C8" w:rsidRDefault="00D170C8" w:rsidP="0077527A">
            <w:pPr>
              <w:spacing w:beforeLines="0" w:before="0" w:afterLines="0" w:after="0" w:line="240" w:lineRule="auto"/>
              <w:ind w:firstLineChars="0" w:firstLine="0"/>
              <w:jc w:val="center"/>
              <w:rPr>
                <w:rFonts w:ascii="Times New Roman" w:hAnsi="Times New Roman"/>
                <w:color w:val="000000"/>
                <w:sz w:val="21"/>
                <w:szCs w:val="21"/>
              </w:rPr>
            </w:pPr>
            <w:r w:rsidRPr="00B434D2">
              <w:rPr>
                <w:rFonts w:ascii="Times New Roman" w:hAnsi="Times New Roman"/>
                <w:sz w:val="21"/>
                <w:szCs w:val="21"/>
              </w:rPr>
              <w:t>2003</w:t>
            </w:r>
            <w:r w:rsidRPr="00B434D2">
              <w:rPr>
                <w:rFonts w:ascii="Times New Roman" w:hAnsi="Times New Roman"/>
                <w:sz w:val="21"/>
                <w:szCs w:val="21"/>
              </w:rPr>
              <w:t>年</w:t>
            </w:r>
          </w:p>
        </w:tc>
        <w:tc>
          <w:tcPr>
            <w:tcW w:w="843" w:type="pct"/>
            <w:vAlign w:val="center"/>
          </w:tcPr>
          <w:p w14:paraId="5C065BB9" w14:textId="77777777" w:rsidR="00D170C8" w:rsidRDefault="00D170C8" w:rsidP="0077527A">
            <w:pPr>
              <w:spacing w:beforeLines="0" w:before="0" w:afterLines="0" w:after="0" w:line="240" w:lineRule="auto"/>
              <w:ind w:firstLineChars="0" w:firstLine="0"/>
              <w:jc w:val="center"/>
              <w:rPr>
                <w:rFonts w:ascii="Times New Roman" w:hAnsi="Times New Roman"/>
                <w:sz w:val="21"/>
                <w:szCs w:val="21"/>
                <w:lang w:bidi="ar"/>
              </w:rPr>
            </w:pPr>
            <w:r>
              <w:rPr>
                <w:rFonts w:ascii="Times New Roman" w:hAnsi="Times New Roman"/>
                <w:color w:val="000000"/>
                <w:sz w:val="21"/>
                <w:szCs w:val="21"/>
              </w:rPr>
              <w:t>一单一签</w:t>
            </w:r>
            <w:r>
              <w:rPr>
                <w:rFonts w:ascii="Times New Roman" w:hAnsi="Times New Roman"/>
                <w:color w:val="000000"/>
                <w:sz w:val="21"/>
                <w:szCs w:val="21"/>
              </w:rPr>
              <w:t>+</w:t>
            </w:r>
            <w:r>
              <w:rPr>
                <w:rFonts w:ascii="Times New Roman" w:hAnsi="Times New Roman"/>
                <w:color w:val="000000"/>
                <w:sz w:val="21"/>
                <w:szCs w:val="21"/>
              </w:rPr>
              <w:t>框架协议</w:t>
            </w:r>
          </w:p>
        </w:tc>
      </w:tr>
    </w:tbl>
    <w:p w14:paraId="57CFE0C0" w14:textId="77777777" w:rsidR="008D76D6" w:rsidRDefault="008D76D6">
      <w:pPr>
        <w:spacing w:before="120" w:after="120"/>
        <w:ind w:firstLine="480"/>
      </w:pPr>
      <w:r>
        <w:t>由上表可知，</w:t>
      </w:r>
      <w:r w:rsidR="0077527A">
        <w:t>发行人与</w:t>
      </w:r>
      <w:r w:rsidR="0051169C">
        <w:rPr>
          <w:rFonts w:hint="eastAsia"/>
        </w:rPr>
        <w:t>主要</w:t>
      </w:r>
      <w:r w:rsidR="0077527A">
        <w:t>贴牌客户的合作期限较长，客户依据其采购需求对发行人下达采购意向订单</w:t>
      </w:r>
      <w:r w:rsidR="0077527A">
        <w:rPr>
          <w:rFonts w:hint="eastAsia"/>
        </w:rPr>
        <w:t>。</w:t>
      </w:r>
      <w:r w:rsidR="00EE565D">
        <w:rPr>
          <w:rFonts w:hint="eastAsia"/>
        </w:rPr>
        <w:t>发行人</w:t>
      </w:r>
      <w:r>
        <w:t>除</w:t>
      </w:r>
      <w:r w:rsidR="00EE565D">
        <w:rPr>
          <w:rFonts w:hint="eastAsia"/>
        </w:rPr>
        <w:t>与</w:t>
      </w:r>
      <w:r>
        <w:t>少量客户签订框架协议外，</w:t>
      </w:r>
      <w:r w:rsidR="00EE565D">
        <w:rPr>
          <w:rFonts w:hint="eastAsia"/>
        </w:rPr>
        <w:t>与</w:t>
      </w:r>
      <w:r>
        <w:t>其他客户主要以一单一签的方式签订购销协议。</w:t>
      </w:r>
    </w:p>
    <w:p w14:paraId="5CEE18C3" w14:textId="77777777" w:rsidR="008D76D6" w:rsidRDefault="008D76D6" w:rsidP="00B434D2">
      <w:pPr>
        <w:pStyle w:val="004"/>
        <w:spacing w:before="120" w:after="120"/>
        <w:ind w:firstLine="482"/>
      </w:pPr>
      <w:r>
        <w:rPr>
          <w:rFonts w:hint="eastAsia"/>
        </w:rPr>
        <w:t>（八）</w:t>
      </w:r>
      <w:r>
        <w:t>说明报告期内函证涉及金额占境外收入的比例，并结合报告期内回函率情况，说明未回函原因及对未回函客户收入的核查是否履行替代程序及充分性。</w:t>
      </w:r>
    </w:p>
    <w:p w14:paraId="3538EA13" w14:textId="77777777" w:rsidR="008D76D6" w:rsidRDefault="008D76D6">
      <w:pPr>
        <w:spacing w:before="120" w:after="120"/>
        <w:ind w:firstLine="480"/>
      </w:pPr>
      <w:r>
        <w:t>报告期各期外销收入的函证比例及回函情况：</w:t>
      </w:r>
    </w:p>
    <w:p w14:paraId="6378B0B2" w14:textId="77777777" w:rsidR="008D76D6" w:rsidRDefault="008D76D6" w:rsidP="00B434D2">
      <w:pPr>
        <w:keepNext/>
        <w:spacing w:beforeLines="0" w:before="0" w:afterLines="0" w:after="0" w:line="240" w:lineRule="auto"/>
        <w:ind w:firstLine="420"/>
        <w:jc w:val="right"/>
        <w:rPr>
          <w:sz w:val="21"/>
          <w:szCs w:val="32"/>
        </w:rPr>
      </w:pPr>
      <w:r>
        <w:rPr>
          <w:sz w:val="21"/>
          <w:szCs w:val="32"/>
        </w:rPr>
        <w:t>单位：万元</w:t>
      </w:r>
    </w:p>
    <w:tbl>
      <w:tblPr>
        <w:tblW w:w="5000"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02"/>
        <w:gridCol w:w="1802"/>
        <w:gridCol w:w="1802"/>
        <w:gridCol w:w="1802"/>
        <w:gridCol w:w="1802"/>
      </w:tblGrid>
      <w:tr w:rsidR="00D43123" w14:paraId="4DCC8676" w14:textId="77777777" w:rsidTr="00B434D2">
        <w:trPr>
          <w:cantSplit/>
          <w:trHeight w:val="454"/>
        </w:trPr>
        <w:tc>
          <w:tcPr>
            <w:tcW w:w="1000" w:type="pct"/>
            <w:tcBorders>
              <w:top w:val="single" w:sz="6" w:space="0" w:color="auto"/>
              <w:left w:val="single" w:sz="6" w:space="0" w:color="auto"/>
              <w:bottom w:val="single" w:sz="6" w:space="0" w:color="auto"/>
              <w:right w:val="single" w:sz="6" w:space="0" w:color="auto"/>
            </w:tcBorders>
            <w:shd w:val="clear" w:color="auto" w:fill="D0CECE"/>
            <w:vAlign w:val="center"/>
          </w:tcPr>
          <w:p w14:paraId="281F75AE" w14:textId="77777777" w:rsidR="00D43123" w:rsidRPr="008C4EDC" w:rsidRDefault="00D43123" w:rsidP="00C13671">
            <w:pPr>
              <w:spacing w:beforeLines="0" w:before="0" w:afterLines="0" w:after="0" w:line="240" w:lineRule="auto"/>
              <w:ind w:firstLineChars="0" w:firstLine="0"/>
              <w:jc w:val="center"/>
              <w:rPr>
                <w:rFonts w:ascii="Times New Roman" w:hAnsi="Times New Roman"/>
                <w:b/>
                <w:bCs/>
                <w:color w:val="000000"/>
                <w:sz w:val="21"/>
                <w:szCs w:val="21"/>
              </w:rPr>
            </w:pPr>
            <w:r w:rsidRPr="008C4EDC">
              <w:rPr>
                <w:rFonts w:ascii="Times New Roman" w:hAnsi="Times New Roman"/>
                <w:b/>
                <w:bCs/>
                <w:color w:val="000000"/>
                <w:sz w:val="21"/>
                <w:szCs w:val="21"/>
              </w:rPr>
              <w:t>项目</w:t>
            </w:r>
          </w:p>
        </w:tc>
        <w:tc>
          <w:tcPr>
            <w:tcW w:w="1000" w:type="pct"/>
            <w:tcBorders>
              <w:top w:val="single" w:sz="6" w:space="0" w:color="auto"/>
              <w:left w:val="single" w:sz="6" w:space="0" w:color="auto"/>
              <w:bottom w:val="single" w:sz="6" w:space="0" w:color="auto"/>
              <w:right w:val="single" w:sz="6" w:space="0" w:color="auto"/>
            </w:tcBorders>
            <w:shd w:val="clear" w:color="auto" w:fill="D0CECE"/>
            <w:vAlign w:val="center"/>
          </w:tcPr>
          <w:p w14:paraId="59F265F5" w14:textId="77777777" w:rsidR="00D43123" w:rsidRPr="008C4EDC" w:rsidRDefault="00D43123" w:rsidP="00C13671">
            <w:pPr>
              <w:spacing w:beforeLines="0" w:before="0" w:afterLines="0" w:after="0" w:line="240" w:lineRule="auto"/>
              <w:ind w:firstLineChars="0" w:firstLine="0"/>
              <w:jc w:val="center"/>
              <w:rPr>
                <w:rFonts w:ascii="Times New Roman" w:hAnsi="Times New Roman"/>
                <w:b/>
                <w:bCs/>
                <w:color w:val="000000"/>
                <w:sz w:val="21"/>
              </w:rPr>
            </w:pPr>
            <w:r w:rsidRPr="008C4EDC">
              <w:rPr>
                <w:rFonts w:ascii="Times New Roman" w:hAnsi="Times New Roman"/>
                <w:b/>
                <w:bCs/>
                <w:color w:val="000000"/>
                <w:sz w:val="21"/>
              </w:rPr>
              <w:t>2023</w:t>
            </w:r>
            <w:r w:rsidRPr="008C4EDC">
              <w:rPr>
                <w:rFonts w:ascii="Times New Roman" w:hAnsi="Times New Roman"/>
                <w:b/>
                <w:bCs/>
                <w:color w:val="000000"/>
                <w:sz w:val="21"/>
              </w:rPr>
              <w:t>年</w:t>
            </w:r>
            <w:r w:rsidRPr="008C4EDC">
              <w:rPr>
                <w:rFonts w:ascii="Times New Roman" w:hAnsi="Times New Roman"/>
                <w:b/>
                <w:bCs/>
                <w:color w:val="000000"/>
                <w:sz w:val="21"/>
              </w:rPr>
              <w:t>1-9</w:t>
            </w:r>
            <w:r w:rsidRPr="008C4EDC">
              <w:rPr>
                <w:rFonts w:ascii="Times New Roman" w:hAnsi="Times New Roman"/>
                <w:b/>
                <w:bCs/>
                <w:color w:val="000000"/>
                <w:sz w:val="21"/>
              </w:rPr>
              <w:t>月</w:t>
            </w:r>
          </w:p>
        </w:tc>
        <w:tc>
          <w:tcPr>
            <w:tcW w:w="1000" w:type="pct"/>
            <w:tcBorders>
              <w:top w:val="single" w:sz="6" w:space="0" w:color="auto"/>
              <w:left w:val="single" w:sz="6" w:space="0" w:color="auto"/>
              <w:bottom w:val="single" w:sz="6" w:space="0" w:color="auto"/>
              <w:right w:val="single" w:sz="6" w:space="0" w:color="auto"/>
            </w:tcBorders>
            <w:shd w:val="clear" w:color="auto" w:fill="D0CECE"/>
            <w:vAlign w:val="center"/>
          </w:tcPr>
          <w:p w14:paraId="433E485D" w14:textId="77777777" w:rsidR="00D43123" w:rsidRPr="008C4EDC" w:rsidRDefault="00D43123" w:rsidP="00C13671">
            <w:pPr>
              <w:spacing w:beforeLines="0" w:before="0" w:afterLines="0" w:after="0" w:line="240" w:lineRule="auto"/>
              <w:ind w:firstLineChars="0" w:firstLine="0"/>
              <w:jc w:val="center"/>
              <w:rPr>
                <w:rFonts w:ascii="Times New Roman" w:hAnsi="Times New Roman"/>
                <w:b/>
                <w:bCs/>
                <w:color w:val="000000"/>
                <w:sz w:val="21"/>
              </w:rPr>
            </w:pPr>
            <w:r w:rsidRPr="008C4EDC">
              <w:rPr>
                <w:rFonts w:ascii="Times New Roman" w:hAnsi="Times New Roman"/>
                <w:b/>
                <w:bCs/>
                <w:color w:val="000000"/>
                <w:sz w:val="21"/>
              </w:rPr>
              <w:t>2022</w:t>
            </w:r>
            <w:r w:rsidRPr="008C4EDC">
              <w:rPr>
                <w:rFonts w:ascii="Times New Roman" w:hAnsi="Times New Roman"/>
                <w:b/>
                <w:bCs/>
                <w:color w:val="000000"/>
                <w:sz w:val="21"/>
              </w:rPr>
              <w:t>年度</w:t>
            </w:r>
          </w:p>
        </w:tc>
        <w:tc>
          <w:tcPr>
            <w:tcW w:w="1000" w:type="pct"/>
            <w:tcBorders>
              <w:top w:val="single" w:sz="6" w:space="0" w:color="auto"/>
              <w:left w:val="single" w:sz="6" w:space="0" w:color="auto"/>
              <w:bottom w:val="single" w:sz="6" w:space="0" w:color="auto"/>
              <w:right w:val="single" w:sz="6" w:space="0" w:color="auto"/>
            </w:tcBorders>
            <w:shd w:val="clear" w:color="auto" w:fill="D0CECE"/>
            <w:vAlign w:val="center"/>
          </w:tcPr>
          <w:p w14:paraId="476AE1E4" w14:textId="77777777" w:rsidR="00D43123" w:rsidRPr="008C4EDC" w:rsidRDefault="00D43123" w:rsidP="00C13671">
            <w:pPr>
              <w:spacing w:beforeLines="0" w:before="0" w:afterLines="0" w:after="0" w:line="240" w:lineRule="auto"/>
              <w:ind w:firstLineChars="0" w:firstLine="0"/>
              <w:jc w:val="center"/>
              <w:rPr>
                <w:rFonts w:ascii="Times New Roman" w:hAnsi="Times New Roman"/>
                <w:b/>
                <w:bCs/>
                <w:color w:val="000000"/>
                <w:sz w:val="21"/>
              </w:rPr>
            </w:pPr>
            <w:r w:rsidRPr="008C4EDC">
              <w:rPr>
                <w:rFonts w:ascii="Times New Roman" w:hAnsi="Times New Roman"/>
                <w:b/>
                <w:bCs/>
                <w:color w:val="000000"/>
                <w:sz w:val="21"/>
              </w:rPr>
              <w:t>2021</w:t>
            </w:r>
            <w:r w:rsidRPr="008C4EDC">
              <w:rPr>
                <w:rFonts w:ascii="Times New Roman" w:hAnsi="Times New Roman"/>
                <w:b/>
                <w:bCs/>
                <w:color w:val="000000"/>
                <w:sz w:val="21"/>
              </w:rPr>
              <w:t>年度</w:t>
            </w:r>
          </w:p>
        </w:tc>
        <w:tc>
          <w:tcPr>
            <w:tcW w:w="1000" w:type="pct"/>
            <w:tcBorders>
              <w:top w:val="single" w:sz="6" w:space="0" w:color="auto"/>
              <w:left w:val="single" w:sz="6" w:space="0" w:color="auto"/>
              <w:bottom w:val="single" w:sz="6" w:space="0" w:color="auto"/>
              <w:right w:val="single" w:sz="6" w:space="0" w:color="auto"/>
            </w:tcBorders>
            <w:shd w:val="clear" w:color="auto" w:fill="D0CECE"/>
            <w:vAlign w:val="center"/>
          </w:tcPr>
          <w:p w14:paraId="6A68B3F4" w14:textId="77777777" w:rsidR="00D43123" w:rsidRPr="008C4EDC" w:rsidRDefault="00D43123" w:rsidP="00C13671">
            <w:pPr>
              <w:spacing w:beforeLines="0" w:before="0" w:afterLines="0" w:after="0" w:line="240" w:lineRule="auto"/>
              <w:ind w:firstLineChars="0" w:firstLine="0"/>
              <w:jc w:val="center"/>
              <w:rPr>
                <w:rFonts w:ascii="Times New Roman" w:hAnsi="Times New Roman"/>
                <w:b/>
                <w:bCs/>
                <w:color w:val="000000"/>
                <w:sz w:val="21"/>
              </w:rPr>
            </w:pPr>
            <w:r w:rsidRPr="008C4EDC">
              <w:rPr>
                <w:rFonts w:ascii="Times New Roman" w:hAnsi="Times New Roman"/>
                <w:b/>
                <w:bCs/>
                <w:color w:val="000000"/>
                <w:sz w:val="21"/>
              </w:rPr>
              <w:t>2020</w:t>
            </w:r>
            <w:r w:rsidRPr="008C4EDC">
              <w:rPr>
                <w:rFonts w:ascii="Times New Roman" w:hAnsi="Times New Roman"/>
                <w:b/>
                <w:bCs/>
                <w:color w:val="000000"/>
                <w:sz w:val="21"/>
              </w:rPr>
              <w:t>年度</w:t>
            </w:r>
          </w:p>
        </w:tc>
      </w:tr>
      <w:tr w:rsidR="00200824" w14:paraId="789A185F" w14:textId="77777777" w:rsidTr="00B434D2">
        <w:trPr>
          <w:cantSplit/>
          <w:trHeight w:val="454"/>
        </w:trPr>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3A4F2925" w14:textId="77777777" w:rsidR="00200824" w:rsidRPr="00200824" w:rsidRDefault="00200824" w:rsidP="00200824">
            <w:pPr>
              <w:spacing w:beforeLines="0" w:before="0" w:afterLines="0" w:after="0" w:line="240" w:lineRule="auto"/>
              <w:ind w:firstLineChars="0" w:firstLine="0"/>
              <w:jc w:val="center"/>
              <w:rPr>
                <w:rFonts w:ascii="Times New Roman" w:hAnsi="Times New Roman"/>
                <w:color w:val="000000"/>
                <w:sz w:val="21"/>
                <w:szCs w:val="21"/>
              </w:rPr>
            </w:pPr>
            <w:r w:rsidRPr="00FF7218">
              <w:rPr>
                <w:rFonts w:ascii="Times New Roman" w:hAnsi="Times New Roman"/>
                <w:sz w:val="21"/>
                <w:szCs w:val="21"/>
              </w:rPr>
              <w:t>外销销售收入（</w:t>
            </w:r>
            <w:r w:rsidRPr="00FF7218">
              <w:rPr>
                <w:rFonts w:ascii="Times New Roman" w:hAnsi="Times New Roman"/>
                <w:sz w:val="21"/>
                <w:szCs w:val="21"/>
              </w:rPr>
              <w:t>A</w:t>
            </w:r>
            <w:r w:rsidRPr="00FF7218">
              <w:rPr>
                <w:rFonts w:ascii="Times New Roman" w:hAnsi="Times New Roman"/>
                <w:sz w:val="21"/>
                <w:szCs w:val="21"/>
              </w:rPr>
              <w:t>）</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09EA46D6" w14:textId="77777777" w:rsidR="00200824" w:rsidRPr="00200824" w:rsidRDefault="00200824" w:rsidP="00200824">
            <w:pPr>
              <w:spacing w:beforeLines="0" w:before="0" w:afterLines="0" w:after="0" w:line="240" w:lineRule="auto"/>
              <w:ind w:firstLineChars="0" w:firstLine="0"/>
              <w:jc w:val="right"/>
              <w:rPr>
                <w:rFonts w:ascii="Times New Roman" w:hAnsi="Times New Roman"/>
                <w:color w:val="000000"/>
                <w:sz w:val="21"/>
              </w:rPr>
            </w:pPr>
            <w:r w:rsidRPr="00FF7218">
              <w:rPr>
                <w:rFonts w:ascii="Times New Roman" w:hAnsi="Times New Roman"/>
                <w:sz w:val="21"/>
                <w:szCs w:val="21"/>
              </w:rPr>
              <w:t>32,056.10</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7BAC43C6" w14:textId="77777777" w:rsidR="00200824" w:rsidRPr="00200824" w:rsidRDefault="00200824" w:rsidP="00200824">
            <w:pPr>
              <w:spacing w:beforeLines="0" w:before="0" w:afterLines="0" w:after="0" w:line="240" w:lineRule="auto"/>
              <w:ind w:firstLineChars="0" w:firstLine="0"/>
              <w:jc w:val="right"/>
              <w:rPr>
                <w:rFonts w:ascii="Times New Roman" w:hAnsi="Times New Roman"/>
                <w:color w:val="000000"/>
                <w:sz w:val="21"/>
              </w:rPr>
            </w:pPr>
            <w:r w:rsidRPr="00FF7218">
              <w:rPr>
                <w:rFonts w:ascii="Times New Roman" w:hAnsi="Times New Roman"/>
                <w:sz w:val="21"/>
                <w:szCs w:val="21"/>
              </w:rPr>
              <w:t>45,118.29</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1AB10070" w14:textId="77777777" w:rsidR="00200824" w:rsidRPr="00200824" w:rsidRDefault="00200824" w:rsidP="00200824">
            <w:pPr>
              <w:spacing w:beforeLines="0" w:before="0" w:afterLines="0" w:after="0" w:line="240" w:lineRule="auto"/>
              <w:ind w:firstLineChars="0" w:firstLine="0"/>
              <w:jc w:val="right"/>
              <w:rPr>
                <w:rFonts w:ascii="Times New Roman" w:hAnsi="Times New Roman"/>
                <w:color w:val="000000"/>
                <w:sz w:val="21"/>
              </w:rPr>
            </w:pPr>
            <w:r w:rsidRPr="00FF7218">
              <w:rPr>
                <w:rFonts w:ascii="Times New Roman" w:hAnsi="Times New Roman"/>
                <w:sz w:val="21"/>
                <w:szCs w:val="21"/>
              </w:rPr>
              <w:t>31,275.26</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136A85C2" w14:textId="77777777" w:rsidR="00200824" w:rsidRPr="00200824" w:rsidRDefault="00200824" w:rsidP="00200824">
            <w:pPr>
              <w:spacing w:beforeLines="0" w:before="0" w:afterLines="0" w:after="0" w:line="240" w:lineRule="auto"/>
              <w:ind w:firstLineChars="0" w:firstLine="0"/>
              <w:jc w:val="right"/>
              <w:rPr>
                <w:rFonts w:ascii="Times New Roman" w:hAnsi="Times New Roman"/>
                <w:color w:val="000000"/>
                <w:sz w:val="21"/>
              </w:rPr>
            </w:pPr>
            <w:r w:rsidRPr="00FF7218">
              <w:rPr>
                <w:rFonts w:ascii="Times New Roman" w:hAnsi="Times New Roman"/>
                <w:sz w:val="21"/>
                <w:szCs w:val="21"/>
              </w:rPr>
              <w:t>27,604.16</w:t>
            </w:r>
          </w:p>
        </w:tc>
      </w:tr>
      <w:tr w:rsidR="00200824" w14:paraId="2B74A061" w14:textId="77777777" w:rsidTr="00B434D2">
        <w:trPr>
          <w:cantSplit/>
          <w:trHeight w:val="454"/>
        </w:trPr>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4AA5FDDB" w14:textId="77777777" w:rsidR="00200824" w:rsidRPr="00D43123" w:rsidRDefault="00200824" w:rsidP="00200824">
            <w:pPr>
              <w:spacing w:beforeLines="0" w:before="0" w:afterLines="0" w:after="0" w:line="240" w:lineRule="auto"/>
              <w:ind w:firstLineChars="0" w:firstLine="0"/>
              <w:jc w:val="center"/>
              <w:rPr>
                <w:rFonts w:ascii="Times New Roman" w:hAnsi="Times New Roman"/>
                <w:color w:val="000000"/>
                <w:sz w:val="21"/>
                <w:szCs w:val="21"/>
              </w:rPr>
            </w:pPr>
            <w:r w:rsidRPr="00D43123">
              <w:rPr>
                <w:rFonts w:ascii="Times New Roman" w:hAnsi="Times New Roman"/>
                <w:color w:val="000000"/>
                <w:sz w:val="21"/>
                <w:szCs w:val="21"/>
              </w:rPr>
              <w:t>针对外销发函金额（</w:t>
            </w:r>
            <w:r w:rsidRPr="00D43123">
              <w:rPr>
                <w:rFonts w:ascii="Times New Roman" w:hAnsi="Times New Roman"/>
                <w:color w:val="000000"/>
                <w:sz w:val="21"/>
                <w:szCs w:val="21"/>
              </w:rPr>
              <w:t>B1</w:t>
            </w:r>
            <w:r w:rsidRPr="00D43123">
              <w:rPr>
                <w:rFonts w:ascii="Times New Roman" w:hAnsi="Times New Roman"/>
                <w:color w:val="000000"/>
                <w:sz w:val="21"/>
                <w:szCs w:val="21"/>
              </w:rPr>
              <w:t>）</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5D089273"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17,545.70</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2CE72217"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24,764.48</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3A139DCE"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16,339.14</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1D99AC53"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12,744.86</w:t>
            </w:r>
          </w:p>
        </w:tc>
      </w:tr>
      <w:tr w:rsidR="00200824" w14:paraId="355DF084" w14:textId="77777777" w:rsidTr="00B434D2">
        <w:trPr>
          <w:cantSplit/>
          <w:trHeight w:val="454"/>
        </w:trPr>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343973DE" w14:textId="77777777" w:rsidR="00200824" w:rsidRPr="00D43123" w:rsidRDefault="00200824" w:rsidP="00200824">
            <w:pPr>
              <w:spacing w:beforeLines="0" w:before="0" w:afterLines="0" w:after="0" w:line="240" w:lineRule="auto"/>
              <w:ind w:firstLineChars="0" w:firstLine="0"/>
              <w:jc w:val="center"/>
              <w:rPr>
                <w:rFonts w:ascii="Times New Roman" w:hAnsi="Times New Roman"/>
                <w:color w:val="000000"/>
                <w:sz w:val="21"/>
                <w:szCs w:val="21"/>
              </w:rPr>
            </w:pPr>
            <w:r w:rsidRPr="00D43123">
              <w:rPr>
                <w:rFonts w:ascii="Times New Roman" w:hAnsi="Times New Roman"/>
                <w:color w:val="000000"/>
                <w:sz w:val="21"/>
                <w:szCs w:val="21"/>
              </w:rPr>
              <w:t>发函金额占收入的比例（</w:t>
            </w:r>
            <w:r w:rsidRPr="00D43123">
              <w:rPr>
                <w:rFonts w:ascii="Times New Roman" w:hAnsi="Times New Roman"/>
                <w:color w:val="000000"/>
                <w:sz w:val="21"/>
                <w:szCs w:val="21"/>
              </w:rPr>
              <w:t>C1=B1/A</w:t>
            </w:r>
            <w:r w:rsidRPr="00D43123">
              <w:rPr>
                <w:rFonts w:ascii="Times New Roman" w:hAnsi="Times New Roman"/>
                <w:color w:val="000000"/>
                <w:sz w:val="21"/>
                <w:szCs w:val="21"/>
              </w:rPr>
              <w:t>）</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1B1EE231"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54.73%</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0AD843C7"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54.89%</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25ACD1D5"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52.24%</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71FA961E"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46.17%</w:t>
            </w:r>
          </w:p>
        </w:tc>
      </w:tr>
      <w:tr w:rsidR="00200824" w14:paraId="7F88A925" w14:textId="77777777" w:rsidTr="00B434D2">
        <w:trPr>
          <w:cantSplit/>
          <w:trHeight w:val="454"/>
        </w:trPr>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6FE0B5EB" w14:textId="77777777" w:rsidR="00200824" w:rsidRPr="00D43123" w:rsidRDefault="00200824" w:rsidP="00200824">
            <w:pPr>
              <w:spacing w:beforeLines="0" w:before="0" w:afterLines="0" w:after="0" w:line="240" w:lineRule="auto"/>
              <w:ind w:firstLineChars="0" w:firstLine="0"/>
              <w:rPr>
                <w:rFonts w:ascii="Times New Roman" w:hAnsi="Times New Roman"/>
                <w:color w:val="000000"/>
                <w:sz w:val="21"/>
                <w:szCs w:val="21"/>
              </w:rPr>
            </w:pPr>
            <w:r w:rsidRPr="00D43123">
              <w:rPr>
                <w:rFonts w:ascii="Times New Roman" w:hAnsi="Times New Roman"/>
                <w:color w:val="000000"/>
                <w:sz w:val="21"/>
                <w:szCs w:val="21"/>
              </w:rPr>
              <w:t>回函金额（</w:t>
            </w:r>
            <w:r w:rsidRPr="00D43123">
              <w:rPr>
                <w:rFonts w:ascii="Times New Roman" w:hAnsi="Times New Roman"/>
                <w:color w:val="000000"/>
                <w:sz w:val="21"/>
                <w:szCs w:val="21"/>
              </w:rPr>
              <w:t>D1</w:t>
            </w:r>
            <w:r w:rsidRPr="00D43123">
              <w:rPr>
                <w:rFonts w:ascii="Times New Roman" w:hAnsi="Times New Roman"/>
                <w:color w:val="000000"/>
                <w:sz w:val="21"/>
                <w:szCs w:val="21"/>
              </w:rPr>
              <w:t>）</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1AAFDA88"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16,852.53</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675F4515"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18,294.46</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4CEA20E0"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13,375.20</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4CFC20F1"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9,864.14</w:t>
            </w:r>
          </w:p>
        </w:tc>
      </w:tr>
      <w:tr w:rsidR="00200824" w14:paraId="6AF5CCFC" w14:textId="77777777" w:rsidTr="00B434D2">
        <w:trPr>
          <w:cantSplit/>
          <w:trHeight w:val="454"/>
        </w:trPr>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38CDEA5A" w14:textId="77777777" w:rsidR="00200824" w:rsidRPr="00D43123" w:rsidRDefault="00200824" w:rsidP="00200824">
            <w:pPr>
              <w:spacing w:beforeLines="0" w:before="0" w:afterLines="0" w:after="0" w:line="240" w:lineRule="auto"/>
              <w:ind w:firstLineChars="0" w:firstLine="0"/>
              <w:jc w:val="center"/>
              <w:rPr>
                <w:rFonts w:ascii="Times New Roman" w:hAnsi="Times New Roman"/>
                <w:color w:val="000000"/>
                <w:sz w:val="21"/>
                <w:szCs w:val="21"/>
              </w:rPr>
            </w:pPr>
            <w:r w:rsidRPr="00D43123">
              <w:rPr>
                <w:rFonts w:ascii="Times New Roman" w:hAnsi="Times New Roman"/>
                <w:color w:val="000000"/>
                <w:sz w:val="21"/>
                <w:szCs w:val="21"/>
              </w:rPr>
              <w:t>回函金额占发函比例（</w:t>
            </w:r>
            <w:r w:rsidRPr="00D43123">
              <w:rPr>
                <w:rFonts w:ascii="Times New Roman" w:hAnsi="Times New Roman"/>
                <w:color w:val="000000"/>
                <w:sz w:val="21"/>
                <w:szCs w:val="21"/>
              </w:rPr>
              <w:t>E1=D1/B1</w:t>
            </w:r>
            <w:r w:rsidRPr="00D43123">
              <w:rPr>
                <w:rFonts w:ascii="Times New Roman" w:hAnsi="Times New Roman"/>
                <w:color w:val="000000"/>
                <w:sz w:val="21"/>
                <w:szCs w:val="21"/>
              </w:rPr>
              <w:t>）</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4EA4468D"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96.05%</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0F33707C"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73.87%</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436EEFAE"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81.86%</w:t>
            </w: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14:paraId="11EDCD9D" w14:textId="77777777" w:rsidR="00200824" w:rsidRPr="00D43123" w:rsidRDefault="00200824" w:rsidP="00200824">
            <w:pPr>
              <w:spacing w:beforeLines="0" w:before="0" w:afterLines="0" w:after="0" w:line="240" w:lineRule="auto"/>
              <w:ind w:firstLineChars="0" w:firstLine="0"/>
              <w:jc w:val="right"/>
              <w:rPr>
                <w:rFonts w:ascii="Times New Roman" w:hAnsi="Times New Roman"/>
                <w:color w:val="000000"/>
                <w:sz w:val="21"/>
              </w:rPr>
            </w:pPr>
            <w:r w:rsidRPr="00D43123">
              <w:rPr>
                <w:rFonts w:ascii="Times New Roman" w:hAnsi="Times New Roman"/>
                <w:color w:val="000000"/>
                <w:sz w:val="21"/>
              </w:rPr>
              <w:t>77.40%</w:t>
            </w:r>
          </w:p>
        </w:tc>
      </w:tr>
    </w:tbl>
    <w:p w14:paraId="72C5CE4A" w14:textId="77777777" w:rsidR="008D76D6" w:rsidRDefault="008D76D6">
      <w:pPr>
        <w:spacing w:before="120" w:after="120"/>
        <w:ind w:firstLine="480"/>
        <w:rPr>
          <w:rFonts w:ascii="Times New Roman" w:hAnsi="Times New Roman"/>
        </w:rPr>
      </w:pPr>
      <w:r>
        <w:rPr>
          <w:rFonts w:ascii="Times New Roman" w:hAnsi="Times New Roman"/>
        </w:rPr>
        <w:t>境外客户未回函的主要原因包括：</w:t>
      </w:r>
      <w:r>
        <w:rPr>
          <w:rFonts w:ascii="宋体" w:hAnsi="宋体" w:cs="宋体" w:hint="eastAsia"/>
        </w:rPr>
        <w:t>①</w:t>
      </w:r>
      <w:r>
        <w:rPr>
          <w:rFonts w:ascii="Times New Roman" w:hAnsi="Times New Roman"/>
        </w:rPr>
        <w:t>部分境外客户因当地交易习惯及财务数据的保密性，不予以回函；</w:t>
      </w:r>
      <w:r>
        <w:rPr>
          <w:rFonts w:ascii="宋体" w:hAnsi="宋体" w:cs="宋体" w:hint="eastAsia"/>
        </w:rPr>
        <w:t>②</w:t>
      </w:r>
      <w:r>
        <w:rPr>
          <w:rFonts w:ascii="Times New Roman" w:hAnsi="Times New Roman"/>
        </w:rPr>
        <w:t>部分境外客户的交易额相对不大，回函意愿低</w:t>
      </w:r>
      <w:r w:rsidR="00C536BB">
        <w:rPr>
          <w:rFonts w:ascii="宋体" w:hAnsi="宋体" w:cs="宋体" w:hint="eastAsia"/>
        </w:rPr>
        <w:t>。</w:t>
      </w:r>
    </w:p>
    <w:p w14:paraId="2987D8B5" w14:textId="77777777" w:rsidR="00C536BB" w:rsidRDefault="008D76D6" w:rsidP="00C536BB">
      <w:pPr>
        <w:spacing w:before="120" w:after="120"/>
        <w:ind w:firstLine="480"/>
      </w:pPr>
      <w:r>
        <w:rPr>
          <w:rFonts w:ascii="Times New Roman" w:hAnsi="Times New Roman"/>
        </w:rPr>
        <w:t>对于未回函的境外客户，执行了</w:t>
      </w:r>
      <w:r>
        <w:rPr>
          <w:rFonts w:ascii="Times New Roman" w:hAnsi="Times New Roman" w:hint="eastAsia"/>
        </w:rPr>
        <w:t>以下</w:t>
      </w:r>
      <w:r>
        <w:rPr>
          <w:rFonts w:ascii="Times New Roman" w:hAnsi="Times New Roman"/>
        </w:rPr>
        <w:t>替代程序，主要包括：</w:t>
      </w:r>
      <w:r>
        <w:rPr>
          <w:rFonts w:ascii="宋体" w:hAnsi="宋体" w:cs="宋体" w:hint="eastAsia"/>
        </w:rPr>
        <w:t>①</w:t>
      </w:r>
      <w:r>
        <w:t>检查与客户签订的相关购销合同、订单等，复核货物名称、规格型号、数量、金额以及结算方式等主要条款；</w:t>
      </w:r>
      <w:r>
        <w:rPr>
          <w:rFonts w:ascii="宋体" w:hAnsi="宋体" w:cs="宋体" w:hint="eastAsia"/>
        </w:rPr>
        <w:t>②</w:t>
      </w:r>
      <w:r>
        <w:t>检查相关收入的销售出库单、发票、报关单、提单等原始单据</w:t>
      </w:r>
      <w:r w:rsidR="001D5802">
        <w:rPr>
          <w:rFonts w:hint="eastAsia"/>
        </w:rPr>
        <w:t>，对销售收入执行细节测试</w:t>
      </w:r>
      <w:r w:rsidR="00C536BB">
        <w:rPr>
          <w:rFonts w:hint="eastAsia"/>
        </w:rPr>
        <w:t>；</w:t>
      </w:r>
      <w:r>
        <w:rPr>
          <w:rFonts w:ascii="宋体" w:hAnsi="宋体" w:cs="宋体" w:hint="eastAsia"/>
        </w:rPr>
        <w:t>③</w:t>
      </w:r>
      <w:r>
        <w:t>检查与客户的交易流水等银行单据并对形成的应收款项进行期后回款查验</w:t>
      </w:r>
      <w:r w:rsidR="00C536BB">
        <w:rPr>
          <w:rFonts w:hint="eastAsia"/>
        </w:rPr>
        <w:t>。</w:t>
      </w:r>
    </w:p>
    <w:p w14:paraId="5B9159EA" w14:textId="77777777" w:rsidR="00C536BB" w:rsidRDefault="00C536BB" w:rsidP="00C536BB">
      <w:pPr>
        <w:spacing w:before="120" w:after="120"/>
        <w:ind w:firstLine="480"/>
      </w:pPr>
      <w:r>
        <w:rPr>
          <w:rFonts w:hint="eastAsia"/>
        </w:rPr>
        <w:t>同时对于整体外销收入，</w:t>
      </w:r>
      <w:r>
        <w:t>获取报告期内发行人电子口岸出口数据，并与账面外销收入进行核对</w:t>
      </w:r>
      <w:r>
        <w:rPr>
          <w:rFonts w:hint="eastAsia"/>
        </w:rPr>
        <w:t>，</w:t>
      </w:r>
      <w:r>
        <w:t>获取发行人出口退税数据，与外销收入数据进行</w:t>
      </w:r>
      <w:r>
        <w:rPr>
          <w:rFonts w:hint="eastAsia"/>
        </w:rPr>
        <w:t>核对。</w:t>
      </w:r>
    </w:p>
    <w:p w14:paraId="72334EC1" w14:textId="77777777" w:rsidR="008D76D6" w:rsidRDefault="008D76D6">
      <w:pPr>
        <w:spacing w:before="120" w:after="120"/>
        <w:ind w:firstLine="480"/>
        <w:rPr>
          <w:rFonts w:ascii="Times New Roman" w:hAnsi="Times New Roman"/>
        </w:rPr>
      </w:pPr>
      <w:r>
        <w:rPr>
          <w:rFonts w:ascii="Times New Roman" w:hAnsi="Times New Roman"/>
        </w:rPr>
        <w:t>综上所述，</w:t>
      </w:r>
      <w:r>
        <w:rPr>
          <w:rFonts w:ascii="Times New Roman" w:hAnsi="Times New Roman" w:hint="eastAsia"/>
        </w:rPr>
        <w:t>本所律师认为，</w:t>
      </w:r>
      <w:r>
        <w:rPr>
          <w:rFonts w:ascii="Times New Roman" w:hAnsi="Times New Roman"/>
        </w:rPr>
        <w:t>报告期内，公司境外销售收入具有真实性、准确性，主要客户的变动具有合理性，境外客户未回函的原因具有合理性且履行的替代程序</w:t>
      </w:r>
      <w:r w:rsidR="00C13671">
        <w:rPr>
          <w:rFonts w:ascii="Times New Roman" w:hAnsi="Times New Roman" w:hint="eastAsia"/>
        </w:rPr>
        <w:t>充分有效</w:t>
      </w:r>
      <w:r>
        <w:rPr>
          <w:rFonts w:ascii="Times New Roman" w:hAnsi="Times New Roman"/>
        </w:rPr>
        <w:t>。</w:t>
      </w:r>
    </w:p>
    <w:p w14:paraId="35613FC5" w14:textId="77777777" w:rsidR="008D76D6" w:rsidRPr="00B434D2" w:rsidRDefault="008D76D6" w:rsidP="00B434D2">
      <w:pPr>
        <w:pStyle w:val="003"/>
        <w:spacing w:before="120" w:after="120"/>
        <w:ind w:firstLine="482"/>
      </w:pPr>
      <w:r w:rsidRPr="00B434D2">
        <w:rPr>
          <w:rFonts w:hint="eastAsia"/>
        </w:rPr>
        <w:t>三、分期列示主要供应商情况，包括但不限于原材料采购种类及规模占比、设立时间、注册资本等，结合发行人生产成本结构，说明供应商存在较大变动的原因及合理性，客户与供应商存在重叠的原因及合理性，是否符合行业惯例，并说明发行人及发行人关联方、客户、供应商之间是否存在关联关系或其他密切关系，是否存在人员、业务或资金往来。</w:t>
      </w:r>
    </w:p>
    <w:p w14:paraId="6ED83391" w14:textId="77777777" w:rsidR="008D76D6" w:rsidRDefault="008D76D6" w:rsidP="00037063">
      <w:pPr>
        <w:pStyle w:val="004"/>
        <w:spacing w:before="120" w:after="120"/>
        <w:ind w:firstLine="482"/>
      </w:pPr>
      <w:r>
        <w:rPr>
          <w:rFonts w:hint="eastAsia"/>
        </w:rPr>
        <w:t>（一）分期列示主要供应商情况，包括但不限于原材料采购种类及规模占比、设立时间、注册资本等</w:t>
      </w:r>
    </w:p>
    <w:p w14:paraId="773F3B0E" w14:textId="77777777" w:rsidR="008D76D6" w:rsidRDefault="008D76D6">
      <w:pPr>
        <w:spacing w:before="120" w:after="120"/>
        <w:ind w:firstLine="480"/>
      </w:pPr>
      <w:r>
        <w:rPr>
          <w:rFonts w:ascii="Times New Roman" w:hAnsi="Times New Roman"/>
        </w:rPr>
        <w:t>1</w:t>
      </w:r>
      <w:r>
        <w:rPr>
          <w:rFonts w:ascii="Times New Roman" w:hAnsi="Times New Roman"/>
        </w:rPr>
        <w:t>、</w:t>
      </w:r>
      <w:r>
        <w:t>报告期内，发行人前五大供应商情况如下所示：</w:t>
      </w:r>
    </w:p>
    <w:p w14:paraId="4FC9922E" w14:textId="77777777" w:rsidR="008D76D6" w:rsidRDefault="008D76D6">
      <w:pPr>
        <w:keepNext/>
        <w:spacing w:before="120" w:after="120"/>
        <w:ind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w:t>
      </w:r>
      <w:r>
        <w:rPr>
          <w:rFonts w:ascii="Times New Roman" w:hAnsi="Times New Roman"/>
        </w:rPr>
        <w:t>2023</w:t>
      </w:r>
      <w:r>
        <w:rPr>
          <w:rFonts w:ascii="Times New Roman" w:hAnsi="Times New Roman"/>
        </w:rPr>
        <w:t>年</w:t>
      </w:r>
      <w:r>
        <w:rPr>
          <w:rFonts w:ascii="Times New Roman" w:hAnsi="Times New Roman"/>
        </w:rPr>
        <w:t>1-9</w:t>
      </w:r>
      <w:r>
        <w:rPr>
          <w:rFonts w:ascii="Times New Roman" w:hAnsi="Times New Roman"/>
        </w:rPr>
        <w:t>月</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8"/>
        <w:gridCol w:w="2352"/>
        <w:gridCol w:w="1198"/>
        <w:gridCol w:w="1335"/>
        <w:gridCol w:w="1157"/>
        <w:gridCol w:w="1155"/>
        <w:gridCol w:w="1155"/>
      </w:tblGrid>
      <w:tr w:rsidR="008D76D6" w14:paraId="28D28FE5" w14:textId="77777777">
        <w:trPr>
          <w:trHeight w:val="397"/>
          <w:tblHeader/>
          <w:jc w:val="center"/>
        </w:trPr>
        <w:tc>
          <w:tcPr>
            <w:tcW w:w="365" w:type="pct"/>
            <w:shd w:val="clear" w:color="auto" w:fill="D9D9D9"/>
            <w:tcMar>
              <w:top w:w="0" w:type="dxa"/>
              <w:left w:w="108" w:type="dxa"/>
              <w:bottom w:w="0" w:type="dxa"/>
              <w:right w:w="108" w:type="dxa"/>
            </w:tcMar>
            <w:vAlign w:val="center"/>
          </w:tcPr>
          <w:p w14:paraId="02F9BF90"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序号</w:t>
            </w:r>
          </w:p>
        </w:tc>
        <w:tc>
          <w:tcPr>
            <w:tcW w:w="1304" w:type="pct"/>
            <w:shd w:val="clear" w:color="auto" w:fill="D9D9D9"/>
            <w:tcMar>
              <w:top w:w="0" w:type="dxa"/>
              <w:left w:w="108" w:type="dxa"/>
              <w:bottom w:w="0" w:type="dxa"/>
              <w:right w:w="108" w:type="dxa"/>
            </w:tcMar>
            <w:vAlign w:val="center"/>
          </w:tcPr>
          <w:p w14:paraId="4236AA6A"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单位名称</w:t>
            </w:r>
          </w:p>
        </w:tc>
        <w:tc>
          <w:tcPr>
            <w:tcW w:w="665" w:type="pct"/>
            <w:shd w:val="clear" w:color="auto" w:fill="D9D9D9"/>
            <w:tcMar>
              <w:top w:w="0" w:type="dxa"/>
              <w:left w:w="108" w:type="dxa"/>
              <w:bottom w:w="0" w:type="dxa"/>
              <w:right w:w="108" w:type="dxa"/>
            </w:tcMar>
            <w:vAlign w:val="center"/>
          </w:tcPr>
          <w:p w14:paraId="463479B4"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采购额</w:t>
            </w:r>
          </w:p>
          <w:p w14:paraId="662DCD06"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（万元）</w:t>
            </w:r>
          </w:p>
        </w:tc>
        <w:tc>
          <w:tcPr>
            <w:tcW w:w="741" w:type="pct"/>
            <w:shd w:val="clear" w:color="auto" w:fill="D9D9D9"/>
            <w:tcMar>
              <w:top w:w="0" w:type="dxa"/>
              <w:left w:w="108" w:type="dxa"/>
              <w:bottom w:w="0" w:type="dxa"/>
              <w:right w:w="108" w:type="dxa"/>
            </w:tcMar>
            <w:vAlign w:val="center"/>
          </w:tcPr>
          <w:p w14:paraId="061F48D5"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占采购总额的比例</w:t>
            </w:r>
          </w:p>
        </w:tc>
        <w:tc>
          <w:tcPr>
            <w:tcW w:w="642" w:type="pct"/>
            <w:shd w:val="clear" w:color="auto" w:fill="D9D9D9"/>
            <w:tcMar>
              <w:left w:w="108" w:type="dxa"/>
              <w:right w:w="108" w:type="dxa"/>
            </w:tcMar>
            <w:vAlign w:val="center"/>
          </w:tcPr>
          <w:p w14:paraId="7939CB33"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注册资本</w:t>
            </w:r>
          </w:p>
          <w:p w14:paraId="393549BB"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hint="eastAsia"/>
                <w:b/>
                <w:bCs/>
                <w:sz w:val="21"/>
                <w:szCs w:val="21"/>
              </w:rPr>
            </w:pPr>
            <w:r>
              <w:rPr>
                <w:rFonts w:ascii="Times New Roman" w:hAnsi="Times New Roman" w:hint="eastAsia"/>
                <w:b/>
                <w:bCs/>
                <w:sz w:val="21"/>
                <w:szCs w:val="21"/>
              </w:rPr>
              <w:t>（万元）</w:t>
            </w:r>
          </w:p>
        </w:tc>
        <w:tc>
          <w:tcPr>
            <w:tcW w:w="641" w:type="pct"/>
            <w:shd w:val="clear" w:color="auto" w:fill="D9D9D9"/>
            <w:tcMar>
              <w:left w:w="108" w:type="dxa"/>
              <w:right w:w="108" w:type="dxa"/>
            </w:tcMar>
            <w:vAlign w:val="center"/>
          </w:tcPr>
          <w:p w14:paraId="4C5A5B7B"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设立时间</w:t>
            </w:r>
          </w:p>
        </w:tc>
        <w:tc>
          <w:tcPr>
            <w:tcW w:w="641" w:type="pct"/>
            <w:shd w:val="clear" w:color="auto" w:fill="D9D9D9"/>
            <w:tcMar>
              <w:left w:w="108" w:type="dxa"/>
              <w:right w:w="108" w:type="dxa"/>
            </w:tcMar>
            <w:vAlign w:val="center"/>
          </w:tcPr>
          <w:p w14:paraId="417461A3"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采购内容</w:t>
            </w:r>
          </w:p>
        </w:tc>
      </w:tr>
      <w:tr w:rsidR="008D76D6" w14:paraId="5E0F756F" w14:textId="77777777">
        <w:trPr>
          <w:trHeight w:val="397"/>
          <w:jc w:val="center"/>
        </w:trPr>
        <w:tc>
          <w:tcPr>
            <w:tcW w:w="365" w:type="pct"/>
            <w:tcMar>
              <w:top w:w="0" w:type="dxa"/>
              <w:left w:w="108" w:type="dxa"/>
              <w:bottom w:w="0" w:type="dxa"/>
              <w:right w:w="108" w:type="dxa"/>
            </w:tcMar>
            <w:vAlign w:val="center"/>
          </w:tcPr>
          <w:p w14:paraId="30E70A53"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w:t>
            </w:r>
          </w:p>
        </w:tc>
        <w:tc>
          <w:tcPr>
            <w:tcW w:w="1304" w:type="pct"/>
            <w:tcMar>
              <w:top w:w="0" w:type="dxa"/>
              <w:left w:w="108" w:type="dxa"/>
              <w:bottom w:w="0" w:type="dxa"/>
              <w:right w:w="108" w:type="dxa"/>
            </w:tcMar>
            <w:vAlign w:val="center"/>
          </w:tcPr>
          <w:p w14:paraId="2A83EC98"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莱州诚源盐化有限公司</w:t>
            </w:r>
          </w:p>
        </w:tc>
        <w:tc>
          <w:tcPr>
            <w:tcW w:w="665" w:type="pct"/>
            <w:tcMar>
              <w:top w:w="0" w:type="dxa"/>
              <w:left w:w="108" w:type="dxa"/>
              <w:bottom w:w="0" w:type="dxa"/>
              <w:right w:w="108" w:type="dxa"/>
            </w:tcMar>
            <w:vAlign w:val="center"/>
          </w:tcPr>
          <w:p w14:paraId="22183FEA"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1,014.50</w:t>
            </w:r>
          </w:p>
        </w:tc>
        <w:tc>
          <w:tcPr>
            <w:tcW w:w="741" w:type="pct"/>
            <w:tcMar>
              <w:top w:w="0" w:type="dxa"/>
              <w:left w:w="108" w:type="dxa"/>
              <w:bottom w:w="0" w:type="dxa"/>
              <w:right w:w="108" w:type="dxa"/>
            </w:tcMar>
            <w:vAlign w:val="center"/>
          </w:tcPr>
          <w:p w14:paraId="1758AC6E"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5.82%</w:t>
            </w:r>
          </w:p>
        </w:tc>
        <w:tc>
          <w:tcPr>
            <w:tcW w:w="642" w:type="pct"/>
            <w:tcMar>
              <w:left w:w="108" w:type="dxa"/>
              <w:right w:w="108" w:type="dxa"/>
            </w:tcMar>
            <w:vAlign w:val="center"/>
          </w:tcPr>
          <w:p w14:paraId="3FDBC92F"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31,627.00</w:t>
            </w:r>
          </w:p>
        </w:tc>
        <w:tc>
          <w:tcPr>
            <w:tcW w:w="641" w:type="pct"/>
            <w:tcMar>
              <w:left w:w="108" w:type="dxa"/>
              <w:right w:w="108" w:type="dxa"/>
            </w:tcMar>
            <w:vAlign w:val="center"/>
          </w:tcPr>
          <w:p w14:paraId="6DC1E604"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2004.09.03</w:t>
            </w:r>
          </w:p>
        </w:tc>
        <w:tc>
          <w:tcPr>
            <w:tcW w:w="641" w:type="pct"/>
            <w:tcMar>
              <w:left w:w="108" w:type="dxa"/>
              <w:right w:w="108" w:type="dxa"/>
            </w:tcMar>
            <w:vAlign w:val="center"/>
          </w:tcPr>
          <w:p w14:paraId="42A20E68"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能源</w:t>
            </w:r>
          </w:p>
        </w:tc>
      </w:tr>
      <w:tr w:rsidR="008D76D6" w14:paraId="62887EEB" w14:textId="77777777">
        <w:trPr>
          <w:trHeight w:val="397"/>
          <w:jc w:val="center"/>
        </w:trPr>
        <w:tc>
          <w:tcPr>
            <w:tcW w:w="365" w:type="pct"/>
            <w:tcMar>
              <w:top w:w="0" w:type="dxa"/>
              <w:left w:w="108" w:type="dxa"/>
              <w:bottom w:w="0" w:type="dxa"/>
              <w:right w:w="108" w:type="dxa"/>
            </w:tcMar>
            <w:vAlign w:val="center"/>
          </w:tcPr>
          <w:p w14:paraId="1219125F"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w:t>
            </w:r>
          </w:p>
        </w:tc>
        <w:tc>
          <w:tcPr>
            <w:tcW w:w="1304" w:type="pct"/>
            <w:tcMar>
              <w:top w:w="0" w:type="dxa"/>
              <w:left w:w="108" w:type="dxa"/>
              <w:bottom w:w="0" w:type="dxa"/>
              <w:right w:w="108" w:type="dxa"/>
            </w:tcMar>
            <w:vAlign w:val="center"/>
          </w:tcPr>
          <w:p w14:paraId="66E28154" w14:textId="77777777" w:rsidR="006E39EB"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山东德礼科技发展</w:t>
            </w:r>
          </w:p>
          <w:p w14:paraId="1A8863E9"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有限公司</w:t>
            </w:r>
          </w:p>
        </w:tc>
        <w:tc>
          <w:tcPr>
            <w:tcW w:w="665" w:type="pct"/>
            <w:tcMar>
              <w:top w:w="0" w:type="dxa"/>
              <w:left w:w="108" w:type="dxa"/>
              <w:bottom w:w="0" w:type="dxa"/>
              <w:right w:w="108" w:type="dxa"/>
            </w:tcMar>
            <w:vAlign w:val="center"/>
          </w:tcPr>
          <w:p w14:paraId="7D6DA6CD"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710.86</w:t>
            </w:r>
          </w:p>
        </w:tc>
        <w:tc>
          <w:tcPr>
            <w:tcW w:w="741" w:type="pct"/>
            <w:tcMar>
              <w:top w:w="0" w:type="dxa"/>
              <w:left w:w="108" w:type="dxa"/>
              <w:bottom w:w="0" w:type="dxa"/>
              <w:right w:w="108" w:type="dxa"/>
            </w:tcMar>
            <w:vAlign w:val="center"/>
          </w:tcPr>
          <w:p w14:paraId="72A4F969"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4.08%</w:t>
            </w:r>
          </w:p>
        </w:tc>
        <w:tc>
          <w:tcPr>
            <w:tcW w:w="642" w:type="pct"/>
            <w:tcMar>
              <w:left w:w="108" w:type="dxa"/>
              <w:right w:w="108" w:type="dxa"/>
            </w:tcMar>
            <w:vAlign w:val="center"/>
          </w:tcPr>
          <w:p w14:paraId="3E01238F"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1,500.00</w:t>
            </w:r>
          </w:p>
        </w:tc>
        <w:tc>
          <w:tcPr>
            <w:tcW w:w="641" w:type="pct"/>
            <w:tcMar>
              <w:left w:w="108" w:type="dxa"/>
              <w:right w:w="108" w:type="dxa"/>
            </w:tcMar>
            <w:vAlign w:val="center"/>
          </w:tcPr>
          <w:p w14:paraId="4CBE0CE0"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1999.05.04</w:t>
            </w:r>
          </w:p>
        </w:tc>
        <w:tc>
          <w:tcPr>
            <w:tcW w:w="641" w:type="pct"/>
            <w:tcMar>
              <w:left w:w="108" w:type="dxa"/>
              <w:right w:w="108" w:type="dxa"/>
            </w:tcMar>
            <w:vAlign w:val="center"/>
          </w:tcPr>
          <w:p w14:paraId="3200C4BE"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备件</w:t>
            </w:r>
          </w:p>
        </w:tc>
      </w:tr>
      <w:tr w:rsidR="008D76D6" w14:paraId="270FE6FF" w14:textId="77777777">
        <w:trPr>
          <w:trHeight w:val="397"/>
          <w:jc w:val="center"/>
        </w:trPr>
        <w:tc>
          <w:tcPr>
            <w:tcW w:w="365" w:type="pct"/>
            <w:tcMar>
              <w:top w:w="0" w:type="dxa"/>
              <w:left w:w="108" w:type="dxa"/>
              <w:bottom w:w="0" w:type="dxa"/>
              <w:right w:w="108" w:type="dxa"/>
            </w:tcMar>
            <w:vAlign w:val="center"/>
          </w:tcPr>
          <w:p w14:paraId="2979EBAB"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3</w:t>
            </w:r>
          </w:p>
        </w:tc>
        <w:tc>
          <w:tcPr>
            <w:tcW w:w="1304" w:type="pct"/>
            <w:tcMar>
              <w:top w:w="0" w:type="dxa"/>
              <w:left w:w="108" w:type="dxa"/>
              <w:bottom w:w="0" w:type="dxa"/>
              <w:right w:w="108" w:type="dxa"/>
            </w:tcMar>
            <w:vAlign w:val="center"/>
          </w:tcPr>
          <w:p w14:paraId="4552C0FC"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莱州市源良机械厂</w:t>
            </w:r>
          </w:p>
        </w:tc>
        <w:tc>
          <w:tcPr>
            <w:tcW w:w="665" w:type="pct"/>
            <w:tcMar>
              <w:top w:w="0" w:type="dxa"/>
              <w:left w:w="108" w:type="dxa"/>
              <w:bottom w:w="0" w:type="dxa"/>
              <w:right w:w="108" w:type="dxa"/>
            </w:tcMar>
            <w:vAlign w:val="center"/>
          </w:tcPr>
          <w:p w14:paraId="12C2506D"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590.29</w:t>
            </w:r>
          </w:p>
        </w:tc>
        <w:tc>
          <w:tcPr>
            <w:tcW w:w="741" w:type="pct"/>
            <w:tcMar>
              <w:top w:w="0" w:type="dxa"/>
              <w:left w:w="108" w:type="dxa"/>
              <w:bottom w:w="0" w:type="dxa"/>
              <w:right w:w="108" w:type="dxa"/>
            </w:tcMar>
            <w:vAlign w:val="center"/>
          </w:tcPr>
          <w:p w14:paraId="43942703"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3.39%</w:t>
            </w:r>
          </w:p>
        </w:tc>
        <w:tc>
          <w:tcPr>
            <w:tcW w:w="642" w:type="pct"/>
            <w:tcMar>
              <w:left w:w="108" w:type="dxa"/>
              <w:right w:w="108" w:type="dxa"/>
            </w:tcMar>
            <w:vAlign w:val="center"/>
          </w:tcPr>
          <w:p w14:paraId="25A96786"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50.00</w:t>
            </w:r>
          </w:p>
        </w:tc>
        <w:tc>
          <w:tcPr>
            <w:tcW w:w="641" w:type="pct"/>
            <w:tcMar>
              <w:left w:w="108" w:type="dxa"/>
              <w:right w:w="108" w:type="dxa"/>
            </w:tcMar>
            <w:vAlign w:val="center"/>
          </w:tcPr>
          <w:p w14:paraId="6EF53374"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2005.06.09</w:t>
            </w:r>
          </w:p>
        </w:tc>
        <w:tc>
          <w:tcPr>
            <w:tcW w:w="641" w:type="pct"/>
            <w:tcMar>
              <w:left w:w="108" w:type="dxa"/>
              <w:right w:w="108" w:type="dxa"/>
            </w:tcMar>
            <w:vAlign w:val="center"/>
          </w:tcPr>
          <w:p w14:paraId="4FC3D6AF"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驱动头</w:t>
            </w:r>
          </w:p>
        </w:tc>
      </w:tr>
      <w:tr w:rsidR="008D76D6" w14:paraId="640B6DDC" w14:textId="77777777">
        <w:trPr>
          <w:trHeight w:val="397"/>
          <w:jc w:val="center"/>
        </w:trPr>
        <w:tc>
          <w:tcPr>
            <w:tcW w:w="365" w:type="pct"/>
            <w:tcMar>
              <w:top w:w="0" w:type="dxa"/>
              <w:left w:w="108" w:type="dxa"/>
              <w:bottom w:w="0" w:type="dxa"/>
              <w:right w:w="108" w:type="dxa"/>
            </w:tcMar>
            <w:vAlign w:val="center"/>
          </w:tcPr>
          <w:p w14:paraId="281D7BF0"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4</w:t>
            </w:r>
          </w:p>
        </w:tc>
        <w:tc>
          <w:tcPr>
            <w:tcW w:w="1304" w:type="pct"/>
            <w:tcMar>
              <w:top w:w="0" w:type="dxa"/>
              <w:left w:w="108" w:type="dxa"/>
              <w:bottom w:w="0" w:type="dxa"/>
              <w:right w:w="108" w:type="dxa"/>
            </w:tcMar>
            <w:vAlign w:val="center"/>
          </w:tcPr>
          <w:p w14:paraId="0E285B9D"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青岛金鑫盛阀门配件厂</w:t>
            </w:r>
          </w:p>
        </w:tc>
        <w:tc>
          <w:tcPr>
            <w:tcW w:w="665" w:type="pct"/>
            <w:tcMar>
              <w:top w:w="0" w:type="dxa"/>
              <w:left w:w="108" w:type="dxa"/>
              <w:bottom w:w="0" w:type="dxa"/>
              <w:right w:w="108" w:type="dxa"/>
            </w:tcMar>
            <w:vAlign w:val="center"/>
          </w:tcPr>
          <w:p w14:paraId="3D4F5D11"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517.38</w:t>
            </w:r>
          </w:p>
        </w:tc>
        <w:tc>
          <w:tcPr>
            <w:tcW w:w="741" w:type="pct"/>
            <w:tcMar>
              <w:top w:w="0" w:type="dxa"/>
              <w:left w:w="108" w:type="dxa"/>
              <w:bottom w:w="0" w:type="dxa"/>
              <w:right w:w="108" w:type="dxa"/>
            </w:tcMar>
            <w:vAlign w:val="center"/>
          </w:tcPr>
          <w:p w14:paraId="28B23682"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2.97%</w:t>
            </w:r>
          </w:p>
        </w:tc>
        <w:tc>
          <w:tcPr>
            <w:tcW w:w="642" w:type="pct"/>
            <w:tcMar>
              <w:left w:w="108" w:type="dxa"/>
              <w:right w:w="108" w:type="dxa"/>
            </w:tcMar>
            <w:vAlign w:val="center"/>
          </w:tcPr>
          <w:p w14:paraId="57E1F131"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35.00</w:t>
            </w:r>
          </w:p>
        </w:tc>
        <w:tc>
          <w:tcPr>
            <w:tcW w:w="641" w:type="pct"/>
            <w:tcMar>
              <w:left w:w="108" w:type="dxa"/>
              <w:right w:w="108" w:type="dxa"/>
            </w:tcMar>
            <w:vAlign w:val="center"/>
          </w:tcPr>
          <w:p w14:paraId="11EEC815"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2002.03.26</w:t>
            </w:r>
          </w:p>
        </w:tc>
        <w:tc>
          <w:tcPr>
            <w:tcW w:w="641" w:type="pct"/>
            <w:tcMar>
              <w:left w:w="108" w:type="dxa"/>
              <w:right w:w="108" w:type="dxa"/>
            </w:tcMar>
            <w:vAlign w:val="center"/>
          </w:tcPr>
          <w:p w14:paraId="107E9AF5"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阀杆及加工件</w:t>
            </w:r>
          </w:p>
        </w:tc>
      </w:tr>
      <w:tr w:rsidR="008D76D6" w14:paraId="7E4DD307" w14:textId="77777777">
        <w:trPr>
          <w:trHeight w:val="397"/>
          <w:jc w:val="center"/>
        </w:trPr>
        <w:tc>
          <w:tcPr>
            <w:tcW w:w="365" w:type="pct"/>
            <w:tcMar>
              <w:top w:w="0" w:type="dxa"/>
              <w:left w:w="108" w:type="dxa"/>
              <w:bottom w:w="0" w:type="dxa"/>
              <w:right w:w="108" w:type="dxa"/>
            </w:tcMar>
            <w:vAlign w:val="center"/>
          </w:tcPr>
          <w:p w14:paraId="25828E5B"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5</w:t>
            </w:r>
          </w:p>
        </w:tc>
        <w:tc>
          <w:tcPr>
            <w:tcW w:w="1304" w:type="pct"/>
            <w:tcMar>
              <w:top w:w="0" w:type="dxa"/>
              <w:left w:w="108" w:type="dxa"/>
              <w:bottom w:w="0" w:type="dxa"/>
              <w:right w:w="108" w:type="dxa"/>
            </w:tcMar>
            <w:vAlign w:val="center"/>
          </w:tcPr>
          <w:p w14:paraId="1C9BEF16" w14:textId="77777777" w:rsidR="006E39EB"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山东强宇机械制造</w:t>
            </w:r>
          </w:p>
          <w:p w14:paraId="252FD10C"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有限公司</w:t>
            </w:r>
          </w:p>
        </w:tc>
        <w:tc>
          <w:tcPr>
            <w:tcW w:w="665" w:type="pct"/>
            <w:tcMar>
              <w:top w:w="0" w:type="dxa"/>
              <w:left w:w="108" w:type="dxa"/>
              <w:bottom w:w="0" w:type="dxa"/>
              <w:right w:w="108" w:type="dxa"/>
            </w:tcMar>
            <w:vAlign w:val="center"/>
          </w:tcPr>
          <w:p w14:paraId="367379B9"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438.15</w:t>
            </w:r>
          </w:p>
        </w:tc>
        <w:tc>
          <w:tcPr>
            <w:tcW w:w="741" w:type="pct"/>
            <w:tcMar>
              <w:top w:w="0" w:type="dxa"/>
              <w:left w:w="108" w:type="dxa"/>
              <w:bottom w:w="0" w:type="dxa"/>
              <w:right w:w="108" w:type="dxa"/>
            </w:tcMar>
            <w:vAlign w:val="center"/>
          </w:tcPr>
          <w:p w14:paraId="0711892C"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2.51%</w:t>
            </w:r>
          </w:p>
        </w:tc>
        <w:tc>
          <w:tcPr>
            <w:tcW w:w="642" w:type="pct"/>
            <w:tcMar>
              <w:left w:w="108" w:type="dxa"/>
              <w:right w:w="108" w:type="dxa"/>
            </w:tcMar>
            <w:vAlign w:val="center"/>
          </w:tcPr>
          <w:p w14:paraId="46C82417"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3,200.00</w:t>
            </w:r>
          </w:p>
        </w:tc>
        <w:tc>
          <w:tcPr>
            <w:tcW w:w="641" w:type="pct"/>
            <w:tcMar>
              <w:left w:w="108" w:type="dxa"/>
              <w:right w:w="108" w:type="dxa"/>
            </w:tcMar>
            <w:vAlign w:val="center"/>
          </w:tcPr>
          <w:p w14:paraId="071D6EA9"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2018.11.15</w:t>
            </w:r>
          </w:p>
        </w:tc>
        <w:tc>
          <w:tcPr>
            <w:tcW w:w="641" w:type="pct"/>
            <w:tcMar>
              <w:left w:w="108" w:type="dxa"/>
              <w:right w:w="108" w:type="dxa"/>
            </w:tcMar>
            <w:vAlign w:val="center"/>
          </w:tcPr>
          <w:p w14:paraId="0F2AF6E1"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铸件</w:t>
            </w:r>
          </w:p>
        </w:tc>
      </w:tr>
      <w:tr w:rsidR="008D76D6" w14:paraId="535567C0" w14:textId="77777777">
        <w:trPr>
          <w:trHeight w:val="397"/>
          <w:jc w:val="center"/>
        </w:trPr>
        <w:tc>
          <w:tcPr>
            <w:tcW w:w="1670" w:type="pct"/>
            <w:gridSpan w:val="2"/>
            <w:tcMar>
              <w:top w:w="0" w:type="dxa"/>
              <w:left w:w="108" w:type="dxa"/>
              <w:bottom w:w="0" w:type="dxa"/>
              <w:right w:w="108" w:type="dxa"/>
            </w:tcMar>
            <w:vAlign w:val="center"/>
          </w:tcPr>
          <w:p w14:paraId="0AA5A3B7"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b/>
                <w:bCs/>
                <w:color w:val="000000"/>
                <w:sz w:val="21"/>
                <w:szCs w:val="21"/>
              </w:rPr>
              <w:t>合计</w:t>
            </w:r>
          </w:p>
        </w:tc>
        <w:tc>
          <w:tcPr>
            <w:tcW w:w="665" w:type="pct"/>
            <w:tcMar>
              <w:top w:w="0" w:type="dxa"/>
              <w:left w:w="108" w:type="dxa"/>
              <w:bottom w:w="0" w:type="dxa"/>
              <w:right w:w="108" w:type="dxa"/>
            </w:tcMar>
            <w:vAlign w:val="center"/>
          </w:tcPr>
          <w:p w14:paraId="0F8653D0"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b/>
                <w:bCs/>
                <w:color w:val="000000"/>
                <w:sz w:val="21"/>
                <w:szCs w:val="21"/>
              </w:rPr>
            </w:pPr>
            <w:r>
              <w:rPr>
                <w:rFonts w:ascii="Times New Roman" w:hAnsi="Times New Roman"/>
                <w:b/>
                <w:bCs/>
                <w:color w:val="000000"/>
                <w:sz w:val="21"/>
                <w:szCs w:val="21"/>
              </w:rPr>
              <w:t>3,271.18</w:t>
            </w:r>
          </w:p>
        </w:tc>
        <w:tc>
          <w:tcPr>
            <w:tcW w:w="741" w:type="pct"/>
            <w:tcMar>
              <w:top w:w="0" w:type="dxa"/>
              <w:left w:w="108" w:type="dxa"/>
              <w:bottom w:w="0" w:type="dxa"/>
              <w:right w:w="108" w:type="dxa"/>
            </w:tcMar>
            <w:vAlign w:val="center"/>
          </w:tcPr>
          <w:p w14:paraId="2F4A0C1C"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b/>
                <w:bCs/>
                <w:color w:val="000000"/>
                <w:sz w:val="21"/>
                <w:szCs w:val="21"/>
              </w:rPr>
            </w:pPr>
            <w:r>
              <w:rPr>
                <w:rFonts w:ascii="Times New Roman" w:hAnsi="Times New Roman"/>
                <w:b/>
                <w:bCs/>
                <w:color w:val="000000"/>
                <w:sz w:val="21"/>
                <w:szCs w:val="21"/>
              </w:rPr>
              <w:t>18.76%</w:t>
            </w:r>
          </w:p>
        </w:tc>
        <w:tc>
          <w:tcPr>
            <w:tcW w:w="642" w:type="pct"/>
            <w:tcMar>
              <w:left w:w="108" w:type="dxa"/>
              <w:right w:w="108" w:type="dxa"/>
            </w:tcMar>
            <w:vAlign w:val="center"/>
          </w:tcPr>
          <w:p w14:paraId="46BF54D4" w14:textId="77777777" w:rsidR="008D76D6" w:rsidRDefault="00E00539" w:rsidP="00E00539">
            <w:pPr>
              <w:adjustRightInd w:val="0"/>
              <w:snapToGrid w:val="0"/>
              <w:spacing w:beforeLines="0" w:before="0" w:afterLines="0" w:after="0" w:line="240" w:lineRule="auto"/>
              <w:ind w:firstLineChars="0" w:firstLine="0"/>
              <w:jc w:val="right"/>
              <w:rPr>
                <w:rFonts w:ascii="Times New Roman" w:hAnsi="Times New Roman"/>
                <w:b/>
                <w:bCs/>
                <w:color w:val="000000"/>
                <w:sz w:val="21"/>
                <w:szCs w:val="21"/>
              </w:rPr>
            </w:pPr>
            <w:r>
              <w:rPr>
                <w:rFonts w:ascii="Times New Roman" w:hAnsi="Times New Roman" w:hint="eastAsia"/>
                <w:b/>
                <w:bCs/>
                <w:color w:val="000000"/>
                <w:sz w:val="21"/>
                <w:szCs w:val="21"/>
              </w:rPr>
              <w:t>-</w:t>
            </w:r>
          </w:p>
        </w:tc>
        <w:tc>
          <w:tcPr>
            <w:tcW w:w="641" w:type="pct"/>
            <w:tcMar>
              <w:left w:w="108" w:type="dxa"/>
              <w:right w:w="108" w:type="dxa"/>
            </w:tcMar>
            <w:vAlign w:val="center"/>
          </w:tcPr>
          <w:p w14:paraId="35262DDF" w14:textId="77777777" w:rsidR="008D76D6" w:rsidRDefault="00E00539" w:rsidP="00E00539">
            <w:pPr>
              <w:adjustRightInd w:val="0"/>
              <w:snapToGrid w:val="0"/>
              <w:spacing w:beforeLines="0" w:before="0" w:afterLines="0" w:after="0" w:line="240" w:lineRule="auto"/>
              <w:ind w:firstLineChars="0" w:firstLine="0"/>
              <w:jc w:val="right"/>
              <w:rPr>
                <w:rFonts w:ascii="Times New Roman" w:hAnsi="Times New Roman"/>
                <w:b/>
                <w:bCs/>
                <w:color w:val="000000"/>
                <w:sz w:val="21"/>
                <w:szCs w:val="21"/>
              </w:rPr>
            </w:pPr>
            <w:r>
              <w:rPr>
                <w:rFonts w:ascii="Times New Roman" w:hAnsi="Times New Roman" w:hint="eastAsia"/>
                <w:b/>
                <w:bCs/>
                <w:color w:val="000000"/>
                <w:sz w:val="21"/>
                <w:szCs w:val="21"/>
              </w:rPr>
              <w:t>-</w:t>
            </w:r>
          </w:p>
        </w:tc>
        <w:tc>
          <w:tcPr>
            <w:tcW w:w="641" w:type="pct"/>
            <w:tcMar>
              <w:left w:w="108" w:type="dxa"/>
              <w:right w:w="108" w:type="dxa"/>
            </w:tcMar>
            <w:vAlign w:val="center"/>
          </w:tcPr>
          <w:p w14:paraId="14BA8A39"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color w:val="000000"/>
                <w:sz w:val="21"/>
                <w:szCs w:val="21"/>
              </w:rPr>
              <w:t>-</w:t>
            </w:r>
          </w:p>
        </w:tc>
      </w:tr>
    </w:tbl>
    <w:p w14:paraId="0E7A0FB0" w14:textId="77777777" w:rsidR="008D76D6" w:rsidRDefault="008D76D6">
      <w:pPr>
        <w:spacing w:before="120" w:after="120"/>
        <w:ind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rPr>
        <w:t>2022</w:t>
      </w:r>
      <w:r>
        <w:rPr>
          <w:rFonts w:ascii="Times New Roman" w:hAnsi="Times New Roman"/>
        </w:rPr>
        <w:t>年度</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7"/>
        <w:gridCol w:w="2073"/>
        <w:gridCol w:w="1338"/>
        <w:gridCol w:w="1335"/>
        <w:gridCol w:w="1157"/>
        <w:gridCol w:w="1155"/>
        <w:gridCol w:w="1155"/>
      </w:tblGrid>
      <w:tr w:rsidR="008D76D6" w14:paraId="0F2F0945" w14:textId="77777777">
        <w:trPr>
          <w:trHeight w:val="397"/>
          <w:jc w:val="center"/>
        </w:trPr>
        <w:tc>
          <w:tcPr>
            <w:tcW w:w="442" w:type="pct"/>
            <w:shd w:val="clear" w:color="auto" w:fill="D9D9D9"/>
            <w:tcMar>
              <w:top w:w="0" w:type="dxa"/>
              <w:left w:w="108" w:type="dxa"/>
              <w:bottom w:w="0" w:type="dxa"/>
              <w:right w:w="108" w:type="dxa"/>
            </w:tcMar>
            <w:vAlign w:val="center"/>
          </w:tcPr>
          <w:p w14:paraId="7BB88BBB"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序号</w:t>
            </w:r>
          </w:p>
        </w:tc>
        <w:tc>
          <w:tcPr>
            <w:tcW w:w="1150" w:type="pct"/>
            <w:shd w:val="clear" w:color="auto" w:fill="D9D9D9"/>
            <w:tcMar>
              <w:top w:w="0" w:type="dxa"/>
              <w:left w:w="108" w:type="dxa"/>
              <w:bottom w:w="0" w:type="dxa"/>
              <w:right w:w="108" w:type="dxa"/>
            </w:tcMar>
            <w:vAlign w:val="center"/>
          </w:tcPr>
          <w:p w14:paraId="71D578FF"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单位名称</w:t>
            </w:r>
          </w:p>
        </w:tc>
        <w:tc>
          <w:tcPr>
            <w:tcW w:w="742" w:type="pct"/>
            <w:shd w:val="clear" w:color="auto" w:fill="D9D9D9"/>
            <w:tcMar>
              <w:top w:w="0" w:type="dxa"/>
              <w:left w:w="108" w:type="dxa"/>
              <w:bottom w:w="0" w:type="dxa"/>
              <w:right w:w="108" w:type="dxa"/>
            </w:tcMar>
            <w:vAlign w:val="center"/>
          </w:tcPr>
          <w:p w14:paraId="258FB66A"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采购额</w:t>
            </w:r>
          </w:p>
          <w:p w14:paraId="1555CA04"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（万元）</w:t>
            </w:r>
          </w:p>
        </w:tc>
        <w:tc>
          <w:tcPr>
            <w:tcW w:w="741" w:type="pct"/>
            <w:shd w:val="clear" w:color="auto" w:fill="D9D9D9"/>
            <w:tcMar>
              <w:top w:w="0" w:type="dxa"/>
              <w:left w:w="108" w:type="dxa"/>
              <w:bottom w:w="0" w:type="dxa"/>
              <w:right w:w="108" w:type="dxa"/>
            </w:tcMar>
            <w:vAlign w:val="center"/>
          </w:tcPr>
          <w:p w14:paraId="1733B633"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占采购总额的比例</w:t>
            </w:r>
          </w:p>
        </w:tc>
        <w:tc>
          <w:tcPr>
            <w:tcW w:w="642" w:type="pct"/>
            <w:shd w:val="clear" w:color="auto" w:fill="D9D9D9"/>
            <w:tcMar>
              <w:left w:w="108" w:type="dxa"/>
              <w:right w:w="108" w:type="dxa"/>
            </w:tcMar>
            <w:vAlign w:val="center"/>
          </w:tcPr>
          <w:p w14:paraId="35E18597"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注册资本</w:t>
            </w:r>
          </w:p>
          <w:p w14:paraId="27CEBB23"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hint="eastAsia"/>
                <w:b/>
                <w:bCs/>
                <w:sz w:val="21"/>
                <w:szCs w:val="21"/>
              </w:rPr>
            </w:pPr>
            <w:r>
              <w:rPr>
                <w:rFonts w:ascii="Times New Roman" w:hAnsi="Times New Roman" w:hint="eastAsia"/>
                <w:b/>
                <w:bCs/>
                <w:sz w:val="21"/>
                <w:szCs w:val="21"/>
              </w:rPr>
              <w:t>（万元）</w:t>
            </w:r>
          </w:p>
        </w:tc>
        <w:tc>
          <w:tcPr>
            <w:tcW w:w="641" w:type="pct"/>
            <w:shd w:val="clear" w:color="auto" w:fill="D9D9D9"/>
            <w:tcMar>
              <w:left w:w="108" w:type="dxa"/>
              <w:right w:w="108" w:type="dxa"/>
            </w:tcMar>
            <w:vAlign w:val="center"/>
          </w:tcPr>
          <w:p w14:paraId="40EDF9EB"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设立时间</w:t>
            </w:r>
          </w:p>
        </w:tc>
        <w:tc>
          <w:tcPr>
            <w:tcW w:w="641" w:type="pct"/>
            <w:shd w:val="clear" w:color="auto" w:fill="D9D9D9"/>
            <w:tcMar>
              <w:left w:w="108" w:type="dxa"/>
              <w:right w:w="108" w:type="dxa"/>
            </w:tcMar>
            <w:vAlign w:val="center"/>
          </w:tcPr>
          <w:p w14:paraId="04997BCD"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采购内容</w:t>
            </w:r>
          </w:p>
        </w:tc>
      </w:tr>
      <w:tr w:rsidR="008D76D6" w14:paraId="051C6CB5" w14:textId="77777777">
        <w:trPr>
          <w:trHeight w:val="397"/>
          <w:jc w:val="center"/>
        </w:trPr>
        <w:tc>
          <w:tcPr>
            <w:tcW w:w="442" w:type="pct"/>
            <w:tcMar>
              <w:top w:w="0" w:type="dxa"/>
              <w:left w:w="108" w:type="dxa"/>
              <w:bottom w:w="0" w:type="dxa"/>
              <w:right w:w="108" w:type="dxa"/>
            </w:tcMar>
            <w:vAlign w:val="center"/>
          </w:tcPr>
          <w:p w14:paraId="1A834C79"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w:t>
            </w:r>
          </w:p>
        </w:tc>
        <w:tc>
          <w:tcPr>
            <w:tcW w:w="1150" w:type="pct"/>
            <w:tcMar>
              <w:top w:w="0" w:type="dxa"/>
              <w:left w:w="108" w:type="dxa"/>
              <w:bottom w:w="0" w:type="dxa"/>
              <w:right w:w="108" w:type="dxa"/>
            </w:tcMar>
            <w:vAlign w:val="center"/>
          </w:tcPr>
          <w:p w14:paraId="3A197E79" w14:textId="77777777" w:rsidR="006E39EB"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莱州诚源盐化</w:t>
            </w:r>
          </w:p>
          <w:p w14:paraId="7F15AA7D"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有限公司</w:t>
            </w:r>
          </w:p>
        </w:tc>
        <w:tc>
          <w:tcPr>
            <w:tcW w:w="742" w:type="pct"/>
            <w:tcMar>
              <w:top w:w="0" w:type="dxa"/>
              <w:left w:w="108" w:type="dxa"/>
              <w:bottom w:w="0" w:type="dxa"/>
              <w:right w:w="108" w:type="dxa"/>
            </w:tcMar>
            <w:vAlign w:val="center"/>
          </w:tcPr>
          <w:p w14:paraId="7D3A8900"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1,795.09</w:t>
            </w:r>
          </w:p>
        </w:tc>
        <w:tc>
          <w:tcPr>
            <w:tcW w:w="741" w:type="pct"/>
            <w:tcMar>
              <w:top w:w="0" w:type="dxa"/>
              <w:left w:w="108" w:type="dxa"/>
              <w:bottom w:w="0" w:type="dxa"/>
              <w:right w:w="108" w:type="dxa"/>
            </w:tcMar>
            <w:vAlign w:val="center"/>
          </w:tcPr>
          <w:p w14:paraId="49A6AE20"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6.47%</w:t>
            </w:r>
          </w:p>
        </w:tc>
        <w:tc>
          <w:tcPr>
            <w:tcW w:w="642" w:type="pct"/>
            <w:tcMar>
              <w:left w:w="108" w:type="dxa"/>
              <w:right w:w="108" w:type="dxa"/>
            </w:tcMar>
            <w:vAlign w:val="center"/>
          </w:tcPr>
          <w:p w14:paraId="1A72D579"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31,627.00</w:t>
            </w:r>
          </w:p>
        </w:tc>
        <w:tc>
          <w:tcPr>
            <w:tcW w:w="641" w:type="pct"/>
            <w:tcMar>
              <w:left w:w="108" w:type="dxa"/>
              <w:right w:w="108" w:type="dxa"/>
            </w:tcMar>
            <w:vAlign w:val="center"/>
          </w:tcPr>
          <w:p w14:paraId="42744040"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2004.09.03</w:t>
            </w:r>
          </w:p>
        </w:tc>
        <w:tc>
          <w:tcPr>
            <w:tcW w:w="641" w:type="pct"/>
            <w:tcMar>
              <w:left w:w="108" w:type="dxa"/>
              <w:right w:w="108" w:type="dxa"/>
            </w:tcMar>
            <w:vAlign w:val="center"/>
          </w:tcPr>
          <w:p w14:paraId="00D1A10F"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能源</w:t>
            </w:r>
          </w:p>
        </w:tc>
      </w:tr>
      <w:tr w:rsidR="008D76D6" w14:paraId="10D4E78C" w14:textId="77777777">
        <w:trPr>
          <w:trHeight w:val="397"/>
          <w:jc w:val="center"/>
        </w:trPr>
        <w:tc>
          <w:tcPr>
            <w:tcW w:w="442" w:type="pct"/>
            <w:tcMar>
              <w:top w:w="0" w:type="dxa"/>
              <w:left w:w="108" w:type="dxa"/>
              <w:bottom w:w="0" w:type="dxa"/>
              <w:right w:w="108" w:type="dxa"/>
            </w:tcMar>
            <w:vAlign w:val="center"/>
          </w:tcPr>
          <w:p w14:paraId="2E830E55"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w:t>
            </w:r>
          </w:p>
        </w:tc>
        <w:tc>
          <w:tcPr>
            <w:tcW w:w="1150" w:type="pct"/>
            <w:tcMar>
              <w:top w:w="0" w:type="dxa"/>
              <w:left w:w="108" w:type="dxa"/>
              <w:bottom w:w="0" w:type="dxa"/>
              <w:right w:w="108" w:type="dxa"/>
            </w:tcMar>
            <w:vAlign w:val="center"/>
          </w:tcPr>
          <w:p w14:paraId="74C9A927" w14:textId="77777777" w:rsidR="006E39EB"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青岛义国环保科技</w:t>
            </w:r>
          </w:p>
          <w:p w14:paraId="776B28A6"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有限公司</w:t>
            </w:r>
          </w:p>
        </w:tc>
        <w:tc>
          <w:tcPr>
            <w:tcW w:w="742" w:type="pct"/>
            <w:tcMar>
              <w:top w:w="0" w:type="dxa"/>
              <w:left w:w="108" w:type="dxa"/>
              <w:bottom w:w="0" w:type="dxa"/>
              <w:right w:w="108" w:type="dxa"/>
            </w:tcMar>
            <w:vAlign w:val="center"/>
          </w:tcPr>
          <w:p w14:paraId="65036B0D"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1,336.47</w:t>
            </w:r>
          </w:p>
        </w:tc>
        <w:tc>
          <w:tcPr>
            <w:tcW w:w="741" w:type="pct"/>
            <w:tcMar>
              <w:top w:w="0" w:type="dxa"/>
              <w:left w:w="108" w:type="dxa"/>
              <w:bottom w:w="0" w:type="dxa"/>
              <w:right w:w="108" w:type="dxa"/>
            </w:tcMar>
            <w:vAlign w:val="center"/>
          </w:tcPr>
          <w:p w14:paraId="4F2ED093"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4.82%</w:t>
            </w:r>
          </w:p>
        </w:tc>
        <w:tc>
          <w:tcPr>
            <w:tcW w:w="642" w:type="pct"/>
            <w:tcMar>
              <w:left w:w="108" w:type="dxa"/>
              <w:right w:w="108" w:type="dxa"/>
            </w:tcMar>
            <w:vAlign w:val="center"/>
          </w:tcPr>
          <w:p w14:paraId="52048519"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300.00</w:t>
            </w:r>
          </w:p>
        </w:tc>
        <w:tc>
          <w:tcPr>
            <w:tcW w:w="641" w:type="pct"/>
            <w:tcMar>
              <w:left w:w="108" w:type="dxa"/>
              <w:right w:w="108" w:type="dxa"/>
            </w:tcMar>
            <w:vAlign w:val="center"/>
          </w:tcPr>
          <w:p w14:paraId="1272E6ED"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2020.09.08</w:t>
            </w:r>
          </w:p>
        </w:tc>
        <w:tc>
          <w:tcPr>
            <w:tcW w:w="641" w:type="pct"/>
            <w:tcMar>
              <w:left w:w="108" w:type="dxa"/>
              <w:right w:w="108" w:type="dxa"/>
            </w:tcMar>
            <w:vAlign w:val="center"/>
          </w:tcPr>
          <w:p w14:paraId="5D11D994"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废铁</w:t>
            </w:r>
          </w:p>
        </w:tc>
      </w:tr>
      <w:tr w:rsidR="008D76D6" w14:paraId="7D36A896" w14:textId="77777777">
        <w:trPr>
          <w:trHeight w:val="397"/>
          <w:jc w:val="center"/>
        </w:trPr>
        <w:tc>
          <w:tcPr>
            <w:tcW w:w="442" w:type="pct"/>
            <w:tcMar>
              <w:top w:w="0" w:type="dxa"/>
              <w:left w:w="108" w:type="dxa"/>
              <w:bottom w:w="0" w:type="dxa"/>
              <w:right w:w="108" w:type="dxa"/>
            </w:tcMar>
            <w:vAlign w:val="center"/>
          </w:tcPr>
          <w:p w14:paraId="52C3A519"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3</w:t>
            </w:r>
          </w:p>
        </w:tc>
        <w:tc>
          <w:tcPr>
            <w:tcW w:w="1150" w:type="pct"/>
            <w:tcMar>
              <w:top w:w="0" w:type="dxa"/>
              <w:left w:w="108" w:type="dxa"/>
              <w:bottom w:w="0" w:type="dxa"/>
              <w:right w:w="108" w:type="dxa"/>
            </w:tcMar>
            <w:vAlign w:val="center"/>
          </w:tcPr>
          <w:p w14:paraId="36A1959C"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青岛金鑫盛阀门配件厂</w:t>
            </w:r>
          </w:p>
        </w:tc>
        <w:tc>
          <w:tcPr>
            <w:tcW w:w="742" w:type="pct"/>
            <w:tcMar>
              <w:top w:w="0" w:type="dxa"/>
              <w:left w:w="108" w:type="dxa"/>
              <w:bottom w:w="0" w:type="dxa"/>
              <w:right w:w="108" w:type="dxa"/>
            </w:tcMar>
            <w:vAlign w:val="center"/>
          </w:tcPr>
          <w:p w14:paraId="6FF5603B"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915.46</w:t>
            </w:r>
          </w:p>
        </w:tc>
        <w:tc>
          <w:tcPr>
            <w:tcW w:w="741" w:type="pct"/>
            <w:tcMar>
              <w:top w:w="0" w:type="dxa"/>
              <w:left w:w="108" w:type="dxa"/>
              <w:bottom w:w="0" w:type="dxa"/>
              <w:right w:w="108" w:type="dxa"/>
            </w:tcMar>
            <w:vAlign w:val="center"/>
          </w:tcPr>
          <w:p w14:paraId="33799A1E"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3.30%</w:t>
            </w:r>
          </w:p>
        </w:tc>
        <w:tc>
          <w:tcPr>
            <w:tcW w:w="642" w:type="pct"/>
            <w:tcMar>
              <w:left w:w="108" w:type="dxa"/>
              <w:right w:w="108" w:type="dxa"/>
            </w:tcMar>
            <w:vAlign w:val="center"/>
          </w:tcPr>
          <w:p w14:paraId="5B1A2CEA"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35.00</w:t>
            </w:r>
          </w:p>
        </w:tc>
        <w:tc>
          <w:tcPr>
            <w:tcW w:w="641" w:type="pct"/>
            <w:tcMar>
              <w:left w:w="108" w:type="dxa"/>
              <w:right w:w="108" w:type="dxa"/>
            </w:tcMar>
            <w:vAlign w:val="center"/>
          </w:tcPr>
          <w:p w14:paraId="1639F9CE"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2002.03.26</w:t>
            </w:r>
          </w:p>
        </w:tc>
        <w:tc>
          <w:tcPr>
            <w:tcW w:w="641" w:type="pct"/>
            <w:tcMar>
              <w:left w:w="108" w:type="dxa"/>
              <w:right w:w="108" w:type="dxa"/>
            </w:tcMar>
            <w:vAlign w:val="center"/>
          </w:tcPr>
          <w:p w14:paraId="493123C9"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阀杆及加工件</w:t>
            </w:r>
          </w:p>
        </w:tc>
      </w:tr>
      <w:tr w:rsidR="008D76D6" w14:paraId="6E7805E8" w14:textId="77777777">
        <w:trPr>
          <w:trHeight w:val="397"/>
          <w:jc w:val="center"/>
        </w:trPr>
        <w:tc>
          <w:tcPr>
            <w:tcW w:w="442" w:type="pct"/>
            <w:tcMar>
              <w:top w:w="0" w:type="dxa"/>
              <w:left w:w="108" w:type="dxa"/>
              <w:bottom w:w="0" w:type="dxa"/>
              <w:right w:w="108" w:type="dxa"/>
            </w:tcMar>
            <w:vAlign w:val="center"/>
          </w:tcPr>
          <w:p w14:paraId="34EE8924"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4</w:t>
            </w:r>
          </w:p>
        </w:tc>
        <w:tc>
          <w:tcPr>
            <w:tcW w:w="1150" w:type="pct"/>
            <w:tcMar>
              <w:top w:w="0" w:type="dxa"/>
              <w:left w:w="108" w:type="dxa"/>
              <w:bottom w:w="0" w:type="dxa"/>
              <w:right w:w="108" w:type="dxa"/>
            </w:tcMar>
            <w:vAlign w:val="center"/>
          </w:tcPr>
          <w:p w14:paraId="3E0FED4A" w14:textId="77777777" w:rsidR="006E39EB"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莱州市隆顺机械</w:t>
            </w:r>
          </w:p>
          <w:p w14:paraId="040F071A"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有限公司</w:t>
            </w:r>
          </w:p>
        </w:tc>
        <w:tc>
          <w:tcPr>
            <w:tcW w:w="742" w:type="pct"/>
            <w:tcMar>
              <w:top w:w="0" w:type="dxa"/>
              <w:left w:w="108" w:type="dxa"/>
              <w:bottom w:w="0" w:type="dxa"/>
              <w:right w:w="108" w:type="dxa"/>
            </w:tcMar>
            <w:vAlign w:val="center"/>
          </w:tcPr>
          <w:p w14:paraId="4F903468"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912.45</w:t>
            </w:r>
          </w:p>
        </w:tc>
        <w:tc>
          <w:tcPr>
            <w:tcW w:w="741" w:type="pct"/>
            <w:tcMar>
              <w:top w:w="0" w:type="dxa"/>
              <w:left w:w="108" w:type="dxa"/>
              <w:bottom w:w="0" w:type="dxa"/>
              <w:right w:w="108" w:type="dxa"/>
            </w:tcMar>
            <w:vAlign w:val="center"/>
          </w:tcPr>
          <w:p w14:paraId="6A3749F4"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3.29%</w:t>
            </w:r>
          </w:p>
        </w:tc>
        <w:tc>
          <w:tcPr>
            <w:tcW w:w="642" w:type="pct"/>
            <w:tcMar>
              <w:left w:w="108" w:type="dxa"/>
              <w:right w:w="108" w:type="dxa"/>
            </w:tcMar>
            <w:vAlign w:val="center"/>
          </w:tcPr>
          <w:p w14:paraId="661CFD1D"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100.00</w:t>
            </w:r>
          </w:p>
        </w:tc>
        <w:tc>
          <w:tcPr>
            <w:tcW w:w="641" w:type="pct"/>
            <w:tcMar>
              <w:left w:w="108" w:type="dxa"/>
              <w:right w:w="108" w:type="dxa"/>
            </w:tcMar>
            <w:vAlign w:val="center"/>
          </w:tcPr>
          <w:p w14:paraId="01273BD3"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2016.04.08</w:t>
            </w:r>
          </w:p>
        </w:tc>
        <w:tc>
          <w:tcPr>
            <w:tcW w:w="641" w:type="pct"/>
            <w:tcMar>
              <w:left w:w="108" w:type="dxa"/>
              <w:right w:w="108" w:type="dxa"/>
            </w:tcMar>
            <w:vAlign w:val="center"/>
          </w:tcPr>
          <w:p w14:paraId="592EAB8C"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铸件及加工件</w:t>
            </w:r>
          </w:p>
        </w:tc>
      </w:tr>
      <w:tr w:rsidR="008D76D6" w14:paraId="79575A9D" w14:textId="77777777">
        <w:trPr>
          <w:trHeight w:val="397"/>
          <w:jc w:val="center"/>
        </w:trPr>
        <w:tc>
          <w:tcPr>
            <w:tcW w:w="442" w:type="pct"/>
            <w:tcMar>
              <w:top w:w="0" w:type="dxa"/>
              <w:left w:w="108" w:type="dxa"/>
              <w:bottom w:w="0" w:type="dxa"/>
              <w:right w:w="108" w:type="dxa"/>
            </w:tcMar>
            <w:vAlign w:val="center"/>
          </w:tcPr>
          <w:p w14:paraId="0D8777BE"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5</w:t>
            </w:r>
          </w:p>
        </w:tc>
        <w:tc>
          <w:tcPr>
            <w:tcW w:w="1150" w:type="pct"/>
            <w:tcMar>
              <w:top w:w="0" w:type="dxa"/>
              <w:left w:w="108" w:type="dxa"/>
              <w:bottom w:w="0" w:type="dxa"/>
              <w:right w:w="108" w:type="dxa"/>
            </w:tcMar>
            <w:vAlign w:val="center"/>
          </w:tcPr>
          <w:p w14:paraId="21095B37"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莱州市源良机械厂</w:t>
            </w:r>
          </w:p>
        </w:tc>
        <w:tc>
          <w:tcPr>
            <w:tcW w:w="742" w:type="pct"/>
            <w:tcMar>
              <w:top w:w="0" w:type="dxa"/>
              <w:left w:w="108" w:type="dxa"/>
              <w:bottom w:w="0" w:type="dxa"/>
              <w:right w:w="108" w:type="dxa"/>
            </w:tcMar>
            <w:vAlign w:val="center"/>
          </w:tcPr>
          <w:p w14:paraId="7EFD0061"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789.31</w:t>
            </w:r>
          </w:p>
        </w:tc>
        <w:tc>
          <w:tcPr>
            <w:tcW w:w="741" w:type="pct"/>
            <w:tcMar>
              <w:top w:w="0" w:type="dxa"/>
              <w:left w:w="108" w:type="dxa"/>
              <w:bottom w:w="0" w:type="dxa"/>
              <w:right w:w="108" w:type="dxa"/>
            </w:tcMar>
            <w:vAlign w:val="center"/>
          </w:tcPr>
          <w:p w14:paraId="4B047A4E"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2.85%</w:t>
            </w:r>
          </w:p>
        </w:tc>
        <w:tc>
          <w:tcPr>
            <w:tcW w:w="642" w:type="pct"/>
            <w:tcMar>
              <w:left w:w="108" w:type="dxa"/>
              <w:right w:w="108" w:type="dxa"/>
            </w:tcMar>
            <w:vAlign w:val="center"/>
          </w:tcPr>
          <w:p w14:paraId="05D4DFED"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50.00</w:t>
            </w:r>
          </w:p>
        </w:tc>
        <w:tc>
          <w:tcPr>
            <w:tcW w:w="641" w:type="pct"/>
            <w:tcMar>
              <w:left w:w="108" w:type="dxa"/>
              <w:right w:w="108" w:type="dxa"/>
            </w:tcMar>
            <w:vAlign w:val="center"/>
          </w:tcPr>
          <w:p w14:paraId="529F358D"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2005.06.09</w:t>
            </w:r>
          </w:p>
        </w:tc>
        <w:tc>
          <w:tcPr>
            <w:tcW w:w="641" w:type="pct"/>
            <w:tcMar>
              <w:left w:w="108" w:type="dxa"/>
              <w:right w:w="108" w:type="dxa"/>
            </w:tcMar>
            <w:vAlign w:val="center"/>
          </w:tcPr>
          <w:p w14:paraId="40D653BD"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驱动头</w:t>
            </w:r>
          </w:p>
        </w:tc>
      </w:tr>
      <w:tr w:rsidR="008D76D6" w14:paraId="125C5F8D" w14:textId="77777777">
        <w:trPr>
          <w:trHeight w:val="397"/>
          <w:jc w:val="center"/>
        </w:trPr>
        <w:tc>
          <w:tcPr>
            <w:tcW w:w="1592" w:type="pct"/>
            <w:gridSpan w:val="2"/>
            <w:tcMar>
              <w:top w:w="0" w:type="dxa"/>
              <w:left w:w="108" w:type="dxa"/>
              <w:bottom w:w="0" w:type="dxa"/>
              <w:right w:w="108" w:type="dxa"/>
            </w:tcMar>
            <w:vAlign w:val="center"/>
          </w:tcPr>
          <w:p w14:paraId="273C3AE3"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b/>
                <w:bCs/>
                <w:color w:val="000000"/>
                <w:sz w:val="21"/>
                <w:szCs w:val="21"/>
              </w:rPr>
              <w:t>合计</w:t>
            </w:r>
          </w:p>
        </w:tc>
        <w:tc>
          <w:tcPr>
            <w:tcW w:w="742" w:type="pct"/>
            <w:tcMar>
              <w:top w:w="0" w:type="dxa"/>
              <w:left w:w="108" w:type="dxa"/>
              <w:bottom w:w="0" w:type="dxa"/>
              <w:right w:w="108" w:type="dxa"/>
            </w:tcMar>
            <w:vAlign w:val="center"/>
          </w:tcPr>
          <w:p w14:paraId="4CABE810"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b/>
                <w:bCs/>
                <w:color w:val="000000"/>
                <w:sz w:val="21"/>
                <w:szCs w:val="21"/>
              </w:rPr>
            </w:pPr>
            <w:r>
              <w:rPr>
                <w:rFonts w:ascii="Times New Roman" w:hAnsi="Times New Roman"/>
                <w:b/>
                <w:bCs/>
                <w:sz w:val="21"/>
                <w:szCs w:val="21"/>
              </w:rPr>
              <w:t>5,748.79</w:t>
            </w:r>
          </w:p>
        </w:tc>
        <w:tc>
          <w:tcPr>
            <w:tcW w:w="741" w:type="pct"/>
            <w:tcMar>
              <w:top w:w="0" w:type="dxa"/>
              <w:left w:w="108" w:type="dxa"/>
              <w:bottom w:w="0" w:type="dxa"/>
              <w:right w:w="108" w:type="dxa"/>
            </w:tcMar>
            <w:vAlign w:val="center"/>
          </w:tcPr>
          <w:p w14:paraId="79F2803B"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b/>
                <w:bCs/>
                <w:color w:val="000000"/>
                <w:sz w:val="21"/>
                <w:szCs w:val="21"/>
              </w:rPr>
            </w:pPr>
            <w:r>
              <w:rPr>
                <w:rFonts w:ascii="Times New Roman" w:hAnsi="Times New Roman"/>
                <w:b/>
                <w:bCs/>
                <w:sz w:val="21"/>
                <w:szCs w:val="21"/>
              </w:rPr>
              <w:t>20.73%</w:t>
            </w:r>
          </w:p>
        </w:tc>
        <w:tc>
          <w:tcPr>
            <w:tcW w:w="642" w:type="pct"/>
            <w:tcMar>
              <w:left w:w="108" w:type="dxa"/>
              <w:right w:w="108" w:type="dxa"/>
            </w:tcMar>
            <w:vAlign w:val="center"/>
          </w:tcPr>
          <w:p w14:paraId="672E5024" w14:textId="77777777" w:rsidR="008D76D6" w:rsidRDefault="00552C11" w:rsidP="00CE3CA5">
            <w:pPr>
              <w:adjustRightInd w:val="0"/>
              <w:snapToGrid w:val="0"/>
              <w:spacing w:beforeLines="0" w:before="0" w:afterLines="0" w:after="0" w:line="240" w:lineRule="auto"/>
              <w:ind w:firstLineChars="0" w:firstLine="0"/>
              <w:jc w:val="right"/>
              <w:rPr>
                <w:rFonts w:ascii="Times New Roman" w:hAnsi="Times New Roman"/>
                <w:b/>
                <w:bCs/>
                <w:sz w:val="21"/>
                <w:szCs w:val="21"/>
              </w:rPr>
            </w:pPr>
            <w:r>
              <w:rPr>
                <w:rFonts w:ascii="Times New Roman" w:hAnsi="Times New Roman" w:hint="eastAsia"/>
                <w:b/>
                <w:bCs/>
                <w:sz w:val="21"/>
                <w:szCs w:val="21"/>
              </w:rPr>
              <w:t>-</w:t>
            </w:r>
          </w:p>
        </w:tc>
        <w:tc>
          <w:tcPr>
            <w:tcW w:w="641" w:type="pct"/>
            <w:tcMar>
              <w:left w:w="108" w:type="dxa"/>
              <w:right w:w="108" w:type="dxa"/>
            </w:tcMar>
            <w:vAlign w:val="center"/>
          </w:tcPr>
          <w:p w14:paraId="76C566E4" w14:textId="77777777" w:rsidR="008D76D6" w:rsidRDefault="00552C11" w:rsidP="00CE3CA5">
            <w:pPr>
              <w:adjustRightInd w:val="0"/>
              <w:snapToGrid w:val="0"/>
              <w:spacing w:beforeLines="0" w:before="0" w:afterLines="0" w:after="0" w:line="240" w:lineRule="auto"/>
              <w:ind w:firstLineChars="0" w:firstLine="0"/>
              <w:jc w:val="right"/>
              <w:rPr>
                <w:rFonts w:ascii="Times New Roman" w:hAnsi="Times New Roman"/>
                <w:b/>
                <w:bCs/>
                <w:sz w:val="21"/>
                <w:szCs w:val="21"/>
              </w:rPr>
            </w:pPr>
            <w:r>
              <w:rPr>
                <w:rFonts w:ascii="Times New Roman" w:hAnsi="Times New Roman" w:hint="eastAsia"/>
                <w:b/>
                <w:bCs/>
                <w:sz w:val="21"/>
                <w:szCs w:val="21"/>
              </w:rPr>
              <w:t>-</w:t>
            </w:r>
          </w:p>
        </w:tc>
        <w:tc>
          <w:tcPr>
            <w:tcW w:w="641" w:type="pct"/>
            <w:tcMar>
              <w:left w:w="108" w:type="dxa"/>
              <w:right w:w="108" w:type="dxa"/>
            </w:tcMar>
            <w:vAlign w:val="center"/>
          </w:tcPr>
          <w:p w14:paraId="0E0935A9"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w:t>
            </w:r>
          </w:p>
        </w:tc>
      </w:tr>
    </w:tbl>
    <w:p w14:paraId="7CCA5ED0" w14:textId="77777777" w:rsidR="008D76D6" w:rsidRDefault="008D76D6">
      <w:pPr>
        <w:spacing w:before="120" w:after="120"/>
        <w:ind w:firstLine="480"/>
        <w:rPr>
          <w:rFonts w:ascii="Times New Roman" w:hAnsi="Times New Roman"/>
          <w:szCs w:val="24"/>
        </w:rPr>
      </w:pPr>
      <w:r>
        <w:rPr>
          <w:rFonts w:ascii="Times New Roman" w:hAnsi="Times New Roman"/>
          <w:szCs w:val="24"/>
        </w:rPr>
        <w:t>（</w:t>
      </w:r>
      <w:r>
        <w:rPr>
          <w:rFonts w:ascii="Times New Roman" w:hAnsi="Times New Roman"/>
          <w:szCs w:val="24"/>
        </w:rPr>
        <w:t>3</w:t>
      </w:r>
      <w:r>
        <w:rPr>
          <w:rFonts w:ascii="Times New Roman" w:hAnsi="Times New Roman"/>
          <w:szCs w:val="24"/>
        </w:rPr>
        <w:t>）</w:t>
      </w:r>
      <w:r>
        <w:rPr>
          <w:rFonts w:ascii="Times New Roman" w:hAnsi="Times New Roman"/>
          <w:szCs w:val="24"/>
        </w:rPr>
        <w:t>2021</w:t>
      </w:r>
      <w:r>
        <w:rPr>
          <w:rFonts w:ascii="Times New Roman" w:hAnsi="Times New Roman"/>
          <w:szCs w:val="24"/>
        </w:rPr>
        <w:t>年度</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57"/>
        <w:gridCol w:w="2212"/>
        <w:gridCol w:w="1332"/>
        <w:gridCol w:w="1334"/>
        <w:gridCol w:w="1157"/>
        <w:gridCol w:w="1161"/>
        <w:gridCol w:w="1157"/>
      </w:tblGrid>
      <w:tr w:rsidR="008D76D6" w14:paraId="13A2C690" w14:textId="77777777">
        <w:trPr>
          <w:trHeight w:val="397"/>
          <w:tblHeader/>
          <w:jc w:val="center"/>
        </w:trPr>
        <w:tc>
          <w:tcPr>
            <w:tcW w:w="365" w:type="pct"/>
            <w:shd w:val="clear" w:color="auto" w:fill="D9D9D9"/>
            <w:tcMar>
              <w:top w:w="0" w:type="dxa"/>
              <w:left w:w="108" w:type="dxa"/>
              <w:bottom w:w="0" w:type="dxa"/>
              <w:right w:w="108" w:type="dxa"/>
            </w:tcMar>
            <w:vAlign w:val="center"/>
          </w:tcPr>
          <w:p w14:paraId="7AA45369"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序号</w:t>
            </w:r>
          </w:p>
        </w:tc>
        <w:tc>
          <w:tcPr>
            <w:tcW w:w="1228" w:type="pct"/>
            <w:shd w:val="clear" w:color="auto" w:fill="D9D9D9"/>
            <w:tcMar>
              <w:top w:w="0" w:type="dxa"/>
              <w:left w:w="108" w:type="dxa"/>
              <w:bottom w:w="0" w:type="dxa"/>
              <w:right w:w="108" w:type="dxa"/>
            </w:tcMar>
            <w:vAlign w:val="center"/>
          </w:tcPr>
          <w:p w14:paraId="0D20DB1C"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单位名称</w:t>
            </w:r>
          </w:p>
        </w:tc>
        <w:tc>
          <w:tcPr>
            <w:tcW w:w="740" w:type="pct"/>
            <w:shd w:val="clear" w:color="auto" w:fill="D9D9D9"/>
            <w:tcMar>
              <w:top w:w="0" w:type="dxa"/>
              <w:left w:w="108" w:type="dxa"/>
              <w:bottom w:w="0" w:type="dxa"/>
              <w:right w:w="108" w:type="dxa"/>
            </w:tcMar>
            <w:vAlign w:val="center"/>
          </w:tcPr>
          <w:p w14:paraId="40826D4E"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采购额</w:t>
            </w:r>
          </w:p>
          <w:p w14:paraId="66A822A6"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（万元）</w:t>
            </w:r>
          </w:p>
        </w:tc>
        <w:tc>
          <w:tcPr>
            <w:tcW w:w="741" w:type="pct"/>
            <w:shd w:val="clear" w:color="auto" w:fill="D9D9D9"/>
            <w:tcMar>
              <w:top w:w="0" w:type="dxa"/>
              <w:left w:w="108" w:type="dxa"/>
              <w:bottom w:w="0" w:type="dxa"/>
              <w:right w:w="108" w:type="dxa"/>
            </w:tcMar>
            <w:vAlign w:val="center"/>
          </w:tcPr>
          <w:p w14:paraId="5B4627EC"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占采购总额的比例</w:t>
            </w:r>
          </w:p>
        </w:tc>
        <w:tc>
          <w:tcPr>
            <w:tcW w:w="642" w:type="pct"/>
            <w:shd w:val="clear" w:color="auto" w:fill="D9D9D9"/>
            <w:tcMar>
              <w:left w:w="108" w:type="dxa"/>
              <w:right w:w="108" w:type="dxa"/>
            </w:tcMar>
            <w:vAlign w:val="center"/>
          </w:tcPr>
          <w:p w14:paraId="2D767EF9"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注册资本</w:t>
            </w:r>
          </w:p>
          <w:p w14:paraId="35F1E210"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hint="eastAsia"/>
                <w:b/>
                <w:bCs/>
                <w:sz w:val="21"/>
                <w:szCs w:val="21"/>
              </w:rPr>
            </w:pPr>
            <w:r>
              <w:rPr>
                <w:rFonts w:ascii="Times New Roman" w:hAnsi="Times New Roman" w:hint="eastAsia"/>
                <w:b/>
                <w:bCs/>
                <w:sz w:val="21"/>
                <w:szCs w:val="21"/>
              </w:rPr>
              <w:t>（万元）</w:t>
            </w:r>
          </w:p>
        </w:tc>
        <w:tc>
          <w:tcPr>
            <w:tcW w:w="642" w:type="pct"/>
            <w:shd w:val="clear" w:color="auto" w:fill="D9D9D9"/>
            <w:tcMar>
              <w:left w:w="108" w:type="dxa"/>
              <w:right w:w="108" w:type="dxa"/>
            </w:tcMar>
            <w:vAlign w:val="center"/>
          </w:tcPr>
          <w:p w14:paraId="1B7A3DDB"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设立时间</w:t>
            </w:r>
          </w:p>
        </w:tc>
        <w:tc>
          <w:tcPr>
            <w:tcW w:w="642" w:type="pct"/>
            <w:shd w:val="clear" w:color="auto" w:fill="D9D9D9"/>
            <w:tcMar>
              <w:left w:w="108" w:type="dxa"/>
              <w:right w:w="108" w:type="dxa"/>
            </w:tcMar>
            <w:vAlign w:val="center"/>
          </w:tcPr>
          <w:p w14:paraId="3BA3BD52"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采购内容</w:t>
            </w:r>
          </w:p>
        </w:tc>
      </w:tr>
      <w:tr w:rsidR="008D76D6" w14:paraId="323B24C8" w14:textId="77777777">
        <w:trPr>
          <w:trHeight w:val="397"/>
          <w:jc w:val="center"/>
        </w:trPr>
        <w:tc>
          <w:tcPr>
            <w:tcW w:w="365" w:type="pct"/>
            <w:tcMar>
              <w:top w:w="0" w:type="dxa"/>
              <w:left w:w="108" w:type="dxa"/>
              <w:bottom w:w="0" w:type="dxa"/>
              <w:right w:w="108" w:type="dxa"/>
            </w:tcMar>
            <w:vAlign w:val="center"/>
          </w:tcPr>
          <w:p w14:paraId="66A838A2"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w:t>
            </w:r>
          </w:p>
        </w:tc>
        <w:tc>
          <w:tcPr>
            <w:tcW w:w="1228" w:type="pct"/>
            <w:tcMar>
              <w:top w:w="0" w:type="dxa"/>
              <w:left w:w="108" w:type="dxa"/>
              <w:bottom w:w="0" w:type="dxa"/>
              <w:right w:w="108" w:type="dxa"/>
            </w:tcMar>
            <w:vAlign w:val="center"/>
          </w:tcPr>
          <w:p w14:paraId="5E919324" w14:textId="77777777" w:rsidR="006E39EB"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莱州市炜盛铸造</w:t>
            </w:r>
          </w:p>
          <w:p w14:paraId="11C6A253"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sz w:val="21"/>
                <w:szCs w:val="21"/>
              </w:rPr>
              <w:t>有限公司</w:t>
            </w:r>
          </w:p>
        </w:tc>
        <w:tc>
          <w:tcPr>
            <w:tcW w:w="740" w:type="pct"/>
            <w:tcMar>
              <w:top w:w="0" w:type="dxa"/>
              <w:left w:w="108" w:type="dxa"/>
              <w:bottom w:w="0" w:type="dxa"/>
              <w:right w:w="108" w:type="dxa"/>
            </w:tcMar>
            <w:vAlign w:val="center"/>
          </w:tcPr>
          <w:p w14:paraId="0C4E0041"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sz w:val="21"/>
                <w:szCs w:val="21"/>
              </w:rPr>
              <w:t>1,971.51</w:t>
            </w:r>
          </w:p>
        </w:tc>
        <w:tc>
          <w:tcPr>
            <w:tcW w:w="741" w:type="pct"/>
            <w:tcMar>
              <w:top w:w="0" w:type="dxa"/>
              <w:left w:w="108" w:type="dxa"/>
              <w:bottom w:w="0" w:type="dxa"/>
              <w:right w:w="108" w:type="dxa"/>
            </w:tcMar>
            <w:vAlign w:val="center"/>
          </w:tcPr>
          <w:p w14:paraId="276C76A3"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sz w:val="21"/>
                <w:szCs w:val="21"/>
              </w:rPr>
              <w:t>6.56%</w:t>
            </w:r>
          </w:p>
        </w:tc>
        <w:tc>
          <w:tcPr>
            <w:tcW w:w="642" w:type="pct"/>
            <w:tcMar>
              <w:left w:w="108" w:type="dxa"/>
              <w:right w:w="108" w:type="dxa"/>
            </w:tcMar>
            <w:vAlign w:val="center"/>
          </w:tcPr>
          <w:p w14:paraId="07100776"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sz w:val="21"/>
                <w:szCs w:val="21"/>
              </w:rPr>
            </w:pPr>
            <w:r>
              <w:rPr>
                <w:rFonts w:ascii="Times New Roman" w:hAnsi="Times New Roman"/>
                <w:sz w:val="21"/>
                <w:szCs w:val="21"/>
              </w:rPr>
              <w:t>100.00</w:t>
            </w:r>
          </w:p>
        </w:tc>
        <w:tc>
          <w:tcPr>
            <w:tcW w:w="642" w:type="pct"/>
            <w:tcMar>
              <w:left w:w="108" w:type="dxa"/>
              <w:right w:w="108" w:type="dxa"/>
            </w:tcMar>
            <w:vAlign w:val="center"/>
          </w:tcPr>
          <w:p w14:paraId="0CFAEED8"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2016.10.12</w:t>
            </w:r>
          </w:p>
        </w:tc>
        <w:tc>
          <w:tcPr>
            <w:tcW w:w="642" w:type="pct"/>
            <w:tcMar>
              <w:left w:w="108" w:type="dxa"/>
              <w:right w:w="108" w:type="dxa"/>
            </w:tcMar>
            <w:vAlign w:val="center"/>
          </w:tcPr>
          <w:p w14:paraId="11A9980F"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铸件</w:t>
            </w:r>
          </w:p>
        </w:tc>
      </w:tr>
      <w:tr w:rsidR="008D76D6" w14:paraId="2FA75AC9" w14:textId="77777777">
        <w:trPr>
          <w:trHeight w:val="397"/>
          <w:jc w:val="center"/>
        </w:trPr>
        <w:tc>
          <w:tcPr>
            <w:tcW w:w="365" w:type="pct"/>
            <w:tcMar>
              <w:top w:w="0" w:type="dxa"/>
              <w:left w:w="108" w:type="dxa"/>
              <w:bottom w:w="0" w:type="dxa"/>
              <w:right w:w="108" w:type="dxa"/>
            </w:tcMar>
            <w:vAlign w:val="center"/>
          </w:tcPr>
          <w:p w14:paraId="21FEE260"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w:t>
            </w:r>
          </w:p>
        </w:tc>
        <w:tc>
          <w:tcPr>
            <w:tcW w:w="1228" w:type="pct"/>
            <w:tcMar>
              <w:top w:w="0" w:type="dxa"/>
              <w:left w:w="108" w:type="dxa"/>
              <w:bottom w:w="0" w:type="dxa"/>
              <w:right w:w="108" w:type="dxa"/>
            </w:tcMar>
            <w:vAlign w:val="center"/>
          </w:tcPr>
          <w:p w14:paraId="4A3F4EEC" w14:textId="77777777" w:rsidR="006E39EB"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青岛义国环保科技</w:t>
            </w:r>
          </w:p>
          <w:p w14:paraId="79C38999"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sz w:val="21"/>
                <w:szCs w:val="21"/>
              </w:rPr>
              <w:t>有限公司</w:t>
            </w:r>
          </w:p>
        </w:tc>
        <w:tc>
          <w:tcPr>
            <w:tcW w:w="740" w:type="pct"/>
            <w:tcMar>
              <w:top w:w="0" w:type="dxa"/>
              <w:left w:w="108" w:type="dxa"/>
              <w:bottom w:w="0" w:type="dxa"/>
              <w:right w:w="108" w:type="dxa"/>
            </w:tcMar>
            <w:vAlign w:val="center"/>
          </w:tcPr>
          <w:p w14:paraId="5D82B8ED"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sz w:val="21"/>
                <w:szCs w:val="21"/>
              </w:rPr>
              <w:t>1,475.94</w:t>
            </w:r>
          </w:p>
        </w:tc>
        <w:tc>
          <w:tcPr>
            <w:tcW w:w="741" w:type="pct"/>
            <w:tcMar>
              <w:top w:w="0" w:type="dxa"/>
              <w:left w:w="108" w:type="dxa"/>
              <w:bottom w:w="0" w:type="dxa"/>
              <w:right w:w="108" w:type="dxa"/>
            </w:tcMar>
            <w:vAlign w:val="center"/>
          </w:tcPr>
          <w:p w14:paraId="7AFD5029"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sz w:val="21"/>
                <w:szCs w:val="21"/>
              </w:rPr>
              <w:t>4.91%</w:t>
            </w:r>
          </w:p>
        </w:tc>
        <w:tc>
          <w:tcPr>
            <w:tcW w:w="642" w:type="pct"/>
            <w:tcMar>
              <w:left w:w="108" w:type="dxa"/>
              <w:right w:w="108" w:type="dxa"/>
            </w:tcMar>
            <w:vAlign w:val="center"/>
          </w:tcPr>
          <w:p w14:paraId="62F91C98"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sz w:val="21"/>
                <w:szCs w:val="21"/>
              </w:rPr>
            </w:pPr>
            <w:r>
              <w:rPr>
                <w:rFonts w:ascii="Times New Roman" w:hAnsi="Times New Roman"/>
                <w:sz w:val="21"/>
                <w:szCs w:val="21"/>
              </w:rPr>
              <w:t>300.00</w:t>
            </w:r>
          </w:p>
        </w:tc>
        <w:tc>
          <w:tcPr>
            <w:tcW w:w="642" w:type="pct"/>
            <w:tcMar>
              <w:left w:w="108" w:type="dxa"/>
              <w:right w:w="108" w:type="dxa"/>
            </w:tcMar>
            <w:vAlign w:val="center"/>
          </w:tcPr>
          <w:p w14:paraId="09CADC0C"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2020.09.08</w:t>
            </w:r>
          </w:p>
        </w:tc>
        <w:tc>
          <w:tcPr>
            <w:tcW w:w="642" w:type="pct"/>
            <w:tcMar>
              <w:left w:w="108" w:type="dxa"/>
              <w:right w:w="108" w:type="dxa"/>
            </w:tcMar>
            <w:vAlign w:val="center"/>
          </w:tcPr>
          <w:p w14:paraId="46687041"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废铁</w:t>
            </w:r>
          </w:p>
        </w:tc>
      </w:tr>
      <w:tr w:rsidR="008D76D6" w14:paraId="7685B0C8" w14:textId="77777777">
        <w:trPr>
          <w:trHeight w:val="397"/>
          <w:jc w:val="center"/>
        </w:trPr>
        <w:tc>
          <w:tcPr>
            <w:tcW w:w="365" w:type="pct"/>
            <w:tcMar>
              <w:top w:w="0" w:type="dxa"/>
              <w:left w:w="108" w:type="dxa"/>
              <w:bottom w:w="0" w:type="dxa"/>
              <w:right w:w="108" w:type="dxa"/>
            </w:tcMar>
            <w:vAlign w:val="center"/>
          </w:tcPr>
          <w:p w14:paraId="42529D72"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3</w:t>
            </w:r>
          </w:p>
        </w:tc>
        <w:tc>
          <w:tcPr>
            <w:tcW w:w="1228" w:type="pct"/>
            <w:tcMar>
              <w:top w:w="0" w:type="dxa"/>
              <w:left w:w="108" w:type="dxa"/>
              <w:bottom w:w="0" w:type="dxa"/>
              <w:right w:w="108" w:type="dxa"/>
            </w:tcMar>
            <w:vAlign w:val="center"/>
          </w:tcPr>
          <w:p w14:paraId="766F02BD" w14:textId="77777777" w:rsidR="006E39EB"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莱州诚源盐化</w:t>
            </w:r>
          </w:p>
          <w:p w14:paraId="1BC9152F"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sz w:val="21"/>
                <w:szCs w:val="21"/>
              </w:rPr>
              <w:t>有限公司</w:t>
            </w:r>
          </w:p>
        </w:tc>
        <w:tc>
          <w:tcPr>
            <w:tcW w:w="740" w:type="pct"/>
            <w:tcMar>
              <w:top w:w="0" w:type="dxa"/>
              <w:left w:w="108" w:type="dxa"/>
              <w:bottom w:w="0" w:type="dxa"/>
              <w:right w:w="108" w:type="dxa"/>
            </w:tcMar>
            <w:vAlign w:val="center"/>
          </w:tcPr>
          <w:p w14:paraId="0C3E5DC1"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sz w:val="21"/>
                <w:szCs w:val="21"/>
              </w:rPr>
              <w:t>1,351.57</w:t>
            </w:r>
          </w:p>
        </w:tc>
        <w:tc>
          <w:tcPr>
            <w:tcW w:w="741" w:type="pct"/>
            <w:tcMar>
              <w:top w:w="0" w:type="dxa"/>
              <w:left w:w="108" w:type="dxa"/>
              <w:bottom w:w="0" w:type="dxa"/>
              <w:right w:w="108" w:type="dxa"/>
            </w:tcMar>
            <w:vAlign w:val="center"/>
          </w:tcPr>
          <w:p w14:paraId="4F9F78FF"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sz w:val="21"/>
                <w:szCs w:val="21"/>
              </w:rPr>
              <w:t>4.50%</w:t>
            </w:r>
          </w:p>
        </w:tc>
        <w:tc>
          <w:tcPr>
            <w:tcW w:w="642" w:type="pct"/>
            <w:tcMar>
              <w:left w:w="108" w:type="dxa"/>
              <w:right w:w="108" w:type="dxa"/>
            </w:tcMar>
            <w:vAlign w:val="center"/>
          </w:tcPr>
          <w:p w14:paraId="33F1BE35"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sz w:val="21"/>
                <w:szCs w:val="21"/>
              </w:rPr>
            </w:pPr>
            <w:r>
              <w:rPr>
                <w:rFonts w:ascii="Times New Roman" w:hAnsi="Times New Roman"/>
                <w:sz w:val="21"/>
                <w:szCs w:val="21"/>
              </w:rPr>
              <w:t>31,627.00</w:t>
            </w:r>
          </w:p>
        </w:tc>
        <w:tc>
          <w:tcPr>
            <w:tcW w:w="642" w:type="pct"/>
            <w:tcMar>
              <w:left w:w="108" w:type="dxa"/>
              <w:right w:w="108" w:type="dxa"/>
            </w:tcMar>
            <w:vAlign w:val="center"/>
          </w:tcPr>
          <w:p w14:paraId="5C1ABC7C"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2004.09.03</w:t>
            </w:r>
          </w:p>
        </w:tc>
        <w:tc>
          <w:tcPr>
            <w:tcW w:w="642" w:type="pct"/>
            <w:tcMar>
              <w:left w:w="108" w:type="dxa"/>
              <w:right w:w="108" w:type="dxa"/>
            </w:tcMar>
            <w:vAlign w:val="center"/>
          </w:tcPr>
          <w:p w14:paraId="08BDDAF5"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能源</w:t>
            </w:r>
          </w:p>
        </w:tc>
      </w:tr>
      <w:tr w:rsidR="008D76D6" w14:paraId="2B727020" w14:textId="77777777">
        <w:trPr>
          <w:trHeight w:val="397"/>
          <w:jc w:val="center"/>
        </w:trPr>
        <w:tc>
          <w:tcPr>
            <w:tcW w:w="365" w:type="pct"/>
            <w:tcMar>
              <w:top w:w="0" w:type="dxa"/>
              <w:left w:w="108" w:type="dxa"/>
              <w:bottom w:w="0" w:type="dxa"/>
              <w:right w:w="108" w:type="dxa"/>
            </w:tcMar>
            <w:vAlign w:val="center"/>
          </w:tcPr>
          <w:p w14:paraId="01DBE950"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4</w:t>
            </w:r>
          </w:p>
        </w:tc>
        <w:tc>
          <w:tcPr>
            <w:tcW w:w="1228" w:type="pct"/>
            <w:tcMar>
              <w:top w:w="0" w:type="dxa"/>
              <w:left w:w="108" w:type="dxa"/>
              <w:bottom w:w="0" w:type="dxa"/>
              <w:right w:w="108" w:type="dxa"/>
            </w:tcMar>
            <w:vAlign w:val="center"/>
          </w:tcPr>
          <w:p w14:paraId="6C9250E4" w14:textId="77777777" w:rsidR="006E39EB"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莱州市隆顺机械</w:t>
            </w:r>
          </w:p>
          <w:p w14:paraId="443628D3"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sz w:val="21"/>
                <w:szCs w:val="21"/>
              </w:rPr>
              <w:t>有限公司</w:t>
            </w:r>
          </w:p>
        </w:tc>
        <w:tc>
          <w:tcPr>
            <w:tcW w:w="740" w:type="pct"/>
            <w:tcMar>
              <w:top w:w="0" w:type="dxa"/>
              <w:left w:w="108" w:type="dxa"/>
              <w:bottom w:w="0" w:type="dxa"/>
              <w:right w:w="108" w:type="dxa"/>
            </w:tcMar>
            <w:vAlign w:val="center"/>
          </w:tcPr>
          <w:p w14:paraId="6CC90A14"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sz w:val="21"/>
                <w:szCs w:val="21"/>
              </w:rPr>
              <w:t>869.64</w:t>
            </w:r>
          </w:p>
        </w:tc>
        <w:tc>
          <w:tcPr>
            <w:tcW w:w="741" w:type="pct"/>
            <w:tcMar>
              <w:top w:w="0" w:type="dxa"/>
              <w:left w:w="108" w:type="dxa"/>
              <w:bottom w:w="0" w:type="dxa"/>
              <w:right w:w="108" w:type="dxa"/>
            </w:tcMar>
            <w:vAlign w:val="center"/>
          </w:tcPr>
          <w:p w14:paraId="7794A2E3"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sz w:val="21"/>
                <w:szCs w:val="21"/>
              </w:rPr>
              <w:t>2.90%</w:t>
            </w:r>
          </w:p>
        </w:tc>
        <w:tc>
          <w:tcPr>
            <w:tcW w:w="642" w:type="pct"/>
            <w:tcMar>
              <w:left w:w="108" w:type="dxa"/>
              <w:right w:w="108" w:type="dxa"/>
            </w:tcMar>
            <w:vAlign w:val="center"/>
          </w:tcPr>
          <w:p w14:paraId="1C39E7F6"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sz w:val="21"/>
                <w:szCs w:val="21"/>
              </w:rPr>
            </w:pPr>
            <w:r>
              <w:rPr>
                <w:rFonts w:ascii="Times New Roman" w:hAnsi="Times New Roman"/>
                <w:sz w:val="21"/>
                <w:szCs w:val="21"/>
              </w:rPr>
              <w:t>100.00</w:t>
            </w:r>
          </w:p>
        </w:tc>
        <w:tc>
          <w:tcPr>
            <w:tcW w:w="642" w:type="pct"/>
            <w:tcMar>
              <w:left w:w="108" w:type="dxa"/>
              <w:right w:w="108" w:type="dxa"/>
            </w:tcMar>
            <w:vAlign w:val="center"/>
          </w:tcPr>
          <w:p w14:paraId="748487D4"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2016.04.08</w:t>
            </w:r>
          </w:p>
        </w:tc>
        <w:tc>
          <w:tcPr>
            <w:tcW w:w="642" w:type="pct"/>
            <w:tcMar>
              <w:left w:w="108" w:type="dxa"/>
              <w:right w:w="108" w:type="dxa"/>
            </w:tcMar>
            <w:vAlign w:val="center"/>
          </w:tcPr>
          <w:p w14:paraId="1B5BCA73"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铸件及加工件</w:t>
            </w:r>
          </w:p>
        </w:tc>
      </w:tr>
      <w:tr w:rsidR="008D76D6" w14:paraId="09998B03" w14:textId="77777777">
        <w:trPr>
          <w:trHeight w:val="397"/>
          <w:jc w:val="center"/>
        </w:trPr>
        <w:tc>
          <w:tcPr>
            <w:tcW w:w="365" w:type="pct"/>
            <w:tcMar>
              <w:top w:w="0" w:type="dxa"/>
              <w:left w:w="108" w:type="dxa"/>
              <w:bottom w:w="0" w:type="dxa"/>
              <w:right w:w="108" w:type="dxa"/>
            </w:tcMar>
            <w:vAlign w:val="center"/>
          </w:tcPr>
          <w:p w14:paraId="60444700"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5</w:t>
            </w:r>
          </w:p>
        </w:tc>
        <w:tc>
          <w:tcPr>
            <w:tcW w:w="1228" w:type="pct"/>
            <w:tcMar>
              <w:top w:w="0" w:type="dxa"/>
              <w:left w:w="108" w:type="dxa"/>
              <w:bottom w:w="0" w:type="dxa"/>
              <w:right w:w="108" w:type="dxa"/>
            </w:tcMar>
            <w:vAlign w:val="center"/>
          </w:tcPr>
          <w:p w14:paraId="3664C0DD"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kern w:val="0"/>
                <w:sz w:val="21"/>
                <w:szCs w:val="21"/>
                <w:lang w:bidi="ar"/>
              </w:rPr>
            </w:pPr>
            <w:r>
              <w:rPr>
                <w:rFonts w:ascii="Times New Roman" w:hAnsi="Times New Roman"/>
                <w:sz w:val="21"/>
                <w:szCs w:val="21"/>
              </w:rPr>
              <w:t>莱州市源良机械厂</w:t>
            </w:r>
          </w:p>
        </w:tc>
        <w:tc>
          <w:tcPr>
            <w:tcW w:w="740" w:type="pct"/>
            <w:tcMar>
              <w:top w:w="0" w:type="dxa"/>
              <w:left w:w="108" w:type="dxa"/>
              <w:bottom w:w="0" w:type="dxa"/>
              <w:right w:w="108" w:type="dxa"/>
            </w:tcMar>
            <w:vAlign w:val="center"/>
          </w:tcPr>
          <w:p w14:paraId="5247AD69"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kern w:val="0"/>
                <w:sz w:val="21"/>
                <w:szCs w:val="21"/>
                <w:lang w:bidi="ar"/>
              </w:rPr>
            </w:pPr>
            <w:r>
              <w:rPr>
                <w:rFonts w:ascii="Times New Roman" w:hAnsi="Times New Roman"/>
                <w:sz w:val="21"/>
                <w:szCs w:val="21"/>
              </w:rPr>
              <w:t>672.73</w:t>
            </w:r>
          </w:p>
        </w:tc>
        <w:tc>
          <w:tcPr>
            <w:tcW w:w="741" w:type="pct"/>
            <w:tcMar>
              <w:top w:w="0" w:type="dxa"/>
              <w:left w:w="108" w:type="dxa"/>
              <w:bottom w:w="0" w:type="dxa"/>
              <w:right w:w="108" w:type="dxa"/>
            </w:tcMar>
            <w:vAlign w:val="center"/>
          </w:tcPr>
          <w:p w14:paraId="22D467CB"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kern w:val="0"/>
                <w:sz w:val="21"/>
                <w:szCs w:val="21"/>
                <w:lang w:bidi="ar"/>
              </w:rPr>
            </w:pPr>
            <w:r>
              <w:rPr>
                <w:rFonts w:ascii="Times New Roman" w:hAnsi="Times New Roman"/>
                <w:sz w:val="21"/>
                <w:szCs w:val="21"/>
              </w:rPr>
              <w:t>2.24%</w:t>
            </w:r>
          </w:p>
        </w:tc>
        <w:tc>
          <w:tcPr>
            <w:tcW w:w="642" w:type="pct"/>
            <w:tcMar>
              <w:left w:w="108" w:type="dxa"/>
              <w:right w:w="108" w:type="dxa"/>
            </w:tcMar>
            <w:vAlign w:val="center"/>
          </w:tcPr>
          <w:p w14:paraId="499E97A2"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sz w:val="21"/>
                <w:szCs w:val="21"/>
              </w:rPr>
            </w:pPr>
            <w:r>
              <w:rPr>
                <w:rFonts w:ascii="Times New Roman" w:hAnsi="Times New Roman"/>
                <w:sz w:val="21"/>
                <w:szCs w:val="21"/>
              </w:rPr>
              <w:t>50.00</w:t>
            </w:r>
          </w:p>
        </w:tc>
        <w:tc>
          <w:tcPr>
            <w:tcW w:w="642" w:type="pct"/>
            <w:tcMar>
              <w:left w:w="108" w:type="dxa"/>
              <w:right w:w="108" w:type="dxa"/>
            </w:tcMar>
            <w:vAlign w:val="center"/>
          </w:tcPr>
          <w:p w14:paraId="642C073A"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2005.06.09</w:t>
            </w:r>
          </w:p>
        </w:tc>
        <w:tc>
          <w:tcPr>
            <w:tcW w:w="642" w:type="pct"/>
            <w:tcMar>
              <w:left w:w="108" w:type="dxa"/>
              <w:right w:w="108" w:type="dxa"/>
            </w:tcMar>
            <w:vAlign w:val="center"/>
          </w:tcPr>
          <w:p w14:paraId="081E330F"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驱动头</w:t>
            </w:r>
          </w:p>
        </w:tc>
      </w:tr>
      <w:tr w:rsidR="008D76D6" w14:paraId="33E3BD5B" w14:textId="77777777">
        <w:trPr>
          <w:trHeight w:val="397"/>
          <w:jc w:val="center"/>
        </w:trPr>
        <w:tc>
          <w:tcPr>
            <w:tcW w:w="1592" w:type="pct"/>
            <w:gridSpan w:val="2"/>
            <w:tcMar>
              <w:top w:w="0" w:type="dxa"/>
              <w:left w:w="108" w:type="dxa"/>
              <w:bottom w:w="0" w:type="dxa"/>
              <w:right w:w="108" w:type="dxa"/>
            </w:tcMar>
            <w:vAlign w:val="center"/>
          </w:tcPr>
          <w:p w14:paraId="6276AD48"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b/>
                <w:bCs/>
                <w:color w:val="000000"/>
                <w:sz w:val="21"/>
                <w:szCs w:val="21"/>
              </w:rPr>
              <w:t>合计</w:t>
            </w:r>
          </w:p>
        </w:tc>
        <w:tc>
          <w:tcPr>
            <w:tcW w:w="740" w:type="pct"/>
            <w:tcMar>
              <w:top w:w="0" w:type="dxa"/>
              <w:left w:w="108" w:type="dxa"/>
              <w:bottom w:w="0" w:type="dxa"/>
              <w:right w:w="108" w:type="dxa"/>
            </w:tcMar>
            <w:vAlign w:val="center"/>
          </w:tcPr>
          <w:p w14:paraId="7DE29006"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b/>
                <w:bCs/>
                <w:color w:val="000000"/>
                <w:sz w:val="21"/>
                <w:szCs w:val="21"/>
              </w:rPr>
            </w:pPr>
            <w:r>
              <w:rPr>
                <w:rFonts w:ascii="Times New Roman" w:hAnsi="Times New Roman"/>
                <w:b/>
                <w:bCs/>
                <w:sz w:val="21"/>
                <w:szCs w:val="21"/>
              </w:rPr>
              <w:t>6,341.39</w:t>
            </w:r>
          </w:p>
        </w:tc>
        <w:tc>
          <w:tcPr>
            <w:tcW w:w="741" w:type="pct"/>
            <w:tcMar>
              <w:top w:w="0" w:type="dxa"/>
              <w:left w:w="108" w:type="dxa"/>
              <w:bottom w:w="0" w:type="dxa"/>
              <w:right w:w="108" w:type="dxa"/>
            </w:tcMar>
            <w:vAlign w:val="center"/>
          </w:tcPr>
          <w:p w14:paraId="77BC3375"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b/>
                <w:bCs/>
                <w:color w:val="000000"/>
                <w:sz w:val="21"/>
                <w:szCs w:val="21"/>
              </w:rPr>
            </w:pPr>
            <w:r>
              <w:rPr>
                <w:rFonts w:ascii="Times New Roman" w:hAnsi="Times New Roman"/>
                <w:b/>
                <w:bCs/>
                <w:sz w:val="21"/>
                <w:szCs w:val="21"/>
              </w:rPr>
              <w:t>21.11%</w:t>
            </w:r>
          </w:p>
        </w:tc>
        <w:tc>
          <w:tcPr>
            <w:tcW w:w="642" w:type="pct"/>
            <w:tcMar>
              <w:left w:w="108" w:type="dxa"/>
              <w:right w:w="108" w:type="dxa"/>
            </w:tcMar>
            <w:vAlign w:val="center"/>
          </w:tcPr>
          <w:p w14:paraId="0A0F0452"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p>
        </w:tc>
        <w:tc>
          <w:tcPr>
            <w:tcW w:w="642" w:type="pct"/>
            <w:tcMar>
              <w:left w:w="108" w:type="dxa"/>
              <w:right w:w="108" w:type="dxa"/>
            </w:tcMar>
            <w:vAlign w:val="center"/>
          </w:tcPr>
          <w:p w14:paraId="7D257828"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p>
        </w:tc>
        <w:tc>
          <w:tcPr>
            <w:tcW w:w="642" w:type="pct"/>
            <w:tcMar>
              <w:left w:w="108" w:type="dxa"/>
              <w:right w:w="108" w:type="dxa"/>
            </w:tcMar>
            <w:vAlign w:val="center"/>
          </w:tcPr>
          <w:p w14:paraId="217F837B"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w:t>
            </w:r>
          </w:p>
        </w:tc>
      </w:tr>
    </w:tbl>
    <w:p w14:paraId="42E42453" w14:textId="77777777" w:rsidR="008D76D6" w:rsidRDefault="008D76D6">
      <w:pPr>
        <w:spacing w:before="120" w:after="120"/>
        <w:ind w:firstLine="48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w:t>
      </w:r>
      <w:r>
        <w:rPr>
          <w:rFonts w:ascii="Times New Roman" w:hAnsi="Times New Roman"/>
        </w:rPr>
        <w:t>2020</w:t>
      </w:r>
      <w:r>
        <w:rPr>
          <w:rFonts w:ascii="Times New Roman" w:hAnsi="Times New Roman"/>
        </w:rPr>
        <w:t>年度</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57"/>
        <w:gridCol w:w="2210"/>
        <w:gridCol w:w="1334"/>
        <w:gridCol w:w="1336"/>
        <w:gridCol w:w="1157"/>
        <w:gridCol w:w="1161"/>
        <w:gridCol w:w="1155"/>
      </w:tblGrid>
      <w:tr w:rsidR="008D76D6" w14:paraId="7DD044EE" w14:textId="77777777">
        <w:trPr>
          <w:trHeight w:val="397"/>
          <w:tblHeader/>
          <w:jc w:val="center"/>
        </w:trPr>
        <w:tc>
          <w:tcPr>
            <w:tcW w:w="365" w:type="pct"/>
            <w:shd w:val="clear" w:color="auto" w:fill="D9D9D9"/>
            <w:tcMar>
              <w:top w:w="0" w:type="dxa"/>
              <w:left w:w="108" w:type="dxa"/>
              <w:bottom w:w="0" w:type="dxa"/>
              <w:right w:w="108" w:type="dxa"/>
            </w:tcMar>
            <w:vAlign w:val="center"/>
          </w:tcPr>
          <w:p w14:paraId="45525CF1"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序号</w:t>
            </w:r>
          </w:p>
        </w:tc>
        <w:tc>
          <w:tcPr>
            <w:tcW w:w="1227" w:type="pct"/>
            <w:shd w:val="clear" w:color="auto" w:fill="D9D9D9"/>
            <w:tcMar>
              <w:top w:w="0" w:type="dxa"/>
              <w:left w:w="108" w:type="dxa"/>
              <w:bottom w:w="0" w:type="dxa"/>
              <w:right w:w="108" w:type="dxa"/>
            </w:tcMar>
            <w:vAlign w:val="center"/>
          </w:tcPr>
          <w:p w14:paraId="03C46CC3"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单位名称</w:t>
            </w:r>
          </w:p>
        </w:tc>
        <w:tc>
          <w:tcPr>
            <w:tcW w:w="741" w:type="pct"/>
            <w:shd w:val="clear" w:color="auto" w:fill="D9D9D9"/>
            <w:tcMar>
              <w:top w:w="0" w:type="dxa"/>
              <w:left w:w="108" w:type="dxa"/>
              <w:bottom w:w="0" w:type="dxa"/>
              <w:right w:w="108" w:type="dxa"/>
            </w:tcMar>
            <w:vAlign w:val="center"/>
          </w:tcPr>
          <w:p w14:paraId="218D14D6"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采购额</w:t>
            </w:r>
          </w:p>
          <w:p w14:paraId="3C651EB9"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（万元）</w:t>
            </w:r>
          </w:p>
        </w:tc>
        <w:tc>
          <w:tcPr>
            <w:tcW w:w="742" w:type="pct"/>
            <w:shd w:val="clear" w:color="auto" w:fill="D9D9D9"/>
            <w:tcMar>
              <w:top w:w="0" w:type="dxa"/>
              <w:left w:w="108" w:type="dxa"/>
              <w:bottom w:w="0" w:type="dxa"/>
              <w:right w:w="108" w:type="dxa"/>
            </w:tcMar>
            <w:vAlign w:val="center"/>
          </w:tcPr>
          <w:p w14:paraId="0E5875E7"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占采购总额的比例</w:t>
            </w:r>
          </w:p>
        </w:tc>
        <w:tc>
          <w:tcPr>
            <w:tcW w:w="642" w:type="pct"/>
            <w:shd w:val="clear" w:color="auto" w:fill="D9D9D9"/>
            <w:tcMar>
              <w:left w:w="108" w:type="dxa"/>
              <w:right w:w="108" w:type="dxa"/>
            </w:tcMar>
            <w:vAlign w:val="center"/>
          </w:tcPr>
          <w:p w14:paraId="72AFD876"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注册资本</w:t>
            </w:r>
          </w:p>
          <w:p w14:paraId="5F1013E3"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hint="eastAsia"/>
                <w:b/>
                <w:bCs/>
                <w:sz w:val="21"/>
                <w:szCs w:val="21"/>
              </w:rPr>
            </w:pPr>
            <w:r>
              <w:rPr>
                <w:rFonts w:ascii="Times New Roman" w:hAnsi="Times New Roman" w:hint="eastAsia"/>
                <w:b/>
                <w:bCs/>
                <w:sz w:val="21"/>
                <w:szCs w:val="21"/>
              </w:rPr>
              <w:t>（万元）</w:t>
            </w:r>
          </w:p>
        </w:tc>
        <w:tc>
          <w:tcPr>
            <w:tcW w:w="641" w:type="pct"/>
            <w:shd w:val="clear" w:color="auto" w:fill="D9D9D9"/>
            <w:tcMar>
              <w:left w:w="108" w:type="dxa"/>
              <w:right w:w="108" w:type="dxa"/>
            </w:tcMar>
            <w:vAlign w:val="center"/>
          </w:tcPr>
          <w:p w14:paraId="06D7D066"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设立时间</w:t>
            </w:r>
          </w:p>
        </w:tc>
        <w:tc>
          <w:tcPr>
            <w:tcW w:w="641" w:type="pct"/>
            <w:shd w:val="clear" w:color="auto" w:fill="D9D9D9"/>
            <w:tcMar>
              <w:left w:w="108" w:type="dxa"/>
              <w:right w:w="108" w:type="dxa"/>
            </w:tcMar>
            <w:vAlign w:val="center"/>
          </w:tcPr>
          <w:p w14:paraId="20627FDF"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采购内容</w:t>
            </w:r>
          </w:p>
        </w:tc>
      </w:tr>
      <w:tr w:rsidR="008D76D6" w14:paraId="1307F1F8" w14:textId="77777777">
        <w:trPr>
          <w:trHeight w:val="397"/>
          <w:jc w:val="center"/>
        </w:trPr>
        <w:tc>
          <w:tcPr>
            <w:tcW w:w="365" w:type="pct"/>
            <w:tcMar>
              <w:top w:w="0" w:type="dxa"/>
              <w:left w:w="108" w:type="dxa"/>
              <w:bottom w:w="0" w:type="dxa"/>
              <w:right w:w="108" w:type="dxa"/>
            </w:tcMar>
            <w:vAlign w:val="center"/>
          </w:tcPr>
          <w:p w14:paraId="39F16422"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w:t>
            </w:r>
          </w:p>
        </w:tc>
        <w:tc>
          <w:tcPr>
            <w:tcW w:w="1227" w:type="pct"/>
            <w:tcMar>
              <w:top w:w="0" w:type="dxa"/>
              <w:left w:w="108" w:type="dxa"/>
              <w:bottom w:w="0" w:type="dxa"/>
              <w:right w:w="108" w:type="dxa"/>
            </w:tcMar>
            <w:vAlign w:val="center"/>
          </w:tcPr>
          <w:p w14:paraId="7C9B47FC" w14:textId="77777777" w:rsidR="006E39EB"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青岛大宇再生资源</w:t>
            </w:r>
          </w:p>
          <w:p w14:paraId="6C25945E"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kern w:val="0"/>
                <w:sz w:val="21"/>
                <w:szCs w:val="21"/>
              </w:rPr>
            </w:pPr>
            <w:r>
              <w:rPr>
                <w:rFonts w:ascii="Times New Roman" w:hAnsi="Times New Roman"/>
                <w:color w:val="000000"/>
                <w:sz w:val="21"/>
                <w:szCs w:val="21"/>
              </w:rPr>
              <w:t>有限公司</w:t>
            </w:r>
          </w:p>
        </w:tc>
        <w:tc>
          <w:tcPr>
            <w:tcW w:w="741" w:type="pct"/>
            <w:tcMar>
              <w:top w:w="0" w:type="dxa"/>
              <w:left w:w="108" w:type="dxa"/>
              <w:bottom w:w="0" w:type="dxa"/>
              <w:right w:w="108" w:type="dxa"/>
            </w:tcMar>
            <w:vAlign w:val="center"/>
          </w:tcPr>
          <w:p w14:paraId="78B9C3DE"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kern w:val="0"/>
                <w:sz w:val="21"/>
                <w:szCs w:val="21"/>
              </w:rPr>
            </w:pPr>
            <w:r>
              <w:rPr>
                <w:rFonts w:ascii="Times New Roman" w:hAnsi="Times New Roman"/>
                <w:sz w:val="21"/>
                <w:szCs w:val="21"/>
              </w:rPr>
              <w:t>1,313.01</w:t>
            </w:r>
          </w:p>
        </w:tc>
        <w:tc>
          <w:tcPr>
            <w:tcW w:w="742" w:type="pct"/>
            <w:tcMar>
              <w:top w:w="0" w:type="dxa"/>
              <w:left w:w="108" w:type="dxa"/>
              <w:bottom w:w="0" w:type="dxa"/>
              <w:right w:w="108" w:type="dxa"/>
            </w:tcMar>
            <w:vAlign w:val="center"/>
          </w:tcPr>
          <w:p w14:paraId="099C273E"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sz w:val="21"/>
                <w:szCs w:val="21"/>
              </w:rPr>
              <w:t>7.00%</w:t>
            </w:r>
          </w:p>
        </w:tc>
        <w:tc>
          <w:tcPr>
            <w:tcW w:w="642" w:type="pct"/>
            <w:tcMar>
              <w:left w:w="108" w:type="dxa"/>
              <w:right w:w="108" w:type="dxa"/>
            </w:tcMar>
            <w:vAlign w:val="center"/>
          </w:tcPr>
          <w:p w14:paraId="469A3849"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sz w:val="21"/>
                <w:szCs w:val="21"/>
              </w:rPr>
            </w:pPr>
            <w:r>
              <w:rPr>
                <w:rFonts w:ascii="Times New Roman" w:hAnsi="Times New Roman"/>
                <w:sz w:val="21"/>
                <w:szCs w:val="21"/>
              </w:rPr>
              <w:t>500.00</w:t>
            </w:r>
          </w:p>
        </w:tc>
        <w:tc>
          <w:tcPr>
            <w:tcW w:w="641" w:type="pct"/>
            <w:tcMar>
              <w:left w:w="108" w:type="dxa"/>
              <w:right w:w="108" w:type="dxa"/>
            </w:tcMar>
            <w:vAlign w:val="center"/>
          </w:tcPr>
          <w:p w14:paraId="256E1C4B"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2019.11.12</w:t>
            </w:r>
          </w:p>
        </w:tc>
        <w:tc>
          <w:tcPr>
            <w:tcW w:w="641" w:type="pct"/>
            <w:tcMar>
              <w:left w:w="108" w:type="dxa"/>
              <w:right w:w="108" w:type="dxa"/>
            </w:tcMar>
            <w:vAlign w:val="center"/>
          </w:tcPr>
          <w:p w14:paraId="0C401F93"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废钢</w:t>
            </w:r>
          </w:p>
        </w:tc>
      </w:tr>
      <w:tr w:rsidR="008D76D6" w14:paraId="251026DB" w14:textId="77777777">
        <w:trPr>
          <w:trHeight w:val="397"/>
          <w:jc w:val="center"/>
        </w:trPr>
        <w:tc>
          <w:tcPr>
            <w:tcW w:w="365" w:type="pct"/>
            <w:tcMar>
              <w:top w:w="0" w:type="dxa"/>
              <w:left w:w="108" w:type="dxa"/>
              <w:bottom w:w="0" w:type="dxa"/>
              <w:right w:w="108" w:type="dxa"/>
            </w:tcMar>
            <w:vAlign w:val="center"/>
          </w:tcPr>
          <w:p w14:paraId="32DA66F9"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w:t>
            </w:r>
          </w:p>
        </w:tc>
        <w:tc>
          <w:tcPr>
            <w:tcW w:w="1227" w:type="pct"/>
            <w:tcMar>
              <w:top w:w="0" w:type="dxa"/>
              <w:left w:w="108" w:type="dxa"/>
              <w:bottom w:w="0" w:type="dxa"/>
              <w:right w:w="108" w:type="dxa"/>
            </w:tcMar>
            <w:vAlign w:val="center"/>
          </w:tcPr>
          <w:p w14:paraId="7FAD3AEA" w14:textId="77777777" w:rsidR="006E39EB"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莱州诚源盐化</w:t>
            </w:r>
          </w:p>
          <w:p w14:paraId="33BA28C2"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有限公司</w:t>
            </w:r>
          </w:p>
        </w:tc>
        <w:tc>
          <w:tcPr>
            <w:tcW w:w="741" w:type="pct"/>
            <w:tcMar>
              <w:top w:w="0" w:type="dxa"/>
              <w:left w:w="108" w:type="dxa"/>
              <w:bottom w:w="0" w:type="dxa"/>
              <w:right w:w="108" w:type="dxa"/>
            </w:tcMar>
            <w:vAlign w:val="center"/>
          </w:tcPr>
          <w:p w14:paraId="07BA56CC"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sz w:val="21"/>
                <w:szCs w:val="21"/>
              </w:rPr>
              <w:t>757.36</w:t>
            </w:r>
          </w:p>
        </w:tc>
        <w:tc>
          <w:tcPr>
            <w:tcW w:w="742" w:type="pct"/>
            <w:tcMar>
              <w:top w:w="0" w:type="dxa"/>
              <w:left w:w="108" w:type="dxa"/>
              <w:bottom w:w="0" w:type="dxa"/>
              <w:right w:w="108" w:type="dxa"/>
            </w:tcMar>
            <w:vAlign w:val="center"/>
          </w:tcPr>
          <w:p w14:paraId="12A08C0E"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sz w:val="21"/>
                <w:szCs w:val="21"/>
              </w:rPr>
              <w:t>4.04%</w:t>
            </w:r>
          </w:p>
        </w:tc>
        <w:tc>
          <w:tcPr>
            <w:tcW w:w="642" w:type="pct"/>
            <w:tcMar>
              <w:left w:w="108" w:type="dxa"/>
              <w:right w:w="108" w:type="dxa"/>
            </w:tcMar>
            <w:vAlign w:val="center"/>
          </w:tcPr>
          <w:p w14:paraId="3429B48D"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sz w:val="21"/>
                <w:szCs w:val="21"/>
              </w:rPr>
            </w:pPr>
            <w:r>
              <w:rPr>
                <w:rFonts w:ascii="Times New Roman" w:hAnsi="Times New Roman"/>
                <w:sz w:val="21"/>
                <w:szCs w:val="21"/>
              </w:rPr>
              <w:t>31,627</w:t>
            </w:r>
            <w:r>
              <w:rPr>
                <w:rFonts w:ascii="Times New Roman" w:hAnsi="Times New Roman" w:hint="eastAsia"/>
                <w:sz w:val="21"/>
                <w:szCs w:val="21"/>
              </w:rPr>
              <w:t>.</w:t>
            </w:r>
            <w:r>
              <w:rPr>
                <w:rFonts w:ascii="Times New Roman" w:hAnsi="Times New Roman"/>
                <w:sz w:val="21"/>
                <w:szCs w:val="21"/>
              </w:rPr>
              <w:t>00</w:t>
            </w:r>
          </w:p>
        </w:tc>
        <w:tc>
          <w:tcPr>
            <w:tcW w:w="641" w:type="pct"/>
            <w:tcMar>
              <w:left w:w="108" w:type="dxa"/>
              <w:right w:w="108" w:type="dxa"/>
            </w:tcMar>
            <w:vAlign w:val="center"/>
          </w:tcPr>
          <w:p w14:paraId="3F00594B"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2004.09.03</w:t>
            </w:r>
          </w:p>
        </w:tc>
        <w:tc>
          <w:tcPr>
            <w:tcW w:w="641" w:type="pct"/>
            <w:tcMar>
              <w:left w:w="108" w:type="dxa"/>
              <w:right w:w="108" w:type="dxa"/>
            </w:tcMar>
            <w:vAlign w:val="center"/>
          </w:tcPr>
          <w:p w14:paraId="0B6E6472"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能源</w:t>
            </w:r>
          </w:p>
        </w:tc>
      </w:tr>
      <w:tr w:rsidR="008D76D6" w14:paraId="35E14FBC" w14:textId="77777777">
        <w:trPr>
          <w:trHeight w:val="397"/>
          <w:jc w:val="center"/>
        </w:trPr>
        <w:tc>
          <w:tcPr>
            <w:tcW w:w="365" w:type="pct"/>
            <w:tcMar>
              <w:top w:w="0" w:type="dxa"/>
              <w:left w:w="108" w:type="dxa"/>
              <w:bottom w:w="0" w:type="dxa"/>
              <w:right w:w="108" w:type="dxa"/>
            </w:tcMar>
            <w:vAlign w:val="center"/>
          </w:tcPr>
          <w:p w14:paraId="77AF774C"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3</w:t>
            </w:r>
          </w:p>
        </w:tc>
        <w:tc>
          <w:tcPr>
            <w:tcW w:w="1227" w:type="pct"/>
            <w:tcMar>
              <w:top w:w="0" w:type="dxa"/>
              <w:left w:w="108" w:type="dxa"/>
              <w:bottom w:w="0" w:type="dxa"/>
              <w:right w:w="108" w:type="dxa"/>
            </w:tcMar>
            <w:vAlign w:val="center"/>
          </w:tcPr>
          <w:p w14:paraId="2180935A"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莱州市源良机械厂</w:t>
            </w:r>
          </w:p>
        </w:tc>
        <w:tc>
          <w:tcPr>
            <w:tcW w:w="741" w:type="pct"/>
            <w:tcMar>
              <w:top w:w="0" w:type="dxa"/>
              <w:left w:w="108" w:type="dxa"/>
              <w:bottom w:w="0" w:type="dxa"/>
              <w:right w:w="108" w:type="dxa"/>
            </w:tcMar>
            <w:vAlign w:val="center"/>
          </w:tcPr>
          <w:p w14:paraId="5CA1972B"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sz w:val="21"/>
                <w:szCs w:val="21"/>
              </w:rPr>
              <w:t>630.22</w:t>
            </w:r>
          </w:p>
        </w:tc>
        <w:tc>
          <w:tcPr>
            <w:tcW w:w="742" w:type="pct"/>
            <w:tcMar>
              <w:top w:w="0" w:type="dxa"/>
              <w:left w:w="108" w:type="dxa"/>
              <w:bottom w:w="0" w:type="dxa"/>
              <w:right w:w="108" w:type="dxa"/>
            </w:tcMar>
            <w:vAlign w:val="center"/>
          </w:tcPr>
          <w:p w14:paraId="3E3144A8"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sz w:val="21"/>
                <w:szCs w:val="21"/>
              </w:rPr>
              <w:t>3.36%</w:t>
            </w:r>
          </w:p>
        </w:tc>
        <w:tc>
          <w:tcPr>
            <w:tcW w:w="642" w:type="pct"/>
            <w:tcMar>
              <w:left w:w="108" w:type="dxa"/>
              <w:right w:w="108" w:type="dxa"/>
            </w:tcMar>
            <w:vAlign w:val="center"/>
          </w:tcPr>
          <w:p w14:paraId="0323BA6D"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sz w:val="21"/>
                <w:szCs w:val="21"/>
              </w:rPr>
            </w:pPr>
            <w:r>
              <w:rPr>
                <w:rFonts w:ascii="Times New Roman" w:hAnsi="Times New Roman"/>
                <w:sz w:val="21"/>
                <w:szCs w:val="21"/>
              </w:rPr>
              <w:t>50.00</w:t>
            </w:r>
          </w:p>
        </w:tc>
        <w:tc>
          <w:tcPr>
            <w:tcW w:w="641" w:type="pct"/>
            <w:tcMar>
              <w:left w:w="108" w:type="dxa"/>
              <w:right w:w="108" w:type="dxa"/>
            </w:tcMar>
            <w:vAlign w:val="center"/>
          </w:tcPr>
          <w:p w14:paraId="0CB38F77"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2005.06.09</w:t>
            </w:r>
          </w:p>
        </w:tc>
        <w:tc>
          <w:tcPr>
            <w:tcW w:w="641" w:type="pct"/>
            <w:tcMar>
              <w:left w:w="108" w:type="dxa"/>
              <w:right w:w="108" w:type="dxa"/>
            </w:tcMar>
            <w:vAlign w:val="center"/>
          </w:tcPr>
          <w:p w14:paraId="5F936D9F"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驱动头</w:t>
            </w:r>
          </w:p>
        </w:tc>
      </w:tr>
      <w:tr w:rsidR="008D76D6" w14:paraId="2C8ECA08" w14:textId="77777777">
        <w:trPr>
          <w:trHeight w:val="397"/>
          <w:jc w:val="center"/>
        </w:trPr>
        <w:tc>
          <w:tcPr>
            <w:tcW w:w="365" w:type="pct"/>
            <w:tcMar>
              <w:top w:w="0" w:type="dxa"/>
              <w:left w:w="108" w:type="dxa"/>
              <w:bottom w:w="0" w:type="dxa"/>
              <w:right w:w="108" w:type="dxa"/>
            </w:tcMar>
            <w:vAlign w:val="center"/>
          </w:tcPr>
          <w:p w14:paraId="1FBCA7D4"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4</w:t>
            </w:r>
          </w:p>
        </w:tc>
        <w:tc>
          <w:tcPr>
            <w:tcW w:w="1227" w:type="pct"/>
            <w:tcMar>
              <w:top w:w="0" w:type="dxa"/>
              <w:left w:w="108" w:type="dxa"/>
              <w:bottom w:w="0" w:type="dxa"/>
              <w:right w:w="108" w:type="dxa"/>
            </w:tcMar>
            <w:vAlign w:val="center"/>
          </w:tcPr>
          <w:p w14:paraId="237F4343" w14:textId="77777777" w:rsidR="006E39EB"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莱州市隆顺机械</w:t>
            </w:r>
          </w:p>
          <w:p w14:paraId="6444339C"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有限公司</w:t>
            </w:r>
          </w:p>
        </w:tc>
        <w:tc>
          <w:tcPr>
            <w:tcW w:w="741" w:type="pct"/>
            <w:tcMar>
              <w:top w:w="0" w:type="dxa"/>
              <w:left w:w="108" w:type="dxa"/>
              <w:bottom w:w="0" w:type="dxa"/>
              <w:right w:w="108" w:type="dxa"/>
            </w:tcMar>
            <w:vAlign w:val="center"/>
          </w:tcPr>
          <w:p w14:paraId="277CD272"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sz w:val="21"/>
                <w:szCs w:val="21"/>
              </w:rPr>
              <w:t>625.52</w:t>
            </w:r>
          </w:p>
        </w:tc>
        <w:tc>
          <w:tcPr>
            <w:tcW w:w="742" w:type="pct"/>
            <w:tcMar>
              <w:top w:w="0" w:type="dxa"/>
              <w:left w:w="108" w:type="dxa"/>
              <w:bottom w:w="0" w:type="dxa"/>
              <w:right w:w="108" w:type="dxa"/>
            </w:tcMar>
            <w:vAlign w:val="center"/>
          </w:tcPr>
          <w:p w14:paraId="7AA23308"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sz w:val="21"/>
                <w:szCs w:val="21"/>
              </w:rPr>
              <w:t>3.34%</w:t>
            </w:r>
          </w:p>
        </w:tc>
        <w:tc>
          <w:tcPr>
            <w:tcW w:w="642" w:type="pct"/>
            <w:tcMar>
              <w:left w:w="108" w:type="dxa"/>
              <w:right w:w="108" w:type="dxa"/>
            </w:tcMar>
            <w:vAlign w:val="center"/>
          </w:tcPr>
          <w:p w14:paraId="3B8CAF05"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sz w:val="21"/>
                <w:szCs w:val="21"/>
              </w:rPr>
            </w:pPr>
            <w:r>
              <w:rPr>
                <w:rFonts w:ascii="Times New Roman" w:hAnsi="Times New Roman"/>
                <w:sz w:val="21"/>
                <w:szCs w:val="21"/>
              </w:rPr>
              <w:t>100.00</w:t>
            </w:r>
          </w:p>
        </w:tc>
        <w:tc>
          <w:tcPr>
            <w:tcW w:w="641" w:type="pct"/>
            <w:tcMar>
              <w:left w:w="108" w:type="dxa"/>
              <w:right w:w="108" w:type="dxa"/>
            </w:tcMar>
            <w:vAlign w:val="center"/>
          </w:tcPr>
          <w:p w14:paraId="1F232910"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2016.04.08</w:t>
            </w:r>
          </w:p>
        </w:tc>
        <w:tc>
          <w:tcPr>
            <w:tcW w:w="641" w:type="pct"/>
            <w:tcMar>
              <w:left w:w="108" w:type="dxa"/>
              <w:right w:w="108" w:type="dxa"/>
            </w:tcMar>
            <w:vAlign w:val="center"/>
          </w:tcPr>
          <w:p w14:paraId="22EB00EA"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铸件及加工件</w:t>
            </w:r>
          </w:p>
        </w:tc>
      </w:tr>
      <w:tr w:rsidR="008D76D6" w14:paraId="04B17AC3" w14:textId="77777777">
        <w:trPr>
          <w:trHeight w:val="397"/>
          <w:jc w:val="center"/>
        </w:trPr>
        <w:tc>
          <w:tcPr>
            <w:tcW w:w="365" w:type="pct"/>
            <w:tcMar>
              <w:top w:w="0" w:type="dxa"/>
              <w:left w:w="108" w:type="dxa"/>
              <w:bottom w:w="0" w:type="dxa"/>
              <w:right w:w="108" w:type="dxa"/>
            </w:tcMar>
            <w:vAlign w:val="center"/>
          </w:tcPr>
          <w:p w14:paraId="7CE95125"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5</w:t>
            </w:r>
          </w:p>
        </w:tc>
        <w:tc>
          <w:tcPr>
            <w:tcW w:w="1227" w:type="pct"/>
            <w:tcMar>
              <w:top w:w="0" w:type="dxa"/>
              <w:left w:w="108" w:type="dxa"/>
              <w:bottom w:w="0" w:type="dxa"/>
              <w:right w:w="108" w:type="dxa"/>
            </w:tcMar>
            <w:vAlign w:val="center"/>
          </w:tcPr>
          <w:p w14:paraId="1DDAFA25" w14:textId="77777777" w:rsidR="006E39EB"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青岛富尔达标准件</w:t>
            </w:r>
          </w:p>
          <w:p w14:paraId="74BB2119"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color w:val="000000"/>
                <w:kern w:val="0"/>
                <w:sz w:val="21"/>
                <w:szCs w:val="21"/>
                <w:lang w:bidi="ar"/>
              </w:rPr>
            </w:pPr>
            <w:r>
              <w:rPr>
                <w:rFonts w:ascii="Times New Roman" w:hAnsi="Times New Roman"/>
                <w:color w:val="000000"/>
                <w:sz w:val="21"/>
                <w:szCs w:val="21"/>
              </w:rPr>
              <w:t>有限公司</w:t>
            </w:r>
          </w:p>
        </w:tc>
        <w:tc>
          <w:tcPr>
            <w:tcW w:w="741" w:type="pct"/>
            <w:tcMar>
              <w:top w:w="0" w:type="dxa"/>
              <w:left w:w="108" w:type="dxa"/>
              <w:bottom w:w="0" w:type="dxa"/>
              <w:right w:w="108" w:type="dxa"/>
            </w:tcMar>
            <w:vAlign w:val="center"/>
          </w:tcPr>
          <w:p w14:paraId="49F1BD1C"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kern w:val="0"/>
                <w:sz w:val="21"/>
                <w:szCs w:val="21"/>
                <w:lang w:bidi="ar"/>
              </w:rPr>
            </w:pPr>
            <w:r>
              <w:rPr>
                <w:rFonts w:ascii="Times New Roman" w:hAnsi="Times New Roman"/>
                <w:sz w:val="21"/>
                <w:szCs w:val="21"/>
              </w:rPr>
              <w:t>411.16</w:t>
            </w:r>
          </w:p>
        </w:tc>
        <w:tc>
          <w:tcPr>
            <w:tcW w:w="742" w:type="pct"/>
            <w:tcMar>
              <w:top w:w="0" w:type="dxa"/>
              <w:left w:w="108" w:type="dxa"/>
              <w:bottom w:w="0" w:type="dxa"/>
              <w:right w:w="108" w:type="dxa"/>
            </w:tcMar>
            <w:vAlign w:val="center"/>
          </w:tcPr>
          <w:p w14:paraId="59F0ACEB"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color w:val="000000"/>
                <w:kern w:val="0"/>
                <w:sz w:val="21"/>
                <w:szCs w:val="21"/>
                <w:lang w:bidi="ar"/>
              </w:rPr>
            </w:pPr>
            <w:r>
              <w:rPr>
                <w:rFonts w:ascii="Times New Roman" w:hAnsi="Times New Roman"/>
                <w:sz w:val="21"/>
                <w:szCs w:val="21"/>
              </w:rPr>
              <w:t>2.19%</w:t>
            </w:r>
          </w:p>
        </w:tc>
        <w:tc>
          <w:tcPr>
            <w:tcW w:w="642" w:type="pct"/>
            <w:tcMar>
              <w:left w:w="108" w:type="dxa"/>
              <w:right w:w="108" w:type="dxa"/>
            </w:tcMar>
            <w:vAlign w:val="center"/>
          </w:tcPr>
          <w:p w14:paraId="012693BC"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sz w:val="21"/>
                <w:szCs w:val="21"/>
              </w:rPr>
            </w:pPr>
            <w:r>
              <w:rPr>
                <w:rFonts w:ascii="Times New Roman" w:hAnsi="Times New Roman"/>
                <w:sz w:val="21"/>
                <w:szCs w:val="21"/>
              </w:rPr>
              <w:t>50.00</w:t>
            </w:r>
          </w:p>
        </w:tc>
        <w:tc>
          <w:tcPr>
            <w:tcW w:w="641" w:type="pct"/>
            <w:tcMar>
              <w:left w:w="108" w:type="dxa"/>
              <w:right w:w="108" w:type="dxa"/>
            </w:tcMar>
            <w:vAlign w:val="center"/>
          </w:tcPr>
          <w:p w14:paraId="3FFE370A"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2005.07.14</w:t>
            </w:r>
          </w:p>
        </w:tc>
        <w:tc>
          <w:tcPr>
            <w:tcW w:w="641" w:type="pct"/>
            <w:tcMar>
              <w:left w:w="108" w:type="dxa"/>
              <w:right w:w="108" w:type="dxa"/>
            </w:tcMar>
            <w:vAlign w:val="center"/>
          </w:tcPr>
          <w:p w14:paraId="169246C4"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标准件</w:t>
            </w:r>
          </w:p>
        </w:tc>
      </w:tr>
      <w:tr w:rsidR="008D76D6" w14:paraId="11AB60F6" w14:textId="77777777">
        <w:trPr>
          <w:trHeight w:val="397"/>
          <w:jc w:val="center"/>
        </w:trPr>
        <w:tc>
          <w:tcPr>
            <w:tcW w:w="1592" w:type="pct"/>
            <w:gridSpan w:val="2"/>
            <w:tcMar>
              <w:top w:w="0" w:type="dxa"/>
              <w:left w:w="108" w:type="dxa"/>
              <w:bottom w:w="0" w:type="dxa"/>
              <w:right w:w="108" w:type="dxa"/>
            </w:tcMar>
            <w:vAlign w:val="center"/>
          </w:tcPr>
          <w:p w14:paraId="27BF4F1A"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b/>
                <w:bCs/>
                <w:color w:val="000000"/>
                <w:sz w:val="21"/>
                <w:szCs w:val="21"/>
              </w:rPr>
              <w:t>合计</w:t>
            </w:r>
          </w:p>
        </w:tc>
        <w:tc>
          <w:tcPr>
            <w:tcW w:w="741" w:type="pct"/>
            <w:tcMar>
              <w:top w:w="0" w:type="dxa"/>
              <w:left w:w="108" w:type="dxa"/>
              <w:bottom w:w="0" w:type="dxa"/>
              <w:right w:w="108" w:type="dxa"/>
            </w:tcMar>
            <w:vAlign w:val="center"/>
          </w:tcPr>
          <w:p w14:paraId="714A5E20"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b/>
                <w:bCs/>
                <w:color w:val="000000"/>
                <w:sz w:val="21"/>
                <w:szCs w:val="21"/>
              </w:rPr>
            </w:pPr>
            <w:r>
              <w:rPr>
                <w:rFonts w:ascii="Times New Roman" w:hAnsi="Times New Roman"/>
                <w:b/>
                <w:bCs/>
                <w:sz w:val="21"/>
                <w:szCs w:val="21"/>
              </w:rPr>
              <w:t>3,737.26</w:t>
            </w:r>
          </w:p>
        </w:tc>
        <w:tc>
          <w:tcPr>
            <w:tcW w:w="742" w:type="pct"/>
            <w:tcMar>
              <w:top w:w="0" w:type="dxa"/>
              <w:left w:w="108" w:type="dxa"/>
              <w:bottom w:w="0" w:type="dxa"/>
              <w:right w:w="108" w:type="dxa"/>
            </w:tcMar>
            <w:vAlign w:val="center"/>
          </w:tcPr>
          <w:p w14:paraId="4D09EEFB" w14:textId="77777777" w:rsidR="008D76D6" w:rsidRDefault="008D76D6" w:rsidP="00CE3CA5">
            <w:pPr>
              <w:adjustRightInd w:val="0"/>
              <w:snapToGrid w:val="0"/>
              <w:spacing w:beforeLines="0" w:before="0" w:afterLines="0" w:after="0" w:line="240" w:lineRule="auto"/>
              <w:ind w:firstLineChars="0" w:firstLine="0"/>
              <w:jc w:val="right"/>
              <w:rPr>
                <w:rFonts w:ascii="Times New Roman" w:hAnsi="Times New Roman"/>
                <w:b/>
                <w:bCs/>
                <w:color w:val="000000"/>
                <w:sz w:val="21"/>
                <w:szCs w:val="21"/>
              </w:rPr>
            </w:pPr>
            <w:r>
              <w:rPr>
                <w:rFonts w:ascii="Times New Roman" w:hAnsi="Times New Roman"/>
                <w:b/>
                <w:bCs/>
                <w:sz w:val="21"/>
                <w:szCs w:val="21"/>
              </w:rPr>
              <w:t>19.93%</w:t>
            </w:r>
          </w:p>
        </w:tc>
        <w:tc>
          <w:tcPr>
            <w:tcW w:w="642" w:type="pct"/>
            <w:tcMar>
              <w:left w:w="108" w:type="dxa"/>
              <w:right w:w="108" w:type="dxa"/>
            </w:tcMar>
            <w:vAlign w:val="center"/>
          </w:tcPr>
          <w:p w14:paraId="1121E8AE"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p>
        </w:tc>
        <w:tc>
          <w:tcPr>
            <w:tcW w:w="641" w:type="pct"/>
            <w:tcMar>
              <w:left w:w="108" w:type="dxa"/>
              <w:right w:w="108" w:type="dxa"/>
            </w:tcMar>
            <w:vAlign w:val="center"/>
          </w:tcPr>
          <w:p w14:paraId="5CE8185A"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p>
        </w:tc>
        <w:tc>
          <w:tcPr>
            <w:tcW w:w="641" w:type="pct"/>
            <w:tcMar>
              <w:left w:w="108" w:type="dxa"/>
              <w:right w:w="108" w:type="dxa"/>
            </w:tcMar>
            <w:vAlign w:val="center"/>
          </w:tcPr>
          <w:p w14:paraId="4EFB16ED" w14:textId="77777777" w:rsidR="008D76D6" w:rsidRDefault="008D76D6" w:rsidP="00CE3CA5">
            <w:pPr>
              <w:adjustRightInd w:val="0"/>
              <w:snapToGrid w:val="0"/>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w:t>
            </w:r>
          </w:p>
        </w:tc>
      </w:tr>
    </w:tbl>
    <w:p w14:paraId="76B36F31" w14:textId="77777777" w:rsidR="008D76D6" w:rsidRDefault="008D76D6">
      <w:pPr>
        <w:spacing w:before="120" w:after="120"/>
        <w:ind w:firstLine="480"/>
        <w:rPr>
          <w:rFonts w:ascii="Times New Roman" w:hAnsi="Times New Roman"/>
        </w:rPr>
      </w:pPr>
      <w:r>
        <w:rPr>
          <w:rFonts w:ascii="Times New Roman" w:hAnsi="Times New Roman"/>
        </w:rPr>
        <w:t>公司报告期内重大供应商，除青岛大宇再生资源有限公司、青岛义国环保科技有限公司注销及</w:t>
      </w:r>
      <w:r>
        <w:rPr>
          <w:rFonts w:ascii="Times New Roman" w:hAnsi="Times New Roman"/>
        </w:rPr>
        <w:t>2023</w:t>
      </w:r>
      <w:r>
        <w:rPr>
          <w:rFonts w:ascii="Times New Roman" w:hAnsi="Times New Roman"/>
        </w:rPr>
        <w:t>年新增重大供应商山东德礼科技发展有限公司外，不存在重大变动。报告期内，</w:t>
      </w:r>
      <w:r w:rsidR="00552C11">
        <w:t>发行人的主要供应商均有为发行人供货的能力，</w:t>
      </w:r>
      <w:r>
        <w:rPr>
          <w:rFonts w:ascii="Times New Roman" w:hAnsi="Times New Roman"/>
        </w:rPr>
        <w:t>重大供应商相关变化具有商业合理性，对公司持续经营能力不存在重大不利影响。</w:t>
      </w:r>
    </w:p>
    <w:p w14:paraId="5CBDA2FC" w14:textId="77777777" w:rsidR="008D76D6" w:rsidRDefault="008D76D6">
      <w:pPr>
        <w:pStyle w:val="004"/>
        <w:spacing w:before="120" w:after="120"/>
        <w:ind w:firstLine="482"/>
      </w:pPr>
      <w:r>
        <w:rPr>
          <w:rFonts w:hint="eastAsia"/>
        </w:rPr>
        <w:t>（二）结合发行人生产成本结构，说明供应商存在较大变动的原因及合理性，客户与供应商存在重叠的原因及合理性，是否符合行业惯例</w:t>
      </w:r>
    </w:p>
    <w:p w14:paraId="722284DF" w14:textId="77777777" w:rsidR="008D76D6" w:rsidRDefault="008D76D6">
      <w:pPr>
        <w:spacing w:before="120" w:after="120"/>
        <w:ind w:firstLine="480"/>
      </w:pPr>
      <w:r>
        <w:rPr>
          <w:rFonts w:ascii="Times New Roman" w:hAnsi="Times New Roman" w:hint="eastAsia"/>
        </w:rPr>
        <w:t>1</w:t>
      </w:r>
      <w:r>
        <w:rPr>
          <w:rFonts w:ascii="Times New Roman" w:hAnsi="Times New Roman" w:hint="eastAsia"/>
        </w:rPr>
        <w:t>、</w:t>
      </w:r>
      <w:r>
        <w:rPr>
          <w:rFonts w:hint="eastAsia"/>
        </w:rPr>
        <w:t>发行人生产结构情况，供应商存在较大变动的原因及合理性</w:t>
      </w:r>
    </w:p>
    <w:p w14:paraId="31504B5C" w14:textId="77777777" w:rsidR="008D76D6" w:rsidRDefault="008D76D6">
      <w:pPr>
        <w:spacing w:before="120" w:after="120"/>
        <w:ind w:firstLine="480"/>
      </w:pPr>
      <w:r>
        <w:t>报告期各期，公司主营业务成本按料工费划分情况如下：</w:t>
      </w:r>
    </w:p>
    <w:p w14:paraId="7067D512" w14:textId="77777777" w:rsidR="008D76D6" w:rsidRDefault="008D76D6">
      <w:pPr>
        <w:keepNext/>
        <w:spacing w:beforeLines="0" w:before="0" w:afterLines="0" w:after="0" w:line="240" w:lineRule="auto"/>
        <w:ind w:firstLine="420"/>
        <w:jc w:val="right"/>
        <w:rPr>
          <w:bCs/>
          <w:sz w:val="21"/>
        </w:rPr>
      </w:pPr>
      <w:r>
        <w:rPr>
          <w:sz w:val="21"/>
        </w:rPr>
        <w:t>单位：万元</w:t>
      </w:r>
    </w:p>
    <w:tbl>
      <w:tblPr>
        <w:tblW w:w="5276" w:type="pct"/>
        <w:jc w:val="center"/>
        <w:tblInd w:w="0" w:type="dxa"/>
        <w:tblBorders>
          <w:top w:val="single" w:sz="6" w:space="0" w:color="010000"/>
          <w:left w:val="single" w:sz="6" w:space="0" w:color="010000"/>
          <w:bottom w:val="single" w:sz="6" w:space="0" w:color="010000"/>
          <w:right w:val="single" w:sz="6" w:space="0" w:color="010000"/>
          <w:insideH w:val="single" w:sz="6" w:space="0" w:color="010000"/>
          <w:insideV w:val="single" w:sz="6" w:space="0" w:color="010000"/>
        </w:tblBorders>
        <w:tblLook w:val="0000" w:firstRow="0" w:lastRow="0" w:firstColumn="0" w:lastColumn="0" w:noHBand="0" w:noVBand="0"/>
      </w:tblPr>
      <w:tblGrid>
        <w:gridCol w:w="906"/>
        <w:gridCol w:w="1056"/>
        <w:gridCol w:w="1054"/>
        <w:gridCol w:w="1109"/>
        <w:gridCol w:w="1054"/>
        <w:gridCol w:w="1110"/>
        <w:gridCol w:w="1055"/>
        <w:gridCol w:w="1110"/>
        <w:gridCol w:w="1053"/>
      </w:tblGrid>
      <w:tr w:rsidR="008D76D6" w14:paraId="6D9B2457" w14:textId="77777777">
        <w:trPr>
          <w:trHeight w:val="397"/>
          <w:tblHeader/>
          <w:jc w:val="center"/>
        </w:trPr>
        <w:tc>
          <w:tcPr>
            <w:tcW w:w="480" w:type="pct"/>
            <w:vMerge w:val="restart"/>
            <w:shd w:val="clear" w:color="auto" w:fill="D9D9D9"/>
            <w:tcMar>
              <w:left w:w="108" w:type="dxa"/>
              <w:right w:w="108" w:type="dxa"/>
            </w:tcMar>
            <w:vAlign w:val="center"/>
          </w:tcPr>
          <w:p w14:paraId="5A660CC6" w14:textId="77777777" w:rsidR="008D76D6" w:rsidRDefault="008D76D6" w:rsidP="00407955">
            <w:pPr>
              <w:keepNext/>
              <w:spacing w:beforeLines="0" w:before="0" w:afterLines="0" w:after="0" w:line="240" w:lineRule="auto"/>
              <w:ind w:firstLineChars="0" w:firstLine="0"/>
              <w:jc w:val="center"/>
              <w:rPr>
                <w:rFonts w:ascii="Times New Roman" w:hAnsi="Times New Roman"/>
                <w:b/>
                <w:color w:val="000000"/>
                <w:sz w:val="21"/>
                <w:szCs w:val="21"/>
              </w:rPr>
            </w:pPr>
            <w:r>
              <w:rPr>
                <w:rFonts w:ascii="Times New Roman" w:hAnsi="Times New Roman"/>
                <w:b/>
                <w:color w:val="000000"/>
                <w:sz w:val="21"/>
                <w:szCs w:val="21"/>
              </w:rPr>
              <w:t>项目</w:t>
            </w:r>
          </w:p>
        </w:tc>
        <w:tc>
          <w:tcPr>
            <w:tcW w:w="1086" w:type="pct"/>
            <w:gridSpan w:val="2"/>
            <w:shd w:val="clear" w:color="auto" w:fill="D9D9D9"/>
            <w:tcMar>
              <w:left w:w="108" w:type="dxa"/>
              <w:right w:w="108" w:type="dxa"/>
            </w:tcMar>
            <w:vAlign w:val="center"/>
          </w:tcPr>
          <w:p w14:paraId="1804DDE0" w14:textId="77777777" w:rsidR="008D76D6" w:rsidRDefault="008D76D6" w:rsidP="00407955">
            <w:pPr>
              <w:keepNext/>
              <w:spacing w:beforeLines="0" w:before="0" w:afterLines="0" w:after="0" w:line="240" w:lineRule="auto"/>
              <w:ind w:firstLineChars="0" w:firstLine="0"/>
              <w:jc w:val="center"/>
              <w:rPr>
                <w:rFonts w:ascii="Times New Roman" w:hAnsi="Times New Roman"/>
                <w:b/>
                <w:color w:val="000000"/>
                <w:sz w:val="21"/>
                <w:szCs w:val="21"/>
              </w:rPr>
            </w:pPr>
            <w:r>
              <w:rPr>
                <w:rFonts w:ascii="Times New Roman" w:hAnsi="Times New Roman"/>
                <w:b/>
                <w:color w:val="000000"/>
                <w:sz w:val="21"/>
                <w:szCs w:val="21"/>
              </w:rPr>
              <w:t>2023</w:t>
            </w:r>
            <w:r>
              <w:rPr>
                <w:rFonts w:ascii="Times New Roman" w:hAnsi="Times New Roman"/>
                <w:b/>
                <w:color w:val="000000"/>
                <w:sz w:val="21"/>
                <w:szCs w:val="21"/>
              </w:rPr>
              <w:t>年</w:t>
            </w:r>
            <w:r>
              <w:rPr>
                <w:rFonts w:ascii="Times New Roman" w:hAnsi="Times New Roman"/>
                <w:b/>
                <w:color w:val="000000"/>
                <w:sz w:val="21"/>
                <w:szCs w:val="21"/>
              </w:rPr>
              <w:t>1-</w:t>
            </w:r>
            <w:r w:rsidR="00061FAF">
              <w:rPr>
                <w:rFonts w:ascii="Times New Roman" w:hAnsi="Times New Roman"/>
                <w:b/>
                <w:color w:val="000000"/>
                <w:sz w:val="21"/>
                <w:szCs w:val="21"/>
              </w:rPr>
              <w:t>9</w:t>
            </w:r>
            <w:r>
              <w:rPr>
                <w:rFonts w:ascii="Times New Roman" w:hAnsi="Times New Roman"/>
                <w:b/>
                <w:color w:val="000000"/>
                <w:sz w:val="21"/>
                <w:szCs w:val="21"/>
              </w:rPr>
              <w:t>月</w:t>
            </w:r>
          </w:p>
        </w:tc>
        <w:tc>
          <w:tcPr>
            <w:tcW w:w="1145" w:type="pct"/>
            <w:gridSpan w:val="2"/>
            <w:shd w:val="clear" w:color="auto" w:fill="D9D9D9"/>
            <w:tcMar>
              <w:left w:w="108" w:type="dxa"/>
              <w:right w:w="108" w:type="dxa"/>
            </w:tcMar>
            <w:vAlign w:val="center"/>
          </w:tcPr>
          <w:p w14:paraId="0DC09AF7" w14:textId="77777777" w:rsidR="008D76D6" w:rsidRDefault="008D76D6" w:rsidP="00407955">
            <w:pPr>
              <w:keepNext/>
              <w:spacing w:beforeLines="0" w:before="0" w:afterLines="0" w:after="0" w:line="240" w:lineRule="auto"/>
              <w:ind w:firstLineChars="0" w:firstLine="0"/>
              <w:jc w:val="center"/>
              <w:rPr>
                <w:rFonts w:ascii="Times New Roman" w:hAnsi="Times New Roman"/>
                <w:b/>
                <w:color w:val="000000"/>
                <w:sz w:val="21"/>
                <w:szCs w:val="21"/>
              </w:rPr>
            </w:pPr>
            <w:r>
              <w:rPr>
                <w:rFonts w:ascii="Times New Roman" w:hAnsi="Times New Roman"/>
                <w:b/>
                <w:color w:val="000000"/>
                <w:sz w:val="21"/>
                <w:szCs w:val="21"/>
              </w:rPr>
              <w:t>2022</w:t>
            </w:r>
            <w:r>
              <w:rPr>
                <w:rFonts w:ascii="Times New Roman" w:hAnsi="Times New Roman"/>
                <w:b/>
                <w:color w:val="000000"/>
                <w:sz w:val="21"/>
                <w:szCs w:val="21"/>
              </w:rPr>
              <w:t>年</w:t>
            </w:r>
          </w:p>
        </w:tc>
        <w:tc>
          <w:tcPr>
            <w:tcW w:w="1145" w:type="pct"/>
            <w:gridSpan w:val="2"/>
            <w:shd w:val="clear" w:color="auto" w:fill="D9D9D9"/>
            <w:tcMar>
              <w:left w:w="108" w:type="dxa"/>
              <w:right w:w="108" w:type="dxa"/>
            </w:tcMar>
            <w:vAlign w:val="center"/>
          </w:tcPr>
          <w:p w14:paraId="3105BF3D" w14:textId="77777777" w:rsidR="008D76D6" w:rsidRDefault="008D76D6" w:rsidP="00407955">
            <w:pPr>
              <w:keepNext/>
              <w:spacing w:beforeLines="0" w:before="0" w:afterLines="0" w:after="0" w:line="240" w:lineRule="auto"/>
              <w:ind w:firstLineChars="0" w:firstLine="0"/>
              <w:jc w:val="center"/>
              <w:rPr>
                <w:rFonts w:ascii="Times New Roman" w:hAnsi="Times New Roman"/>
                <w:b/>
                <w:color w:val="000000"/>
                <w:sz w:val="21"/>
                <w:szCs w:val="21"/>
              </w:rPr>
            </w:pPr>
            <w:r>
              <w:rPr>
                <w:rFonts w:ascii="Times New Roman" w:hAnsi="Times New Roman"/>
                <w:b/>
                <w:color w:val="000000"/>
                <w:sz w:val="21"/>
                <w:szCs w:val="21"/>
              </w:rPr>
              <w:t>2021</w:t>
            </w:r>
            <w:r>
              <w:rPr>
                <w:rFonts w:ascii="Times New Roman" w:hAnsi="Times New Roman"/>
                <w:b/>
                <w:color w:val="000000"/>
                <w:sz w:val="21"/>
                <w:szCs w:val="21"/>
              </w:rPr>
              <w:t>年</w:t>
            </w:r>
          </w:p>
        </w:tc>
        <w:tc>
          <w:tcPr>
            <w:tcW w:w="1144" w:type="pct"/>
            <w:gridSpan w:val="2"/>
            <w:shd w:val="clear" w:color="auto" w:fill="D9D9D9"/>
            <w:tcMar>
              <w:left w:w="108" w:type="dxa"/>
              <w:right w:w="108" w:type="dxa"/>
            </w:tcMar>
            <w:vAlign w:val="center"/>
          </w:tcPr>
          <w:p w14:paraId="448641E7" w14:textId="77777777" w:rsidR="008D76D6" w:rsidRDefault="008D76D6" w:rsidP="00407955">
            <w:pPr>
              <w:keepNext/>
              <w:spacing w:beforeLines="0" w:before="0" w:afterLines="0" w:after="0" w:line="240" w:lineRule="auto"/>
              <w:ind w:firstLineChars="0" w:firstLine="0"/>
              <w:jc w:val="center"/>
              <w:rPr>
                <w:rFonts w:ascii="Times New Roman" w:hAnsi="Times New Roman"/>
                <w:b/>
                <w:color w:val="000000"/>
                <w:sz w:val="21"/>
                <w:szCs w:val="21"/>
              </w:rPr>
            </w:pPr>
            <w:r>
              <w:rPr>
                <w:rFonts w:ascii="Times New Roman" w:hAnsi="Times New Roman"/>
                <w:b/>
                <w:color w:val="000000"/>
                <w:sz w:val="21"/>
                <w:szCs w:val="21"/>
              </w:rPr>
              <w:t>2020</w:t>
            </w:r>
            <w:r>
              <w:rPr>
                <w:rFonts w:ascii="Times New Roman" w:hAnsi="Times New Roman"/>
                <w:b/>
                <w:color w:val="000000"/>
                <w:sz w:val="21"/>
                <w:szCs w:val="21"/>
              </w:rPr>
              <w:t>年</w:t>
            </w:r>
          </w:p>
        </w:tc>
      </w:tr>
      <w:tr w:rsidR="008D76D6" w14:paraId="5CA4BE47" w14:textId="77777777">
        <w:trPr>
          <w:trHeight w:val="397"/>
          <w:tblHeader/>
          <w:jc w:val="center"/>
        </w:trPr>
        <w:tc>
          <w:tcPr>
            <w:tcW w:w="480" w:type="pct"/>
            <w:vMerge/>
            <w:shd w:val="clear" w:color="auto" w:fill="D9D9D9"/>
            <w:tcMar>
              <w:left w:w="108" w:type="dxa"/>
              <w:right w:w="108" w:type="dxa"/>
            </w:tcMar>
            <w:vAlign w:val="center"/>
          </w:tcPr>
          <w:p w14:paraId="73CE0D3F" w14:textId="77777777" w:rsidR="008D76D6" w:rsidRDefault="008D76D6" w:rsidP="00407955">
            <w:pPr>
              <w:spacing w:beforeLines="0" w:before="0" w:afterLines="0" w:after="0" w:line="240" w:lineRule="auto"/>
              <w:ind w:firstLineChars="0" w:firstLine="0"/>
              <w:jc w:val="center"/>
              <w:rPr>
                <w:rFonts w:ascii="Times New Roman" w:hAnsi="Times New Roman"/>
                <w:b/>
                <w:color w:val="000000"/>
                <w:sz w:val="21"/>
                <w:szCs w:val="21"/>
              </w:rPr>
            </w:pPr>
          </w:p>
        </w:tc>
        <w:tc>
          <w:tcPr>
            <w:tcW w:w="528" w:type="pct"/>
            <w:shd w:val="clear" w:color="auto" w:fill="D9D9D9"/>
            <w:tcMar>
              <w:left w:w="108" w:type="dxa"/>
              <w:right w:w="108" w:type="dxa"/>
            </w:tcMar>
            <w:vAlign w:val="center"/>
          </w:tcPr>
          <w:p w14:paraId="42DF1C9A" w14:textId="77777777" w:rsidR="008D76D6" w:rsidRDefault="008D76D6" w:rsidP="00407955">
            <w:pPr>
              <w:spacing w:beforeLines="0" w:before="0" w:afterLines="0" w:after="0" w:line="240" w:lineRule="auto"/>
              <w:ind w:firstLineChars="0" w:firstLine="0"/>
              <w:jc w:val="center"/>
              <w:rPr>
                <w:rFonts w:ascii="Times New Roman" w:hAnsi="Times New Roman"/>
                <w:b/>
                <w:color w:val="000000"/>
                <w:sz w:val="21"/>
                <w:szCs w:val="21"/>
              </w:rPr>
            </w:pPr>
            <w:r>
              <w:rPr>
                <w:rFonts w:ascii="Times New Roman" w:hAnsi="Times New Roman"/>
                <w:b/>
                <w:color w:val="000000"/>
                <w:sz w:val="21"/>
                <w:szCs w:val="21"/>
              </w:rPr>
              <w:t>金额</w:t>
            </w:r>
          </w:p>
        </w:tc>
        <w:tc>
          <w:tcPr>
            <w:tcW w:w="558" w:type="pct"/>
            <w:shd w:val="clear" w:color="auto" w:fill="D9D9D9"/>
            <w:tcMar>
              <w:left w:w="108" w:type="dxa"/>
              <w:right w:w="108" w:type="dxa"/>
            </w:tcMar>
            <w:vAlign w:val="center"/>
          </w:tcPr>
          <w:p w14:paraId="04591D63" w14:textId="77777777" w:rsidR="008D76D6" w:rsidRDefault="008D76D6" w:rsidP="00407955">
            <w:pPr>
              <w:spacing w:beforeLines="0" w:before="0" w:afterLines="0" w:after="0" w:line="240" w:lineRule="auto"/>
              <w:ind w:firstLineChars="0" w:firstLine="0"/>
              <w:jc w:val="center"/>
              <w:rPr>
                <w:rFonts w:ascii="Times New Roman" w:hAnsi="Times New Roman"/>
                <w:b/>
                <w:color w:val="000000"/>
                <w:sz w:val="21"/>
                <w:szCs w:val="21"/>
              </w:rPr>
            </w:pPr>
            <w:r>
              <w:rPr>
                <w:rFonts w:ascii="Times New Roman" w:hAnsi="Times New Roman"/>
                <w:b/>
                <w:color w:val="000000"/>
                <w:sz w:val="21"/>
                <w:szCs w:val="21"/>
              </w:rPr>
              <w:t>占比</w:t>
            </w:r>
          </w:p>
        </w:tc>
        <w:tc>
          <w:tcPr>
            <w:tcW w:w="587" w:type="pct"/>
            <w:shd w:val="clear" w:color="auto" w:fill="D9D9D9"/>
            <w:tcMar>
              <w:left w:w="108" w:type="dxa"/>
              <w:right w:w="108" w:type="dxa"/>
            </w:tcMar>
            <w:vAlign w:val="center"/>
          </w:tcPr>
          <w:p w14:paraId="69C8FF7B" w14:textId="77777777" w:rsidR="008D76D6" w:rsidRDefault="008D76D6" w:rsidP="00407955">
            <w:pPr>
              <w:spacing w:beforeLines="0" w:before="0" w:afterLines="0" w:after="0" w:line="240" w:lineRule="auto"/>
              <w:ind w:firstLineChars="0" w:firstLine="0"/>
              <w:jc w:val="center"/>
              <w:rPr>
                <w:rFonts w:ascii="Times New Roman" w:hAnsi="Times New Roman"/>
                <w:b/>
                <w:color w:val="000000"/>
                <w:sz w:val="21"/>
                <w:szCs w:val="21"/>
              </w:rPr>
            </w:pPr>
            <w:r>
              <w:rPr>
                <w:rFonts w:ascii="Times New Roman" w:hAnsi="Times New Roman"/>
                <w:b/>
                <w:color w:val="000000"/>
                <w:sz w:val="21"/>
                <w:szCs w:val="21"/>
              </w:rPr>
              <w:t>金额</w:t>
            </w:r>
          </w:p>
        </w:tc>
        <w:tc>
          <w:tcPr>
            <w:tcW w:w="558" w:type="pct"/>
            <w:shd w:val="clear" w:color="auto" w:fill="D9D9D9"/>
            <w:tcMar>
              <w:left w:w="108" w:type="dxa"/>
              <w:right w:w="108" w:type="dxa"/>
            </w:tcMar>
            <w:vAlign w:val="center"/>
          </w:tcPr>
          <w:p w14:paraId="5EFE0B71" w14:textId="77777777" w:rsidR="008D76D6" w:rsidRDefault="008D76D6" w:rsidP="00407955">
            <w:pPr>
              <w:spacing w:beforeLines="0" w:before="0" w:afterLines="0" w:after="0" w:line="240" w:lineRule="auto"/>
              <w:ind w:firstLineChars="0" w:firstLine="0"/>
              <w:jc w:val="center"/>
              <w:rPr>
                <w:rFonts w:ascii="Times New Roman" w:hAnsi="Times New Roman"/>
                <w:b/>
                <w:color w:val="000000"/>
                <w:sz w:val="21"/>
                <w:szCs w:val="21"/>
              </w:rPr>
            </w:pPr>
            <w:r>
              <w:rPr>
                <w:rFonts w:ascii="Times New Roman" w:hAnsi="Times New Roman"/>
                <w:b/>
                <w:color w:val="000000"/>
                <w:sz w:val="21"/>
                <w:szCs w:val="21"/>
              </w:rPr>
              <w:t>占比</w:t>
            </w:r>
          </w:p>
        </w:tc>
        <w:tc>
          <w:tcPr>
            <w:tcW w:w="587" w:type="pct"/>
            <w:shd w:val="clear" w:color="auto" w:fill="D9D9D9"/>
            <w:tcMar>
              <w:left w:w="108" w:type="dxa"/>
              <w:right w:w="108" w:type="dxa"/>
            </w:tcMar>
            <w:vAlign w:val="center"/>
          </w:tcPr>
          <w:p w14:paraId="5309CE42" w14:textId="77777777" w:rsidR="008D76D6" w:rsidRDefault="008D76D6" w:rsidP="00407955">
            <w:pPr>
              <w:spacing w:beforeLines="0" w:before="0" w:afterLines="0" w:after="0" w:line="240" w:lineRule="auto"/>
              <w:ind w:firstLineChars="0" w:firstLine="0"/>
              <w:jc w:val="center"/>
              <w:rPr>
                <w:rFonts w:ascii="Times New Roman" w:hAnsi="Times New Roman"/>
                <w:b/>
                <w:color w:val="000000"/>
                <w:sz w:val="21"/>
                <w:szCs w:val="21"/>
              </w:rPr>
            </w:pPr>
            <w:r>
              <w:rPr>
                <w:rFonts w:ascii="Times New Roman" w:hAnsi="Times New Roman"/>
                <w:b/>
                <w:color w:val="000000"/>
                <w:sz w:val="21"/>
                <w:szCs w:val="21"/>
              </w:rPr>
              <w:t>金额</w:t>
            </w:r>
          </w:p>
        </w:tc>
        <w:tc>
          <w:tcPr>
            <w:tcW w:w="558" w:type="pct"/>
            <w:shd w:val="clear" w:color="auto" w:fill="D9D9D9"/>
            <w:tcMar>
              <w:left w:w="108" w:type="dxa"/>
              <w:right w:w="108" w:type="dxa"/>
            </w:tcMar>
            <w:vAlign w:val="center"/>
          </w:tcPr>
          <w:p w14:paraId="3A3A9C82" w14:textId="77777777" w:rsidR="008D76D6" w:rsidRDefault="008D76D6" w:rsidP="00407955">
            <w:pPr>
              <w:spacing w:beforeLines="0" w:before="0" w:afterLines="0" w:after="0" w:line="240" w:lineRule="auto"/>
              <w:ind w:firstLineChars="0" w:firstLine="0"/>
              <w:jc w:val="center"/>
              <w:rPr>
                <w:rFonts w:ascii="Times New Roman" w:hAnsi="Times New Roman"/>
                <w:b/>
                <w:color w:val="000000"/>
                <w:sz w:val="21"/>
                <w:szCs w:val="21"/>
              </w:rPr>
            </w:pPr>
            <w:r>
              <w:rPr>
                <w:rFonts w:ascii="Times New Roman" w:hAnsi="Times New Roman"/>
                <w:b/>
                <w:color w:val="000000"/>
                <w:sz w:val="21"/>
                <w:szCs w:val="21"/>
              </w:rPr>
              <w:t>占比</w:t>
            </w:r>
          </w:p>
        </w:tc>
        <w:tc>
          <w:tcPr>
            <w:tcW w:w="587" w:type="pct"/>
            <w:shd w:val="clear" w:color="auto" w:fill="D9D9D9"/>
            <w:tcMar>
              <w:left w:w="108" w:type="dxa"/>
              <w:right w:w="108" w:type="dxa"/>
            </w:tcMar>
            <w:vAlign w:val="center"/>
          </w:tcPr>
          <w:p w14:paraId="7592FB98" w14:textId="77777777" w:rsidR="008D76D6" w:rsidRDefault="008D76D6" w:rsidP="00407955">
            <w:pPr>
              <w:spacing w:beforeLines="0" w:before="0" w:afterLines="0" w:after="0" w:line="240" w:lineRule="auto"/>
              <w:ind w:firstLineChars="0" w:firstLine="0"/>
              <w:jc w:val="center"/>
              <w:rPr>
                <w:rFonts w:ascii="Times New Roman" w:hAnsi="Times New Roman"/>
                <w:b/>
                <w:color w:val="000000"/>
                <w:sz w:val="21"/>
                <w:szCs w:val="21"/>
              </w:rPr>
            </w:pPr>
            <w:r>
              <w:rPr>
                <w:rFonts w:ascii="Times New Roman" w:hAnsi="Times New Roman"/>
                <w:b/>
                <w:color w:val="000000"/>
                <w:sz w:val="21"/>
                <w:szCs w:val="21"/>
              </w:rPr>
              <w:t>金额</w:t>
            </w:r>
          </w:p>
        </w:tc>
        <w:tc>
          <w:tcPr>
            <w:tcW w:w="557" w:type="pct"/>
            <w:shd w:val="clear" w:color="auto" w:fill="D9D9D9"/>
            <w:tcMar>
              <w:left w:w="108" w:type="dxa"/>
              <w:right w:w="108" w:type="dxa"/>
            </w:tcMar>
            <w:vAlign w:val="center"/>
          </w:tcPr>
          <w:p w14:paraId="22CAE44A" w14:textId="77777777" w:rsidR="008D76D6" w:rsidRDefault="008D76D6" w:rsidP="00407955">
            <w:pPr>
              <w:spacing w:beforeLines="0" w:before="0" w:afterLines="0" w:after="0" w:line="240" w:lineRule="auto"/>
              <w:ind w:firstLineChars="0" w:firstLine="0"/>
              <w:jc w:val="center"/>
              <w:rPr>
                <w:rFonts w:ascii="Times New Roman" w:hAnsi="Times New Roman"/>
                <w:b/>
                <w:color w:val="000000"/>
                <w:sz w:val="21"/>
                <w:szCs w:val="21"/>
              </w:rPr>
            </w:pPr>
            <w:r>
              <w:rPr>
                <w:rFonts w:ascii="Times New Roman" w:hAnsi="Times New Roman"/>
                <w:b/>
                <w:color w:val="000000"/>
                <w:sz w:val="21"/>
                <w:szCs w:val="21"/>
              </w:rPr>
              <w:t>占比</w:t>
            </w:r>
          </w:p>
        </w:tc>
      </w:tr>
      <w:tr w:rsidR="008D76D6" w14:paraId="27D7FF64" w14:textId="77777777">
        <w:trPr>
          <w:trHeight w:val="397"/>
          <w:jc w:val="center"/>
        </w:trPr>
        <w:tc>
          <w:tcPr>
            <w:tcW w:w="480" w:type="pct"/>
            <w:tcMar>
              <w:left w:w="108" w:type="dxa"/>
              <w:right w:w="108" w:type="dxa"/>
            </w:tcMar>
            <w:vAlign w:val="center"/>
          </w:tcPr>
          <w:p w14:paraId="37248A00"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原材料</w:t>
            </w:r>
          </w:p>
        </w:tc>
        <w:tc>
          <w:tcPr>
            <w:tcW w:w="528" w:type="pct"/>
            <w:tcMar>
              <w:left w:w="108" w:type="dxa"/>
              <w:right w:w="108" w:type="dxa"/>
            </w:tcMar>
            <w:vAlign w:val="center"/>
          </w:tcPr>
          <w:p w14:paraId="0FCF0489"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14,822.50</w:t>
            </w:r>
          </w:p>
        </w:tc>
        <w:tc>
          <w:tcPr>
            <w:tcW w:w="558" w:type="pct"/>
            <w:tcMar>
              <w:left w:w="108" w:type="dxa"/>
              <w:right w:w="108" w:type="dxa"/>
            </w:tcMar>
            <w:vAlign w:val="center"/>
          </w:tcPr>
          <w:p w14:paraId="13EDA9C7"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60.59%</w:t>
            </w:r>
          </w:p>
        </w:tc>
        <w:tc>
          <w:tcPr>
            <w:tcW w:w="587" w:type="pct"/>
            <w:tcMar>
              <w:left w:w="108" w:type="dxa"/>
              <w:right w:w="108" w:type="dxa"/>
            </w:tcMar>
            <w:vAlign w:val="center"/>
          </w:tcPr>
          <w:p w14:paraId="1F96FF00"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22,296.68</w:t>
            </w:r>
          </w:p>
        </w:tc>
        <w:tc>
          <w:tcPr>
            <w:tcW w:w="558" w:type="pct"/>
            <w:tcMar>
              <w:left w:w="108" w:type="dxa"/>
              <w:right w:w="108" w:type="dxa"/>
            </w:tcMar>
            <w:vAlign w:val="center"/>
          </w:tcPr>
          <w:p w14:paraId="7EC17651"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66.60%</w:t>
            </w:r>
          </w:p>
        </w:tc>
        <w:tc>
          <w:tcPr>
            <w:tcW w:w="587" w:type="pct"/>
            <w:tcMar>
              <w:left w:w="108" w:type="dxa"/>
              <w:right w:w="108" w:type="dxa"/>
            </w:tcMar>
            <w:vAlign w:val="center"/>
          </w:tcPr>
          <w:p w14:paraId="5EE50107"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16,083.80</w:t>
            </w:r>
          </w:p>
        </w:tc>
        <w:tc>
          <w:tcPr>
            <w:tcW w:w="558" w:type="pct"/>
            <w:tcMar>
              <w:left w:w="108" w:type="dxa"/>
              <w:right w:w="108" w:type="dxa"/>
            </w:tcMar>
            <w:vAlign w:val="center"/>
          </w:tcPr>
          <w:p w14:paraId="12655046"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57.72%</w:t>
            </w:r>
          </w:p>
        </w:tc>
        <w:tc>
          <w:tcPr>
            <w:tcW w:w="587" w:type="pct"/>
            <w:tcMar>
              <w:left w:w="108" w:type="dxa"/>
              <w:right w:w="108" w:type="dxa"/>
            </w:tcMar>
            <w:vAlign w:val="center"/>
          </w:tcPr>
          <w:p w14:paraId="53C54207"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13,829.36</w:t>
            </w:r>
          </w:p>
        </w:tc>
        <w:tc>
          <w:tcPr>
            <w:tcW w:w="557" w:type="pct"/>
            <w:tcMar>
              <w:left w:w="108" w:type="dxa"/>
              <w:right w:w="108" w:type="dxa"/>
            </w:tcMar>
            <w:vAlign w:val="center"/>
          </w:tcPr>
          <w:p w14:paraId="5182F403"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61.40%</w:t>
            </w:r>
          </w:p>
        </w:tc>
      </w:tr>
      <w:tr w:rsidR="008D76D6" w14:paraId="5CB6AAC7" w14:textId="77777777">
        <w:trPr>
          <w:trHeight w:val="397"/>
          <w:jc w:val="center"/>
        </w:trPr>
        <w:tc>
          <w:tcPr>
            <w:tcW w:w="480" w:type="pct"/>
            <w:tcMar>
              <w:left w:w="108" w:type="dxa"/>
              <w:right w:w="108" w:type="dxa"/>
            </w:tcMar>
            <w:vAlign w:val="center"/>
          </w:tcPr>
          <w:p w14:paraId="246D732D" w14:textId="77777777" w:rsidR="00997CDD" w:rsidRDefault="008D76D6" w:rsidP="00407955">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直接</w:t>
            </w:r>
          </w:p>
          <w:p w14:paraId="15E842A4"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人工</w:t>
            </w:r>
          </w:p>
        </w:tc>
        <w:tc>
          <w:tcPr>
            <w:tcW w:w="528" w:type="pct"/>
            <w:tcMar>
              <w:left w:w="108" w:type="dxa"/>
              <w:right w:w="108" w:type="dxa"/>
            </w:tcMar>
            <w:vAlign w:val="center"/>
          </w:tcPr>
          <w:p w14:paraId="0A515763"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3,722.34</w:t>
            </w:r>
          </w:p>
        </w:tc>
        <w:tc>
          <w:tcPr>
            <w:tcW w:w="558" w:type="pct"/>
            <w:tcMar>
              <w:left w:w="108" w:type="dxa"/>
              <w:right w:w="108" w:type="dxa"/>
            </w:tcMar>
            <w:vAlign w:val="center"/>
          </w:tcPr>
          <w:p w14:paraId="6D922137"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15.22%</w:t>
            </w:r>
          </w:p>
        </w:tc>
        <w:tc>
          <w:tcPr>
            <w:tcW w:w="587" w:type="pct"/>
            <w:tcMar>
              <w:left w:w="108" w:type="dxa"/>
              <w:right w:w="108" w:type="dxa"/>
            </w:tcMar>
            <w:vAlign w:val="center"/>
          </w:tcPr>
          <w:p w14:paraId="1A113A49"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4,296.97</w:t>
            </w:r>
          </w:p>
        </w:tc>
        <w:tc>
          <w:tcPr>
            <w:tcW w:w="558" w:type="pct"/>
            <w:tcMar>
              <w:left w:w="108" w:type="dxa"/>
              <w:right w:w="108" w:type="dxa"/>
            </w:tcMar>
            <w:vAlign w:val="center"/>
          </w:tcPr>
          <w:p w14:paraId="21F5CD60"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12.84%</w:t>
            </w:r>
          </w:p>
        </w:tc>
        <w:tc>
          <w:tcPr>
            <w:tcW w:w="587" w:type="pct"/>
            <w:tcMar>
              <w:left w:w="108" w:type="dxa"/>
              <w:right w:w="108" w:type="dxa"/>
            </w:tcMar>
            <w:vAlign w:val="center"/>
          </w:tcPr>
          <w:p w14:paraId="6DD4A0F5"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3,999.22</w:t>
            </w:r>
          </w:p>
        </w:tc>
        <w:tc>
          <w:tcPr>
            <w:tcW w:w="558" w:type="pct"/>
            <w:tcMar>
              <w:left w:w="108" w:type="dxa"/>
              <w:right w:w="108" w:type="dxa"/>
            </w:tcMar>
            <w:vAlign w:val="center"/>
          </w:tcPr>
          <w:p w14:paraId="112FC2FB"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14.35%</w:t>
            </w:r>
          </w:p>
        </w:tc>
        <w:tc>
          <w:tcPr>
            <w:tcW w:w="587" w:type="pct"/>
            <w:tcMar>
              <w:left w:w="108" w:type="dxa"/>
              <w:right w:w="108" w:type="dxa"/>
            </w:tcMar>
            <w:vAlign w:val="center"/>
          </w:tcPr>
          <w:p w14:paraId="7057C0EB"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2,745.48</w:t>
            </w:r>
          </w:p>
        </w:tc>
        <w:tc>
          <w:tcPr>
            <w:tcW w:w="557" w:type="pct"/>
            <w:tcMar>
              <w:left w:w="108" w:type="dxa"/>
              <w:right w:w="108" w:type="dxa"/>
            </w:tcMar>
            <w:vAlign w:val="center"/>
          </w:tcPr>
          <w:p w14:paraId="7190D7E0"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12.19%</w:t>
            </w:r>
          </w:p>
        </w:tc>
      </w:tr>
      <w:tr w:rsidR="008D76D6" w14:paraId="4590A49C" w14:textId="77777777">
        <w:trPr>
          <w:trHeight w:val="397"/>
          <w:jc w:val="center"/>
        </w:trPr>
        <w:tc>
          <w:tcPr>
            <w:tcW w:w="480" w:type="pct"/>
            <w:tcMar>
              <w:left w:w="108" w:type="dxa"/>
              <w:right w:w="108" w:type="dxa"/>
            </w:tcMar>
            <w:vAlign w:val="center"/>
          </w:tcPr>
          <w:p w14:paraId="66C27E9D" w14:textId="77777777" w:rsidR="00997CDD" w:rsidRDefault="008D76D6" w:rsidP="00407955">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制造</w:t>
            </w:r>
          </w:p>
          <w:p w14:paraId="4E804392"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费用</w:t>
            </w:r>
          </w:p>
        </w:tc>
        <w:tc>
          <w:tcPr>
            <w:tcW w:w="528" w:type="pct"/>
            <w:tcMar>
              <w:left w:w="108" w:type="dxa"/>
              <w:right w:w="108" w:type="dxa"/>
            </w:tcMar>
            <w:vAlign w:val="center"/>
          </w:tcPr>
          <w:p w14:paraId="29AD1F84"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5,305.82</w:t>
            </w:r>
          </w:p>
        </w:tc>
        <w:tc>
          <w:tcPr>
            <w:tcW w:w="558" w:type="pct"/>
            <w:tcMar>
              <w:left w:w="108" w:type="dxa"/>
              <w:right w:w="108" w:type="dxa"/>
            </w:tcMar>
            <w:vAlign w:val="center"/>
          </w:tcPr>
          <w:p w14:paraId="719EDEDF"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21.69%</w:t>
            </w:r>
          </w:p>
        </w:tc>
        <w:tc>
          <w:tcPr>
            <w:tcW w:w="587" w:type="pct"/>
            <w:tcMar>
              <w:left w:w="108" w:type="dxa"/>
              <w:right w:w="108" w:type="dxa"/>
            </w:tcMar>
            <w:vAlign w:val="center"/>
          </w:tcPr>
          <w:p w14:paraId="76D8FBA2"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6,113.88</w:t>
            </w:r>
          </w:p>
        </w:tc>
        <w:tc>
          <w:tcPr>
            <w:tcW w:w="558" w:type="pct"/>
            <w:tcMar>
              <w:left w:w="108" w:type="dxa"/>
              <w:right w:w="108" w:type="dxa"/>
            </w:tcMar>
            <w:vAlign w:val="center"/>
          </w:tcPr>
          <w:p w14:paraId="7D3A61F8"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18.26%</w:t>
            </w:r>
          </w:p>
        </w:tc>
        <w:tc>
          <w:tcPr>
            <w:tcW w:w="587" w:type="pct"/>
            <w:tcMar>
              <w:left w:w="108" w:type="dxa"/>
              <w:right w:w="108" w:type="dxa"/>
            </w:tcMar>
            <w:vAlign w:val="center"/>
          </w:tcPr>
          <w:p w14:paraId="43CD6B7E"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6,581.18</w:t>
            </w:r>
          </w:p>
        </w:tc>
        <w:tc>
          <w:tcPr>
            <w:tcW w:w="558" w:type="pct"/>
            <w:tcMar>
              <w:left w:w="108" w:type="dxa"/>
              <w:right w:w="108" w:type="dxa"/>
            </w:tcMar>
            <w:vAlign w:val="center"/>
          </w:tcPr>
          <w:p w14:paraId="3AA1991D"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23.62%</w:t>
            </w:r>
          </w:p>
        </w:tc>
        <w:tc>
          <w:tcPr>
            <w:tcW w:w="587" w:type="pct"/>
            <w:tcMar>
              <w:left w:w="108" w:type="dxa"/>
              <w:right w:w="108" w:type="dxa"/>
            </w:tcMar>
            <w:vAlign w:val="center"/>
          </w:tcPr>
          <w:p w14:paraId="647BCD4B"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4,898.47</w:t>
            </w:r>
          </w:p>
        </w:tc>
        <w:tc>
          <w:tcPr>
            <w:tcW w:w="557" w:type="pct"/>
            <w:tcMar>
              <w:left w:w="108" w:type="dxa"/>
              <w:right w:w="108" w:type="dxa"/>
            </w:tcMar>
            <w:vAlign w:val="center"/>
          </w:tcPr>
          <w:p w14:paraId="7C7F9554"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21.75%</w:t>
            </w:r>
          </w:p>
        </w:tc>
      </w:tr>
      <w:tr w:rsidR="008D76D6" w14:paraId="547CA4BD" w14:textId="77777777">
        <w:trPr>
          <w:trHeight w:val="397"/>
          <w:jc w:val="center"/>
        </w:trPr>
        <w:tc>
          <w:tcPr>
            <w:tcW w:w="480" w:type="pct"/>
            <w:tcMar>
              <w:left w:w="108" w:type="dxa"/>
              <w:right w:w="108" w:type="dxa"/>
            </w:tcMar>
            <w:vAlign w:val="center"/>
          </w:tcPr>
          <w:p w14:paraId="5907E07E"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运费、港杂费</w:t>
            </w:r>
          </w:p>
        </w:tc>
        <w:tc>
          <w:tcPr>
            <w:tcW w:w="528" w:type="pct"/>
            <w:tcMar>
              <w:left w:w="108" w:type="dxa"/>
              <w:right w:w="108" w:type="dxa"/>
            </w:tcMar>
            <w:vAlign w:val="center"/>
          </w:tcPr>
          <w:p w14:paraId="1E3C2A3A"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610.96</w:t>
            </w:r>
          </w:p>
        </w:tc>
        <w:tc>
          <w:tcPr>
            <w:tcW w:w="558" w:type="pct"/>
            <w:tcMar>
              <w:left w:w="108" w:type="dxa"/>
              <w:right w:w="108" w:type="dxa"/>
            </w:tcMar>
            <w:vAlign w:val="center"/>
          </w:tcPr>
          <w:p w14:paraId="052CAE7E"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2.50%</w:t>
            </w:r>
          </w:p>
        </w:tc>
        <w:tc>
          <w:tcPr>
            <w:tcW w:w="587" w:type="pct"/>
            <w:tcMar>
              <w:left w:w="108" w:type="dxa"/>
              <w:right w:w="108" w:type="dxa"/>
            </w:tcMar>
            <w:vAlign w:val="center"/>
          </w:tcPr>
          <w:p w14:paraId="1E2ECCD3"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769.38</w:t>
            </w:r>
          </w:p>
        </w:tc>
        <w:tc>
          <w:tcPr>
            <w:tcW w:w="558" w:type="pct"/>
            <w:tcMar>
              <w:left w:w="108" w:type="dxa"/>
              <w:right w:w="108" w:type="dxa"/>
            </w:tcMar>
            <w:vAlign w:val="center"/>
          </w:tcPr>
          <w:p w14:paraId="04748536"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2.30%</w:t>
            </w:r>
          </w:p>
        </w:tc>
        <w:tc>
          <w:tcPr>
            <w:tcW w:w="587" w:type="pct"/>
            <w:tcMar>
              <w:left w:w="108" w:type="dxa"/>
              <w:right w:w="108" w:type="dxa"/>
            </w:tcMar>
            <w:vAlign w:val="center"/>
          </w:tcPr>
          <w:p w14:paraId="052711D5"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1,203.38</w:t>
            </w:r>
          </w:p>
        </w:tc>
        <w:tc>
          <w:tcPr>
            <w:tcW w:w="558" w:type="pct"/>
            <w:tcMar>
              <w:left w:w="108" w:type="dxa"/>
              <w:right w:w="108" w:type="dxa"/>
            </w:tcMar>
            <w:vAlign w:val="center"/>
          </w:tcPr>
          <w:p w14:paraId="46E3C81C"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4.32%</w:t>
            </w:r>
          </w:p>
        </w:tc>
        <w:tc>
          <w:tcPr>
            <w:tcW w:w="587" w:type="pct"/>
            <w:tcMar>
              <w:left w:w="108" w:type="dxa"/>
              <w:right w:w="108" w:type="dxa"/>
            </w:tcMar>
            <w:vAlign w:val="center"/>
          </w:tcPr>
          <w:p w14:paraId="2B80A8B3"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1,049.88</w:t>
            </w:r>
          </w:p>
        </w:tc>
        <w:tc>
          <w:tcPr>
            <w:tcW w:w="557" w:type="pct"/>
            <w:tcMar>
              <w:left w:w="108" w:type="dxa"/>
              <w:right w:w="108" w:type="dxa"/>
            </w:tcMar>
            <w:vAlign w:val="center"/>
          </w:tcPr>
          <w:p w14:paraId="01D49C4B"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szCs w:val="21"/>
              </w:rPr>
            </w:pPr>
            <w:r>
              <w:rPr>
                <w:rFonts w:ascii="Times New Roman" w:hAnsi="Times New Roman"/>
                <w:color w:val="000000"/>
                <w:sz w:val="21"/>
                <w:szCs w:val="21"/>
              </w:rPr>
              <w:t>4.66%</w:t>
            </w:r>
          </w:p>
        </w:tc>
      </w:tr>
      <w:tr w:rsidR="008D76D6" w14:paraId="333BD52E" w14:textId="77777777">
        <w:trPr>
          <w:trHeight w:val="397"/>
          <w:jc w:val="center"/>
        </w:trPr>
        <w:tc>
          <w:tcPr>
            <w:tcW w:w="480" w:type="pct"/>
            <w:tcMar>
              <w:left w:w="108" w:type="dxa"/>
              <w:right w:w="108" w:type="dxa"/>
            </w:tcMar>
            <w:vAlign w:val="center"/>
          </w:tcPr>
          <w:p w14:paraId="4CC8C90B" w14:textId="77777777" w:rsidR="008D76D6" w:rsidRDefault="008D76D6" w:rsidP="00407955">
            <w:pPr>
              <w:spacing w:beforeLines="0" w:before="0" w:afterLines="0" w:after="0" w:line="240" w:lineRule="auto"/>
              <w:ind w:firstLineChars="0" w:firstLine="0"/>
              <w:jc w:val="center"/>
              <w:rPr>
                <w:rFonts w:ascii="Times New Roman" w:hAnsi="Times New Roman"/>
                <w:b/>
                <w:color w:val="000000"/>
                <w:sz w:val="21"/>
                <w:szCs w:val="21"/>
              </w:rPr>
            </w:pPr>
            <w:r>
              <w:rPr>
                <w:rFonts w:ascii="Times New Roman" w:hAnsi="Times New Roman"/>
                <w:b/>
                <w:color w:val="000000"/>
                <w:sz w:val="21"/>
                <w:szCs w:val="21"/>
              </w:rPr>
              <w:t>合计</w:t>
            </w:r>
          </w:p>
        </w:tc>
        <w:tc>
          <w:tcPr>
            <w:tcW w:w="528" w:type="pct"/>
            <w:tcMar>
              <w:left w:w="108" w:type="dxa"/>
              <w:right w:w="108" w:type="dxa"/>
            </w:tcMar>
            <w:vAlign w:val="center"/>
          </w:tcPr>
          <w:p w14:paraId="4DD5886E" w14:textId="77777777" w:rsidR="008D76D6" w:rsidRDefault="008D76D6" w:rsidP="00407955">
            <w:pPr>
              <w:spacing w:beforeLines="0" w:before="0" w:afterLines="0" w:after="0" w:line="240" w:lineRule="auto"/>
              <w:ind w:firstLineChars="0" w:firstLine="0"/>
              <w:jc w:val="right"/>
              <w:rPr>
                <w:rFonts w:ascii="Times New Roman" w:hAnsi="Times New Roman"/>
                <w:b/>
                <w:color w:val="000000"/>
                <w:sz w:val="21"/>
                <w:szCs w:val="21"/>
              </w:rPr>
            </w:pPr>
            <w:r>
              <w:rPr>
                <w:rFonts w:ascii="Times New Roman" w:hAnsi="Times New Roman"/>
                <w:b/>
                <w:bCs/>
                <w:color w:val="000000"/>
                <w:sz w:val="21"/>
                <w:szCs w:val="21"/>
              </w:rPr>
              <w:t>24,465.46</w:t>
            </w:r>
          </w:p>
        </w:tc>
        <w:tc>
          <w:tcPr>
            <w:tcW w:w="558" w:type="pct"/>
            <w:tcMar>
              <w:left w:w="108" w:type="dxa"/>
              <w:right w:w="108" w:type="dxa"/>
            </w:tcMar>
            <w:vAlign w:val="center"/>
          </w:tcPr>
          <w:p w14:paraId="13DFD136" w14:textId="77777777" w:rsidR="008D76D6" w:rsidRDefault="008D76D6" w:rsidP="00407955">
            <w:pPr>
              <w:spacing w:beforeLines="0" w:before="0" w:afterLines="0" w:after="0" w:line="240" w:lineRule="auto"/>
              <w:ind w:firstLineChars="0" w:firstLine="0"/>
              <w:jc w:val="right"/>
              <w:rPr>
                <w:rFonts w:ascii="Times New Roman" w:hAnsi="Times New Roman"/>
                <w:b/>
                <w:color w:val="000000"/>
                <w:sz w:val="21"/>
                <w:szCs w:val="21"/>
              </w:rPr>
            </w:pPr>
            <w:r>
              <w:rPr>
                <w:rFonts w:ascii="Times New Roman" w:hAnsi="Times New Roman"/>
                <w:b/>
                <w:bCs/>
                <w:color w:val="000000"/>
                <w:sz w:val="21"/>
                <w:szCs w:val="21"/>
              </w:rPr>
              <w:t>100.00%</w:t>
            </w:r>
          </w:p>
        </w:tc>
        <w:tc>
          <w:tcPr>
            <w:tcW w:w="587" w:type="pct"/>
            <w:tcMar>
              <w:left w:w="108" w:type="dxa"/>
              <w:right w:w="108" w:type="dxa"/>
            </w:tcMar>
            <w:vAlign w:val="center"/>
          </w:tcPr>
          <w:p w14:paraId="0C69B1A7" w14:textId="77777777" w:rsidR="008D76D6" w:rsidRDefault="008D76D6" w:rsidP="00407955">
            <w:pPr>
              <w:spacing w:beforeLines="0" w:before="0" w:afterLines="0" w:after="0" w:line="240" w:lineRule="auto"/>
              <w:ind w:firstLineChars="0" w:firstLine="0"/>
              <w:jc w:val="right"/>
              <w:rPr>
                <w:rFonts w:ascii="Times New Roman" w:hAnsi="Times New Roman"/>
                <w:b/>
                <w:color w:val="000000"/>
                <w:sz w:val="21"/>
                <w:szCs w:val="21"/>
              </w:rPr>
            </w:pPr>
            <w:r>
              <w:rPr>
                <w:rFonts w:ascii="Times New Roman" w:hAnsi="Times New Roman"/>
                <w:b/>
                <w:color w:val="000000"/>
                <w:sz w:val="21"/>
                <w:szCs w:val="21"/>
              </w:rPr>
              <w:t>33,476.91</w:t>
            </w:r>
          </w:p>
        </w:tc>
        <w:tc>
          <w:tcPr>
            <w:tcW w:w="558" w:type="pct"/>
            <w:tcMar>
              <w:left w:w="108" w:type="dxa"/>
              <w:right w:w="108" w:type="dxa"/>
            </w:tcMar>
            <w:vAlign w:val="center"/>
          </w:tcPr>
          <w:p w14:paraId="4DD10D83" w14:textId="77777777" w:rsidR="008D76D6" w:rsidRDefault="008D76D6" w:rsidP="00407955">
            <w:pPr>
              <w:spacing w:beforeLines="0" w:before="0" w:afterLines="0" w:after="0" w:line="240" w:lineRule="auto"/>
              <w:ind w:firstLineChars="0" w:firstLine="0"/>
              <w:jc w:val="right"/>
              <w:rPr>
                <w:rFonts w:ascii="Times New Roman" w:hAnsi="Times New Roman"/>
                <w:b/>
                <w:color w:val="000000"/>
                <w:sz w:val="21"/>
                <w:szCs w:val="21"/>
              </w:rPr>
            </w:pPr>
            <w:r>
              <w:rPr>
                <w:rFonts w:ascii="Times New Roman" w:hAnsi="Times New Roman"/>
                <w:b/>
                <w:color w:val="000000"/>
                <w:sz w:val="21"/>
                <w:szCs w:val="21"/>
              </w:rPr>
              <w:t>100.00%</w:t>
            </w:r>
          </w:p>
        </w:tc>
        <w:tc>
          <w:tcPr>
            <w:tcW w:w="587" w:type="pct"/>
            <w:tcMar>
              <w:left w:w="108" w:type="dxa"/>
              <w:right w:w="108" w:type="dxa"/>
            </w:tcMar>
            <w:vAlign w:val="center"/>
          </w:tcPr>
          <w:p w14:paraId="68003D1E" w14:textId="77777777" w:rsidR="008D76D6" w:rsidRDefault="008D76D6" w:rsidP="00407955">
            <w:pPr>
              <w:spacing w:beforeLines="0" w:before="0" w:afterLines="0" w:after="0" w:line="240" w:lineRule="auto"/>
              <w:ind w:firstLineChars="0" w:firstLine="0"/>
              <w:jc w:val="right"/>
              <w:rPr>
                <w:rFonts w:ascii="Times New Roman" w:hAnsi="Times New Roman"/>
                <w:b/>
                <w:color w:val="000000"/>
                <w:sz w:val="21"/>
                <w:szCs w:val="21"/>
              </w:rPr>
            </w:pPr>
            <w:r>
              <w:rPr>
                <w:rFonts w:ascii="Times New Roman" w:hAnsi="Times New Roman"/>
                <w:b/>
                <w:color w:val="000000"/>
                <w:sz w:val="21"/>
                <w:szCs w:val="21"/>
              </w:rPr>
              <w:t>27,867.57</w:t>
            </w:r>
          </w:p>
        </w:tc>
        <w:tc>
          <w:tcPr>
            <w:tcW w:w="558" w:type="pct"/>
            <w:tcMar>
              <w:left w:w="108" w:type="dxa"/>
              <w:right w:w="108" w:type="dxa"/>
            </w:tcMar>
            <w:vAlign w:val="center"/>
          </w:tcPr>
          <w:p w14:paraId="6C35A2A1" w14:textId="77777777" w:rsidR="008D76D6" w:rsidRDefault="008D76D6" w:rsidP="00407955">
            <w:pPr>
              <w:spacing w:beforeLines="0" w:before="0" w:afterLines="0" w:after="0" w:line="240" w:lineRule="auto"/>
              <w:ind w:firstLineChars="0" w:firstLine="0"/>
              <w:jc w:val="right"/>
              <w:rPr>
                <w:rFonts w:ascii="Times New Roman" w:hAnsi="Times New Roman"/>
                <w:b/>
                <w:color w:val="000000"/>
                <w:sz w:val="21"/>
                <w:szCs w:val="21"/>
              </w:rPr>
            </w:pPr>
            <w:r>
              <w:rPr>
                <w:rFonts w:ascii="Times New Roman" w:hAnsi="Times New Roman"/>
                <w:b/>
                <w:color w:val="000000"/>
                <w:sz w:val="21"/>
                <w:szCs w:val="21"/>
              </w:rPr>
              <w:t>100.00%</w:t>
            </w:r>
          </w:p>
        </w:tc>
        <w:tc>
          <w:tcPr>
            <w:tcW w:w="587" w:type="pct"/>
            <w:tcMar>
              <w:left w:w="108" w:type="dxa"/>
              <w:right w:w="108" w:type="dxa"/>
            </w:tcMar>
            <w:vAlign w:val="center"/>
          </w:tcPr>
          <w:p w14:paraId="60ACE88E" w14:textId="77777777" w:rsidR="008D76D6" w:rsidRDefault="008D76D6" w:rsidP="00407955">
            <w:pPr>
              <w:spacing w:beforeLines="0" w:before="0" w:afterLines="0" w:after="0" w:line="240" w:lineRule="auto"/>
              <w:ind w:firstLineChars="0" w:firstLine="0"/>
              <w:jc w:val="right"/>
              <w:rPr>
                <w:rFonts w:ascii="Times New Roman" w:hAnsi="Times New Roman"/>
                <w:b/>
                <w:color w:val="000000"/>
                <w:sz w:val="21"/>
                <w:szCs w:val="21"/>
              </w:rPr>
            </w:pPr>
            <w:r>
              <w:rPr>
                <w:rFonts w:ascii="Times New Roman" w:hAnsi="Times New Roman"/>
                <w:b/>
                <w:color w:val="000000"/>
                <w:sz w:val="21"/>
                <w:szCs w:val="21"/>
              </w:rPr>
              <w:t>22,523.22</w:t>
            </w:r>
          </w:p>
        </w:tc>
        <w:tc>
          <w:tcPr>
            <w:tcW w:w="557" w:type="pct"/>
            <w:tcMar>
              <w:left w:w="108" w:type="dxa"/>
              <w:right w:w="108" w:type="dxa"/>
            </w:tcMar>
            <w:vAlign w:val="center"/>
          </w:tcPr>
          <w:p w14:paraId="64628958" w14:textId="77777777" w:rsidR="008D76D6" w:rsidRDefault="008D76D6" w:rsidP="00407955">
            <w:pPr>
              <w:spacing w:beforeLines="0" w:before="0" w:afterLines="0" w:after="0" w:line="240" w:lineRule="auto"/>
              <w:ind w:firstLineChars="0" w:firstLine="0"/>
              <w:jc w:val="right"/>
              <w:rPr>
                <w:rFonts w:ascii="Times New Roman" w:hAnsi="Times New Roman"/>
                <w:b/>
                <w:color w:val="000000"/>
                <w:sz w:val="21"/>
                <w:szCs w:val="21"/>
              </w:rPr>
            </w:pPr>
            <w:r>
              <w:rPr>
                <w:rFonts w:ascii="Times New Roman" w:hAnsi="Times New Roman"/>
                <w:b/>
                <w:color w:val="000000"/>
                <w:sz w:val="21"/>
                <w:szCs w:val="21"/>
              </w:rPr>
              <w:t>100.00%</w:t>
            </w:r>
          </w:p>
        </w:tc>
      </w:tr>
    </w:tbl>
    <w:p w14:paraId="196E01E2" w14:textId="77777777" w:rsidR="008D76D6" w:rsidRDefault="008D76D6">
      <w:pPr>
        <w:spacing w:before="120" w:after="120"/>
        <w:ind w:firstLine="480"/>
        <w:rPr>
          <w:rFonts w:ascii="Times New Roman" w:hAnsi="Times New Roman"/>
        </w:rPr>
      </w:pPr>
      <w:r>
        <w:rPr>
          <w:rFonts w:ascii="Times New Roman" w:hAnsi="Times New Roman"/>
        </w:rPr>
        <w:t>如上表，报告期内公司主营业务成本的构成要素为原材料、直接人工、制造费用及运费</w:t>
      </w:r>
      <w:r>
        <w:rPr>
          <w:rFonts w:ascii="Times New Roman" w:hAnsi="Times New Roman" w:hint="eastAsia"/>
        </w:rPr>
        <w:t>、</w:t>
      </w:r>
      <w:r>
        <w:rPr>
          <w:rFonts w:ascii="Times New Roman" w:hAnsi="Times New Roman"/>
        </w:rPr>
        <w:t>港杂费构成，其中原材料占比最大。</w:t>
      </w:r>
    </w:p>
    <w:p w14:paraId="2C4AE91C" w14:textId="77777777" w:rsidR="008D76D6" w:rsidRDefault="008D76D6">
      <w:pPr>
        <w:spacing w:before="120" w:after="120"/>
        <w:ind w:firstLine="480"/>
        <w:rPr>
          <w:rFonts w:ascii="Times New Roman" w:hAnsi="Times New Roman"/>
        </w:rPr>
      </w:pPr>
      <w:r>
        <w:rPr>
          <w:rFonts w:ascii="Times New Roman" w:hAnsi="Times New Roman"/>
        </w:rPr>
        <w:t>发行人生产经营所需采购的原材料的规格型号较多，各供应商所能提供的规格型号种类有限，发行人需要较多的供应商以采购不同的规格型号的原材料，因此发行人供应商较为分散。同时，为保证物料供应的稳定性，发行人的关键规格型号的物料均保持同时有两家以上的供应商，因此发行人的供应商存在较大变动具有合理性</w:t>
      </w:r>
      <w:r w:rsidR="00F248C2">
        <w:rPr>
          <w:rFonts w:ascii="Times New Roman" w:hAnsi="Times New Roman" w:hint="eastAsia"/>
        </w:rPr>
        <w:t>。公司同行业可比公司如冠龙节能等，亦存在主要供应商变化情况，</w:t>
      </w:r>
      <w:r>
        <w:rPr>
          <w:rFonts w:ascii="Times New Roman" w:hAnsi="Times New Roman"/>
        </w:rPr>
        <w:t>属于行业普遍情况。</w:t>
      </w:r>
    </w:p>
    <w:p w14:paraId="50DD9EE1" w14:textId="77777777" w:rsidR="008D76D6" w:rsidRDefault="008D76D6">
      <w:pPr>
        <w:spacing w:before="120" w:after="120"/>
        <w:ind w:firstLine="480"/>
        <w:rPr>
          <w:rFonts w:ascii="Times New Roman" w:hAnsi="Times New Roman"/>
        </w:rPr>
      </w:pPr>
      <w:r>
        <w:rPr>
          <w:rFonts w:ascii="Times New Roman" w:hAnsi="Times New Roman"/>
        </w:rPr>
        <w:t>2</w:t>
      </w:r>
      <w:r>
        <w:rPr>
          <w:rFonts w:ascii="Times New Roman" w:hAnsi="Times New Roman" w:hint="eastAsia"/>
        </w:rPr>
        <w:t>、</w:t>
      </w:r>
      <w:r>
        <w:rPr>
          <w:rFonts w:ascii="Times New Roman" w:hAnsi="Times New Roman"/>
        </w:rPr>
        <w:t>客户与供应商存在重叠的原因及合理性，是否符合行业惯例</w:t>
      </w:r>
    </w:p>
    <w:p w14:paraId="6124F10F" w14:textId="77777777" w:rsidR="008D76D6" w:rsidRDefault="008D76D6">
      <w:pPr>
        <w:spacing w:before="120" w:after="120"/>
        <w:ind w:firstLine="480"/>
        <w:rPr>
          <w:rFonts w:ascii="Times New Roman" w:hAnsi="Times New Roman"/>
        </w:rPr>
      </w:pPr>
      <w:r>
        <w:rPr>
          <w:rFonts w:ascii="Times New Roman" w:hAnsi="Times New Roman"/>
        </w:rPr>
        <w:t>报告期各期，公司因不同的业务机会，对莱州市沙河镇邹鑫机械加工厂和上海凯泉泵业（集团）有限公司同时存在采购和销售的情况，具体如下：</w:t>
      </w:r>
    </w:p>
    <w:p w14:paraId="6140A5B0" w14:textId="77777777" w:rsidR="008D76D6" w:rsidRDefault="008D76D6">
      <w:pPr>
        <w:pStyle w:val="affff8"/>
        <w:ind w:firstLine="482"/>
      </w:pPr>
      <w:r>
        <w:t>单位：万元</w:t>
      </w:r>
    </w:p>
    <w:tbl>
      <w:tblPr>
        <w:tblW w:w="5000" w:type="pct"/>
        <w:tblInd w:w="123" w:type="dxa"/>
        <w:tblBorders>
          <w:top w:val="single" w:sz="6" w:space="0" w:color="010000"/>
          <w:left w:val="single" w:sz="6" w:space="0" w:color="010000"/>
          <w:bottom w:val="single" w:sz="6" w:space="0" w:color="010000"/>
          <w:right w:val="single" w:sz="6" w:space="0" w:color="010000"/>
          <w:insideH w:val="single" w:sz="6" w:space="0" w:color="010000"/>
          <w:insideV w:val="single" w:sz="6" w:space="0" w:color="010000"/>
        </w:tblBorders>
        <w:tblLook w:val="0000" w:firstRow="0" w:lastRow="0" w:firstColumn="0" w:lastColumn="0" w:noHBand="0" w:noVBand="0"/>
      </w:tblPr>
      <w:tblGrid>
        <w:gridCol w:w="4293"/>
        <w:gridCol w:w="1629"/>
        <w:gridCol w:w="1544"/>
        <w:gridCol w:w="1544"/>
      </w:tblGrid>
      <w:tr w:rsidR="008D76D6" w14:paraId="6D6E2842" w14:textId="77777777">
        <w:trPr>
          <w:cantSplit/>
          <w:trHeight w:val="397"/>
          <w:tblHeader/>
        </w:trPr>
        <w:tc>
          <w:tcPr>
            <w:tcW w:w="2382" w:type="pct"/>
            <w:shd w:val="clear" w:color="auto" w:fill="D9D9D9"/>
            <w:vAlign w:val="center"/>
          </w:tcPr>
          <w:p w14:paraId="08213798" w14:textId="77777777" w:rsidR="008D76D6" w:rsidRDefault="008D76D6" w:rsidP="0040795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重合</w:t>
            </w:r>
            <w:r>
              <w:rPr>
                <w:rFonts w:ascii="Times New Roman" w:hAnsi="Times New Roman" w:hint="eastAsia"/>
                <w:b/>
                <w:color w:val="000000"/>
                <w:sz w:val="21"/>
              </w:rPr>
              <w:t>供应商及客户</w:t>
            </w:r>
            <w:r>
              <w:rPr>
                <w:rFonts w:ascii="Times New Roman" w:hAnsi="Times New Roman"/>
                <w:b/>
                <w:color w:val="000000"/>
                <w:sz w:val="21"/>
              </w:rPr>
              <w:t>名称</w:t>
            </w:r>
          </w:p>
        </w:tc>
        <w:tc>
          <w:tcPr>
            <w:tcW w:w="904" w:type="pct"/>
            <w:shd w:val="clear" w:color="auto" w:fill="D9D9D9"/>
            <w:vAlign w:val="center"/>
          </w:tcPr>
          <w:p w14:paraId="7D5E6FD9" w14:textId="77777777" w:rsidR="008D76D6" w:rsidRDefault="008D76D6" w:rsidP="0040795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采购</w:t>
            </w:r>
            <w:r>
              <w:rPr>
                <w:rFonts w:ascii="Times New Roman" w:hAnsi="Times New Roman"/>
                <w:b/>
                <w:color w:val="000000"/>
                <w:sz w:val="21"/>
              </w:rPr>
              <w:t>/</w:t>
            </w:r>
            <w:r>
              <w:rPr>
                <w:rFonts w:ascii="Times New Roman" w:hAnsi="Times New Roman"/>
                <w:b/>
                <w:color w:val="000000"/>
                <w:sz w:val="21"/>
              </w:rPr>
              <w:t>销售</w:t>
            </w:r>
          </w:p>
        </w:tc>
        <w:tc>
          <w:tcPr>
            <w:tcW w:w="857" w:type="pct"/>
            <w:shd w:val="clear" w:color="auto" w:fill="D9D9D9"/>
            <w:vAlign w:val="center"/>
          </w:tcPr>
          <w:p w14:paraId="2AF5C96D" w14:textId="77777777" w:rsidR="008D76D6" w:rsidRDefault="008D76D6" w:rsidP="0040795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交易金额</w:t>
            </w:r>
          </w:p>
        </w:tc>
        <w:tc>
          <w:tcPr>
            <w:tcW w:w="857" w:type="pct"/>
            <w:shd w:val="clear" w:color="auto" w:fill="D9D9D9"/>
            <w:vAlign w:val="center"/>
          </w:tcPr>
          <w:p w14:paraId="323D1C29" w14:textId="77777777" w:rsidR="008D76D6" w:rsidRDefault="008D76D6" w:rsidP="00407955">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交易内容</w:t>
            </w:r>
          </w:p>
        </w:tc>
      </w:tr>
      <w:tr w:rsidR="008D76D6" w14:paraId="09A14558" w14:textId="77777777">
        <w:trPr>
          <w:cantSplit/>
          <w:trHeight w:val="397"/>
        </w:trPr>
        <w:tc>
          <w:tcPr>
            <w:tcW w:w="2382" w:type="pct"/>
            <w:vMerge w:val="restart"/>
            <w:vAlign w:val="center"/>
          </w:tcPr>
          <w:p w14:paraId="360B643D"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莱州市沙河镇邹鑫机械加工厂</w:t>
            </w:r>
          </w:p>
        </w:tc>
        <w:tc>
          <w:tcPr>
            <w:tcW w:w="904" w:type="pct"/>
            <w:vAlign w:val="center"/>
          </w:tcPr>
          <w:p w14:paraId="6E11402A"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采购</w:t>
            </w:r>
          </w:p>
        </w:tc>
        <w:tc>
          <w:tcPr>
            <w:tcW w:w="857" w:type="pct"/>
            <w:vAlign w:val="center"/>
          </w:tcPr>
          <w:p w14:paraId="26D77A74"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170.00</w:t>
            </w:r>
          </w:p>
        </w:tc>
        <w:tc>
          <w:tcPr>
            <w:tcW w:w="857" w:type="pct"/>
            <w:vAlign w:val="center"/>
          </w:tcPr>
          <w:p w14:paraId="33817CE6"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铸铁件</w:t>
            </w:r>
          </w:p>
        </w:tc>
      </w:tr>
      <w:tr w:rsidR="008D76D6" w14:paraId="1FC1B28B" w14:textId="77777777">
        <w:trPr>
          <w:cantSplit/>
          <w:trHeight w:val="397"/>
        </w:trPr>
        <w:tc>
          <w:tcPr>
            <w:tcW w:w="2382" w:type="pct"/>
            <w:vMerge/>
            <w:vAlign w:val="center"/>
          </w:tcPr>
          <w:p w14:paraId="0AEE06E1"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rPr>
            </w:pPr>
          </w:p>
        </w:tc>
        <w:tc>
          <w:tcPr>
            <w:tcW w:w="904" w:type="pct"/>
            <w:vAlign w:val="center"/>
          </w:tcPr>
          <w:p w14:paraId="688AAB45"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销售</w:t>
            </w:r>
          </w:p>
        </w:tc>
        <w:tc>
          <w:tcPr>
            <w:tcW w:w="857" w:type="pct"/>
            <w:vAlign w:val="center"/>
          </w:tcPr>
          <w:p w14:paraId="2AD9657D"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136.00</w:t>
            </w:r>
          </w:p>
        </w:tc>
        <w:tc>
          <w:tcPr>
            <w:tcW w:w="857" w:type="pct"/>
            <w:vAlign w:val="center"/>
          </w:tcPr>
          <w:p w14:paraId="711723B4"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阀门零件</w:t>
            </w:r>
          </w:p>
        </w:tc>
      </w:tr>
      <w:tr w:rsidR="008D76D6" w14:paraId="01AFB4AA" w14:textId="77777777">
        <w:trPr>
          <w:cantSplit/>
          <w:trHeight w:val="397"/>
        </w:trPr>
        <w:tc>
          <w:tcPr>
            <w:tcW w:w="2382" w:type="pct"/>
            <w:vMerge w:val="restart"/>
            <w:vAlign w:val="center"/>
          </w:tcPr>
          <w:p w14:paraId="64EB459A"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上海凯泉泵业（集团）有限公司</w:t>
            </w:r>
          </w:p>
        </w:tc>
        <w:tc>
          <w:tcPr>
            <w:tcW w:w="904" w:type="pct"/>
            <w:vAlign w:val="center"/>
          </w:tcPr>
          <w:p w14:paraId="30DA0D3F"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采购</w:t>
            </w:r>
          </w:p>
        </w:tc>
        <w:tc>
          <w:tcPr>
            <w:tcW w:w="857" w:type="pct"/>
            <w:vAlign w:val="center"/>
          </w:tcPr>
          <w:p w14:paraId="383AFDBB"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7.00</w:t>
            </w:r>
          </w:p>
        </w:tc>
        <w:tc>
          <w:tcPr>
            <w:tcW w:w="857" w:type="pct"/>
            <w:vAlign w:val="center"/>
          </w:tcPr>
          <w:p w14:paraId="4A24D297"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设备</w:t>
            </w:r>
          </w:p>
        </w:tc>
      </w:tr>
      <w:tr w:rsidR="008D76D6" w14:paraId="1D7BB41F" w14:textId="77777777">
        <w:trPr>
          <w:cantSplit/>
          <w:trHeight w:val="397"/>
        </w:trPr>
        <w:tc>
          <w:tcPr>
            <w:tcW w:w="2382" w:type="pct"/>
            <w:vMerge/>
            <w:vAlign w:val="center"/>
          </w:tcPr>
          <w:p w14:paraId="4CB28E03" w14:textId="77777777" w:rsidR="008D76D6" w:rsidRDefault="008D76D6" w:rsidP="00407955">
            <w:pPr>
              <w:spacing w:beforeLines="0" w:before="0" w:afterLines="0" w:after="0" w:line="240" w:lineRule="auto"/>
              <w:ind w:firstLineChars="0" w:firstLine="0"/>
              <w:rPr>
                <w:rFonts w:ascii="Times New Roman" w:hAnsi="Times New Roman"/>
                <w:color w:val="000000"/>
                <w:sz w:val="21"/>
              </w:rPr>
            </w:pPr>
          </w:p>
        </w:tc>
        <w:tc>
          <w:tcPr>
            <w:tcW w:w="904" w:type="pct"/>
            <w:vAlign w:val="center"/>
          </w:tcPr>
          <w:p w14:paraId="78FEE207"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销售</w:t>
            </w:r>
          </w:p>
        </w:tc>
        <w:tc>
          <w:tcPr>
            <w:tcW w:w="857" w:type="pct"/>
            <w:vAlign w:val="center"/>
          </w:tcPr>
          <w:p w14:paraId="65322EB0" w14:textId="77777777" w:rsidR="008D76D6" w:rsidRDefault="008D76D6" w:rsidP="00407955">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163.00</w:t>
            </w:r>
          </w:p>
        </w:tc>
        <w:tc>
          <w:tcPr>
            <w:tcW w:w="857" w:type="pct"/>
            <w:vAlign w:val="center"/>
          </w:tcPr>
          <w:p w14:paraId="5135F16D" w14:textId="77777777" w:rsidR="008D76D6" w:rsidRDefault="008D76D6" w:rsidP="00407955">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阀门类产品</w:t>
            </w:r>
          </w:p>
        </w:tc>
      </w:tr>
    </w:tbl>
    <w:p w14:paraId="2DB9D4B7" w14:textId="77777777" w:rsidR="008D76D6" w:rsidRDefault="008D76D6">
      <w:pPr>
        <w:spacing w:before="120" w:after="120"/>
        <w:ind w:firstLine="480"/>
        <w:rPr>
          <w:rFonts w:ascii="Times New Roman" w:hAnsi="Times New Roman"/>
        </w:rPr>
      </w:pPr>
      <w:r>
        <w:rPr>
          <w:rFonts w:ascii="Times New Roman" w:hAnsi="Times New Roman"/>
        </w:rPr>
        <w:t>发行人于</w:t>
      </w:r>
      <w:r>
        <w:rPr>
          <w:rFonts w:ascii="Times New Roman" w:hAnsi="Times New Roman"/>
        </w:rPr>
        <w:t>2022</w:t>
      </w:r>
      <w:r>
        <w:rPr>
          <w:rFonts w:ascii="Times New Roman" w:hAnsi="Times New Roman"/>
        </w:rPr>
        <w:t>年向莱州市沙河镇邹鑫机械加工厂采购铸铁件</w:t>
      </w:r>
      <w:r>
        <w:rPr>
          <w:rFonts w:ascii="Times New Roman" w:hAnsi="Times New Roman"/>
        </w:rPr>
        <w:t>170</w:t>
      </w:r>
      <w:r>
        <w:rPr>
          <w:rFonts w:ascii="Times New Roman" w:hAnsi="Times New Roman"/>
        </w:rPr>
        <w:t>万元，由于双方地理位置较近，且对方从事生产业务需要阀门零件产品，同年发行人对其销售阀门零件</w:t>
      </w:r>
      <w:r>
        <w:rPr>
          <w:rFonts w:ascii="Times New Roman" w:hAnsi="Times New Roman"/>
        </w:rPr>
        <w:t>136</w:t>
      </w:r>
      <w:r>
        <w:rPr>
          <w:rFonts w:ascii="Times New Roman" w:hAnsi="Times New Roman"/>
        </w:rPr>
        <w:t>万元。</w:t>
      </w:r>
    </w:p>
    <w:p w14:paraId="4D2246F2" w14:textId="77777777" w:rsidR="008D76D6" w:rsidRDefault="008D76D6">
      <w:pPr>
        <w:spacing w:before="120" w:after="120"/>
        <w:ind w:firstLine="480"/>
        <w:rPr>
          <w:rFonts w:ascii="Times New Roman" w:hAnsi="Times New Roman"/>
        </w:rPr>
      </w:pPr>
      <w:r>
        <w:rPr>
          <w:rFonts w:ascii="Times New Roman" w:hAnsi="Times New Roman"/>
        </w:rPr>
        <w:t>发行人于</w:t>
      </w:r>
      <w:r>
        <w:rPr>
          <w:rFonts w:ascii="Times New Roman" w:hAnsi="Times New Roman"/>
        </w:rPr>
        <w:t>2020</w:t>
      </w:r>
      <w:r>
        <w:rPr>
          <w:rFonts w:ascii="Times New Roman" w:hAnsi="Times New Roman"/>
        </w:rPr>
        <w:t>年向上海凯泉泵业（集团）有限公司购买设备</w:t>
      </w:r>
      <w:r>
        <w:rPr>
          <w:rFonts w:ascii="Times New Roman" w:hAnsi="Times New Roman"/>
        </w:rPr>
        <w:t>7</w:t>
      </w:r>
      <w:r>
        <w:rPr>
          <w:rFonts w:ascii="Times New Roman" w:hAnsi="Times New Roman"/>
        </w:rPr>
        <w:t>万元，由于对方业务需要，发行人于</w:t>
      </w:r>
      <w:r>
        <w:rPr>
          <w:rFonts w:ascii="Times New Roman" w:hAnsi="Times New Roman"/>
        </w:rPr>
        <w:t>2021</w:t>
      </w:r>
      <w:r>
        <w:rPr>
          <w:rFonts w:ascii="Times New Roman" w:hAnsi="Times New Roman"/>
        </w:rPr>
        <w:t>年向其销售闸阀及其他阀门</w:t>
      </w:r>
      <w:r>
        <w:rPr>
          <w:rFonts w:ascii="Times New Roman" w:hAnsi="Times New Roman"/>
        </w:rPr>
        <w:t>163</w:t>
      </w:r>
      <w:r>
        <w:rPr>
          <w:rFonts w:ascii="Times New Roman" w:hAnsi="Times New Roman"/>
        </w:rPr>
        <w:t>万元。</w:t>
      </w:r>
    </w:p>
    <w:p w14:paraId="3708A348" w14:textId="77777777" w:rsidR="008D76D6" w:rsidRDefault="008D76D6">
      <w:pPr>
        <w:spacing w:before="120" w:after="120"/>
        <w:ind w:firstLine="480"/>
        <w:rPr>
          <w:rFonts w:ascii="Times New Roman" w:hAnsi="Times New Roman"/>
        </w:rPr>
      </w:pPr>
      <w:r>
        <w:rPr>
          <w:rFonts w:ascii="Times New Roman" w:hAnsi="Times New Roman"/>
        </w:rPr>
        <w:t>报告期内，客户与供应商重叠的主体或公司均具备相应生产</w:t>
      </w:r>
      <w:r w:rsidR="004616F5">
        <w:rPr>
          <w:rFonts w:ascii="Times New Roman" w:hAnsi="Times New Roman" w:hint="eastAsia"/>
        </w:rPr>
        <w:t>能力</w:t>
      </w:r>
      <w:r>
        <w:rPr>
          <w:rFonts w:ascii="Times New Roman" w:hAnsi="Times New Roman"/>
        </w:rPr>
        <w:t>，发行人向客户与供应商重叠的主体或公司销售商品及采购商品均为独立的购销业务，是基于地理位置接近、业务和采购便利等特殊背景下的暂时性行为。公司不存在向同一主体既有销售又有采购的大额交易行为，且上述交易均有合理背景，定价公允。综上，发行人存在供应商客户重叠，属于正常情况，</w:t>
      </w:r>
      <w:r w:rsidR="00E2313A">
        <w:rPr>
          <w:rFonts w:ascii="Times New Roman" w:hAnsi="Times New Roman" w:hint="eastAsia"/>
        </w:rPr>
        <w:t>公司</w:t>
      </w:r>
      <w:r w:rsidR="00E2313A">
        <w:rPr>
          <w:rFonts w:hint="eastAsia"/>
        </w:rPr>
        <w:t>同行业可比公司如冠龙节能等，亦存在</w:t>
      </w:r>
      <w:r w:rsidR="00E2313A">
        <w:t>供应商客户重叠</w:t>
      </w:r>
      <w:r w:rsidR="00E2313A">
        <w:rPr>
          <w:rFonts w:hint="eastAsia"/>
        </w:rPr>
        <w:t>情况，</w:t>
      </w:r>
      <w:bookmarkStart w:id="13" w:name="_Hlk154740194"/>
      <w:r w:rsidR="00E2313A">
        <w:rPr>
          <w:rFonts w:hint="eastAsia"/>
        </w:rPr>
        <w:t>发行人存在少量供应商与客户重合情况</w:t>
      </w:r>
      <w:bookmarkEnd w:id="13"/>
      <w:r>
        <w:rPr>
          <w:rFonts w:ascii="Times New Roman" w:hAnsi="Times New Roman"/>
        </w:rPr>
        <w:t>符合行业惯例。</w:t>
      </w:r>
    </w:p>
    <w:p w14:paraId="616CD42D" w14:textId="77777777" w:rsidR="008D76D6" w:rsidRDefault="008D76D6" w:rsidP="00AC74B8">
      <w:pPr>
        <w:pStyle w:val="004"/>
        <w:spacing w:before="120" w:after="120"/>
        <w:ind w:firstLine="482"/>
      </w:pPr>
      <w:r>
        <w:rPr>
          <w:rFonts w:hint="eastAsia"/>
        </w:rPr>
        <w:t>（三）说明发行人及发行人关联方、客户、供应商之间是否存在关联关系或其他密切关系，是否存在人员、业务或资金往来</w:t>
      </w:r>
    </w:p>
    <w:p w14:paraId="2714A614" w14:textId="77777777" w:rsidR="008D76D6" w:rsidRDefault="008D76D6">
      <w:pPr>
        <w:spacing w:before="120" w:after="120"/>
        <w:ind w:firstLine="480"/>
      </w:pPr>
      <w:r>
        <w:rPr>
          <w:rFonts w:hint="eastAsia"/>
        </w:rPr>
        <w:t>报告期各期，公司未发生向关联方销售或采购商品的情况。</w:t>
      </w:r>
    </w:p>
    <w:p w14:paraId="5E341E09" w14:textId="77777777" w:rsidR="008D76D6" w:rsidRDefault="008D76D6">
      <w:pPr>
        <w:spacing w:before="120" w:after="120"/>
        <w:ind w:firstLine="480"/>
      </w:pPr>
      <w:r>
        <w:rPr>
          <w:rFonts w:hint="eastAsia"/>
        </w:rPr>
        <w:t>经本所律师核查及发行人确认，发行人及</w:t>
      </w:r>
      <w:r w:rsidR="00B72EA6">
        <w:rPr>
          <w:rFonts w:hint="eastAsia"/>
        </w:rPr>
        <w:t>实际控制人与</w:t>
      </w:r>
      <w:r>
        <w:rPr>
          <w:rFonts w:hint="eastAsia"/>
        </w:rPr>
        <w:t>客户、供应商之间不存在关联关系或其他密切关系，亦不存在</w:t>
      </w:r>
      <w:r w:rsidR="00EB1DF1">
        <w:rPr>
          <w:rFonts w:hint="eastAsia"/>
        </w:rPr>
        <w:t>异常的</w:t>
      </w:r>
      <w:r>
        <w:rPr>
          <w:rFonts w:hint="eastAsia"/>
        </w:rPr>
        <w:t>人员、业务和资金往来或其他利益安排。</w:t>
      </w:r>
    </w:p>
    <w:p w14:paraId="10713822" w14:textId="77777777" w:rsidR="008D76D6" w:rsidRPr="00B434D2" w:rsidRDefault="008D76D6" w:rsidP="008C4EDC">
      <w:pPr>
        <w:pStyle w:val="003"/>
        <w:keepNext w:val="0"/>
        <w:keepLines w:val="0"/>
        <w:widowControl w:val="0"/>
        <w:spacing w:before="120" w:after="120"/>
        <w:ind w:firstLine="482"/>
      </w:pPr>
      <w:r w:rsidRPr="00B434D2">
        <w:rPr>
          <w:rFonts w:hint="eastAsia"/>
        </w:rPr>
        <w:t>四、说明汽车配件毛利率持续为负的原因</w:t>
      </w:r>
      <w:r w:rsidRPr="00B434D2">
        <w:t>及合理性，客户合作是否可持续</w:t>
      </w:r>
      <w:r w:rsidRPr="00B434D2">
        <w:rPr>
          <w:rFonts w:hint="eastAsia"/>
        </w:rPr>
        <w:t>，相关资产是否存在减值迹象，相关业务是否存在经营风险。</w:t>
      </w:r>
    </w:p>
    <w:p w14:paraId="6283234D" w14:textId="77777777" w:rsidR="008D76D6" w:rsidRDefault="008D76D6" w:rsidP="00B434D2">
      <w:pPr>
        <w:pStyle w:val="004"/>
        <w:spacing w:before="120" w:after="120"/>
        <w:ind w:firstLine="482"/>
      </w:pPr>
      <w:r>
        <w:rPr>
          <w:rFonts w:hint="eastAsia"/>
        </w:rPr>
        <w:t>（一）</w:t>
      </w:r>
      <w:r>
        <w:t>汽车配件毛利率持续为负的原因及合理性</w:t>
      </w:r>
    </w:p>
    <w:p w14:paraId="5BEE2E97" w14:textId="77777777" w:rsidR="008D76D6" w:rsidRDefault="008D76D6">
      <w:pPr>
        <w:spacing w:before="120" w:after="120"/>
        <w:ind w:firstLine="480"/>
      </w:pPr>
      <w:r>
        <w:t>报告期各期，发行人汽车配件收入及毛利率情况如下：</w:t>
      </w:r>
    </w:p>
    <w:tbl>
      <w:tblPr>
        <w:tblW w:w="5000" w:type="pct"/>
        <w:tblInd w:w="0" w:type="dxa"/>
        <w:tblBorders>
          <w:top w:val="single" w:sz="6" w:space="0" w:color="010000"/>
          <w:left w:val="single" w:sz="6" w:space="0" w:color="010000"/>
          <w:bottom w:val="single" w:sz="6" w:space="0" w:color="010000"/>
          <w:right w:val="single" w:sz="6" w:space="0" w:color="010000"/>
          <w:insideH w:val="single" w:sz="6" w:space="0" w:color="010000"/>
          <w:insideV w:val="single" w:sz="6" w:space="0" w:color="010000"/>
        </w:tblBorders>
        <w:tblLook w:val="0000" w:firstRow="0" w:lastRow="0" w:firstColumn="0" w:lastColumn="0" w:noHBand="0" w:noVBand="0"/>
      </w:tblPr>
      <w:tblGrid>
        <w:gridCol w:w="1476"/>
        <w:gridCol w:w="2574"/>
        <w:gridCol w:w="1653"/>
        <w:gridCol w:w="1653"/>
        <w:gridCol w:w="1654"/>
      </w:tblGrid>
      <w:tr w:rsidR="008D76D6" w14:paraId="3752CF56" w14:textId="77777777">
        <w:trPr>
          <w:cantSplit/>
          <w:trHeight w:val="397"/>
          <w:tblHeader/>
        </w:trPr>
        <w:tc>
          <w:tcPr>
            <w:tcW w:w="817" w:type="pct"/>
            <w:shd w:val="clear" w:color="auto" w:fill="D9D9D9"/>
            <w:noWrap/>
            <w:vAlign w:val="center"/>
          </w:tcPr>
          <w:p w14:paraId="5B7E4D17" w14:textId="77777777" w:rsidR="008D76D6" w:rsidRDefault="008D76D6" w:rsidP="004A570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项目</w:t>
            </w:r>
          </w:p>
        </w:tc>
        <w:tc>
          <w:tcPr>
            <w:tcW w:w="1429" w:type="pct"/>
            <w:shd w:val="clear" w:color="auto" w:fill="D9D9D9"/>
            <w:noWrap/>
            <w:vAlign w:val="center"/>
          </w:tcPr>
          <w:p w14:paraId="17605D53" w14:textId="77777777" w:rsidR="008D76D6" w:rsidRDefault="008D76D6" w:rsidP="004A570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2023</w:t>
            </w:r>
            <w:r>
              <w:rPr>
                <w:rFonts w:ascii="Times New Roman" w:hAnsi="Times New Roman"/>
                <w:b/>
                <w:color w:val="000000"/>
                <w:sz w:val="21"/>
              </w:rPr>
              <w:t>年</w:t>
            </w:r>
            <w:r>
              <w:rPr>
                <w:rFonts w:ascii="Times New Roman" w:hAnsi="Times New Roman"/>
                <w:b/>
                <w:color w:val="000000"/>
                <w:sz w:val="21"/>
              </w:rPr>
              <w:t>1-9</w:t>
            </w:r>
            <w:r>
              <w:rPr>
                <w:rFonts w:ascii="Times New Roman" w:hAnsi="Times New Roman"/>
                <w:b/>
                <w:color w:val="000000"/>
                <w:sz w:val="21"/>
              </w:rPr>
              <w:t>月</w:t>
            </w:r>
          </w:p>
        </w:tc>
        <w:tc>
          <w:tcPr>
            <w:tcW w:w="918" w:type="pct"/>
            <w:shd w:val="clear" w:color="auto" w:fill="D9D9D9"/>
            <w:noWrap/>
            <w:vAlign w:val="center"/>
          </w:tcPr>
          <w:p w14:paraId="66E8F731" w14:textId="77777777" w:rsidR="008D76D6" w:rsidRDefault="008D76D6" w:rsidP="004A570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2022</w:t>
            </w:r>
            <w:r>
              <w:rPr>
                <w:rFonts w:ascii="Times New Roman" w:hAnsi="Times New Roman"/>
                <w:b/>
                <w:color w:val="000000"/>
                <w:sz w:val="21"/>
              </w:rPr>
              <w:t>年</w:t>
            </w:r>
          </w:p>
        </w:tc>
        <w:tc>
          <w:tcPr>
            <w:tcW w:w="918" w:type="pct"/>
            <w:shd w:val="clear" w:color="auto" w:fill="D9D9D9"/>
            <w:noWrap/>
            <w:vAlign w:val="center"/>
          </w:tcPr>
          <w:p w14:paraId="125FFBEE" w14:textId="77777777" w:rsidR="008D76D6" w:rsidRDefault="008D76D6" w:rsidP="004A570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2021</w:t>
            </w:r>
            <w:r>
              <w:rPr>
                <w:rFonts w:ascii="Times New Roman" w:hAnsi="Times New Roman"/>
                <w:b/>
                <w:color w:val="000000"/>
                <w:sz w:val="21"/>
              </w:rPr>
              <w:t>年</w:t>
            </w:r>
          </w:p>
        </w:tc>
        <w:tc>
          <w:tcPr>
            <w:tcW w:w="918" w:type="pct"/>
            <w:shd w:val="clear" w:color="auto" w:fill="D9D9D9"/>
            <w:noWrap/>
            <w:vAlign w:val="center"/>
          </w:tcPr>
          <w:p w14:paraId="075086DF" w14:textId="77777777" w:rsidR="008D76D6" w:rsidRDefault="008D76D6" w:rsidP="004A570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2020</w:t>
            </w:r>
            <w:r>
              <w:rPr>
                <w:rFonts w:ascii="Times New Roman" w:hAnsi="Times New Roman"/>
                <w:b/>
                <w:color w:val="000000"/>
                <w:sz w:val="21"/>
              </w:rPr>
              <w:t>年</w:t>
            </w:r>
          </w:p>
        </w:tc>
      </w:tr>
      <w:tr w:rsidR="008D76D6" w14:paraId="7A662643" w14:textId="77777777">
        <w:trPr>
          <w:cantSplit/>
          <w:trHeight w:val="397"/>
        </w:trPr>
        <w:tc>
          <w:tcPr>
            <w:tcW w:w="817" w:type="pct"/>
            <w:noWrap/>
            <w:vAlign w:val="center"/>
          </w:tcPr>
          <w:p w14:paraId="7EE8E42A" w14:textId="77777777" w:rsidR="008D76D6" w:rsidRDefault="008D76D6" w:rsidP="004A570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收入（万元）</w:t>
            </w:r>
          </w:p>
        </w:tc>
        <w:tc>
          <w:tcPr>
            <w:tcW w:w="1429" w:type="pct"/>
            <w:noWrap/>
            <w:vAlign w:val="center"/>
          </w:tcPr>
          <w:p w14:paraId="47861BDD"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1,397.47</w:t>
            </w:r>
          </w:p>
        </w:tc>
        <w:tc>
          <w:tcPr>
            <w:tcW w:w="918" w:type="pct"/>
            <w:noWrap/>
            <w:vAlign w:val="center"/>
          </w:tcPr>
          <w:p w14:paraId="7EE7C9D1"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1,217.18</w:t>
            </w:r>
          </w:p>
        </w:tc>
        <w:tc>
          <w:tcPr>
            <w:tcW w:w="918" w:type="pct"/>
            <w:noWrap/>
            <w:vAlign w:val="center"/>
          </w:tcPr>
          <w:p w14:paraId="1D3663A5"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3,262.44</w:t>
            </w:r>
          </w:p>
        </w:tc>
        <w:tc>
          <w:tcPr>
            <w:tcW w:w="918" w:type="pct"/>
            <w:noWrap/>
            <w:vAlign w:val="center"/>
          </w:tcPr>
          <w:p w14:paraId="4A996936"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1,909.76</w:t>
            </w:r>
          </w:p>
        </w:tc>
      </w:tr>
      <w:tr w:rsidR="008D76D6" w14:paraId="718E81A1" w14:textId="77777777">
        <w:trPr>
          <w:cantSplit/>
          <w:trHeight w:val="397"/>
        </w:trPr>
        <w:tc>
          <w:tcPr>
            <w:tcW w:w="817" w:type="pct"/>
            <w:noWrap/>
            <w:vAlign w:val="center"/>
          </w:tcPr>
          <w:p w14:paraId="3BD6DCE3" w14:textId="77777777" w:rsidR="008D76D6" w:rsidRDefault="008D76D6" w:rsidP="004A570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成本（万元）</w:t>
            </w:r>
          </w:p>
        </w:tc>
        <w:tc>
          <w:tcPr>
            <w:tcW w:w="1429" w:type="pct"/>
            <w:noWrap/>
            <w:vAlign w:val="center"/>
          </w:tcPr>
          <w:p w14:paraId="3CE4D6BE"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1,775.03</w:t>
            </w:r>
          </w:p>
        </w:tc>
        <w:tc>
          <w:tcPr>
            <w:tcW w:w="918" w:type="pct"/>
            <w:noWrap/>
            <w:vAlign w:val="center"/>
          </w:tcPr>
          <w:p w14:paraId="320F0E8A"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1,438.56</w:t>
            </w:r>
          </w:p>
        </w:tc>
        <w:tc>
          <w:tcPr>
            <w:tcW w:w="918" w:type="pct"/>
            <w:noWrap/>
            <w:vAlign w:val="center"/>
          </w:tcPr>
          <w:p w14:paraId="06ADA3F8"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3,665.47</w:t>
            </w:r>
          </w:p>
        </w:tc>
        <w:tc>
          <w:tcPr>
            <w:tcW w:w="918" w:type="pct"/>
            <w:noWrap/>
            <w:vAlign w:val="center"/>
          </w:tcPr>
          <w:p w14:paraId="4E7820C8"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2,114.67</w:t>
            </w:r>
          </w:p>
        </w:tc>
      </w:tr>
      <w:tr w:rsidR="008D76D6" w14:paraId="0C8F0249" w14:textId="77777777">
        <w:trPr>
          <w:cantSplit/>
          <w:trHeight w:val="397"/>
        </w:trPr>
        <w:tc>
          <w:tcPr>
            <w:tcW w:w="817" w:type="pct"/>
            <w:noWrap/>
            <w:vAlign w:val="center"/>
          </w:tcPr>
          <w:p w14:paraId="030FE9B0" w14:textId="77777777" w:rsidR="008D76D6" w:rsidRDefault="008D76D6" w:rsidP="004A570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毛利率</w:t>
            </w:r>
          </w:p>
        </w:tc>
        <w:tc>
          <w:tcPr>
            <w:tcW w:w="1429" w:type="pct"/>
            <w:noWrap/>
            <w:vAlign w:val="center"/>
          </w:tcPr>
          <w:p w14:paraId="1484C381"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-27.02%</w:t>
            </w:r>
          </w:p>
        </w:tc>
        <w:tc>
          <w:tcPr>
            <w:tcW w:w="918" w:type="pct"/>
            <w:noWrap/>
            <w:vAlign w:val="center"/>
          </w:tcPr>
          <w:p w14:paraId="444CF90B"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-18.19%</w:t>
            </w:r>
          </w:p>
        </w:tc>
        <w:tc>
          <w:tcPr>
            <w:tcW w:w="918" w:type="pct"/>
            <w:noWrap/>
            <w:vAlign w:val="center"/>
          </w:tcPr>
          <w:p w14:paraId="57FAE8EC"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-12.35%</w:t>
            </w:r>
          </w:p>
        </w:tc>
        <w:tc>
          <w:tcPr>
            <w:tcW w:w="918" w:type="pct"/>
            <w:noWrap/>
            <w:vAlign w:val="center"/>
          </w:tcPr>
          <w:p w14:paraId="4FC67BFA"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-10.73%</w:t>
            </w:r>
          </w:p>
        </w:tc>
      </w:tr>
    </w:tbl>
    <w:p w14:paraId="6557638A" w14:textId="77777777" w:rsidR="008D76D6" w:rsidRDefault="008D76D6">
      <w:pPr>
        <w:spacing w:before="120" w:after="120"/>
        <w:ind w:firstLine="480"/>
        <w:rPr>
          <w:rFonts w:ascii="Times New Roman" w:hAnsi="Times New Roman"/>
        </w:rPr>
      </w:pPr>
      <w:r>
        <w:rPr>
          <w:rFonts w:ascii="Times New Roman" w:hAnsi="Times New Roman"/>
        </w:rPr>
        <w:t>由上可见，报告期各期，</w:t>
      </w:r>
      <w:bookmarkStart w:id="14" w:name="_Hlk153832802"/>
      <w:r>
        <w:rPr>
          <w:rFonts w:ascii="Times New Roman" w:hAnsi="Times New Roman"/>
        </w:rPr>
        <w:t>发行人汽车配件毛利率分别为</w:t>
      </w:r>
      <w:r>
        <w:rPr>
          <w:rFonts w:ascii="Times New Roman" w:hAnsi="Times New Roman"/>
        </w:rPr>
        <w:t>-10.73%</w:t>
      </w:r>
      <w:r>
        <w:rPr>
          <w:rFonts w:ascii="Times New Roman" w:hAnsi="Times New Roman"/>
        </w:rPr>
        <w:t>、</w:t>
      </w:r>
      <w:r>
        <w:rPr>
          <w:rFonts w:ascii="Times New Roman" w:hAnsi="Times New Roman"/>
        </w:rPr>
        <w:t>-12.35%</w:t>
      </w:r>
      <w:r>
        <w:rPr>
          <w:rFonts w:ascii="Times New Roman" w:hAnsi="Times New Roman"/>
        </w:rPr>
        <w:t>、</w:t>
      </w:r>
      <w:r w:rsidR="004B74EE" w:rsidRPr="00FF7218">
        <w:rPr>
          <w:rFonts w:ascii="Times New Roman" w:hAnsi="Times New Roman"/>
          <w:color w:val="000000"/>
          <w:szCs w:val="24"/>
        </w:rPr>
        <w:t>-18.19%</w:t>
      </w:r>
      <w:r>
        <w:rPr>
          <w:rFonts w:ascii="Times New Roman" w:hAnsi="Times New Roman"/>
        </w:rPr>
        <w:t>和</w:t>
      </w:r>
      <w:r>
        <w:rPr>
          <w:rFonts w:ascii="Times New Roman" w:hAnsi="Times New Roman"/>
        </w:rPr>
        <w:t>-27.02%</w:t>
      </w:r>
      <w:r>
        <w:rPr>
          <w:rFonts w:ascii="Times New Roman" w:hAnsi="Times New Roman"/>
        </w:rPr>
        <w:t>，毛利率持续为负</w:t>
      </w:r>
      <w:bookmarkEnd w:id="14"/>
      <w:r>
        <w:rPr>
          <w:rFonts w:ascii="Times New Roman" w:hAnsi="Times New Roman"/>
        </w:rPr>
        <w:t>，主要系汽车配件为公司消化剩余铸造产能而开拓的业务，并非公司主要经营领域。具体分析如下：</w:t>
      </w:r>
    </w:p>
    <w:p w14:paraId="649287BD" w14:textId="77777777" w:rsidR="008D76D6" w:rsidRPr="00B434D2" w:rsidRDefault="008D76D6" w:rsidP="00B434D2">
      <w:pPr>
        <w:spacing w:before="120" w:after="120"/>
        <w:ind w:firstLine="480"/>
        <w:rPr>
          <w:rFonts w:ascii="Times New Roman" w:hAnsi="Times New Roman"/>
        </w:rPr>
      </w:pPr>
      <w:r w:rsidRPr="00B434D2">
        <w:rPr>
          <w:rFonts w:ascii="Times New Roman" w:hAnsi="Times New Roman"/>
        </w:rPr>
        <w:t>1</w:t>
      </w:r>
      <w:r w:rsidRPr="00B434D2">
        <w:rPr>
          <w:rFonts w:ascii="Times New Roman" w:hAnsi="Times New Roman"/>
        </w:rPr>
        <w:t>、莱州伟隆铸造生产线产能提升</w:t>
      </w:r>
    </w:p>
    <w:p w14:paraId="646E38FF" w14:textId="77777777" w:rsidR="008D76D6" w:rsidRDefault="008D76D6">
      <w:pPr>
        <w:spacing w:before="120" w:after="120"/>
        <w:ind w:firstLine="480"/>
        <w:rPr>
          <w:rFonts w:ascii="Times New Roman" w:hAnsi="Times New Roman"/>
        </w:rPr>
      </w:pPr>
      <w:bookmarkStart w:id="15" w:name="_Hlk153832842"/>
      <w:r>
        <w:rPr>
          <w:rFonts w:ascii="Times New Roman" w:hAnsi="Times New Roman"/>
        </w:rPr>
        <w:t>公司子公司莱州伟隆</w:t>
      </w:r>
      <w:r>
        <w:rPr>
          <w:rFonts w:ascii="Times New Roman" w:hAnsi="Times New Roman" w:hint="eastAsia"/>
        </w:rPr>
        <w:t>的主营业务为铸件加工</w:t>
      </w:r>
      <w:r>
        <w:rPr>
          <w:rFonts w:ascii="Times New Roman" w:hAnsi="Times New Roman"/>
        </w:rPr>
        <w:t>，</w:t>
      </w:r>
      <w:r>
        <w:rPr>
          <w:rFonts w:ascii="Times New Roman" w:hAnsi="Times New Roman" w:hint="eastAsia"/>
        </w:rPr>
        <w:t>为满足</w:t>
      </w:r>
      <w:r>
        <w:rPr>
          <w:rFonts w:ascii="Times New Roman" w:hAnsi="Times New Roman"/>
        </w:rPr>
        <w:t>发行人</w:t>
      </w:r>
      <w:r>
        <w:rPr>
          <w:rFonts w:ascii="Times New Roman" w:hAnsi="Times New Roman" w:hint="eastAsia"/>
        </w:rPr>
        <w:t>的</w:t>
      </w:r>
      <w:r w:rsidR="004A570C">
        <w:rPr>
          <w:rFonts w:ascii="Times New Roman" w:hAnsi="Times New Roman" w:hint="eastAsia"/>
        </w:rPr>
        <w:t>生产</w:t>
      </w:r>
      <w:r>
        <w:rPr>
          <w:rFonts w:ascii="Times New Roman" w:hAnsi="Times New Roman" w:hint="eastAsia"/>
        </w:rPr>
        <w:t>需求，莱州伟隆于</w:t>
      </w:r>
      <w:r>
        <w:rPr>
          <w:rFonts w:ascii="Times New Roman" w:hAnsi="Times New Roman" w:hint="eastAsia"/>
        </w:rPr>
        <w:t>2</w:t>
      </w:r>
      <w:r>
        <w:rPr>
          <w:rFonts w:ascii="Times New Roman" w:hAnsi="Times New Roman"/>
        </w:rPr>
        <w:t>018</w:t>
      </w:r>
      <w:r>
        <w:rPr>
          <w:rFonts w:ascii="Times New Roman" w:hAnsi="Times New Roman" w:hint="eastAsia"/>
        </w:rPr>
        <w:t>年</w:t>
      </w:r>
      <w:r>
        <w:rPr>
          <w:rFonts w:ascii="Times New Roman" w:hAnsi="Times New Roman"/>
        </w:rPr>
        <w:t>投资建设的两条自动化铸造生产线。</w:t>
      </w:r>
    </w:p>
    <w:p w14:paraId="738D7895" w14:textId="77777777" w:rsidR="008D76D6" w:rsidRDefault="008D76D6">
      <w:pPr>
        <w:spacing w:before="120" w:after="120"/>
        <w:ind w:firstLine="480"/>
        <w:rPr>
          <w:rFonts w:ascii="Times New Roman" w:hAnsi="Times New Roman"/>
        </w:rPr>
      </w:pPr>
      <w:r>
        <w:rPr>
          <w:rFonts w:ascii="Times New Roman" w:hAnsi="Times New Roman"/>
        </w:rPr>
        <w:t>2019</w:t>
      </w:r>
      <w:r>
        <w:rPr>
          <w:rFonts w:ascii="Times New Roman" w:hAnsi="Times New Roman"/>
        </w:rPr>
        <w:t>年</w:t>
      </w:r>
      <w:r>
        <w:rPr>
          <w:rFonts w:ascii="Times New Roman" w:hAnsi="Times New Roman"/>
        </w:rPr>
        <w:t>5</w:t>
      </w:r>
      <w:r>
        <w:rPr>
          <w:rFonts w:ascii="Times New Roman" w:hAnsi="Times New Roman"/>
        </w:rPr>
        <w:t>月，莱州伟隆自动铸造生产线</w:t>
      </w:r>
      <w:r>
        <w:rPr>
          <w:rFonts w:ascii="Times New Roman" w:hAnsi="Times New Roman" w:hint="eastAsia"/>
        </w:rPr>
        <w:t>建成投产</w:t>
      </w:r>
      <w:r>
        <w:rPr>
          <w:rFonts w:ascii="Times New Roman" w:hAnsi="Times New Roman"/>
        </w:rPr>
        <w:t>，其生产能力可以满足大多数中小规格阀门类，</w:t>
      </w:r>
      <w:r>
        <w:rPr>
          <w:rFonts w:ascii="Times New Roman" w:hAnsi="Times New Roman" w:hint="eastAsia"/>
        </w:rPr>
        <w:t>在满足发行人</w:t>
      </w:r>
      <w:r w:rsidR="004A570C">
        <w:rPr>
          <w:rFonts w:ascii="Times New Roman" w:hAnsi="Times New Roman" w:hint="eastAsia"/>
        </w:rPr>
        <w:t>生产</w:t>
      </w:r>
      <w:r>
        <w:rPr>
          <w:rFonts w:ascii="Times New Roman" w:hAnsi="Times New Roman" w:hint="eastAsia"/>
        </w:rPr>
        <w:t>需求的同时，富余</w:t>
      </w:r>
      <w:r>
        <w:rPr>
          <w:rFonts w:ascii="Times New Roman" w:hAnsi="Times New Roman"/>
        </w:rPr>
        <w:t>部分产能。</w:t>
      </w:r>
    </w:p>
    <w:p w14:paraId="1557E631" w14:textId="77777777" w:rsidR="008D76D6" w:rsidRPr="00B434D2" w:rsidRDefault="008D76D6" w:rsidP="00B434D2">
      <w:pPr>
        <w:spacing w:before="120" w:after="120"/>
        <w:ind w:firstLine="480"/>
        <w:rPr>
          <w:rFonts w:ascii="Times New Roman" w:hAnsi="Times New Roman"/>
        </w:rPr>
      </w:pPr>
      <w:r w:rsidRPr="00B434D2">
        <w:rPr>
          <w:rFonts w:ascii="Times New Roman" w:hAnsi="Times New Roman"/>
        </w:rPr>
        <w:t>2</w:t>
      </w:r>
      <w:r w:rsidRPr="00B434D2">
        <w:rPr>
          <w:rFonts w:ascii="Times New Roman" w:hAnsi="Times New Roman"/>
        </w:rPr>
        <w:t>、开拓汽车配件业务背景</w:t>
      </w:r>
    </w:p>
    <w:p w14:paraId="6826953A" w14:textId="77777777" w:rsidR="008D76D6" w:rsidRDefault="008D76D6">
      <w:pPr>
        <w:spacing w:before="120" w:after="120"/>
        <w:ind w:firstLine="480"/>
        <w:rPr>
          <w:rFonts w:ascii="Times New Roman" w:hAnsi="Times New Roman"/>
        </w:rPr>
      </w:pPr>
      <w:r>
        <w:rPr>
          <w:rFonts w:ascii="Times New Roman" w:hAnsi="Times New Roman" w:hint="eastAsia"/>
        </w:rPr>
        <w:t>鉴于莱州伟隆在满足发行人</w:t>
      </w:r>
      <w:r w:rsidR="004A570C">
        <w:rPr>
          <w:rFonts w:ascii="Times New Roman" w:hAnsi="Times New Roman" w:hint="eastAsia"/>
        </w:rPr>
        <w:t>生产</w:t>
      </w:r>
      <w:r>
        <w:rPr>
          <w:rFonts w:ascii="Times New Roman" w:hAnsi="Times New Roman" w:hint="eastAsia"/>
        </w:rPr>
        <w:t>需求的同时，富余</w:t>
      </w:r>
      <w:r>
        <w:rPr>
          <w:rFonts w:ascii="Times New Roman" w:hAnsi="Times New Roman"/>
        </w:rPr>
        <w:t>部分</w:t>
      </w:r>
      <w:r>
        <w:rPr>
          <w:rFonts w:ascii="Times New Roman" w:hAnsi="Times New Roman" w:hint="eastAsia"/>
        </w:rPr>
        <w:t>铸造</w:t>
      </w:r>
      <w:r>
        <w:rPr>
          <w:rFonts w:ascii="Times New Roman" w:hAnsi="Times New Roman"/>
        </w:rPr>
        <w:t>产能。为消化剩余产能，公司加大开拓汽车、农机配件市场铸件的销售业务，以</w:t>
      </w:r>
      <w:r>
        <w:rPr>
          <w:rFonts w:ascii="Times New Roman" w:hAnsi="Times New Roman" w:hint="eastAsia"/>
        </w:rPr>
        <w:t>充分利用莱州伟隆的</w:t>
      </w:r>
      <w:r>
        <w:rPr>
          <w:rFonts w:ascii="Times New Roman" w:hAnsi="Times New Roman"/>
        </w:rPr>
        <w:t>铸造线产能。</w:t>
      </w:r>
      <w:bookmarkStart w:id="16" w:name="_Hlk153832820"/>
      <w:bookmarkEnd w:id="15"/>
    </w:p>
    <w:bookmarkEnd w:id="16"/>
    <w:p w14:paraId="2B37D173" w14:textId="77777777" w:rsidR="008D76D6" w:rsidRDefault="008D76D6">
      <w:pPr>
        <w:spacing w:before="120" w:after="120"/>
        <w:ind w:firstLine="480"/>
        <w:rPr>
          <w:rFonts w:ascii="Times New Roman" w:hAnsi="Times New Roman"/>
        </w:rPr>
      </w:pPr>
      <w:r>
        <w:rPr>
          <w:rFonts w:ascii="Times New Roman" w:hAnsi="Times New Roman"/>
        </w:rPr>
        <w:t>报告期内，汽车配件业务毛利占营业毛利情况如下：</w:t>
      </w:r>
    </w:p>
    <w:p w14:paraId="176AFA87" w14:textId="77777777" w:rsidR="008D76D6" w:rsidRDefault="008D76D6">
      <w:pPr>
        <w:pStyle w:val="affff8"/>
        <w:ind w:firstLine="482"/>
      </w:pPr>
      <w:r>
        <w:t>单位：万元</w:t>
      </w:r>
    </w:p>
    <w:tbl>
      <w:tblPr>
        <w:tblW w:w="5000" w:type="pct"/>
        <w:tblInd w:w="0" w:type="dxa"/>
        <w:tblBorders>
          <w:top w:val="single" w:sz="6" w:space="0" w:color="010000"/>
          <w:left w:val="single" w:sz="6" w:space="0" w:color="010000"/>
          <w:bottom w:val="single" w:sz="6" w:space="0" w:color="010000"/>
          <w:right w:val="single" w:sz="6" w:space="0" w:color="010000"/>
          <w:insideH w:val="single" w:sz="6" w:space="0" w:color="010000"/>
          <w:insideV w:val="single" w:sz="6" w:space="0" w:color="010000"/>
        </w:tblBorders>
        <w:tblLook w:val="0000" w:firstRow="0" w:lastRow="0" w:firstColumn="0" w:lastColumn="0" w:noHBand="0" w:noVBand="0"/>
      </w:tblPr>
      <w:tblGrid>
        <w:gridCol w:w="2176"/>
        <w:gridCol w:w="2180"/>
        <w:gridCol w:w="1555"/>
        <w:gridCol w:w="1555"/>
        <w:gridCol w:w="1544"/>
      </w:tblGrid>
      <w:tr w:rsidR="008D76D6" w14:paraId="4207E946" w14:textId="77777777">
        <w:trPr>
          <w:cantSplit/>
          <w:trHeight w:val="397"/>
          <w:tblHeader/>
        </w:trPr>
        <w:tc>
          <w:tcPr>
            <w:tcW w:w="1207" w:type="pct"/>
            <w:shd w:val="clear" w:color="auto" w:fill="D9D9D9"/>
            <w:noWrap/>
            <w:vAlign w:val="center"/>
          </w:tcPr>
          <w:p w14:paraId="7E19C709" w14:textId="77777777" w:rsidR="008D76D6" w:rsidRDefault="008D76D6" w:rsidP="004A570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项目</w:t>
            </w:r>
          </w:p>
        </w:tc>
        <w:tc>
          <w:tcPr>
            <w:tcW w:w="1210" w:type="pct"/>
            <w:shd w:val="clear" w:color="auto" w:fill="D9D9D9"/>
            <w:noWrap/>
            <w:vAlign w:val="center"/>
          </w:tcPr>
          <w:p w14:paraId="3DF594BD" w14:textId="77777777" w:rsidR="008D76D6" w:rsidRDefault="008D76D6" w:rsidP="004A570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2023</w:t>
            </w:r>
            <w:r>
              <w:rPr>
                <w:rFonts w:ascii="Times New Roman" w:hAnsi="Times New Roman"/>
                <w:b/>
                <w:color w:val="000000"/>
                <w:sz w:val="21"/>
              </w:rPr>
              <w:t>年</w:t>
            </w:r>
            <w:r>
              <w:rPr>
                <w:rFonts w:ascii="Times New Roman" w:hAnsi="Times New Roman"/>
                <w:b/>
                <w:color w:val="000000"/>
                <w:sz w:val="21"/>
              </w:rPr>
              <w:t>1-9</w:t>
            </w:r>
            <w:r>
              <w:rPr>
                <w:rFonts w:ascii="Times New Roman" w:hAnsi="Times New Roman"/>
                <w:b/>
                <w:color w:val="000000"/>
                <w:sz w:val="21"/>
              </w:rPr>
              <w:t>月</w:t>
            </w:r>
          </w:p>
        </w:tc>
        <w:tc>
          <w:tcPr>
            <w:tcW w:w="863" w:type="pct"/>
            <w:shd w:val="clear" w:color="auto" w:fill="D9D9D9"/>
            <w:noWrap/>
            <w:vAlign w:val="center"/>
          </w:tcPr>
          <w:p w14:paraId="1157E2DE" w14:textId="77777777" w:rsidR="008D76D6" w:rsidRDefault="008D76D6" w:rsidP="004A570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2022</w:t>
            </w:r>
            <w:r>
              <w:rPr>
                <w:rFonts w:ascii="Times New Roman" w:hAnsi="Times New Roman"/>
                <w:b/>
                <w:color w:val="000000"/>
                <w:sz w:val="21"/>
              </w:rPr>
              <w:t>年</w:t>
            </w:r>
          </w:p>
        </w:tc>
        <w:tc>
          <w:tcPr>
            <w:tcW w:w="863" w:type="pct"/>
            <w:shd w:val="clear" w:color="auto" w:fill="D9D9D9"/>
            <w:noWrap/>
            <w:vAlign w:val="center"/>
          </w:tcPr>
          <w:p w14:paraId="73A707B5" w14:textId="77777777" w:rsidR="008D76D6" w:rsidRDefault="008D76D6" w:rsidP="004A570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2021</w:t>
            </w:r>
            <w:r>
              <w:rPr>
                <w:rFonts w:ascii="Times New Roman" w:hAnsi="Times New Roman"/>
                <w:b/>
                <w:color w:val="000000"/>
                <w:sz w:val="21"/>
              </w:rPr>
              <w:t>年</w:t>
            </w:r>
          </w:p>
        </w:tc>
        <w:tc>
          <w:tcPr>
            <w:tcW w:w="857" w:type="pct"/>
            <w:shd w:val="clear" w:color="auto" w:fill="D9D9D9"/>
            <w:noWrap/>
            <w:vAlign w:val="center"/>
          </w:tcPr>
          <w:p w14:paraId="69DF9945" w14:textId="77777777" w:rsidR="008D76D6" w:rsidRDefault="008D76D6" w:rsidP="004A570C">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2020</w:t>
            </w:r>
            <w:r>
              <w:rPr>
                <w:rFonts w:ascii="Times New Roman" w:hAnsi="Times New Roman"/>
                <w:b/>
                <w:color w:val="000000"/>
                <w:sz w:val="21"/>
              </w:rPr>
              <w:t>年</w:t>
            </w:r>
          </w:p>
        </w:tc>
      </w:tr>
      <w:tr w:rsidR="008D76D6" w14:paraId="0F2C24CF" w14:textId="77777777">
        <w:trPr>
          <w:cantSplit/>
          <w:trHeight w:val="397"/>
        </w:trPr>
        <w:tc>
          <w:tcPr>
            <w:tcW w:w="1207" w:type="pct"/>
            <w:noWrap/>
            <w:vAlign w:val="center"/>
          </w:tcPr>
          <w:p w14:paraId="448CE9E9" w14:textId="77777777" w:rsidR="008D76D6" w:rsidRDefault="008D76D6" w:rsidP="004A570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汽车配件毛利</w:t>
            </w:r>
          </w:p>
        </w:tc>
        <w:tc>
          <w:tcPr>
            <w:tcW w:w="1210" w:type="pct"/>
            <w:noWrap/>
            <w:vAlign w:val="center"/>
          </w:tcPr>
          <w:p w14:paraId="6CF6746C"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-377.55</w:t>
            </w:r>
          </w:p>
        </w:tc>
        <w:tc>
          <w:tcPr>
            <w:tcW w:w="863" w:type="pct"/>
            <w:noWrap/>
            <w:vAlign w:val="center"/>
          </w:tcPr>
          <w:p w14:paraId="45DD38D6"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-221.39</w:t>
            </w:r>
          </w:p>
        </w:tc>
        <w:tc>
          <w:tcPr>
            <w:tcW w:w="863" w:type="pct"/>
            <w:noWrap/>
            <w:vAlign w:val="center"/>
          </w:tcPr>
          <w:p w14:paraId="52DA4F45"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-403.03</w:t>
            </w:r>
          </w:p>
        </w:tc>
        <w:tc>
          <w:tcPr>
            <w:tcW w:w="857" w:type="pct"/>
            <w:noWrap/>
            <w:vAlign w:val="center"/>
          </w:tcPr>
          <w:p w14:paraId="1C1FE8A1"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-204.91</w:t>
            </w:r>
          </w:p>
        </w:tc>
      </w:tr>
      <w:tr w:rsidR="008D76D6" w14:paraId="14BE0598" w14:textId="77777777">
        <w:trPr>
          <w:cantSplit/>
          <w:trHeight w:val="397"/>
        </w:trPr>
        <w:tc>
          <w:tcPr>
            <w:tcW w:w="1207" w:type="pct"/>
            <w:noWrap/>
            <w:vAlign w:val="center"/>
          </w:tcPr>
          <w:p w14:paraId="2B8CD525" w14:textId="77777777" w:rsidR="008D76D6" w:rsidRDefault="008D76D6" w:rsidP="004A570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营业毛利</w:t>
            </w:r>
          </w:p>
        </w:tc>
        <w:tc>
          <w:tcPr>
            <w:tcW w:w="1210" w:type="pct"/>
            <w:noWrap/>
            <w:vAlign w:val="center"/>
          </w:tcPr>
          <w:p w14:paraId="54D9ABE8"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15,376.94</w:t>
            </w:r>
          </w:p>
        </w:tc>
        <w:tc>
          <w:tcPr>
            <w:tcW w:w="863" w:type="pct"/>
            <w:noWrap/>
            <w:vAlign w:val="center"/>
          </w:tcPr>
          <w:p w14:paraId="3DA4B75A"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20,250.07</w:t>
            </w:r>
          </w:p>
        </w:tc>
        <w:tc>
          <w:tcPr>
            <w:tcW w:w="863" w:type="pct"/>
            <w:noWrap/>
            <w:vAlign w:val="center"/>
          </w:tcPr>
          <w:p w14:paraId="731AC9E4"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13,529.88</w:t>
            </w:r>
          </w:p>
        </w:tc>
        <w:tc>
          <w:tcPr>
            <w:tcW w:w="857" w:type="pct"/>
            <w:noWrap/>
            <w:vAlign w:val="center"/>
          </w:tcPr>
          <w:p w14:paraId="65C013A1"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11,897.14</w:t>
            </w:r>
          </w:p>
        </w:tc>
      </w:tr>
      <w:tr w:rsidR="008D76D6" w14:paraId="2D547414" w14:textId="77777777">
        <w:trPr>
          <w:cantSplit/>
          <w:trHeight w:val="397"/>
        </w:trPr>
        <w:tc>
          <w:tcPr>
            <w:tcW w:w="1207" w:type="pct"/>
            <w:noWrap/>
            <w:vAlign w:val="center"/>
          </w:tcPr>
          <w:p w14:paraId="58E96698" w14:textId="77777777" w:rsidR="008D76D6" w:rsidRDefault="008D76D6" w:rsidP="004A570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占比</w:t>
            </w:r>
          </w:p>
        </w:tc>
        <w:tc>
          <w:tcPr>
            <w:tcW w:w="1210" w:type="pct"/>
            <w:noWrap/>
            <w:vAlign w:val="center"/>
          </w:tcPr>
          <w:p w14:paraId="0D11AEE9"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-2.46%</w:t>
            </w:r>
          </w:p>
        </w:tc>
        <w:tc>
          <w:tcPr>
            <w:tcW w:w="863" w:type="pct"/>
            <w:noWrap/>
            <w:vAlign w:val="center"/>
          </w:tcPr>
          <w:p w14:paraId="7A6FE460"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-1.09%</w:t>
            </w:r>
          </w:p>
        </w:tc>
        <w:tc>
          <w:tcPr>
            <w:tcW w:w="863" w:type="pct"/>
            <w:noWrap/>
            <w:vAlign w:val="center"/>
          </w:tcPr>
          <w:p w14:paraId="31993EDF"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-2.98%</w:t>
            </w:r>
          </w:p>
        </w:tc>
        <w:tc>
          <w:tcPr>
            <w:tcW w:w="857" w:type="pct"/>
            <w:noWrap/>
            <w:vAlign w:val="center"/>
          </w:tcPr>
          <w:p w14:paraId="5F0DBE90" w14:textId="77777777" w:rsidR="008D76D6" w:rsidRDefault="008D76D6" w:rsidP="004A570C">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-1.72%</w:t>
            </w:r>
          </w:p>
        </w:tc>
      </w:tr>
    </w:tbl>
    <w:p w14:paraId="1BF5EDF9" w14:textId="77777777" w:rsidR="008D76D6" w:rsidRDefault="008D76D6">
      <w:pPr>
        <w:spacing w:before="120" w:after="120"/>
        <w:ind w:firstLine="480"/>
      </w:pPr>
      <w:r>
        <w:rPr>
          <w:rFonts w:ascii="Times New Roman" w:hAnsi="Times New Roman"/>
        </w:rPr>
        <w:t>报告期</w:t>
      </w:r>
      <w:r>
        <w:rPr>
          <w:rFonts w:ascii="Times New Roman" w:hAnsi="Times New Roman" w:hint="eastAsia"/>
        </w:rPr>
        <w:t>内，</w:t>
      </w:r>
      <w:r>
        <w:rPr>
          <w:rFonts w:ascii="Times New Roman" w:hAnsi="Times New Roman"/>
        </w:rPr>
        <w:t>汽车配件毛利占</w:t>
      </w:r>
      <w:r>
        <w:rPr>
          <w:rFonts w:ascii="Times New Roman" w:hAnsi="Times New Roman" w:hint="eastAsia"/>
        </w:rPr>
        <w:t>公司</w:t>
      </w:r>
      <w:r>
        <w:rPr>
          <w:rFonts w:ascii="Times New Roman" w:hAnsi="Times New Roman"/>
        </w:rPr>
        <w:t>营业毛利的比例分别为</w:t>
      </w:r>
      <w:r>
        <w:rPr>
          <w:rFonts w:ascii="Times New Roman" w:hAnsi="Times New Roman"/>
        </w:rPr>
        <w:t>-1.72%</w:t>
      </w:r>
      <w:r>
        <w:rPr>
          <w:rFonts w:ascii="Times New Roman" w:hAnsi="Times New Roman"/>
        </w:rPr>
        <w:t>、</w:t>
      </w:r>
      <w:r>
        <w:rPr>
          <w:rFonts w:ascii="Times New Roman" w:hAnsi="Times New Roman"/>
        </w:rPr>
        <w:t>-2.98%</w:t>
      </w:r>
      <w:r>
        <w:rPr>
          <w:rFonts w:ascii="Times New Roman" w:hAnsi="Times New Roman"/>
        </w:rPr>
        <w:t>、</w:t>
      </w:r>
      <w:r>
        <w:rPr>
          <w:rFonts w:ascii="Times New Roman" w:hAnsi="Times New Roman"/>
        </w:rPr>
        <w:t>-1.09%</w:t>
      </w:r>
      <w:r>
        <w:rPr>
          <w:rFonts w:ascii="Times New Roman" w:hAnsi="Times New Roman"/>
        </w:rPr>
        <w:t>和</w:t>
      </w:r>
      <w:r>
        <w:rPr>
          <w:rFonts w:ascii="Times New Roman" w:hAnsi="Times New Roman"/>
        </w:rPr>
        <w:t>-2.46%</w:t>
      </w:r>
      <w:r>
        <w:rPr>
          <w:rFonts w:ascii="Times New Roman" w:hAnsi="Times New Roman"/>
        </w:rPr>
        <w:t>，占比较低，对公司业绩影响较小</w:t>
      </w:r>
      <w:r>
        <w:t>。</w:t>
      </w:r>
    </w:p>
    <w:p w14:paraId="44B7209B" w14:textId="77777777" w:rsidR="00E219C7" w:rsidRDefault="00E219C7" w:rsidP="00E219C7">
      <w:pPr>
        <w:spacing w:before="120" w:after="120"/>
        <w:ind w:firstLine="480"/>
        <w:rPr>
          <w:rFonts w:ascii="Times New Roman" w:hAnsi="Times New Roman"/>
        </w:rPr>
      </w:pPr>
      <w:r>
        <w:t>汽车配件</w:t>
      </w:r>
      <w:r>
        <w:rPr>
          <w:rFonts w:hint="eastAsia"/>
        </w:rPr>
        <w:t>为公司后续新增产品类别</w:t>
      </w:r>
      <w:r>
        <w:rPr>
          <w:rFonts w:ascii="Times New Roman" w:hAnsi="Times New Roman"/>
        </w:rPr>
        <w:t>，为</w:t>
      </w:r>
      <w:r>
        <w:rPr>
          <w:rFonts w:ascii="Times New Roman" w:hAnsi="Times New Roman" w:hint="eastAsia"/>
        </w:rPr>
        <w:t>扩大公司在汽车配件领域的市场份额</w:t>
      </w:r>
      <w:r>
        <w:rPr>
          <w:rFonts w:ascii="Times New Roman" w:hAnsi="Times New Roman"/>
        </w:rPr>
        <w:t>，</w:t>
      </w:r>
      <w:r>
        <w:rPr>
          <w:rFonts w:ascii="Times New Roman" w:hAnsi="Times New Roman" w:hint="eastAsia"/>
        </w:rPr>
        <w:t>公司</w:t>
      </w:r>
      <w:r>
        <w:rPr>
          <w:rFonts w:ascii="Times New Roman" w:hAnsi="Times New Roman"/>
        </w:rPr>
        <w:t>产品定价相对较低；同时，由于生产线产能利用率未饱和，单位产品成本承担的固定费用较高，导致产品出现负毛利的情况。</w:t>
      </w:r>
    </w:p>
    <w:p w14:paraId="406AA829" w14:textId="77777777" w:rsidR="008D76D6" w:rsidRDefault="008D76D6" w:rsidP="00B434D2">
      <w:pPr>
        <w:pStyle w:val="004"/>
        <w:spacing w:before="120" w:after="120"/>
        <w:ind w:firstLine="482"/>
      </w:pPr>
      <w:r>
        <w:rPr>
          <w:rFonts w:hint="eastAsia"/>
        </w:rPr>
        <w:t>（二）</w:t>
      </w:r>
      <w:r w:rsidR="004616F5">
        <w:rPr>
          <w:rFonts w:hint="eastAsia"/>
        </w:rPr>
        <w:t>莱州伟隆</w:t>
      </w:r>
      <w:r>
        <w:t>生产线与募投项目关系分析</w:t>
      </w:r>
    </w:p>
    <w:p w14:paraId="56C1FC2B" w14:textId="77777777" w:rsidR="008D76D6" w:rsidRDefault="008D76D6">
      <w:pPr>
        <w:pStyle w:val="005"/>
        <w:spacing w:before="120" w:after="120"/>
        <w:ind w:firstLine="480"/>
        <w:rPr>
          <w:kern w:val="0"/>
        </w:rPr>
      </w:pPr>
      <w:r>
        <w:rPr>
          <w:kern w:val="0"/>
        </w:rPr>
        <w:t>公司主要阀门产品的生产工艺流程大致相同，一般工艺流程均为：</w:t>
      </w:r>
      <w:r>
        <w:t>由生铁、废钢加工铸件或外购铸件后对铸件进行加工、热处理、打磨、抛丸、喷涂，然后与加工后的阀杆等零部件组装形成阀门成品，后经试验合格并包装交付客户，其工艺流程图如下</w:t>
      </w:r>
      <w:r>
        <w:rPr>
          <w:kern w:val="0"/>
        </w:rPr>
        <w:t>：</w:t>
      </w:r>
    </w:p>
    <w:p w14:paraId="6AF3DE34" w14:textId="4F8CDED3" w:rsidR="008D76D6" w:rsidRDefault="00B42FC7">
      <w:pPr>
        <w:pStyle w:val="005"/>
        <w:spacing w:before="120" w:after="120"/>
        <w:ind w:firstLineChars="531" w:firstLine="1274"/>
        <w:rPr>
          <w:kern w:val="0"/>
        </w:rPr>
      </w:pPr>
      <w:r>
        <w:rPr>
          <w:noProof/>
          <w:lang w:val="en-US" w:eastAsia="zh-CN"/>
        </w:rPr>
        <w:drawing>
          <wp:inline distT="0" distB="0" distL="0" distR="0" wp14:anchorId="6EF602ED" wp14:editId="3EA15D80">
            <wp:extent cx="3601720" cy="1399540"/>
            <wp:effectExtent l="0" t="0" r="0" b="0"/>
            <wp:docPr id="10442938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1720" cy="1399540"/>
                    </a:xfrm>
                    <a:prstGeom prst="rect">
                      <a:avLst/>
                    </a:prstGeom>
                    <a:noFill/>
                    <a:ln>
                      <a:noFill/>
                    </a:ln>
                  </pic:spPr>
                </pic:pic>
              </a:graphicData>
            </a:graphic>
          </wp:inline>
        </w:drawing>
      </w:r>
    </w:p>
    <w:p w14:paraId="28A04FE7" w14:textId="77777777" w:rsidR="008D76D6" w:rsidRDefault="008D76D6">
      <w:pPr>
        <w:spacing w:before="120" w:after="120"/>
        <w:ind w:firstLine="480"/>
        <w:rPr>
          <w:rFonts w:ascii="Times New Roman" w:hAnsi="Times New Roman"/>
        </w:rPr>
      </w:pPr>
      <w:r>
        <w:rPr>
          <w:rFonts w:ascii="Times New Roman" w:hAnsi="Times New Roman"/>
        </w:rPr>
        <w:t>2019</w:t>
      </w:r>
      <w:r>
        <w:rPr>
          <w:rFonts w:ascii="Times New Roman" w:hAnsi="Times New Roman"/>
        </w:rPr>
        <w:t>年</w:t>
      </w:r>
      <w:r>
        <w:rPr>
          <w:rFonts w:ascii="Times New Roman" w:hAnsi="Times New Roman"/>
        </w:rPr>
        <w:t>5</w:t>
      </w:r>
      <w:r>
        <w:rPr>
          <w:rFonts w:ascii="Times New Roman" w:hAnsi="Times New Roman"/>
        </w:rPr>
        <w:t>月，莱州伟隆建设完成的自动铸造生产线，主要生产铸件产品。</w:t>
      </w:r>
    </w:p>
    <w:p w14:paraId="292610AF" w14:textId="77777777" w:rsidR="008D76D6" w:rsidRDefault="008D76D6">
      <w:pPr>
        <w:spacing w:before="120" w:after="120"/>
        <w:ind w:firstLine="480"/>
        <w:rPr>
          <w:rFonts w:ascii="Times New Roman" w:hAnsi="Times New Roman"/>
        </w:rPr>
      </w:pPr>
      <w:r>
        <w:rPr>
          <w:rFonts w:ascii="Times New Roman" w:hAnsi="Times New Roman"/>
        </w:rPr>
        <w:t>公司本次募投项目</w:t>
      </w:r>
      <w:r>
        <w:rPr>
          <w:rFonts w:ascii="Times New Roman" w:hAnsi="Times New Roman"/>
        </w:rPr>
        <w:t>“</w:t>
      </w:r>
      <w:r>
        <w:rPr>
          <w:rFonts w:ascii="Times New Roman" w:hAnsi="Times New Roman"/>
        </w:rPr>
        <w:t>智慧节能阀门建设项目</w:t>
      </w:r>
      <w:r>
        <w:rPr>
          <w:rFonts w:ascii="Times New Roman" w:hAnsi="Times New Roman"/>
        </w:rPr>
        <w:t>”</w:t>
      </w:r>
      <w:r>
        <w:rPr>
          <w:rFonts w:ascii="Times New Roman" w:hAnsi="Times New Roman"/>
        </w:rPr>
        <w:t>，</w:t>
      </w:r>
      <w:r w:rsidR="002E1269">
        <w:rPr>
          <w:rFonts w:ascii="宋体" w:hAnsi="宋体"/>
        </w:rPr>
        <w:t>拟</w:t>
      </w:r>
      <w:r w:rsidR="002E1269">
        <w:t>依托公司成熟技术与生产工艺，升级现有产品种类。</w:t>
      </w:r>
      <w:r w:rsidR="002E1269">
        <w:rPr>
          <w:rFonts w:hint="eastAsia"/>
        </w:rPr>
        <w:t>该项目</w:t>
      </w:r>
      <w:r>
        <w:rPr>
          <w:rFonts w:ascii="Times New Roman" w:hAnsi="Times New Roman"/>
        </w:rPr>
        <w:t>聚焦于铸件后续的生产加工环节。以智慧节能阀门建设项目主要产品之一智能减压阀为例，其工艺流程如下：</w:t>
      </w:r>
    </w:p>
    <w:p w14:paraId="345AD328" w14:textId="44D5E084" w:rsidR="008D76D6" w:rsidRDefault="008D76D6">
      <w:pPr>
        <w:spacing w:before="120" w:after="120"/>
        <w:ind w:firstLine="480"/>
      </w:pPr>
      <w:r>
        <w:t xml:space="preserve"> </w:t>
      </w:r>
      <w:r w:rsidR="00B42FC7">
        <w:rPr>
          <w:noProof/>
          <w:lang w:val="en-US" w:eastAsia="zh-CN"/>
        </w:rPr>
        <w:drawing>
          <wp:inline distT="0" distB="0" distL="0" distR="0" wp14:anchorId="6EDB32AF" wp14:editId="3B083494">
            <wp:extent cx="5025390" cy="263207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5390" cy="2632075"/>
                    </a:xfrm>
                    <a:prstGeom prst="rect">
                      <a:avLst/>
                    </a:prstGeom>
                    <a:noFill/>
                    <a:ln>
                      <a:noFill/>
                    </a:ln>
                  </pic:spPr>
                </pic:pic>
              </a:graphicData>
            </a:graphic>
          </wp:inline>
        </w:drawing>
      </w:r>
    </w:p>
    <w:p w14:paraId="1B63673F" w14:textId="77777777" w:rsidR="008D76D6" w:rsidRDefault="008D76D6">
      <w:pPr>
        <w:spacing w:before="120" w:after="120"/>
        <w:ind w:firstLine="480"/>
      </w:pPr>
      <w:r>
        <w:t>由上可见，智慧节能阀门建设项目工艺以阀体铸件为原材料，进一步进行阀体加工、处理、装备、数据设定采集及传输装置等环节。本次募投项目并未进一步拓展铸件的生产，而是聚焦于后续的加工生产环节。此外，募投项目投产后，可以在一定程度上进一步消化铸造生产线的剩余产能。</w:t>
      </w:r>
    </w:p>
    <w:p w14:paraId="4F7C9AD3" w14:textId="77777777" w:rsidR="008D76D6" w:rsidRDefault="008D76D6" w:rsidP="00B434D2">
      <w:pPr>
        <w:pStyle w:val="004"/>
        <w:spacing w:before="120" w:after="120"/>
        <w:ind w:firstLine="482"/>
      </w:pPr>
      <w:r>
        <w:rPr>
          <w:rFonts w:hint="eastAsia"/>
        </w:rPr>
        <w:t>（三）</w:t>
      </w:r>
      <w:r>
        <w:t>客户可持续合作分析</w:t>
      </w:r>
    </w:p>
    <w:p w14:paraId="7A4C80AB" w14:textId="77777777" w:rsidR="008D76D6" w:rsidRDefault="008D76D6">
      <w:pPr>
        <w:spacing w:before="120" w:after="120"/>
        <w:ind w:firstLine="480"/>
      </w:pPr>
      <w:r>
        <w:t>报告期各期，汽车配件业务前五大客户情况如下：</w:t>
      </w:r>
    </w:p>
    <w:p w14:paraId="63F10F2A" w14:textId="77777777" w:rsidR="008D76D6" w:rsidRDefault="008D76D6">
      <w:pPr>
        <w:pStyle w:val="affff8"/>
        <w:ind w:firstLine="482"/>
      </w:pPr>
      <w:r>
        <w:t>单位：万元</w:t>
      </w:r>
    </w:p>
    <w:tbl>
      <w:tblPr>
        <w:tblW w:w="5000" w:type="pct"/>
        <w:tblInd w:w="0" w:type="dxa"/>
        <w:tblBorders>
          <w:top w:val="single" w:sz="6" w:space="0" w:color="010000"/>
          <w:left w:val="single" w:sz="6" w:space="0" w:color="010000"/>
          <w:bottom w:val="single" w:sz="6" w:space="0" w:color="010000"/>
          <w:right w:val="single" w:sz="6" w:space="0" w:color="010000"/>
          <w:insideH w:val="single" w:sz="6" w:space="0" w:color="010000"/>
          <w:insideV w:val="single" w:sz="6" w:space="0" w:color="010000"/>
        </w:tblBorders>
        <w:tblLook w:val="0000" w:firstRow="0" w:lastRow="0" w:firstColumn="0" w:lastColumn="0" w:noHBand="0" w:noVBand="0"/>
      </w:tblPr>
      <w:tblGrid>
        <w:gridCol w:w="1494"/>
        <w:gridCol w:w="5326"/>
        <w:gridCol w:w="1215"/>
        <w:gridCol w:w="975"/>
      </w:tblGrid>
      <w:tr w:rsidR="008D76D6" w14:paraId="4C888AE1" w14:textId="77777777">
        <w:trPr>
          <w:cantSplit/>
          <w:trHeight w:val="397"/>
          <w:tblHeader/>
        </w:trPr>
        <w:tc>
          <w:tcPr>
            <w:tcW w:w="808" w:type="pct"/>
            <w:shd w:val="clear" w:color="auto" w:fill="D9D9D9"/>
            <w:noWrap/>
            <w:vAlign w:val="center"/>
          </w:tcPr>
          <w:p w14:paraId="31DF9F97" w14:textId="77777777" w:rsidR="008D76D6" w:rsidRDefault="008D76D6" w:rsidP="00145E66">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年份</w:t>
            </w:r>
          </w:p>
        </w:tc>
        <w:tc>
          <w:tcPr>
            <w:tcW w:w="2963" w:type="pct"/>
            <w:shd w:val="clear" w:color="auto" w:fill="D9D9D9"/>
            <w:noWrap/>
            <w:vAlign w:val="center"/>
          </w:tcPr>
          <w:p w14:paraId="6AFA3BD2" w14:textId="77777777" w:rsidR="008D76D6" w:rsidRDefault="008D76D6" w:rsidP="00145E66">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客户名称</w:t>
            </w:r>
          </w:p>
        </w:tc>
        <w:tc>
          <w:tcPr>
            <w:tcW w:w="681" w:type="pct"/>
            <w:shd w:val="clear" w:color="auto" w:fill="D9D9D9"/>
            <w:noWrap/>
            <w:vAlign w:val="center"/>
          </w:tcPr>
          <w:p w14:paraId="1CD5CA92" w14:textId="77777777" w:rsidR="008D76D6" w:rsidRDefault="008D76D6" w:rsidP="00145E66">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收入金额</w:t>
            </w:r>
          </w:p>
        </w:tc>
        <w:tc>
          <w:tcPr>
            <w:tcW w:w="548" w:type="pct"/>
            <w:shd w:val="clear" w:color="auto" w:fill="D9D9D9"/>
            <w:noWrap/>
            <w:vAlign w:val="center"/>
          </w:tcPr>
          <w:p w14:paraId="50C91070" w14:textId="77777777" w:rsidR="008D76D6" w:rsidRDefault="008D76D6" w:rsidP="00145E66">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占比</w:t>
            </w:r>
          </w:p>
        </w:tc>
      </w:tr>
      <w:tr w:rsidR="008D76D6" w14:paraId="745E1093" w14:textId="77777777">
        <w:trPr>
          <w:cantSplit/>
          <w:trHeight w:val="397"/>
        </w:trPr>
        <w:tc>
          <w:tcPr>
            <w:tcW w:w="808" w:type="pct"/>
            <w:vMerge w:val="restart"/>
            <w:noWrap/>
            <w:vAlign w:val="center"/>
          </w:tcPr>
          <w:p w14:paraId="2D44ACAF" w14:textId="77777777" w:rsidR="008D76D6" w:rsidRDefault="008D76D6" w:rsidP="00145E66">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2023</w:t>
            </w:r>
            <w:r>
              <w:rPr>
                <w:rFonts w:ascii="Times New Roman" w:hAnsi="Times New Roman"/>
                <w:color w:val="000000"/>
                <w:sz w:val="21"/>
              </w:rPr>
              <w:t>年</w:t>
            </w:r>
            <w:r>
              <w:rPr>
                <w:rFonts w:ascii="Times New Roman" w:hAnsi="Times New Roman"/>
                <w:color w:val="000000"/>
                <w:sz w:val="21"/>
              </w:rPr>
              <w:t>1-9</w:t>
            </w:r>
            <w:r>
              <w:rPr>
                <w:rFonts w:ascii="Times New Roman" w:hAnsi="Times New Roman"/>
                <w:color w:val="000000"/>
                <w:sz w:val="21"/>
              </w:rPr>
              <w:t>月</w:t>
            </w:r>
          </w:p>
        </w:tc>
        <w:tc>
          <w:tcPr>
            <w:tcW w:w="2963" w:type="pct"/>
            <w:noWrap/>
            <w:vAlign w:val="center"/>
          </w:tcPr>
          <w:p w14:paraId="3EA19256"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青岛博泰汽车零部件有限责任公司</w:t>
            </w:r>
          </w:p>
        </w:tc>
        <w:tc>
          <w:tcPr>
            <w:tcW w:w="681" w:type="pct"/>
            <w:noWrap/>
            <w:vAlign w:val="center"/>
          </w:tcPr>
          <w:p w14:paraId="5777C223"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669.20</w:t>
            </w:r>
          </w:p>
        </w:tc>
        <w:tc>
          <w:tcPr>
            <w:tcW w:w="548" w:type="pct"/>
            <w:noWrap/>
            <w:vAlign w:val="center"/>
          </w:tcPr>
          <w:p w14:paraId="285F8AD7"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47.89%</w:t>
            </w:r>
          </w:p>
        </w:tc>
      </w:tr>
      <w:tr w:rsidR="008D76D6" w14:paraId="1141089D" w14:textId="77777777">
        <w:trPr>
          <w:cantSplit/>
          <w:trHeight w:val="397"/>
        </w:trPr>
        <w:tc>
          <w:tcPr>
            <w:tcW w:w="808" w:type="pct"/>
            <w:vMerge/>
            <w:vAlign w:val="center"/>
          </w:tcPr>
          <w:p w14:paraId="57AED9A0" w14:textId="77777777" w:rsidR="008D76D6" w:rsidRDefault="008D76D6" w:rsidP="00145E66">
            <w:pPr>
              <w:spacing w:beforeLines="0" w:before="0" w:afterLines="0" w:after="0" w:line="240" w:lineRule="auto"/>
              <w:ind w:firstLineChars="0" w:firstLine="0"/>
              <w:rPr>
                <w:rFonts w:ascii="Times New Roman" w:hAnsi="Times New Roman"/>
                <w:color w:val="000000"/>
                <w:sz w:val="21"/>
              </w:rPr>
            </w:pPr>
          </w:p>
        </w:tc>
        <w:tc>
          <w:tcPr>
            <w:tcW w:w="2963" w:type="pct"/>
            <w:noWrap/>
            <w:vAlign w:val="center"/>
          </w:tcPr>
          <w:p w14:paraId="69DFC3A3"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潍坊谷合传动技术有限公司</w:t>
            </w:r>
          </w:p>
        </w:tc>
        <w:tc>
          <w:tcPr>
            <w:tcW w:w="681" w:type="pct"/>
            <w:noWrap/>
            <w:vAlign w:val="center"/>
          </w:tcPr>
          <w:p w14:paraId="48612F5D"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432.82</w:t>
            </w:r>
          </w:p>
        </w:tc>
        <w:tc>
          <w:tcPr>
            <w:tcW w:w="548" w:type="pct"/>
            <w:noWrap/>
            <w:vAlign w:val="center"/>
          </w:tcPr>
          <w:p w14:paraId="5362D2E2"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30.97%</w:t>
            </w:r>
          </w:p>
        </w:tc>
      </w:tr>
      <w:tr w:rsidR="008D76D6" w14:paraId="4252FFCB" w14:textId="77777777">
        <w:trPr>
          <w:cantSplit/>
          <w:trHeight w:val="397"/>
        </w:trPr>
        <w:tc>
          <w:tcPr>
            <w:tcW w:w="808" w:type="pct"/>
            <w:vMerge/>
            <w:vAlign w:val="center"/>
          </w:tcPr>
          <w:p w14:paraId="06F420B7" w14:textId="77777777" w:rsidR="008D76D6" w:rsidRDefault="008D76D6" w:rsidP="00145E66">
            <w:pPr>
              <w:spacing w:beforeLines="0" w:before="0" w:afterLines="0" w:after="0" w:line="240" w:lineRule="auto"/>
              <w:ind w:firstLineChars="0" w:firstLine="0"/>
              <w:rPr>
                <w:rFonts w:ascii="Times New Roman" w:hAnsi="Times New Roman"/>
                <w:color w:val="000000"/>
                <w:sz w:val="21"/>
              </w:rPr>
            </w:pPr>
          </w:p>
        </w:tc>
        <w:tc>
          <w:tcPr>
            <w:tcW w:w="2963" w:type="pct"/>
            <w:noWrap/>
            <w:vAlign w:val="center"/>
          </w:tcPr>
          <w:p w14:paraId="5E97D05D"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科乐收农业机械（山东）有限责任公司</w:t>
            </w:r>
          </w:p>
        </w:tc>
        <w:tc>
          <w:tcPr>
            <w:tcW w:w="681" w:type="pct"/>
            <w:noWrap/>
            <w:vAlign w:val="center"/>
          </w:tcPr>
          <w:p w14:paraId="01216F5C"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146.60</w:t>
            </w:r>
          </w:p>
        </w:tc>
        <w:tc>
          <w:tcPr>
            <w:tcW w:w="548" w:type="pct"/>
            <w:noWrap/>
            <w:vAlign w:val="center"/>
          </w:tcPr>
          <w:p w14:paraId="7AB9BB4A"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10.49%</w:t>
            </w:r>
          </w:p>
        </w:tc>
      </w:tr>
      <w:tr w:rsidR="008D76D6" w14:paraId="377C114C" w14:textId="77777777">
        <w:trPr>
          <w:cantSplit/>
          <w:trHeight w:val="397"/>
        </w:trPr>
        <w:tc>
          <w:tcPr>
            <w:tcW w:w="808" w:type="pct"/>
            <w:vMerge/>
            <w:vAlign w:val="center"/>
          </w:tcPr>
          <w:p w14:paraId="052BE225" w14:textId="77777777" w:rsidR="008D76D6" w:rsidRDefault="008D76D6" w:rsidP="00145E66">
            <w:pPr>
              <w:spacing w:beforeLines="0" w:before="0" w:afterLines="0" w:after="0" w:line="240" w:lineRule="auto"/>
              <w:ind w:firstLineChars="0" w:firstLine="0"/>
              <w:rPr>
                <w:rFonts w:ascii="Times New Roman" w:hAnsi="Times New Roman"/>
                <w:color w:val="000000"/>
                <w:sz w:val="21"/>
              </w:rPr>
            </w:pPr>
          </w:p>
        </w:tc>
        <w:tc>
          <w:tcPr>
            <w:tcW w:w="2963" w:type="pct"/>
            <w:noWrap/>
            <w:vAlign w:val="center"/>
          </w:tcPr>
          <w:p w14:paraId="7F8F5F48"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青岛洪珠农业机械有限公司</w:t>
            </w:r>
          </w:p>
        </w:tc>
        <w:tc>
          <w:tcPr>
            <w:tcW w:w="681" w:type="pct"/>
            <w:noWrap/>
            <w:vAlign w:val="center"/>
          </w:tcPr>
          <w:p w14:paraId="3A47560D"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71.73</w:t>
            </w:r>
          </w:p>
        </w:tc>
        <w:tc>
          <w:tcPr>
            <w:tcW w:w="548" w:type="pct"/>
            <w:noWrap/>
            <w:vAlign w:val="center"/>
          </w:tcPr>
          <w:p w14:paraId="5DBD052A"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5.13%</w:t>
            </w:r>
          </w:p>
        </w:tc>
      </w:tr>
      <w:tr w:rsidR="008D76D6" w14:paraId="0AD80557" w14:textId="77777777">
        <w:trPr>
          <w:cantSplit/>
          <w:trHeight w:val="397"/>
        </w:trPr>
        <w:tc>
          <w:tcPr>
            <w:tcW w:w="808" w:type="pct"/>
            <w:vMerge/>
            <w:vAlign w:val="center"/>
          </w:tcPr>
          <w:p w14:paraId="2DB05FCF" w14:textId="77777777" w:rsidR="008D76D6" w:rsidRDefault="008D76D6" w:rsidP="00145E66">
            <w:pPr>
              <w:spacing w:beforeLines="0" w:before="0" w:afterLines="0" w:after="0" w:line="240" w:lineRule="auto"/>
              <w:ind w:firstLineChars="0" w:firstLine="0"/>
              <w:rPr>
                <w:rFonts w:ascii="Times New Roman" w:hAnsi="Times New Roman"/>
                <w:color w:val="000000"/>
                <w:sz w:val="21"/>
              </w:rPr>
            </w:pPr>
          </w:p>
        </w:tc>
        <w:tc>
          <w:tcPr>
            <w:tcW w:w="2963" w:type="pct"/>
            <w:noWrap/>
            <w:vAlign w:val="center"/>
          </w:tcPr>
          <w:p w14:paraId="625861D0"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山东当康农业装备有限公司</w:t>
            </w:r>
          </w:p>
        </w:tc>
        <w:tc>
          <w:tcPr>
            <w:tcW w:w="681" w:type="pct"/>
            <w:noWrap/>
            <w:vAlign w:val="center"/>
          </w:tcPr>
          <w:p w14:paraId="73AD4BB1"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28.05</w:t>
            </w:r>
          </w:p>
        </w:tc>
        <w:tc>
          <w:tcPr>
            <w:tcW w:w="548" w:type="pct"/>
            <w:noWrap/>
            <w:vAlign w:val="center"/>
          </w:tcPr>
          <w:p w14:paraId="5A3DAB0D"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2.01%</w:t>
            </w:r>
          </w:p>
        </w:tc>
      </w:tr>
      <w:tr w:rsidR="008D76D6" w14:paraId="6D88BCA2" w14:textId="77777777">
        <w:trPr>
          <w:cantSplit/>
          <w:trHeight w:val="397"/>
        </w:trPr>
        <w:tc>
          <w:tcPr>
            <w:tcW w:w="808" w:type="pct"/>
            <w:vMerge/>
            <w:vAlign w:val="center"/>
          </w:tcPr>
          <w:p w14:paraId="1C519880" w14:textId="77777777" w:rsidR="008D76D6" w:rsidRDefault="008D76D6" w:rsidP="00145E66">
            <w:pPr>
              <w:spacing w:beforeLines="0" w:before="0" w:afterLines="0" w:after="0" w:line="240" w:lineRule="auto"/>
              <w:ind w:firstLineChars="0" w:firstLine="0"/>
              <w:rPr>
                <w:rFonts w:ascii="Times New Roman" w:hAnsi="Times New Roman"/>
                <w:color w:val="000000"/>
                <w:sz w:val="21"/>
              </w:rPr>
            </w:pPr>
          </w:p>
        </w:tc>
        <w:tc>
          <w:tcPr>
            <w:tcW w:w="2963" w:type="pct"/>
            <w:noWrap/>
            <w:vAlign w:val="center"/>
          </w:tcPr>
          <w:p w14:paraId="01541B54"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sz w:val="21"/>
              </w:rPr>
            </w:pPr>
            <w:r>
              <w:rPr>
                <w:rFonts w:ascii="Times New Roman" w:hAnsi="Times New Roman"/>
                <w:b/>
                <w:bCs/>
                <w:color w:val="000000"/>
                <w:sz w:val="21"/>
              </w:rPr>
              <w:t>合计</w:t>
            </w:r>
          </w:p>
        </w:tc>
        <w:tc>
          <w:tcPr>
            <w:tcW w:w="681" w:type="pct"/>
            <w:noWrap/>
            <w:vAlign w:val="center"/>
          </w:tcPr>
          <w:p w14:paraId="12A91B2B"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1,348.40</w:t>
            </w:r>
          </w:p>
        </w:tc>
        <w:tc>
          <w:tcPr>
            <w:tcW w:w="548" w:type="pct"/>
            <w:noWrap/>
            <w:vAlign w:val="center"/>
          </w:tcPr>
          <w:p w14:paraId="7C83F631"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96.49%</w:t>
            </w:r>
          </w:p>
        </w:tc>
      </w:tr>
      <w:tr w:rsidR="008D76D6" w14:paraId="2E3A0D1D" w14:textId="77777777">
        <w:trPr>
          <w:cantSplit/>
          <w:trHeight w:val="397"/>
        </w:trPr>
        <w:tc>
          <w:tcPr>
            <w:tcW w:w="808" w:type="pct"/>
            <w:vMerge w:val="restart"/>
            <w:vAlign w:val="center"/>
          </w:tcPr>
          <w:p w14:paraId="31B97AA1" w14:textId="77777777" w:rsidR="008D76D6" w:rsidRDefault="008D76D6" w:rsidP="00145E66">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2022</w:t>
            </w:r>
            <w:r>
              <w:rPr>
                <w:rFonts w:ascii="Times New Roman" w:hAnsi="Times New Roman"/>
                <w:color w:val="000000"/>
                <w:sz w:val="21"/>
              </w:rPr>
              <w:t>年</w:t>
            </w:r>
          </w:p>
        </w:tc>
        <w:tc>
          <w:tcPr>
            <w:tcW w:w="2963" w:type="pct"/>
            <w:noWrap/>
            <w:vAlign w:val="center"/>
          </w:tcPr>
          <w:p w14:paraId="33A23BFE"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sz w:val="21"/>
              </w:rPr>
            </w:pPr>
            <w:r>
              <w:rPr>
                <w:rFonts w:ascii="Times New Roman" w:hAnsi="Times New Roman"/>
                <w:color w:val="000000"/>
                <w:sz w:val="21"/>
              </w:rPr>
              <w:t>潍坊谷合传动技术有限公司</w:t>
            </w:r>
          </w:p>
        </w:tc>
        <w:tc>
          <w:tcPr>
            <w:tcW w:w="681" w:type="pct"/>
            <w:noWrap/>
            <w:vAlign w:val="center"/>
          </w:tcPr>
          <w:p w14:paraId="71E46061"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color w:val="000000"/>
                <w:sz w:val="21"/>
              </w:rPr>
              <w:t>584.05</w:t>
            </w:r>
          </w:p>
        </w:tc>
        <w:tc>
          <w:tcPr>
            <w:tcW w:w="548" w:type="pct"/>
            <w:noWrap/>
            <w:vAlign w:val="center"/>
          </w:tcPr>
          <w:p w14:paraId="615252A9"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color w:val="000000"/>
                <w:sz w:val="21"/>
              </w:rPr>
              <w:t>47.98%</w:t>
            </w:r>
          </w:p>
        </w:tc>
      </w:tr>
      <w:tr w:rsidR="008D76D6" w14:paraId="1602383C" w14:textId="77777777">
        <w:trPr>
          <w:cantSplit/>
          <w:trHeight w:val="397"/>
        </w:trPr>
        <w:tc>
          <w:tcPr>
            <w:tcW w:w="808" w:type="pct"/>
            <w:vMerge/>
            <w:vAlign w:val="center"/>
          </w:tcPr>
          <w:p w14:paraId="0415E4B6" w14:textId="77777777" w:rsidR="008D76D6" w:rsidRDefault="008D76D6" w:rsidP="00145E66">
            <w:pPr>
              <w:spacing w:beforeLines="0" w:before="0" w:afterLines="0" w:after="0" w:line="240" w:lineRule="auto"/>
              <w:ind w:firstLineChars="0" w:firstLine="0"/>
              <w:jc w:val="center"/>
              <w:rPr>
                <w:rFonts w:ascii="Times New Roman" w:hAnsi="Times New Roman"/>
                <w:color w:val="000000"/>
                <w:sz w:val="21"/>
              </w:rPr>
            </w:pPr>
          </w:p>
        </w:tc>
        <w:tc>
          <w:tcPr>
            <w:tcW w:w="2963" w:type="pct"/>
            <w:noWrap/>
            <w:vAlign w:val="center"/>
          </w:tcPr>
          <w:p w14:paraId="56F3BF0E"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sz w:val="21"/>
              </w:rPr>
            </w:pPr>
            <w:r>
              <w:rPr>
                <w:rFonts w:ascii="Times New Roman" w:hAnsi="Times New Roman"/>
                <w:color w:val="000000"/>
                <w:sz w:val="21"/>
              </w:rPr>
              <w:t>青岛博泰汽车零部件有限责任公司</w:t>
            </w:r>
          </w:p>
        </w:tc>
        <w:tc>
          <w:tcPr>
            <w:tcW w:w="681" w:type="pct"/>
            <w:noWrap/>
            <w:vAlign w:val="center"/>
          </w:tcPr>
          <w:p w14:paraId="5FF56AFA"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color w:val="000000"/>
                <w:sz w:val="21"/>
              </w:rPr>
              <w:t>340.81</w:t>
            </w:r>
          </w:p>
        </w:tc>
        <w:tc>
          <w:tcPr>
            <w:tcW w:w="548" w:type="pct"/>
            <w:noWrap/>
            <w:vAlign w:val="center"/>
          </w:tcPr>
          <w:p w14:paraId="6515F26D"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color w:val="000000"/>
                <w:sz w:val="21"/>
              </w:rPr>
              <w:t>28.00%</w:t>
            </w:r>
          </w:p>
        </w:tc>
      </w:tr>
      <w:tr w:rsidR="008D76D6" w14:paraId="3E492C64" w14:textId="77777777">
        <w:trPr>
          <w:cantSplit/>
          <w:trHeight w:val="397"/>
        </w:trPr>
        <w:tc>
          <w:tcPr>
            <w:tcW w:w="808" w:type="pct"/>
            <w:vMerge/>
            <w:vAlign w:val="center"/>
          </w:tcPr>
          <w:p w14:paraId="6E341A34" w14:textId="77777777" w:rsidR="008D76D6" w:rsidRDefault="008D76D6" w:rsidP="00145E66">
            <w:pPr>
              <w:spacing w:beforeLines="0" w:before="0" w:afterLines="0" w:after="0" w:line="240" w:lineRule="auto"/>
              <w:ind w:firstLineChars="0" w:firstLine="0"/>
              <w:jc w:val="center"/>
              <w:rPr>
                <w:rFonts w:ascii="Times New Roman" w:hAnsi="Times New Roman"/>
                <w:color w:val="000000"/>
                <w:sz w:val="21"/>
              </w:rPr>
            </w:pPr>
          </w:p>
        </w:tc>
        <w:tc>
          <w:tcPr>
            <w:tcW w:w="2963" w:type="pct"/>
            <w:noWrap/>
            <w:vAlign w:val="center"/>
          </w:tcPr>
          <w:p w14:paraId="5FDE36DF"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sz w:val="21"/>
              </w:rPr>
            </w:pPr>
            <w:r>
              <w:rPr>
                <w:rFonts w:ascii="Times New Roman" w:hAnsi="Times New Roman"/>
                <w:color w:val="000000"/>
                <w:sz w:val="21"/>
              </w:rPr>
              <w:t>科乐收农业机械（山东）有限责任公司</w:t>
            </w:r>
          </w:p>
        </w:tc>
        <w:tc>
          <w:tcPr>
            <w:tcW w:w="681" w:type="pct"/>
            <w:noWrap/>
            <w:vAlign w:val="center"/>
          </w:tcPr>
          <w:p w14:paraId="6AEBFE1F"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color w:val="000000"/>
                <w:sz w:val="21"/>
              </w:rPr>
              <w:t>76.38</w:t>
            </w:r>
          </w:p>
        </w:tc>
        <w:tc>
          <w:tcPr>
            <w:tcW w:w="548" w:type="pct"/>
            <w:noWrap/>
            <w:vAlign w:val="center"/>
          </w:tcPr>
          <w:p w14:paraId="7A80E7CA"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color w:val="000000"/>
                <w:sz w:val="21"/>
              </w:rPr>
              <w:t>6.27%</w:t>
            </w:r>
          </w:p>
        </w:tc>
      </w:tr>
      <w:tr w:rsidR="008D76D6" w14:paraId="13024C7C" w14:textId="77777777">
        <w:trPr>
          <w:cantSplit/>
          <w:trHeight w:val="397"/>
        </w:trPr>
        <w:tc>
          <w:tcPr>
            <w:tcW w:w="808" w:type="pct"/>
            <w:vMerge/>
            <w:vAlign w:val="center"/>
          </w:tcPr>
          <w:p w14:paraId="1838C37C" w14:textId="77777777" w:rsidR="008D76D6" w:rsidRDefault="008D76D6" w:rsidP="00145E66">
            <w:pPr>
              <w:spacing w:beforeLines="0" w:before="0" w:afterLines="0" w:after="0" w:line="240" w:lineRule="auto"/>
              <w:ind w:firstLineChars="0" w:firstLine="0"/>
              <w:jc w:val="center"/>
              <w:rPr>
                <w:rFonts w:ascii="Times New Roman" w:hAnsi="Times New Roman"/>
                <w:color w:val="000000"/>
                <w:sz w:val="21"/>
              </w:rPr>
            </w:pPr>
          </w:p>
        </w:tc>
        <w:tc>
          <w:tcPr>
            <w:tcW w:w="2963" w:type="pct"/>
            <w:noWrap/>
            <w:vAlign w:val="center"/>
          </w:tcPr>
          <w:p w14:paraId="54B026A4"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sz w:val="21"/>
              </w:rPr>
            </w:pPr>
            <w:r>
              <w:rPr>
                <w:rFonts w:ascii="Times New Roman" w:hAnsi="Times New Roman"/>
                <w:color w:val="000000"/>
                <w:sz w:val="21"/>
              </w:rPr>
              <w:t>青岛洪珠农业机械有限公司</w:t>
            </w:r>
          </w:p>
        </w:tc>
        <w:tc>
          <w:tcPr>
            <w:tcW w:w="681" w:type="pct"/>
            <w:noWrap/>
            <w:vAlign w:val="center"/>
          </w:tcPr>
          <w:p w14:paraId="04C73D12"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color w:val="000000"/>
                <w:sz w:val="21"/>
              </w:rPr>
              <w:t>62.66</w:t>
            </w:r>
          </w:p>
        </w:tc>
        <w:tc>
          <w:tcPr>
            <w:tcW w:w="548" w:type="pct"/>
            <w:noWrap/>
            <w:vAlign w:val="center"/>
          </w:tcPr>
          <w:p w14:paraId="6A7E86B2"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color w:val="000000"/>
                <w:sz w:val="21"/>
              </w:rPr>
              <w:t>5.15%</w:t>
            </w:r>
          </w:p>
        </w:tc>
      </w:tr>
      <w:tr w:rsidR="008D76D6" w14:paraId="0576EE7F" w14:textId="77777777">
        <w:trPr>
          <w:cantSplit/>
          <w:trHeight w:val="397"/>
        </w:trPr>
        <w:tc>
          <w:tcPr>
            <w:tcW w:w="808" w:type="pct"/>
            <w:vMerge/>
            <w:vAlign w:val="center"/>
          </w:tcPr>
          <w:p w14:paraId="5A3CE126" w14:textId="77777777" w:rsidR="008D76D6" w:rsidRDefault="008D76D6" w:rsidP="00145E66">
            <w:pPr>
              <w:spacing w:beforeLines="0" w:before="0" w:afterLines="0" w:after="0" w:line="240" w:lineRule="auto"/>
              <w:ind w:firstLineChars="0" w:firstLine="0"/>
              <w:jc w:val="center"/>
              <w:rPr>
                <w:rFonts w:ascii="Times New Roman" w:hAnsi="Times New Roman"/>
                <w:color w:val="000000"/>
                <w:sz w:val="21"/>
              </w:rPr>
            </w:pPr>
          </w:p>
        </w:tc>
        <w:tc>
          <w:tcPr>
            <w:tcW w:w="2963" w:type="pct"/>
            <w:noWrap/>
            <w:vAlign w:val="center"/>
          </w:tcPr>
          <w:p w14:paraId="6C96602B"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sz w:val="21"/>
              </w:rPr>
            </w:pPr>
            <w:r>
              <w:rPr>
                <w:rFonts w:ascii="Times New Roman" w:hAnsi="Times New Roman"/>
                <w:color w:val="000000"/>
                <w:sz w:val="21"/>
              </w:rPr>
              <w:t>河北格隆机械有限公司</w:t>
            </w:r>
          </w:p>
        </w:tc>
        <w:tc>
          <w:tcPr>
            <w:tcW w:w="681" w:type="pct"/>
            <w:noWrap/>
            <w:vAlign w:val="center"/>
          </w:tcPr>
          <w:p w14:paraId="5FF44B01"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color w:val="000000"/>
                <w:sz w:val="21"/>
              </w:rPr>
              <w:t>59.26</w:t>
            </w:r>
          </w:p>
        </w:tc>
        <w:tc>
          <w:tcPr>
            <w:tcW w:w="548" w:type="pct"/>
            <w:noWrap/>
            <w:vAlign w:val="center"/>
          </w:tcPr>
          <w:p w14:paraId="39EE4918"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color w:val="000000"/>
                <w:sz w:val="21"/>
              </w:rPr>
              <w:t>4.87%</w:t>
            </w:r>
          </w:p>
        </w:tc>
      </w:tr>
      <w:tr w:rsidR="008D76D6" w14:paraId="242888B7" w14:textId="77777777">
        <w:trPr>
          <w:cantSplit/>
          <w:trHeight w:val="397"/>
        </w:trPr>
        <w:tc>
          <w:tcPr>
            <w:tcW w:w="808" w:type="pct"/>
            <w:vMerge/>
            <w:vAlign w:val="center"/>
          </w:tcPr>
          <w:p w14:paraId="3EA82A45" w14:textId="77777777" w:rsidR="008D76D6" w:rsidRDefault="008D76D6" w:rsidP="00145E66">
            <w:pPr>
              <w:spacing w:beforeLines="0" w:before="0" w:afterLines="0" w:after="0" w:line="240" w:lineRule="auto"/>
              <w:ind w:firstLineChars="0" w:firstLine="0"/>
              <w:jc w:val="center"/>
              <w:rPr>
                <w:rFonts w:ascii="Times New Roman" w:hAnsi="Times New Roman"/>
                <w:color w:val="000000"/>
                <w:sz w:val="21"/>
              </w:rPr>
            </w:pPr>
          </w:p>
        </w:tc>
        <w:tc>
          <w:tcPr>
            <w:tcW w:w="2963" w:type="pct"/>
            <w:noWrap/>
            <w:vAlign w:val="center"/>
          </w:tcPr>
          <w:p w14:paraId="546A7261"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sz w:val="21"/>
              </w:rPr>
            </w:pPr>
            <w:r>
              <w:rPr>
                <w:rFonts w:ascii="Times New Roman" w:hAnsi="Times New Roman"/>
                <w:b/>
                <w:bCs/>
                <w:color w:val="000000"/>
                <w:sz w:val="21"/>
              </w:rPr>
              <w:t>合计</w:t>
            </w:r>
          </w:p>
        </w:tc>
        <w:tc>
          <w:tcPr>
            <w:tcW w:w="681" w:type="pct"/>
            <w:noWrap/>
            <w:vAlign w:val="center"/>
          </w:tcPr>
          <w:p w14:paraId="12B2E0DD"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1,123.16</w:t>
            </w:r>
          </w:p>
        </w:tc>
        <w:tc>
          <w:tcPr>
            <w:tcW w:w="548" w:type="pct"/>
            <w:noWrap/>
            <w:vAlign w:val="center"/>
          </w:tcPr>
          <w:p w14:paraId="736927CB"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92.28%</w:t>
            </w:r>
          </w:p>
        </w:tc>
      </w:tr>
      <w:tr w:rsidR="008D76D6" w14:paraId="3CAF571E" w14:textId="77777777">
        <w:trPr>
          <w:cantSplit/>
          <w:trHeight w:val="397"/>
        </w:trPr>
        <w:tc>
          <w:tcPr>
            <w:tcW w:w="808" w:type="pct"/>
            <w:vMerge w:val="restart"/>
            <w:noWrap/>
            <w:vAlign w:val="center"/>
          </w:tcPr>
          <w:p w14:paraId="42119299" w14:textId="77777777" w:rsidR="008D76D6" w:rsidRDefault="008D76D6" w:rsidP="00145E66">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2021</w:t>
            </w:r>
            <w:r>
              <w:rPr>
                <w:rFonts w:ascii="Times New Roman" w:hAnsi="Times New Roman"/>
                <w:color w:val="000000"/>
                <w:sz w:val="21"/>
              </w:rPr>
              <w:t>年</w:t>
            </w:r>
          </w:p>
        </w:tc>
        <w:tc>
          <w:tcPr>
            <w:tcW w:w="2963" w:type="pct"/>
            <w:noWrap/>
            <w:vAlign w:val="center"/>
          </w:tcPr>
          <w:p w14:paraId="3731C150"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青岛博泰汽车零部件有限责任公司</w:t>
            </w:r>
          </w:p>
        </w:tc>
        <w:tc>
          <w:tcPr>
            <w:tcW w:w="681" w:type="pct"/>
            <w:noWrap/>
            <w:vAlign w:val="center"/>
          </w:tcPr>
          <w:p w14:paraId="0AD1E9B7"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1,446.47</w:t>
            </w:r>
          </w:p>
        </w:tc>
        <w:tc>
          <w:tcPr>
            <w:tcW w:w="548" w:type="pct"/>
            <w:noWrap/>
            <w:vAlign w:val="center"/>
          </w:tcPr>
          <w:p w14:paraId="31FFC82E"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44.34%</w:t>
            </w:r>
          </w:p>
        </w:tc>
      </w:tr>
      <w:tr w:rsidR="008D76D6" w14:paraId="1999B1CF" w14:textId="77777777">
        <w:trPr>
          <w:cantSplit/>
          <w:trHeight w:val="397"/>
        </w:trPr>
        <w:tc>
          <w:tcPr>
            <w:tcW w:w="808" w:type="pct"/>
            <w:vMerge/>
            <w:vAlign w:val="center"/>
          </w:tcPr>
          <w:p w14:paraId="2DADDB89" w14:textId="77777777" w:rsidR="008D76D6" w:rsidRDefault="008D76D6" w:rsidP="00145E66">
            <w:pPr>
              <w:spacing w:beforeLines="0" w:before="0" w:afterLines="0" w:after="0" w:line="240" w:lineRule="auto"/>
              <w:ind w:firstLineChars="0" w:firstLine="0"/>
              <w:jc w:val="center"/>
              <w:rPr>
                <w:rFonts w:ascii="Times New Roman" w:hAnsi="Times New Roman"/>
                <w:color w:val="000000"/>
                <w:sz w:val="21"/>
              </w:rPr>
            </w:pPr>
          </w:p>
        </w:tc>
        <w:tc>
          <w:tcPr>
            <w:tcW w:w="2963" w:type="pct"/>
            <w:noWrap/>
            <w:vAlign w:val="center"/>
          </w:tcPr>
          <w:p w14:paraId="01CBF51C"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山东安博机械科技股份有限公司</w:t>
            </w:r>
          </w:p>
        </w:tc>
        <w:tc>
          <w:tcPr>
            <w:tcW w:w="681" w:type="pct"/>
            <w:noWrap/>
            <w:vAlign w:val="center"/>
          </w:tcPr>
          <w:p w14:paraId="0886DA96"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1,148.54</w:t>
            </w:r>
          </w:p>
        </w:tc>
        <w:tc>
          <w:tcPr>
            <w:tcW w:w="548" w:type="pct"/>
            <w:noWrap/>
            <w:vAlign w:val="center"/>
          </w:tcPr>
          <w:p w14:paraId="387C74CD"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35.20%</w:t>
            </w:r>
          </w:p>
        </w:tc>
      </w:tr>
      <w:tr w:rsidR="008D76D6" w14:paraId="696BB58D" w14:textId="77777777">
        <w:trPr>
          <w:cantSplit/>
          <w:trHeight w:val="397"/>
        </w:trPr>
        <w:tc>
          <w:tcPr>
            <w:tcW w:w="808" w:type="pct"/>
            <w:vMerge/>
            <w:vAlign w:val="center"/>
          </w:tcPr>
          <w:p w14:paraId="3847187C" w14:textId="77777777" w:rsidR="008D76D6" w:rsidRDefault="008D76D6" w:rsidP="00145E66">
            <w:pPr>
              <w:spacing w:beforeLines="0" w:before="0" w:afterLines="0" w:after="0" w:line="240" w:lineRule="auto"/>
              <w:ind w:firstLineChars="0" w:firstLine="0"/>
              <w:jc w:val="center"/>
              <w:rPr>
                <w:rFonts w:ascii="Times New Roman" w:hAnsi="Times New Roman"/>
                <w:color w:val="000000"/>
                <w:sz w:val="21"/>
              </w:rPr>
            </w:pPr>
          </w:p>
        </w:tc>
        <w:tc>
          <w:tcPr>
            <w:tcW w:w="2963" w:type="pct"/>
            <w:noWrap/>
            <w:vAlign w:val="center"/>
          </w:tcPr>
          <w:p w14:paraId="1A830F10"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潍坊谷合传动技术有限公司</w:t>
            </w:r>
          </w:p>
        </w:tc>
        <w:tc>
          <w:tcPr>
            <w:tcW w:w="681" w:type="pct"/>
            <w:noWrap/>
            <w:vAlign w:val="center"/>
          </w:tcPr>
          <w:p w14:paraId="30E58D43"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222.15</w:t>
            </w:r>
          </w:p>
        </w:tc>
        <w:tc>
          <w:tcPr>
            <w:tcW w:w="548" w:type="pct"/>
            <w:noWrap/>
            <w:vAlign w:val="center"/>
          </w:tcPr>
          <w:p w14:paraId="716922DF"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6.81%</w:t>
            </w:r>
          </w:p>
        </w:tc>
      </w:tr>
      <w:tr w:rsidR="008D76D6" w14:paraId="0F1CFC38" w14:textId="77777777">
        <w:trPr>
          <w:cantSplit/>
          <w:trHeight w:val="397"/>
        </w:trPr>
        <w:tc>
          <w:tcPr>
            <w:tcW w:w="808" w:type="pct"/>
            <w:vMerge/>
            <w:vAlign w:val="center"/>
          </w:tcPr>
          <w:p w14:paraId="6420DBD4" w14:textId="77777777" w:rsidR="008D76D6" w:rsidRDefault="008D76D6" w:rsidP="00145E66">
            <w:pPr>
              <w:spacing w:beforeLines="0" w:before="0" w:afterLines="0" w:after="0" w:line="240" w:lineRule="auto"/>
              <w:ind w:firstLineChars="0" w:firstLine="0"/>
              <w:jc w:val="center"/>
              <w:rPr>
                <w:rFonts w:ascii="Times New Roman" w:hAnsi="Times New Roman"/>
                <w:color w:val="000000"/>
                <w:sz w:val="21"/>
              </w:rPr>
            </w:pPr>
          </w:p>
        </w:tc>
        <w:tc>
          <w:tcPr>
            <w:tcW w:w="2963" w:type="pct"/>
            <w:noWrap/>
            <w:vAlign w:val="center"/>
          </w:tcPr>
          <w:p w14:paraId="5B9E4CA6"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青州德威动力有限公司</w:t>
            </w:r>
          </w:p>
        </w:tc>
        <w:tc>
          <w:tcPr>
            <w:tcW w:w="681" w:type="pct"/>
            <w:noWrap/>
            <w:vAlign w:val="center"/>
          </w:tcPr>
          <w:p w14:paraId="62EF6713"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211.68</w:t>
            </w:r>
          </w:p>
        </w:tc>
        <w:tc>
          <w:tcPr>
            <w:tcW w:w="548" w:type="pct"/>
            <w:noWrap/>
            <w:vAlign w:val="center"/>
          </w:tcPr>
          <w:p w14:paraId="15523DE3"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6.49%</w:t>
            </w:r>
          </w:p>
        </w:tc>
      </w:tr>
      <w:tr w:rsidR="008D76D6" w14:paraId="167E5211" w14:textId="77777777">
        <w:trPr>
          <w:cantSplit/>
          <w:trHeight w:val="397"/>
        </w:trPr>
        <w:tc>
          <w:tcPr>
            <w:tcW w:w="808" w:type="pct"/>
            <w:vMerge/>
            <w:vAlign w:val="center"/>
          </w:tcPr>
          <w:p w14:paraId="6604A025" w14:textId="77777777" w:rsidR="008D76D6" w:rsidRDefault="008D76D6" w:rsidP="00145E66">
            <w:pPr>
              <w:spacing w:beforeLines="0" w:before="0" w:afterLines="0" w:after="0" w:line="240" w:lineRule="auto"/>
              <w:ind w:firstLineChars="0" w:firstLine="0"/>
              <w:jc w:val="center"/>
              <w:rPr>
                <w:rFonts w:ascii="Times New Roman" w:hAnsi="Times New Roman"/>
                <w:color w:val="000000"/>
                <w:sz w:val="21"/>
              </w:rPr>
            </w:pPr>
          </w:p>
        </w:tc>
        <w:tc>
          <w:tcPr>
            <w:tcW w:w="2963" w:type="pct"/>
            <w:noWrap/>
            <w:vAlign w:val="center"/>
          </w:tcPr>
          <w:p w14:paraId="5A80A74C"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河北格隆机械有限公司</w:t>
            </w:r>
          </w:p>
        </w:tc>
        <w:tc>
          <w:tcPr>
            <w:tcW w:w="681" w:type="pct"/>
            <w:noWrap/>
            <w:vAlign w:val="center"/>
          </w:tcPr>
          <w:p w14:paraId="149EF21E"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85.17</w:t>
            </w:r>
          </w:p>
        </w:tc>
        <w:tc>
          <w:tcPr>
            <w:tcW w:w="548" w:type="pct"/>
            <w:noWrap/>
            <w:vAlign w:val="center"/>
          </w:tcPr>
          <w:p w14:paraId="30BB24C4"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2.61%</w:t>
            </w:r>
          </w:p>
        </w:tc>
      </w:tr>
      <w:tr w:rsidR="008D76D6" w14:paraId="0C1ADEEC" w14:textId="77777777">
        <w:trPr>
          <w:cantSplit/>
          <w:trHeight w:val="397"/>
        </w:trPr>
        <w:tc>
          <w:tcPr>
            <w:tcW w:w="808" w:type="pct"/>
            <w:vMerge/>
            <w:vAlign w:val="center"/>
          </w:tcPr>
          <w:p w14:paraId="071F0802" w14:textId="77777777" w:rsidR="008D76D6" w:rsidRDefault="008D76D6" w:rsidP="00145E66">
            <w:pPr>
              <w:spacing w:beforeLines="0" w:before="0" w:afterLines="0" w:after="0" w:line="240" w:lineRule="auto"/>
              <w:ind w:firstLineChars="0" w:firstLine="0"/>
              <w:jc w:val="center"/>
              <w:rPr>
                <w:rFonts w:ascii="Times New Roman" w:hAnsi="Times New Roman"/>
                <w:color w:val="000000"/>
                <w:sz w:val="21"/>
              </w:rPr>
            </w:pPr>
          </w:p>
        </w:tc>
        <w:tc>
          <w:tcPr>
            <w:tcW w:w="2963" w:type="pct"/>
            <w:noWrap/>
            <w:vAlign w:val="center"/>
          </w:tcPr>
          <w:p w14:paraId="4C82E02F"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sz w:val="21"/>
              </w:rPr>
            </w:pPr>
            <w:r>
              <w:rPr>
                <w:rFonts w:ascii="Times New Roman" w:hAnsi="Times New Roman"/>
                <w:b/>
                <w:bCs/>
                <w:color w:val="000000"/>
                <w:sz w:val="21"/>
              </w:rPr>
              <w:t>合计</w:t>
            </w:r>
          </w:p>
        </w:tc>
        <w:tc>
          <w:tcPr>
            <w:tcW w:w="681" w:type="pct"/>
            <w:noWrap/>
            <w:vAlign w:val="center"/>
          </w:tcPr>
          <w:p w14:paraId="53DF5266"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3,114.01</w:t>
            </w:r>
          </w:p>
        </w:tc>
        <w:tc>
          <w:tcPr>
            <w:tcW w:w="548" w:type="pct"/>
            <w:noWrap/>
            <w:vAlign w:val="center"/>
          </w:tcPr>
          <w:p w14:paraId="3968FF67"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95.45%</w:t>
            </w:r>
          </w:p>
        </w:tc>
      </w:tr>
      <w:tr w:rsidR="008D76D6" w14:paraId="45D10AA6" w14:textId="77777777">
        <w:trPr>
          <w:cantSplit/>
          <w:trHeight w:val="397"/>
        </w:trPr>
        <w:tc>
          <w:tcPr>
            <w:tcW w:w="808" w:type="pct"/>
            <w:vMerge w:val="restart"/>
            <w:noWrap/>
            <w:vAlign w:val="center"/>
          </w:tcPr>
          <w:p w14:paraId="7DE6C8AA" w14:textId="77777777" w:rsidR="008D76D6" w:rsidRDefault="008D76D6" w:rsidP="00145E66">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2020</w:t>
            </w:r>
            <w:r>
              <w:rPr>
                <w:rFonts w:ascii="Times New Roman" w:hAnsi="Times New Roman"/>
                <w:color w:val="000000"/>
                <w:sz w:val="21"/>
              </w:rPr>
              <w:t>年</w:t>
            </w:r>
          </w:p>
        </w:tc>
        <w:tc>
          <w:tcPr>
            <w:tcW w:w="2963" w:type="pct"/>
            <w:noWrap/>
            <w:vAlign w:val="center"/>
          </w:tcPr>
          <w:p w14:paraId="19AD2629"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山东安博机械科技股份有限公司</w:t>
            </w:r>
          </w:p>
        </w:tc>
        <w:tc>
          <w:tcPr>
            <w:tcW w:w="681" w:type="pct"/>
            <w:noWrap/>
            <w:vAlign w:val="center"/>
          </w:tcPr>
          <w:p w14:paraId="229DA4E0"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584.34</w:t>
            </w:r>
          </w:p>
        </w:tc>
        <w:tc>
          <w:tcPr>
            <w:tcW w:w="548" w:type="pct"/>
            <w:noWrap/>
            <w:vAlign w:val="center"/>
          </w:tcPr>
          <w:p w14:paraId="14CADEC6"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30.60%</w:t>
            </w:r>
          </w:p>
        </w:tc>
      </w:tr>
      <w:tr w:rsidR="008D76D6" w14:paraId="4EC30BA0" w14:textId="77777777">
        <w:trPr>
          <w:cantSplit/>
          <w:trHeight w:val="397"/>
        </w:trPr>
        <w:tc>
          <w:tcPr>
            <w:tcW w:w="808" w:type="pct"/>
            <w:vMerge/>
            <w:vAlign w:val="center"/>
          </w:tcPr>
          <w:p w14:paraId="7F926F66" w14:textId="77777777" w:rsidR="008D76D6" w:rsidRDefault="008D76D6" w:rsidP="00145E66">
            <w:pPr>
              <w:spacing w:beforeLines="0" w:before="0" w:afterLines="0" w:after="0" w:line="240" w:lineRule="auto"/>
              <w:ind w:firstLineChars="0" w:firstLine="0"/>
              <w:rPr>
                <w:rFonts w:ascii="Times New Roman" w:hAnsi="Times New Roman"/>
                <w:color w:val="000000"/>
                <w:sz w:val="21"/>
              </w:rPr>
            </w:pPr>
          </w:p>
        </w:tc>
        <w:tc>
          <w:tcPr>
            <w:tcW w:w="2963" w:type="pct"/>
            <w:noWrap/>
            <w:vAlign w:val="center"/>
          </w:tcPr>
          <w:p w14:paraId="2FC887E1"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青州德威动力有限公司</w:t>
            </w:r>
          </w:p>
        </w:tc>
        <w:tc>
          <w:tcPr>
            <w:tcW w:w="681" w:type="pct"/>
            <w:noWrap/>
            <w:vAlign w:val="center"/>
          </w:tcPr>
          <w:p w14:paraId="3B1184E7"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547.91</w:t>
            </w:r>
          </w:p>
        </w:tc>
        <w:tc>
          <w:tcPr>
            <w:tcW w:w="548" w:type="pct"/>
            <w:noWrap/>
            <w:vAlign w:val="center"/>
          </w:tcPr>
          <w:p w14:paraId="2A24544E"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28.69%</w:t>
            </w:r>
          </w:p>
        </w:tc>
      </w:tr>
      <w:tr w:rsidR="008D76D6" w14:paraId="785FFD96" w14:textId="77777777">
        <w:trPr>
          <w:cantSplit/>
          <w:trHeight w:val="397"/>
        </w:trPr>
        <w:tc>
          <w:tcPr>
            <w:tcW w:w="808" w:type="pct"/>
            <w:vMerge/>
            <w:vAlign w:val="center"/>
          </w:tcPr>
          <w:p w14:paraId="2BA1EA6B" w14:textId="77777777" w:rsidR="008D76D6" w:rsidRDefault="008D76D6" w:rsidP="00145E66">
            <w:pPr>
              <w:spacing w:beforeLines="0" w:before="0" w:afterLines="0" w:after="0" w:line="240" w:lineRule="auto"/>
              <w:ind w:firstLineChars="0" w:firstLine="0"/>
              <w:rPr>
                <w:rFonts w:ascii="Times New Roman" w:hAnsi="Times New Roman"/>
                <w:color w:val="000000"/>
                <w:sz w:val="21"/>
              </w:rPr>
            </w:pPr>
          </w:p>
        </w:tc>
        <w:tc>
          <w:tcPr>
            <w:tcW w:w="2963" w:type="pct"/>
            <w:noWrap/>
            <w:vAlign w:val="center"/>
          </w:tcPr>
          <w:p w14:paraId="7DAAD6EB"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青岛博泰汽车零部件有限责任公司</w:t>
            </w:r>
          </w:p>
        </w:tc>
        <w:tc>
          <w:tcPr>
            <w:tcW w:w="681" w:type="pct"/>
            <w:noWrap/>
            <w:vAlign w:val="center"/>
          </w:tcPr>
          <w:p w14:paraId="1E040396"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533.58</w:t>
            </w:r>
          </w:p>
        </w:tc>
        <w:tc>
          <w:tcPr>
            <w:tcW w:w="548" w:type="pct"/>
            <w:noWrap/>
            <w:vAlign w:val="center"/>
          </w:tcPr>
          <w:p w14:paraId="1B0A620B"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27.94%</w:t>
            </w:r>
          </w:p>
        </w:tc>
      </w:tr>
      <w:tr w:rsidR="008D76D6" w14:paraId="2B74D099" w14:textId="77777777">
        <w:trPr>
          <w:cantSplit/>
          <w:trHeight w:val="397"/>
        </w:trPr>
        <w:tc>
          <w:tcPr>
            <w:tcW w:w="808" w:type="pct"/>
            <w:vMerge/>
            <w:vAlign w:val="center"/>
          </w:tcPr>
          <w:p w14:paraId="1590492C" w14:textId="77777777" w:rsidR="008D76D6" w:rsidRDefault="008D76D6" w:rsidP="00145E66">
            <w:pPr>
              <w:spacing w:beforeLines="0" w:before="0" w:afterLines="0" w:after="0" w:line="240" w:lineRule="auto"/>
              <w:ind w:firstLineChars="0" w:firstLine="0"/>
              <w:rPr>
                <w:rFonts w:ascii="Times New Roman" w:hAnsi="Times New Roman"/>
                <w:color w:val="000000"/>
                <w:sz w:val="21"/>
              </w:rPr>
            </w:pPr>
          </w:p>
        </w:tc>
        <w:tc>
          <w:tcPr>
            <w:tcW w:w="2963" w:type="pct"/>
            <w:noWrap/>
            <w:vAlign w:val="center"/>
          </w:tcPr>
          <w:p w14:paraId="5B53E331"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龙口中宇汽车风扇离合器有限公司</w:t>
            </w:r>
          </w:p>
        </w:tc>
        <w:tc>
          <w:tcPr>
            <w:tcW w:w="681" w:type="pct"/>
            <w:noWrap/>
            <w:vAlign w:val="center"/>
          </w:tcPr>
          <w:p w14:paraId="3C3FB035"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162.94</w:t>
            </w:r>
          </w:p>
        </w:tc>
        <w:tc>
          <w:tcPr>
            <w:tcW w:w="548" w:type="pct"/>
            <w:noWrap/>
            <w:vAlign w:val="center"/>
          </w:tcPr>
          <w:p w14:paraId="7257C02F"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8.53%</w:t>
            </w:r>
          </w:p>
        </w:tc>
      </w:tr>
      <w:tr w:rsidR="008D76D6" w14:paraId="30A486D5" w14:textId="77777777">
        <w:trPr>
          <w:cantSplit/>
          <w:trHeight w:val="397"/>
        </w:trPr>
        <w:tc>
          <w:tcPr>
            <w:tcW w:w="808" w:type="pct"/>
            <w:vMerge/>
            <w:vAlign w:val="center"/>
          </w:tcPr>
          <w:p w14:paraId="3B734B6F" w14:textId="77777777" w:rsidR="008D76D6" w:rsidRDefault="008D76D6" w:rsidP="00145E66">
            <w:pPr>
              <w:spacing w:beforeLines="0" w:before="0" w:afterLines="0" w:after="0" w:line="240" w:lineRule="auto"/>
              <w:ind w:firstLineChars="0" w:firstLine="0"/>
              <w:rPr>
                <w:rFonts w:ascii="Times New Roman" w:hAnsi="Times New Roman"/>
                <w:color w:val="000000"/>
                <w:sz w:val="21"/>
              </w:rPr>
            </w:pPr>
          </w:p>
        </w:tc>
        <w:tc>
          <w:tcPr>
            <w:tcW w:w="2963" w:type="pct"/>
            <w:noWrap/>
            <w:vAlign w:val="center"/>
          </w:tcPr>
          <w:p w14:paraId="5121B099" w14:textId="77777777" w:rsidR="008D76D6" w:rsidRDefault="008D76D6" w:rsidP="008C4EDC">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山东鼎元汽车零部件有限公司</w:t>
            </w:r>
          </w:p>
        </w:tc>
        <w:tc>
          <w:tcPr>
            <w:tcW w:w="681" w:type="pct"/>
            <w:noWrap/>
            <w:vAlign w:val="center"/>
          </w:tcPr>
          <w:p w14:paraId="1480BE2B"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79.00</w:t>
            </w:r>
          </w:p>
        </w:tc>
        <w:tc>
          <w:tcPr>
            <w:tcW w:w="548" w:type="pct"/>
            <w:noWrap/>
            <w:vAlign w:val="center"/>
          </w:tcPr>
          <w:p w14:paraId="2A0C3045" w14:textId="77777777" w:rsidR="008D76D6" w:rsidRDefault="008D76D6" w:rsidP="00145E66">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4.14%</w:t>
            </w:r>
          </w:p>
        </w:tc>
      </w:tr>
      <w:tr w:rsidR="008D76D6" w14:paraId="269C5859" w14:textId="77777777">
        <w:trPr>
          <w:cantSplit/>
          <w:trHeight w:val="397"/>
        </w:trPr>
        <w:tc>
          <w:tcPr>
            <w:tcW w:w="808" w:type="pct"/>
            <w:vMerge/>
            <w:vAlign w:val="center"/>
          </w:tcPr>
          <w:p w14:paraId="32D562F6" w14:textId="77777777" w:rsidR="008D76D6" w:rsidRDefault="008D76D6" w:rsidP="00145E66">
            <w:pPr>
              <w:spacing w:beforeLines="0" w:before="0" w:afterLines="0" w:after="0" w:line="240" w:lineRule="auto"/>
              <w:ind w:firstLineChars="0" w:firstLine="0"/>
              <w:rPr>
                <w:rFonts w:ascii="Times New Roman" w:hAnsi="Times New Roman"/>
                <w:color w:val="000000"/>
                <w:sz w:val="21"/>
              </w:rPr>
            </w:pPr>
          </w:p>
        </w:tc>
        <w:tc>
          <w:tcPr>
            <w:tcW w:w="2963" w:type="pct"/>
            <w:noWrap/>
            <w:vAlign w:val="center"/>
          </w:tcPr>
          <w:p w14:paraId="3F423914" w14:textId="77777777" w:rsidR="008D76D6" w:rsidRDefault="008D76D6" w:rsidP="008C4EDC">
            <w:pPr>
              <w:spacing w:beforeLines="0" w:before="0" w:afterLines="0" w:after="0" w:line="240" w:lineRule="auto"/>
              <w:ind w:firstLineChars="0" w:firstLine="0"/>
              <w:jc w:val="center"/>
              <w:rPr>
                <w:rFonts w:ascii="Times New Roman" w:hAnsi="Times New Roman"/>
                <w:b/>
                <w:bCs/>
                <w:color w:val="000000"/>
                <w:sz w:val="21"/>
              </w:rPr>
            </w:pPr>
            <w:r>
              <w:rPr>
                <w:rFonts w:ascii="Times New Roman" w:hAnsi="Times New Roman"/>
                <w:b/>
                <w:bCs/>
                <w:color w:val="000000"/>
                <w:sz w:val="21"/>
              </w:rPr>
              <w:t>合计</w:t>
            </w:r>
          </w:p>
        </w:tc>
        <w:tc>
          <w:tcPr>
            <w:tcW w:w="681" w:type="pct"/>
            <w:noWrap/>
            <w:vAlign w:val="center"/>
          </w:tcPr>
          <w:p w14:paraId="6A949991"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1,907.76</w:t>
            </w:r>
          </w:p>
        </w:tc>
        <w:tc>
          <w:tcPr>
            <w:tcW w:w="548" w:type="pct"/>
            <w:noWrap/>
            <w:vAlign w:val="center"/>
          </w:tcPr>
          <w:p w14:paraId="61D43FB1" w14:textId="77777777" w:rsidR="008D76D6" w:rsidRDefault="008D76D6" w:rsidP="00145E66">
            <w:pPr>
              <w:spacing w:beforeLines="0" w:before="0" w:afterLines="0" w:after="0" w:line="240" w:lineRule="auto"/>
              <w:ind w:firstLineChars="0" w:firstLine="0"/>
              <w:jc w:val="right"/>
              <w:rPr>
                <w:rFonts w:ascii="Times New Roman" w:hAnsi="Times New Roman"/>
                <w:b/>
                <w:bCs/>
                <w:color w:val="000000"/>
                <w:sz w:val="21"/>
              </w:rPr>
            </w:pPr>
            <w:r>
              <w:rPr>
                <w:rFonts w:ascii="Times New Roman" w:hAnsi="Times New Roman"/>
                <w:b/>
                <w:bCs/>
                <w:color w:val="000000"/>
                <w:sz w:val="21"/>
              </w:rPr>
              <w:t>99.90%</w:t>
            </w:r>
          </w:p>
        </w:tc>
      </w:tr>
    </w:tbl>
    <w:p w14:paraId="56F60926" w14:textId="77777777" w:rsidR="008D76D6" w:rsidRDefault="008D76D6">
      <w:pPr>
        <w:spacing w:before="120" w:after="120"/>
        <w:ind w:firstLine="480"/>
        <w:rPr>
          <w:rFonts w:ascii="Times New Roman" w:hAnsi="Times New Roman"/>
        </w:rPr>
      </w:pPr>
      <w:r>
        <w:rPr>
          <w:rFonts w:ascii="Times New Roman" w:hAnsi="Times New Roman"/>
        </w:rPr>
        <w:t>由上可见，汽车配件业务客户业务集中度较高，报告期各期前五大客户收入</w:t>
      </w:r>
      <w:r>
        <w:rPr>
          <w:rFonts w:ascii="Times New Roman" w:hAnsi="Times New Roman" w:hint="eastAsia"/>
        </w:rPr>
        <w:t>合计</w:t>
      </w:r>
      <w:r>
        <w:rPr>
          <w:rFonts w:ascii="Times New Roman" w:hAnsi="Times New Roman"/>
        </w:rPr>
        <w:t>占比均在</w:t>
      </w:r>
      <w:r>
        <w:rPr>
          <w:rFonts w:ascii="Times New Roman" w:hAnsi="Times New Roman"/>
        </w:rPr>
        <w:t>90%</w:t>
      </w:r>
      <w:r>
        <w:rPr>
          <w:rFonts w:ascii="Times New Roman" w:hAnsi="Times New Roman"/>
        </w:rPr>
        <w:t>以上。上述主要客户的合作背景如下：</w:t>
      </w:r>
    </w:p>
    <w:tbl>
      <w:tblPr>
        <w:tblW w:w="6000" w:type="pct"/>
        <w:jc w:val="center"/>
        <w:tblInd w:w="0" w:type="dxa"/>
        <w:tblBorders>
          <w:top w:val="single" w:sz="6" w:space="0" w:color="010000"/>
          <w:left w:val="single" w:sz="6" w:space="0" w:color="010000"/>
          <w:bottom w:val="single" w:sz="6" w:space="0" w:color="010000"/>
          <w:right w:val="single" w:sz="6" w:space="0" w:color="010000"/>
          <w:insideH w:val="single" w:sz="6" w:space="0" w:color="010000"/>
          <w:insideV w:val="single" w:sz="6" w:space="0" w:color="010000"/>
        </w:tblBorders>
        <w:tblLayout w:type="fixed"/>
        <w:tblLook w:val="0000" w:firstRow="0" w:lastRow="0" w:firstColumn="0" w:lastColumn="0" w:noHBand="0" w:noVBand="0"/>
      </w:tblPr>
      <w:tblGrid>
        <w:gridCol w:w="1430"/>
        <w:gridCol w:w="2181"/>
        <w:gridCol w:w="1774"/>
        <w:gridCol w:w="2002"/>
        <w:gridCol w:w="3425"/>
      </w:tblGrid>
      <w:tr w:rsidR="008D76D6" w14:paraId="0DCDF49A" w14:textId="77777777">
        <w:trPr>
          <w:cantSplit/>
          <w:trHeight w:val="397"/>
          <w:tblHeader/>
          <w:jc w:val="center"/>
        </w:trPr>
        <w:tc>
          <w:tcPr>
            <w:tcW w:w="661" w:type="pct"/>
            <w:shd w:val="clear" w:color="auto" w:fill="D9D9D9"/>
            <w:noWrap/>
            <w:vAlign w:val="center"/>
          </w:tcPr>
          <w:p w14:paraId="37C9E733" w14:textId="77777777" w:rsidR="008D76D6" w:rsidRDefault="008D76D6" w:rsidP="000B64E7">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序号</w:t>
            </w:r>
          </w:p>
        </w:tc>
        <w:tc>
          <w:tcPr>
            <w:tcW w:w="1008" w:type="pct"/>
            <w:shd w:val="clear" w:color="auto" w:fill="D9D9D9"/>
            <w:vAlign w:val="center"/>
          </w:tcPr>
          <w:p w14:paraId="57B754AF" w14:textId="77777777" w:rsidR="008D76D6" w:rsidRDefault="008D76D6" w:rsidP="000B64E7">
            <w:pPr>
              <w:keepNext/>
              <w:spacing w:beforeLines="0" w:before="0" w:afterLines="0" w:after="0" w:line="240" w:lineRule="auto"/>
              <w:ind w:firstLineChars="0" w:firstLine="0"/>
              <w:jc w:val="center"/>
              <w:rPr>
                <w:rFonts w:ascii="Times New Roman" w:hAnsi="Times New Roman"/>
                <w:b/>
                <w:bCs/>
                <w:color w:val="000000"/>
                <w:sz w:val="21"/>
              </w:rPr>
            </w:pPr>
            <w:r>
              <w:rPr>
                <w:rFonts w:ascii="Times New Roman" w:hAnsi="Times New Roman"/>
                <w:b/>
                <w:bCs/>
                <w:color w:val="000000"/>
                <w:sz w:val="21"/>
              </w:rPr>
              <w:t>客户</w:t>
            </w:r>
          </w:p>
        </w:tc>
        <w:tc>
          <w:tcPr>
            <w:tcW w:w="820" w:type="pct"/>
            <w:shd w:val="clear" w:color="auto" w:fill="D9D9D9"/>
            <w:vAlign w:val="center"/>
          </w:tcPr>
          <w:p w14:paraId="2F38B084" w14:textId="77777777" w:rsidR="008D76D6" w:rsidRDefault="008D76D6" w:rsidP="000B64E7">
            <w:pPr>
              <w:keepNext/>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b/>
                <w:bCs/>
                <w:color w:val="000000"/>
                <w:sz w:val="21"/>
                <w:szCs w:val="21"/>
              </w:rPr>
              <w:t>业务开展时间</w:t>
            </w:r>
          </w:p>
        </w:tc>
        <w:tc>
          <w:tcPr>
            <w:tcW w:w="926" w:type="pct"/>
            <w:shd w:val="clear" w:color="auto" w:fill="D9D9D9"/>
            <w:vAlign w:val="center"/>
          </w:tcPr>
          <w:p w14:paraId="2CD883DB" w14:textId="77777777" w:rsidR="008D76D6" w:rsidRDefault="008D76D6" w:rsidP="000B64E7">
            <w:pPr>
              <w:keepNext/>
              <w:spacing w:beforeLines="0" w:before="0" w:afterLines="0" w:after="0" w:line="240" w:lineRule="auto"/>
              <w:ind w:firstLineChars="0" w:firstLine="0"/>
              <w:jc w:val="center"/>
              <w:rPr>
                <w:rFonts w:ascii="Times New Roman" w:hAnsi="Times New Roman"/>
                <w:b/>
                <w:bCs/>
                <w:color w:val="000000"/>
                <w:sz w:val="21"/>
              </w:rPr>
            </w:pPr>
            <w:r>
              <w:rPr>
                <w:rFonts w:ascii="Times New Roman" w:hAnsi="Times New Roman"/>
                <w:b/>
                <w:bCs/>
                <w:color w:val="000000"/>
                <w:sz w:val="21"/>
              </w:rPr>
              <w:t>合作背景</w:t>
            </w:r>
          </w:p>
        </w:tc>
        <w:tc>
          <w:tcPr>
            <w:tcW w:w="1584" w:type="pct"/>
            <w:shd w:val="clear" w:color="auto" w:fill="D9D9D9"/>
            <w:vAlign w:val="center"/>
          </w:tcPr>
          <w:p w14:paraId="0947427A" w14:textId="77777777" w:rsidR="008D76D6" w:rsidRDefault="008D76D6" w:rsidP="000B64E7">
            <w:pPr>
              <w:keepNext/>
              <w:spacing w:beforeLines="0" w:before="0" w:afterLines="0" w:after="0" w:line="240" w:lineRule="auto"/>
              <w:ind w:firstLineChars="0" w:firstLine="0"/>
              <w:jc w:val="center"/>
              <w:rPr>
                <w:rFonts w:ascii="Times New Roman" w:hAnsi="Times New Roman"/>
                <w:b/>
                <w:bCs/>
                <w:color w:val="000000"/>
                <w:sz w:val="21"/>
              </w:rPr>
            </w:pPr>
            <w:r>
              <w:rPr>
                <w:rFonts w:ascii="Times New Roman" w:hAnsi="Times New Roman"/>
                <w:b/>
                <w:bCs/>
                <w:color w:val="000000"/>
                <w:sz w:val="21"/>
              </w:rPr>
              <w:t>与该客户持续稳定交易的原因简介</w:t>
            </w:r>
          </w:p>
        </w:tc>
      </w:tr>
      <w:tr w:rsidR="008D76D6" w14:paraId="6E58A690" w14:textId="77777777">
        <w:trPr>
          <w:cantSplit/>
          <w:trHeight w:val="397"/>
          <w:jc w:val="center"/>
        </w:trPr>
        <w:tc>
          <w:tcPr>
            <w:tcW w:w="661" w:type="pct"/>
            <w:noWrap/>
            <w:vAlign w:val="center"/>
          </w:tcPr>
          <w:p w14:paraId="312D66DA"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1</w:t>
            </w:r>
          </w:p>
        </w:tc>
        <w:tc>
          <w:tcPr>
            <w:tcW w:w="1008" w:type="pct"/>
            <w:noWrap/>
            <w:vAlign w:val="center"/>
          </w:tcPr>
          <w:p w14:paraId="35CF87CC"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青岛博泰汽车零部件有限责任公司</w:t>
            </w:r>
          </w:p>
        </w:tc>
        <w:tc>
          <w:tcPr>
            <w:tcW w:w="820" w:type="pct"/>
            <w:noWrap/>
            <w:vAlign w:val="center"/>
          </w:tcPr>
          <w:p w14:paraId="75996556"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2019</w:t>
            </w:r>
            <w:r>
              <w:rPr>
                <w:rFonts w:ascii="Times New Roman" w:hAnsi="Times New Roman"/>
                <w:color w:val="000000"/>
                <w:sz w:val="21"/>
              </w:rPr>
              <w:t>年</w:t>
            </w:r>
            <w:r>
              <w:rPr>
                <w:rFonts w:ascii="Times New Roman" w:hAnsi="Times New Roman" w:hint="eastAsia"/>
                <w:color w:val="000000"/>
                <w:sz w:val="21"/>
              </w:rPr>
              <w:t>至今</w:t>
            </w:r>
          </w:p>
        </w:tc>
        <w:tc>
          <w:tcPr>
            <w:tcW w:w="926" w:type="pct"/>
            <w:noWrap/>
            <w:vAlign w:val="center"/>
          </w:tcPr>
          <w:p w14:paraId="18D19858" w14:textId="77777777" w:rsidR="008D76D6" w:rsidRDefault="008D76D6" w:rsidP="000B64E7">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客户</w:t>
            </w:r>
            <w:r>
              <w:rPr>
                <w:rFonts w:ascii="Times New Roman" w:hAnsi="Times New Roman" w:hint="eastAsia"/>
                <w:color w:val="000000"/>
                <w:sz w:val="21"/>
              </w:rPr>
              <w:t>为</w:t>
            </w:r>
            <w:r>
              <w:rPr>
                <w:rFonts w:ascii="Times New Roman" w:hAnsi="Times New Roman"/>
                <w:color w:val="000000"/>
                <w:sz w:val="21"/>
              </w:rPr>
              <w:t>商用车配套零部件供应商</w:t>
            </w:r>
          </w:p>
        </w:tc>
        <w:tc>
          <w:tcPr>
            <w:tcW w:w="1584" w:type="pct"/>
            <w:vAlign w:val="center"/>
          </w:tcPr>
          <w:p w14:paraId="3BCE2470" w14:textId="77777777" w:rsidR="008D76D6" w:rsidRDefault="008D76D6" w:rsidP="000B64E7">
            <w:pPr>
              <w:spacing w:beforeLines="0" w:before="0" w:afterLines="0" w:after="0" w:line="240" w:lineRule="auto"/>
              <w:ind w:firstLineChars="0" w:firstLine="0"/>
              <w:rPr>
                <w:rFonts w:ascii="Times New Roman" w:hAnsi="Times New Roman"/>
                <w:color w:val="000000"/>
                <w:sz w:val="21"/>
              </w:rPr>
            </w:pPr>
            <w:r>
              <w:rPr>
                <w:rFonts w:ascii="Times New Roman" w:hAnsi="Times New Roman" w:hint="eastAsia"/>
                <w:color w:val="000000"/>
                <w:sz w:val="21"/>
              </w:rPr>
              <w:t>公司产品</w:t>
            </w:r>
            <w:r>
              <w:rPr>
                <w:rFonts w:ascii="Times New Roman" w:hAnsi="Times New Roman"/>
                <w:color w:val="000000"/>
                <w:sz w:val="21"/>
              </w:rPr>
              <w:t>维持市场价格，客户订单稳定。报告期各期均为公司汽车配件业务前五大客户。</w:t>
            </w:r>
          </w:p>
        </w:tc>
      </w:tr>
      <w:tr w:rsidR="008D76D6" w14:paraId="0D4A81E7" w14:textId="77777777">
        <w:trPr>
          <w:cantSplit/>
          <w:trHeight w:val="397"/>
          <w:jc w:val="center"/>
        </w:trPr>
        <w:tc>
          <w:tcPr>
            <w:tcW w:w="661" w:type="pct"/>
            <w:noWrap/>
            <w:vAlign w:val="center"/>
          </w:tcPr>
          <w:p w14:paraId="59FAE643"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2</w:t>
            </w:r>
          </w:p>
        </w:tc>
        <w:tc>
          <w:tcPr>
            <w:tcW w:w="1008" w:type="pct"/>
            <w:noWrap/>
            <w:vAlign w:val="center"/>
          </w:tcPr>
          <w:p w14:paraId="09606D3D"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山东安博机械科技股份有限公司</w:t>
            </w:r>
          </w:p>
        </w:tc>
        <w:tc>
          <w:tcPr>
            <w:tcW w:w="820" w:type="pct"/>
            <w:noWrap/>
            <w:vAlign w:val="center"/>
          </w:tcPr>
          <w:p w14:paraId="534B68EB"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2019</w:t>
            </w:r>
            <w:r>
              <w:rPr>
                <w:rFonts w:ascii="Times New Roman" w:hAnsi="Times New Roman"/>
                <w:color w:val="000000"/>
                <w:sz w:val="21"/>
              </w:rPr>
              <w:t>年</w:t>
            </w:r>
            <w:r>
              <w:rPr>
                <w:rFonts w:ascii="Times New Roman" w:hAnsi="Times New Roman"/>
                <w:color w:val="000000"/>
                <w:sz w:val="21"/>
              </w:rPr>
              <w:t>-2022</w:t>
            </w:r>
            <w:r>
              <w:rPr>
                <w:rFonts w:ascii="Times New Roman" w:hAnsi="Times New Roman"/>
                <w:color w:val="000000"/>
                <w:sz w:val="21"/>
              </w:rPr>
              <w:t>年底</w:t>
            </w:r>
          </w:p>
        </w:tc>
        <w:tc>
          <w:tcPr>
            <w:tcW w:w="926" w:type="pct"/>
            <w:noWrap/>
            <w:vAlign w:val="center"/>
          </w:tcPr>
          <w:p w14:paraId="0F04DC36" w14:textId="77777777" w:rsidR="008D76D6" w:rsidRDefault="008D76D6" w:rsidP="000B64E7">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客户</w:t>
            </w:r>
            <w:r>
              <w:rPr>
                <w:rFonts w:ascii="Times New Roman" w:hAnsi="Times New Roman" w:hint="eastAsia"/>
                <w:color w:val="000000"/>
                <w:sz w:val="21"/>
              </w:rPr>
              <w:t>为</w:t>
            </w:r>
            <w:r>
              <w:rPr>
                <w:rFonts w:ascii="Times New Roman" w:hAnsi="Times New Roman"/>
                <w:color w:val="000000"/>
                <w:sz w:val="21"/>
              </w:rPr>
              <w:t>商用车配套零部件供应商</w:t>
            </w:r>
          </w:p>
        </w:tc>
        <w:tc>
          <w:tcPr>
            <w:tcW w:w="1584" w:type="pct"/>
            <w:vAlign w:val="center"/>
          </w:tcPr>
          <w:p w14:paraId="4880B91E" w14:textId="77777777" w:rsidR="008D76D6" w:rsidRDefault="008D76D6" w:rsidP="000B64E7">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2020</w:t>
            </w:r>
            <w:r>
              <w:rPr>
                <w:rFonts w:ascii="Times New Roman" w:hAnsi="Times New Roman"/>
                <w:color w:val="000000"/>
                <w:sz w:val="21"/>
              </w:rPr>
              <w:t>年及</w:t>
            </w:r>
            <w:r>
              <w:rPr>
                <w:rFonts w:ascii="Times New Roman" w:hAnsi="Times New Roman"/>
                <w:color w:val="000000"/>
                <w:sz w:val="21"/>
              </w:rPr>
              <w:t>2021</w:t>
            </w:r>
            <w:r>
              <w:rPr>
                <w:rFonts w:ascii="Times New Roman" w:hAnsi="Times New Roman"/>
                <w:color w:val="000000"/>
                <w:sz w:val="21"/>
              </w:rPr>
              <w:t>年与公司业务较多。</w:t>
            </w:r>
            <w:r>
              <w:rPr>
                <w:rFonts w:ascii="Times New Roman" w:hAnsi="Times New Roman"/>
                <w:color w:val="000000"/>
                <w:sz w:val="21"/>
              </w:rPr>
              <w:t>2022</w:t>
            </w:r>
            <w:r>
              <w:rPr>
                <w:rFonts w:ascii="Times New Roman" w:hAnsi="Times New Roman"/>
                <w:color w:val="000000"/>
                <w:sz w:val="21"/>
              </w:rPr>
              <w:t>年后，由于其业务调整，已减少与公司的业务。</w:t>
            </w:r>
          </w:p>
        </w:tc>
      </w:tr>
      <w:tr w:rsidR="008D76D6" w14:paraId="56F8E73E" w14:textId="77777777">
        <w:trPr>
          <w:cantSplit/>
          <w:trHeight w:val="397"/>
          <w:jc w:val="center"/>
        </w:trPr>
        <w:tc>
          <w:tcPr>
            <w:tcW w:w="661" w:type="pct"/>
            <w:noWrap/>
            <w:vAlign w:val="center"/>
          </w:tcPr>
          <w:p w14:paraId="7E6631C3"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3</w:t>
            </w:r>
          </w:p>
        </w:tc>
        <w:tc>
          <w:tcPr>
            <w:tcW w:w="1008" w:type="pct"/>
            <w:noWrap/>
            <w:vAlign w:val="center"/>
          </w:tcPr>
          <w:p w14:paraId="3190048B"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潍坊谷合传动技术有限公司</w:t>
            </w:r>
          </w:p>
        </w:tc>
        <w:tc>
          <w:tcPr>
            <w:tcW w:w="820" w:type="pct"/>
            <w:noWrap/>
            <w:vAlign w:val="center"/>
          </w:tcPr>
          <w:p w14:paraId="7D0B2853" w14:textId="77777777" w:rsidR="008D76D6" w:rsidRDefault="008D76D6" w:rsidP="000B64E7">
            <w:pPr>
              <w:spacing w:beforeLines="0" w:before="0" w:afterLines="0" w:after="0" w:line="240" w:lineRule="auto"/>
              <w:ind w:firstLineChars="0" w:firstLine="0"/>
              <w:jc w:val="center"/>
              <w:rPr>
                <w:rFonts w:ascii="Times New Roman" w:hAnsi="Times New Roman" w:hint="eastAsia"/>
                <w:color w:val="000000"/>
                <w:sz w:val="21"/>
              </w:rPr>
            </w:pPr>
            <w:r>
              <w:rPr>
                <w:rFonts w:ascii="Times New Roman" w:hAnsi="Times New Roman"/>
                <w:color w:val="000000"/>
                <w:sz w:val="21"/>
              </w:rPr>
              <w:t>2021</w:t>
            </w:r>
            <w:r>
              <w:rPr>
                <w:rFonts w:ascii="Times New Roman" w:hAnsi="Times New Roman"/>
                <w:color w:val="000000"/>
                <w:sz w:val="21"/>
              </w:rPr>
              <w:t>年</w:t>
            </w:r>
            <w:r>
              <w:rPr>
                <w:rFonts w:ascii="Times New Roman" w:hAnsi="Times New Roman" w:hint="eastAsia"/>
                <w:color w:val="000000"/>
                <w:sz w:val="21"/>
              </w:rPr>
              <w:t>至今</w:t>
            </w:r>
          </w:p>
        </w:tc>
        <w:tc>
          <w:tcPr>
            <w:tcW w:w="926" w:type="pct"/>
            <w:noWrap/>
            <w:vAlign w:val="center"/>
          </w:tcPr>
          <w:p w14:paraId="30170492" w14:textId="77777777" w:rsidR="008D76D6" w:rsidRDefault="008D76D6" w:rsidP="000B64E7">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客户为农机用车底盘车桥系统生产厂家</w:t>
            </w:r>
          </w:p>
        </w:tc>
        <w:tc>
          <w:tcPr>
            <w:tcW w:w="1584" w:type="pct"/>
            <w:vAlign w:val="center"/>
          </w:tcPr>
          <w:p w14:paraId="7E1717CC" w14:textId="77777777" w:rsidR="008D76D6" w:rsidRDefault="008D76D6" w:rsidP="000B64E7">
            <w:pPr>
              <w:spacing w:beforeLines="0" w:before="0" w:afterLines="0" w:after="0" w:line="240" w:lineRule="auto"/>
              <w:ind w:firstLineChars="0" w:firstLine="0"/>
              <w:rPr>
                <w:rFonts w:ascii="Times New Roman" w:hAnsi="Times New Roman"/>
                <w:color w:val="000000"/>
                <w:sz w:val="21"/>
              </w:rPr>
            </w:pPr>
            <w:r>
              <w:rPr>
                <w:rFonts w:ascii="Times New Roman" w:hAnsi="Times New Roman" w:hint="eastAsia"/>
                <w:color w:val="000000"/>
                <w:sz w:val="21"/>
              </w:rPr>
              <w:t>公司产品</w:t>
            </w:r>
            <w:r>
              <w:rPr>
                <w:rFonts w:ascii="Times New Roman" w:hAnsi="Times New Roman"/>
                <w:color w:val="000000"/>
                <w:sz w:val="21"/>
              </w:rPr>
              <w:t>维持市场价格</w:t>
            </w:r>
            <w:r>
              <w:rPr>
                <w:rFonts w:ascii="Times New Roman" w:hAnsi="Times New Roman" w:hint="eastAsia"/>
                <w:color w:val="000000"/>
                <w:sz w:val="21"/>
              </w:rPr>
              <w:t>，</w:t>
            </w:r>
            <w:r>
              <w:rPr>
                <w:rFonts w:ascii="Times New Roman" w:hAnsi="Times New Roman"/>
                <w:color w:val="000000"/>
                <w:sz w:val="21"/>
              </w:rPr>
              <w:t>客户订单稳定。</w:t>
            </w:r>
            <w:r>
              <w:rPr>
                <w:rFonts w:ascii="Times New Roman" w:hAnsi="Times New Roman"/>
                <w:color w:val="000000"/>
                <w:sz w:val="21"/>
              </w:rPr>
              <w:t>2021</w:t>
            </w:r>
            <w:r>
              <w:rPr>
                <w:rFonts w:ascii="Times New Roman" w:hAnsi="Times New Roman"/>
                <w:color w:val="000000"/>
                <w:sz w:val="21"/>
              </w:rPr>
              <w:t>年以来，均与公司发生业务。</w:t>
            </w:r>
          </w:p>
        </w:tc>
      </w:tr>
      <w:tr w:rsidR="008D76D6" w14:paraId="14BEEE5D" w14:textId="77777777">
        <w:trPr>
          <w:cantSplit/>
          <w:trHeight w:val="397"/>
          <w:jc w:val="center"/>
        </w:trPr>
        <w:tc>
          <w:tcPr>
            <w:tcW w:w="661" w:type="pct"/>
            <w:noWrap/>
            <w:vAlign w:val="center"/>
          </w:tcPr>
          <w:p w14:paraId="25CC125D"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4</w:t>
            </w:r>
          </w:p>
        </w:tc>
        <w:tc>
          <w:tcPr>
            <w:tcW w:w="1008" w:type="pct"/>
            <w:noWrap/>
            <w:vAlign w:val="center"/>
          </w:tcPr>
          <w:p w14:paraId="20E92F49"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青州德威动力有限公司</w:t>
            </w:r>
          </w:p>
        </w:tc>
        <w:tc>
          <w:tcPr>
            <w:tcW w:w="820" w:type="pct"/>
            <w:noWrap/>
            <w:vAlign w:val="center"/>
          </w:tcPr>
          <w:p w14:paraId="2CC7D185"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2019</w:t>
            </w:r>
            <w:r>
              <w:rPr>
                <w:rFonts w:ascii="Times New Roman" w:hAnsi="Times New Roman"/>
                <w:color w:val="000000"/>
                <w:sz w:val="21"/>
              </w:rPr>
              <w:t>年</w:t>
            </w:r>
            <w:r>
              <w:rPr>
                <w:rFonts w:ascii="Times New Roman" w:hAnsi="Times New Roman"/>
                <w:color w:val="000000"/>
                <w:sz w:val="21"/>
              </w:rPr>
              <w:t>-2021</w:t>
            </w:r>
            <w:r>
              <w:rPr>
                <w:rFonts w:ascii="Times New Roman" w:hAnsi="Times New Roman"/>
                <w:color w:val="000000"/>
                <w:sz w:val="21"/>
              </w:rPr>
              <w:t>年</w:t>
            </w:r>
          </w:p>
        </w:tc>
        <w:tc>
          <w:tcPr>
            <w:tcW w:w="926" w:type="pct"/>
            <w:noWrap/>
            <w:vAlign w:val="center"/>
          </w:tcPr>
          <w:p w14:paraId="08BDB888" w14:textId="77777777" w:rsidR="008D76D6" w:rsidRDefault="008D76D6" w:rsidP="000B64E7">
            <w:pPr>
              <w:spacing w:beforeLines="0" w:before="0" w:afterLines="0" w:after="0" w:line="240" w:lineRule="auto"/>
              <w:ind w:firstLineChars="0" w:firstLine="0"/>
              <w:rPr>
                <w:rFonts w:ascii="Times New Roman" w:hAnsi="Times New Roman" w:hint="eastAsia"/>
                <w:color w:val="000000"/>
                <w:sz w:val="21"/>
              </w:rPr>
            </w:pPr>
            <w:r>
              <w:rPr>
                <w:rFonts w:ascii="Times New Roman" w:hAnsi="Times New Roman"/>
                <w:color w:val="000000"/>
                <w:sz w:val="21"/>
              </w:rPr>
              <w:t>客户为发动机类产品</w:t>
            </w:r>
            <w:r>
              <w:rPr>
                <w:rFonts w:ascii="Times New Roman" w:hAnsi="Times New Roman" w:hint="eastAsia"/>
                <w:color w:val="000000"/>
                <w:sz w:val="21"/>
              </w:rPr>
              <w:t>生产厂家</w:t>
            </w:r>
          </w:p>
        </w:tc>
        <w:tc>
          <w:tcPr>
            <w:tcW w:w="1584" w:type="pct"/>
            <w:vAlign w:val="center"/>
          </w:tcPr>
          <w:p w14:paraId="715CEB61" w14:textId="77777777" w:rsidR="008D76D6" w:rsidRDefault="008D76D6" w:rsidP="000B64E7">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2020</w:t>
            </w:r>
            <w:r>
              <w:rPr>
                <w:rFonts w:ascii="Times New Roman" w:hAnsi="Times New Roman"/>
                <w:color w:val="000000"/>
                <w:sz w:val="21"/>
              </w:rPr>
              <w:t>年及</w:t>
            </w:r>
            <w:r>
              <w:rPr>
                <w:rFonts w:ascii="Times New Roman" w:hAnsi="Times New Roman"/>
                <w:color w:val="000000"/>
                <w:sz w:val="21"/>
              </w:rPr>
              <w:t>2021</w:t>
            </w:r>
            <w:r>
              <w:rPr>
                <w:rFonts w:ascii="Times New Roman" w:hAnsi="Times New Roman"/>
                <w:color w:val="000000"/>
                <w:sz w:val="21"/>
              </w:rPr>
              <w:t>年与公司业务较多。</w:t>
            </w:r>
            <w:r>
              <w:rPr>
                <w:rFonts w:ascii="Times New Roman" w:hAnsi="Times New Roman"/>
                <w:color w:val="000000"/>
                <w:sz w:val="21"/>
              </w:rPr>
              <w:t>2022</w:t>
            </w:r>
            <w:r>
              <w:rPr>
                <w:rFonts w:ascii="Times New Roman" w:hAnsi="Times New Roman"/>
                <w:color w:val="000000"/>
                <w:sz w:val="21"/>
              </w:rPr>
              <w:t>年后，由于其业务调整，已减少与公司的业务。</w:t>
            </w:r>
          </w:p>
        </w:tc>
      </w:tr>
      <w:tr w:rsidR="008D76D6" w14:paraId="30D4FDB4" w14:textId="77777777">
        <w:trPr>
          <w:cantSplit/>
          <w:trHeight w:val="397"/>
          <w:jc w:val="center"/>
        </w:trPr>
        <w:tc>
          <w:tcPr>
            <w:tcW w:w="661" w:type="pct"/>
            <w:noWrap/>
            <w:vAlign w:val="center"/>
          </w:tcPr>
          <w:p w14:paraId="7BCB1EA7"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5</w:t>
            </w:r>
          </w:p>
        </w:tc>
        <w:tc>
          <w:tcPr>
            <w:tcW w:w="1008" w:type="pct"/>
            <w:noWrap/>
            <w:vAlign w:val="center"/>
          </w:tcPr>
          <w:p w14:paraId="3A63E7B3"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科乐收农业机械（山东）有限责任公司</w:t>
            </w:r>
          </w:p>
        </w:tc>
        <w:tc>
          <w:tcPr>
            <w:tcW w:w="820" w:type="pct"/>
            <w:noWrap/>
            <w:vAlign w:val="center"/>
          </w:tcPr>
          <w:p w14:paraId="25BCA1C2" w14:textId="77777777" w:rsidR="008D76D6" w:rsidRDefault="008D76D6" w:rsidP="000B64E7">
            <w:pPr>
              <w:spacing w:beforeLines="0" w:before="0" w:afterLines="0" w:after="0" w:line="240" w:lineRule="auto"/>
              <w:ind w:firstLineChars="0" w:firstLine="0"/>
              <w:jc w:val="center"/>
              <w:rPr>
                <w:rFonts w:ascii="Times New Roman" w:hAnsi="Times New Roman" w:hint="eastAsia"/>
                <w:color w:val="000000"/>
                <w:sz w:val="21"/>
              </w:rPr>
            </w:pPr>
            <w:r>
              <w:rPr>
                <w:rFonts w:ascii="Times New Roman" w:hAnsi="Times New Roman"/>
                <w:color w:val="000000"/>
                <w:sz w:val="21"/>
              </w:rPr>
              <w:t>2021</w:t>
            </w:r>
            <w:r>
              <w:rPr>
                <w:rFonts w:ascii="Times New Roman" w:hAnsi="Times New Roman"/>
                <w:color w:val="000000"/>
                <w:sz w:val="21"/>
              </w:rPr>
              <w:t>年</w:t>
            </w:r>
            <w:r>
              <w:rPr>
                <w:rFonts w:ascii="Times New Roman" w:hAnsi="Times New Roman" w:hint="eastAsia"/>
                <w:color w:val="000000"/>
                <w:sz w:val="21"/>
              </w:rPr>
              <w:t>至今</w:t>
            </w:r>
          </w:p>
        </w:tc>
        <w:tc>
          <w:tcPr>
            <w:tcW w:w="926" w:type="pct"/>
            <w:noWrap/>
            <w:vAlign w:val="center"/>
          </w:tcPr>
          <w:p w14:paraId="50966040" w14:textId="77777777" w:rsidR="008D76D6" w:rsidRDefault="008D76D6" w:rsidP="000B64E7">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客户为农业机械生产厂家</w:t>
            </w:r>
          </w:p>
        </w:tc>
        <w:tc>
          <w:tcPr>
            <w:tcW w:w="1584" w:type="pct"/>
            <w:vAlign w:val="center"/>
          </w:tcPr>
          <w:p w14:paraId="33F749BF" w14:textId="77777777" w:rsidR="008D76D6" w:rsidRDefault="008D76D6" w:rsidP="000B64E7">
            <w:pPr>
              <w:spacing w:beforeLines="0" w:before="0" w:afterLines="0" w:after="0" w:line="240" w:lineRule="auto"/>
              <w:ind w:firstLineChars="0" w:firstLine="0"/>
              <w:rPr>
                <w:rFonts w:ascii="Times New Roman" w:hAnsi="Times New Roman"/>
                <w:color w:val="000000"/>
                <w:sz w:val="21"/>
              </w:rPr>
            </w:pPr>
            <w:r>
              <w:rPr>
                <w:rFonts w:ascii="Times New Roman" w:hAnsi="Times New Roman" w:hint="eastAsia"/>
                <w:color w:val="000000"/>
                <w:sz w:val="21"/>
              </w:rPr>
              <w:t>公司产品</w:t>
            </w:r>
            <w:r>
              <w:rPr>
                <w:rFonts w:ascii="Times New Roman" w:hAnsi="Times New Roman"/>
                <w:color w:val="000000"/>
                <w:sz w:val="21"/>
              </w:rPr>
              <w:t>维持市场价格</w:t>
            </w:r>
            <w:r>
              <w:rPr>
                <w:rFonts w:ascii="Times New Roman" w:hAnsi="Times New Roman" w:hint="eastAsia"/>
                <w:color w:val="000000"/>
                <w:sz w:val="21"/>
              </w:rPr>
              <w:t>，</w:t>
            </w:r>
            <w:r>
              <w:rPr>
                <w:rFonts w:ascii="Times New Roman" w:hAnsi="Times New Roman"/>
                <w:color w:val="000000"/>
                <w:sz w:val="21"/>
              </w:rPr>
              <w:t>客户订单稳定。</w:t>
            </w:r>
            <w:r>
              <w:rPr>
                <w:rFonts w:ascii="Times New Roman" w:hAnsi="Times New Roman"/>
                <w:color w:val="000000"/>
                <w:sz w:val="21"/>
              </w:rPr>
              <w:t>2021</w:t>
            </w:r>
            <w:r>
              <w:rPr>
                <w:rFonts w:ascii="Times New Roman" w:hAnsi="Times New Roman"/>
                <w:color w:val="000000"/>
                <w:sz w:val="21"/>
              </w:rPr>
              <w:t>年以来，均与公司发生业务。</w:t>
            </w:r>
          </w:p>
        </w:tc>
      </w:tr>
      <w:tr w:rsidR="008D76D6" w14:paraId="74585B3B" w14:textId="77777777">
        <w:trPr>
          <w:cantSplit/>
          <w:trHeight w:val="397"/>
          <w:jc w:val="center"/>
        </w:trPr>
        <w:tc>
          <w:tcPr>
            <w:tcW w:w="661" w:type="pct"/>
            <w:noWrap/>
            <w:vAlign w:val="center"/>
          </w:tcPr>
          <w:p w14:paraId="7615A9A5"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6</w:t>
            </w:r>
          </w:p>
        </w:tc>
        <w:tc>
          <w:tcPr>
            <w:tcW w:w="1008" w:type="pct"/>
            <w:noWrap/>
            <w:vAlign w:val="center"/>
          </w:tcPr>
          <w:p w14:paraId="381A152E"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青岛洪珠农业机械有限公司</w:t>
            </w:r>
          </w:p>
        </w:tc>
        <w:tc>
          <w:tcPr>
            <w:tcW w:w="820" w:type="pct"/>
            <w:noWrap/>
            <w:vAlign w:val="center"/>
          </w:tcPr>
          <w:p w14:paraId="5BAB5176" w14:textId="77777777" w:rsidR="008D76D6" w:rsidRDefault="008D76D6" w:rsidP="000B64E7">
            <w:pPr>
              <w:spacing w:beforeLines="0" w:before="0" w:afterLines="0" w:after="0" w:line="240" w:lineRule="auto"/>
              <w:ind w:firstLineChars="0" w:firstLine="0"/>
              <w:jc w:val="center"/>
              <w:rPr>
                <w:rFonts w:ascii="Times New Roman" w:hAnsi="Times New Roman" w:hint="eastAsia"/>
                <w:color w:val="000000"/>
                <w:sz w:val="21"/>
              </w:rPr>
            </w:pPr>
            <w:r>
              <w:rPr>
                <w:rFonts w:ascii="Times New Roman" w:hAnsi="Times New Roman"/>
                <w:color w:val="000000"/>
                <w:sz w:val="21"/>
              </w:rPr>
              <w:t>2020</w:t>
            </w:r>
            <w:r>
              <w:rPr>
                <w:rFonts w:ascii="Times New Roman" w:hAnsi="Times New Roman"/>
                <w:color w:val="000000"/>
                <w:sz w:val="21"/>
              </w:rPr>
              <w:t>年</w:t>
            </w:r>
            <w:r>
              <w:rPr>
                <w:rFonts w:ascii="Times New Roman" w:hAnsi="Times New Roman" w:hint="eastAsia"/>
                <w:color w:val="000000"/>
                <w:sz w:val="21"/>
              </w:rPr>
              <w:t>至今</w:t>
            </w:r>
          </w:p>
        </w:tc>
        <w:tc>
          <w:tcPr>
            <w:tcW w:w="926" w:type="pct"/>
            <w:noWrap/>
            <w:vAlign w:val="center"/>
          </w:tcPr>
          <w:p w14:paraId="56610E35" w14:textId="77777777" w:rsidR="008D76D6" w:rsidRDefault="008D76D6" w:rsidP="000B64E7">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客户为土豆收货机制造商</w:t>
            </w:r>
          </w:p>
        </w:tc>
        <w:tc>
          <w:tcPr>
            <w:tcW w:w="1584" w:type="pct"/>
            <w:vAlign w:val="center"/>
          </w:tcPr>
          <w:p w14:paraId="646AE822" w14:textId="77777777" w:rsidR="008D76D6" w:rsidRDefault="008D76D6" w:rsidP="000B64E7">
            <w:pPr>
              <w:spacing w:beforeLines="0" w:before="0" w:afterLines="0" w:after="0" w:line="240" w:lineRule="auto"/>
              <w:ind w:firstLineChars="0" w:firstLine="0"/>
              <w:rPr>
                <w:rFonts w:ascii="Times New Roman" w:hAnsi="Times New Roman"/>
                <w:color w:val="000000"/>
                <w:sz w:val="21"/>
              </w:rPr>
            </w:pPr>
            <w:r>
              <w:rPr>
                <w:rFonts w:ascii="Times New Roman" w:hAnsi="Times New Roman" w:hint="eastAsia"/>
                <w:color w:val="000000"/>
                <w:sz w:val="21"/>
              </w:rPr>
              <w:t>公司产品</w:t>
            </w:r>
            <w:r>
              <w:rPr>
                <w:rFonts w:ascii="Times New Roman" w:hAnsi="Times New Roman"/>
                <w:color w:val="000000"/>
                <w:sz w:val="21"/>
              </w:rPr>
              <w:t>维持市场价格</w:t>
            </w:r>
            <w:r>
              <w:rPr>
                <w:rFonts w:ascii="Times New Roman" w:hAnsi="Times New Roman" w:hint="eastAsia"/>
                <w:color w:val="000000"/>
                <w:sz w:val="21"/>
              </w:rPr>
              <w:t>，</w:t>
            </w:r>
            <w:r>
              <w:rPr>
                <w:rFonts w:ascii="Times New Roman" w:hAnsi="Times New Roman"/>
                <w:color w:val="000000"/>
                <w:sz w:val="21"/>
              </w:rPr>
              <w:t>客户订单稳定</w:t>
            </w:r>
          </w:p>
        </w:tc>
      </w:tr>
      <w:tr w:rsidR="008D76D6" w14:paraId="0FDF728A" w14:textId="77777777">
        <w:trPr>
          <w:cantSplit/>
          <w:trHeight w:val="397"/>
          <w:jc w:val="center"/>
        </w:trPr>
        <w:tc>
          <w:tcPr>
            <w:tcW w:w="661" w:type="pct"/>
            <w:noWrap/>
            <w:vAlign w:val="center"/>
          </w:tcPr>
          <w:p w14:paraId="7CB0E270"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7</w:t>
            </w:r>
          </w:p>
        </w:tc>
        <w:tc>
          <w:tcPr>
            <w:tcW w:w="1008" w:type="pct"/>
            <w:noWrap/>
            <w:vAlign w:val="center"/>
          </w:tcPr>
          <w:p w14:paraId="28EBD435"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龙口中宇汽车风扇离合器有限公司</w:t>
            </w:r>
          </w:p>
        </w:tc>
        <w:tc>
          <w:tcPr>
            <w:tcW w:w="820" w:type="pct"/>
            <w:noWrap/>
            <w:vAlign w:val="center"/>
          </w:tcPr>
          <w:p w14:paraId="7A38AFEB"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2019</w:t>
            </w:r>
            <w:r>
              <w:rPr>
                <w:rFonts w:ascii="Times New Roman" w:hAnsi="Times New Roman"/>
                <w:color w:val="000000"/>
                <w:sz w:val="21"/>
              </w:rPr>
              <w:t>年</w:t>
            </w:r>
            <w:r>
              <w:rPr>
                <w:rFonts w:ascii="Times New Roman" w:hAnsi="Times New Roman"/>
                <w:color w:val="000000"/>
                <w:sz w:val="21"/>
              </w:rPr>
              <w:t>-2021</w:t>
            </w:r>
            <w:r>
              <w:rPr>
                <w:rFonts w:ascii="Times New Roman" w:hAnsi="Times New Roman"/>
                <w:color w:val="000000"/>
                <w:sz w:val="21"/>
              </w:rPr>
              <w:t>年</w:t>
            </w:r>
          </w:p>
        </w:tc>
        <w:tc>
          <w:tcPr>
            <w:tcW w:w="926" w:type="pct"/>
            <w:noWrap/>
            <w:vAlign w:val="center"/>
          </w:tcPr>
          <w:p w14:paraId="6BC1D330" w14:textId="77777777" w:rsidR="008D76D6" w:rsidRDefault="008D76D6" w:rsidP="000B64E7">
            <w:pPr>
              <w:spacing w:beforeLines="0" w:before="0" w:afterLines="0" w:after="0" w:line="240" w:lineRule="auto"/>
              <w:ind w:firstLineChars="0" w:firstLine="0"/>
              <w:rPr>
                <w:rFonts w:ascii="Times New Roman" w:hAnsi="Times New Roman" w:hint="eastAsia"/>
                <w:color w:val="000000"/>
                <w:sz w:val="21"/>
              </w:rPr>
            </w:pPr>
            <w:r>
              <w:rPr>
                <w:rFonts w:ascii="Times New Roman" w:hAnsi="Times New Roman"/>
                <w:color w:val="000000"/>
                <w:sz w:val="21"/>
              </w:rPr>
              <w:t>客户为发动机类产品</w:t>
            </w:r>
            <w:r>
              <w:rPr>
                <w:rFonts w:ascii="Times New Roman" w:hAnsi="Times New Roman" w:hint="eastAsia"/>
                <w:color w:val="000000"/>
                <w:sz w:val="21"/>
              </w:rPr>
              <w:t>厂家</w:t>
            </w:r>
          </w:p>
        </w:tc>
        <w:tc>
          <w:tcPr>
            <w:tcW w:w="1584" w:type="pct"/>
            <w:vAlign w:val="center"/>
          </w:tcPr>
          <w:p w14:paraId="05CFCC5B" w14:textId="77777777" w:rsidR="008D76D6" w:rsidRDefault="008D76D6" w:rsidP="000B64E7">
            <w:pPr>
              <w:spacing w:beforeLines="0" w:before="0" w:afterLines="0" w:after="0" w:line="240" w:lineRule="auto"/>
              <w:ind w:firstLineChars="0" w:firstLine="0"/>
              <w:rPr>
                <w:rFonts w:ascii="Times New Roman" w:hAnsi="Times New Roman"/>
                <w:color w:val="000000"/>
                <w:sz w:val="21"/>
              </w:rPr>
            </w:pPr>
            <w:r>
              <w:rPr>
                <w:rFonts w:ascii="Times New Roman" w:hAnsi="Times New Roman"/>
                <w:color w:val="000000"/>
                <w:sz w:val="21"/>
              </w:rPr>
              <w:t>2020</w:t>
            </w:r>
            <w:r>
              <w:rPr>
                <w:rFonts w:ascii="Times New Roman" w:hAnsi="Times New Roman"/>
                <w:color w:val="000000"/>
                <w:sz w:val="21"/>
              </w:rPr>
              <w:t>年及</w:t>
            </w:r>
            <w:r>
              <w:rPr>
                <w:rFonts w:ascii="Times New Roman" w:hAnsi="Times New Roman"/>
                <w:color w:val="000000"/>
                <w:sz w:val="21"/>
              </w:rPr>
              <w:t>2021</w:t>
            </w:r>
            <w:r>
              <w:rPr>
                <w:rFonts w:ascii="Times New Roman" w:hAnsi="Times New Roman"/>
                <w:color w:val="000000"/>
                <w:sz w:val="21"/>
              </w:rPr>
              <w:t>年与公司业务较多。</w:t>
            </w:r>
            <w:r>
              <w:rPr>
                <w:rFonts w:ascii="Times New Roman" w:hAnsi="Times New Roman"/>
                <w:color w:val="000000"/>
                <w:sz w:val="21"/>
              </w:rPr>
              <w:t>2022</w:t>
            </w:r>
            <w:r>
              <w:rPr>
                <w:rFonts w:ascii="Times New Roman" w:hAnsi="Times New Roman"/>
                <w:color w:val="000000"/>
                <w:sz w:val="21"/>
              </w:rPr>
              <w:t>年后，由于其业务调整，已减少与公司的业务</w:t>
            </w:r>
          </w:p>
        </w:tc>
      </w:tr>
      <w:tr w:rsidR="008D76D6" w14:paraId="72E1879F" w14:textId="77777777">
        <w:trPr>
          <w:cantSplit/>
          <w:trHeight w:val="397"/>
          <w:jc w:val="center"/>
        </w:trPr>
        <w:tc>
          <w:tcPr>
            <w:tcW w:w="661" w:type="pct"/>
            <w:noWrap/>
            <w:vAlign w:val="center"/>
          </w:tcPr>
          <w:p w14:paraId="0A39C372"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8</w:t>
            </w:r>
          </w:p>
        </w:tc>
        <w:tc>
          <w:tcPr>
            <w:tcW w:w="1008" w:type="pct"/>
            <w:noWrap/>
            <w:vAlign w:val="center"/>
          </w:tcPr>
          <w:p w14:paraId="650B9F70"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河北格隆机械有限公司</w:t>
            </w:r>
          </w:p>
        </w:tc>
        <w:tc>
          <w:tcPr>
            <w:tcW w:w="820" w:type="pct"/>
            <w:noWrap/>
            <w:vAlign w:val="center"/>
          </w:tcPr>
          <w:p w14:paraId="09F08048" w14:textId="77777777" w:rsidR="008D76D6" w:rsidRDefault="008D76D6" w:rsidP="000B64E7">
            <w:pPr>
              <w:spacing w:beforeLines="0" w:before="0" w:afterLines="0" w:after="0" w:line="240" w:lineRule="auto"/>
              <w:ind w:firstLineChars="0" w:firstLine="0"/>
              <w:jc w:val="center"/>
              <w:rPr>
                <w:rFonts w:ascii="Times New Roman" w:hAnsi="Times New Roman" w:hint="eastAsia"/>
                <w:color w:val="000000"/>
                <w:sz w:val="21"/>
              </w:rPr>
            </w:pPr>
            <w:r>
              <w:rPr>
                <w:rFonts w:ascii="Times New Roman" w:hAnsi="Times New Roman"/>
                <w:color w:val="000000"/>
                <w:sz w:val="21"/>
              </w:rPr>
              <w:t>2021</w:t>
            </w:r>
            <w:r>
              <w:rPr>
                <w:rFonts w:ascii="Times New Roman" w:hAnsi="Times New Roman"/>
                <w:color w:val="000000"/>
                <w:sz w:val="21"/>
              </w:rPr>
              <w:t>年</w:t>
            </w:r>
            <w:r>
              <w:rPr>
                <w:rFonts w:ascii="Times New Roman" w:hAnsi="Times New Roman" w:hint="eastAsia"/>
                <w:color w:val="000000"/>
                <w:sz w:val="21"/>
              </w:rPr>
              <w:t>至今</w:t>
            </w:r>
          </w:p>
        </w:tc>
        <w:tc>
          <w:tcPr>
            <w:tcW w:w="926" w:type="pct"/>
            <w:noWrap/>
            <w:vAlign w:val="center"/>
          </w:tcPr>
          <w:p w14:paraId="6A75EF8B" w14:textId="77777777" w:rsidR="008D76D6" w:rsidRDefault="008D76D6" w:rsidP="000B64E7">
            <w:pPr>
              <w:spacing w:beforeLines="0" w:before="0" w:afterLines="0" w:after="0" w:line="240" w:lineRule="auto"/>
              <w:ind w:firstLineChars="0" w:firstLine="0"/>
              <w:rPr>
                <w:rFonts w:ascii="Times New Roman" w:hAnsi="Times New Roman" w:hint="eastAsia"/>
                <w:color w:val="000000"/>
                <w:sz w:val="21"/>
              </w:rPr>
            </w:pPr>
            <w:r>
              <w:rPr>
                <w:rFonts w:ascii="Times New Roman" w:hAnsi="Times New Roman"/>
                <w:color w:val="000000"/>
                <w:sz w:val="21"/>
              </w:rPr>
              <w:t>客户为农用机械变速箱</w:t>
            </w:r>
            <w:r>
              <w:rPr>
                <w:rFonts w:ascii="Times New Roman" w:hAnsi="Times New Roman" w:hint="eastAsia"/>
                <w:color w:val="000000"/>
                <w:sz w:val="21"/>
              </w:rPr>
              <w:t>生产厂家</w:t>
            </w:r>
          </w:p>
        </w:tc>
        <w:tc>
          <w:tcPr>
            <w:tcW w:w="1584" w:type="pct"/>
            <w:vAlign w:val="center"/>
          </w:tcPr>
          <w:p w14:paraId="497399D6" w14:textId="77777777" w:rsidR="008D76D6" w:rsidRDefault="008D76D6" w:rsidP="000B64E7">
            <w:pPr>
              <w:spacing w:beforeLines="0" w:before="0" w:afterLines="0" w:after="0" w:line="240" w:lineRule="auto"/>
              <w:ind w:firstLineChars="0" w:firstLine="0"/>
              <w:rPr>
                <w:rFonts w:ascii="Times New Roman" w:hAnsi="Times New Roman"/>
                <w:color w:val="000000"/>
                <w:sz w:val="21"/>
              </w:rPr>
            </w:pPr>
            <w:r>
              <w:rPr>
                <w:rFonts w:ascii="Times New Roman" w:hAnsi="Times New Roman" w:hint="eastAsia"/>
                <w:color w:val="000000"/>
                <w:sz w:val="21"/>
              </w:rPr>
              <w:t>公司产品</w:t>
            </w:r>
            <w:r>
              <w:rPr>
                <w:rFonts w:ascii="Times New Roman" w:hAnsi="Times New Roman"/>
                <w:color w:val="000000"/>
                <w:sz w:val="21"/>
              </w:rPr>
              <w:t>维持市场价格</w:t>
            </w:r>
            <w:r>
              <w:rPr>
                <w:rFonts w:ascii="Times New Roman" w:hAnsi="Times New Roman" w:hint="eastAsia"/>
                <w:color w:val="000000"/>
                <w:sz w:val="21"/>
              </w:rPr>
              <w:t>，</w:t>
            </w:r>
            <w:r>
              <w:rPr>
                <w:rFonts w:ascii="Times New Roman" w:hAnsi="Times New Roman"/>
                <w:color w:val="000000"/>
                <w:sz w:val="21"/>
              </w:rPr>
              <w:t>客户订单稳定。</w:t>
            </w:r>
          </w:p>
        </w:tc>
      </w:tr>
    </w:tbl>
    <w:p w14:paraId="511CD9A5" w14:textId="77777777" w:rsidR="008D76D6" w:rsidRDefault="008D76D6">
      <w:pPr>
        <w:pStyle w:val="005"/>
        <w:spacing w:before="120" w:after="120"/>
        <w:ind w:firstLine="480"/>
      </w:pPr>
      <w:r>
        <w:t>由上可见，报告期内公司汽车配件客户集中度较高，且主要客户在报告期内均存在交易，整体较为稳定。</w:t>
      </w:r>
    </w:p>
    <w:p w14:paraId="5AD66495" w14:textId="77777777" w:rsidR="008D76D6" w:rsidRDefault="008D76D6" w:rsidP="00B434D2">
      <w:pPr>
        <w:pStyle w:val="004"/>
        <w:spacing w:before="120" w:after="120"/>
        <w:ind w:firstLine="482"/>
      </w:pPr>
      <w:r>
        <w:rPr>
          <w:rFonts w:hint="eastAsia"/>
        </w:rPr>
        <w:t>（四）</w:t>
      </w:r>
      <w:r>
        <w:t>相关资产减值分析</w:t>
      </w:r>
    </w:p>
    <w:p w14:paraId="6DDD9991" w14:textId="77777777" w:rsidR="008D76D6" w:rsidRDefault="008D76D6">
      <w:pPr>
        <w:pStyle w:val="005"/>
        <w:spacing w:before="120" w:after="120"/>
        <w:ind w:firstLine="480"/>
      </w:pPr>
      <w:r>
        <w:t>报告期各期末，公司均对存货进行了存货减值测试。汽车配件存货跌价情况如下：</w:t>
      </w:r>
    </w:p>
    <w:p w14:paraId="69595007" w14:textId="77777777" w:rsidR="008D76D6" w:rsidRDefault="008D76D6">
      <w:pPr>
        <w:pStyle w:val="009"/>
        <w:ind w:firstLine="482"/>
      </w:pPr>
      <w:r>
        <w:t>单位：万元</w:t>
      </w:r>
    </w:p>
    <w:tbl>
      <w:tblPr>
        <w:tblW w:w="5000" w:type="pct"/>
        <w:tblInd w:w="0" w:type="dxa"/>
        <w:tblBorders>
          <w:top w:val="single" w:sz="6" w:space="0" w:color="010000"/>
          <w:left w:val="single" w:sz="6" w:space="0" w:color="010000"/>
          <w:bottom w:val="single" w:sz="6" w:space="0" w:color="010000"/>
          <w:right w:val="single" w:sz="6" w:space="0" w:color="010000"/>
          <w:insideH w:val="single" w:sz="6" w:space="0" w:color="010000"/>
          <w:insideV w:val="single" w:sz="6" w:space="0" w:color="010000"/>
        </w:tblBorders>
        <w:tblLook w:val="0000" w:firstRow="0" w:lastRow="0" w:firstColumn="0" w:lastColumn="0" w:noHBand="0" w:noVBand="0"/>
      </w:tblPr>
      <w:tblGrid>
        <w:gridCol w:w="2015"/>
        <w:gridCol w:w="1694"/>
        <w:gridCol w:w="1779"/>
        <w:gridCol w:w="1779"/>
        <w:gridCol w:w="1743"/>
      </w:tblGrid>
      <w:tr w:rsidR="008D76D6" w14:paraId="0620B619" w14:textId="77777777">
        <w:trPr>
          <w:cantSplit/>
          <w:trHeight w:val="397"/>
          <w:tblHeader/>
        </w:trPr>
        <w:tc>
          <w:tcPr>
            <w:tcW w:w="1119" w:type="pct"/>
            <w:shd w:val="clear" w:color="auto" w:fill="D9D9D9"/>
            <w:vAlign w:val="center"/>
          </w:tcPr>
          <w:p w14:paraId="225FFC3B" w14:textId="77777777" w:rsidR="008D76D6" w:rsidRDefault="008D76D6" w:rsidP="000B64E7">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项目</w:t>
            </w:r>
          </w:p>
        </w:tc>
        <w:tc>
          <w:tcPr>
            <w:tcW w:w="940" w:type="pct"/>
            <w:shd w:val="clear" w:color="auto" w:fill="D9D9D9"/>
            <w:vAlign w:val="center"/>
          </w:tcPr>
          <w:p w14:paraId="575C152F" w14:textId="77777777" w:rsidR="008D76D6" w:rsidRDefault="008D76D6" w:rsidP="000B64E7">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2023</w:t>
            </w:r>
            <w:r>
              <w:rPr>
                <w:rFonts w:ascii="Times New Roman" w:hAnsi="Times New Roman"/>
                <w:b/>
                <w:color w:val="000000"/>
                <w:sz w:val="21"/>
              </w:rPr>
              <w:t>年</w:t>
            </w:r>
          </w:p>
          <w:p w14:paraId="02A59D4C" w14:textId="77777777" w:rsidR="008D76D6" w:rsidRDefault="006266A6" w:rsidP="000B64E7">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9</w:t>
            </w:r>
            <w:r w:rsidR="008D76D6">
              <w:rPr>
                <w:rFonts w:ascii="Times New Roman" w:hAnsi="Times New Roman"/>
                <w:b/>
                <w:color w:val="000000"/>
                <w:sz w:val="21"/>
              </w:rPr>
              <w:t>月</w:t>
            </w:r>
            <w:r w:rsidR="008D76D6">
              <w:rPr>
                <w:rFonts w:ascii="Times New Roman" w:hAnsi="Times New Roman"/>
                <w:b/>
                <w:color w:val="000000"/>
                <w:sz w:val="21"/>
              </w:rPr>
              <w:t>3</w:t>
            </w:r>
            <w:r>
              <w:rPr>
                <w:rFonts w:ascii="Times New Roman" w:hAnsi="Times New Roman"/>
                <w:b/>
                <w:color w:val="000000"/>
                <w:sz w:val="21"/>
              </w:rPr>
              <w:t>0</w:t>
            </w:r>
            <w:r w:rsidR="008D76D6">
              <w:rPr>
                <w:rFonts w:ascii="Times New Roman" w:hAnsi="Times New Roman"/>
                <w:b/>
                <w:color w:val="000000"/>
                <w:sz w:val="21"/>
              </w:rPr>
              <w:t>日</w:t>
            </w:r>
          </w:p>
        </w:tc>
        <w:tc>
          <w:tcPr>
            <w:tcW w:w="987" w:type="pct"/>
            <w:shd w:val="clear" w:color="auto" w:fill="D9D9D9"/>
            <w:vAlign w:val="center"/>
          </w:tcPr>
          <w:p w14:paraId="26900B55" w14:textId="77777777" w:rsidR="008D76D6" w:rsidRDefault="008D76D6" w:rsidP="000B64E7">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2022</w:t>
            </w:r>
            <w:r>
              <w:rPr>
                <w:rFonts w:ascii="Times New Roman" w:hAnsi="Times New Roman"/>
                <w:b/>
                <w:color w:val="000000"/>
                <w:sz w:val="21"/>
              </w:rPr>
              <w:t>年</w:t>
            </w:r>
          </w:p>
          <w:p w14:paraId="7F0F817C" w14:textId="77777777" w:rsidR="008D76D6" w:rsidRDefault="008D76D6" w:rsidP="000B64E7">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12</w:t>
            </w:r>
            <w:r>
              <w:rPr>
                <w:rFonts w:ascii="Times New Roman" w:hAnsi="Times New Roman"/>
                <w:b/>
                <w:color w:val="000000"/>
                <w:sz w:val="21"/>
              </w:rPr>
              <w:t>月</w:t>
            </w:r>
            <w:r>
              <w:rPr>
                <w:rFonts w:ascii="Times New Roman" w:hAnsi="Times New Roman"/>
                <w:b/>
                <w:color w:val="000000"/>
                <w:sz w:val="21"/>
              </w:rPr>
              <w:t>31</w:t>
            </w:r>
            <w:r>
              <w:rPr>
                <w:rFonts w:ascii="Times New Roman" w:hAnsi="Times New Roman"/>
                <w:b/>
                <w:color w:val="000000"/>
                <w:sz w:val="21"/>
              </w:rPr>
              <w:t>日</w:t>
            </w:r>
          </w:p>
        </w:tc>
        <w:tc>
          <w:tcPr>
            <w:tcW w:w="987" w:type="pct"/>
            <w:shd w:val="clear" w:color="auto" w:fill="D9D9D9"/>
            <w:vAlign w:val="center"/>
          </w:tcPr>
          <w:p w14:paraId="10E77F71" w14:textId="77777777" w:rsidR="008D76D6" w:rsidRDefault="008D76D6" w:rsidP="000B64E7">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2021</w:t>
            </w:r>
            <w:r>
              <w:rPr>
                <w:rFonts w:ascii="Times New Roman" w:hAnsi="Times New Roman"/>
                <w:b/>
                <w:color w:val="000000"/>
                <w:sz w:val="21"/>
              </w:rPr>
              <w:t>年</w:t>
            </w:r>
          </w:p>
          <w:p w14:paraId="1C10BC3D" w14:textId="77777777" w:rsidR="008D76D6" w:rsidRDefault="008D76D6" w:rsidP="000B64E7">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12</w:t>
            </w:r>
            <w:r>
              <w:rPr>
                <w:rFonts w:ascii="Times New Roman" w:hAnsi="Times New Roman"/>
                <w:b/>
                <w:color w:val="000000"/>
                <w:sz w:val="21"/>
              </w:rPr>
              <w:t>月</w:t>
            </w:r>
            <w:r>
              <w:rPr>
                <w:rFonts w:ascii="Times New Roman" w:hAnsi="Times New Roman"/>
                <w:b/>
                <w:color w:val="000000"/>
                <w:sz w:val="21"/>
              </w:rPr>
              <w:t>31</w:t>
            </w:r>
            <w:r>
              <w:rPr>
                <w:rFonts w:ascii="Times New Roman" w:hAnsi="Times New Roman"/>
                <w:b/>
                <w:color w:val="000000"/>
                <w:sz w:val="21"/>
              </w:rPr>
              <w:t>日</w:t>
            </w:r>
          </w:p>
        </w:tc>
        <w:tc>
          <w:tcPr>
            <w:tcW w:w="967" w:type="pct"/>
            <w:shd w:val="clear" w:color="auto" w:fill="D9D9D9"/>
            <w:vAlign w:val="center"/>
          </w:tcPr>
          <w:p w14:paraId="49122DC0" w14:textId="77777777" w:rsidR="008D76D6" w:rsidRDefault="008D76D6" w:rsidP="000B64E7">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2020</w:t>
            </w:r>
            <w:r>
              <w:rPr>
                <w:rFonts w:ascii="Times New Roman" w:hAnsi="Times New Roman"/>
                <w:b/>
                <w:color w:val="000000"/>
                <w:sz w:val="21"/>
              </w:rPr>
              <w:t>年</w:t>
            </w:r>
          </w:p>
          <w:p w14:paraId="5972046D" w14:textId="77777777" w:rsidR="008D76D6" w:rsidRDefault="008D76D6" w:rsidP="000B64E7">
            <w:pPr>
              <w:keepNext/>
              <w:spacing w:beforeLines="0" w:before="0" w:afterLines="0" w:after="0" w:line="240" w:lineRule="auto"/>
              <w:ind w:firstLineChars="0" w:firstLine="0"/>
              <w:jc w:val="center"/>
              <w:rPr>
                <w:rFonts w:ascii="Times New Roman" w:hAnsi="Times New Roman"/>
                <w:b/>
                <w:color w:val="000000"/>
                <w:sz w:val="21"/>
              </w:rPr>
            </w:pPr>
            <w:r>
              <w:rPr>
                <w:rFonts w:ascii="Times New Roman" w:hAnsi="Times New Roman"/>
                <w:b/>
                <w:color w:val="000000"/>
                <w:sz w:val="21"/>
              </w:rPr>
              <w:t>12</w:t>
            </w:r>
            <w:r>
              <w:rPr>
                <w:rFonts w:ascii="Times New Roman" w:hAnsi="Times New Roman"/>
                <w:b/>
                <w:color w:val="000000"/>
                <w:sz w:val="21"/>
              </w:rPr>
              <w:t>月</w:t>
            </w:r>
            <w:r>
              <w:rPr>
                <w:rFonts w:ascii="Times New Roman" w:hAnsi="Times New Roman"/>
                <w:b/>
                <w:color w:val="000000"/>
                <w:sz w:val="21"/>
              </w:rPr>
              <w:t>31</w:t>
            </w:r>
            <w:r>
              <w:rPr>
                <w:rFonts w:ascii="Times New Roman" w:hAnsi="Times New Roman"/>
                <w:b/>
                <w:color w:val="000000"/>
                <w:sz w:val="21"/>
              </w:rPr>
              <w:t>日</w:t>
            </w:r>
          </w:p>
        </w:tc>
      </w:tr>
      <w:tr w:rsidR="008D76D6" w14:paraId="2A2CE4A5" w14:textId="77777777">
        <w:trPr>
          <w:cantSplit/>
          <w:trHeight w:val="397"/>
        </w:trPr>
        <w:tc>
          <w:tcPr>
            <w:tcW w:w="1119" w:type="pct"/>
            <w:vAlign w:val="center"/>
          </w:tcPr>
          <w:p w14:paraId="2FF69129"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汽车配件账面价值</w:t>
            </w:r>
          </w:p>
        </w:tc>
        <w:tc>
          <w:tcPr>
            <w:tcW w:w="940" w:type="pct"/>
            <w:vAlign w:val="center"/>
          </w:tcPr>
          <w:p w14:paraId="212B8E97" w14:textId="77777777" w:rsidR="008D76D6" w:rsidRDefault="008D76D6" w:rsidP="000B64E7">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21"/>
              </w:rPr>
              <w:t>477.05</w:t>
            </w:r>
          </w:p>
        </w:tc>
        <w:tc>
          <w:tcPr>
            <w:tcW w:w="987" w:type="pct"/>
            <w:vAlign w:val="center"/>
          </w:tcPr>
          <w:p w14:paraId="1F09EF47" w14:textId="77777777" w:rsidR="008D76D6" w:rsidRDefault="008D76D6" w:rsidP="000B64E7">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320.75</w:t>
            </w:r>
          </w:p>
        </w:tc>
        <w:tc>
          <w:tcPr>
            <w:tcW w:w="987" w:type="pct"/>
            <w:vAlign w:val="center"/>
          </w:tcPr>
          <w:p w14:paraId="5B2D4804" w14:textId="77777777" w:rsidR="008D76D6" w:rsidRDefault="008D76D6" w:rsidP="000B64E7">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641.27</w:t>
            </w:r>
          </w:p>
        </w:tc>
        <w:tc>
          <w:tcPr>
            <w:tcW w:w="967" w:type="pct"/>
            <w:vAlign w:val="center"/>
          </w:tcPr>
          <w:p w14:paraId="73309765" w14:textId="77777777" w:rsidR="008D76D6" w:rsidRDefault="008D76D6" w:rsidP="000B64E7">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w:t>
            </w:r>
          </w:p>
        </w:tc>
      </w:tr>
      <w:tr w:rsidR="008D76D6" w14:paraId="46F6755F" w14:textId="77777777">
        <w:trPr>
          <w:cantSplit/>
          <w:trHeight w:val="397"/>
        </w:trPr>
        <w:tc>
          <w:tcPr>
            <w:tcW w:w="1119" w:type="pct"/>
            <w:vAlign w:val="center"/>
          </w:tcPr>
          <w:p w14:paraId="174C5799"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占存货余额的比例</w:t>
            </w:r>
          </w:p>
        </w:tc>
        <w:tc>
          <w:tcPr>
            <w:tcW w:w="940" w:type="pct"/>
            <w:vAlign w:val="center"/>
          </w:tcPr>
          <w:p w14:paraId="66C95143" w14:textId="77777777" w:rsidR="008D76D6" w:rsidRDefault="008D76D6" w:rsidP="000B64E7">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21"/>
              </w:rPr>
              <w:t>4.71%</w:t>
            </w:r>
          </w:p>
        </w:tc>
        <w:tc>
          <w:tcPr>
            <w:tcW w:w="987" w:type="pct"/>
            <w:vAlign w:val="center"/>
          </w:tcPr>
          <w:p w14:paraId="543F5885" w14:textId="77777777" w:rsidR="008D76D6" w:rsidRDefault="008D76D6" w:rsidP="000B64E7">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2.62%</w:t>
            </w:r>
          </w:p>
        </w:tc>
        <w:tc>
          <w:tcPr>
            <w:tcW w:w="987" w:type="pct"/>
            <w:vAlign w:val="center"/>
          </w:tcPr>
          <w:p w14:paraId="1D33D6B6" w14:textId="77777777" w:rsidR="008D76D6" w:rsidRDefault="008D76D6" w:rsidP="000B64E7">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5.55%</w:t>
            </w:r>
          </w:p>
        </w:tc>
        <w:tc>
          <w:tcPr>
            <w:tcW w:w="967" w:type="pct"/>
            <w:vAlign w:val="center"/>
          </w:tcPr>
          <w:p w14:paraId="68C0C946" w14:textId="77777777" w:rsidR="008D76D6" w:rsidRDefault="008D76D6" w:rsidP="000B64E7">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w:t>
            </w:r>
          </w:p>
        </w:tc>
      </w:tr>
      <w:tr w:rsidR="008D76D6" w14:paraId="2F20F8C5" w14:textId="77777777">
        <w:trPr>
          <w:cantSplit/>
          <w:trHeight w:val="397"/>
        </w:trPr>
        <w:tc>
          <w:tcPr>
            <w:tcW w:w="1119" w:type="pct"/>
            <w:vAlign w:val="center"/>
          </w:tcPr>
          <w:p w14:paraId="78018969" w14:textId="77777777" w:rsidR="008D76D6" w:rsidRDefault="008D76D6" w:rsidP="000B64E7">
            <w:pPr>
              <w:spacing w:beforeLines="0" w:before="0" w:afterLines="0" w:after="0" w:line="240" w:lineRule="auto"/>
              <w:ind w:firstLineChars="0" w:firstLine="0"/>
              <w:jc w:val="center"/>
              <w:rPr>
                <w:rFonts w:ascii="Times New Roman" w:hAnsi="Times New Roman"/>
                <w:color w:val="000000"/>
                <w:sz w:val="21"/>
              </w:rPr>
            </w:pPr>
            <w:r>
              <w:rPr>
                <w:rFonts w:ascii="Times New Roman" w:hAnsi="Times New Roman"/>
                <w:color w:val="000000"/>
                <w:sz w:val="21"/>
              </w:rPr>
              <w:t>汽车配件存货跌价准备</w:t>
            </w:r>
          </w:p>
        </w:tc>
        <w:tc>
          <w:tcPr>
            <w:tcW w:w="940" w:type="pct"/>
            <w:vAlign w:val="center"/>
          </w:tcPr>
          <w:p w14:paraId="6E01816B" w14:textId="77777777" w:rsidR="008D76D6" w:rsidRDefault="008D76D6" w:rsidP="000B64E7">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szCs w:val="21"/>
              </w:rPr>
              <w:t>98.65</w:t>
            </w:r>
          </w:p>
        </w:tc>
        <w:tc>
          <w:tcPr>
            <w:tcW w:w="987" w:type="pct"/>
            <w:vAlign w:val="center"/>
          </w:tcPr>
          <w:p w14:paraId="4ACEE4E0" w14:textId="77777777" w:rsidR="008D76D6" w:rsidRDefault="008D76D6" w:rsidP="000B64E7">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52.31</w:t>
            </w:r>
          </w:p>
        </w:tc>
        <w:tc>
          <w:tcPr>
            <w:tcW w:w="987" w:type="pct"/>
            <w:vAlign w:val="center"/>
          </w:tcPr>
          <w:p w14:paraId="7E2F3AB7" w14:textId="77777777" w:rsidR="008D76D6" w:rsidRDefault="008D76D6" w:rsidP="000B64E7">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83.08</w:t>
            </w:r>
          </w:p>
        </w:tc>
        <w:tc>
          <w:tcPr>
            <w:tcW w:w="967" w:type="pct"/>
            <w:vAlign w:val="center"/>
          </w:tcPr>
          <w:p w14:paraId="74EC7A69" w14:textId="77777777" w:rsidR="008D76D6" w:rsidRDefault="008D76D6" w:rsidP="000B64E7">
            <w:pPr>
              <w:spacing w:beforeLines="0" w:before="0" w:afterLines="0" w:after="0" w:line="240" w:lineRule="auto"/>
              <w:ind w:firstLineChars="0" w:firstLine="0"/>
              <w:jc w:val="right"/>
              <w:rPr>
                <w:rFonts w:ascii="Times New Roman" w:hAnsi="Times New Roman"/>
                <w:color w:val="000000"/>
                <w:sz w:val="21"/>
              </w:rPr>
            </w:pPr>
            <w:r>
              <w:rPr>
                <w:rFonts w:ascii="Times New Roman" w:hAnsi="Times New Roman"/>
                <w:color w:val="000000"/>
                <w:sz w:val="21"/>
              </w:rPr>
              <w:t>-</w:t>
            </w:r>
          </w:p>
        </w:tc>
      </w:tr>
    </w:tbl>
    <w:p w14:paraId="1EF46354" w14:textId="77777777" w:rsidR="008D76D6" w:rsidRDefault="008D76D6">
      <w:pPr>
        <w:pStyle w:val="005"/>
        <w:spacing w:before="120" w:after="120"/>
        <w:ind w:firstLine="480"/>
      </w:pPr>
      <w:r>
        <w:t>由上可见，报告期各期末，汽车配件存货量较少，占存货余额的比例较低，公司已根据存货减值测试结果计提了存货跌价准备。</w:t>
      </w:r>
    </w:p>
    <w:p w14:paraId="2093451D" w14:textId="77777777" w:rsidR="008D76D6" w:rsidRDefault="008D76D6">
      <w:pPr>
        <w:spacing w:before="120" w:after="120"/>
        <w:ind w:firstLine="480"/>
      </w:pPr>
      <w:r>
        <w:t>报告期内，公司铸件生产线均处于正常生产状态，该生产线可同时生产阀门用铸件及汽车配件用铸件，相关设备正常运营，不存在明显减值迹象。</w:t>
      </w:r>
    </w:p>
    <w:p w14:paraId="4CCF3AD5" w14:textId="77777777" w:rsidR="008D76D6" w:rsidRPr="00B434D2" w:rsidRDefault="008D76D6" w:rsidP="008A0CBD">
      <w:pPr>
        <w:pStyle w:val="003"/>
        <w:keepNext w:val="0"/>
        <w:keepLines w:val="0"/>
        <w:widowControl w:val="0"/>
        <w:spacing w:before="120" w:after="120"/>
        <w:ind w:firstLine="482"/>
      </w:pPr>
      <w:r w:rsidRPr="00B434D2">
        <w:rPr>
          <w:rFonts w:hint="eastAsia"/>
        </w:rPr>
        <w:t>五、发行人是否开展商业房地产经营业务，如是，请说明相关业务开展的具体模式</w:t>
      </w:r>
      <w:r w:rsidRPr="00B434D2">
        <w:t>、经营内容</w:t>
      </w:r>
      <w:r w:rsidRPr="00B434D2">
        <w:rPr>
          <w:rFonts w:hint="eastAsia"/>
        </w:rPr>
        <w:t>，并</w:t>
      </w:r>
      <w:r w:rsidRPr="00B434D2">
        <w:t>说明为确保</w:t>
      </w:r>
      <w:r w:rsidRPr="00B434D2">
        <w:rPr>
          <w:rFonts w:hint="eastAsia"/>
        </w:rPr>
        <w:t>本次募集资金</w:t>
      </w:r>
      <w:r w:rsidRPr="00B434D2">
        <w:t>不变相</w:t>
      </w:r>
      <w:r w:rsidRPr="00B434D2">
        <w:rPr>
          <w:rFonts w:hint="eastAsia"/>
        </w:rPr>
        <w:t>投入相关业务</w:t>
      </w:r>
      <w:r w:rsidRPr="00B434D2">
        <w:t>的措施及有效性</w:t>
      </w:r>
      <w:r w:rsidRPr="00B434D2">
        <w:rPr>
          <w:rFonts w:hint="eastAsia"/>
        </w:rPr>
        <w:t>。</w:t>
      </w:r>
    </w:p>
    <w:p w14:paraId="4510DA4A" w14:textId="77777777" w:rsidR="008D76D6" w:rsidRPr="00B434D2" w:rsidRDefault="008D76D6" w:rsidP="00B434D2">
      <w:pPr>
        <w:pStyle w:val="004"/>
        <w:spacing w:before="120" w:after="120"/>
        <w:ind w:firstLine="482"/>
      </w:pPr>
      <w:r w:rsidRPr="00B434D2">
        <w:rPr>
          <w:rFonts w:hint="eastAsia"/>
        </w:rPr>
        <w:t>（一）</w:t>
      </w:r>
      <w:bookmarkStart w:id="17" w:name="_Hlk154057697"/>
      <w:r w:rsidRPr="00B434D2">
        <w:rPr>
          <w:rFonts w:hint="eastAsia"/>
        </w:rPr>
        <w:t>发行人是否开展商业房地产经营业务</w:t>
      </w:r>
      <w:bookmarkEnd w:id="17"/>
      <w:r w:rsidRPr="00B434D2">
        <w:rPr>
          <w:rFonts w:hint="eastAsia"/>
        </w:rPr>
        <w:t>，如是，请说明相关业务开展的具体模式、经营内容</w:t>
      </w:r>
    </w:p>
    <w:p w14:paraId="32932BB7" w14:textId="77777777" w:rsidR="000B64E7" w:rsidRDefault="008D76D6">
      <w:pPr>
        <w:spacing w:before="120" w:after="120"/>
        <w:ind w:firstLine="480"/>
        <w:rPr>
          <w:rFonts w:ascii="Times New Roman" w:hAnsi="Times New Roman"/>
          <w:szCs w:val="24"/>
        </w:rPr>
      </w:pPr>
      <w:r>
        <w:rPr>
          <w:rFonts w:ascii="Times New Roman" w:hAnsi="Times New Roman" w:hint="eastAsia"/>
          <w:szCs w:val="24"/>
        </w:rPr>
        <w:t>根据《中华人民共和国城市房地产管理</w:t>
      </w:r>
      <w:r>
        <w:rPr>
          <w:rFonts w:ascii="宋体" w:hAnsi="宋体" w:hint="eastAsia"/>
          <w:szCs w:val="24"/>
        </w:rPr>
        <w:t>法（</w:t>
      </w:r>
      <w:r w:rsidRPr="00B434D2">
        <w:rPr>
          <w:rFonts w:ascii="Times New Roman" w:hAnsi="Times New Roman"/>
          <w:szCs w:val="24"/>
        </w:rPr>
        <w:t>2019</w:t>
      </w:r>
      <w:r>
        <w:rPr>
          <w:rFonts w:ascii="宋体" w:hAnsi="宋体" w:hint="eastAsia"/>
          <w:szCs w:val="24"/>
        </w:rPr>
        <w:t>年修订）</w:t>
      </w:r>
      <w:r>
        <w:rPr>
          <w:rFonts w:ascii="Times New Roman" w:hAnsi="Times New Roman" w:hint="eastAsia"/>
          <w:szCs w:val="24"/>
        </w:rPr>
        <w:t>》第二条规定：“在中华人民共和国城市规划区国有土地（以下简称国有土地）范围内取得房地产开发用地的土地使用权，从事房地产开发、房地产交易，实施房地产管理，应当遵守本法。本法所称房屋，是指土地上的房屋等建筑物及构筑物。本法所称房地产开发，是指在依据本法取得国有土地使用权的土地上进行基础设施、房屋建设的行为。本法所称房地产交易，包括房地产转让、房地产抵押和房屋租赁。”第三十条规定：“房地产开发企业是以营利为目的，从事房地产开发和经营的企业</w:t>
      </w:r>
      <w:r w:rsidR="000B64E7">
        <w:rPr>
          <w:rFonts w:ascii="Times New Roman" w:hAnsi="Times New Roman" w:hint="eastAsia"/>
          <w:szCs w:val="24"/>
        </w:rPr>
        <w:t>。</w:t>
      </w:r>
      <w:r>
        <w:rPr>
          <w:rFonts w:ascii="Times New Roman" w:hAnsi="Times New Roman" w:hint="eastAsia"/>
          <w:szCs w:val="24"/>
        </w:rPr>
        <w:t>”</w:t>
      </w:r>
    </w:p>
    <w:p w14:paraId="5300D55C" w14:textId="77777777" w:rsidR="008D76D6" w:rsidRPr="00B434D2" w:rsidRDefault="008D76D6">
      <w:pPr>
        <w:spacing w:before="120" w:after="120"/>
        <w:ind w:firstLine="480"/>
        <w:rPr>
          <w:rFonts w:ascii="Times New Roman" w:hAnsi="Times New Roman"/>
          <w:szCs w:val="24"/>
        </w:rPr>
      </w:pPr>
      <w:r>
        <w:rPr>
          <w:rFonts w:ascii="Times New Roman" w:hAnsi="Times New Roman" w:hint="eastAsia"/>
          <w:szCs w:val="24"/>
        </w:rPr>
        <w:t>根据《城市房地产开发经营管理条例（</w:t>
      </w:r>
      <w:r w:rsidRPr="00B434D2">
        <w:rPr>
          <w:rFonts w:ascii="Times New Roman" w:hAnsi="Times New Roman"/>
          <w:bCs/>
        </w:rPr>
        <w:t>2020</w:t>
      </w:r>
      <w:r w:rsidRPr="00B434D2">
        <w:rPr>
          <w:rFonts w:ascii="Times New Roman" w:hAnsi="Times New Roman"/>
          <w:bCs/>
        </w:rPr>
        <w:t>年</w:t>
      </w:r>
      <w:r w:rsidRPr="00B434D2">
        <w:rPr>
          <w:rFonts w:ascii="Times New Roman" w:hAnsi="Times New Roman"/>
          <w:bCs/>
        </w:rPr>
        <w:t>11</w:t>
      </w:r>
      <w:r w:rsidRPr="00B434D2">
        <w:rPr>
          <w:rFonts w:ascii="Times New Roman" w:hAnsi="Times New Roman"/>
          <w:bCs/>
        </w:rPr>
        <w:t>月修订</w:t>
      </w:r>
      <w:r w:rsidRPr="00B434D2">
        <w:rPr>
          <w:rFonts w:ascii="Times New Roman" w:hAnsi="Times New Roman"/>
          <w:szCs w:val="24"/>
        </w:rPr>
        <w:t>）》第二条规定：</w:t>
      </w:r>
      <w:r w:rsidRPr="00B434D2">
        <w:rPr>
          <w:rFonts w:ascii="Times New Roman" w:hAnsi="Times New Roman"/>
          <w:szCs w:val="24"/>
        </w:rPr>
        <w:t>“</w:t>
      </w:r>
      <w:r w:rsidRPr="00B434D2">
        <w:rPr>
          <w:rFonts w:ascii="Times New Roman" w:hAnsi="Times New Roman"/>
          <w:szCs w:val="24"/>
        </w:rPr>
        <w:t>本条例所称房地产开发经营，是指房地产开发企业在城市规划区内国有土地上进行基础设施建设、房屋建设，并转让房地产开发项目或者销售、出租商品房的行为</w:t>
      </w:r>
      <w:r w:rsidRPr="00B434D2">
        <w:rPr>
          <w:rFonts w:ascii="Times New Roman" w:hAnsi="Times New Roman"/>
          <w:szCs w:val="24"/>
        </w:rPr>
        <w:t>”</w:t>
      </w:r>
      <w:r w:rsidRPr="00B434D2">
        <w:rPr>
          <w:rFonts w:ascii="Times New Roman" w:hAnsi="Times New Roman"/>
          <w:szCs w:val="24"/>
        </w:rPr>
        <w:t>。根据《房地产开发企业资质管理规定（</w:t>
      </w:r>
      <w:r w:rsidRPr="00B434D2">
        <w:rPr>
          <w:rFonts w:ascii="Times New Roman" w:hAnsi="Times New Roman"/>
          <w:szCs w:val="24"/>
        </w:rPr>
        <w:t>2022</w:t>
      </w:r>
      <w:r w:rsidRPr="00B434D2">
        <w:rPr>
          <w:rFonts w:ascii="Times New Roman" w:hAnsi="Times New Roman"/>
          <w:szCs w:val="24"/>
        </w:rPr>
        <w:t>年修订）》第三条第二款的规定：</w:t>
      </w:r>
      <w:r w:rsidRPr="00B434D2">
        <w:rPr>
          <w:rFonts w:ascii="Times New Roman" w:hAnsi="Times New Roman"/>
          <w:szCs w:val="24"/>
        </w:rPr>
        <w:t>“</w:t>
      </w:r>
      <w:r w:rsidRPr="00B434D2">
        <w:rPr>
          <w:rFonts w:ascii="Times New Roman" w:hAnsi="Times New Roman"/>
          <w:szCs w:val="24"/>
        </w:rPr>
        <w:t>未取得房地产开发资质等级证书（以下简称资质证书）的企业，不得从事房地产开发经营业务。</w:t>
      </w:r>
      <w:r w:rsidRPr="00B434D2">
        <w:rPr>
          <w:rFonts w:ascii="Times New Roman" w:hAnsi="Times New Roman"/>
          <w:szCs w:val="24"/>
        </w:rPr>
        <w:t>”</w:t>
      </w:r>
    </w:p>
    <w:p w14:paraId="62060801" w14:textId="77777777" w:rsidR="008D76D6" w:rsidRDefault="008D76D6">
      <w:pPr>
        <w:topLinePunct/>
        <w:spacing w:before="120" w:after="120"/>
        <w:ind w:firstLine="480"/>
        <w:rPr>
          <w:rFonts w:ascii="仿宋" w:hAnsi="仿宋"/>
          <w:color w:val="000000"/>
          <w:szCs w:val="32"/>
        </w:rPr>
      </w:pPr>
      <w:r>
        <w:rPr>
          <w:rFonts w:ascii="仿宋" w:hAnsi="仿宋" w:hint="eastAsia"/>
          <w:color w:val="000000"/>
          <w:szCs w:val="32"/>
        </w:rPr>
        <w:t>经核查，发行人不存在开展商业房地产经营业务的情形，具体情况如下：</w:t>
      </w:r>
    </w:p>
    <w:p w14:paraId="1C6E098C" w14:textId="77777777" w:rsidR="008D76D6" w:rsidRDefault="008D76D6">
      <w:pPr>
        <w:topLinePunct/>
        <w:spacing w:before="120" w:after="120"/>
        <w:ind w:firstLine="480"/>
        <w:rPr>
          <w:rFonts w:ascii="仿宋" w:hAnsi="仿宋"/>
          <w:color w:val="000000"/>
          <w:szCs w:val="32"/>
        </w:rPr>
      </w:pPr>
      <w:r w:rsidRPr="00B434D2">
        <w:rPr>
          <w:rFonts w:ascii="Times New Roman" w:hAnsi="Times New Roman"/>
          <w:color w:val="000000"/>
          <w:szCs w:val="32"/>
        </w:rPr>
        <w:t>1</w:t>
      </w:r>
      <w:r w:rsidRPr="00B434D2">
        <w:rPr>
          <w:rFonts w:ascii="Times New Roman" w:hAnsi="Times New Roman"/>
          <w:color w:val="000000"/>
          <w:szCs w:val="32"/>
        </w:rPr>
        <w:t>、</w:t>
      </w:r>
      <w:r>
        <w:rPr>
          <w:rFonts w:ascii="仿宋" w:hAnsi="仿宋" w:hint="eastAsia"/>
          <w:color w:val="000000"/>
          <w:szCs w:val="32"/>
        </w:rPr>
        <w:t>发行人不持有住宅或商业房地产</w:t>
      </w:r>
    </w:p>
    <w:p w14:paraId="44710B03" w14:textId="77777777" w:rsidR="008D76D6" w:rsidRDefault="008D76D6">
      <w:pPr>
        <w:topLinePunct/>
        <w:spacing w:before="120" w:after="120"/>
        <w:ind w:firstLine="480"/>
        <w:rPr>
          <w:rFonts w:ascii="仿宋" w:hAnsi="仿宋"/>
          <w:color w:val="000000"/>
          <w:szCs w:val="32"/>
        </w:rPr>
      </w:pPr>
      <w:r>
        <w:rPr>
          <w:rFonts w:ascii="仿宋" w:hAnsi="仿宋" w:hint="eastAsia"/>
          <w:color w:val="000000"/>
          <w:szCs w:val="32"/>
        </w:rPr>
        <w:t>经核查，</w:t>
      </w:r>
      <w:r>
        <w:rPr>
          <w:rFonts w:ascii="Times New Roman" w:hAnsi="Times New Roman"/>
          <w:color w:val="000000"/>
          <w:szCs w:val="32"/>
        </w:rPr>
        <w:t>截至</w:t>
      </w:r>
      <w:r>
        <w:rPr>
          <w:rFonts w:ascii="Times New Roman" w:hAnsi="Times New Roman" w:hint="eastAsia"/>
          <w:color w:val="000000"/>
          <w:szCs w:val="32"/>
        </w:rPr>
        <w:t>本补充法律意见书出具之</w:t>
      </w:r>
      <w:r>
        <w:rPr>
          <w:rFonts w:ascii="Times New Roman" w:hAnsi="Times New Roman"/>
          <w:color w:val="000000"/>
          <w:szCs w:val="32"/>
        </w:rPr>
        <w:t>日</w:t>
      </w:r>
      <w:r>
        <w:rPr>
          <w:rFonts w:ascii="仿宋" w:hAnsi="仿宋" w:hint="eastAsia"/>
          <w:color w:val="000000"/>
          <w:szCs w:val="32"/>
        </w:rPr>
        <w:t>，发行人及子公司拥有的不动产权情况如下：</w:t>
      </w:r>
    </w:p>
    <w:p w14:paraId="3FC0530C" w14:textId="77777777" w:rsidR="008D76D6" w:rsidRDefault="008D76D6">
      <w:pPr>
        <w:topLinePunct/>
        <w:spacing w:before="120" w:after="120"/>
        <w:ind w:firstLine="480"/>
        <w:rPr>
          <w:rFonts w:ascii="仿宋" w:hAnsi="仿宋"/>
          <w:color w:val="000000"/>
          <w:szCs w:val="32"/>
        </w:rPr>
      </w:pPr>
      <w:r>
        <w:rPr>
          <w:rFonts w:ascii="Times New Roman" w:hAnsi="Times New Roman" w:hint="eastAsia"/>
          <w:color w:val="000000"/>
          <w:szCs w:val="32"/>
        </w:rPr>
        <w:t>（</w:t>
      </w:r>
      <w:r>
        <w:rPr>
          <w:rFonts w:ascii="Times New Roman" w:hAnsi="Times New Roman" w:hint="eastAsia"/>
          <w:color w:val="000000"/>
          <w:szCs w:val="32"/>
        </w:rPr>
        <w:t>1</w:t>
      </w:r>
      <w:r>
        <w:rPr>
          <w:rFonts w:ascii="Times New Roman" w:hAnsi="Times New Roman" w:hint="eastAsia"/>
          <w:color w:val="000000"/>
          <w:szCs w:val="32"/>
        </w:rPr>
        <w:t>）</w:t>
      </w:r>
      <w:r>
        <w:rPr>
          <w:rFonts w:ascii="仿宋" w:hAnsi="仿宋" w:hint="eastAsia"/>
          <w:color w:val="000000"/>
          <w:szCs w:val="32"/>
        </w:rPr>
        <w:t>房产情况</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973"/>
        <w:gridCol w:w="1785"/>
        <w:gridCol w:w="1453"/>
        <w:gridCol w:w="2784"/>
        <w:gridCol w:w="1257"/>
      </w:tblGrid>
      <w:tr w:rsidR="008D76D6" w14:paraId="01D6115A" w14:textId="77777777" w:rsidTr="008D76D6">
        <w:trPr>
          <w:trHeight w:val="397"/>
          <w:tblHeader/>
        </w:trPr>
        <w:tc>
          <w:tcPr>
            <w:tcW w:w="423" w:type="pct"/>
            <w:shd w:val="clear" w:color="auto" w:fill="D9D9D9"/>
            <w:vAlign w:val="center"/>
          </w:tcPr>
          <w:p w14:paraId="503ECED9"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序号</w:t>
            </w:r>
          </w:p>
        </w:tc>
        <w:tc>
          <w:tcPr>
            <w:tcW w:w="539" w:type="pct"/>
            <w:shd w:val="clear" w:color="auto" w:fill="D9D9D9"/>
            <w:vAlign w:val="center"/>
          </w:tcPr>
          <w:p w14:paraId="14922C5B"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权属</w:t>
            </w:r>
          </w:p>
        </w:tc>
        <w:tc>
          <w:tcPr>
            <w:tcW w:w="990" w:type="pct"/>
            <w:shd w:val="clear" w:color="auto" w:fill="D9D9D9"/>
            <w:vAlign w:val="center"/>
          </w:tcPr>
          <w:p w14:paraId="46BC6A83"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证号</w:t>
            </w:r>
          </w:p>
        </w:tc>
        <w:tc>
          <w:tcPr>
            <w:tcW w:w="806" w:type="pct"/>
            <w:shd w:val="clear" w:color="auto" w:fill="D9D9D9"/>
            <w:vAlign w:val="center"/>
          </w:tcPr>
          <w:p w14:paraId="454EFA0F"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建筑面积</w:t>
            </w:r>
          </w:p>
          <w:p w14:paraId="01DBDC75"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w:t>
            </w:r>
            <w:r>
              <w:rPr>
                <w:rFonts w:ascii="Times New Roman" w:hAnsi="Times New Roman" w:cs="宋体" w:hint="eastAsia"/>
                <w:b/>
                <w:kern w:val="0"/>
                <w:sz w:val="21"/>
                <w:szCs w:val="21"/>
              </w:rPr>
              <w:t>平方米</w:t>
            </w:r>
            <w:r>
              <w:rPr>
                <w:rFonts w:ascii="Times New Roman" w:hAnsi="Times New Roman" w:cs="宋体" w:hint="eastAsia"/>
                <w:b/>
                <w:kern w:val="0"/>
                <w:sz w:val="21"/>
                <w:szCs w:val="21"/>
              </w:rPr>
              <w:t>)</w:t>
            </w:r>
          </w:p>
        </w:tc>
        <w:tc>
          <w:tcPr>
            <w:tcW w:w="1544" w:type="pct"/>
            <w:shd w:val="clear" w:color="auto" w:fill="D9D9D9"/>
            <w:vAlign w:val="center"/>
          </w:tcPr>
          <w:p w14:paraId="6AA52129"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房屋坐落</w:t>
            </w:r>
          </w:p>
        </w:tc>
        <w:tc>
          <w:tcPr>
            <w:tcW w:w="697" w:type="pct"/>
            <w:shd w:val="clear" w:color="auto" w:fill="D9D9D9"/>
            <w:vAlign w:val="center"/>
          </w:tcPr>
          <w:p w14:paraId="5BF605A0"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规划</w:t>
            </w:r>
          </w:p>
          <w:p w14:paraId="0842B2E8"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用途</w:t>
            </w:r>
          </w:p>
        </w:tc>
      </w:tr>
      <w:tr w:rsidR="008D76D6" w14:paraId="17C606AC" w14:textId="77777777">
        <w:trPr>
          <w:trHeight w:val="397"/>
        </w:trPr>
        <w:tc>
          <w:tcPr>
            <w:tcW w:w="423" w:type="pct"/>
            <w:vAlign w:val="center"/>
          </w:tcPr>
          <w:p w14:paraId="0C645D79"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1</w:t>
            </w:r>
          </w:p>
        </w:tc>
        <w:tc>
          <w:tcPr>
            <w:tcW w:w="539" w:type="pct"/>
            <w:vAlign w:val="center"/>
          </w:tcPr>
          <w:p w14:paraId="0162B225"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w:t>
            </w:r>
          </w:p>
          <w:p w14:paraId="4258EEFA"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tc>
        <w:tc>
          <w:tcPr>
            <w:tcW w:w="990" w:type="pct"/>
            <w:vAlign w:val="center"/>
          </w:tcPr>
          <w:p w14:paraId="68D4CA95"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莱房权证沙河镇字第</w:t>
            </w:r>
            <w:r>
              <w:rPr>
                <w:rFonts w:ascii="Times New Roman" w:hAnsi="Times New Roman" w:cs="宋体" w:hint="eastAsia"/>
                <w:kern w:val="0"/>
                <w:sz w:val="21"/>
                <w:szCs w:val="21"/>
              </w:rPr>
              <w:t>0</w:t>
            </w:r>
            <w:r>
              <w:rPr>
                <w:rFonts w:ascii="Times New Roman" w:hAnsi="Times New Roman" w:cs="宋体"/>
                <w:kern w:val="0"/>
                <w:sz w:val="21"/>
                <w:szCs w:val="21"/>
              </w:rPr>
              <w:t>68624</w:t>
            </w:r>
            <w:r>
              <w:rPr>
                <w:rFonts w:ascii="Times New Roman" w:hAnsi="Times New Roman" w:cs="宋体" w:hint="eastAsia"/>
                <w:kern w:val="0"/>
                <w:sz w:val="21"/>
                <w:szCs w:val="21"/>
              </w:rPr>
              <w:t>号</w:t>
            </w:r>
          </w:p>
        </w:tc>
        <w:tc>
          <w:tcPr>
            <w:tcW w:w="806" w:type="pct"/>
            <w:vAlign w:val="center"/>
          </w:tcPr>
          <w:p w14:paraId="466CABC4" w14:textId="77777777" w:rsidR="008D76D6" w:rsidRDefault="008D76D6" w:rsidP="000B64E7">
            <w:pPr>
              <w:spacing w:beforeLines="0" w:before="0" w:afterLines="0" w:after="0" w:line="240" w:lineRule="auto"/>
              <w:ind w:firstLineChars="0" w:firstLine="0"/>
              <w:jc w:val="right"/>
              <w:rPr>
                <w:rFonts w:ascii="Times New Roman" w:hAnsi="Times New Roman" w:cs="宋体"/>
                <w:kern w:val="0"/>
                <w:sz w:val="21"/>
                <w:szCs w:val="21"/>
              </w:rPr>
            </w:pPr>
            <w:r>
              <w:rPr>
                <w:rFonts w:ascii="Times New Roman" w:hAnsi="Times New Roman" w:cs="宋体"/>
                <w:kern w:val="0"/>
                <w:sz w:val="21"/>
                <w:szCs w:val="21"/>
              </w:rPr>
              <w:t>3,033</w:t>
            </w:r>
            <w:r>
              <w:rPr>
                <w:rFonts w:ascii="Times New Roman" w:hAnsi="Times New Roman" w:cs="宋体" w:hint="eastAsia"/>
                <w:kern w:val="0"/>
                <w:sz w:val="21"/>
                <w:szCs w:val="21"/>
              </w:rPr>
              <w:t>.</w:t>
            </w:r>
            <w:r>
              <w:rPr>
                <w:rFonts w:ascii="Times New Roman" w:hAnsi="Times New Roman" w:cs="宋体"/>
                <w:kern w:val="0"/>
                <w:sz w:val="21"/>
                <w:szCs w:val="21"/>
              </w:rPr>
              <w:t>48</w:t>
            </w:r>
          </w:p>
        </w:tc>
        <w:tc>
          <w:tcPr>
            <w:tcW w:w="1544" w:type="pct"/>
            <w:vAlign w:val="center"/>
          </w:tcPr>
          <w:p w14:paraId="52065EC9"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沙河镇海郑村（</w:t>
            </w:r>
            <w:r>
              <w:rPr>
                <w:rFonts w:ascii="Times New Roman" w:hAnsi="Times New Roman" w:cs="宋体" w:hint="eastAsia"/>
                <w:kern w:val="0"/>
                <w:sz w:val="21"/>
                <w:szCs w:val="21"/>
              </w:rPr>
              <w:t>1</w:t>
            </w:r>
            <w:r>
              <w:rPr>
                <w:rFonts w:ascii="Times New Roman" w:hAnsi="Times New Roman" w:cs="宋体"/>
                <w:kern w:val="0"/>
                <w:sz w:val="21"/>
                <w:szCs w:val="21"/>
              </w:rPr>
              <w:t>10/5/89</w:t>
            </w:r>
            <w:r>
              <w:rPr>
                <w:rFonts w:ascii="Times New Roman" w:hAnsi="Times New Roman" w:cs="宋体" w:hint="eastAsia"/>
                <w:kern w:val="0"/>
                <w:sz w:val="21"/>
                <w:szCs w:val="21"/>
              </w:rPr>
              <w:t>）</w:t>
            </w:r>
            <w:r>
              <w:rPr>
                <w:rFonts w:ascii="Times New Roman" w:hAnsi="Times New Roman" w:cs="宋体" w:hint="eastAsia"/>
                <w:kern w:val="0"/>
                <w:sz w:val="21"/>
                <w:szCs w:val="21"/>
              </w:rPr>
              <w:t>1</w:t>
            </w:r>
            <w:r>
              <w:rPr>
                <w:rFonts w:ascii="Times New Roman" w:hAnsi="Times New Roman" w:cs="宋体" w:hint="eastAsia"/>
                <w:kern w:val="0"/>
                <w:sz w:val="21"/>
                <w:szCs w:val="21"/>
              </w:rPr>
              <w:t>幢等</w:t>
            </w:r>
            <w:r>
              <w:rPr>
                <w:rFonts w:ascii="Times New Roman" w:hAnsi="Times New Roman" w:cs="宋体" w:hint="eastAsia"/>
                <w:kern w:val="0"/>
                <w:sz w:val="21"/>
                <w:szCs w:val="21"/>
              </w:rPr>
              <w:t>9</w:t>
            </w:r>
            <w:r>
              <w:rPr>
                <w:rFonts w:ascii="Times New Roman" w:hAnsi="Times New Roman" w:cs="宋体" w:hint="eastAsia"/>
                <w:kern w:val="0"/>
                <w:sz w:val="21"/>
                <w:szCs w:val="21"/>
              </w:rPr>
              <w:t>幢楼</w:t>
            </w:r>
          </w:p>
        </w:tc>
        <w:tc>
          <w:tcPr>
            <w:tcW w:w="697" w:type="pct"/>
            <w:vAlign w:val="center"/>
          </w:tcPr>
          <w:p w14:paraId="596F2407"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办公、工业、其他</w:t>
            </w:r>
          </w:p>
        </w:tc>
      </w:tr>
      <w:tr w:rsidR="008D76D6" w14:paraId="726522E6" w14:textId="77777777">
        <w:trPr>
          <w:trHeight w:val="397"/>
        </w:trPr>
        <w:tc>
          <w:tcPr>
            <w:tcW w:w="423" w:type="pct"/>
            <w:vAlign w:val="center"/>
          </w:tcPr>
          <w:p w14:paraId="22FABE11"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2</w:t>
            </w:r>
          </w:p>
        </w:tc>
        <w:tc>
          <w:tcPr>
            <w:tcW w:w="539" w:type="pct"/>
            <w:vAlign w:val="center"/>
          </w:tcPr>
          <w:p w14:paraId="085A53E4"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w:t>
            </w:r>
          </w:p>
          <w:p w14:paraId="0C5110C5"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tc>
        <w:tc>
          <w:tcPr>
            <w:tcW w:w="990" w:type="pct"/>
            <w:vAlign w:val="center"/>
          </w:tcPr>
          <w:p w14:paraId="1CFD1F39"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莱房权证沙河镇字第</w:t>
            </w:r>
            <w:r>
              <w:rPr>
                <w:rFonts w:ascii="Times New Roman" w:hAnsi="Times New Roman" w:cs="宋体" w:hint="eastAsia"/>
                <w:kern w:val="0"/>
                <w:sz w:val="21"/>
                <w:szCs w:val="21"/>
              </w:rPr>
              <w:t>0</w:t>
            </w:r>
            <w:r>
              <w:rPr>
                <w:rFonts w:ascii="Times New Roman" w:hAnsi="Times New Roman" w:cs="宋体"/>
                <w:kern w:val="0"/>
                <w:sz w:val="21"/>
                <w:szCs w:val="21"/>
              </w:rPr>
              <w:t>27237</w:t>
            </w:r>
            <w:r>
              <w:rPr>
                <w:rFonts w:ascii="Times New Roman" w:hAnsi="Times New Roman" w:cs="宋体" w:hint="eastAsia"/>
                <w:kern w:val="0"/>
                <w:sz w:val="21"/>
                <w:szCs w:val="21"/>
              </w:rPr>
              <w:t>号</w:t>
            </w:r>
          </w:p>
        </w:tc>
        <w:tc>
          <w:tcPr>
            <w:tcW w:w="806" w:type="pct"/>
            <w:vAlign w:val="center"/>
          </w:tcPr>
          <w:p w14:paraId="35A39663" w14:textId="77777777" w:rsidR="008D76D6" w:rsidRDefault="008D76D6" w:rsidP="000B64E7">
            <w:pPr>
              <w:spacing w:beforeLines="0" w:before="0" w:afterLines="0" w:after="0" w:line="240" w:lineRule="auto"/>
              <w:ind w:firstLineChars="0" w:firstLine="0"/>
              <w:jc w:val="right"/>
              <w:rPr>
                <w:rFonts w:ascii="Times New Roman" w:hAnsi="Times New Roman" w:cs="宋体"/>
                <w:kern w:val="0"/>
                <w:sz w:val="21"/>
                <w:szCs w:val="21"/>
              </w:rPr>
            </w:pPr>
            <w:r>
              <w:rPr>
                <w:rFonts w:ascii="Times New Roman" w:hAnsi="Times New Roman" w:cs="宋体" w:hint="eastAsia"/>
                <w:kern w:val="0"/>
                <w:sz w:val="21"/>
                <w:szCs w:val="21"/>
              </w:rPr>
              <w:t>1</w:t>
            </w:r>
            <w:r>
              <w:rPr>
                <w:rFonts w:ascii="Times New Roman" w:hAnsi="Times New Roman" w:cs="宋体"/>
                <w:kern w:val="0"/>
                <w:sz w:val="21"/>
                <w:szCs w:val="21"/>
              </w:rPr>
              <w:t>2,209</w:t>
            </w:r>
            <w:r>
              <w:rPr>
                <w:rFonts w:ascii="Times New Roman" w:hAnsi="Times New Roman" w:cs="宋体" w:hint="eastAsia"/>
                <w:kern w:val="0"/>
                <w:sz w:val="21"/>
                <w:szCs w:val="21"/>
              </w:rPr>
              <w:t>.</w:t>
            </w:r>
            <w:r>
              <w:rPr>
                <w:rFonts w:ascii="Times New Roman" w:hAnsi="Times New Roman" w:cs="宋体"/>
                <w:kern w:val="0"/>
                <w:sz w:val="21"/>
                <w:szCs w:val="21"/>
              </w:rPr>
              <w:t>40</w:t>
            </w:r>
          </w:p>
        </w:tc>
        <w:tc>
          <w:tcPr>
            <w:tcW w:w="1544" w:type="pct"/>
            <w:vAlign w:val="center"/>
          </w:tcPr>
          <w:p w14:paraId="5FCD3525"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沙河镇海郑村</w:t>
            </w:r>
            <w:r>
              <w:rPr>
                <w:rFonts w:ascii="Times New Roman" w:hAnsi="Times New Roman" w:cs="宋体" w:hint="eastAsia"/>
                <w:kern w:val="0"/>
                <w:sz w:val="21"/>
                <w:szCs w:val="21"/>
              </w:rPr>
              <w:t>1</w:t>
            </w:r>
            <w:r>
              <w:rPr>
                <w:rFonts w:ascii="Times New Roman" w:hAnsi="Times New Roman" w:cs="宋体" w:hint="eastAsia"/>
                <w:kern w:val="0"/>
                <w:sz w:val="21"/>
                <w:szCs w:val="21"/>
              </w:rPr>
              <w:t>幢</w:t>
            </w:r>
            <w:r>
              <w:rPr>
                <w:rFonts w:ascii="Times New Roman" w:hAnsi="Times New Roman" w:cs="宋体" w:hint="eastAsia"/>
                <w:kern w:val="0"/>
                <w:sz w:val="21"/>
                <w:szCs w:val="21"/>
              </w:rPr>
              <w:t>1</w:t>
            </w:r>
            <w:r>
              <w:rPr>
                <w:rFonts w:ascii="Times New Roman" w:hAnsi="Times New Roman" w:cs="宋体" w:hint="eastAsia"/>
                <w:kern w:val="0"/>
                <w:sz w:val="21"/>
                <w:szCs w:val="21"/>
              </w:rPr>
              <w:t>号房、</w:t>
            </w:r>
            <w:r>
              <w:rPr>
                <w:rFonts w:ascii="Times New Roman" w:hAnsi="Times New Roman" w:cs="宋体" w:hint="eastAsia"/>
                <w:kern w:val="0"/>
                <w:sz w:val="21"/>
                <w:szCs w:val="21"/>
              </w:rPr>
              <w:t>2</w:t>
            </w:r>
            <w:r>
              <w:rPr>
                <w:rFonts w:ascii="Times New Roman" w:hAnsi="Times New Roman" w:cs="宋体" w:hint="eastAsia"/>
                <w:kern w:val="0"/>
                <w:sz w:val="21"/>
                <w:szCs w:val="21"/>
              </w:rPr>
              <w:t>幢</w:t>
            </w:r>
            <w:r>
              <w:rPr>
                <w:rFonts w:ascii="Times New Roman" w:hAnsi="Times New Roman" w:cs="宋体" w:hint="eastAsia"/>
                <w:kern w:val="0"/>
                <w:sz w:val="21"/>
                <w:szCs w:val="21"/>
              </w:rPr>
              <w:t>1</w:t>
            </w:r>
            <w:r>
              <w:rPr>
                <w:rFonts w:ascii="Times New Roman" w:hAnsi="Times New Roman" w:cs="宋体" w:hint="eastAsia"/>
                <w:kern w:val="0"/>
                <w:sz w:val="21"/>
                <w:szCs w:val="21"/>
              </w:rPr>
              <w:t>号房</w:t>
            </w:r>
          </w:p>
        </w:tc>
        <w:tc>
          <w:tcPr>
            <w:tcW w:w="697" w:type="pct"/>
            <w:vAlign w:val="center"/>
          </w:tcPr>
          <w:p w14:paraId="5E7CBCD5"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工业</w:t>
            </w:r>
          </w:p>
        </w:tc>
      </w:tr>
      <w:tr w:rsidR="008D76D6" w14:paraId="4FD8D710" w14:textId="77777777">
        <w:trPr>
          <w:trHeight w:val="397"/>
        </w:trPr>
        <w:tc>
          <w:tcPr>
            <w:tcW w:w="423" w:type="pct"/>
            <w:vAlign w:val="center"/>
          </w:tcPr>
          <w:p w14:paraId="2CF8C47F"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3</w:t>
            </w:r>
          </w:p>
        </w:tc>
        <w:tc>
          <w:tcPr>
            <w:tcW w:w="539" w:type="pct"/>
            <w:vAlign w:val="center"/>
          </w:tcPr>
          <w:p w14:paraId="5E970830"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w:t>
            </w:r>
          </w:p>
          <w:p w14:paraId="63220149"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tc>
        <w:tc>
          <w:tcPr>
            <w:tcW w:w="990" w:type="pct"/>
            <w:vAlign w:val="center"/>
          </w:tcPr>
          <w:p w14:paraId="2A984448"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莱房权证沙河镇字第</w:t>
            </w:r>
            <w:r>
              <w:rPr>
                <w:rFonts w:ascii="Times New Roman" w:hAnsi="Times New Roman" w:cs="宋体" w:hint="eastAsia"/>
                <w:kern w:val="0"/>
                <w:sz w:val="21"/>
                <w:szCs w:val="21"/>
              </w:rPr>
              <w:t>0</w:t>
            </w:r>
            <w:r>
              <w:rPr>
                <w:rFonts w:ascii="Times New Roman" w:hAnsi="Times New Roman" w:cs="宋体"/>
                <w:kern w:val="0"/>
                <w:sz w:val="21"/>
                <w:szCs w:val="21"/>
              </w:rPr>
              <w:t>68626</w:t>
            </w:r>
            <w:r>
              <w:rPr>
                <w:rFonts w:ascii="Times New Roman" w:hAnsi="Times New Roman" w:cs="宋体" w:hint="eastAsia"/>
                <w:kern w:val="0"/>
                <w:sz w:val="21"/>
                <w:szCs w:val="21"/>
              </w:rPr>
              <w:t>号</w:t>
            </w:r>
          </w:p>
        </w:tc>
        <w:tc>
          <w:tcPr>
            <w:tcW w:w="806" w:type="pct"/>
            <w:vAlign w:val="center"/>
          </w:tcPr>
          <w:p w14:paraId="2E80542D" w14:textId="77777777" w:rsidR="008D76D6" w:rsidRDefault="008D76D6" w:rsidP="000B64E7">
            <w:pPr>
              <w:spacing w:beforeLines="0" w:before="0" w:afterLines="0" w:after="0" w:line="240" w:lineRule="auto"/>
              <w:ind w:firstLineChars="0" w:firstLine="0"/>
              <w:jc w:val="right"/>
              <w:rPr>
                <w:rFonts w:ascii="Times New Roman" w:hAnsi="Times New Roman" w:cs="宋体"/>
                <w:kern w:val="0"/>
                <w:sz w:val="21"/>
                <w:szCs w:val="21"/>
              </w:rPr>
            </w:pPr>
            <w:r>
              <w:rPr>
                <w:rFonts w:ascii="Times New Roman" w:hAnsi="Times New Roman" w:cs="宋体"/>
                <w:kern w:val="0"/>
                <w:sz w:val="21"/>
                <w:szCs w:val="21"/>
              </w:rPr>
              <w:t>5,086.79</w:t>
            </w:r>
          </w:p>
        </w:tc>
        <w:tc>
          <w:tcPr>
            <w:tcW w:w="1544" w:type="pct"/>
            <w:vAlign w:val="center"/>
          </w:tcPr>
          <w:p w14:paraId="0C2A09E8"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沙河镇海郑村（</w:t>
            </w:r>
            <w:r>
              <w:rPr>
                <w:rFonts w:ascii="Times New Roman" w:hAnsi="Times New Roman" w:cs="宋体" w:hint="eastAsia"/>
                <w:kern w:val="0"/>
                <w:sz w:val="21"/>
                <w:szCs w:val="21"/>
              </w:rPr>
              <w:t>1</w:t>
            </w:r>
            <w:r>
              <w:rPr>
                <w:rFonts w:ascii="Times New Roman" w:hAnsi="Times New Roman" w:cs="宋体"/>
                <w:kern w:val="0"/>
                <w:sz w:val="21"/>
                <w:szCs w:val="21"/>
              </w:rPr>
              <w:t>10/4/31</w:t>
            </w:r>
            <w:r>
              <w:rPr>
                <w:rFonts w:ascii="Times New Roman" w:hAnsi="Times New Roman" w:cs="宋体" w:hint="eastAsia"/>
                <w:kern w:val="0"/>
                <w:sz w:val="21"/>
                <w:szCs w:val="21"/>
              </w:rPr>
              <w:t>）</w:t>
            </w:r>
            <w:r>
              <w:rPr>
                <w:rFonts w:ascii="Times New Roman" w:hAnsi="Times New Roman" w:cs="宋体" w:hint="eastAsia"/>
                <w:kern w:val="0"/>
                <w:sz w:val="21"/>
                <w:szCs w:val="21"/>
              </w:rPr>
              <w:t>1</w:t>
            </w:r>
            <w:r>
              <w:rPr>
                <w:rFonts w:ascii="Times New Roman" w:hAnsi="Times New Roman" w:cs="宋体" w:hint="eastAsia"/>
                <w:kern w:val="0"/>
                <w:sz w:val="21"/>
                <w:szCs w:val="21"/>
              </w:rPr>
              <w:t>幢</w:t>
            </w:r>
            <w:r>
              <w:rPr>
                <w:rFonts w:ascii="Times New Roman" w:hAnsi="Times New Roman" w:cs="宋体" w:hint="eastAsia"/>
                <w:kern w:val="0"/>
                <w:sz w:val="21"/>
                <w:szCs w:val="21"/>
              </w:rPr>
              <w:t>1</w:t>
            </w:r>
            <w:r>
              <w:rPr>
                <w:rFonts w:ascii="Times New Roman" w:hAnsi="Times New Roman" w:cs="宋体" w:hint="eastAsia"/>
                <w:kern w:val="0"/>
                <w:sz w:val="21"/>
                <w:szCs w:val="21"/>
              </w:rPr>
              <w:t>号房；</w:t>
            </w:r>
            <w:r>
              <w:rPr>
                <w:rFonts w:ascii="Times New Roman" w:hAnsi="Times New Roman" w:cs="宋体" w:hint="eastAsia"/>
                <w:kern w:val="0"/>
                <w:sz w:val="21"/>
                <w:szCs w:val="21"/>
              </w:rPr>
              <w:t>2</w:t>
            </w:r>
            <w:r>
              <w:rPr>
                <w:rFonts w:ascii="Times New Roman" w:hAnsi="Times New Roman" w:cs="宋体" w:hint="eastAsia"/>
                <w:kern w:val="0"/>
                <w:sz w:val="21"/>
                <w:szCs w:val="21"/>
              </w:rPr>
              <w:t>幢</w:t>
            </w:r>
            <w:r>
              <w:rPr>
                <w:rFonts w:ascii="Times New Roman" w:hAnsi="Times New Roman" w:cs="宋体" w:hint="eastAsia"/>
                <w:kern w:val="0"/>
                <w:sz w:val="21"/>
                <w:szCs w:val="21"/>
              </w:rPr>
              <w:t>1</w:t>
            </w:r>
            <w:r>
              <w:rPr>
                <w:rFonts w:ascii="Times New Roman" w:hAnsi="Times New Roman" w:cs="宋体" w:hint="eastAsia"/>
                <w:kern w:val="0"/>
                <w:sz w:val="21"/>
                <w:szCs w:val="21"/>
              </w:rPr>
              <w:t>号房；</w:t>
            </w:r>
            <w:r>
              <w:rPr>
                <w:rFonts w:ascii="Times New Roman" w:hAnsi="Times New Roman" w:cs="宋体" w:hint="eastAsia"/>
                <w:kern w:val="0"/>
                <w:sz w:val="21"/>
                <w:szCs w:val="21"/>
              </w:rPr>
              <w:t>3</w:t>
            </w:r>
            <w:r>
              <w:rPr>
                <w:rFonts w:ascii="Times New Roman" w:hAnsi="Times New Roman" w:cs="宋体" w:hint="eastAsia"/>
                <w:kern w:val="0"/>
                <w:sz w:val="21"/>
                <w:szCs w:val="21"/>
              </w:rPr>
              <w:t>幢</w:t>
            </w:r>
            <w:r>
              <w:rPr>
                <w:rFonts w:ascii="Times New Roman" w:hAnsi="Times New Roman" w:cs="宋体" w:hint="eastAsia"/>
                <w:kern w:val="0"/>
                <w:sz w:val="21"/>
                <w:szCs w:val="21"/>
              </w:rPr>
              <w:t>1</w:t>
            </w:r>
            <w:r>
              <w:rPr>
                <w:rFonts w:ascii="Times New Roman" w:hAnsi="Times New Roman" w:cs="宋体" w:hint="eastAsia"/>
                <w:kern w:val="0"/>
                <w:sz w:val="21"/>
                <w:szCs w:val="21"/>
              </w:rPr>
              <w:t>号房</w:t>
            </w:r>
          </w:p>
        </w:tc>
        <w:tc>
          <w:tcPr>
            <w:tcW w:w="697" w:type="pct"/>
            <w:vAlign w:val="center"/>
          </w:tcPr>
          <w:p w14:paraId="43CACEAA"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工业、</w:t>
            </w:r>
          </w:p>
          <w:p w14:paraId="5667313D"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其他</w:t>
            </w:r>
          </w:p>
        </w:tc>
      </w:tr>
      <w:tr w:rsidR="008D76D6" w14:paraId="592CBBF4" w14:textId="77777777">
        <w:trPr>
          <w:trHeight w:val="397"/>
        </w:trPr>
        <w:tc>
          <w:tcPr>
            <w:tcW w:w="423" w:type="pct"/>
            <w:vAlign w:val="center"/>
          </w:tcPr>
          <w:p w14:paraId="4CBF5BDA"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4</w:t>
            </w:r>
          </w:p>
        </w:tc>
        <w:tc>
          <w:tcPr>
            <w:tcW w:w="539" w:type="pct"/>
            <w:vAlign w:val="center"/>
          </w:tcPr>
          <w:p w14:paraId="64338845"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w:t>
            </w:r>
          </w:p>
          <w:p w14:paraId="27FFA33F"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tc>
        <w:tc>
          <w:tcPr>
            <w:tcW w:w="990" w:type="pct"/>
            <w:vAlign w:val="center"/>
          </w:tcPr>
          <w:p w14:paraId="15267C1C"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莱房权证沙河镇字第</w:t>
            </w:r>
            <w:r>
              <w:rPr>
                <w:rFonts w:ascii="Times New Roman" w:hAnsi="Times New Roman" w:cs="宋体" w:hint="eastAsia"/>
                <w:kern w:val="0"/>
                <w:sz w:val="21"/>
                <w:szCs w:val="21"/>
              </w:rPr>
              <w:t>0</w:t>
            </w:r>
            <w:r>
              <w:rPr>
                <w:rFonts w:ascii="Times New Roman" w:hAnsi="Times New Roman" w:cs="宋体"/>
                <w:kern w:val="0"/>
                <w:sz w:val="21"/>
                <w:szCs w:val="21"/>
              </w:rPr>
              <w:t>68625</w:t>
            </w:r>
            <w:r>
              <w:rPr>
                <w:rFonts w:ascii="Times New Roman" w:hAnsi="Times New Roman" w:cs="宋体" w:hint="eastAsia"/>
                <w:kern w:val="0"/>
                <w:sz w:val="21"/>
                <w:szCs w:val="21"/>
              </w:rPr>
              <w:t>号</w:t>
            </w:r>
          </w:p>
        </w:tc>
        <w:tc>
          <w:tcPr>
            <w:tcW w:w="806" w:type="pct"/>
            <w:vAlign w:val="center"/>
          </w:tcPr>
          <w:p w14:paraId="0073F7F2" w14:textId="77777777" w:rsidR="008D76D6" w:rsidRDefault="008D76D6" w:rsidP="000B64E7">
            <w:pPr>
              <w:spacing w:beforeLines="0" w:before="0" w:afterLines="0" w:after="0" w:line="240" w:lineRule="auto"/>
              <w:ind w:firstLineChars="0" w:firstLine="0"/>
              <w:jc w:val="right"/>
              <w:rPr>
                <w:rFonts w:ascii="Times New Roman" w:hAnsi="Times New Roman" w:cs="宋体"/>
                <w:kern w:val="0"/>
                <w:sz w:val="21"/>
                <w:szCs w:val="21"/>
              </w:rPr>
            </w:pPr>
            <w:r>
              <w:rPr>
                <w:rFonts w:ascii="Times New Roman" w:hAnsi="Times New Roman" w:cs="宋体" w:hint="eastAsia"/>
                <w:kern w:val="0"/>
                <w:sz w:val="21"/>
                <w:szCs w:val="21"/>
              </w:rPr>
              <w:t>3</w:t>
            </w:r>
            <w:r>
              <w:rPr>
                <w:rFonts w:ascii="Times New Roman" w:hAnsi="Times New Roman" w:cs="宋体"/>
                <w:kern w:val="0"/>
                <w:sz w:val="21"/>
                <w:szCs w:val="21"/>
              </w:rPr>
              <w:t>,402.76</w:t>
            </w:r>
          </w:p>
        </w:tc>
        <w:tc>
          <w:tcPr>
            <w:tcW w:w="1544" w:type="pct"/>
            <w:vAlign w:val="center"/>
          </w:tcPr>
          <w:p w14:paraId="7BFBB41C"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沙河镇海郑村（</w:t>
            </w:r>
            <w:r>
              <w:rPr>
                <w:rFonts w:ascii="Times New Roman" w:hAnsi="Times New Roman" w:cs="宋体" w:hint="eastAsia"/>
                <w:kern w:val="0"/>
                <w:sz w:val="21"/>
                <w:szCs w:val="21"/>
              </w:rPr>
              <w:t>6</w:t>
            </w:r>
            <w:r>
              <w:rPr>
                <w:rFonts w:ascii="Times New Roman" w:hAnsi="Times New Roman" w:cs="宋体"/>
                <w:kern w:val="0"/>
                <w:sz w:val="21"/>
                <w:szCs w:val="21"/>
              </w:rPr>
              <w:t>830060423004</w:t>
            </w:r>
            <w:r>
              <w:rPr>
                <w:rFonts w:ascii="Times New Roman" w:hAnsi="Times New Roman" w:cs="宋体" w:hint="eastAsia"/>
                <w:kern w:val="0"/>
                <w:sz w:val="21"/>
                <w:szCs w:val="21"/>
              </w:rPr>
              <w:t>）</w:t>
            </w:r>
          </w:p>
          <w:p w14:paraId="02399508"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4</w:t>
            </w:r>
            <w:r>
              <w:rPr>
                <w:rFonts w:ascii="Times New Roman" w:hAnsi="Times New Roman" w:cs="宋体" w:hint="eastAsia"/>
                <w:kern w:val="0"/>
                <w:sz w:val="21"/>
                <w:szCs w:val="21"/>
              </w:rPr>
              <w:t>幢等</w:t>
            </w:r>
            <w:r>
              <w:rPr>
                <w:rFonts w:ascii="Times New Roman" w:hAnsi="Times New Roman" w:cs="宋体" w:hint="eastAsia"/>
                <w:kern w:val="0"/>
                <w:sz w:val="21"/>
                <w:szCs w:val="21"/>
              </w:rPr>
              <w:t>6</w:t>
            </w:r>
            <w:r>
              <w:rPr>
                <w:rFonts w:ascii="Times New Roman" w:hAnsi="Times New Roman" w:cs="宋体" w:hint="eastAsia"/>
                <w:kern w:val="0"/>
                <w:sz w:val="21"/>
                <w:szCs w:val="21"/>
              </w:rPr>
              <w:t>幢楼</w:t>
            </w:r>
          </w:p>
        </w:tc>
        <w:tc>
          <w:tcPr>
            <w:tcW w:w="697" w:type="pct"/>
            <w:vAlign w:val="center"/>
          </w:tcPr>
          <w:p w14:paraId="7617007C"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工业、</w:t>
            </w:r>
          </w:p>
          <w:p w14:paraId="6B7A982C"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其他</w:t>
            </w:r>
          </w:p>
        </w:tc>
      </w:tr>
      <w:tr w:rsidR="008D76D6" w14:paraId="6137B98C" w14:textId="77777777">
        <w:trPr>
          <w:trHeight w:val="397"/>
        </w:trPr>
        <w:tc>
          <w:tcPr>
            <w:tcW w:w="423" w:type="pct"/>
            <w:vAlign w:val="center"/>
          </w:tcPr>
          <w:p w14:paraId="2433761B"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5</w:t>
            </w:r>
          </w:p>
        </w:tc>
        <w:tc>
          <w:tcPr>
            <w:tcW w:w="539" w:type="pct"/>
            <w:vAlign w:val="center"/>
          </w:tcPr>
          <w:p w14:paraId="6546A3F3"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w:t>
            </w:r>
          </w:p>
          <w:p w14:paraId="620C9FAE"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tc>
        <w:tc>
          <w:tcPr>
            <w:tcW w:w="990" w:type="pct"/>
            <w:vAlign w:val="center"/>
          </w:tcPr>
          <w:p w14:paraId="1956C076"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莱房权证沙河镇字第</w:t>
            </w:r>
            <w:r>
              <w:rPr>
                <w:rFonts w:ascii="Times New Roman" w:hAnsi="Times New Roman" w:cs="宋体" w:hint="eastAsia"/>
                <w:kern w:val="0"/>
                <w:sz w:val="21"/>
                <w:szCs w:val="21"/>
              </w:rPr>
              <w:t>0</w:t>
            </w:r>
            <w:r>
              <w:rPr>
                <w:rFonts w:ascii="Times New Roman" w:hAnsi="Times New Roman" w:cs="宋体"/>
                <w:kern w:val="0"/>
                <w:sz w:val="21"/>
                <w:szCs w:val="21"/>
              </w:rPr>
              <w:t>68628</w:t>
            </w:r>
            <w:r>
              <w:rPr>
                <w:rFonts w:ascii="Times New Roman" w:hAnsi="Times New Roman" w:cs="宋体" w:hint="eastAsia"/>
                <w:kern w:val="0"/>
                <w:sz w:val="21"/>
                <w:szCs w:val="21"/>
              </w:rPr>
              <w:t>号</w:t>
            </w:r>
          </w:p>
        </w:tc>
        <w:tc>
          <w:tcPr>
            <w:tcW w:w="806" w:type="pct"/>
            <w:vAlign w:val="center"/>
          </w:tcPr>
          <w:p w14:paraId="30223813" w14:textId="77777777" w:rsidR="008D76D6" w:rsidRDefault="008D76D6" w:rsidP="000B64E7">
            <w:pPr>
              <w:spacing w:beforeLines="0" w:before="0" w:afterLines="0" w:after="0" w:line="240" w:lineRule="auto"/>
              <w:ind w:firstLineChars="0" w:firstLine="0"/>
              <w:jc w:val="right"/>
              <w:rPr>
                <w:rFonts w:ascii="Times New Roman" w:hAnsi="Times New Roman" w:cs="宋体"/>
                <w:kern w:val="0"/>
                <w:sz w:val="21"/>
                <w:szCs w:val="21"/>
              </w:rPr>
            </w:pPr>
            <w:r>
              <w:rPr>
                <w:rFonts w:ascii="Times New Roman" w:hAnsi="Times New Roman" w:cs="宋体"/>
                <w:kern w:val="0"/>
                <w:sz w:val="21"/>
                <w:szCs w:val="21"/>
              </w:rPr>
              <w:t>9,776.15</w:t>
            </w:r>
          </w:p>
        </w:tc>
        <w:tc>
          <w:tcPr>
            <w:tcW w:w="1544" w:type="pct"/>
            <w:vAlign w:val="center"/>
          </w:tcPr>
          <w:p w14:paraId="2BCDF623"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沙河镇海郑村（</w:t>
            </w:r>
            <w:r>
              <w:rPr>
                <w:rFonts w:ascii="Times New Roman" w:hAnsi="Times New Roman" w:cs="宋体" w:hint="eastAsia"/>
                <w:kern w:val="0"/>
                <w:sz w:val="21"/>
                <w:szCs w:val="21"/>
              </w:rPr>
              <w:t>1</w:t>
            </w:r>
            <w:r>
              <w:rPr>
                <w:rFonts w:ascii="Times New Roman" w:hAnsi="Times New Roman" w:cs="宋体"/>
                <w:kern w:val="0"/>
                <w:sz w:val="21"/>
                <w:szCs w:val="21"/>
              </w:rPr>
              <w:t>10/4/58</w:t>
            </w:r>
            <w:r>
              <w:rPr>
                <w:rFonts w:ascii="Times New Roman" w:hAnsi="Times New Roman" w:cs="宋体" w:hint="eastAsia"/>
                <w:kern w:val="0"/>
                <w:sz w:val="21"/>
                <w:szCs w:val="21"/>
              </w:rPr>
              <w:t>）</w:t>
            </w:r>
            <w:r>
              <w:rPr>
                <w:rFonts w:ascii="Times New Roman" w:hAnsi="Times New Roman" w:cs="宋体" w:hint="eastAsia"/>
                <w:kern w:val="0"/>
                <w:sz w:val="21"/>
                <w:szCs w:val="21"/>
              </w:rPr>
              <w:t>1</w:t>
            </w:r>
            <w:r>
              <w:rPr>
                <w:rFonts w:ascii="Times New Roman" w:hAnsi="Times New Roman" w:cs="宋体" w:hint="eastAsia"/>
                <w:kern w:val="0"/>
                <w:sz w:val="21"/>
                <w:szCs w:val="21"/>
              </w:rPr>
              <w:t>幢</w:t>
            </w:r>
            <w:r>
              <w:rPr>
                <w:rFonts w:ascii="Times New Roman" w:hAnsi="Times New Roman" w:cs="宋体" w:hint="eastAsia"/>
                <w:kern w:val="0"/>
                <w:sz w:val="21"/>
                <w:szCs w:val="21"/>
              </w:rPr>
              <w:t>1</w:t>
            </w:r>
            <w:r>
              <w:rPr>
                <w:rFonts w:ascii="Times New Roman" w:hAnsi="Times New Roman" w:cs="宋体" w:hint="eastAsia"/>
                <w:kern w:val="0"/>
                <w:sz w:val="21"/>
                <w:szCs w:val="21"/>
              </w:rPr>
              <w:t>号房；</w:t>
            </w:r>
            <w:r>
              <w:rPr>
                <w:rFonts w:ascii="Times New Roman" w:hAnsi="Times New Roman" w:cs="宋体" w:hint="eastAsia"/>
                <w:kern w:val="0"/>
                <w:sz w:val="21"/>
                <w:szCs w:val="21"/>
              </w:rPr>
              <w:t>2</w:t>
            </w:r>
            <w:r>
              <w:rPr>
                <w:rFonts w:ascii="Times New Roman" w:hAnsi="Times New Roman" w:cs="宋体" w:hint="eastAsia"/>
                <w:kern w:val="0"/>
                <w:sz w:val="21"/>
                <w:szCs w:val="21"/>
              </w:rPr>
              <w:t>幢</w:t>
            </w:r>
            <w:r>
              <w:rPr>
                <w:rFonts w:ascii="Times New Roman" w:hAnsi="Times New Roman" w:cs="宋体" w:hint="eastAsia"/>
                <w:kern w:val="0"/>
                <w:sz w:val="21"/>
                <w:szCs w:val="21"/>
              </w:rPr>
              <w:t>1</w:t>
            </w:r>
            <w:r>
              <w:rPr>
                <w:rFonts w:ascii="Times New Roman" w:hAnsi="Times New Roman" w:cs="宋体" w:hint="eastAsia"/>
                <w:kern w:val="0"/>
                <w:sz w:val="21"/>
                <w:szCs w:val="21"/>
              </w:rPr>
              <w:t>号房；</w:t>
            </w:r>
            <w:r>
              <w:rPr>
                <w:rFonts w:ascii="Times New Roman" w:hAnsi="Times New Roman" w:cs="宋体" w:hint="eastAsia"/>
                <w:kern w:val="0"/>
                <w:sz w:val="21"/>
                <w:szCs w:val="21"/>
              </w:rPr>
              <w:t>3</w:t>
            </w:r>
            <w:r>
              <w:rPr>
                <w:rFonts w:ascii="Times New Roman" w:hAnsi="Times New Roman" w:cs="宋体" w:hint="eastAsia"/>
                <w:kern w:val="0"/>
                <w:sz w:val="21"/>
                <w:szCs w:val="21"/>
              </w:rPr>
              <w:t>幢</w:t>
            </w:r>
            <w:r>
              <w:rPr>
                <w:rFonts w:ascii="Times New Roman" w:hAnsi="Times New Roman" w:cs="宋体" w:hint="eastAsia"/>
                <w:kern w:val="0"/>
                <w:sz w:val="21"/>
                <w:szCs w:val="21"/>
              </w:rPr>
              <w:t>1</w:t>
            </w:r>
            <w:r>
              <w:rPr>
                <w:rFonts w:ascii="Times New Roman" w:hAnsi="Times New Roman" w:cs="宋体" w:hint="eastAsia"/>
                <w:kern w:val="0"/>
                <w:sz w:val="21"/>
                <w:szCs w:val="21"/>
              </w:rPr>
              <w:t>号房</w:t>
            </w:r>
          </w:p>
        </w:tc>
        <w:tc>
          <w:tcPr>
            <w:tcW w:w="697" w:type="pct"/>
            <w:vAlign w:val="center"/>
          </w:tcPr>
          <w:p w14:paraId="17687043"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办公、</w:t>
            </w:r>
          </w:p>
          <w:p w14:paraId="1CA78220"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工业</w:t>
            </w:r>
          </w:p>
        </w:tc>
      </w:tr>
      <w:tr w:rsidR="008D76D6" w14:paraId="21B7A77F" w14:textId="77777777">
        <w:trPr>
          <w:trHeight w:val="397"/>
        </w:trPr>
        <w:tc>
          <w:tcPr>
            <w:tcW w:w="423" w:type="pct"/>
            <w:vAlign w:val="center"/>
          </w:tcPr>
          <w:p w14:paraId="31D62B58"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6</w:t>
            </w:r>
          </w:p>
        </w:tc>
        <w:tc>
          <w:tcPr>
            <w:tcW w:w="539" w:type="pct"/>
            <w:vAlign w:val="center"/>
          </w:tcPr>
          <w:p w14:paraId="00498FA3"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w:t>
            </w:r>
          </w:p>
          <w:p w14:paraId="21180A54"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tc>
        <w:tc>
          <w:tcPr>
            <w:tcW w:w="990" w:type="pct"/>
            <w:vAlign w:val="center"/>
          </w:tcPr>
          <w:p w14:paraId="3250EF24"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莱房权证沙河镇字第</w:t>
            </w:r>
            <w:r>
              <w:rPr>
                <w:rFonts w:ascii="Times New Roman" w:hAnsi="Times New Roman" w:cs="宋体" w:hint="eastAsia"/>
                <w:kern w:val="0"/>
                <w:sz w:val="21"/>
                <w:szCs w:val="21"/>
              </w:rPr>
              <w:t>0</w:t>
            </w:r>
            <w:r>
              <w:rPr>
                <w:rFonts w:ascii="Times New Roman" w:hAnsi="Times New Roman" w:cs="宋体"/>
                <w:kern w:val="0"/>
                <w:sz w:val="21"/>
                <w:szCs w:val="21"/>
              </w:rPr>
              <w:t>68629</w:t>
            </w:r>
            <w:r>
              <w:rPr>
                <w:rFonts w:ascii="Times New Roman" w:hAnsi="Times New Roman" w:cs="宋体" w:hint="eastAsia"/>
                <w:kern w:val="0"/>
                <w:sz w:val="21"/>
                <w:szCs w:val="21"/>
              </w:rPr>
              <w:t>号</w:t>
            </w:r>
          </w:p>
        </w:tc>
        <w:tc>
          <w:tcPr>
            <w:tcW w:w="806" w:type="pct"/>
            <w:vAlign w:val="center"/>
          </w:tcPr>
          <w:p w14:paraId="65F309E6" w14:textId="77777777" w:rsidR="008D76D6" w:rsidRDefault="008D76D6" w:rsidP="000B64E7">
            <w:pPr>
              <w:spacing w:beforeLines="0" w:before="0" w:afterLines="0" w:after="0" w:line="240" w:lineRule="auto"/>
              <w:ind w:firstLineChars="0" w:firstLine="0"/>
              <w:jc w:val="right"/>
              <w:rPr>
                <w:rFonts w:ascii="Times New Roman" w:hAnsi="Times New Roman" w:cs="宋体"/>
                <w:kern w:val="0"/>
                <w:sz w:val="21"/>
                <w:szCs w:val="21"/>
              </w:rPr>
            </w:pPr>
            <w:r>
              <w:rPr>
                <w:rFonts w:ascii="Times New Roman" w:hAnsi="Times New Roman" w:cs="宋体"/>
                <w:kern w:val="0"/>
                <w:sz w:val="21"/>
                <w:szCs w:val="21"/>
              </w:rPr>
              <w:t>537.72</w:t>
            </w:r>
          </w:p>
        </w:tc>
        <w:tc>
          <w:tcPr>
            <w:tcW w:w="1544" w:type="pct"/>
            <w:vAlign w:val="center"/>
          </w:tcPr>
          <w:p w14:paraId="37CFA3E2"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沙河镇海郑村（</w:t>
            </w:r>
            <w:r>
              <w:rPr>
                <w:rFonts w:ascii="Times New Roman" w:hAnsi="Times New Roman" w:cs="宋体" w:hint="eastAsia"/>
                <w:kern w:val="0"/>
                <w:sz w:val="21"/>
                <w:szCs w:val="21"/>
              </w:rPr>
              <w:t>6</w:t>
            </w:r>
            <w:r>
              <w:rPr>
                <w:rFonts w:ascii="Times New Roman" w:hAnsi="Times New Roman" w:cs="宋体"/>
                <w:kern w:val="0"/>
                <w:sz w:val="21"/>
                <w:szCs w:val="21"/>
              </w:rPr>
              <w:t>830060423005</w:t>
            </w:r>
            <w:r>
              <w:rPr>
                <w:rFonts w:ascii="Times New Roman" w:hAnsi="Times New Roman" w:cs="宋体" w:hint="eastAsia"/>
                <w:kern w:val="0"/>
                <w:sz w:val="21"/>
                <w:szCs w:val="21"/>
              </w:rPr>
              <w:t>）</w:t>
            </w:r>
            <w:r>
              <w:rPr>
                <w:rFonts w:ascii="Times New Roman" w:hAnsi="Times New Roman" w:cs="宋体" w:hint="eastAsia"/>
                <w:kern w:val="0"/>
                <w:sz w:val="21"/>
                <w:szCs w:val="21"/>
              </w:rPr>
              <w:t>4</w:t>
            </w:r>
            <w:r>
              <w:rPr>
                <w:rFonts w:ascii="Times New Roman" w:hAnsi="Times New Roman" w:cs="宋体" w:hint="eastAsia"/>
                <w:kern w:val="0"/>
                <w:sz w:val="21"/>
                <w:szCs w:val="21"/>
              </w:rPr>
              <w:t>幢</w:t>
            </w:r>
            <w:r>
              <w:rPr>
                <w:rFonts w:ascii="Times New Roman" w:hAnsi="Times New Roman" w:cs="宋体" w:hint="eastAsia"/>
                <w:kern w:val="0"/>
                <w:sz w:val="21"/>
                <w:szCs w:val="21"/>
              </w:rPr>
              <w:t>1</w:t>
            </w:r>
            <w:r>
              <w:rPr>
                <w:rFonts w:ascii="Times New Roman" w:hAnsi="Times New Roman" w:cs="宋体" w:hint="eastAsia"/>
                <w:kern w:val="0"/>
                <w:sz w:val="21"/>
                <w:szCs w:val="21"/>
              </w:rPr>
              <w:t>号房；</w:t>
            </w:r>
            <w:r>
              <w:rPr>
                <w:rFonts w:ascii="Times New Roman" w:hAnsi="Times New Roman" w:cs="宋体" w:hint="eastAsia"/>
                <w:kern w:val="0"/>
                <w:sz w:val="21"/>
                <w:szCs w:val="21"/>
              </w:rPr>
              <w:t>5</w:t>
            </w:r>
            <w:r>
              <w:rPr>
                <w:rFonts w:ascii="Times New Roman" w:hAnsi="Times New Roman" w:cs="宋体" w:hint="eastAsia"/>
                <w:kern w:val="0"/>
                <w:sz w:val="21"/>
                <w:szCs w:val="21"/>
              </w:rPr>
              <w:t>幢</w:t>
            </w:r>
            <w:r>
              <w:rPr>
                <w:rFonts w:ascii="Times New Roman" w:hAnsi="Times New Roman" w:cs="宋体" w:hint="eastAsia"/>
                <w:kern w:val="0"/>
                <w:sz w:val="21"/>
                <w:szCs w:val="21"/>
              </w:rPr>
              <w:t>1</w:t>
            </w:r>
            <w:r>
              <w:rPr>
                <w:rFonts w:ascii="Times New Roman" w:hAnsi="Times New Roman" w:cs="宋体" w:hint="eastAsia"/>
                <w:kern w:val="0"/>
                <w:sz w:val="21"/>
                <w:szCs w:val="21"/>
              </w:rPr>
              <w:t>号房；</w:t>
            </w:r>
            <w:r>
              <w:rPr>
                <w:rFonts w:ascii="Times New Roman" w:hAnsi="Times New Roman" w:cs="宋体" w:hint="eastAsia"/>
                <w:kern w:val="0"/>
                <w:sz w:val="21"/>
                <w:szCs w:val="21"/>
              </w:rPr>
              <w:t>6</w:t>
            </w:r>
            <w:r>
              <w:rPr>
                <w:rFonts w:ascii="Times New Roman" w:hAnsi="Times New Roman" w:cs="宋体" w:hint="eastAsia"/>
                <w:kern w:val="0"/>
                <w:sz w:val="21"/>
                <w:szCs w:val="21"/>
              </w:rPr>
              <w:t>幢</w:t>
            </w:r>
            <w:r>
              <w:rPr>
                <w:rFonts w:ascii="Times New Roman" w:hAnsi="Times New Roman" w:cs="宋体" w:hint="eastAsia"/>
                <w:kern w:val="0"/>
                <w:sz w:val="21"/>
                <w:szCs w:val="21"/>
              </w:rPr>
              <w:t>1</w:t>
            </w:r>
            <w:r>
              <w:rPr>
                <w:rFonts w:ascii="Times New Roman" w:hAnsi="Times New Roman" w:cs="宋体" w:hint="eastAsia"/>
                <w:kern w:val="0"/>
                <w:sz w:val="21"/>
                <w:szCs w:val="21"/>
              </w:rPr>
              <w:t>号房；</w:t>
            </w:r>
            <w:r>
              <w:rPr>
                <w:rFonts w:ascii="Times New Roman" w:hAnsi="Times New Roman" w:cs="宋体" w:hint="eastAsia"/>
                <w:kern w:val="0"/>
                <w:sz w:val="21"/>
                <w:szCs w:val="21"/>
              </w:rPr>
              <w:t>7</w:t>
            </w:r>
            <w:r>
              <w:rPr>
                <w:rFonts w:ascii="Times New Roman" w:hAnsi="Times New Roman" w:cs="宋体" w:hint="eastAsia"/>
                <w:kern w:val="0"/>
                <w:sz w:val="21"/>
                <w:szCs w:val="21"/>
              </w:rPr>
              <w:t>幢</w:t>
            </w:r>
            <w:r>
              <w:rPr>
                <w:rFonts w:ascii="Times New Roman" w:hAnsi="Times New Roman" w:cs="宋体" w:hint="eastAsia"/>
                <w:kern w:val="0"/>
                <w:sz w:val="21"/>
                <w:szCs w:val="21"/>
              </w:rPr>
              <w:t>1</w:t>
            </w:r>
            <w:r>
              <w:rPr>
                <w:rFonts w:ascii="Times New Roman" w:hAnsi="Times New Roman" w:cs="宋体" w:hint="eastAsia"/>
                <w:kern w:val="0"/>
                <w:sz w:val="21"/>
                <w:szCs w:val="21"/>
              </w:rPr>
              <w:t>号房</w:t>
            </w:r>
          </w:p>
        </w:tc>
        <w:tc>
          <w:tcPr>
            <w:tcW w:w="697" w:type="pct"/>
            <w:vAlign w:val="center"/>
          </w:tcPr>
          <w:p w14:paraId="33CEDB16"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工业、其他</w:t>
            </w:r>
          </w:p>
        </w:tc>
      </w:tr>
      <w:tr w:rsidR="008D76D6" w14:paraId="1B42EC0F" w14:textId="77777777">
        <w:trPr>
          <w:trHeight w:val="397"/>
        </w:trPr>
        <w:tc>
          <w:tcPr>
            <w:tcW w:w="423" w:type="pct"/>
            <w:vAlign w:val="center"/>
          </w:tcPr>
          <w:p w14:paraId="1DA17813"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7</w:t>
            </w:r>
          </w:p>
        </w:tc>
        <w:tc>
          <w:tcPr>
            <w:tcW w:w="539" w:type="pct"/>
            <w:vAlign w:val="center"/>
          </w:tcPr>
          <w:p w14:paraId="56882893"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w:t>
            </w:r>
          </w:p>
          <w:p w14:paraId="408967AB"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tc>
        <w:tc>
          <w:tcPr>
            <w:tcW w:w="990" w:type="pct"/>
            <w:vAlign w:val="center"/>
          </w:tcPr>
          <w:p w14:paraId="725AE3E9"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鲁（</w:t>
            </w:r>
            <w:r>
              <w:rPr>
                <w:rFonts w:ascii="Times New Roman" w:hAnsi="Times New Roman" w:cs="宋体" w:hint="eastAsia"/>
                <w:kern w:val="0"/>
                <w:sz w:val="21"/>
                <w:szCs w:val="21"/>
              </w:rPr>
              <w:t>2</w:t>
            </w:r>
            <w:r>
              <w:rPr>
                <w:rFonts w:ascii="Times New Roman" w:hAnsi="Times New Roman" w:cs="宋体"/>
                <w:kern w:val="0"/>
                <w:sz w:val="21"/>
                <w:szCs w:val="21"/>
              </w:rPr>
              <w:t>018</w:t>
            </w:r>
            <w:r>
              <w:rPr>
                <w:rFonts w:ascii="Times New Roman" w:hAnsi="Times New Roman" w:cs="宋体" w:hint="eastAsia"/>
                <w:kern w:val="0"/>
                <w:sz w:val="21"/>
                <w:szCs w:val="21"/>
              </w:rPr>
              <w:t>）莱州市不动产权第</w:t>
            </w:r>
            <w:r>
              <w:rPr>
                <w:rFonts w:ascii="Times New Roman" w:hAnsi="Times New Roman" w:cs="宋体" w:hint="eastAsia"/>
                <w:kern w:val="0"/>
                <w:sz w:val="21"/>
                <w:szCs w:val="21"/>
              </w:rPr>
              <w:t>0</w:t>
            </w:r>
            <w:r>
              <w:rPr>
                <w:rFonts w:ascii="Times New Roman" w:hAnsi="Times New Roman" w:cs="宋体"/>
                <w:kern w:val="0"/>
                <w:sz w:val="21"/>
                <w:szCs w:val="21"/>
              </w:rPr>
              <w:t>000422</w:t>
            </w:r>
            <w:r>
              <w:rPr>
                <w:rFonts w:ascii="Times New Roman" w:hAnsi="Times New Roman" w:cs="宋体" w:hint="eastAsia"/>
                <w:kern w:val="0"/>
                <w:sz w:val="21"/>
                <w:szCs w:val="21"/>
              </w:rPr>
              <w:t>号</w:t>
            </w:r>
          </w:p>
        </w:tc>
        <w:tc>
          <w:tcPr>
            <w:tcW w:w="806" w:type="pct"/>
            <w:vAlign w:val="center"/>
          </w:tcPr>
          <w:p w14:paraId="23E644DA" w14:textId="77777777" w:rsidR="008D76D6" w:rsidRDefault="008D76D6" w:rsidP="000B64E7">
            <w:pPr>
              <w:spacing w:beforeLines="0" w:before="0" w:afterLines="0" w:after="0" w:line="240" w:lineRule="auto"/>
              <w:ind w:firstLineChars="0" w:firstLine="0"/>
              <w:jc w:val="right"/>
              <w:rPr>
                <w:rFonts w:ascii="Times New Roman" w:hAnsi="Times New Roman" w:cs="宋体"/>
                <w:kern w:val="0"/>
                <w:sz w:val="21"/>
                <w:szCs w:val="21"/>
              </w:rPr>
            </w:pPr>
            <w:r>
              <w:rPr>
                <w:rFonts w:ascii="Times New Roman" w:hAnsi="Times New Roman" w:cs="宋体" w:hint="eastAsia"/>
                <w:kern w:val="0"/>
                <w:sz w:val="21"/>
                <w:szCs w:val="21"/>
              </w:rPr>
              <w:t>1</w:t>
            </w:r>
            <w:r>
              <w:rPr>
                <w:rFonts w:ascii="Times New Roman" w:hAnsi="Times New Roman" w:cs="宋体"/>
                <w:kern w:val="0"/>
                <w:sz w:val="21"/>
                <w:szCs w:val="21"/>
              </w:rPr>
              <w:t>8,288.85</w:t>
            </w:r>
          </w:p>
          <w:p w14:paraId="53EC258D" w14:textId="77777777" w:rsidR="008D76D6" w:rsidRDefault="008D76D6" w:rsidP="000B64E7">
            <w:pPr>
              <w:spacing w:beforeLines="0" w:before="0" w:afterLines="0" w:after="0" w:line="240" w:lineRule="auto"/>
              <w:ind w:firstLineChars="0" w:firstLine="0"/>
              <w:jc w:val="right"/>
              <w:rPr>
                <w:rFonts w:ascii="Times New Roman" w:hAnsi="Times New Roman" w:cs="宋体"/>
                <w:kern w:val="0"/>
                <w:sz w:val="21"/>
                <w:szCs w:val="21"/>
              </w:rPr>
            </w:pPr>
            <w:r>
              <w:rPr>
                <w:rFonts w:ascii="Times New Roman" w:hAnsi="Times New Roman" w:cs="宋体"/>
                <w:kern w:val="0"/>
                <w:sz w:val="21"/>
                <w:szCs w:val="21"/>
              </w:rPr>
              <w:t>/4,029.53</w:t>
            </w:r>
          </w:p>
        </w:tc>
        <w:tc>
          <w:tcPr>
            <w:tcW w:w="1544" w:type="pct"/>
            <w:vAlign w:val="center"/>
          </w:tcPr>
          <w:p w14:paraId="25698191"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沙河镇大东庄村北</w:t>
            </w:r>
            <w:r>
              <w:rPr>
                <w:rFonts w:ascii="Times New Roman" w:hAnsi="Times New Roman" w:cs="宋体" w:hint="eastAsia"/>
                <w:kern w:val="0"/>
                <w:sz w:val="21"/>
                <w:szCs w:val="21"/>
              </w:rPr>
              <w:t>1</w:t>
            </w:r>
            <w:r>
              <w:rPr>
                <w:rFonts w:ascii="Times New Roman" w:hAnsi="Times New Roman" w:cs="宋体" w:hint="eastAsia"/>
                <w:kern w:val="0"/>
                <w:sz w:val="21"/>
                <w:szCs w:val="21"/>
              </w:rPr>
              <w:t>幢、</w:t>
            </w:r>
            <w:r>
              <w:rPr>
                <w:rFonts w:ascii="Times New Roman" w:hAnsi="Times New Roman" w:cs="宋体" w:hint="eastAsia"/>
                <w:kern w:val="0"/>
                <w:sz w:val="21"/>
                <w:szCs w:val="21"/>
              </w:rPr>
              <w:t>2</w:t>
            </w:r>
            <w:r>
              <w:rPr>
                <w:rFonts w:ascii="Times New Roman" w:hAnsi="Times New Roman" w:cs="宋体" w:hint="eastAsia"/>
                <w:kern w:val="0"/>
                <w:sz w:val="21"/>
                <w:szCs w:val="21"/>
              </w:rPr>
              <w:t>幢</w:t>
            </w:r>
          </w:p>
        </w:tc>
        <w:tc>
          <w:tcPr>
            <w:tcW w:w="697" w:type="pct"/>
            <w:vAlign w:val="center"/>
          </w:tcPr>
          <w:p w14:paraId="5B9C6E5E"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工业</w:t>
            </w:r>
          </w:p>
        </w:tc>
      </w:tr>
      <w:tr w:rsidR="008D76D6" w14:paraId="63511BF9" w14:textId="77777777">
        <w:trPr>
          <w:trHeight w:val="397"/>
        </w:trPr>
        <w:tc>
          <w:tcPr>
            <w:tcW w:w="423" w:type="pct"/>
            <w:vAlign w:val="center"/>
          </w:tcPr>
          <w:p w14:paraId="7166C21B"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8</w:t>
            </w:r>
          </w:p>
        </w:tc>
        <w:tc>
          <w:tcPr>
            <w:tcW w:w="539" w:type="pct"/>
            <w:vAlign w:val="center"/>
          </w:tcPr>
          <w:p w14:paraId="0E316AAA"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p w14:paraId="18D5C21E"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流体</w:t>
            </w:r>
          </w:p>
        </w:tc>
        <w:tc>
          <w:tcPr>
            <w:tcW w:w="990" w:type="pct"/>
            <w:vAlign w:val="center"/>
          </w:tcPr>
          <w:p w14:paraId="5B84C1E1"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青房地权市字第</w:t>
            </w:r>
            <w:r>
              <w:rPr>
                <w:rFonts w:ascii="Times New Roman" w:hAnsi="Times New Roman" w:cs="宋体" w:hint="eastAsia"/>
                <w:kern w:val="0"/>
                <w:sz w:val="21"/>
                <w:szCs w:val="21"/>
              </w:rPr>
              <w:t>2</w:t>
            </w:r>
            <w:r>
              <w:rPr>
                <w:rFonts w:ascii="Times New Roman" w:hAnsi="Times New Roman" w:cs="宋体"/>
                <w:kern w:val="0"/>
                <w:sz w:val="21"/>
                <w:szCs w:val="21"/>
              </w:rPr>
              <w:t>01546822</w:t>
            </w:r>
            <w:r>
              <w:rPr>
                <w:rFonts w:ascii="Times New Roman" w:hAnsi="Times New Roman" w:cs="宋体" w:hint="eastAsia"/>
                <w:kern w:val="0"/>
                <w:sz w:val="21"/>
                <w:szCs w:val="21"/>
              </w:rPr>
              <w:t>号</w:t>
            </w:r>
          </w:p>
        </w:tc>
        <w:tc>
          <w:tcPr>
            <w:tcW w:w="806" w:type="pct"/>
            <w:vAlign w:val="center"/>
          </w:tcPr>
          <w:p w14:paraId="0F0EAB6F" w14:textId="77777777" w:rsidR="008D76D6" w:rsidRDefault="008D76D6" w:rsidP="000B64E7">
            <w:pPr>
              <w:spacing w:beforeLines="0" w:before="0" w:afterLines="0" w:after="0" w:line="240" w:lineRule="auto"/>
              <w:ind w:firstLineChars="0" w:firstLine="0"/>
              <w:jc w:val="right"/>
              <w:rPr>
                <w:rFonts w:ascii="Times New Roman" w:hAnsi="Times New Roman" w:cs="宋体"/>
                <w:kern w:val="0"/>
                <w:sz w:val="21"/>
                <w:szCs w:val="21"/>
              </w:rPr>
            </w:pPr>
            <w:r>
              <w:rPr>
                <w:rFonts w:ascii="Times New Roman" w:hAnsi="Times New Roman" w:cs="宋体" w:hint="eastAsia"/>
                <w:kern w:val="0"/>
                <w:sz w:val="21"/>
                <w:szCs w:val="21"/>
              </w:rPr>
              <w:t>3</w:t>
            </w:r>
            <w:r>
              <w:rPr>
                <w:rFonts w:ascii="Times New Roman" w:hAnsi="Times New Roman" w:cs="宋体"/>
                <w:kern w:val="0"/>
                <w:sz w:val="21"/>
                <w:szCs w:val="21"/>
              </w:rPr>
              <w:t>9</w:t>
            </w:r>
            <w:r>
              <w:rPr>
                <w:rFonts w:ascii="Times New Roman" w:hAnsi="Times New Roman" w:cs="宋体" w:hint="eastAsia"/>
                <w:kern w:val="0"/>
                <w:sz w:val="21"/>
                <w:szCs w:val="21"/>
              </w:rPr>
              <w:t>,</w:t>
            </w:r>
            <w:r>
              <w:rPr>
                <w:rFonts w:ascii="Times New Roman" w:hAnsi="Times New Roman" w:cs="宋体"/>
                <w:kern w:val="0"/>
                <w:sz w:val="21"/>
                <w:szCs w:val="21"/>
              </w:rPr>
              <w:t>949.86</w:t>
            </w:r>
          </w:p>
        </w:tc>
        <w:tc>
          <w:tcPr>
            <w:tcW w:w="1544" w:type="pct"/>
            <w:vAlign w:val="center"/>
          </w:tcPr>
          <w:p w14:paraId="40D37ADF"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青岛高新区华贯路以东，华东路以西，科海路以南</w:t>
            </w:r>
          </w:p>
        </w:tc>
        <w:tc>
          <w:tcPr>
            <w:tcW w:w="697" w:type="pct"/>
            <w:vAlign w:val="center"/>
          </w:tcPr>
          <w:p w14:paraId="0C1D83AC"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工业</w:t>
            </w:r>
          </w:p>
        </w:tc>
      </w:tr>
      <w:tr w:rsidR="008D76D6" w14:paraId="7DD4CAC8" w14:textId="77777777">
        <w:trPr>
          <w:trHeight w:val="397"/>
        </w:trPr>
        <w:tc>
          <w:tcPr>
            <w:tcW w:w="423" w:type="pct"/>
            <w:vAlign w:val="center"/>
          </w:tcPr>
          <w:p w14:paraId="39AB0C07"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9</w:t>
            </w:r>
          </w:p>
        </w:tc>
        <w:tc>
          <w:tcPr>
            <w:tcW w:w="539" w:type="pct"/>
            <w:vAlign w:val="center"/>
          </w:tcPr>
          <w:p w14:paraId="71F949F2"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p w14:paraId="0396CE37"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五金</w:t>
            </w:r>
          </w:p>
        </w:tc>
        <w:tc>
          <w:tcPr>
            <w:tcW w:w="990" w:type="pct"/>
            <w:vAlign w:val="center"/>
          </w:tcPr>
          <w:p w14:paraId="4B71CCDA"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城国用（</w:t>
            </w:r>
            <w:r>
              <w:rPr>
                <w:rFonts w:ascii="Times New Roman" w:hAnsi="Times New Roman" w:cs="宋体" w:hint="eastAsia"/>
                <w:kern w:val="0"/>
                <w:sz w:val="21"/>
                <w:szCs w:val="21"/>
              </w:rPr>
              <w:t>2</w:t>
            </w:r>
            <w:r>
              <w:rPr>
                <w:rFonts w:ascii="Times New Roman" w:hAnsi="Times New Roman" w:cs="宋体"/>
                <w:kern w:val="0"/>
                <w:sz w:val="21"/>
                <w:szCs w:val="21"/>
              </w:rPr>
              <w:t>001</w:t>
            </w:r>
            <w:r>
              <w:rPr>
                <w:rFonts w:ascii="Times New Roman" w:hAnsi="Times New Roman" w:cs="宋体" w:hint="eastAsia"/>
                <w:kern w:val="0"/>
                <w:sz w:val="21"/>
                <w:szCs w:val="21"/>
              </w:rPr>
              <w:t>）字第</w:t>
            </w:r>
            <w:r>
              <w:rPr>
                <w:rFonts w:ascii="Times New Roman" w:hAnsi="Times New Roman" w:cs="宋体" w:hint="eastAsia"/>
                <w:kern w:val="0"/>
                <w:sz w:val="21"/>
                <w:szCs w:val="21"/>
              </w:rPr>
              <w:t>3</w:t>
            </w:r>
            <w:r>
              <w:rPr>
                <w:rFonts w:ascii="Times New Roman" w:hAnsi="Times New Roman" w:cs="宋体"/>
                <w:kern w:val="0"/>
                <w:sz w:val="21"/>
                <w:szCs w:val="21"/>
              </w:rPr>
              <w:t>4</w:t>
            </w:r>
            <w:r>
              <w:rPr>
                <w:rFonts w:ascii="Times New Roman" w:hAnsi="Times New Roman" w:cs="宋体" w:hint="eastAsia"/>
                <w:kern w:val="0"/>
                <w:sz w:val="21"/>
                <w:szCs w:val="21"/>
              </w:rPr>
              <w:t>号</w:t>
            </w:r>
          </w:p>
        </w:tc>
        <w:tc>
          <w:tcPr>
            <w:tcW w:w="806" w:type="pct"/>
            <w:vAlign w:val="center"/>
          </w:tcPr>
          <w:p w14:paraId="67CC9BDD" w14:textId="77777777" w:rsidR="008D76D6" w:rsidRDefault="008D76D6" w:rsidP="000B64E7">
            <w:pPr>
              <w:spacing w:beforeLines="0" w:before="0" w:afterLines="0" w:after="0" w:line="240" w:lineRule="auto"/>
              <w:ind w:firstLineChars="0" w:firstLine="0"/>
              <w:jc w:val="right"/>
              <w:rPr>
                <w:rFonts w:ascii="Times New Roman" w:hAnsi="Times New Roman" w:cs="宋体"/>
                <w:kern w:val="0"/>
                <w:sz w:val="21"/>
                <w:szCs w:val="21"/>
              </w:rPr>
            </w:pPr>
            <w:r>
              <w:rPr>
                <w:rFonts w:ascii="Times New Roman" w:hAnsi="Times New Roman" w:cs="宋体" w:hint="eastAsia"/>
                <w:kern w:val="0"/>
                <w:sz w:val="21"/>
                <w:szCs w:val="21"/>
              </w:rPr>
              <w:t>1</w:t>
            </w:r>
            <w:r>
              <w:rPr>
                <w:rFonts w:ascii="Times New Roman" w:hAnsi="Times New Roman" w:cs="宋体"/>
                <w:kern w:val="0"/>
                <w:sz w:val="21"/>
                <w:szCs w:val="21"/>
              </w:rPr>
              <w:t>0,385.18</w:t>
            </w:r>
          </w:p>
        </w:tc>
        <w:tc>
          <w:tcPr>
            <w:tcW w:w="1544" w:type="pct"/>
            <w:vAlign w:val="center"/>
          </w:tcPr>
          <w:p w14:paraId="2F8450DE"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棘洪滩镇后海西村</w:t>
            </w:r>
          </w:p>
        </w:tc>
        <w:tc>
          <w:tcPr>
            <w:tcW w:w="697" w:type="pct"/>
            <w:vAlign w:val="center"/>
          </w:tcPr>
          <w:p w14:paraId="021F177D"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工业</w:t>
            </w:r>
          </w:p>
        </w:tc>
      </w:tr>
    </w:tbl>
    <w:p w14:paraId="67745996" w14:textId="77777777" w:rsidR="008D76D6" w:rsidRDefault="008D76D6">
      <w:pPr>
        <w:topLinePunct/>
        <w:spacing w:before="120" w:after="120"/>
        <w:ind w:firstLine="480"/>
        <w:rPr>
          <w:rFonts w:ascii="Times New Roman" w:hAnsi="Times New Roman"/>
          <w:color w:val="000000"/>
          <w:szCs w:val="32"/>
        </w:rPr>
      </w:pPr>
      <w:r>
        <w:rPr>
          <w:rFonts w:ascii="Times New Roman" w:hAnsi="Times New Roman" w:hint="eastAsia"/>
          <w:color w:val="000000"/>
          <w:szCs w:val="32"/>
        </w:rPr>
        <w:t>（</w:t>
      </w:r>
      <w:r>
        <w:rPr>
          <w:rFonts w:ascii="Times New Roman" w:hAnsi="Times New Roman" w:hint="eastAsia"/>
          <w:color w:val="000000"/>
          <w:szCs w:val="32"/>
        </w:rPr>
        <w:t>2</w:t>
      </w:r>
      <w:r>
        <w:rPr>
          <w:rFonts w:ascii="Times New Roman" w:hAnsi="Times New Roman" w:hint="eastAsia"/>
          <w:color w:val="000000"/>
          <w:szCs w:val="32"/>
        </w:rPr>
        <w:t>）土地使用权</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959"/>
        <w:gridCol w:w="2303"/>
        <w:gridCol w:w="1479"/>
        <w:gridCol w:w="1731"/>
        <w:gridCol w:w="916"/>
        <w:gridCol w:w="898"/>
      </w:tblGrid>
      <w:tr w:rsidR="008D76D6" w14:paraId="160E528A" w14:textId="77777777" w:rsidTr="008D76D6">
        <w:trPr>
          <w:trHeight w:val="397"/>
          <w:tblHeader/>
          <w:jc w:val="center"/>
        </w:trPr>
        <w:tc>
          <w:tcPr>
            <w:tcW w:w="405" w:type="pct"/>
            <w:shd w:val="clear" w:color="auto" w:fill="D9D9D9"/>
            <w:vAlign w:val="center"/>
          </w:tcPr>
          <w:p w14:paraId="759DB4DE"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bookmarkStart w:id="18" w:name="_Hlk139231835"/>
            <w:r>
              <w:rPr>
                <w:rFonts w:ascii="Times New Roman" w:hAnsi="Times New Roman" w:cs="宋体" w:hint="eastAsia"/>
                <w:b/>
                <w:kern w:val="0"/>
                <w:sz w:val="21"/>
                <w:szCs w:val="21"/>
              </w:rPr>
              <w:t>序号</w:t>
            </w:r>
          </w:p>
        </w:tc>
        <w:tc>
          <w:tcPr>
            <w:tcW w:w="532" w:type="pct"/>
            <w:shd w:val="clear" w:color="auto" w:fill="D9D9D9"/>
            <w:vAlign w:val="center"/>
          </w:tcPr>
          <w:p w14:paraId="3E309FA3"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权属</w:t>
            </w:r>
          </w:p>
        </w:tc>
        <w:tc>
          <w:tcPr>
            <w:tcW w:w="1277" w:type="pct"/>
            <w:shd w:val="clear" w:color="auto" w:fill="D9D9D9"/>
            <w:vAlign w:val="center"/>
          </w:tcPr>
          <w:p w14:paraId="6A68F4C6"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证号</w:t>
            </w:r>
            <w:r>
              <w:rPr>
                <w:rFonts w:ascii="Times New Roman" w:hAnsi="Times New Roman" w:cs="宋体" w:hint="eastAsia"/>
                <w:b/>
                <w:kern w:val="0"/>
                <w:sz w:val="21"/>
                <w:szCs w:val="21"/>
              </w:rPr>
              <w:t>/</w:t>
            </w:r>
            <w:r>
              <w:rPr>
                <w:rFonts w:ascii="Times New Roman" w:hAnsi="Times New Roman" w:cs="宋体" w:hint="eastAsia"/>
                <w:b/>
                <w:kern w:val="0"/>
                <w:sz w:val="21"/>
                <w:szCs w:val="21"/>
              </w:rPr>
              <w:t>地号</w:t>
            </w:r>
          </w:p>
        </w:tc>
        <w:tc>
          <w:tcPr>
            <w:tcW w:w="820" w:type="pct"/>
            <w:shd w:val="clear" w:color="auto" w:fill="D9D9D9"/>
            <w:vAlign w:val="center"/>
          </w:tcPr>
          <w:p w14:paraId="5783317C"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面积（㎡）</w:t>
            </w:r>
          </w:p>
        </w:tc>
        <w:tc>
          <w:tcPr>
            <w:tcW w:w="960" w:type="pct"/>
            <w:shd w:val="clear" w:color="auto" w:fill="D9D9D9"/>
            <w:vAlign w:val="center"/>
          </w:tcPr>
          <w:p w14:paraId="5F0E4EEB"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坐落</w:t>
            </w:r>
          </w:p>
        </w:tc>
        <w:tc>
          <w:tcPr>
            <w:tcW w:w="508" w:type="pct"/>
            <w:shd w:val="clear" w:color="auto" w:fill="D9D9D9"/>
            <w:vAlign w:val="center"/>
          </w:tcPr>
          <w:p w14:paraId="42F6644A"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类型</w:t>
            </w:r>
          </w:p>
        </w:tc>
        <w:tc>
          <w:tcPr>
            <w:tcW w:w="498" w:type="pct"/>
            <w:shd w:val="clear" w:color="auto" w:fill="D9D9D9"/>
            <w:vAlign w:val="center"/>
          </w:tcPr>
          <w:p w14:paraId="01723956" w14:textId="77777777" w:rsidR="008D76D6" w:rsidRDefault="008D76D6" w:rsidP="000B64E7">
            <w:pPr>
              <w:spacing w:beforeLines="0" w:before="0" w:afterLines="0" w:after="0" w:line="24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用途</w:t>
            </w:r>
          </w:p>
        </w:tc>
      </w:tr>
      <w:tr w:rsidR="008D76D6" w14:paraId="2077DE6C" w14:textId="77777777">
        <w:trPr>
          <w:trHeight w:val="397"/>
          <w:jc w:val="center"/>
        </w:trPr>
        <w:tc>
          <w:tcPr>
            <w:tcW w:w="405" w:type="pct"/>
            <w:vAlign w:val="center"/>
          </w:tcPr>
          <w:p w14:paraId="3E8137C0"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1</w:t>
            </w:r>
          </w:p>
        </w:tc>
        <w:tc>
          <w:tcPr>
            <w:tcW w:w="532" w:type="pct"/>
            <w:vAlign w:val="center"/>
          </w:tcPr>
          <w:p w14:paraId="7E4487E4"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w:t>
            </w:r>
          </w:p>
          <w:p w14:paraId="261E34C2"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tc>
        <w:tc>
          <w:tcPr>
            <w:tcW w:w="1277" w:type="pct"/>
            <w:vAlign w:val="center"/>
          </w:tcPr>
          <w:p w14:paraId="6FDAC4ED"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莱州国用（</w:t>
            </w:r>
            <w:r>
              <w:rPr>
                <w:rFonts w:ascii="Times New Roman" w:hAnsi="Times New Roman" w:cs="宋体" w:hint="eastAsia"/>
                <w:kern w:val="0"/>
                <w:sz w:val="21"/>
                <w:szCs w:val="21"/>
              </w:rPr>
              <w:t>2</w:t>
            </w:r>
            <w:r>
              <w:rPr>
                <w:rFonts w:ascii="Times New Roman" w:hAnsi="Times New Roman" w:cs="宋体"/>
                <w:kern w:val="0"/>
                <w:sz w:val="21"/>
                <w:szCs w:val="21"/>
              </w:rPr>
              <w:t>013</w:t>
            </w:r>
            <w:r>
              <w:rPr>
                <w:rFonts w:ascii="Times New Roman" w:hAnsi="Times New Roman" w:cs="宋体" w:hint="eastAsia"/>
                <w:kern w:val="0"/>
                <w:sz w:val="21"/>
                <w:szCs w:val="21"/>
              </w:rPr>
              <w:t>）</w:t>
            </w:r>
          </w:p>
          <w:p w14:paraId="36C198C2"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第</w:t>
            </w:r>
            <w:r>
              <w:rPr>
                <w:rFonts w:ascii="Times New Roman" w:hAnsi="Times New Roman" w:cs="宋体" w:hint="eastAsia"/>
                <w:kern w:val="0"/>
                <w:sz w:val="21"/>
                <w:szCs w:val="21"/>
              </w:rPr>
              <w:t>3</w:t>
            </w:r>
            <w:r>
              <w:rPr>
                <w:rFonts w:ascii="Times New Roman" w:hAnsi="Times New Roman" w:cs="宋体"/>
                <w:kern w:val="0"/>
                <w:sz w:val="21"/>
                <w:szCs w:val="21"/>
              </w:rPr>
              <w:t>097</w:t>
            </w:r>
            <w:r>
              <w:rPr>
                <w:rFonts w:ascii="Times New Roman" w:hAnsi="Times New Roman" w:cs="宋体" w:hint="eastAsia"/>
                <w:kern w:val="0"/>
                <w:sz w:val="21"/>
                <w:szCs w:val="21"/>
              </w:rPr>
              <w:t>号</w:t>
            </w:r>
          </w:p>
        </w:tc>
        <w:tc>
          <w:tcPr>
            <w:tcW w:w="820" w:type="pct"/>
            <w:vAlign w:val="center"/>
          </w:tcPr>
          <w:p w14:paraId="3C0E0A3E" w14:textId="77777777" w:rsidR="008D76D6" w:rsidRDefault="008D76D6" w:rsidP="000B64E7">
            <w:pPr>
              <w:spacing w:beforeLines="0" w:before="0" w:afterLines="0" w:after="0" w:line="240" w:lineRule="auto"/>
              <w:ind w:firstLineChars="0" w:firstLine="0"/>
              <w:jc w:val="right"/>
              <w:rPr>
                <w:rFonts w:ascii="Times New Roman" w:hAnsi="Times New Roman" w:cs="宋体"/>
                <w:kern w:val="0"/>
                <w:sz w:val="21"/>
                <w:szCs w:val="21"/>
              </w:rPr>
            </w:pPr>
            <w:r>
              <w:rPr>
                <w:rFonts w:ascii="Times New Roman" w:hAnsi="Times New Roman"/>
                <w:kern w:val="0"/>
                <w:sz w:val="21"/>
                <w:szCs w:val="21"/>
                <w:lang w:bidi="ar"/>
              </w:rPr>
              <w:t>7,062.00</w:t>
            </w:r>
          </w:p>
        </w:tc>
        <w:tc>
          <w:tcPr>
            <w:tcW w:w="960" w:type="pct"/>
            <w:vAlign w:val="center"/>
          </w:tcPr>
          <w:p w14:paraId="01ABB61B"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沙河镇海郑村</w:t>
            </w:r>
          </w:p>
        </w:tc>
        <w:tc>
          <w:tcPr>
            <w:tcW w:w="508" w:type="pct"/>
            <w:vAlign w:val="center"/>
          </w:tcPr>
          <w:p w14:paraId="3375EB86"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hint="eastAsia"/>
                <w:kern w:val="0"/>
                <w:sz w:val="21"/>
                <w:szCs w:val="21"/>
                <w:lang w:bidi="ar"/>
              </w:rPr>
              <w:t>出让</w:t>
            </w:r>
          </w:p>
        </w:tc>
        <w:tc>
          <w:tcPr>
            <w:tcW w:w="498" w:type="pct"/>
            <w:vAlign w:val="center"/>
          </w:tcPr>
          <w:p w14:paraId="4DD9329F"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hint="eastAsia"/>
                <w:kern w:val="0"/>
                <w:sz w:val="21"/>
                <w:szCs w:val="21"/>
                <w:lang w:bidi="ar"/>
              </w:rPr>
              <w:t>工业</w:t>
            </w:r>
          </w:p>
        </w:tc>
      </w:tr>
      <w:tr w:rsidR="008D76D6" w14:paraId="78228A8E" w14:textId="77777777">
        <w:trPr>
          <w:trHeight w:val="397"/>
          <w:jc w:val="center"/>
        </w:trPr>
        <w:tc>
          <w:tcPr>
            <w:tcW w:w="405" w:type="pct"/>
            <w:vAlign w:val="center"/>
          </w:tcPr>
          <w:p w14:paraId="319C94DA"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2</w:t>
            </w:r>
          </w:p>
        </w:tc>
        <w:tc>
          <w:tcPr>
            <w:tcW w:w="532" w:type="pct"/>
            <w:vAlign w:val="center"/>
          </w:tcPr>
          <w:p w14:paraId="5F072AD6"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w:t>
            </w:r>
          </w:p>
          <w:p w14:paraId="31034410"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tc>
        <w:tc>
          <w:tcPr>
            <w:tcW w:w="1277" w:type="pct"/>
            <w:vAlign w:val="center"/>
          </w:tcPr>
          <w:p w14:paraId="6556D800"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莱州国用（</w:t>
            </w:r>
            <w:r>
              <w:rPr>
                <w:rFonts w:ascii="Times New Roman" w:hAnsi="Times New Roman" w:cs="宋体" w:hint="eastAsia"/>
                <w:kern w:val="0"/>
                <w:sz w:val="21"/>
                <w:szCs w:val="21"/>
              </w:rPr>
              <w:t>2</w:t>
            </w:r>
            <w:r>
              <w:rPr>
                <w:rFonts w:ascii="Times New Roman" w:hAnsi="Times New Roman" w:cs="宋体"/>
                <w:kern w:val="0"/>
                <w:sz w:val="21"/>
                <w:szCs w:val="21"/>
              </w:rPr>
              <w:t>009</w:t>
            </w:r>
            <w:r>
              <w:rPr>
                <w:rFonts w:ascii="Times New Roman" w:hAnsi="Times New Roman" w:cs="宋体" w:hint="eastAsia"/>
                <w:kern w:val="0"/>
                <w:sz w:val="21"/>
                <w:szCs w:val="21"/>
              </w:rPr>
              <w:t>）</w:t>
            </w:r>
          </w:p>
          <w:p w14:paraId="4FA96F0F"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第</w:t>
            </w:r>
            <w:r>
              <w:rPr>
                <w:rFonts w:ascii="Times New Roman" w:hAnsi="Times New Roman" w:cs="宋体" w:hint="eastAsia"/>
                <w:kern w:val="0"/>
                <w:sz w:val="21"/>
                <w:szCs w:val="21"/>
              </w:rPr>
              <w:t>2</w:t>
            </w:r>
            <w:r>
              <w:rPr>
                <w:rFonts w:ascii="Times New Roman" w:hAnsi="Times New Roman" w:cs="宋体"/>
                <w:kern w:val="0"/>
                <w:sz w:val="21"/>
                <w:szCs w:val="21"/>
              </w:rPr>
              <w:t>929</w:t>
            </w:r>
            <w:r>
              <w:rPr>
                <w:rFonts w:ascii="Times New Roman" w:hAnsi="Times New Roman" w:cs="宋体" w:hint="eastAsia"/>
                <w:kern w:val="0"/>
                <w:sz w:val="21"/>
                <w:szCs w:val="21"/>
              </w:rPr>
              <w:t>号</w:t>
            </w:r>
          </w:p>
        </w:tc>
        <w:tc>
          <w:tcPr>
            <w:tcW w:w="820" w:type="pct"/>
            <w:vAlign w:val="center"/>
          </w:tcPr>
          <w:p w14:paraId="32168457" w14:textId="77777777" w:rsidR="008D76D6" w:rsidRDefault="008D76D6" w:rsidP="000B64E7">
            <w:pPr>
              <w:spacing w:beforeLines="0" w:before="0" w:afterLines="0" w:after="0" w:line="240" w:lineRule="auto"/>
              <w:ind w:firstLineChars="0" w:firstLine="0"/>
              <w:jc w:val="right"/>
              <w:rPr>
                <w:rFonts w:ascii="Times New Roman" w:hAnsi="Times New Roman"/>
                <w:kern w:val="0"/>
                <w:sz w:val="21"/>
                <w:szCs w:val="21"/>
                <w:lang w:bidi="ar"/>
              </w:rPr>
            </w:pPr>
            <w:r>
              <w:rPr>
                <w:rFonts w:ascii="Times New Roman" w:hAnsi="Times New Roman" w:hint="eastAsia"/>
                <w:kern w:val="0"/>
                <w:sz w:val="21"/>
                <w:szCs w:val="21"/>
                <w:lang w:bidi="ar"/>
              </w:rPr>
              <w:t>1</w:t>
            </w:r>
            <w:r>
              <w:rPr>
                <w:rFonts w:ascii="Times New Roman" w:hAnsi="Times New Roman"/>
                <w:kern w:val="0"/>
                <w:sz w:val="21"/>
                <w:szCs w:val="21"/>
                <w:lang w:bidi="ar"/>
              </w:rPr>
              <w:t>7,160.10</w:t>
            </w:r>
          </w:p>
        </w:tc>
        <w:tc>
          <w:tcPr>
            <w:tcW w:w="960" w:type="pct"/>
            <w:vAlign w:val="center"/>
          </w:tcPr>
          <w:p w14:paraId="24DFDB0B"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沙河镇海郑村</w:t>
            </w:r>
          </w:p>
        </w:tc>
        <w:tc>
          <w:tcPr>
            <w:tcW w:w="508" w:type="pct"/>
            <w:vAlign w:val="center"/>
          </w:tcPr>
          <w:p w14:paraId="3AE2FBE1" w14:textId="77777777" w:rsidR="008D76D6" w:rsidRDefault="008D76D6" w:rsidP="000B64E7">
            <w:pPr>
              <w:spacing w:beforeLines="0" w:before="0" w:afterLines="0" w:after="0" w:line="240" w:lineRule="auto"/>
              <w:ind w:firstLineChars="0" w:firstLine="0"/>
              <w:jc w:val="center"/>
              <w:rPr>
                <w:rFonts w:ascii="Times New Roman" w:hAnsi="Times New Roman"/>
                <w:kern w:val="0"/>
                <w:sz w:val="21"/>
                <w:szCs w:val="21"/>
                <w:lang w:bidi="ar"/>
              </w:rPr>
            </w:pPr>
            <w:r>
              <w:rPr>
                <w:rFonts w:ascii="Times New Roman" w:hAnsi="Times New Roman" w:hint="eastAsia"/>
                <w:kern w:val="0"/>
                <w:sz w:val="21"/>
                <w:szCs w:val="21"/>
                <w:lang w:bidi="ar"/>
              </w:rPr>
              <w:t>出让</w:t>
            </w:r>
          </w:p>
        </w:tc>
        <w:tc>
          <w:tcPr>
            <w:tcW w:w="498" w:type="pct"/>
            <w:vAlign w:val="center"/>
          </w:tcPr>
          <w:p w14:paraId="30E5BA22" w14:textId="77777777" w:rsidR="008D76D6" w:rsidRDefault="008D76D6" w:rsidP="000B64E7">
            <w:pPr>
              <w:spacing w:beforeLines="0" w:before="0" w:afterLines="0" w:after="0" w:line="240" w:lineRule="auto"/>
              <w:ind w:firstLineChars="0" w:firstLine="0"/>
              <w:jc w:val="center"/>
              <w:rPr>
                <w:rFonts w:ascii="Times New Roman" w:hAnsi="Times New Roman"/>
                <w:kern w:val="0"/>
                <w:sz w:val="21"/>
                <w:szCs w:val="21"/>
                <w:lang w:bidi="ar"/>
              </w:rPr>
            </w:pPr>
            <w:r>
              <w:rPr>
                <w:rFonts w:ascii="Times New Roman" w:hAnsi="Times New Roman" w:hint="eastAsia"/>
                <w:kern w:val="0"/>
                <w:sz w:val="21"/>
                <w:szCs w:val="21"/>
                <w:lang w:bidi="ar"/>
              </w:rPr>
              <w:t>工业</w:t>
            </w:r>
          </w:p>
        </w:tc>
      </w:tr>
      <w:tr w:rsidR="008D76D6" w14:paraId="55D17367" w14:textId="77777777">
        <w:trPr>
          <w:trHeight w:val="397"/>
          <w:jc w:val="center"/>
        </w:trPr>
        <w:tc>
          <w:tcPr>
            <w:tcW w:w="405" w:type="pct"/>
            <w:vAlign w:val="center"/>
          </w:tcPr>
          <w:p w14:paraId="602A727A"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3</w:t>
            </w:r>
          </w:p>
        </w:tc>
        <w:tc>
          <w:tcPr>
            <w:tcW w:w="532" w:type="pct"/>
            <w:vAlign w:val="center"/>
          </w:tcPr>
          <w:p w14:paraId="5776AD20"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w:t>
            </w:r>
          </w:p>
          <w:p w14:paraId="7EDC99A9"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tc>
        <w:tc>
          <w:tcPr>
            <w:tcW w:w="1277" w:type="pct"/>
            <w:vAlign w:val="center"/>
          </w:tcPr>
          <w:p w14:paraId="6FFFDDF4"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莱州国用（</w:t>
            </w:r>
            <w:r>
              <w:rPr>
                <w:rFonts w:ascii="Times New Roman" w:hAnsi="Times New Roman" w:cs="宋体" w:hint="eastAsia"/>
                <w:kern w:val="0"/>
                <w:sz w:val="21"/>
                <w:szCs w:val="21"/>
              </w:rPr>
              <w:t>2</w:t>
            </w:r>
            <w:r>
              <w:rPr>
                <w:rFonts w:ascii="Times New Roman" w:hAnsi="Times New Roman" w:cs="宋体"/>
                <w:kern w:val="0"/>
                <w:sz w:val="21"/>
                <w:szCs w:val="21"/>
              </w:rPr>
              <w:t>013</w:t>
            </w:r>
            <w:r>
              <w:rPr>
                <w:rFonts w:ascii="Times New Roman" w:hAnsi="Times New Roman" w:cs="宋体" w:hint="eastAsia"/>
                <w:kern w:val="0"/>
                <w:sz w:val="21"/>
                <w:szCs w:val="21"/>
              </w:rPr>
              <w:t>）</w:t>
            </w:r>
          </w:p>
          <w:p w14:paraId="45F2D9B1"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第</w:t>
            </w:r>
            <w:r>
              <w:rPr>
                <w:rFonts w:ascii="Times New Roman" w:hAnsi="Times New Roman" w:cs="宋体" w:hint="eastAsia"/>
                <w:kern w:val="0"/>
                <w:sz w:val="21"/>
                <w:szCs w:val="21"/>
              </w:rPr>
              <w:t>3</w:t>
            </w:r>
            <w:r>
              <w:rPr>
                <w:rFonts w:ascii="Times New Roman" w:hAnsi="Times New Roman" w:cs="宋体"/>
                <w:kern w:val="0"/>
                <w:sz w:val="21"/>
                <w:szCs w:val="21"/>
              </w:rPr>
              <w:t>098</w:t>
            </w:r>
            <w:r>
              <w:rPr>
                <w:rFonts w:ascii="Times New Roman" w:hAnsi="Times New Roman" w:cs="宋体" w:hint="eastAsia"/>
                <w:kern w:val="0"/>
                <w:sz w:val="21"/>
                <w:szCs w:val="21"/>
              </w:rPr>
              <w:t>号</w:t>
            </w:r>
          </w:p>
        </w:tc>
        <w:tc>
          <w:tcPr>
            <w:tcW w:w="820" w:type="pct"/>
            <w:vAlign w:val="center"/>
          </w:tcPr>
          <w:p w14:paraId="1096457A" w14:textId="77777777" w:rsidR="008D76D6" w:rsidRDefault="008D76D6" w:rsidP="000B64E7">
            <w:pPr>
              <w:spacing w:beforeLines="0" w:before="0" w:afterLines="0" w:after="0" w:line="240" w:lineRule="auto"/>
              <w:ind w:firstLineChars="0" w:firstLine="0"/>
              <w:jc w:val="right"/>
              <w:rPr>
                <w:rFonts w:ascii="Times New Roman" w:hAnsi="Times New Roman"/>
                <w:kern w:val="0"/>
                <w:sz w:val="21"/>
                <w:szCs w:val="21"/>
                <w:lang w:bidi="ar"/>
              </w:rPr>
            </w:pPr>
            <w:r>
              <w:rPr>
                <w:rFonts w:ascii="Times New Roman" w:hAnsi="Times New Roman" w:hint="eastAsia"/>
                <w:kern w:val="0"/>
                <w:sz w:val="21"/>
                <w:szCs w:val="21"/>
                <w:lang w:bidi="ar"/>
              </w:rPr>
              <w:t>1</w:t>
            </w:r>
            <w:r>
              <w:rPr>
                <w:rFonts w:ascii="Times New Roman" w:hAnsi="Times New Roman"/>
                <w:kern w:val="0"/>
                <w:sz w:val="21"/>
                <w:szCs w:val="21"/>
                <w:lang w:bidi="ar"/>
              </w:rPr>
              <w:t>6,605.00</w:t>
            </w:r>
          </w:p>
        </w:tc>
        <w:tc>
          <w:tcPr>
            <w:tcW w:w="960" w:type="pct"/>
            <w:vAlign w:val="center"/>
          </w:tcPr>
          <w:p w14:paraId="6FF41B8E"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沙河镇海郑村</w:t>
            </w:r>
          </w:p>
        </w:tc>
        <w:tc>
          <w:tcPr>
            <w:tcW w:w="508" w:type="pct"/>
            <w:vAlign w:val="center"/>
          </w:tcPr>
          <w:p w14:paraId="02D2064F" w14:textId="77777777" w:rsidR="008D76D6" w:rsidRDefault="008D76D6" w:rsidP="000B64E7">
            <w:pPr>
              <w:spacing w:beforeLines="0" w:before="0" w:afterLines="0" w:after="0" w:line="240" w:lineRule="auto"/>
              <w:ind w:firstLineChars="0" w:firstLine="0"/>
              <w:jc w:val="center"/>
              <w:rPr>
                <w:rFonts w:ascii="Times New Roman" w:hAnsi="Times New Roman"/>
                <w:kern w:val="0"/>
                <w:sz w:val="21"/>
                <w:szCs w:val="21"/>
                <w:lang w:bidi="ar"/>
              </w:rPr>
            </w:pPr>
            <w:r>
              <w:rPr>
                <w:rFonts w:ascii="Times New Roman" w:hAnsi="Times New Roman" w:hint="eastAsia"/>
                <w:kern w:val="0"/>
                <w:sz w:val="21"/>
                <w:szCs w:val="21"/>
                <w:lang w:bidi="ar"/>
              </w:rPr>
              <w:t>出让</w:t>
            </w:r>
          </w:p>
        </w:tc>
        <w:tc>
          <w:tcPr>
            <w:tcW w:w="498" w:type="pct"/>
            <w:vAlign w:val="center"/>
          </w:tcPr>
          <w:p w14:paraId="4E48B195" w14:textId="77777777" w:rsidR="008D76D6" w:rsidRDefault="008D76D6" w:rsidP="000B64E7">
            <w:pPr>
              <w:spacing w:beforeLines="0" w:before="0" w:afterLines="0" w:after="0" w:line="240" w:lineRule="auto"/>
              <w:ind w:firstLineChars="0" w:firstLine="0"/>
              <w:jc w:val="center"/>
              <w:rPr>
                <w:rFonts w:ascii="Times New Roman" w:hAnsi="Times New Roman"/>
                <w:kern w:val="0"/>
                <w:sz w:val="21"/>
                <w:szCs w:val="21"/>
                <w:lang w:bidi="ar"/>
              </w:rPr>
            </w:pPr>
            <w:r>
              <w:rPr>
                <w:rFonts w:ascii="Times New Roman" w:hAnsi="Times New Roman" w:hint="eastAsia"/>
                <w:kern w:val="0"/>
                <w:sz w:val="21"/>
                <w:szCs w:val="21"/>
                <w:lang w:bidi="ar"/>
              </w:rPr>
              <w:t>工业</w:t>
            </w:r>
          </w:p>
        </w:tc>
      </w:tr>
      <w:tr w:rsidR="008D76D6" w14:paraId="3F4769EF" w14:textId="77777777">
        <w:trPr>
          <w:trHeight w:val="397"/>
          <w:jc w:val="center"/>
        </w:trPr>
        <w:tc>
          <w:tcPr>
            <w:tcW w:w="405" w:type="pct"/>
            <w:vAlign w:val="center"/>
          </w:tcPr>
          <w:p w14:paraId="5F4511D4"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4</w:t>
            </w:r>
          </w:p>
        </w:tc>
        <w:tc>
          <w:tcPr>
            <w:tcW w:w="532" w:type="pct"/>
            <w:vAlign w:val="center"/>
          </w:tcPr>
          <w:p w14:paraId="77C9E2EE"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w:t>
            </w:r>
          </w:p>
          <w:p w14:paraId="1713BA67"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tc>
        <w:tc>
          <w:tcPr>
            <w:tcW w:w="1277" w:type="pct"/>
            <w:vAlign w:val="center"/>
          </w:tcPr>
          <w:p w14:paraId="6AE2B14B"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莱州国用（</w:t>
            </w:r>
            <w:r>
              <w:rPr>
                <w:rFonts w:ascii="Times New Roman" w:hAnsi="Times New Roman" w:cs="宋体" w:hint="eastAsia"/>
                <w:kern w:val="0"/>
                <w:sz w:val="21"/>
                <w:szCs w:val="21"/>
              </w:rPr>
              <w:t>2</w:t>
            </w:r>
            <w:r>
              <w:rPr>
                <w:rFonts w:ascii="Times New Roman" w:hAnsi="Times New Roman" w:cs="宋体"/>
                <w:kern w:val="0"/>
                <w:sz w:val="21"/>
                <w:szCs w:val="21"/>
              </w:rPr>
              <w:t>013</w:t>
            </w:r>
            <w:r>
              <w:rPr>
                <w:rFonts w:ascii="Times New Roman" w:hAnsi="Times New Roman" w:cs="宋体" w:hint="eastAsia"/>
                <w:kern w:val="0"/>
                <w:sz w:val="21"/>
                <w:szCs w:val="21"/>
              </w:rPr>
              <w:t>）</w:t>
            </w:r>
          </w:p>
          <w:p w14:paraId="15B88D13"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第</w:t>
            </w:r>
            <w:r>
              <w:rPr>
                <w:rFonts w:ascii="Times New Roman" w:hAnsi="Times New Roman" w:cs="宋体" w:hint="eastAsia"/>
                <w:kern w:val="0"/>
                <w:sz w:val="21"/>
                <w:szCs w:val="21"/>
              </w:rPr>
              <w:t>3</w:t>
            </w:r>
            <w:r>
              <w:rPr>
                <w:rFonts w:ascii="Times New Roman" w:hAnsi="Times New Roman" w:cs="宋体"/>
                <w:kern w:val="0"/>
                <w:sz w:val="21"/>
                <w:szCs w:val="21"/>
              </w:rPr>
              <w:t>099</w:t>
            </w:r>
            <w:r>
              <w:rPr>
                <w:rFonts w:ascii="Times New Roman" w:hAnsi="Times New Roman" w:cs="宋体" w:hint="eastAsia"/>
                <w:kern w:val="0"/>
                <w:sz w:val="21"/>
                <w:szCs w:val="21"/>
              </w:rPr>
              <w:t>号</w:t>
            </w:r>
          </w:p>
        </w:tc>
        <w:tc>
          <w:tcPr>
            <w:tcW w:w="820" w:type="pct"/>
            <w:vAlign w:val="center"/>
          </w:tcPr>
          <w:p w14:paraId="6408CB12" w14:textId="77777777" w:rsidR="008D76D6" w:rsidRDefault="008D76D6" w:rsidP="000B64E7">
            <w:pPr>
              <w:spacing w:beforeLines="0" w:before="0" w:afterLines="0" w:after="0" w:line="240" w:lineRule="auto"/>
              <w:ind w:firstLineChars="0" w:firstLine="0"/>
              <w:jc w:val="right"/>
              <w:rPr>
                <w:rFonts w:ascii="Times New Roman" w:hAnsi="Times New Roman"/>
                <w:kern w:val="0"/>
                <w:sz w:val="21"/>
                <w:szCs w:val="21"/>
                <w:lang w:bidi="ar"/>
              </w:rPr>
            </w:pPr>
            <w:r>
              <w:rPr>
                <w:rFonts w:ascii="Times New Roman" w:hAnsi="Times New Roman" w:hint="eastAsia"/>
                <w:kern w:val="0"/>
                <w:sz w:val="21"/>
                <w:szCs w:val="21"/>
                <w:lang w:bidi="ar"/>
              </w:rPr>
              <w:t>1</w:t>
            </w:r>
            <w:r>
              <w:rPr>
                <w:rFonts w:ascii="Times New Roman" w:hAnsi="Times New Roman"/>
                <w:kern w:val="0"/>
                <w:sz w:val="21"/>
                <w:szCs w:val="21"/>
                <w:lang w:bidi="ar"/>
              </w:rPr>
              <w:t>6,547.19</w:t>
            </w:r>
          </w:p>
        </w:tc>
        <w:tc>
          <w:tcPr>
            <w:tcW w:w="960" w:type="pct"/>
            <w:vAlign w:val="center"/>
          </w:tcPr>
          <w:p w14:paraId="40636215"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沙河镇海郑村</w:t>
            </w:r>
          </w:p>
        </w:tc>
        <w:tc>
          <w:tcPr>
            <w:tcW w:w="508" w:type="pct"/>
            <w:vAlign w:val="center"/>
          </w:tcPr>
          <w:p w14:paraId="3FB692BA" w14:textId="77777777" w:rsidR="008D76D6" w:rsidRDefault="008D76D6" w:rsidP="000B64E7">
            <w:pPr>
              <w:spacing w:beforeLines="0" w:before="0" w:afterLines="0" w:after="0" w:line="240" w:lineRule="auto"/>
              <w:ind w:firstLineChars="0" w:firstLine="0"/>
              <w:jc w:val="center"/>
              <w:rPr>
                <w:rFonts w:ascii="Times New Roman" w:hAnsi="Times New Roman"/>
                <w:kern w:val="0"/>
                <w:sz w:val="21"/>
                <w:szCs w:val="21"/>
                <w:lang w:bidi="ar"/>
              </w:rPr>
            </w:pPr>
            <w:r>
              <w:rPr>
                <w:rFonts w:ascii="Times New Roman" w:hAnsi="Times New Roman" w:hint="eastAsia"/>
                <w:kern w:val="0"/>
                <w:sz w:val="21"/>
                <w:szCs w:val="21"/>
                <w:lang w:bidi="ar"/>
              </w:rPr>
              <w:t>出让</w:t>
            </w:r>
          </w:p>
        </w:tc>
        <w:tc>
          <w:tcPr>
            <w:tcW w:w="498" w:type="pct"/>
            <w:vAlign w:val="center"/>
          </w:tcPr>
          <w:p w14:paraId="5A27ADE7" w14:textId="77777777" w:rsidR="008D76D6" w:rsidRDefault="008D76D6" w:rsidP="000B64E7">
            <w:pPr>
              <w:spacing w:beforeLines="0" w:before="0" w:afterLines="0" w:after="0" w:line="240" w:lineRule="auto"/>
              <w:ind w:firstLineChars="0" w:firstLine="0"/>
              <w:jc w:val="center"/>
              <w:rPr>
                <w:rFonts w:ascii="Times New Roman" w:hAnsi="Times New Roman"/>
                <w:kern w:val="0"/>
                <w:sz w:val="21"/>
                <w:szCs w:val="21"/>
                <w:lang w:bidi="ar"/>
              </w:rPr>
            </w:pPr>
            <w:r>
              <w:rPr>
                <w:rFonts w:ascii="Times New Roman" w:hAnsi="Times New Roman" w:hint="eastAsia"/>
                <w:kern w:val="0"/>
                <w:sz w:val="21"/>
                <w:szCs w:val="21"/>
                <w:lang w:bidi="ar"/>
              </w:rPr>
              <w:t>工业</w:t>
            </w:r>
          </w:p>
        </w:tc>
      </w:tr>
      <w:tr w:rsidR="008D76D6" w14:paraId="267CBD08" w14:textId="77777777">
        <w:trPr>
          <w:trHeight w:val="397"/>
          <w:jc w:val="center"/>
        </w:trPr>
        <w:tc>
          <w:tcPr>
            <w:tcW w:w="405" w:type="pct"/>
            <w:vAlign w:val="center"/>
          </w:tcPr>
          <w:p w14:paraId="31B7C8B2"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5</w:t>
            </w:r>
          </w:p>
        </w:tc>
        <w:tc>
          <w:tcPr>
            <w:tcW w:w="532" w:type="pct"/>
            <w:vAlign w:val="center"/>
          </w:tcPr>
          <w:p w14:paraId="729B2A74"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莱州</w:t>
            </w:r>
          </w:p>
          <w:p w14:paraId="45B8A385"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tc>
        <w:tc>
          <w:tcPr>
            <w:tcW w:w="1277" w:type="pct"/>
            <w:vAlign w:val="center"/>
          </w:tcPr>
          <w:p w14:paraId="5765F710"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鲁（</w:t>
            </w:r>
            <w:r>
              <w:rPr>
                <w:rFonts w:ascii="Times New Roman" w:hAnsi="Times New Roman" w:cs="宋体" w:hint="eastAsia"/>
                <w:kern w:val="0"/>
                <w:sz w:val="21"/>
                <w:szCs w:val="21"/>
              </w:rPr>
              <w:t>2</w:t>
            </w:r>
            <w:r>
              <w:rPr>
                <w:rFonts w:ascii="Times New Roman" w:hAnsi="Times New Roman" w:cs="宋体"/>
                <w:kern w:val="0"/>
                <w:sz w:val="21"/>
                <w:szCs w:val="21"/>
              </w:rPr>
              <w:t>018</w:t>
            </w:r>
            <w:r>
              <w:rPr>
                <w:rFonts w:ascii="Times New Roman" w:hAnsi="Times New Roman" w:cs="宋体" w:hint="eastAsia"/>
                <w:kern w:val="0"/>
                <w:sz w:val="21"/>
                <w:szCs w:val="21"/>
              </w:rPr>
              <w:t>）莱州市不动产权第</w:t>
            </w:r>
            <w:r>
              <w:rPr>
                <w:rFonts w:ascii="Times New Roman" w:hAnsi="Times New Roman" w:cs="宋体" w:hint="eastAsia"/>
                <w:kern w:val="0"/>
                <w:sz w:val="21"/>
                <w:szCs w:val="21"/>
              </w:rPr>
              <w:t>0</w:t>
            </w:r>
            <w:r>
              <w:rPr>
                <w:rFonts w:ascii="Times New Roman" w:hAnsi="Times New Roman" w:cs="宋体"/>
                <w:kern w:val="0"/>
                <w:sz w:val="21"/>
                <w:szCs w:val="21"/>
              </w:rPr>
              <w:t>000422</w:t>
            </w:r>
            <w:r>
              <w:rPr>
                <w:rFonts w:ascii="Times New Roman" w:hAnsi="Times New Roman" w:cs="宋体" w:hint="eastAsia"/>
                <w:kern w:val="0"/>
                <w:sz w:val="21"/>
                <w:szCs w:val="21"/>
              </w:rPr>
              <w:t>号</w:t>
            </w:r>
          </w:p>
        </w:tc>
        <w:tc>
          <w:tcPr>
            <w:tcW w:w="820" w:type="pct"/>
            <w:vAlign w:val="center"/>
          </w:tcPr>
          <w:p w14:paraId="7DC4012B" w14:textId="77777777" w:rsidR="008D76D6" w:rsidRDefault="008D76D6" w:rsidP="000B64E7">
            <w:pPr>
              <w:spacing w:beforeLines="0" w:before="0" w:afterLines="0" w:after="0" w:line="240" w:lineRule="auto"/>
              <w:ind w:firstLineChars="0" w:firstLine="0"/>
              <w:jc w:val="right"/>
              <w:rPr>
                <w:rFonts w:ascii="Times New Roman" w:hAnsi="Times New Roman"/>
                <w:kern w:val="0"/>
                <w:sz w:val="21"/>
                <w:szCs w:val="21"/>
                <w:lang w:bidi="ar"/>
              </w:rPr>
            </w:pPr>
            <w:r>
              <w:rPr>
                <w:rFonts w:ascii="Times New Roman" w:hAnsi="Times New Roman" w:hint="eastAsia"/>
                <w:kern w:val="0"/>
                <w:sz w:val="21"/>
                <w:szCs w:val="21"/>
                <w:lang w:bidi="ar"/>
              </w:rPr>
              <w:t>4</w:t>
            </w:r>
            <w:r>
              <w:rPr>
                <w:rFonts w:ascii="Times New Roman" w:hAnsi="Times New Roman"/>
                <w:kern w:val="0"/>
                <w:sz w:val="21"/>
                <w:szCs w:val="21"/>
                <w:lang w:bidi="ar"/>
              </w:rPr>
              <w:t>5,666.49</w:t>
            </w:r>
          </w:p>
        </w:tc>
        <w:tc>
          <w:tcPr>
            <w:tcW w:w="960" w:type="pct"/>
            <w:vAlign w:val="center"/>
          </w:tcPr>
          <w:p w14:paraId="636DBF16"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沙河镇大东庄村北</w:t>
            </w:r>
            <w:r>
              <w:rPr>
                <w:rFonts w:ascii="Times New Roman" w:hAnsi="Times New Roman" w:cs="宋体" w:hint="eastAsia"/>
                <w:kern w:val="0"/>
                <w:sz w:val="21"/>
                <w:szCs w:val="21"/>
              </w:rPr>
              <w:t>1</w:t>
            </w:r>
            <w:r>
              <w:rPr>
                <w:rFonts w:ascii="Times New Roman" w:hAnsi="Times New Roman" w:cs="宋体" w:hint="eastAsia"/>
                <w:kern w:val="0"/>
                <w:sz w:val="21"/>
                <w:szCs w:val="21"/>
              </w:rPr>
              <w:t>幢、</w:t>
            </w:r>
            <w:r>
              <w:rPr>
                <w:rFonts w:ascii="Times New Roman" w:hAnsi="Times New Roman" w:cs="宋体" w:hint="eastAsia"/>
                <w:kern w:val="0"/>
                <w:sz w:val="21"/>
                <w:szCs w:val="21"/>
              </w:rPr>
              <w:t>2</w:t>
            </w:r>
            <w:r>
              <w:rPr>
                <w:rFonts w:ascii="Times New Roman" w:hAnsi="Times New Roman" w:cs="宋体" w:hint="eastAsia"/>
                <w:kern w:val="0"/>
                <w:sz w:val="21"/>
                <w:szCs w:val="21"/>
              </w:rPr>
              <w:t>幢</w:t>
            </w:r>
          </w:p>
        </w:tc>
        <w:tc>
          <w:tcPr>
            <w:tcW w:w="508" w:type="pct"/>
            <w:vAlign w:val="center"/>
          </w:tcPr>
          <w:p w14:paraId="0448A190" w14:textId="77777777" w:rsidR="008D76D6" w:rsidRDefault="008D76D6" w:rsidP="000B64E7">
            <w:pPr>
              <w:spacing w:beforeLines="0" w:before="0" w:afterLines="0" w:after="0" w:line="240" w:lineRule="auto"/>
              <w:ind w:firstLineChars="0" w:firstLine="0"/>
              <w:jc w:val="center"/>
              <w:rPr>
                <w:rFonts w:ascii="Times New Roman" w:hAnsi="Times New Roman"/>
                <w:kern w:val="0"/>
                <w:sz w:val="21"/>
                <w:szCs w:val="21"/>
                <w:lang w:bidi="ar"/>
              </w:rPr>
            </w:pPr>
            <w:r>
              <w:rPr>
                <w:rFonts w:ascii="Times New Roman" w:hAnsi="Times New Roman" w:hint="eastAsia"/>
                <w:kern w:val="0"/>
                <w:sz w:val="21"/>
                <w:szCs w:val="21"/>
                <w:lang w:bidi="ar"/>
              </w:rPr>
              <w:t>出让</w:t>
            </w:r>
          </w:p>
        </w:tc>
        <w:tc>
          <w:tcPr>
            <w:tcW w:w="498" w:type="pct"/>
            <w:vAlign w:val="center"/>
          </w:tcPr>
          <w:p w14:paraId="716ABA5F" w14:textId="77777777" w:rsidR="008D76D6" w:rsidRDefault="008D76D6" w:rsidP="000B64E7">
            <w:pPr>
              <w:spacing w:beforeLines="0" w:before="0" w:afterLines="0" w:after="0" w:line="240" w:lineRule="auto"/>
              <w:ind w:firstLineChars="0" w:firstLine="0"/>
              <w:jc w:val="center"/>
              <w:rPr>
                <w:rFonts w:ascii="Times New Roman" w:hAnsi="Times New Roman"/>
                <w:kern w:val="0"/>
                <w:sz w:val="21"/>
                <w:szCs w:val="21"/>
                <w:lang w:bidi="ar"/>
              </w:rPr>
            </w:pPr>
            <w:r>
              <w:rPr>
                <w:rFonts w:ascii="Times New Roman" w:hAnsi="Times New Roman" w:hint="eastAsia"/>
                <w:kern w:val="0"/>
                <w:sz w:val="21"/>
                <w:szCs w:val="21"/>
                <w:lang w:bidi="ar"/>
              </w:rPr>
              <w:t>工业</w:t>
            </w:r>
          </w:p>
        </w:tc>
      </w:tr>
      <w:tr w:rsidR="008D76D6" w14:paraId="47A551A2" w14:textId="77777777">
        <w:trPr>
          <w:trHeight w:val="397"/>
          <w:jc w:val="center"/>
        </w:trPr>
        <w:tc>
          <w:tcPr>
            <w:tcW w:w="405" w:type="pct"/>
            <w:vAlign w:val="center"/>
          </w:tcPr>
          <w:p w14:paraId="1A6CB2C0"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6</w:t>
            </w:r>
          </w:p>
        </w:tc>
        <w:tc>
          <w:tcPr>
            <w:tcW w:w="532" w:type="pct"/>
            <w:vAlign w:val="center"/>
          </w:tcPr>
          <w:p w14:paraId="5712373B"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p w14:paraId="70DDB736"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流体</w:t>
            </w:r>
          </w:p>
        </w:tc>
        <w:tc>
          <w:tcPr>
            <w:tcW w:w="1277" w:type="pct"/>
            <w:vAlign w:val="center"/>
          </w:tcPr>
          <w:p w14:paraId="04CA7839"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青房地权市字第</w:t>
            </w:r>
            <w:r>
              <w:rPr>
                <w:rFonts w:ascii="Times New Roman" w:hAnsi="Times New Roman" w:cs="宋体" w:hint="eastAsia"/>
                <w:kern w:val="0"/>
                <w:sz w:val="21"/>
                <w:szCs w:val="21"/>
              </w:rPr>
              <w:t>2</w:t>
            </w:r>
            <w:r>
              <w:rPr>
                <w:rFonts w:ascii="Times New Roman" w:hAnsi="Times New Roman" w:cs="宋体"/>
                <w:kern w:val="0"/>
                <w:sz w:val="21"/>
                <w:szCs w:val="21"/>
              </w:rPr>
              <w:t>01546822</w:t>
            </w:r>
            <w:r>
              <w:rPr>
                <w:rFonts w:ascii="Times New Roman" w:hAnsi="Times New Roman" w:cs="宋体" w:hint="eastAsia"/>
                <w:kern w:val="0"/>
                <w:sz w:val="21"/>
                <w:szCs w:val="21"/>
              </w:rPr>
              <w:t>号</w:t>
            </w:r>
          </w:p>
        </w:tc>
        <w:tc>
          <w:tcPr>
            <w:tcW w:w="820" w:type="pct"/>
            <w:vAlign w:val="center"/>
          </w:tcPr>
          <w:p w14:paraId="6672E1DF" w14:textId="77777777" w:rsidR="008D76D6" w:rsidRDefault="008D76D6" w:rsidP="000B64E7">
            <w:pPr>
              <w:spacing w:beforeLines="0" w:before="0" w:afterLines="0" w:after="0" w:line="240" w:lineRule="auto"/>
              <w:ind w:firstLineChars="0" w:firstLine="0"/>
              <w:jc w:val="right"/>
              <w:rPr>
                <w:rFonts w:ascii="Times New Roman" w:hAnsi="Times New Roman"/>
                <w:kern w:val="0"/>
                <w:sz w:val="21"/>
                <w:szCs w:val="21"/>
                <w:lang w:bidi="ar"/>
              </w:rPr>
            </w:pPr>
            <w:r>
              <w:rPr>
                <w:rFonts w:ascii="Times New Roman" w:hAnsi="Times New Roman" w:hint="eastAsia"/>
                <w:kern w:val="0"/>
                <w:sz w:val="21"/>
                <w:szCs w:val="21"/>
                <w:lang w:bidi="ar"/>
              </w:rPr>
              <w:t>6</w:t>
            </w:r>
            <w:r>
              <w:rPr>
                <w:rFonts w:ascii="Times New Roman" w:hAnsi="Times New Roman"/>
                <w:kern w:val="0"/>
                <w:sz w:val="21"/>
                <w:szCs w:val="21"/>
                <w:lang w:bidi="ar"/>
              </w:rPr>
              <w:t>6,666.60</w:t>
            </w:r>
          </w:p>
        </w:tc>
        <w:tc>
          <w:tcPr>
            <w:tcW w:w="960" w:type="pct"/>
            <w:vAlign w:val="center"/>
          </w:tcPr>
          <w:p w14:paraId="60500692"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青岛高新区华贯路以东，华东路以西，科海路以南</w:t>
            </w:r>
          </w:p>
        </w:tc>
        <w:tc>
          <w:tcPr>
            <w:tcW w:w="508" w:type="pct"/>
            <w:vAlign w:val="center"/>
          </w:tcPr>
          <w:p w14:paraId="7918F1B7" w14:textId="77777777" w:rsidR="008D76D6" w:rsidRDefault="008D76D6" w:rsidP="000B64E7">
            <w:pPr>
              <w:spacing w:beforeLines="0" w:before="0" w:afterLines="0" w:after="0" w:line="240" w:lineRule="auto"/>
              <w:ind w:firstLineChars="0" w:firstLine="0"/>
              <w:jc w:val="center"/>
              <w:rPr>
                <w:rFonts w:ascii="Times New Roman" w:hAnsi="Times New Roman"/>
                <w:kern w:val="0"/>
                <w:sz w:val="21"/>
                <w:szCs w:val="21"/>
                <w:lang w:bidi="ar"/>
              </w:rPr>
            </w:pPr>
            <w:r>
              <w:rPr>
                <w:rFonts w:ascii="Times New Roman" w:hAnsi="Times New Roman" w:hint="eastAsia"/>
                <w:kern w:val="0"/>
                <w:sz w:val="21"/>
                <w:szCs w:val="21"/>
                <w:lang w:bidi="ar"/>
              </w:rPr>
              <w:t>出让</w:t>
            </w:r>
          </w:p>
        </w:tc>
        <w:tc>
          <w:tcPr>
            <w:tcW w:w="498" w:type="pct"/>
            <w:vAlign w:val="center"/>
          </w:tcPr>
          <w:p w14:paraId="4CFE0226" w14:textId="77777777" w:rsidR="008D76D6" w:rsidRDefault="008D76D6" w:rsidP="000B64E7">
            <w:pPr>
              <w:spacing w:beforeLines="0" w:before="0" w:afterLines="0" w:after="0" w:line="240" w:lineRule="auto"/>
              <w:ind w:firstLineChars="0" w:firstLine="0"/>
              <w:jc w:val="center"/>
              <w:rPr>
                <w:rFonts w:ascii="Times New Roman" w:hAnsi="Times New Roman"/>
                <w:kern w:val="0"/>
                <w:sz w:val="21"/>
                <w:szCs w:val="21"/>
                <w:lang w:bidi="ar"/>
              </w:rPr>
            </w:pPr>
            <w:r>
              <w:rPr>
                <w:rFonts w:ascii="Times New Roman" w:hAnsi="Times New Roman" w:hint="eastAsia"/>
                <w:kern w:val="0"/>
                <w:sz w:val="21"/>
                <w:szCs w:val="21"/>
                <w:lang w:bidi="ar"/>
              </w:rPr>
              <w:t>工业</w:t>
            </w:r>
          </w:p>
        </w:tc>
      </w:tr>
      <w:tr w:rsidR="008D76D6" w14:paraId="2B621A4F" w14:textId="77777777">
        <w:trPr>
          <w:trHeight w:val="397"/>
          <w:jc w:val="center"/>
        </w:trPr>
        <w:tc>
          <w:tcPr>
            <w:tcW w:w="405" w:type="pct"/>
            <w:vAlign w:val="center"/>
          </w:tcPr>
          <w:p w14:paraId="2C3987EC"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7</w:t>
            </w:r>
          </w:p>
        </w:tc>
        <w:tc>
          <w:tcPr>
            <w:tcW w:w="532" w:type="pct"/>
            <w:vAlign w:val="center"/>
          </w:tcPr>
          <w:p w14:paraId="36203AEE"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p w14:paraId="0D81A045"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五金</w:t>
            </w:r>
          </w:p>
        </w:tc>
        <w:tc>
          <w:tcPr>
            <w:tcW w:w="1277" w:type="pct"/>
            <w:vAlign w:val="center"/>
          </w:tcPr>
          <w:p w14:paraId="40EE2872"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青房地权城字第</w:t>
            </w:r>
            <w:r>
              <w:rPr>
                <w:rFonts w:ascii="Times New Roman" w:hAnsi="Times New Roman" w:cs="宋体" w:hint="eastAsia"/>
                <w:kern w:val="0"/>
                <w:sz w:val="21"/>
                <w:szCs w:val="21"/>
              </w:rPr>
              <w:t>0</w:t>
            </w:r>
            <w:r>
              <w:rPr>
                <w:rFonts w:ascii="Times New Roman" w:hAnsi="Times New Roman" w:cs="宋体"/>
                <w:kern w:val="0"/>
                <w:sz w:val="21"/>
                <w:szCs w:val="21"/>
              </w:rPr>
              <w:t>07439</w:t>
            </w:r>
            <w:r>
              <w:rPr>
                <w:rFonts w:ascii="Times New Roman" w:hAnsi="Times New Roman" w:cs="宋体" w:hint="eastAsia"/>
                <w:kern w:val="0"/>
                <w:sz w:val="21"/>
                <w:szCs w:val="21"/>
              </w:rPr>
              <w:t>号</w:t>
            </w:r>
          </w:p>
        </w:tc>
        <w:tc>
          <w:tcPr>
            <w:tcW w:w="820" w:type="pct"/>
            <w:vAlign w:val="center"/>
          </w:tcPr>
          <w:p w14:paraId="0B926BCB" w14:textId="77777777" w:rsidR="008D76D6" w:rsidRDefault="008D76D6" w:rsidP="000B64E7">
            <w:pPr>
              <w:spacing w:beforeLines="0" w:before="0" w:afterLines="0" w:after="0" w:line="240" w:lineRule="auto"/>
              <w:ind w:firstLineChars="0" w:firstLine="0"/>
              <w:jc w:val="right"/>
              <w:rPr>
                <w:rFonts w:ascii="Times New Roman" w:hAnsi="Times New Roman"/>
                <w:kern w:val="0"/>
                <w:sz w:val="21"/>
                <w:szCs w:val="21"/>
                <w:lang w:bidi="ar"/>
              </w:rPr>
            </w:pPr>
            <w:r>
              <w:rPr>
                <w:rFonts w:ascii="Times New Roman" w:hAnsi="Times New Roman" w:hint="eastAsia"/>
                <w:kern w:val="0"/>
                <w:sz w:val="21"/>
                <w:szCs w:val="21"/>
                <w:lang w:bidi="ar"/>
              </w:rPr>
              <w:t>5</w:t>
            </w:r>
            <w:r>
              <w:rPr>
                <w:rFonts w:ascii="Times New Roman" w:hAnsi="Times New Roman"/>
                <w:kern w:val="0"/>
                <w:sz w:val="21"/>
                <w:szCs w:val="21"/>
                <w:lang w:bidi="ar"/>
              </w:rPr>
              <w:t>,979.44</w:t>
            </w:r>
          </w:p>
        </w:tc>
        <w:tc>
          <w:tcPr>
            <w:tcW w:w="960" w:type="pct"/>
            <w:vAlign w:val="center"/>
          </w:tcPr>
          <w:p w14:paraId="0B3DFE13"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城阳区棘洪滩街道后海西社区</w:t>
            </w:r>
            <w:r>
              <w:rPr>
                <w:rFonts w:ascii="Times New Roman" w:hAnsi="Times New Roman" w:cs="宋体" w:hint="eastAsia"/>
                <w:kern w:val="0"/>
                <w:sz w:val="21"/>
                <w:szCs w:val="21"/>
              </w:rPr>
              <w:t>7</w:t>
            </w:r>
            <w:r>
              <w:rPr>
                <w:rFonts w:ascii="Times New Roman" w:hAnsi="Times New Roman" w:cs="宋体"/>
                <w:kern w:val="0"/>
                <w:sz w:val="21"/>
                <w:szCs w:val="21"/>
              </w:rPr>
              <w:t>439</w:t>
            </w:r>
          </w:p>
        </w:tc>
        <w:tc>
          <w:tcPr>
            <w:tcW w:w="508" w:type="pct"/>
            <w:vAlign w:val="center"/>
          </w:tcPr>
          <w:p w14:paraId="6448E2A3" w14:textId="77777777" w:rsidR="008D76D6" w:rsidRDefault="008D76D6" w:rsidP="000B64E7">
            <w:pPr>
              <w:spacing w:beforeLines="0" w:before="0" w:afterLines="0" w:after="0" w:line="240" w:lineRule="auto"/>
              <w:ind w:firstLineChars="0" w:firstLine="0"/>
              <w:jc w:val="center"/>
              <w:rPr>
                <w:rFonts w:ascii="Times New Roman" w:hAnsi="Times New Roman"/>
                <w:kern w:val="0"/>
                <w:sz w:val="21"/>
                <w:szCs w:val="21"/>
                <w:lang w:bidi="ar"/>
              </w:rPr>
            </w:pPr>
            <w:r>
              <w:rPr>
                <w:rFonts w:ascii="Times New Roman" w:hAnsi="Times New Roman" w:hint="eastAsia"/>
                <w:kern w:val="0"/>
                <w:sz w:val="21"/>
                <w:szCs w:val="21"/>
                <w:lang w:bidi="ar"/>
              </w:rPr>
              <w:t>出让</w:t>
            </w:r>
          </w:p>
        </w:tc>
        <w:tc>
          <w:tcPr>
            <w:tcW w:w="498" w:type="pct"/>
            <w:vAlign w:val="center"/>
          </w:tcPr>
          <w:p w14:paraId="5B2B68D8" w14:textId="77777777" w:rsidR="008D76D6" w:rsidRDefault="008D76D6" w:rsidP="000B64E7">
            <w:pPr>
              <w:spacing w:beforeLines="0" w:before="0" w:afterLines="0" w:after="0" w:line="240" w:lineRule="auto"/>
              <w:ind w:firstLineChars="0" w:firstLine="0"/>
              <w:jc w:val="center"/>
              <w:rPr>
                <w:rFonts w:ascii="Times New Roman" w:hAnsi="Times New Roman"/>
                <w:kern w:val="0"/>
                <w:sz w:val="21"/>
                <w:szCs w:val="21"/>
                <w:lang w:bidi="ar"/>
              </w:rPr>
            </w:pPr>
            <w:r>
              <w:rPr>
                <w:rFonts w:ascii="Times New Roman" w:hAnsi="Times New Roman" w:hint="eastAsia"/>
                <w:kern w:val="0"/>
                <w:sz w:val="21"/>
                <w:szCs w:val="21"/>
                <w:lang w:bidi="ar"/>
              </w:rPr>
              <w:t>车间、办公</w:t>
            </w:r>
          </w:p>
        </w:tc>
      </w:tr>
      <w:tr w:rsidR="008D76D6" w14:paraId="4620CF20" w14:textId="77777777">
        <w:trPr>
          <w:trHeight w:val="397"/>
          <w:jc w:val="center"/>
        </w:trPr>
        <w:tc>
          <w:tcPr>
            <w:tcW w:w="405" w:type="pct"/>
            <w:vAlign w:val="center"/>
          </w:tcPr>
          <w:p w14:paraId="6D981B7E"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8</w:t>
            </w:r>
          </w:p>
        </w:tc>
        <w:tc>
          <w:tcPr>
            <w:tcW w:w="532" w:type="pct"/>
            <w:vAlign w:val="center"/>
          </w:tcPr>
          <w:p w14:paraId="7F63A5F5"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伟隆</w:t>
            </w:r>
          </w:p>
          <w:p w14:paraId="2CE2AB81"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股份</w:t>
            </w:r>
          </w:p>
        </w:tc>
        <w:tc>
          <w:tcPr>
            <w:tcW w:w="1277" w:type="pct"/>
            <w:vAlign w:val="center"/>
          </w:tcPr>
          <w:p w14:paraId="0EDA4550"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鲁（</w:t>
            </w:r>
            <w:r>
              <w:rPr>
                <w:rFonts w:ascii="Times New Roman" w:hAnsi="Times New Roman" w:cs="宋体" w:hint="eastAsia"/>
                <w:kern w:val="0"/>
                <w:sz w:val="21"/>
                <w:szCs w:val="21"/>
              </w:rPr>
              <w:t>2</w:t>
            </w:r>
            <w:r>
              <w:rPr>
                <w:rFonts w:ascii="Times New Roman" w:hAnsi="Times New Roman" w:cs="宋体"/>
                <w:kern w:val="0"/>
                <w:sz w:val="21"/>
                <w:szCs w:val="21"/>
              </w:rPr>
              <w:t>023</w:t>
            </w:r>
            <w:r>
              <w:rPr>
                <w:rFonts w:ascii="Times New Roman" w:hAnsi="Times New Roman" w:cs="宋体" w:hint="eastAsia"/>
                <w:kern w:val="0"/>
                <w:sz w:val="21"/>
                <w:szCs w:val="21"/>
              </w:rPr>
              <w:t>）青岛市高新区不动产权第</w:t>
            </w:r>
            <w:r>
              <w:rPr>
                <w:rFonts w:ascii="Times New Roman" w:hAnsi="Times New Roman" w:cs="宋体" w:hint="eastAsia"/>
                <w:kern w:val="0"/>
                <w:sz w:val="21"/>
                <w:szCs w:val="21"/>
              </w:rPr>
              <w:t>0</w:t>
            </w:r>
            <w:r>
              <w:rPr>
                <w:rFonts w:ascii="Times New Roman" w:hAnsi="Times New Roman" w:cs="宋体"/>
                <w:kern w:val="0"/>
                <w:sz w:val="21"/>
                <w:szCs w:val="21"/>
              </w:rPr>
              <w:t>044317</w:t>
            </w:r>
            <w:r>
              <w:rPr>
                <w:rFonts w:ascii="Times New Roman" w:hAnsi="Times New Roman" w:cs="宋体" w:hint="eastAsia"/>
                <w:kern w:val="0"/>
                <w:sz w:val="21"/>
                <w:szCs w:val="21"/>
              </w:rPr>
              <w:t>号</w:t>
            </w:r>
          </w:p>
        </w:tc>
        <w:tc>
          <w:tcPr>
            <w:tcW w:w="820" w:type="pct"/>
            <w:vAlign w:val="center"/>
          </w:tcPr>
          <w:p w14:paraId="66A1D28C" w14:textId="77777777" w:rsidR="008D76D6" w:rsidRDefault="008D76D6" w:rsidP="000B64E7">
            <w:pPr>
              <w:spacing w:beforeLines="0" w:before="0" w:afterLines="0" w:after="0" w:line="240" w:lineRule="auto"/>
              <w:ind w:firstLineChars="0" w:firstLine="0"/>
              <w:jc w:val="right"/>
              <w:rPr>
                <w:rFonts w:ascii="Times New Roman" w:hAnsi="Times New Roman"/>
                <w:kern w:val="0"/>
                <w:sz w:val="21"/>
                <w:szCs w:val="21"/>
                <w:lang w:bidi="ar"/>
              </w:rPr>
            </w:pPr>
            <w:r>
              <w:rPr>
                <w:rFonts w:ascii="Times New Roman" w:hAnsi="Times New Roman"/>
                <w:kern w:val="0"/>
                <w:sz w:val="21"/>
                <w:szCs w:val="21"/>
                <w:lang w:bidi="ar"/>
              </w:rPr>
              <w:t>26,666</w:t>
            </w:r>
            <w:r>
              <w:rPr>
                <w:rFonts w:ascii="Times New Roman" w:hAnsi="Times New Roman" w:hint="eastAsia"/>
                <w:kern w:val="0"/>
                <w:sz w:val="21"/>
                <w:szCs w:val="21"/>
                <w:lang w:bidi="ar"/>
              </w:rPr>
              <w:t>.</w:t>
            </w:r>
            <w:r>
              <w:rPr>
                <w:rFonts w:ascii="Times New Roman" w:hAnsi="Times New Roman"/>
                <w:kern w:val="0"/>
                <w:sz w:val="21"/>
                <w:szCs w:val="21"/>
                <w:lang w:bidi="ar"/>
              </w:rPr>
              <w:t>70</w:t>
            </w:r>
          </w:p>
        </w:tc>
        <w:tc>
          <w:tcPr>
            <w:tcW w:w="960" w:type="pct"/>
            <w:vAlign w:val="center"/>
          </w:tcPr>
          <w:p w14:paraId="69171F72" w14:textId="77777777" w:rsidR="008D76D6" w:rsidRDefault="008D76D6" w:rsidP="000B64E7">
            <w:pPr>
              <w:spacing w:beforeLines="0" w:before="0" w:afterLines="0" w:after="0" w:line="24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青岛市高新区科韵路东延长线以南、规划华东路以西</w:t>
            </w:r>
          </w:p>
        </w:tc>
        <w:tc>
          <w:tcPr>
            <w:tcW w:w="508" w:type="pct"/>
            <w:vAlign w:val="center"/>
          </w:tcPr>
          <w:p w14:paraId="371E4968" w14:textId="77777777" w:rsidR="008D76D6" w:rsidRDefault="008D76D6" w:rsidP="000B64E7">
            <w:pPr>
              <w:spacing w:beforeLines="0" w:before="0" w:afterLines="0" w:after="0" w:line="240" w:lineRule="auto"/>
              <w:ind w:firstLineChars="0" w:firstLine="0"/>
              <w:jc w:val="center"/>
              <w:rPr>
                <w:rFonts w:ascii="Times New Roman" w:hAnsi="Times New Roman"/>
                <w:kern w:val="0"/>
                <w:sz w:val="21"/>
                <w:szCs w:val="21"/>
                <w:lang w:bidi="ar"/>
              </w:rPr>
            </w:pPr>
            <w:r>
              <w:rPr>
                <w:rFonts w:ascii="Times New Roman" w:hAnsi="Times New Roman" w:hint="eastAsia"/>
                <w:kern w:val="0"/>
                <w:sz w:val="21"/>
                <w:szCs w:val="21"/>
                <w:lang w:bidi="ar"/>
              </w:rPr>
              <w:t>出让</w:t>
            </w:r>
          </w:p>
        </w:tc>
        <w:tc>
          <w:tcPr>
            <w:tcW w:w="498" w:type="pct"/>
            <w:vAlign w:val="center"/>
          </w:tcPr>
          <w:p w14:paraId="1FF2F153" w14:textId="77777777" w:rsidR="008D76D6" w:rsidRDefault="008D76D6" w:rsidP="000B64E7">
            <w:pPr>
              <w:spacing w:beforeLines="0" w:before="0" w:afterLines="0" w:after="0" w:line="240" w:lineRule="auto"/>
              <w:ind w:firstLineChars="0" w:firstLine="0"/>
              <w:jc w:val="center"/>
              <w:rPr>
                <w:rFonts w:ascii="Times New Roman" w:hAnsi="Times New Roman"/>
                <w:kern w:val="0"/>
                <w:sz w:val="21"/>
                <w:szCs w:val="21"/>
                <w:lang w:bidi="ar"/>
              </w:rPr>
            </w:pPr>
            <w:r>
              <w:rPr>
                <w:rFonts w:ascii="Times New Roman" w:hAnsi="Times New Roman" w:hint="eastAsia"/>
                <w:kern w:val="0"/>
                <w:sz w:val="21"/>
                <w:szCs w:val="21"/>
                <w:lang w:bidi="ar"/>
              </w:rPr>
              <w:t>工业</w:t>
            </w:r>
          </w:p>
        </w:tc>
      </w:tr>
    </w:tbl>
    <w:bookmarkEnd w:id="18"/>
    <w:p w14:paraId="73B6CD86" w14:textId="77777777" w:rsidR="008D76D6" w:rsidRDefault="008D76D6">
      <w:pPr>
        <w:topLinePunct/>
        <w:spacing w:before="120" w:after="120"/>
        <w:ind w:firstLine="480"/>
        <w:rPr>
          <w:rFonts w:ascii="Times New Roman" w:hAnsi="Times New Roman"/>
          <w:color w:val="000000"/>
          <w:szCs w:val="32"/>
        </w:rPr>
      </w:pPr>
      <w:r>
        <w:rPr>
          <w:rFonts w:ascii="Times New Roman" w:hAnsi="Times New Roman" w:hint="eastAsia"/>
          <w:color w:val="000000"/>
          <w:szCs w:val="32"/>
        </w:rPr>
        <w:t>截至本补充法律意见书出具之日，发行人拥有的土地使用权和房产均用于工业、车间或办公，不存在用途为商业或住宅用的房产及土地使用权。</w:t>
      </w:r>
    </w:p>
    <w:p w14:paraId="46F771C9" w14:textId="77777777" w:rsidR="008D76D6" w:rsidRDefault="008D76D6">
      <w:pPr>
        <w:topLinePunct/>
        <w:spacing w:before="120" w:after="120"/>
        <w:ind w:firstLine="480"/>
        <w:rPr>
          <w:rFonts w:ascii="Times New Roman" w:hAnsi="Times New Roman"/>
          <w:color w:val="000000"/>
          <w:szCs w:val="32"/>
        </w:rPr>
      </w:pPr>
      <w:r>
        <w:rPr>
          <w:rFonts w:ascii="Times New Roman" w:hAnsi="Times New Roman" w:hint="eastAsia"/>
          <w:color w:val="000000"/>
          <w:szCs w:val="32"/>
        </w:rPr>
        <w:t>2</w:t>
      </w:r>
      <w:r>
        <w:rPr>
          <w:rFonts w:ascii="Times New Roman" w:hAnsi="Times New Roman" w:hint="eastAsia"/>
          <w:color w:val="000000"/>
          <w:szCs w:val="32"/>
        </w:rPr>
        <w:t>、发行人对外出租的房产不属于商品房</w:t>
      </w:r>
    </w:p>
    <w:p w14:paraId="1DD4F946" w14:textId="77777777" w:rsidR="008D76D6" w:rsidRDefault="008D76D6">
      <w:pPr>
        <w:topLinePunct/>
        <w:spacing w:before="120" w:after="120"/>
        <w:ind w:firstLine="480"/>
        <w:rPr>
          <w:rFonts w:ascii="Times New Roman" w:hAnsi="Times New Roman"/>
          <w:color w:val="000000"/>
          <w:szCs w:val="32"/>
        </w:rPr>
      </w:pPr>
      <w:r>
        <w:rPr>
          <w:rFonts w:ascii="Times New Roman" w:hAnsi="Times New Roman" w:hint="eastAsia"/>
          <w:color w:val="000000"/>
          <w:szCs w:val="32"/>
        </w:rPr>
        <w:t>经核查，截至本补充法律意见书出具之日，发行人及子公司对外出租房产的情况如下：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814"/>
        <w:gridCol w:w="961"/>
        <w:gridCol w:w="979"/>
        <w:gridCol w:w="1081"/>
        <w:gridCol w:w="1118"/>
        <w:gridCol w:w="1257"/>
        <w:gridCol w:w="1266"/>
        <w:gridCol w:w="758"/>
      </w:tblGrid>
      <w:tr w:rsidR="00DC7E84" w14:paraId="12E5BD30" w14:textId="77777777" w:rsidTr="00B434D2">
        <w:trPr>
          <w:jc w:val="center"/>
        </w:trPr>
        <w:tc>
          <w:tcPr>
            <w:tcW w:w="817" w:type="dxa"/>
            <w:shd w:val="clear" w:color="auto" w:fill="D9D9D9"/>
            <w:vAlign w:val="center"/>
          </w:tcPr>
          <w:p w14:paraId="0E6BB053" w14:textId="77777777" w:rsidR="00DC7E84" w:rsidRDefault="00DC7E84">
            <w:pPr>
              <w:topLinePunct/>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序号</w:t>
            </w:r>
          </w:p>
        </w:tc>
        <w:tc>
          <w:tcPr>
            <w:tcW w:w="851" w:type="dxa"/>
            <w:shd w:val="clear" w:color="auto" w:fill="D9D9D9"/>
            <w:vAlign w:val="center"/>
          </w:tcPr>
          <w:p w14:paraId="545814FA" w14:textId="77777777" w:rsidR="00DC7E84" w:rsidRDefault="00DC7E84">
            <w:pPr>
              <w:topLinePunct/>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出租方</w:t>
            </w:r>
          </w:p>
        </w:tc>
        <w:tc>
          <w:tcPr>
            <w:tcW w:w="992" w:type="dxa"/>
            <w:shd w:val="clear" w:color="auto" w:fill="D9D9D9"/>
            <w:vAlign w:val="center"/>
          </w:tcPr>
          <w:p w14:paraId="522996D5" w14:textId="77777777" w:rsidR="00DC7E84" w:rsidRDefault="00DC7E84">
            <w:pPr>
              <w:topLinePunct/>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租赁方</w:t>
            </w:r>
          </w:p>
        </w:tc>
        <w:tc>
          <w:tcPr>
            <w:tcW w:w="992" w:type="dxa"/>
            <w:shd w:val="clear" w:color="auto" w:fill="D9D9D9"/>
            <w:vAlign w:val="center"/>
          </w:tcPr>
          <w:p w14:paraId="208C4551" w14:textId="77777777" w:rsidR="00DC7E84" w:rsidRDefault="00DC7E84">
            <w:pPr>
              <w:topLinePunct/>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证号</w:t>
            </w:r>
          </w:p>
        </w:tc>
        <w:tc>
          <w:tcPr>
            <w:tcW w:w="1134" w:type="dxa"/>
            <w:shd w:val="clear" w:color="auto" w:fill="D9D9D9"/>
            <w:vAlign w:val="center"/>
          </w:tcPr>
          <w:p w14:paraId="404C0965" w14:textId="77777777" w:rsidR="00DC7E84" w:rsidRDefault="00DC7E84">
            <w:pPr>
              <w:topLinePunct/>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hint="eastAsia"/>
                <w:b/>
                <w:bCs/>
                <w:color w:val="000000"/>
                <w:sz w:val="21"/>
                <w:szCs w:val="21"/>
              </w:rPr>
              <w:t>租赁物</w:t>
            </w:r>
          </w:p>
          <w:p w14:paraId="401140C8" w14:textId="77777777" w:rsidR="00DC7E84" w:rsidRDefault="00DC7E84">
            <w:pPr>
              <w:topLinePunct/>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位置</w:t>
            </w:r>
          </w:p>
        </w:tc>
        <w:tc>
          <w:tcPr>
            <w:tcW w:w="1134" w:type="dxa"/>
            <w:shd w:val="clear" w:color="auto" w:fill="D9D9D9"/>
          </w:tcPr>
          <w:p w14:paraId="70EF115E" w14:textId="77777777" w:rsidR="00DC7E84" w:rsidRDefault="00DC7E84">
            <w:pPr>
              <w:topLinePunct/>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hint="eastAsia"/>
                <w:b/>
                <w:bCs/>
                <w:color w:val="000000"/>
                <w:sz w:val="21"/>
                <w:szCs w:val="21"/>
              </w:rPr>
              <w:t>租赁</w:t>
            </w:r>
          </w:p>
          <w:p w14:paraId="1E7A45C0" w14:textId="77777777" w:rsidR="00DC7E84" w:rsidRDefault="00DC7E84">
            <w:pPr>
              <w:topLinePunct/>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面积（㎡）</w:t>
            </w:r>
          </w:p>
        </w:tc>
        <w:tc>
          <w:tcPr>
            <w:tcW w:w="1276" w:type="dxa"/>
            <w:shd w:val="clear" w:color="auto" w:fill="D9D9D9"/>
            <w:vAlign w:val="center"/>
          </w:tcPr>
          <w:p w14:paraId="53D2A14E" w14:textId="77777777" w:rsidR="00DC7E84" w:rsidRDefault="00DC7E84">
            <w:pPr>
              <w:topLinePunct/>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价格</w:t>
            </w:r>
          </w:p>
        </w:tc>
        <w:tc>
          <w:tcPr>
            <w:tcW w:w="1276" w:type="dxa"/>
            <w:shd w:val="clear" w:color="auto" w:fill="D9D9D9"/>
            <w:vAlign w:val="center"/>
          </w:tcPr>
          <w:p w14:paraId="5282FCE9" w14:textId="77777777" w:rsidR="00DC7E84" w:rsidRDefault="00DC7E84">
            <w:pPr>
              <w:topLinePunct/>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租赁期限</w:t>
            </w:r>
          </w:p>
        </w:tc>
        <w:tc>
          <w:tcPr>
            <w:tcW w:w="770" w:type="dxa"/>
            <w:shd w:val="clear" w:color="auto" w:fill="D9D9D9"/>
            <w:vAlign w:val="center"/>
          </w:tcPr>
          <w:p w14:paraId="062D4CBE" w14:textId="77777777" w:rsidR="00DC7E84" w:rsidRDefault="00DC7E84">
            <w:pPr>
              <w:topLinePunct/>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用途</w:t>
            </w:r>
          </w:p>
        </w:tc>
      </w:tr>
      <w:tr w:rsidR="00DC7E84" w14:paraId="15369163" w14:textId="77777777" w:rsidTr="00B434D2">
        <w:trPr>
          <w:jc w:val="center"/>
        </w:trPr>
        <w:tc>
          <w:tcPr>
            <w:tcW w:w="817" w:type="dxa"/>
            <w:vAlign w:val="center"/>
          </w:tcPr>
          <w:p w14:paraId="12979BB4"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1</w:t>
            </w:r>
          </w:p>
        </w:tc>
        <w:tc>
          <w:tcPr>
            <w:tcW w:w="851" w:type="dxa"/>
            <w:vAlign w:val="center"/>
          </w:tcPr>
          <w:p w14:paraId="5D3D03E2"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伟隆</w:t>
            </w:r>
          </w:p>
          <w:p w14:paraId="08CAD77C"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五金</w:t>
            </w:r>
          </w:p>
        </w:tc>
        <w:tc>
          <w:tcPr>
            <w:tcW w:w="992" w:type="dxa"/>
            <w:vAlign w:val="center"/>
          </w:tcPr>
          <w:p w14:paraId="68B9767A" w14:textId="77777777" w:rsidR="00DC7E84" w:rsidRPr="00B434D2" w:rsidRDefault="001125E8" w:rsidP="00B434D2">
            <w:pPr>
              <w:pStyle w:val="1"/>
              <w:spacing w:beforeLines="0" w:before="0" w:afterLines="0" w:after="0" w:line="240" w:lineRule="auto"/>
              <w:ind w:firstLineChars="0" w:firstLine="0"/>
              <w:rPr>
                <w:rFonts w:ascii="Times New Roman" w:hAnsi="Times New Roman" w:hint="eastAsia"/>
                <w:b w:val="0"/>
                <w:bCs w:val="0"/>
                <w:color w:val="000000"/>
                <w:kern w:val="2"/>
                <w:sz w:val="21"/>
                <w:szCs w:val="21"/>
              </w:rPr>
            </w:pPr>
            <w:r w:rsidRPr="00B434D2">
              <w:rPr>
                <w:rFonts w:ascii="Times New Roman" w:hAnsi="Times New Roman"/>
                <w:b w:val="0"/>
                <w:bCs w:val="0"/>
                <w:color w:val="000000"/>
                <w:kern w:val="2"/>
                <w:sz w:val="21"/>
                <w:szCs w:val="21"/>
              </w:rPr>
              <w:t>利和味道（青岛）食品产业股份有限公司</w:t>
            </w:r>
          </w:p>
        </w:tc>
        <w:tc>
          <w:tcPr>
            <w:tcW w:w="992" w:type="dxa"/>
            <w:vAlign w:val="center"/>
          </w:tcPr>
          <w:p w14:paraId="2E031CA2"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青房地权城字第</w:t>
            </w:r>
            <w:r>
              <w:rPr>
                <w:rFonts w:ascii="Times New Roman" w:hAnsi="Times New Roman" w:hint="eastAsia"/>
                <w:color w:val="000000"/>
                <w:sz w:val="21"/>
                <w:szCs w:val="21"/>
              </w:rPr>
              <w:t>0</w:t>
            </w:r>
            <w:r>
              <w:rPr>
                <w:rFonts w:ascii="Times New Roman" w:hAnsi="Times New Roman"/>
                <w:color w:val="000000"/>
                <w:sz w:val="21"/>
                <w:szCs w:val="21"/>
              </w:rPr>
              <w:t>07439</w:t>
            </w:r>
            <w:r>
              <w:rPr>
                <w:rFonts w:ascii="Times New Roman" w:hAnsi="Times New Roman" w:hint="eastAsia"/>
                <w:color w:val="000000"/>
                <w:sz w:val="21"/>
                <w:szCs w:val="21"/>
              </w:rPr>
              <w:t>号</w:t>
            </w:r>
          </w:p>
        </w:tc>
        <w:tc>
          <w:tcPr>
            <w:tcW w:w="1134" w:type="dxa"/>
            <w:vAlign w:val="center"/>
          </w:tcPr>
          <w:p w14:paraId="486E456C" w14:textId="77777777" w:rsidR="00DC7E84" w:rsidRDefault="00DC7E84">
            <w:pPr>
              <w:topLinePunct/>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城阳区棘洪滩镇后海西村双元路</w:t>
            </w:r>
            <w:r>
              <w:rPr>
                <w:rFonts w:ascii="Times New Roman" w:hAnsi="Times New Roman" w:hint="eastAsia"/>
                <w:color w:val="000000"/>
                <w:sz w:val="21"/>
                <w:szCs w:val="21"/>
              </w:rPr>
              <w:t>2</w:t>
            </w:r>
            <w:r>
              <w:rPr>
                <w:rFonts w:ascii="Times New Roman" w:hAnsi="Times New Roman"/>
                <w:color w:val="000000"/>
                <w:sz w:val="21"/>
                <w:szCs w:val="21"/>
              </w:rPr>
              <w:t>10</w:t>
            </w:r>
            <w:r>
              <w:rPr>
                <w:rFonts w:ascii="Times New Roman" w:hAnsi="Times New Roman" w:hint="eastAsia"/>
                <w:color w:val="000000"/>
                <w:sz w:val="21"/>
                <w:szCs w:val="21"/>
              </w:rPr>
              <w:t>号</w:t>
            </w:r>
          </w:p>
        </w:tc>
        <w:tc>
          <w:tcPr>
            <w:tcW w:w="1134" w:type="dxa"/>
            <w:vAlign w:val="center"/>
          </w:tcPr>
          <w:p w14:paraId="496A2084" w14:textId="77777777" w:rsidR="00DC7E84" w:rsidRDefault="00237F59" w:rsidP="00B434D2">
            <w:pPr>
              <w:topLinePunct/>
              <w:spacing w:beforeLines="0" w:before="0" w:afterLines="0" w:after="0" w:line="240" w:lineRule="auto"/>
              <w:ind w:firstLineChars="0" w:firstLine="0"/>
              <w:jc w:val="right"/>
              <w:rPr>
                <w:rFonts w:ascii="Times New Roman" w:hAnsi="Times New Roman" w:hint="eastAsia"/>
                <w:color w:val="000000"/>
                <w:sz w:val="21"/>
                <w:szCs w:val="21"/>
              </w:rPr>
            </w:pPr>
            <w:r>
              <w:rPr>
                <w:rFonts w:ascii="Times New Roman" w:hAnsi="Times New Roman" w:hint="eastAsia"/>
                <w:color w:val="000000"/>
                <w:sz w:val="21"/>
                <w:szCs w:val="21"/>
              </w:rPr>
              <w:t>5</w:t>
            </w:r>
            <w:r>
              <w:rPr>
                <w:rFonts w:ascii="Times New Roman" w:hAnsi="Times New Roman"/>
                <w:color w:val="000000"/>
                <w:sz w:val="21"/>
                <w:szCs w:val="21"/>
              </w:rPr>
              <w:t>,979.44</w:t>
            </w:r>
          </w:p>
        </w:tc>
        <w:tc>
          <w:tcPr>
            <w:tcW w:w="1276" w:type="dxa"/>
            <w:vAlign w:val="center"/>
          </w:tcPr>
          <w:p w14:paraId="076E5175" w14:textId="77777777" w:rsidR="00DC7E84" w:rsidRDefault="00DC7E84">
            <w:pPr>
              <w:topLinePunct/>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前</w:t>
            </w:r>
            <w:r>
              <w:rPr>
                <w:rFonts w:ascii="Times New Roman" w:hAnsi="Times New Roman" w:hint="eastAsia"/>
                <w:color w:val="000000"/>
                <w:sz w:val="21"/>
                <w:szCs w:val="21"/>
              </w:rPr>
              <w:t>2</w:t>
            </w:r>
            <w:r>
              <w:rPr>
                <w:rFonts w:ascii="Times New Roman" w:hAnsi="Times New Roman" w:hint="eastAsia"/>
                <w:color w:val="000000"/>
                <w:sz w:val="21"/>
                <w:szCs w:val="21"/>
              </w:rPr>
              <w:t>年</w:t>
            </w:r>
            <w:r>
              <w:rPr>
                <w:rFonts w:ascii="Times New Roman" w:hAnsi="Times New Roman" w:hint="eastAsia"/>
                <w:color w:val="000000"/>
                <w:sz w:val="21"/>
                <w:szCs w:val="21"/>
              </w:rPr>
              <w:t>4</w:t>
            </w:r>
            <w:r>
              <w:rPr>
                <w:rFonts w:ascii="Times New Roman" w:hAnsi="Times New Roman"/>
                <w:color w:val="000000"/>
                <w:sz w:val="21"/>
                <w:szCs w:val="21"/>
              </w:rPr>
              <w:t>5</w:t>
            </w:r>
            <w:r>
              <w:rPr>
                <w:rFonts w:ascii="Times New Roman" w:hAnsi="Times New Roman" w:hint="eastAsia"/>
                <w:color w:val="000000"/>
                <w:sz w:val="21"/>
                <w:szCs w:val="21"/>
              </w:rPr>
              <w:t>万元</w:t>
            </w:r>
            <w:r>
              <w:rPr>
                <w:rFonts w:ascii="Times New Roman" w:hAnsi="Times New Roman" w:hint="eastAsia"/>
                <w:color w:val="000000"/>
                <w:sz w:val="21"/>
                <w:szCs w:val="21"/>
              </w:rPr>
              <w:t>/</w:t>
            </w:r>
            <w:r>
              <w:rPr>
                <w:rFonts w:ascii="Times New Roman" w:hAnsi="Times New Roman" w:hint="eastAsia"/>
                <w:color w:val="000000"/>
                <w:sz w:val="21"/>
                <w:szCs w:val="21"/>
              </w:rPr>
              <w:t>年，自第</w:t>
            </w:r>
            <w:r>
              <w:rPr>
                <w:rFonts w:ascii="Times New Roman" w:hAnsi="Times New Roman" w:hint="eastAsia"/>
                <w:color w:val="000000"/>
                <w:sz w:val="21"/>
                <w:szCs w:val="21"/>
              </w:rPr>
              <w:t>3</w:t>
            </w:r>
            <w:r>
              <w:rPr>
                <w:rFonts w:ascii="Times New Roman" w:hAnsi="Times New Roman" w:hint="eastAsia"/>
                <w:color w:val="000000"/>
                <w:sz w:val="21"/>
                <w:szCs w:val="21"/>
              </w:rPr>
              <w:t>年开始每年递增</w:t>
            </w:r>
            <w:r>
              <w:rPr>
                <w:rFonts w:ascii="Times New Roman" w:hAnsi="Times New Roman" w:hint="eastAsia"/>
                <w:color w:val="000000"/>
                <w:sz w:val="21"/>
                <w:szCs w:val="21"/>
              </w:rPr>
              <w:t>3</w:t>
            </w:r>
            <w:r>
              <w:rPr>
                <w:rFonts w:ascii="Times New Roman" w:hAnsi="Times New Roman"/>
                <w:color w:val="000000"/>
                <w:sz w:val="21"/>
                <w:szCs w:val="21"/>
              </w:rPr>
              <w:t>%</w:t>
            </w:r>
            <w:r>
              <w:rPr>
                <w:rFonts w:ascii="Times New Roman" w:hAnsi="Times New Roman" w:hint="eastAsia"/>
                <w:color w:val="000000"/>
                <w:sz w:val="21"/>
                <w:szCs w:val="21"/>
              </w:rPr>
              <w:t>。</w:t>
            </w:r>
          </w:p>
        </w:tc>
        <w:tc>
          <w:tcPr>
            <w:tcW w:w="1276" w:type="dxa"/>
            <w:vAlign w:val="center"/>
          </w:tcPr>
          <w:p w14:paraId="2E379F64"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014.12.18</w:t>
            </w:r>
          </w:p>
          <w:p w14:paraId="26EA8769"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w:t>
            </w:r>
          </w:p>
          <w:p w14:paraId="0E5996F2"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024.12.17</w:t>
            </w:r>
          </w:p>
        </w:tc>
        <w:tc>
          <w:tcPr>
            <w:tcW w:w="770" w:type="dxa"/>
            <w:vAlign w:val="center"/>
          </w:tcPr>
          <w:p w14:paraId="1E00868D" w14:textId="77777777" w:rsidR="00DC7E84" w:rsidRDefault="00DC7E84">
            <w:pPr>
              <w:topLinePunct/>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工业、办公</w:t>
            </w:r>
          </w:p>
        </w:tc>
      </w:tr>
      <w:tr w:rsidR="00DC7E84" w14:paraId="528AAB16" w14:textId="77777777" w:rsidTr="00B434D2">
        <w:trPr>
          <w:jc w:val="center"/>
        </w:trPr>
        <w:tc>
          <w:tcPr>
            <w:tcW w:w="817" w:type="dxa"/>
            <w:vAlign w:val="center"/>
          </w:tcPr>
          <w:p w14:paraId="69744559"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p>
        </w:tc>
        <w:tc>
          <w:tcPr>
            <w:tcW w:w="851" w:type="dxa"/>
            <w:vAlign w:val="center"/>
          </w:tcPr>
          <w:p w14:paraId="2C9564FD"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莱州</w:t>
            </w:r>
          </w:p>
          <w:p w14:paraId="7A5008D6"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伟隆</w:t>
            </w:r>
          </w:p>
        </w:tc>
        <w:tc>
          <w:tcPr>
            <w:tcW w:w="992" w:type="dxa"/>
            <w:vAlign w:val="center"/>
          </w:tcPr>
          <w:p w14:paraId="6B6FEC28"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烟台艾鑫塑料粉末有限公司</w:t>
            </w:r>
          </w:p>
        </w:tc>
        <w:tc>
          <w:tcPr>
            <w:tcW w:w="992" w:type="dxa"/>
            <w:vMerge w:val="restart"/>
            <w:vAlign w:val="center"/>
          </w:tcPr>
          <w:p w14:paraId="3FC3A275"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莱房权证沙河镇字第</w:t>
            </w:r>
            <w:r>
              <w:rPr>
                <w:rFonts w:ascii="Times New Roman" w:hAnsi="Times New Roman" w:hint="eastAsia"/>
                <w:color w:val="000000"/>
                <w:sz w:val="21"/>
                <w:szCs w:val="21"/>
              </w:rPr>
              <w:t>0</w:t>
            </w:r>
            <w:r>
              <w:rPr>
                <w:rFonts w:ascii="Times New Roman" w:hAnsi="Times New Roman"/>
                <w:color w:val="000000"/>
                <w:sz w:val="21"/>
                <w:szCs w:val="21"/>
              </w:rPr>
              <w:t>68624</w:t>
            </w:r>
            <w:r>
              <w:rPr>
                <w:rFonts w:ascii="Times New Roman" w:hAnsi="Times New Roman" w:hint="eastAsia"/>
                <w:color w:val="000000"/>
                <w:sz w:val="21"/>
                <w:szCs w:val="21"/>
              </w:rPr>
              <w:t>号</w:t>
            </w:r>
          </w:p>
        </w:tc>
        <w:tc>
          <w:tcPr>
            <w:tcW w:w="1134" w:type="dxa"/>
            <w:vAlign w:val="center"/>
          </w:tcPr>
          <w:p w14:paraId="4F3C39F2"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海郑村东</w:t>
            </w:r>
          </w:p>
        </w:tc>
        <w:tc>
          <w:tcPr>
            <w:tcW w:w="1134" w:type="dxa"/>
            <w:vAlign w:val="center"/>
          </w:tcPr>
          <w:p w14:paraId="5487D1C7" w14:textId="77777777" w:rsidR="00DC7E84" w:rsidRDefault="006F108D" w:rsidP="00B434D2">
            <w:pPr>
              <w:topLinePunct/>
              <w:spacing w:beforeLines="0" w:before="0" w:afterLines="0" w:after="0" w:line="240" w:lineRule="auto"/>
              <w:ind w:firstLineChars="0" w:firstLine="0"/>
              <w:jc w:val="right"/>
              <w:rPr>
                <w:rFonts w:ascii="Times New Roman" w:hAnsi="Times New Roman" w:hint="eastAsia"/>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73.34</w:t>
            </w:r>
          </w:p>
        </w:tc>
        <w:tc>
          <w:tcPr>
            <w:tcW w:w="1276" w:type="dxa"/>
            <w:vAlign w:val="center"/>
          </w:tcPr>
          <w:p w14:paraId="7987A977"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0,251.83</w:t>
            </w:r>
            <w:r>
              <w:rPr>
                <w:rFonts w:ascii="Times New Roman" w:hAnsi="Times New Roman" w:hint="eastAsia"/>
                <w:color w:val="000000"/>
                <w:sz w:val="21"/>
                <w:szCs w:val="21"/>
              </w:rPr>
              <w:t>元</w:t>
            </w:r>
            <w:r>
              <w:rPr>
                <w:rFonts w:ascii="Times New Roman" w:hAnsi="Times New Roman" w:hint="eastAsia"/>
                <w:color w:val="000000"/>
                <w:sz w:val="21"/>
                <w:szCs w:val="21"/>
              </w:rPr>
              <w:t>/</w:t>
            </w:r>
            <w:r>
              <w:rPr>
                <w:rFonts w:ascii="Times New Roman" w:hAnsi="Times New Roman" w:hint="eastAsia"/>
                <w:color w:val="000000"/>
                <w:sz w:val="21"/>
                <w:szCs w:val="21"/>
              </w:rPr>
              <w:t>年</w:t>
            </w:r>
          </w:p>
        </w:tc>
        <w:tc>
          <w:tcPr>
            <w:tcW w:w="1276" w:type="dxa"/>
            <w:vAlign w:val="center"/>
          </w:tcPr>
          <w:p w14:paraId="647D22D4"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023.01.01</w:t>
            </w:r>
          </w:p>
          <w:p w14:paraId="2FAE0EBC"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w:t>
            </w:r>
          </w:p>
          <w:p w14:paraId="43781578"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023.12.31</w:t>
            </w:r>
          </w:p>
        </w:tc>
        <w:tc>
          <w:tcPr>
            <w:tcW w:w="770" w:type="dxa"/>
            <w:vAlign w:val="center"/>
          </w:tcPr>
          <w:p w14:paraId="70DC67E5"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工业生产</w:t>
            </w:r>
          </w:p>
        </w:tc>
      </w:tr>
      <w:tr w:rsidR="00DC7E84" w14:paraId="3441924F" w14:textId="77777777" w:rsidTr="00B434D2">
        <w:trPr>
          <w:jc w:val="center"/>
        </w:trPr>
        <w:tc>
          <w:tcPr>
            <w:tcW w:w="817" w:type="dxa"/>
            <w:vAlign w:val="center"/>
          </w:tcPr>
          <w:p w14:paraId="2CD23E3D"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3</w:t>
            </w:r>
          </w:p>
        </w:tc>
        <w:tc>
          <w:tcPr>
            <w:tcW w:w="851" w:type="dxa"/>
            <w:vAlign w:val="center"/>
          </w:tcPr>
          <w:p w14:paraId="18AA7C6F"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莱州</w:t>
            </w:r>
          </w:p>
          <w:p w14:paraId="5F7472BB"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伟隆</w:t>
            </w:r>
          </w:p>
        </w:tc>
        <w:tc>
          <w:tcPr>
            <w:tcW w:w="992" w:type="dxa"/>
            <w:vAlign w:val="center"/>
          </w:tcPr>
          <w:p w14:paraId="116269EC"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莱州市沙河镇海磊德机械厂</w:t>
            </w:r>
          </w:p>
        </w:tc>
        <w:tc>
          <w:tcPr>
            <w:tcW w:w="992" w:type="dxa"/>
            <w:vMerge/>
            <w:vAlign w:val="center"/>
          </w:tcPr>
          <w:p w14:paraId="07862B20"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p>
        </w:tc>
        <w:tc>
          <w:tcPr>
            <w:tcW w:w="1134" w:type="dxa"/>
            <w:vAlign w:val="center"/>
          </w:tcPr>
          <w:p w14:paraId="41311A6E"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海郑村东</w:t>
            </w:r>
          </w:p>
        </w:tc>
        <w:tc>
          <w:tcPr>
            <w:tcW w:w="1134" w:type="dxa"/>
            <w:vAlign w:val="center"/>
          </w:tcPr>
          <w:p w14:paraId="13CFC375" w14:textId="77777777" w:rsidR="00DC7E84" w:rsidRDefault="006F108D" w:rsidP="00B434D2">
            <w:pPr>
              <w:topLinePunct/>
              <w:spacing w:beforeLines="0" w:before="0" w:afterLines="0" w:after="0" w:line="240" w:lineRule="auto"/>
              <w:ind w:firstLineChars="0" w:firstLine="0"/>
              <w:jc w:val="right"/>
              <w:rPr>
                <w:rFonts w:ascii="Times New Roman" w:hAnsi="Times New Roman" w:hint="eastAsia"/>
                <w:color w:val="000000"/>
                <w:sz w:val="21"/>
                <w:szCs w:val="21"/>
              </w:rPr>
            </w:pPr>
            <w:r>
              <w:rPr>
                <w:rFonts w:ascii="Times New Roman" w:hAnsi="Times New Roman" w:hint="eastAsia"/>
                <w:color w:val="000000"/>
                <w:sz w:val="21"/>
                <w:szCs w:val="21"/>
              </w:rPr>
              <w:t>5</w:t>
            </w:r>
            <w:r>
              <w:rPr>
                <w:rFonts w:ascii="Times New Roman" w:hAnsi="Times New Roman"/>
                <w:color w:val="000000"/>
                <w:sz w:val="21"/>
                <w:szCs w:val="21"/>
              </w:rPr>
              <w:t>18.44</w:t>
            </w:r>
          </w:p>
        </w:tc>
        <w:tc>
          <w:tcPr>
            <w:tcW w:w="1276" w:type="dxa"/>
            <w:vAlign w:val="center"/>
          </w:tcPr>
          <w:p w14:paraId="248A1CA6"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0,662</w:t>
            </w:r>
            <w:r>
              <w:rPr>
                <w:rFonts w:ascii="Times New Roman" w:hAnsi="Times New Roman" w:hint="eastAsia"/>
                <w:color w:val="000000"/>
                <w:sz w:val="21"/>
                <w:szCs w:val="21"/>
              </w:rPr>
              <w:t>元</w:t>
            </w:r>
            <w:r>
              <w:rPr>
                <w:rFonts w:ascii="Times New Roman" w:hAnsi="Times New Roman" w:hint="eastAsia"/>
                <w:color w:val="000000"/>
                <w:sz w:val="21"/>
                <w:szCs w:val="21"/>
              </w:rPr>
              <w:t>/</w:t>
            </w:r>
            <w:r>
              <w:rPr>
                <w:rFonts w:ascii="Times New Roman" w:hAnsi="Times New Roman" w:hint="eastAsia"/>
                <w:color w:val="000000"/>
                <w:sz w:val="21"/>
                <w:szCs w:val="21"/>
              </w:rPr>
              <w:t>年</w:t>
            </w:r>
          </w:p>
        </w:tc>
        <w:tc>
          <w:tcPr>
            <w:tcW w:w="1276" w:type="dxa"/>
            <w:vAlign w:val="center"/>
          </w:tcPr>
          <w:p w14:paraId="6179C82C"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023.01.01</w:t>
            </w:r>
          </w:p>
          <w:p w14:paraId="18011ED9"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w:t>
            </w:r>
          </w:p>
          <w:p w14:paraId="7E091CA8"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023.12.31</w:t>
            </w:r>
          </w:p>
        </w:tc>
        <w:tc>
          <w:tcPr>
            <w:tcW w:w="770" w:type="dxa"/>
            <w:vAlign w:val="center"/>
          </w:tcPr>
          <w:p w14:paraId="3E9D5137"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工业生产</w:t>
            </w:r>
          </w:p>
        </w:tc>
      </w:tr>
      <w:tr w:rsidR="00DC7E84" w14:paraId="7A706A7C" w14:textId="77777777" w:rsidTr="00B434D2">
        <w:trPr>
          <w:jc w:val="center"/>
        </w:trPr>
        <w:tc>
          <w:tcPr>
            <w:tcW w:w="817" w:type="dxa"/>
            <w:vAlign w:val="center"/>
          </w:tcPr>
          <w:p w14:paraId="5296A6AE"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4</w:t>
            </w:r>
          </w:p>
        </w:tc>
        <w:tc>
          <w:tcPr>
            <w:tcW w:w="851" w:type="dxa"/>
            <w:vAlign w:val="center"/>
          </w:tcPr>
          <w:p w14:paraId="78855413"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莱州</w:t>
            </w:r>
          </w:p>
          <w:p w14:paraId="2DF74833"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伟隆</w:t>
            </w:r>
          </w:p>
        </w:tc>
        <w:tc>
          <w:tcPr>
            <w:tcW w:w="992" w:type="dxa"/>
            <w:vAlign w:val="center"/>
          </w:tcPr>
          <w:p w14:paraId="0299AA91"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莱州市森发包装箱有限公司</w:t>
            </w:r>
          </w:p>
        </w:tc>
        <w:tc>
          <w:tcPr>
            <w:tcW w:w="992" w:type="dxa"/>
            <w:vMerge/>
            <w:vAlign w:val="center"/>
          </w:tcPr>
          <w:p w14:paraId="5C312E94"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p>
        </w:tc>
        <w:tc>
          <w:tcPr>
            <w:tcW w:w="1134" w:type="dxa"/>
            <w:vAlign w:val="center"/>
          </w:tcPr>
          <w:p w14:paraId="65D4BC8E"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海郑村东</w:t>
            </w:r>
          </w:p>
        </w:tc>
        <w:tc>
          <w:tcPr>
            <w:tcW w:w="1134" w:type="dxa"/>
            <w:vAlign w:val="center"/>
          </w:tcPr>
          <w:p w14:paraId="2D528DCC" w14:textId="77777777" w:rsidR="00DC7E84" w:rsidRDefault="006F108D" w:rsidP="00B434D2">
            <w:pPr>
              <w:topLinePunct/>
              <w:spacing w:beforeLines="0" w:before="0" w:afterLines="0" w:after="0" w:line="240" w:lineRule="auto"/>
              <w:ind w:firstLineChars="0" w:firstLine="0"/>
              <w:jc w:val="right"/>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59.56</w:t>
            </w:r>
          </w:p>
        </w:tc>
        <w:tc>
          <w:tcPr>
            <w:tcW w:w="1276" w:type="dxa"/>
            <w:vAlign w:val="center"/>
          </w:tcPr>
          <w:p w14:paraId="53168866"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5,351</w:t>
            </w:r>
            <w:r>
              <w:rPr>
                <w:rFonts w:ascii="Times New Roman" w:hAnsi="Times New Roman" w:hint="eastAsia"/>
                <w:color w:val="000000"/>
                <w:sz w:val="21"/>
                <w:szCs w:val="21"/>
              </w:rPr>
              <w:t>元</w:t>
            </w:r>
            <w:r>
              <w:rPr>
                <w:rFonts w:ascii="Times New Roman" w:hAnsi="Times New Roman" w:hint="eastAsia"/>
                <w:color w:val="000000"/>
                <w:sz w:val="21"/>
                <w:szCs w:val="21"/>
              </w:rPr>
              <w:t>/</w:t>
            </w:r>
            <w:r>
              <w:rPr>
                <w:rFonts w:ascii="Times New Roman" w:hAnsi="Times New Roman" w:hint="eastAsia"/>
                <w:color w:val="000000"/>
                <w:sz w:val="21"/>
                <w:szCs w:val="21"/>
              </w:rPr>
              <w:t>年</w:t>
            </w:r>
          </w:p>
        </w:tc>
        <w:tc>
          <w:tcPr>
            <w:tcW w:w="1276" w:type="dxa"/>
            <w:vAlign w:val="center"/>
          </w:tcPr>
          <w:p w14:paraId="227BA139"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023.01.01</w:t>
            </w:r>
          </w:p>
          <w:p w14:paraId="7BE4DE52"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w:t>
            </w:r>
          </w:p>
          <w:p w14:paraId="1631EF18"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023.12.31</w:t>
            </w:r>
          </w:p>
        </w:tc>
        <w:tc>
          <w:tcPr>
            <w:tcW w:w="770" w:type="dxa"/>
            <w:vAlign w:val="center"/>
          </w:tcPr>
          <w:p w14:paraId="14AE3693"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工业生产</w:t>
            </w:r>
          </w:p>
        </w:tc>
      </w:tr>
      <w:tr w:rsidR="00DC7E84" w14:paraId="036D2C00" w14:textId="77777777" w:rsidTr="00B434D2">
        <w:trPr>
          <w:jc w:val="center"/>
        </w:trPr>
        <w:tc>
          <w:tcPr>
            <w:tcW w:w="817" w:type="dxa"/>
            <w:vAlign w:val="center"/>
          </w:tcPr>
          <w:p w14:paraId="45B20305"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5</w:t>
            </w:r>
          </w:p>
        </w:tc>
        <w:tc>
          <w:tcPr>
            <w:tcW w:w="851" w:type="dxa"/>
            <w:vAlign w:val="center"/>
          </w:tcPr>
          <w:p w14:paraId="592AA6EA"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莱州</w:t>
            </w:r>
          </w:p>
          <w:p w14:paraId="54523F84"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伟隆</w:t>
            </w:r>
          </w:p>
        </w:tc>
        <w:tc>
          <w:tcPr>
            <w:tcW w:w="992" w:type="dxa"/>
            <w:vAlign w:val="center"/>
          </w:tcPr>
          <w:p w14:paraId="725B82FE"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莱州市沙河镇淑芝五金加工厂</w:t>
            </w:r>
          </w:p>
        </w:tc>
        <w:tc>
          <w:tcPr>
            <w:tcW w:w="992" w:type="dxa"/>
            <w:vMerge/>
            <w:vAlign w:val="center"/>
          </w:tcPr>
          <w:p w14:paraId="3BBD3486"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p>
        </w:tc>
        <w:tc>
          <w:tcPr>
            <w:tcW w:w="1134" w:type="dxa"/>
            <w:vAlign w:val="center"/>
          </w:tcPr>
          <w:p w14:paraId="6494C208"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海郑村东</w:t>
            </w:r>
          </w:p>
        </w:tc>
        <w:tc>
          <w:tcPr>
            <w:tcW w:w="1134" w:type="dxa"/>
            <w:vAlign w:val="center"/>
          </w:tcPr>
          <w:p w14:paraId="39E4A671" w14:textId="77777777" w:rsidR="00DC7E84" w:rsidRDefault="006F108D" w:rsidP="00B434D2">
            <w:pPr>
              <w:topLinePunct/>
              <w:spacing w:beforeLines="0" w:before="0" w:afterLines="0" w:after="0" w:line="240" w:lineRule="auto"/>
              <w:ind w:firstLineChars="0" w:firstLine="0"/>
              <w:jc w:val="right"/>
              <w:rPr>
                <w:rFonts w:ascii="Times New Roman" w:hAnsi="Times New Roman" w:hint="eastAsia"/>
                <w:color w:val="000000"/>
                <w:sz w:val="21"/>
                <w:szCs w:val="21"/>
              </w:rPr>
            </w:pPr>
            <w:r>
              <w:rPr>
                <w:rFonts w:ascii="Times New Roman" w:hAnsi="Times New Roman" w:hint="eastAsia"/>
                <w:color w:val="000000"/>
                <w:sz w:val="21"/>
                <w:szCs w:val="21"/>
              </w:rPr>
              <w:t>7</w:t>
            </w:r>
            <w:r>
              <w:rPr>
                <w:rFonts w:ascii="Times New Roman" w:hAnsi="Times New Roman"/>
                <w:color w:val="000000"/>
                <w:sz w:val="21"/>
                <w:szCs w:val="21"/>
              </w:rPr>
              <w:t>0.95</w:t>
            </w:r>
          </w:p>
        </w:tc>
        <w:tc>
          <w:tcPr>
            <w:tcW w:w="1276" w:type="dxa"/>
            <w:vAlign w:val="center"/>
          </w:tcPr>
          <w:p w14:paraId="13D2085B"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4</w:t>
            </w:r>
            <w:r>
              <w:rPr>
                <w:rFonts w:ascii="Times New Roman" w:hAnsi="Times New Roman"/>
                <w:color w:val="000000"/>
                <w:sz w:val="21"/>
                <w:szCs w:val="21"/>
              </w:rPr>
              <w:t>,196</w:t>
            </w:r>
            <w:r>
              <w:rPr>
                <w:rFonts w:ascii="Times New Roman" w:hAnsi="Times New Roman" w:hint="eastAsia"/>
                <w:color w:val="000000"/>
                <w:sz w:val="21"/>
                <w:szCs w:val="21"/>
              </w:rPr>
              <w:t>元</w:t>
            </w:r>
            <w:r>
              <w:rPr>
                <w:rFonts w:ascii="Times New Roman" w:hAnsi="Times New Roman" w:hint="eastAsia"/>
                <w:color w:val="000000"/>
                <w:sz w:val="21"/>
                <w:szCs w:val="21"/>
              </w:rPr>
              <w:t>/</w:t>
            </w:r>
            <w:r>
              <w:rPr>
                <w:rFonts w:ascii="Times New Roman" w:hAnsi="Times New Roman" w:hint="eastAsia"/>
                <w:color w:val="000000"/>
                <w:sz w:val="21"/>
                <w:szCs w:val="21"/>
              </w:rPr>
              <w:t>年</w:t>
            </w:r>
          </w:p>
        </w:tc>
        <w:tc>
          <w:tcPr>
            <w:tcW w:w="1276" w:type="dxa"/>
            <w:vAlign w:val="center"/>
          </w:tcPr>
          <w:p w14:paraId="7B975396"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023.01.01</w:t>
            </w:r>
          </w:p>
          <w:p w14:paraId="776E9B19"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w:t>
            </w:r>
          </w:p>
          <w:p w14:paraId="694106CA"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023.12.31</w:t>
            </w:r>
          </w:p>
        </w:tc>
        <w:tc>
          <w:tcPr>
            <w:tcW w:w="770" w:type="dxa"/>
            <w:vAlign w:val="center"/>
          </w:tcPr>
          <w:p w14:paraId="7EAE6532"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工业生产</w:t>
            </w:r>
          </w:p>
        </w:tc>
      </w:tr>
      <w:tr w:rsidR="00DC7E84" w14:paraId="149B4128" w14:textId="77777777" w:rsidTr="00B434D2">
        <w:trPr>
          <w:jc w:val="center"/>
        </w:trPr>
        <w:tc>
          <w:tcPr>
            <w:tcW w:w="817" w:type="dxa"/>
            <w:vAlign w:val="center"/>
          </w:tcPr>
          <w:p w14:paraId="0E3DA0CB"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6</w:t>
            </w:r>
          </w:p>
        </w:tc>
        <w:tc>
          <w:tcPr>
            <w:tcW w:w="851" w:type="dxa"/>
            <w:vAlign w:val="center"/>
          </w:tcPr>
          <w:p w14:paraId="6D4E4656"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莱州</w:t>
            </w:r>
          </w:p>
          <w:p w14:paraId="6EED5317"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伟隆</w:t>
            </w:r>
          </w:p>
        </w:tc>
        <w:tc>
          <w:tcPr>
            <w:tcW w:w="992" w:type="dxa"/>
            <w:vAlign w:val="center"/>
          </w:tcPr>
          <w:p w14:paraId="21999151"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莱州市银泽工程机械有限公司</w:t>
            </w:r>
          </w:p>
        </w:tc>
        <w:tc>
          <w:tcPr>
            <w:tcW w:w="992" w:type="dxa"/>
            <w:vMerge/>
            <w:vAlign w:val="center"/>
          </w:tcPr>
          <w:p w14:paraId="1B68A2ED"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p>
        </w:tc>
        <w:tc>
          <w:tcPr>
            <w:tcW w:w="1134" w:type="dxa"/>
            <w:vAlign w:val="center"/>
          </w:tcPr>
          <w:p w14:paraId="183F110D"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海郑村东</w:t>
            </w:r>
          </w:p>
        </w:tc>
        <w:tc>
          <w:tcPr>
            <w:tcW w:w="1134" w:type="dxa"/>
            <w:vAlign w:val="center"/>
          </w:tcPr>
          <w:p w14:paraId="467DE6FB" w14:textId="77777777" w:rsidR="00DC7E84" w:rsidRDefault="001125E8" w:rsidP="00B434D2">
            <w:pPr>
              <w:topLinePunct/>
              <w:spacing w:beforeLines="0" w:before="0" w:afterLines="0" w:after="0" w:line="240" w:lineRule="auto"/>
              <w:ind w:firstLineChars="0" w:firstLine="0"/>
              <w:jc w:val="right"/>
              <w:rPr>
                <w:rFonts w:ascii="Times New Roman" w:hAnsi="Times New Roman" w:hint="eastAsia"/>
                <w:color w:val="000000"/>
                <w:sz w:val="21"/>
                <w:szCs w:val="21"/>
              </w:rPr>
            </w:pPr>
            <w:r>
              <w:rPr>
                <w:rFonts w:ascii="Times New Roman" w:hAnsi="Times New Roman" w:hint="eastAsia"/>
                <w:color w:val="000000"/>
                <w:sz w:val="21"/>
                <w:szCs w:val="21"/>
              </w:rPr>
              <w:t>5</w:t>
            </w:r>
            <w:r>
              <w:rPr>
                <w:rFonts w:ascii="Times New Roman" w:hAnsi="Times New Roman"/>
                <w:color w:val="000000"/>
                <w:sz w:val="21"/>
                <w:szCs w:val="21"/>
              </w:rPr>
              <w:t>48.73</w:t>
            </w:r>
          </w:p>
        </w:tc>
        <w:tc>
          <w:tcPr>
            <w:tcW w:w="1276" w:type="dxa"/>
            <w:vAlign w:val="center"/>
          </w:tcPr>
          <w:p w14:paraId="6712FB0E"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713.6</w:t>
            </w:r>
            <w:r>
              <w:rPr>
                <w:rFonts w:ascii="Times New Roman" w:hAnsi="Times New Roman" w:hint="eastAsia"/>
                <w:color w:val="000000"/>
                <w:sz w:val="21"/>
                <w:szCs w:val="21"/>
              </w:rPr>
              <w:t>元</w:t>
            </w:r>
            <w:r>
              <w:rPr>
                <w:rFonts w:ascii="Times New Roman" w:hAnsi="Times New Roman" w:hint="eastAsia"/>
                <w:color w:val="000000"/>
                <w:sz w:val="21"/>
                <w:szCs w:val="21"/>
              </w:rPr>
              <w:t>/</w:t>
            </w:r>
            <w:r>
              <w:rPr>
                <w:rFonts w:ascii="Times New Roman" w:hAnsi="Times New Roman" w:hint="eastAsia"/>
                <w:color w:val="000000"/>
                <w:sz w:val="21"/>
                <w:szCs w:val="21"/>
              </w:rPr>
              <w:t>月</w:t>
            </w:r>
          </w:p>
        </w:tc>
        <w:tc>
          <w:tcPr>
            <w:tcW w:w="1276" w:type="dxa"/>
            <w:vAlign w:val="center"/>
          </w:tcPr>
          <w:p w14:paraId="5E363A0D"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023.03.01</w:t>
            </w:r>
          </w:p>
          <w:p w14:paraId="615DE920" w14:textId="77777777" w:rsidR="00DC7E84" w:rsidRDefault="00DC7E84">
            <w:pPr>
              <w:topLinePunct/>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w:t>
            </w:r>
          </w:p>
          <w:p w14:paraId="6AC559BF"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023.12.31</w:t>
            </w:r>
          </w:p>
        </w:tc>
        <w:tc>
          <w:tcPr>
            <w:tcW w:w="770" w:type="dxa"/>
            <w:vAlign w:val="center"/>
          </w:tcPr>
          <w:p w14:paraId="3010EE85" w14:textId="77777777" w:rsidR="00DC7E84" w:rsidRDefault="00DC7E84">
            <w:pPr>
              <w:topLinePunct/>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仓储</w:t>
            </w:r>
          </w:p>
        </w:tc>
      </w:tr>
    </w:tbl>
    <w:p w14:paraId="231F5108" w14:textId="77777777" w:rsidR="008D76D6" w:rsidRDefault="008D76D6">
      <w:pPr>
        <w:topLinePunct/>
        <w:spacing w:before="120" w:after="120"/>
        <w:ind w:firstLine="480"/>
        <w:rPr>
          <w:rFonts w:ascii="Times New Roman" w:hAnsi="Times New Roman" w:hint="eastAsia"/>
          <w:color w:val="000000"/>
          <w:szCs w:val="32"/>
        </w:rPr>
      </w:pPr>
      <w:r>
        <w:rPr>
          <w:rFonts w:ascii="Times New Roman" w:hAnsi="Times New Roman" w:hint="eastAsia"/>
          <w:color w:val="000000"/>
          <w:szCs w:val="32"/>
        </w:rPr>
        <w:t>截至本补充法律意见书出具之日，发行人存在将部分闲置厂房出租给</w:t>
      </w:r>
      <w:r>
        <w:t>第三方用于</w:t>
      </w:r>
      <w:r>
        <w:rPr>
          <w:rFonts w:hint="eastAsia"/>
        </w:rPr>
        <w:t>生产</w:t>
      </w:r>
      <w:r>
        <w:t>经营</w:t>
      </w:r>
      <w:r>
        <w:rPr>
          <w:rFonts w:hint="eastAsia"/>
        </w:rPr>
        <w:t>及</w:t>
      </w:r>
      <w:r>
        <w:t>办公的情形，</w:t>
      </w:r>
      <w:r>
        <w:rPr>
          <w:rFonts w:hint="eastAsia"/>
        </w:rPr>
        <w:t>发行人用于出租的厂房均为工业厂房，不属于商品房且相关租赁收入金额较小，占发行人收入比例较低。</w:t>
      </w:r>
    </w:p>
    <w:p w14:paraId="03746DE9" w14:textId="77777777" w:rsidR="008D76D6" w:rsidRDefault="008D76D6">
      <w:pPr>
        <w:topLinePunct/>
        <w:spacing w:before="120" w:after="120"/>
        <w:ind w:firstLine="480"/>
        <w:rPr>
          <w:rFonts w:ascii="Times New Roman" w:hAnsi="Times New Roman"/>
          <w:color w:val="000000"/>
          <w:szCs w:val="32"/>
        </w:rPr>
      </w:pPr>
      <w:r>
        <w:rPr>
          <w:rFonts w:ascii="Times New Roman" w:hAnsi="Times New Roman"/>
          <w:color w:val="000000"/>
          <w:szCs w:val="32"/>
        </w:rPr>
        <w:t>3</w:t>
      </w:r>
      <w:r>
        <w:rPr>
          <w:rFonts w:ascii="Times New Roman" w:hAnsi="Times New Roman" w:hint="eastAsia"/>
          <w:color w:val="000000"/>
          <w:szCs w:val="32"/>
        </w:rPr>
        <w:t>、发行人及其子公司不具有房地产开发资质，亦未开展商业房地产经营业务</w:t>
      </w:r>
    </w:p>
    <w:p w14:paraId="24A93A7E" w14:textId="77777777" w:rsidR="008D76D6" w:rsidRDefault="008D76D6">
      <w:pPr>
        <w:topLinePunct/>
        <w:spacing w:before="120" w:after="120"/>
        <w:ind w:firstLine="480"/>
        <w:rPr>
          <w:rFonts w:ascii="Times New Roman" w:hAnsi="Times New Roman"/>
          <w:color w:val="000000"/>
          <w:szCs w:val="32"/>
        </w:rPr>
      </w:pPr>
      <w:r>
        <w:rPr>
          <w:rFonts w:ascii="Times New Roman" w:hAnsi="Times New Roman" w:hint="eastAsia"/>
          <w:color w:val="000000"/>
          <w:szCs w:val="32"/>
        </w:rPr>
        <w:t>根据《房地产开发企业资质管理规定》第三条之规定，房地产开发企业应当按照前述规定申请核定企业资质等级。未取得房地产开发资质等级证书的企业，不得从事房地产开发经营业务。</w:t>
      </w:r>
    </w:p>
    <w:p w14:paraId="0B35CC1E" w14:textId="77777777" w:rsidR="008D76D6" w:rsidRDefault="008D76D6">
      <w:pPr>
        <w:topLinePunct/>
        <w:spacing w:before="120" w:after="120"/>
        <w:ind w:firstLine="480"/>
        <w:rPr>
          <w:rFonts w:ascii="宋体" w:hAnsi="宋体" w:cs="宋体"/>
        </w:rPr>
      </w:pPr>
      <w:r>
        <w:rPr>
          <w:rFonts w:ascii="Times New Roman" w:hAnsi="Times New Roman" w:hint="eastAsia"/>
          <w:color w:val="000000"/>
          <w:szCs w:val="32"/>
        </w:rPr>
        <w:t>经核查，发行人主营业务为</w:t>
      </w:r>
      <w:r>
        <w:rPr>
          <w:rFonts w:ascii="宋体" w:hAnsi="宋体" w:cs="宋体" w:hint="eastAsia"/>
        </w:rPr>
        <w:t>工业阀门产品的设计、研发、生产和销售，截至本补充法律意见书出具之日，发行人及子公司均不具有房地产开发资质，亦未开展商业房地产经营业务。</w:t>
      </w:r>
    </w:p>
    <w:p w14:paraId="29E4544C" w14:textId="77777777" w:rsidR="008D76D6" w:rsidRDefault="008D76D6">
      <w:pPr>
        <w:topLinePunct/>
        <w:spacing w:before="120" w:after="120"/>
        <w:ind w:firstLine="480"/>
        <w:rPr>
          <w:rFonts w:ascii="宋体" w:hAnsi="宋体" w:cs="宋体" w:hint="eastAsia"/>
        </w:rPr>
      </w:pPr>
      <w:r>
        <w:rPr>
          <w:rFonts w:ascii="宋体" w:hAnsi="宋体" w:cs="宋体" w:hint="eastAsia"/>
        </w:rPr>
        <w:t>综上所述，本所律师认为，发行人未开展商业房地产经营业务。</w:t>
      </w:r>
    </w:p>
    <w:p w14:paraId="3782A055" w14:textId="77777777" w:rsidR="008D76D6" w:rsidRPr="00B434D2" w:rsidRDefault="008D76D6" w:rsidP="00B434D2">
      <w:pPr>
        <w:pStyle w:val="004"/>
        <w:spacing w:before="120" w:after="120"/>
        <w:ind w:firstLine="482"/>
      </w:pPr>
      <w:r>
        <w:t>（二）</w:t>
      </w:r>
      <w:r w:rsidRPr="00B434D2">
        <w:t>说明为确保本次募集资金不变相投入相关业务的措施及有效性</w:t>
      </w:r>
    </w:p>
    <w:p w14:paraId="294DA39D" w14:textId="77777777" w:rsidR="008D76D6" w:rsidRDefault="008D76D6">
      <w:pPr>
        <w:widowControl/>
        <w:spacing w:before="120" w:after="120"/>
        <w:ind w:firstLine="480"/>
        <w:jc w:val="left"/>
        <w:rPr>
          <w:rFonts w:ascii="Times New Roman" w:hAnsi="Times New Roman"/>
          <w:kern w:val="0"/>
          <w:szCs w:val="24"/>
        </w:rPr>
      </w:pPr>
      <w:r>
        <w:rPr>
          <w:rFonts w:ascii="Times New Roman" w:hAnsi="Times New Roman" w:hint="eastAsia"/>
          <w:kern w:val="0"/>
          <w:szCs w:val="24"/>
        </w:rPr>
        <w:t>经核查，发行人为确保本次募集资金不变相投入相关商业房地产业务，已建立如下措施：</w:t>
      </w:r>
    </w:p>
    <w:p w14:paraId="228A837F" w14:textId="77777777" w:rsidR="008D76D6" w:rsidRDefault="008D76D6">
      <w:pPr>
        <w:widowControl/>
        <w:spacing w:before="120" w:after="120"/>
        <w:ind w:firstLine="480"/>
        <w:rPr>
          <w:rFonts w:ascii="Times New Roman" w:hAnsi="Times New Roman" w:hint="eastAsia"/>
          <w:kern w:val="0"/>
          <w:szCs w:val="24"/>
        </w:rPr>
      </w:pPr>
      <w:r>
        <w:rPr>
          <w:rFonts w:ascii="Times New Roman" w:hAnsi="Times New Roman" w:hint="eastAsia"/>
          <w:kern w:val="0"/>
          <w:szCs w:val="24"/>
        </w:rPr>
        <w:t>1</w:t>
      </w:r>
      <w:r>
        <w:rPr>
          <w:rFonts w:ascii="Times New Roman" w:hAnsi="Times New Roman" w:hint="eastAsia"/>
          <w:kern w:val="0"/>
          <w:szCs w:val="24"/>
        </w:rPr>
        <w:t>、发行人本次募投项目不涉及商业房地产</w:t>
      </w:r>
    </w:p>
    <w:p w14:paraId="36E36139" w14:textId="77777777" w:rsidR="008D76D6" w:rsidRDefault="008D76D6">
      <w:pPr>
        <w:widowControl/>
        <w:spacing w:before="120" w:after="120"/>
        <w:ind w:firstLine="480"/>
        <w:rPr>
          <w:rFonts w:ascii="Times New Roman" w:hAnsi="Times New Roman"/>
          <w:kern w:val="0"/>
          <w:szCs w:val="24"/>
        </w:rPr>
      </w:pPr>
      <w:r>
        <w:rPr>
          <w:rFonts w:ascii="Times New Roman" w:hAnsi="Times New Roman" w:hint="eastAsia"/>
          <w:kern w:val="0"/>
          <w:szCs w:val="24"/>
        </w:rPr>
        <w:t>发行人</w:t>
      </w:r>
      <w:r>
        <w:rPr>
          <w:rFonts w:ascii="Times New Roman" w:hAnsi="Times New Roman"/>
          <w:kern w:val="0"/>
          <w:szCs w:val="24"/>
        </w:rPr>
        <w:t>本次发行拟募集资金总额</w:t>
      </w:r>
      <w:r>
        <w:rPr>
          <w:rFonts w:ascii="Times New Roman" w:hAnsi="Times New Roman" w:hint="eastAsia"/>
          <w:kern w:val="0"/>
          <w:szCs w:val="24"/>
        </w:rPr>
        <w:t>不超过</w:t>
      </w:r>
      <w:r w:rsidR="00907B3F" w:rsidRPr="00B434D2">
        <w:rPr>
          <w:rFonts w:ascii="Times New Roman" w:hAnsi="Times New Roman"/>
        </w:rPr>
        <w:t>32,183.00</w:t>
      </w:r>
      <w:r w:rsidR="00907B3F" w:rsidRPr="00B434D2">
        <w:rPr>
          <w:rFonts w:ascii="Times New Roman" w:hAnsi="Times New Roman"/>
        </w:rPr>
        <w:t>万元（含</w:t>
      </w:r>
      <w:r w:rsidR="00907B3F" w:rsidRPr="00B434D2">
        <w:rPr>
          <w:rFonts w:ascii="Times New Roman" w:hAnsi="Times New Roman"/>
        </w:rPr>
        <w:t>32,183.00</w:t>
      </w:r>
      <w:r w:rsidR="00907B3F" w:rsidRPr="00B434D2">
        <w:rPr>
          <w:rFonts w:ascii="Times New Roman" w:hAnsi="Times New Roman"/>
        </w:rPr>
        <w:t>万元）</w:t>
      </w:r>
      <w:r>
        <w:rPr>
          <w:rFonts w:ascii="Times New Roman" w:hAnsi="Times New Roman"/>
          <w:kern w:val="0"/>
          <w:szCs w:val="24"/>
        </w:rPr>
        <w:t>，在扣除相关发行费用后拟用于</w:t>
      </w:r>
      <w:r>
        <w:rPr>
          <w:rFonts w:ascii="Times New Roman" w:hAnsi="Times New Roman" w:hint="eastAsia"/>
          <w:kern w:val="0"/>
          <w:szCs w:val="24"/>
        </w:rPr>
        <w:t>智慧节能阀门</w:t>
      </w:r>
      <w:r>
        <w:rPr>
          <w:rFonts w:ascii="Times New Roman" w:hAnsi="Times New Roman"/>
          <w:kern w:val="0"/>
          <w:szCs w:val="24"/>
        </w:rPr>
        <w:t>建设项目和补充流动资金，不存在将募集资金投向房地产业务的情形。</w:t>
      </w:r>
    </w:p>
    <w:p w14:paraId="4C15A97D" w14:textId="77777777" w:rsidR="008D76D6" w:rsidRDefault="008D76D6">
      <w:pPr>
        <w:topLinePunct/>
        <w:spacing w:before="120" w:after="120"/>
        <w:ind w:firstLine="480"/>
        <w:rPr>
          <w:rFonts w:ascii="Times New Roman" w:hAnsi="Times New Roman"/>
          <w:color w:val="000000"/>
          <w:szCs w:val="32"/>
        </w:rPr>
      </w:pPr>
      <w:r>
        <w:rPr>
          <w:rFonts w:ascii="Times New Roman" w:hAnsi="Times New Roman" w:hint="eastAsia"/>
          <w:color w:val="000000"/>
          <w:szCs w:val="32"/>
        </w:rPr>
        <w:t>2</w:t>
      </w:r>
      <w:r>
        <w:rPr>
          <w:rFonts w:ascii="Times New Roman" w:hAnsi="Times New Roman" w:hint="eastAsia"/>
          <w:color w:val="000000"/>
          <w:szCs w:val="32"/>
        </w:rPr>
        <w:t>、发行人已制定《募集资金管理</w:t>
      </w:r>
      <w:r w:rsidR="000708AF">
        <w:rPr>
          <w:rFonts w:ascii="Times New Roman" w:hAnsi="Times New Roman" w:hint="eastAsia"/>
          <w:color w:val="000000"/>
          <w:szCs w:val="32"/>
        </w:rPr>
        <w:t>制度</w:t>
      </w:r>
      <w:r>
        <w:rPr>
          <w:rFonts w:ascii="Times New Roman" w:hAnsi="Times New Roman" w:hint="eastAsia"/>
          <w:color w:val="000000"/>
          <w:szCs w:val="32"/>
        </w:rPr>
        <w:t>》</w:t>
      </w:r>
    </w:p>
    <w:p w14:paraId="7613FBD2" w14:textId="77777777" w:rsidR="008D76D6" w:rsidRDefault="008D76D6">
      <w:pPr>
        <w:topLinePunct/>
        <w:spacing w:before="120" w:after="120"/>
        <w:ind w:firstLine="480"/>
      </w:pPr>
      <w:r>
        <w:rPr>
          <w:rFonts w:hint="eastAsia"/>
        </w:rPr>
        <w:t>发行人已</w:t>
      </w:r>
      <w:r>
        <w:t>制定《募集资金管理</w:t>
      </w:r>
      <w:r w:rsidR="000708AF">
        <w:rPr>
          <w:rFonts w:hint="eastAsia"/>
        </w:rPr>
        <w:t>制度</w:t>
      </w:r>
      <w:r>
        <w:t>》，对募集资金的存储、使用、投向变更、使用管理与监督等进行了明确规定。</w:t>
      </w:r>
      <w:r>
        <w:rPr>
          <w:rFonts w:hint="eastAsia"/>
        </w:rPr>
        <w:t>根据发行人确认，发行人</w:t>
      </w:r>
      <w:r>
        <w:t>前次募集资金的管理与使用，均按有关法律法规和规范性文件的要求执行，不存在变相改变募集资金投向和损害股东利益的情况，不存在违规使用募集资金的情形。</w:t>
      </w:r>
    </w:p>
    <w:p w14:paraId="77B09834" w14:textId="77777777" w:rsidR="008D76D6" w:rsidRDefault="008D76D6">
      <w:pPr>
        <w:topLinePunct/>
        <w:spacing w:before="120" w:after="120"/>
        <w:ind w:firstLine="480"/>
        <w:rPr>
          <w:rFonts w:ascii="Times New Roman" w:hAnsi="Times New Roman"/>
        </w:rPr>
      </w:pPr>
      <w:r>
        <w:rPr>
          <w:rFonts w:ascii="Times New Roman" w:hAnsi="Times New Roman"/>
        </w:rPr>
        <w:t>同时，经本所律师核查，截至</w:t>
      </w:r>
      <w:r>
        <w:rPr>
          <w:rFonts w:ascii="Times New Roman" w:hAnsi="Times New Roman"/>
        </w:rPr>
        <w:t>2023</w:t>
      </w:r>
      <w:r>
        <w:rPr>
          <w:rFonts w:ascii="Times New Roman" w:hAnsi="Times New Roman"/>
        </w:rPr>
        <w:t>年</w:t>
      </w:r>
      <w:r>
        <w:rPr>
          <w:rFonts w:ascii="Times New Roman" w:hAnsi="Times New Roman"/>
        </w:rPr>
        <w:t>9</w:t>
      </w:r>
      <w:r>
        <w:rPr>
          <w:rFonts w:ascii="Times New Roman" w:hAnsi="Times New Roman"/>
        </w:rPr>
        <w:t>月</w:t>
      </w:r>
      <w:r>
        <w:rPr>
          <w:rFonts w:ascii="Times New Roman" w:hAnsi="Times New Roman"/>
        </w:rPr>
        <w:t>30</w:t>
      </w:r>
      <w:r>
        <w:rPr>
          <w:rFonts w:ascii="Times New Roman" w:hAnsi="Times New Roman"/>
        </w:rPr>
        <w:t>日，发行人不存在因改变募集资金使用而受到证监会或深交所监管措施的情形。</w:t>
      </w:r>
    </w:p>
    <w:p w14:paraId="4CCBF8E7" w14:textId="77777777" w:rsidR="008D76D6" w:rsidRDefault="008D76D6">
      <w:pPr>
        <w:topLinePunct/>
        <w:spacing w:before="120" w:after="120"/>
        <w:ind w:firstLine="480"/>
        <w:rPr>
          <w:rFonts w:ascii="Times New Roman" w:hAnsi="Times New Roman"/>
        </w:rPr>
      </w:pPr>
      <w:r>
        <w:rPr>
          <w:rFonts w:ascii="Times New Roman" w:hAnsi="Times New Roman" w:hint="eastAsia"/>
        </w:rPr>
        <w:t>3</w:t>
      </w:r>
      <w:r>
        <w:rPr>
          <w:rFonts w:ascii="Times New Roman" w:hAnsi="Times New Roman" w:hint="eastAsia"/>
        </w:rPr>
        <w:t>、发行人将及时签署募集资金三方监管协议</w:t>
      </w:r>
    </w:p>
    <w:p w14:paraId="4818930E" w14:textId="77777777" w:rsidR="008D76D6" w:rsidRDefault="008D76D6">
      <w:pPr>
        <w:topLinePunct/>
        <w:spacing w:before="120" w:after="120"/>
        <w:ind w:firstLine="480"/>
      </w:pPr>
      <w:r>
        <w:rPr>
          <w:rFonts w:hint="eastAsia"/>
        </w:rPr>
        <w:t>根据发行人说明，发行人</w:t>
      </w:r>
      <w:r>
        <w:t>将在本次发行募集资金到位之后开立募集资金专户，及时与保荐人、银行签订募集资金三方监管协议，保荐人及银行将对公司募集资金使用情况进行严格监督，公司亦将继续严格遵守募集资金内部控制制度，严格执行募集资金使用的审批权限、决策程序、风险控制措施及信息披露要求。同时公司将不断完善内部控制和监督制约机制，定期进行资金管理、审核和监督，保证募集资金的安全、提高募集资金的使用效率，保护投资者的合法权益。</w:t>
      </w:r>
    </w:p>
    <w:p w14:paraId="71CE5175" w14:textId="77777777" w:rsidR="008D76D6" w:rsidRDefault="008D76D6">
      <w:pPr>
        <w:topLinePunct/>
        <w:spacing w:before="120" w:after="120"/>
        <w:ind w:firstLine="480"/>
        <w:rPr>
          <w:rFonts w:ascii="Times New Roman" w:hAnsi="Times New Roman"/>
        </w:rPr>
      </w:pPr>
      <w:r>
        <w:rPr>
          <w:rFonts w:ascii="Times New Roman" w:hAnsi="Times New Roman"/>
        </w:rPr>
        <w:t>4</w:t>
      </w:r>
      <w:r>
        <w:rPr>
          <w:rFonts w:ascii="Times New Roman" w:hAnsi="Times New Roman"/>
        </w:rPr>
        <w:t>、</w:t>
      </w:r>
      <w:r>
        <w:rPr>
          <w:rFonts w:ascii="Times New Roman" w:hAnsi="Times New Roman" w:hint="eastAsia"/>
        </w:rPr>
        <w:t>发行人已出具《关于本次发行不涉及商业房地产经营业务相关事项的承诺函》</w:t>
      </w:r>
    </w:p>
    <w:p w14:paraId="1317D963" w14:textId="77777777" w:rsidR="008D76D6" w:rsidRDefault="008D76D6">
      <w:pPr>
        <w:topLinePunct/>
        <w:spacing w:before="120" w:after="120"/>
        <w:ind w:firstLine="480"/>
        <w:rPr>
          <w:rFonts w:ascii="Times New Roman" w:hAnsi="Times New Roman"/>
        </w:rPr>
      </w:pPr>
      <w:r>
        <w:rPr>
          <w:rFonts w:ascii="Times New Roman" w:hAnsi="Times New Roman" w:hint="eastAsia"/>
        </w:rPr>
        <w:t>针对本次发行募集资金的使用，发行人已出具如下《关于本次发行不涉及商业房地产经营业务相关事项的承诺函》，具体内容如下：</w:t>
      </w:r>
    </w:p>
    <w:p w14:paraId="14FB6364" w14:textId="77777777" w:rsidR="008D76D6" w:rsidRDefault="008D76D6">
      <w:pPr>
        <w:widowControl/>
        <w:spacing w:before="120" w:after="120"/>
        <w:ind w:firstLine="480"/>
        <w:rPr>
          <w:rFonts w:ascii="Times New Roman" w:hAnsi="Times New Roman"/>
          <w:kern w:val="0"/>
          <w:szCs w:val="24"/>
        </w:rPr>
      </w:pPr>
      <w:r>
        <w:rPr>
          <w:rFonts w:ascii="Times New Roman" w:hAnsi="Times New Roman" w:hint="eastAsia"/>
          <w:kern w:val="0"/>
          <w:szCs w:val="24"/>
        </w:rPr>
        <w:t>“</w:t>
      </w:r>
      <w:r>
        <w:rPr>
          <w:rFonts w:ascii="Times New Roman" w:hAnsi="Times New Roman"/>
          <w:kern w:val="0"/>
          <w:szCs w:val="24"/>
        </w:rPr>
        <w:t>1</w:t>
      </w:r>
      <w:r>
        <w:rPr>
          <w:rFonts w:ascii="Times New Roman" w:hAnsi="Times New Roman"/>
          <w:kern w:val="0"/>
          <w:szCs w:val="24"/>
        </w:rPr>
        <w:t>、本公司及本公司控股子公司的经营范围、主营业务不包含房地产开发经营等相关内容；</w:t>
      </w:r>
    </w:p>
    <w:p w14:paraId="0B209E31" w14:textId="77777777" w:rsidR="008D76D6" w:rsidRDefault="008D76D6">
      <w:pPr>
        <w:widowControl/>
        <w:spacing w:before="120" w:after="120"/>
        <w:ind w:firstLine="480"/>
        <w:rPr>
          <w:rFonts w:ascii="Times New Roman" w:hAnsi="Times New Roman"/>
          <w:kern w:val="0"/>
          <w:szCs w:val="24"/>
        </w:rPr>
      </w:pPr>
      <w:r>
        <w:rPr>
          <w:rFonts w:ascii="Times New Roman" w:hAnsi="Times New Roman"/>
          <w:kern w:val="0"/>
          <w:szCs w:val="24"/>
        </w:rPr>
        <w:t>2</w:t>
      </w:r>
      <w:r>
        <w:rPr>
          <w:rFonts w:ascii="Times New Roman" w:hAnsi="Times New Roman"/>
          <w:kern w:val="0"/>
          <w:szCs w:val="24"/>
        </w:rPr>
        <w:t>、本公司及本公司的控股子公司均未持有从事房地产开发经营业务的资质，亦不存在住宅房地产或商业地产等房地产开发、经营业务，不存在独立或联合开发房地产项目的情况，也不存在从事房地产开发的业务发展规划；</w:t>
      </w:r>
    </w:p>
    <w:p w14:paraId="7D616D60" w14:textId="77777777" w:rsidR="008D76D6" w:rsidRDefault="008D76D6">
      <w:pPr>
        <w:spacing w:before="120" w:after="120"/>
        <w:ind w:firstLine="480"/>
        <w:rPr>
          <w:rFonts w:ascii="Times New Roman" w:hAnsi="Times New Roman"/>
          <w:kern w:val="0"/>
          <w:szCs w:val="24"/>
        </w:rPr>
      </w:pPr>
      <w:r>
        <w:rPr>
          <w:rFonts w:ascii="Times New Roman" w:hAnsi="Times New Roman"/>
          <w:kern w:val="0"/>
          <w:szCs w:val="24"/>
        </w:rPr>
        <w:t>3</w:t>
      </w:r>
      <w:r>
        <w:rPr>
          <w:rFonts w:ascii="Times New Roman" w:hAnsi="Times New Roman"/>
          <w:kern w:val="0"/>
          <w:szCs w:val="24"/>
        </w:rPr>
        <w:t>、本公司及本公司的控股子公司、参股公司未持有任何拟用于商业房地产开发或者正在</w:t>
      </w:r>
      <w:r>
        <w:rPr>
          <w:rFonts w:ascii="Times New Roman" w:hAnsi="Times New Roman" w:hint="eastAsia"/>
          <w:kern w:val="0"/>
          <w:szCs w:val="24"/>
        </w:rPr>
        <w:t>进行商业房地产开发</w:t>
      </w:r>
      <w:r>
        <w:rPr>
          <w:rFonts w:ascii="Times New Roman" w:hAnsi="Times New Roman"/>
          <w:kern w:val="0"/>
          <w:szCs w:val="24"/>
        </w:rPr>
        <w:t>的土地，未持有任何自行开发建设或外购的专门用于对外出租或出售的商业住宅和商业地产，也不存在其他任何在售的房地产项目；</w:t>
      </w:r>
    </w:p>
    <w:p w14:paraId="1DAE0931" w14:textId="77777777" w:rsidR="008D76D6" w:rsidRDefault="008D76D6">
      <w:pPr>
        <w:spacing w:before="120" w:after="120"/>
        <w:ind w:firstLine="480"/>
        <w:rPr>
          <w:rFonts w:ascii="Times New Roman" w:hAnsi="Times New Roman"/>
          <w:color w:val="000000"/>
          <w:szCs w:val="32"/>
        </w:rPr>
      </w:pPr>
      <w:r>
        <w:rPr>
          <w:rFonts w:ascii="Times New Roman" w:hAnsi="Times New Roman"/>
          <w:kern w:val="0"/>
          <w:szCs w:val="24"/>
        </w:rPr>
        <w:t>4</w:t>
      </w:r>
      <w:r>
        <w:rPr>
          <w:rFonts w:ascii="Times New Roman" w:hAnsi="Times New Roman"/>
          <w:kern w:val="0"/>
          <w:szCs w:val="24"/>
        </w:rPr>
        <w:t>、本公司不会通过变更募集资金用途的方式使本次募集资金用于或变相用于房地产开发、经营、销售等业务，亦不会通过其他方式使本次募集资金直接或间接流入房地产开发领域。</w:t>
      </w:r>
      <w:r>
        <w:rPr>
          <w:rFonts w:ascii="Times New Roman" w:hAnsi="Times New Roman" w:hint="eastAsia"/>
          <w:color w:val="000000"/>
          <w:szCs w:val="32"/>
        </w:rPr>
        <w:t>”</w:t>
      </w:r>
    </w:p>
    <w:p w14:paraId="38A36675" w14:textId="77777777" w:rsidR="008D76D6" w:rsidRDefault="008D76D6">
      <w:pPr>
        <w:spacing w:before="120" w:after="120"/>
        <w:ind w:firstLine="480"/>
        <w:rPr>
          <w:rFonts w:ascii="仿宋" w:hAnsi="仿宋"/>
          <w:color w:val="000000"/>
          <w:szCs w:val="32"/>
        </w:rPr>
      </w:pPr>
      <w:r>
        <w:rPr>
          <w:rFonts w:ascii="Times New Roman" w:hAnsi="Times New Roman" w:hint="eastAsia"/>
          <w:color w:val="000000"/>
          <w:szCs w:val="32"/>
        </w:rPr>
        <w:t>综上所述，本所律师认为，发行人已采取有效措施</w:t>
      </w:r>
      <w:r>
        <w:rPr>
          <w:rFonts w:ascii="仿宋" w:hAnsi="仿宋"/>
          <w:color w:val="000000"/>
          <w:szCs w:val="32"/>
        </w:rPr>
        <w:t>确保</w:t>
      </w:r>
      <w:r>
        <w:rPr>
          <w:rFonts w:ascii="仿宋" w:hAnsi="仿宋" w:hint="eastAsia"/>
          <w:color w:val="000000"/>
          <w:szCs w:val="32"/>
        </w:rPr>
        <w:t>本次募集资金</w:t>
      </w:r>
      <w:r>
        <w:rPr>
          <w:rFonts w:ascii="仿宋" w:hAnsi="仿宋"/>
          <w:color w:val="000000"/>
          <w:szCs w:val="32"/>
        </w:rPr>
        <w:t>不变相</w:t>
      </w:r>
      <w:r>
        <w:rPr>
          <w:rFonts w:ascii="仿宋" w:hAnsi="仿宋" w:hint="eastAsia"/>
          <w:color w:val="000000"/>
          <w:szCs w:val="32"/>
        </w:rPr>
        <w:t>投入相关业务。</w:t>
      </w:r>
    </w:p>
    <w:p w14:paraId="6F9E5F2F" w14:textId="77777777" w:rsidR="008D76D6" w:rsidRPr="00B434D2" w:rsidRDefault="008D76D6" w:rsidP="008C4EDC">
      <w:pPr>
        <w:pStyle w:val="003"/>
        <w:keepNext w:val="0"/>
        <w:keepLines w:val="0"/>
        <w:widowControl w:val="0"/>
        <w:spacing w:before="120" w:after="120"/>
        <w:ind w:firstLine="482"/>
      </w:pPr>
      <w:r w:rsidRPr="00B434D2">
        <w:rPr>
          <w:rFonts w:hint="eastAsia"/>
        </w:rPr>
        <w:t>六、列示交易性金融资产等财务性投资相关科目的详细情形，结合海南伟隆、香港伟隆等认缴实缴和具体投资情况，说明发行人投资私募基金的原因、计量的会计政策及减值风险，并结合相关基金、资管、信托等投资协议的主要内容、投资背景、底层资产、收益率区间等，以及发行人主营业务与对被投资企业之间合作、销售、采购等情况，说明未将相关投资认定为财务性投资的依据是否充分，最近一期末是否持有金额较大的财务性投资（包括类金融业务）；结合发行人持有私募基金等产品的实际投入时点，说明自本次发行董事会决议日前六个月至今，发行人新投入或拟投入的财务性投资及类金融业务的具体情况；结合前述情形，说明是否符合《证券期货法律适用意见第</w:t>
      </w:r>
      <w:r w:rsidRPr="00B434D2">
        <w:rPr>
          <w:rFonts w:hint="eastAsia"/>
        </w:rPr>
        <w:t>18</w:t>
      </w:r>
      <w:r w:rsidRPr="00B434D2">
        <w:rPr>
          <w:rFonts w:hint="eastAsia"/>
        </w:rPr>
        <w:t>号》以及最新监管要求，是否涉及调减的情形。</w:t>
      </w:r>
    </w:p>
    <w:p w14:paraId="29B66F42" w14:textId="77777777" w:rsidR="008D76D6" w:rsidRDefault="008D76D6" w:rsidP="008C4EDC">
      <w:pPr>
        <w:pStyle w:val="004"/>
        <w:keepNext w:val="0"/>
        <w:keepLines w:val="0"/>
        <w:widowControl w:val="0"/>
        <w:spacing w:before="120" w:after="120"/>
        <w:ind w:firstLine="482"/>
      </w:pPr>
      <w:bookmarkStart w:id="19" w:name="_Hlk153650618"/>
      <w:bookmarkStart w:id="20" w:name="_Hlk153973859"/>
      <w:r>
        <w:rPr>
          <w:rFonts w:hint="eastAsia"/>
        </w:rPr>
        <w:t>（一）列示交易性金融资产等财务性投资相关科目的详细情形，结合海南伟隆、香港伟隆等认缴实缴和具体投资情况，说明发行人投资私募基金的原因、计量的会计政策及减值风险，并结合相关基金、资管、信托等投资协议的主要内容、投资背景、底层资产、收益率区间等，以及发行人主营业务与对被投资企业之间合作、销售、采购等情况，说明未将相关投资认定为财务性投资的依据是否充分，最近一期末是否持有金额较大的财务性投资（包括类金融业务）</w:t>
      </w:r>
      <w:bookmarkEnd w:id="19"/>
    </w:p>
    <w:p w14:paraId="56D70114" w14:textId="77777777" w:rsidR="008D76D6" w:rsidRPr="00B434D2" w:rsidRDefault="008D76D6" w:rsidP="00B434D2">
      <w:pPr>
        <w:spacing w:before="120" w:after="120"/>
        <w:ind w:firstLine="480"/>
        <w:rPr>
          <w:rFonts w:ascii="Times New Roman" w:hAnsi="Times New Roman"/>
        </w:rPr>
      </w:pPr>
      <w:r w:rsidRPr="00B434D2">
        <w:rPr>
          <w:rFonts w:ascii="Times New Roman" w:hAnsi="Times New Roman"/>
        </w:rPr>
        <w:t>1</w:t>
      </w:r>
      <w:r w:rsidRPr="00B434D2">
        <w:rPr>
          <w:rFonts w:ascii="Times New Roman" w:hAnsi="Times New Roman"/>
        </w:rPr>
        <w:t>、海南伟隆、香港伟隆等认缴实缴和具体投资情况，说明发行人投资私募基金的原因、计量的会计政策及减值风险</w:t>
      </w:r>
    </w:p>
    <w:p w14:paraId="11514EC2" w14:textId="77777777" w:rsidR="008D76D6" w:rsidRDefault="008D76D6">
      <w:pPr>
        <w:pStyle w:val="WL06-"/>
        <w:spacing w:before="120" w:after="120"/>
        <w:ind w:firstLine="480"/>
      </w:pPr>
      <w:r>
        <w:rPr>
          <w:rFonts w:hint="eastAsia"/>
        </w:rPr>
        <w:t>（</w:t>
      </w:r>
      <w:r>
        <w:rPr>
          <w:rFonts w:hint="eastAsia"/>
        </w:rPr>
        <w:t>1</w:t>
      </w:r>
      <w:r>
        <w:rPr>
          <w:rFonts w:hint="eastAsia"/>
        </w:rPr>
        <w:t>）海南伟隆和香港伟隆的认缴实缴和具体投资情况</w:t>
      </w:r>
    </w:p>
    <w:p w14:paraId="774730EE" w14:textId="77777777" w:rsidR="008D76D6" w:rsidRDefault="008D76D6">
      <w:pPr>
        <w:pStyle w:val="WL06-"/>
        <w:spacing w:before="120" w:after="120"/>
        <w:ind w:firstLine="480"/>
      </w:pPr>
      <w:r>
        <w:rPr>
          <w:rFonts w:hint="eastAsia"/>
        </w:rPr>
        <w:t>发行人子公司海南伟隆和香港伟隆的认缴实缴和具体投资情况如下：</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0"/>
        <w:gridCol w:w="2174"/>
        <w:gridCol w:w="2174"/>
        <w:gridCol w:w="3482"/>
      </w:tblGrid>
      <w:tr w:rsidR="008D76D6" w14:paraId="2EB9A052" w14:textId="77777777">
        <w:trPr>
          <w:trHeight w:val="397"/>
          <w:tblHeader/>
          <w:jc w:val="center"/>
        </w:trPr>
        <w:tc>
          <w:tcPr>
            <w:tcW w:w="1116" w:type="dxa"/>
            <w:shd w:val="clear" w:color="auto" w:fill="D9D9D9"/>
            <w:vAlign w:val="center"/>
          </w:tcPr>
          <w:p w14:paraId="012D0D1B" w14:textId="77777777" w:rsidR="008D76D6" w:rsidRDefault="008D76D6" w:rsidP="00CE3CA5">
            <w:pPr>
              <w:keepNext/>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公司名称</w:t>
            </w:r>
          </w:p>
        </w:tc>
        <w:tc>
          <w:tcPr>
            <w:tcW w:w="2058" w:type="dxa"/>
            <w:shd w:val="clear" w:color="auto" w:fill="D9D9D9"/>
            <w:vAlign w:val="center"/>
          </w:tcPr>
          <w:p w14:paraId="385C74FD"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认缴出资额</w:t>
            </w:r>
          </w:p>
        </w:tc>
        <w:tc>
          <w:tcPr>
            <w:tcW w:w="2058" w:type="dxa"/>
            <w:shd w:val="clear" w:color="auto" w:fill="D9D9D9"/>
            <w:vAlign w:val="center"/>
          </w:tcPr>
          <w:p w14:paraId="4E00DFE2"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实缴出资额</w:t>
            </w:r>
          </w:p>
        </w:tc>
        <w:tc>
          <w:tcPr>
            <w:tcW w:w="3296" w:type="dxa"/>
            <w:shd w:val="clear" w:color="auto" w:fill="D9D9D9"/>
            <w:vAlign w:val="center"/>
          </w:tcPr>
          <w:p w14:paraId="1299BB78"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投资情况</w:t>
            </w:r>
          </w:p>
        </w:tc>
      </w:tr>
      <w:tr w:rsidR="008D76D6" w14:paraId="6D805ADC" w14:textId="77777777">
        <w:trPr>
          <w:trHeight w:val="397"/>
          <w:jc w:val="center"/>
        </w:trPr>
        <w:tc>
          <w:tcPr>
            <w:tcW w:w="1116" w:type="dxa"/>
            <w:vAlign w:val="center"/>
          </w:tcPr>
          <w:p w14:paraId="22482655"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color w:val="000000"/>
                <w:sz w:val="22"/>
              </w:rPr>
              <w:t>海南伟隆</w:t>
            </w:r>
          </w:p>
        </w:tc>
        <w:tc>
          <w:tcPr>
            <w:tcW w:w="2058" w:type="dxa"/>
            <w:vAlign w:val="center"/>
          </w:tcPr>
          <w:p w14:paraId="44F35BBA"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color w:val="000000"/>
                <w:sz w:val="22"/>
              </w:rPr>
              <w:t>10,000.00</w:t>
            </w:r>
            <w:r>
              <w:rPr>
                <w:rFonts w:ascii="Times New Roman" w:hAnsi="Times New Roman"/>
                <w:color w:val="000000"/>
                <w:sz w:val="22"/>
              </w:rPr>
              <w:t>万人民币</w:t>
            </w:r>
          </w:p>
        </w:tc>
        <w:tc>
          <w:tcPr>
            <w:tcW w:w="2058" w:type="dxa"/>
            <w:vAlign w:val="center"/>
          </w:tcPr>
          <w:p w14:paraId="4712C809"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color w:val="000000"/>
                <w:sz w:val="22"/>
              </w:rPr>
              <w:t>10,000.00</w:t>
            </w:r>
            <w:r>
              <w:rPr>
                <w:rFonts w:ascii="Times New Roman" w:hAnsi="Times New Roman"/>
                <w:color w:val="000000"/>
                <w:sz w:val="22"/>
              </w:rPr>
              <w:t>万人民币</w:t>
            </w:r>
          </w:p>
        </w:tc>
        <w:tc>
          <w:tcPr>
            <w:tcW w:w="3296" w:type="dxa"/>
            <w:vAlign w:val="center"/>
          </w:tcPr>
          <w:p w14:paraId="3690D677"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color w:val="000000"/>
                <w:sz w:val="22"/>
              </w:rPr>
              <w:t>益安地风</w:t>
            </w:r>
            <w:r>
              <w:rPr>
                <w:rFonts w:ascii="Times New Roman" w:hAnsi="Times New Roman"/>
                <w:color w:val="000000"/>
                <w:sz w:val="22"/>
              </w:rPr>
              <w:t>5</w:t>
            </w:r>
            <w:r>
              <w:rPr>
                <w:rFonts w:ascii="Times New Roman" w:hAnsi="Times New Roman"/>
                <w:color w:val="000000"/>
                <w:sz w:val="22"/>
              </w:rPr>
              <w:t>号私募证券投资基金</w:t>
            </w:r>
          </w:p>
        </w:tc>
      </w:tr>
      <w:tr w:rsidR="008D76D6" w14:paraId="7A175EA5" w14:textId="77777777">
        <w:trPr>
          <w:trHeight w:val="397"/>
          <w:jc w:val="center"/>
        </w:trPr>
        <w:tc>
          <w:tcPr>
            <w:tcW w:w="1116" w:type="dxa"/>
            <w:vAlign w:val="center"/>
          </w:tcPr>
          <w:p w14:paraId="702A9CA2"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color w:val="000000"/>
                <w:sz w:val="22"/>
              </w:rPr>
              <w:t>香港伟隆</w:t>
            </w:r>
          </w:p>
        </w:tc>
        <w:tc>
          <w:tcPr>
            <w:tcW w:w="2058" w:type="dxa"/>
            <w:vAlign w:val="center"/>
          </w:tcPr>
          <w:p w14:paraId="2DC7F6A7"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color w:val="000000"/>
                <w:sz w:val="22"/>
              </w:rPr>
              <w:t>5.00</w:t>
            </w:r>
            <w:r>
              <w:rPr>
                <w:rFonts w:ascii="Times New Roman" w:hAnsi="Times New Roman"/>
                <w:color w:val="000000"/>
                <w:sz w:val="22"/>
              </w:rPr>
              <w:t>万美金</w:t>
            </w:r>
          </w:p>
        </w:tc>
        <w:tc>
          <w:tcPr>
            <w:tcW w:w="2058" w:type="dxa"/>
            <w:vAlign w:val="center"/>
          </w:tcPr>
          <w:p w14:paraId="6B4E2B9F"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color w:val="000000"/>
                <w:sz w:val="22"/>
              </w:rPr>
              <w:t>5.00</w:t>
            </w:r>
            <w:r>
              <w:rPr>
                <w:rFonts w:ascii="Times New Roman" w:hAnsi="Times New Roman"/>
                <w:color w:val="000000"/>
                <w:sz w:val="22"/>
              </w:rPr>
              <w:t>万美金</w:t>
            </w:r>
          </w:p>
        </w:tc>
        <w:tc>
          <w:tcPr>
            <w:tcW w:w="3296" w:type="dxa"/>
            <w:vAlign w:val="center"/>
          </w:tcPr>
          <w:p w14:paraId="30EC737D" w14:textId="77777777" w:rsidR="008D76D6" w:rsidRDefault="005D061F" w:rsidP="00CE3CA5">
            <w:pPr>
              <w:spacing w:beforeLines="0" w:before="0" w:afterLines="0" w:after="0" w:line="240" w:lineRule="auto"/>
              <w:ind w:firstLineChars="0" w:firstLine="0"/>
              <w:jc w:val="center"/>
              <w:textAlignment w:val="center"/>
              <w:rPr>
                <w:rFonts w:ascii="Times New Roman" w:hAnsi="Times New Roman"/>
                <w:color w:val="000000"/>
                <w:sz w:val="22"/>
              </w:rPr>
            </w:pPr>
            <w:r>
              <w:rPr>
                <w:color w:val="000000"/>
                <w:sz w:val="22"/>
              </w:rPr>
              <w:t>无实际经营，</w:t>
            </w:r>
            <w:r>
              <w:rPr>
                <w:rFonts w:hint="eastAsia"/>
                <w:color w:val="000000"/>
                <w:sz w:val="22"/>
              </w:rPr>
              <w:t>拟投资海外工厂，截至本补充法律意见书出具之日，尚</w:t>
            </w:r>
            <w:r>
              <w:rPr>
                <w:color w:val="000000"/>
                <w:sz w:val="22"/>
              </w:rPr>
              <w:t>未</w:t>
            </w:r>
            <w:r>
              <w:rPr>
                <w:rFonts w:hint="eastAsia"/>
                <w:color w:val="000000"/>
                <w:sz w:val="22"/>
              </w:rPr>
              <w:t>实际</w:t>
            </w:r>
            <w:r>
              <w:rPr>
                <w:color w:val="000000"/>
                <w:sz w:val="22"/>
              </w:rPr>
              <w:t>对外投资</w:t>
            </w:r>
          </w:p>
        </w:tc>
      </w:tr>
    </w:tbl>
    <w:p w14:paraId="6D96D0C8" w14:textId="77777777" w:rsidR="008D76D6" w:rsidRPr="00B434D2" w:rsidRDefault="008D76D6">
      <w:pPr>
        <w:pStyle w:val="WL06-"/>
        <w:spacing w:before="120" w:after="120"/>
        <w:ind w:firstLine="480"/>
      </w:pPr>
      <w:r w:rsidRPr="00B434D2">
        <w:rPr>
          <w:rFonts w:hint="eastAsia"/>
        </w:rPr>
        <w:t>（</w:t>
      </w:r>
      <w:r w:rsidRPr="00B434D2">
        <w:t>2</w:t>
      </w:r>
      <w:r w:rsidRPr="00B434D2">
        <w:rPr>
          <w:rFonts w:hint="eastAsia"/>
        </w:rPr>
        <w:t>）发行人投资私募基金的原因、计量的会计政策及减值风险</w:t>
      </w:r>
    </w:p>
    <w:p w14:paraId="4DD477C6" w14:textId="77777777" w:rsidR="008D76D6" w:rsidRDefault="008D76D6">
      <w:pPr>
        <w:pStyle w:val="WL06-"/>
        <w:spacing w:before="120" w:after="120"/>
        <w:ind w:firstLine="480"/>
      </w:pPr>
      <w:r>
        <w:rPr>
          <w:rFonts w:hint="eastAsia"/>
        </w:rPr>
        <w:t>发行人购买私募基金主要原因系提高资金使用效率和收益水平，降低公司的资金成本。</w:t>
      </w:r>
    </w:p>
    <w:p w14:paraId="6B03CF27" w14:textId="77777777" w:rsidR="008D76D6" w:rsidRDefault="008D76D6">
      <w:pPr>
        <w:pStyle w:val="WL06-"/>
        <w:spacing w:before="120" w:after="120"/>
        <w:ind w:firstLine="480"/>
      </w:pPr>
      <w:r>
        <w:rPr>
          <w:rFonts w:hint="eastAsia"/>
        </w:rPr>
        <w:t>发行人将益安地风</w:t>
      </w:r>
      <w:r>
        <w:rPr>
          <w:rFonts w:hint="eastAsia"/>
        </w:rPr>
        <w:t>5</w:t>
      </w:r>
      <w:r>
        <w:rPr>
          <w:rFonts w:hint="eastAsia"/>
        </w:rPr>
        <w:t>号私募证券投资基金划分为以公允价值计量且其变动计入当期损益的金融资产。对于此类金融资产，公司采用公允价值进行后续计量，公允价值变动计入当期损益，无需单独计提减值。</w:t>
      </w:r>
    </w:p>
    <w:p w14:paraId="0C2EFE69" w14:textId="77777777" w:rsidR="008D76D6" w:rsidRDefault="008D76D6">
      <w:pPr>
        <w:pStyle w:val="WL06-"/>
        <w:spacing w:before="120" w:after="120"/>
        <w:ind w:firstLine="480"/>
        <w:rPr>
          <w:rFonts w:cs="Times New Roman"/>
        </w:rPr>
      </w:pPr>
      <w:r>
        <w:rPr>
          <w:rFonts w:cs="Times New Roman" w:hint="eastAsia"/>
        </w:rPr>
        <w:t>自</w:t>
      </w:r>
      <w:r w:rsidR="00BC121B">
        <w:rPr>
          <w:rFonts w:cs="Times New Roman" w:hint="eastAsia"/>
        </w:rPr>
        <w:t>海南伟隆</w:t>
      </w:r>
      <w:r>
        <w:rPr>
          <w:rFonts w:cs="Times New Roman" w:hint="eastAsia"/>
        </w:rPr>
        <w:t>购买</w:t>
      </w:r>
      <w:r w:rsidR="0041675E">
        <w:rPr>
          <w:rFonts w:hint="eastAsia"/>
        </w:rPr>
        <w:t>益安地风</w:t>
      </w:r>
      <w:r w:rsidR="0041675E">
        <w:rPr>
          <w:rFonts w:hint="eastAsia"/>
        </w:rPr>
        <w:t>5</w:t>
      </w:r>
      <w:r w:rsidR="0041675E">
        <w:rPr>
          <w:rFonts w:hint="eastAsia"/>
        </w:rPr>
        <w:t>号私募证券投资基金</w:t>
      </w:r>
      <w:r>
        <w:rPr>
          <w:rFonts w:cs="Times New Roman" w:hint="eastAsia"/>
        </w:rPr>
        <w:t>至本</w:t>
      </w:r>
      <w:r w:rsidR="002537E1">
        <w:rPr>
          <w:rFonts w:cs="Times New Roman" w:hint="eastAsia"/>
        </w:rPr>
        <w:t>补充法律意见书出具之</w:t>
      </w:r>
      <w:r>
        <w:rPr>
          <w:rFonts w:cs="Times New Roman" w:hint="eastAsia"/>
        </w:rPr>
        <w:t>日，</w:t>
      </w:r>
      <w:r w:rsidR="0041675E">
        <w:rPr>
          <w:rFonts w:cs="Times New Roman" w:hint="eastAsia"/>
        </w:rPr>
        <w:t>其</w:t>
      </w:r>
      <w:r>
        <w:rPr>
          <w:rFonts w:cs="Times New Roman" w:hint="eastAsia"/>
        </w:rPr>
        <w:t>每期的公允价值变动情况及占当期净利润的比例如下：</w:t>
      </w:r>
    </w:p>
    <w:p w14:paraId="01E2C3B6" w14:textId="77777777" w:rsidR="008D76D6" w:rsidRDefault="008D76D6" w:rsidP="008C4EDC">
      <w:pPr>
        <w:spacing w:beforeLines="0" w:before="0" w:afterLines="0" w:after="0" w:line="240" w:lineRule="auto"/>
        <w:ind w:firstLine="420"/>
        <w:jc w:val="right"/>
        <w:rPr>
          <w:sz w:val="21"/>
          <w:szCs w:val="21"/>
        </w:rPr>
      </w:pPr>
      <w:r>
        <w:rPr>
          <w:sz w:val="21"/>
          <w:szCs w:val="21"/>
        </w:rPr>
        <w:t>单位：万元</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4"/>
        <w:gridCol w:w="1160"/>
        <w:gridCol w:w="1161"/>
        <w:gridCol w:w="1161"/>
        <w:gridCol w:w="1161"/>
        <w:gridCol w:w="1161"/>
        <w:gridCol w:w="1161"/>
        <w:gridCol w:w="1161"/>
      </w:tblGrid>
      <w:tr w:rsidR="008D76D6" w14:paraId="5BE31F1D" w14:textId="77777777" w:rsidTr="00C40B60">
        <w:trPr>
          <w:trHeight w:val="397"/>
          <w:tblHeader/>
          <w:jc w:val="center"/>
        </w:trPr>
        <w:tc>
          <w:tcPr>
            <w:tcW w:w="906" w:type="dxa"/>
            <w:shd w:val="clear" w:color="auto" w:fill="D9D9D9"/>
            <w:vAlign w:val="center"/>
          </w:tcPr>
          <w:p w14:paraId="737ACE1E"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项目</w:t>
            </w:r>
          </w:p>
        </w:tc>
        <w:tc>
          <w:tcPr>
            <w:tcW w:w="1190" w:type="dxa"/>
            <w:shd w:val="clear" w:color="auto" w:fill="D9D9D9"/>
            <w:vAlign w:val="center"/>
          </w:tcPr>
          <w:p w14:paraId="49424D29" w14:textId="77777777" w:rsidR="008D76D6" w:rsidRDefault="008D76D6" w:rsidP="00CE3CA5">
            <w:pPr>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b/>
                <w:bCs/>
                <w:color w:val="000000"/>
                <w:sz w:val="21"/>
                <w:szCs w:val="21"/>
              </w:rPr>
              <w:t>2022</w:t>
            </w:r>
            <w:r>
              <w:rPr>
                <w:rFonts w:ascii="Times New Roman" w:hAnsi="Times New Roman"/>
                <w:b/>
                <w:bCs/>
                <w:color w:val="000000"/>
                <w:sz w:val="21"/>
                <w:szCs w:val="21"/>
              </w:rPr>
              <w:t>年</w:t>
            </w:r>
          </w:p>
          <w:p w14:paraId="0F96FCD5"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color w:val="000000"/>
                <w:sz w:val="21"/>
                <w:szCs w:val="21"/>
              </w:rPr>
              <w:t>一季度</w:t>
            </w:r>
          </w:p>
        </w:tc>
        <w:tc>
          <w:tcPr>
            <w:tcW w:w="1191" w:type="dxa"/>
            <w:shd w:val="clear" w:color="auto" w:fill="D9D9D9"/>
            <w:vAlign w:val="center"/>
          </w:tcPr>
          <w:p w14:paraId="2E6E302D" w14:textId="77777777" w:rsidR="008D76D6" w:rsidRDefault="008D76D6" w:rsidP="00CE3CA5">
            <w:pPr>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b/>
                <w:bCs/>
                <w:color w:val="000000"/>
                <w:sz w:val="21"/>
                <w:szCs w:val="21"/>
              </w:rPr>
              <w:t>2022</w:t>
            </w:r>
            <w:r>
              <w:rPr>
                <w:rFonts w:ascii="Times New Roman" w:hAnsi="Times New Roman"/>
                <w:b/>
                <w:bCs/>
                <w:color w:val="000000"/>
                <w:sz w:val="21"/>
                <w:szCs w:val="21"/>
              </w:rPr>
              <w:t>年</w:t>
            </w:r>
          </w:p>
          <w:p w14:paraId="543AFC0C"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color w:val="000000"/>
                <w:sz w:val="21"/>
                <w:szCs w:val="21"/>
              </w:rPr>
              <w:t>二季度</w:t>
            </w:r>
          </w:p>
        </w:tc>
        <w:tc>
          <w:tcPr>
            <w:tcW w:w="1191" w:type="dxa"/>
            <w:shd w:val="clear" w:color="auto" w:fill="D9D9D9"/>
            <w:vAlign w:val="center"/>
          </w:tcPr>
          <w:p w14:paraId="75E4400F" w14:textId="77777777" w:rsidR="008D76D6" w:rsidRDefault="008D76D6" w:rsidP="00CE3CA5">
            <w:pPr>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b/>
                <w:bCs/>
                <w:color w:val="000000"/>
                <w:sz w:val="21"/>
                <w:szCs w:val="21"/>
              </w:rPr>
              <w:t>2022</w:t>
            </w:r>
            <w:r>
              <w:rPr>
                <w:rFonts w:ascii="Times New Roman" w:hAnsi="Times New Roman"/>
                <w:b/>
                <w:bCs/>
                <w:color w:val="000000"/>
                <w:sz w:val="21"/>
                <w:szCs w:val="21"/>
              </w:rPr>
              <w:t>年</w:t>
            </w:r>
          </w:p>
          <w:p w14:paraId="507A6846"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color w:val="000000"/>
                <w:sz w:val="21"/>
                <w:szCs w:val="21"/>
              </w:rPr>
              <w:t>三季度</w:t>
            </w:r>
          </w:p>
        </w:tc>
        <w:tc>
          <w:tcPr>
            <w:tcW w:w="1191" w:type="dxa"/>
            <w:shd w:val="clear" w:color="auto" w:fill="D9D9D9"/>
            <w:vAlign w:val="center"/>
          </w:tcPr>
          <w:p w14:paraId="02FF23C5" w14:textId="77777777" w:rsidR="008D76D6" w:rsidRDefault="008D76D6" w:rsidP="00CE3CA5">
            <w:pPr>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b/>
                <w:bCs/>
                <w:color w:val="000000"/>
                <w:sz w:val="21"/>
                <w:szCs w:val="21"/>
              </w:rPr>
              <w:t>2022</w:t>
            </w:r>
            <w:r>
              <w:rPr>
                <w:rFonts w:ascii="Times New Roman" w:hAnsi="Times New Roman"/>
                <w:b/>
                <w:bCs/>
                <w:color w:val="000000"/>
                <w:sz w:val="21"/>
                <w:szCs w:val="21"/>
              </w:rPr>
              <w:t>年</w:t>
            </w:r>
          </w:p>
          <w:p w14:paraId="110BE3FB"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color w:val="000000"/>
                <w:sz w:val="21"/>
                <w:szCs w:val="21"/>
              </w:rPr>
              <w:t>四季度</w:t>
            </w:r>
          </w:p>
        </w:tc>
        <w:tc>
          <w:tcPr>
            <w:tcW w:w="1191" w:type="dxa"/>
            <w:shd w:val="clear" w:color="auto" w:fill="D9D9D9"/>
            <w:vAlign w:val="center"/>
          </w:tcPr>
          <w:p w14:paraId="1035DC7F" w14:textId="77777777" w:rsidR="008D76D6" w:rsidRDefault="008D76D6" w:rsidP="00CE3CA5">
            <w:pPr>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b/>
                <w:bCs/>
                <w:color w:val="000000"/>
                <w:sz w:val="21"/>
                <w:szCs w:val="21"/>
              </w:rPr>
              <w:t>2023</w:t>
            </w:r>
            <w:r>
              <w:rPr>
                <w:rFonts w:ascii="Times New Roman" w:hAnsi="Times New Roman"/>
                <w:b/>
                <w:bCs/>
                <w:color w:val="000000"/>
                <w:sz w:val="21"/>
                <w:szCs w:val="21"/>
              </w:rPr>
              <w:t>年</w:t>
            </w:r>
          </w:p>
          <w:p w14:paraId="7D58A31D"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color w:val="000000"/>
                <w:sz w:val="21"/>
                <w:szCs w:val="21"/>
              </w:rPr>
              <w:t>一季度</w:t>
            </w:r>
          </w:p>
        </w:tc>
        <w:tc>
          <w:tcPr>
            <w:tcW w:w="1191" w:type="dxa"/>
            <w:shd w:val="clear" w:color="auto" w:fill="D9D9D9"/>
            <w:vAlign w:val="center"/>
          </w:tcPr>
          <w:p w14:paraId="4C768B77" w14:textId="77777777" w:rsidR="008D76D6" w:rsidRDefault="008D76D6" w:rsidP="00CE3CA5">
            <w:pPr>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b/>
                <w:bCs/>
                <w:color w:val="000000"/>
                <w:sz w:val="21"/>
                <w:szCs w:val="21"/>
              </w:rPr>
              <w:t>2023</w:t>
            </w:r>
            <w:r>
              <w:rPr>
                <w:rFonts w:ascii="Times New Roman" w:hAnsi="Times New Roman"/>
                <w:b/>
                <w:bCs/>
                <w:color w:val="000000"/>
                <w:sz w:val="21"/>
                <w:szCs w:val="21"/>
              </w:rPr>
              <w:t>年</w:t>
            </w:r>
          </w:p>
          <w:p w14:paraId="7AD13EDA"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color w:val="000000"/>
                <w:sz w:val="21"/>
                <w:szCs w:val="21"/>
              </w:rPr>
              <w:t>二季度</w:t>
            </w:r>
          </w:p>
        </w:tc>
        <w:tc>
          <w:tcPr>
            <w:tcW w:w="1191" w:type="dxa"/>
            <w:shd w:val="clear" w:color="auto" w:fill="D9D9D9"/>
            <w:vAlign w:val="center"/>
          </w:tcPr>
          <w:p w14:paraId="48651D3E" w14:textId="77777777" w:rsidR="008D76D6" w:rsidRDefault="008D76D6" w:rsidP="00CE3CA5">
            <w:pPr>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b/>
                <w:bCs/>
                <w:color w:val="000000"/>
                <w:sz w:val="21"/>
                <w:szCs w:val="21"/>
              </w:rPr>
              <w:t>2023</w:t>
            </w:r>
            <w:r>
              <w:rPr>
                <w:rFonts w:ascii="Times New Roman" w:hAnsi="Times New Roman"/>
                <w:b/>
                <w:bCs/>
                <w:color w:val="000000"/>
                <w:sz w:val="21"/>
                <w:szCs w:val="21"/>
              </w:rPr>
              <w:t>年</w:t>
            </w:r>
          </w:p>
          <w:p w14:paraId="6A1FAAAA"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color w:val="000000"/>
                <w:sz w:val="21"/>
                <w:szCs w:val="21"/>
              </w:rPr>
              <w:t>三季度</w:t>
            </w:r>
          </w:p>
        </w:tc>
      </w:tr>
      <w:tr w:rsidR="008D76D6" w14:paraId="24966BAB" w14:textId="77777777" w:rsidTr="00C40B60">
        <w:trPr>
          <w:trHeight w:val="397"/>
          <w:jc w:val="center"/>
        </w:trPr>
        <w:tc>
          <w:tcPr>
            <w:tcW w:w="906" w:type="dxa"/>
            <w:vAlign w:val="center"/>
          </w:tcPr>
          <w:p w14:paraId="332D6FD5"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公允价值变动</w:t>
            </w:r>
          </w:p>
        </w:tc>
        <w:tc>
          <w:tcPr>
            <w:tcW w:w="1190" w:type="dxa"/>
            <w:vAlign w:val="center"/>
          </w:tcPr>
          <w:p w14:paraId="7127FF1D"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-5.99</w:t>
            </w:r>
          </w:p>
        </w:tc>
        <w:tc>
          <w:tcPr>
            <w:tcW w:w="1191" w:type="dxa"/>
            <w:vAlign w:val="center"/>
          </w:tcPr>
          <w:p w14:paraId="2672F957"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245.78</w:t>
            </w:r>
          </w:p>
        </w:tc>
        <w:tc>
          <w:tcPr>
            <w:tcW w:w="1191" w:type="dxa"/>
            <w:vAlign w:val="center"/>
          </w:tcPr>
          <w:p w14:paraId="23D4578C"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-953.14</w:t>
            </w:r>
          </w:p>
        </w:tc>
        <w:tc>
          <w:tcPr>
            <w:tcW w:w="1191" w:type="dxa"/>
            <w:vAlign w:val="center"/>
          </w:tcPr>
          <w:p w14:paraId="242F60A4"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71.94</w:t>
            </w:r>
          </w:p>
        </w:tc>
        <w:tc>
          <w:tcPr>
            <w:tcW w:w="1191" w:type="dxa"/>
            <w:vAlign w:val="center"/>
          </w:tcPr>
          <w:p w14:paraId="489B31B2" w14:textId="77777777" w:rsidR="008D76D6" w:rsidRDefault="00BA7897"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w:t>
            </w:r>
            <w:r w:rsidR="008D76D6">
              <w:rPr>
                <w:rFonts w:ascii="Times New Roman" w:hAnsi="Times New Roman"/>
                <w:color w:val="000000"/>
                <w:sz w:val="21"/>
                <w:szCs w:val="21"/>
              </w:rPr>
              <w:t>,</w:t>
            </w:r>
            <w:r>
              <w:rPr>
                <w:rFonts w:ascii="Times New Roman" w:hAnsi="Times New Roman"/>
                <w:color w:val="000000"/>
                <w:sz w:val="21"/>
                <w:szCs w:val="21"/>
              </w:rPr>
              <w:t>512</w:t>
            </w:r>
            <w:r w:rsidR="008D76D6">
              <w:rPr>
                <w:rFonts w:ascii="Times New Roman" w:hAnsi="Times New Roman"/>
                <w:color w:val="000000"/>
                <w:sz w:val="21"/>
                <w:szCs w:val="21"/>
              </w:rPr>
              <w:t>.6</w:t>
            </w:r>
            <w:r>
              <w:rPr>
                <w:rFonts w:ascii="Times New Roman" w:hAnsi="Times New Roman"/>
                <w:color w:val="000000"/>
                <w:sz w:val="21"/>
                <w:szCs w:val="21"/>
              </w:rPr>
              <w:t>4</w:t>
            </w:r>
          </w:p>
        </w:tc>
        <w:tc>
          <w:tcPr>
            <w:tcW w:w="1191" w:type="dxa"/>
            <w:vAlign w:val="center"/>
          </w:tcPr>
          <w:p w14:paraId="04CE4366"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343.89</w:t>
            </w:r>
          </w:p>
        </w:tc>
        <w:tc>
          <w:tcPr>
            <w:tcW w:w="1191" w:type="dxa"/>
            <w:vAlign w:val="center"/>
          </w:tcPr>
          <w:p w14:paraId="77FC4956"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-76.13</w:t>
            </w:r>
          </w:p>
        </w:tc>
      </w:tr>
      <w:tr w:rsidR="008D76D6" w14:paraId="449E2861" w14:textId="77777777" w:rsidTr="00C40B60">
        <w:trPr>
          <w:trHeight w:val="397"/>
          <w:jc w:val="center"/>
        </w:trPr>
        <w:tc>
          <w:tcPr>
            <w:tcW w:w="906" w:type="dxa"/>
            <w:vAlign w:val="center"/>
          </w:tcPr>
          <w:p w14:paraId="39AD49AD"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净利润</w:t>
            </w:r>
          </w:p>
        </w:tc>
        <w:tc>
          <w:tcPr>
            <w:tcW w:w="1190" w:type="dxa"/>
            <w:vAlign w:val="center"/>
          </w:tcPr>
          <w:p w14:paraId="47F0416C"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938.93</w:t>
            </w:r>
          </w:p>
        </w:tc>
        <w:tc>
          <w:tcPr>
            <w:tcW w:w="1191" w:type="dxa"/>
            <w:vAlign w:val="center"/>
          </w:tcPr>
          <w:p w14:paraId="670AA253"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7,070.61</w:t>
            </w:r>
          </w:p>
        </w:tc>
        <w:tc>
          <w:tcPr>
            <w:tcW w:w="1191" w:type="dxa"/>
            <w:vAlign w:val="center"/>
          </w:tcPr>
          <w:p w14:paraId="1E023F0B"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3,705.90</w:t>
            </w:r>
          </w:p>
        </w:tc>
        <w:tc>
          <w:tcPr>
            <w:tcW w:w="1191" w:type="dxa"/>
            <w:vAlign w:val="center"/>
          </w:tcPr>
          <w:p w14:paraId="57394A42"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1,647.27</w:t>
            </w:r>
          </w:p>
        </w:tc>
        <w:tc>
          <w:tcPr>
            <w:tcW w:w="1191" w:type="dxa"/>
            <w:vAlign w:val="center"/>
          </w:tcPr>
          <w:p w14:paraId="4BE2A7D5"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3,729.05</w:t>
            </w:r>
          </w:p>
        </w:tc>
        <w:tc>
          <w:tcPr>
            <w:tcW w:w="1191" w:type="dxa"/>
            <w:vAlign w:val="center"/>
          </w:tcPr>
          <w:p w14:paraId="514D78C2"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3,162.68</w:t>
            </w:r>
          </w:p>
        </w:tc>
        <w:tc>
          <w:tcPr>
            <w:tcW w:w="1191" w:type="dxa"/>
            <w:vAlign w:val="center"/>
          </w:tcPr>
          <w:p w14:paraId="241E9746" w14:textId="77777777" w:rsidR="008D76D6" w:rsidRDefault="00BA7897"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w:t>
            </w:r>
            <w:r w:rsidR="008D76D6">
              <w:rPr>
                <w:rFonts w:ascii="Times New Roman" w:hAnsi="Times New Roman"/>
                <w:color w:val="000000"/>
                <w:sz w:val="21"/>
                <w:szCs w:val="21"/>
              </w:rPr>
              <w:t>,</w:t>
            </w:r>
            <w:r>
              <w:rPr>
                <w:rFonts w:ascii="Times New Roman" w:hAnsi="Times New Roman"/>
                <w:color w:val="000000"/>
                <w:sz w:val="21"/>
                <w:szCs w:val="21"/>
              </w:rPr>
              <w:t>170</w:t>
            </w:r>
            <w:r w:rsidR="008D76D6">
              <w:rPr>
                <w:rFonts w:ascii="Times New Roman" w:hAnsi="Times New Roman"/>
                <w:color w:val="000000"/>
                <w:sz w:val="21"/>
                <w:szCs w:val="21"/>
              </w:rPr>
              <w:t>.</w:t>
            </w:r>
            <w:r>
              <w:rPr>
                <w:rFonts w:ascii="Times New Roman" w:hAnsi="Times New Roman"/>
                <w:color w:val="000000"/>
                <w:sz w:val="21"/>
                <w:szCs w:val="21"/>
              </w:rPr>
              <w:t>36</w:t>
            </w:r>
          </w:p>
        </w:tc>
      </w:tr>
      <w:tr w:rsidR="008D76D6" w14:paraId="62E652B0" w14:textId="77777777" w:rsidTr="00C40B60">
        <w:trPr>
          <w:trHeight w:val="397"/>
          <w:jc w:val="center"/>
        </w:trPr>
        <w:tc>
          <w:tcPr>
            <w:tcW w:w="906" w:type="dxa"/>
            <w:vAlign w:val="center"/>
          </w:tcPr>
          <w:p w14:paraId="027FE3D0"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占比</w:t>
            </w:r>
          </w:p>
        </w:tc>
        <w:tc>
          <w:tcPr>
            <w:tcW w:w="1190" w:type="dxa"/>
            <w:vAlign w:val="center"/>
          </w:tcPr>
          <w:p w14:paraId="7F535C7B"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-0.64%</w:t>
            </w:r>
          </w:p>
        </w:tc>
        <w:tc>
          <w:tcPr>
            <w:tcW w:w="1191" w:type="dxa"/>
            <w:vAlign w:val="center"/>
          </w:tcPr>
          <w:p w14:paraId="3C0FC42F"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3.48%</w:t>
            </w:r>
          </w:p>
        </w:tc>
        <w:tc>
          <w:tcPr>
            <w:tcW w:w="1191" w:type="dxa"/>
            <w:vAlign w:val="center"/>
          </w:tcPr>
          <w:p w14:paraId="43E62667"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-25.72%</w:t>
            </w:r>
          </w:p>
        </w:tc>
        <w:tc>
          <w:tcPr>
            <w:tcW w:w="1191" w:type="dxa"/>
            <w:vAlign w:val="center"/>
          </w:tcPr>
          <w:p w14:paraId="6F5C0366"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4.37%</w:t>
            </w:r>
          </w:p>
        </w:tc>
        <w:tc>
          <w:tcPr>
            <w:tcW w:w="1191" w:type="dxa"/>
            <w:vAlign w:val="center"/>
          </w:tcPr>
          <w:p w14:paraId="37FB52EC" w14:textId="77777777" w:rsidR="008D76D6" w:rsidRDefault="00BA7897"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40</w:t>
            </w:r>
            <w:r w:rsidR="008D76D6">
              <w:rPr>
                <w:rFonts w:ascii="Times New Roman" w:hAnsi="Times New Roman"/>
                <w:color w:val="000000"/>
                <w:sz w:val="21"/>
                <w:szCs w:val="21"/>
              </w:rPr>
              <w:t>.</w:t>
            </w:r>
            <w:r>
              <w:rPr>
                <w:rFonts w:ascii="Times New Roman" w:hAnsi="Times New Roman"/>
                <w:color w:val="000000"/>
                <w:sz w:val="21"/>
                <w:szCs w:val="21"/>
              </w:rPr>
              <w:t>5</w:t>
            </w:r>
            <w:r w:rsidR="008D76D6">
              <w:rPr>
                <w:rFonts w:ascii="Times New Roman" w:hAnsi="Times New Roman"/>
                <w:color w:val="000000"/>
                <w:sz w:val="21"/>
                <w:szCs w:val="21"/>
              </w:rPr>
              <w:t>6%</w:t>
            </w:r>
          </w:p>
        </w:tc>
        <w:tc>
          <w:tcPr>
            <w:tcW w:w="1191" w:type="dxa"/>
            <w:vAlign w:val="center"/>
          </w:tcPr>
          <w:p w14:paraId="3FA8ECBE"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10.87%</w:t>
            </w:r>
          </w:p>
        </w:tc>
        <w:tc>
          <w:tcPr>
            <w:tcW w:w="1191" w:type="dxa"/>
            <w:vAlign w:val="center"/>
          </w:tcPr>
          <w:p w14:paraId="4E8F1A07"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w:t>
            </w:r>
            <w:r w:rsidR="00BA7897">
              <w:rPr>
                <w:rFonts w:ascii="Times New Roman" w:hAnsi="Times New Roman"/>
                <w:color w:val="000000"/>
                <w:sz w:val="21"/>
                <w:szCs w:val="21"/>
              </w:rPr>
              <w:t>2</w:t>
            </w:r>
            <w:r>
              <w:rPr>
                <w:rFonts w:ascii="Times New Roman" w:hAnsi="Times New Roman"/>
                <w:color w:val="000000"/>
                <w:sz w:val="21"/>
                <w:szCs w:val="21"/>
              </w:rPr>
              <w:t>.</w:t>
            </w:r>
            <w:r w:rsidR="00BA7897">
              <w:rPr>
                <w:rFonts w:ascii="Times New Roman" w:hAnsi="Times New Roman"/>
                <w:color w:val="000000"/>
                <w:sz w:val="21"/>
                <w:szCs w:val="21"/>
              </w:rPr>
              <w:t>4</w:t>
            </w:r>
            <w:r>
              <w:rPr>
                <w:rFonts w:ascii="Times New Roman" w:hAnsi="Times New Roman"/>
                <w:color w:val="000000"/>
                <w:sz w:val="21"/>
                <w:szCs w:val="21"/>
              </w:rPr>
              <w:t>0%</w:t>
            </w:r>
          </w:p>
        </w:tc>
      </w:tr>
    </w:tbl>
    <w:p w14:paraId="38FF031A" w14:textId="77777777" w:rsidR="00C40B60" w:rsidRDefault="00C40B60" w:rsidP="00C40B60">
      <w:pPr>
        <w:pStyle w:val="005"/>
        <w:spacing w:before="120" w:after="120"/>
        <w:ind w:firstLine="480"/>
      </w:pPr>
      <w:r>
        <w:rPr>
          <w:rFonts w:hint="eastAsia"/>
        </w:rPr>
        <w:t>公允价值，是指市场参与者在计量日发生的有序交易中，出售一项资产所能收到或者转移一项负债所需支付的价格。金融工具存在活跃市场的，公司采用活跃市场中的报价确定其公允价值。活跃市场中的报价是指易于定期从交易所、经纪商、行业协会、定价服务机构等获得的价格，且代表了在公平交易中实际发生的市场交易的价格。金融工具不存在活跃市场的，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14:paraId="2A26DC21" w14:textId="77777777" w:rsidR="00C40B60" w:rsidRDefault="00C40B60" w:rsidP="00C40B60">
      <w:pPr>
        <w:pStyle w:val="WL06-"/>
        <w:spacing w:before="120" w:after="120"/>
        <w:ind w:firstLine="480"/>
      </w:pPr>
      <w:r>
        <w:rPr>
          <w:rFonts w:hint="eastAsia"/>
        </w:rPr>
        <w:t>对于益安地风</w:t>
      </w:r>
      <w:r>
        <w:rPr>
          <w:rFonts w:hint="eastAsia"/>
        </w:rPr>
        <w:t>5</w:t>
      </w:r>
      <w:r>
        <w:rPr>
          <w:rFonts w:hint="eastAsia"/>
        </w:rPr>
        <w:t>号私募证券投资基金，其公允价值来自私募基金的定期报告。</w:t>
      </w:r>
    </w:p>
    <w:p w14:paraId="2FD7B61B" w14:textId="77777777" w:rsidR="008D76D6" w:rsidRPr="00B434D2" w:rsidRDefault="008D76D6" w:rsidP="00B434D2">
      <w:pPr>
        <w:spacing w:before="120" w:after="120"/>
        <w:ind w:firstLine="480"/>
        <w:rPr>
          <w:rFonts w:ascii="Times New Roman" w:hAnsi="Times New Roman"/>
        </w:rPr>
      </w:pPr>
      <w:r w:rsidRPr="00B434D2">
        <w:rPr>
          <w:rFonts w:ascii="Times New Roman" w:hAnsi="Times New Roman"/>
        </w:rPr>
        <w:t>2</w:t>
      </w:r>
      <w:r w:rsidRPr="00B434D2">
        <w:rPr>
          <w:rFonts w:ascii="Times New Roman" w:hAnsi="Times New Roman"/>
        </w:rPr>
        <w:t>、交易性金融资产等财务性投资相关科目的详细情形，结合相关基金、资管、信托等投资协议的主要内容、投资背景、底层资产、收益率区间等，以及发行人主营业务与对被投资企业之间合作、销售、采购等情况，说明未将相关投资认定为财务性投资的依据是否充分，最近一期末是否持有金额较大的财务性投资（包括类金融业务）</w:t>
      </w:r>
    </w:p>
    <w:p w14:paraId="0171F4AB" w14:textId="77777777" w:rsidR="008D76D6" w:rsidRDefault="008D76D6">
      <w:pPr>
        <w:pStyle w:val="WL06-"/>
        <w:spacing w:before="120" w:after="120"/>
        <w:ind w:firstLine="480"/>
      </w:pPr>
      <w:r>
        <w:rPr>
          <w:rFonts w:hint="eastAsia"/>
        </w:rPr>
        <w:t>根据中国证监会《〈上市公司证券发行注册管理办法〉第九条、第十条、第十一条、第十三条、第四十条、第五十七条、第六十条有关规定的适用意见——证券期货法律适用意见第</w:t>
      </w:r>
      <w:r>
        <w:rPr>
          <w:rFonts w:hint="eastAsia"/>
        </w:rPr>
        <w:t>18</w:t>
      </w:r>
      <w:r>
        <w:rPr>
          <w:rFonts w:hint="eastAsia"/>
        </w:rPr>
        <w:t>号》规定，财务性投资包括但不限于：投资类金融业务；非金融企业投资金融业务（不包括投资前后持股比例未增加的对集团财务公司的投资）；与公司主营业务无关的股权投资；投资产业基金、并购基金；拆借资金；委托贷款；购买收益波动大且风险较高的金融产品等。</w:t>
      </w:r>
    </w:p>
    <w:p w14:paraId="0BC3E2D8" w14:textId="77777777" w:rsidR="008D76D6" w:rsidRDefault="008D76D6">
      <w:pPr>
        <w:pStyle w:val="WL06-"/>
        <w:spacing w:before="120" w:after="120"/>
        <w:ind w:firstLine="480"/>
      </w:pPr>
      <w:r>
        <w:rPr>
          <w:rFonts w:hint="eastAsia"/>
        </w:rPr>
        <w:t>根据《</w:t>
      </w:r>
      <w:r>
        <w:rPr>
          <w:rFonts w:cs="Times New Roman"/>
        </w:rPr>
        <w:t>监管规则适用指引</w:t>
      </w:r>
      <w:r>
        <w:rPr>
          <w:rFonts w:cs="Times New Roman"/>
        </w:rPr>
        <w:t>——</w:t>
      </w:r>
      <w:r>
        <w:rPr>
          <w:rFonts w:cs="Times New Roman"/>
        </w:rPr>
        <w:t>发行类第</w:t>
      </w:r>
      <w:r>
        <w:rPr>
          <w:rFonts w:cs="Times New Roman"/>
        </w:rPr>
        <w:t>7</w:t>
      </w:r>
      <w:r>
        <w:rPr>
          <w:rFonts w:cs="Times New Roman"/>
        </w:rPr>
        <w:t>号</w:t>
      </w:r>
      <w:r>
        <w:rPr>
          <w:rFonts w:hint="eastAsia"/>
        </w:rPr>
        <w:t>》的规定，除人民银行、银保监会、证监会批准从事金融业务的持牌机构为金融机构外，其他从事金融活动的机构均为类金融机构。类金融业务包括但不限于：融资租赁、融资担保、商业保理、典当及小额贷款等业务。</w:t>
      </w:r>
    </w:p>
    <w:p w14:paraId="74E23E13" w14:textId="77777777" w:rsidR="008D76D6" w:rsidRDefault="008D76D6" w:rsidP="00FF7218">
      <w:pPr>
        <w:pStyle w:val="WL06-"/>
        <w:widowControl w:val="0"/>
        <w:spacing w:before="120" w:after="120"/>
        <w:ind w:firstLine="480"/>
      </w:pPr>
      <w:r>
        <w:rPr>
          <w:rFonts w:hint="eastAsia"/>
        </w:rPr>
        <w:t>截至</w:t>
      </w:r>
      <w:r>
        <w:t>2023</w:t>
      </w:r>
      <w:r>
        <w:rPr>
          <w:rFonts w:hint="eastAsia"/>
        </w:rPr>
        <w:t>年</w:t>
      </w:r>
      <w:r>
        <w:rPr>
          <w:rFonts w:hint="eastAsia"/>
        </w:rPr>
        <w:t>9</w:t>
      </w:r>
      <w:r>
        <w:rPr>
          <w:rFonts w:hint="eastAsia"/>
        </w:rPr>
        <w:t>月</w:t>
      </w:r>
      <w:r>
        <w:t>30</w:t>
      </w:r>
      <w:r>
        <w:rPr>
          <w:rFonts w:hint="eastAsia"/>
        </w:rPr>
        <w:t>日，公司财务报表中可能涉及财务性投资（包括类金融投资）的报表项目列示分析如下：</w:t>
      </w:r>
    </w:p>
    <w:p w14:paraId="267460CB" w14:textId="77777777" w:rsidR="008D76D6" w:rsidRDefault="008D76D6">
      <w:pPr>
        <w:keepNext/>
        <w:spacing w:beforeLines="0" w:before="0" w:afterLines="0" w:after="0" w:line="240" w:lineRule="auto"/>
        <w:ind w:firstLine="420"/>
        <w:jc w:val="right"/>
        <w:rPr>
          <w:rFonts w:cs="Mongolian Baiti"/>
          <w:sz w:val="21"/>
          <w:szCs w:val="21"/>
        </w:rPr>
      </w:pPr>
      <w:r>
        <w:rPr>
          <w:rFonts w:cs="Mongolian Baiti" w:hint="eastAsia"/>
          <w:sz w:val="21"/>
          <w:szCs w:val="21"/>
        </w:rPr>
        <w:t>单位：万元</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3"/>
        <w:gridCol w:w="3998"/>
        <w:gridCol w:w="3999"/>
      </w:tblGrid>
      <w:tr w:rsidR="008D76D6" w14:paraId="2742E6A5" w14:textId="77777777">
        <w:trPr>
          <w:trHeight w:val="397"/>
          <w:tblHeader/>
          <w:jc w:val="center"/>
        </w:trPr>
        <w:tc>
          <w:tcPr>
            <w:tcW w:w="959" w:type="dxa"/>
            <w:shd w:val="clear" w:color="auto" w:fill="D9D9D9"/>
            <w:vAlign w:val="center"/>
          </w:tcPr>
          <w:p w14:paraId="59B20D9B" w14:textId="77777777" w:rsidR="008D76D6" w:rsidRDefault="008D76D6" w:rsidP="00CE3CA5">
            <w:pPr>
              <w:keepNext/>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序号</w:t>
            </w:r>
          </w:p>
        </w:tc>
        <w:tc>
          <w:tcPr>
            <w:tcW w:w="3784" w:type="dxa"/>
            <w:shd w:val="clear" w:color="auto" w:fill="D9D9D9"/>
            <w:vAlign w:val="center"/>
          </w:tcPr>
          <w:p w14:paraId="1EC0E68D"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科目名称</w:t>
            </w:r>
          </w:p>
        </w:tc>
        <w:tc>
          <w:tcPr>
            <w:tcW w:w="3785" w:type="dxa"/>
            <w:shd w:val="clear" w:color="auto" w:fill="D9D9D9"/>
            <w:vAlign w:val="center"/>
          </w:tcPr>
          <w:p w14:paraId="695970A2"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账面价值</w:t>
            </w:r>
          </w:p>
        </w:tc>
      </w:tr>
      <w:tr w:rsidR="008D76D6" w14:paraId="2C8E6552" w14:textId="77777777">
        <w:trPr>
          <w:trHeight w:val="397"/>
          <w:jc w:val="center"/>
        </w:trPr>
        <w:tc>
          <w:tcPr>
            <w:tcW w:w="959" w:type="dxa"/>
            <w:vAlign w:val="center"/>
          </w:tcPr>
          <w:p w14:paraId="4C972214"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1</w:t>
            </w:r>
          </w:p>
        </w:tc>
        <w:tc>
          <w:tcPr>
            <w:tcW w:w="3784" w:type="dxa"/>
            <w:vAlign w:val="center"/>
          </w:tcPr>
          <w:p w14:paraId="5D0346CF"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kern w:val="0"/>
                <w:sz w:val="21"/>
                <w:szCs w:val="21"/>
              </w:rPr>
              <w:t>交易性金融资产</w:t>
            </w:r>
          </w:p>
        </w:tc>
        <w:tc>
          <w:tcPr>
            <w:tcW w:w="3785" w:type="dxa"/>
            <w:vAlign w:val="center"/>
          </w:tcPr>
          <w:p w14:paraId="61C06277"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kern w:val="0"/>
                <w:sz w:val="21"/>
                <w:szCs w:val="21"/>
                <w:lang w:bidi="ar"/>
              </w:rPr>
            </w:pPr>
            <w:r>
              <w:rPr>
                <w:rFonts w:ascii="Times New Roman" w:hAnsi="Times New Roman"/>
                <w:color w:val="000000"/>
                <w:sz w:val="21"/>
                <w:szCs w:val="21"/>
              </w:rPr>
              <w:t>39,822.11</w:t>
            </w:r>
          </w:p>
        </w:tc>
      </w:tr>
      <w:tr w:rsidR="008D76D6" w14:paraId="5E071E3F" w14:textId="77777777">
        <w:trPr>
          <w:trHeight w:val="397"/>
          <w:jc w:val="center"/>
        </w:trPr>
        <w:tc>
          <w:tcPr>
            <w:tcW w:w="959" w:type="dxa"/>
            <w:vAlign w:val="center"/>
          </w:tcPr>
          <w:p w14:paraId="6DD1B874"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2</w:t>
            </w:r>
          </w:p>
        </w:tc>
        <w:tc>
          <w:tcPr>
            <w:tcW w:w="3784" w:type="dxa"/>
            <w:vAlign w:val="center"/>
          </w:tcPr>
          <w:p w14:paraId="219E26CA"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kern w:val="0"/>
                <w:sz w:val="21"/>
                <w:szCs w:val="21"/>
              </w:rPr>
              <w:t>其他应收款</w:t>
            </w:r>
          </w:p>
        </w:tc>
        <w:tc>
          <w:tcPr>
            <w:tcW w:w="3785" w:type="dxa"/>
            <w:vAlign w:val="center"/>
          </w:tcPr>
          <w:p w14:paraId="4B42D58B"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645.46</w:t>
            </w:r>
          </w:p>
        </w:tc>
      </w:tr>
      <w:tr w:rsidR="008D76D6" w14:paraId="080AD858" w14:textId="77777777">
        <w:trPr>
          <w:trHeight w:val="397"/>
          <w:jc w:val="center"/>
        </w:trPr>
        <w:tc>
          <w:tcPr>
            <w:tcW w:w="959" w:type="dxa"/>
            <w:vAlign w:val="center"/>
          </w:tcPr>
          <w:p w14:paraId="52202E2D"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3</w:t>
            </w:r>
          </w:p>
        </w:tc>
        <w:tc>
          <w:tcPr>
            <w:tcW w:w="3784" w:type="dxa"/>
            <w:vAlign w:val="center"/>
          </w:tcPr>
          <w:p w14:paraId="379865A4"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kern w:val="0"/>
                <w:sz w:val="21"/>
                <w:szCs w:val="21"/>
              </w:rPr>
              <w:t>其他流动资产</w:t>
            </w:r>
          </w:p>
        </w:tc>
        <w:tc>
          <w:tcPr>
            <w:tcW w:w="3785" w:type="dxa"/>
            <w:vAlign w:val="center"/>
          </w:tcPr>
          <w:p w14:paraId="6C8010A1"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3,238.40</w:t>
            </w:r>
          </w:p>
        </w:tc>
      </w:tr>
      <w:tr w:rsidR="008D76D6" w14:paraId="3B213BAF" w14:textId="77777777">
        <w:trPr>
          <w:trHeight w:val="397"/>
          <w:jc w:val="center"/>
        </w:trPr>
        <w:tc>
          <w:tcPr>
            <w:tcW w:w="959" w:type="dxa"/>
            <w:vAlign w:val="center"/>
          </w:tcPr>
          <w:p w14:paraId="231A5228"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4</w:t>
            </w:r>
          </w:p>
        </w:tc>
        <w:tc>
          <w:tcPr>
            <w:tcW w:w="3784" w:type="dxa"/>
            <w:vAlign w:val="center"/>
          </w:tcPr>
          <w:p w14:paraId="43CE861F"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kern w:val="0"/>
                <w:sz w:val="21"/>
                <w:szCs w:val="21"/>
              </w:rPr>
              <w:t>债权投资</w:t>
            </w:r>
          </w:p>
        </w:tc>
        <w:tc>
          <w:tcPr>
            <w:tcW w:w="3785" w:type="dxa"/>
            <w:vAlign w:val="center"/>
          </w:tcPr>
          <w:p w14:paraId="64FC38F0"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1,033.23</w:t>
            </w:r>
          </w:p>
        </w:tc>
      </w:tr>
      <w:tr w:rsidR="008D76D6" w14:paraId="7CBA194A" w14:textId="77777777">
        <w:trPr>
          <w:trHeight w:val="397"/>
          <w:jc w:val="center"/>
        </w:trPr>
        <w:tc>
          <w:tcPr>
            <w:tcW w:w="959" w:type="dxa"/>
            <w:vAlign w:val="center"/>
          </w:tcPr>
          <w:p w14:paraId="04FB8304"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5</w:t>
            </w:r>
          </w:p>
        </w:tc>
        <w:tc>
          <w:tcPr>
            <w:tcW w:w="3784" w:type="dxa"/>
            <w:vAlign w:val="center"/>
          </w:tcPr>
          <w:p w14:paraId="3FDDED25"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kern w:val="0"/>
                <w:sz w:val="21"/>
                <w:szCs w:val="21"/>
              </w:rPr>
              <w:t>其他权益工具投资</w:t>
            </w:r>
          </w:p>
        </w:tc>
        <w:tc>
          <w:tcPr>
            <w:tcW w:w="3785" w:type="dxa"/>
            <w:vAlign w:val="center"/>
          </w:tcPr>
          <w:p w14:paraId="3FDF833A"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0.00</w:t>
            </w:r>
          </w:p>
        </w:tc>
      </w:tr>
      <w:tr w:rsidR="008D76D6" w14:paraId="55946787" w14:textId="77777777">
        <w:trPr>
          <w:trHeight w:val="397"/>
          <w:jc w:val="center"/>
        </w:trPr>
        <w:tc>
          <w:tcPr>
            <w:tcW w:w="959" w:type="dxa"/>
            <w:vAlign w:val="center"/>
          </w:tcPr>
          <w:p w14:paraId="0A692831"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6</w:t>
            </w:r>
          </w:p>
        </w:tc>
        <w:tc>
          <w:tcPr>
            <w:tcW w:w="3784" w:type="dxa"/>
            <w:vAlign w:val="center"/>
          </w:tcPr>
          <w:p w14:paraId="7F37A076"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kern w:val="0"/>
                <w:sz w:val="21"/>
                <w:szCs w:val="21"/>
              </w:rPr>
              <w:t>其他非流动金融资产</w:t>
            </w:r>
          </w:p>
        </w:tc>
        <w:tc>
          <w:tcPr>
            <w:tcW w:w="3785" w:type="dxa"/>
            <w:vAlign w:val="center"/>
          </w:tcPr>
          <w:p w14:paraId="1413C5B5"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0.00</w:t>
            </w:r>
          </w:p>
        </w:tc>
      </w:tr>
      <w:tr w:rsidR="008D76D6" w14:paraId="0352E41B" w14:textId="77777777">
        <w:trPr>
          <w:trHeight w:val="397"/>
          <w:jc w:val="center"/>
        </w:trPr>
        <w:tc>
          <w:tcPr>
            <w:tcW w:w="959" w:type="dxa"/>
            <w:vAlign w:val="center"/>
          </w:tcPr>
          <w:p w14:paraId="3954776A"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7</w:t>
            </w:r>
          </w:p>
        </w:tc>
        <w:tc>
          <w:tcPr>
            <w:tcW w:w="3784" w:type="dxa"/>
            <w:vAlign w:val="center"/>
          </w:tcPr>
          <w:p w14:paraId="78760162"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kern w:val="0"/>
                <w:sz w:val="21"/>
                <w:szCs w:val="21"/>
              </w:rPr>
              <w:t>长期股权投资</w:t>
            </w:r>
          </w:p>
        </w:tc>
        <w:tc>
          <w:tcPr>
            <w:tcW w:w="3785" w:type="dxa"/>
            <w:vAlign w:val="center"/>
          </w:tcPr>
          <w:p w14:paraId="622011AC"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0.00</w:t>
            </w:r>
          </w:p>
        </w:tc>
      </w:tr>
      <w:tr w:rsidR="008D76D6" w14:paraId="25DC8CEF" w14:textId="77777777">
        <w:trPr>
          <w:trHeight w:val="397"/>
          <w:jc w:val="center"/>
        </w:trPr>
        <w:tc>
          <w:tcPr>
            <w:tcW w:w="959" w:type="dxa"/>
            <w:vAlign w:val="center"/>
          </w:tcPr>
          <w:p w14:paraId="1E059383" w14:textId="77777777" w:rsidR="008D76D6" w:rsidRDefault="008D76D6" w:rsidP="00CE3CA5">
            <w:pPr>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8</w:t>
            </w:r>
          </w:p>
        </w:tc>
        <w:tc>
          <w:tcPr>
            <w:tcW w:w="3784" w:type="dxa"/>
            <w:vAlign w:val="center"/>
          </w:tcPr>
          <w:p w14:paraId="56F8C8CE"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2"/>
              </w:rPr>
            </w:pPr>
            <w:r>
              <w:rPr>
                <w:rFonts w:ascii="Times New Roman" w:hAnsi="Times New Roman"/>
                <w:kern w:val="0"/>
                <w:sz w:val="21"/>
                <w:szCs w:val="21"/>
              </w:rPr>
              <w:t>其他非流动资产</w:t>
            </w:r>
          </w:p>
        </w:tc>
        <w:tc>
          <w:tcPr>
            <w:tcW w:w="3785" w:type="dxa"/>
            <w:vAlign w:val="center"/>
          </w:tcPr>
          <w:p w14:paraId="213C6ADE"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2.00</w:t>
            </w:r>
          </w:p>
        </w:tc>
      </w:tr>
    </w:tbl>
    <w:p w14:paraId="19176ED7" w14:textId="77777777" w:rsidR="008D76D6" w:rsidRDefault="008D76D6">
      <w:pPr>
        <w:spacing w:before="120" w:after="120"/>
        <w:ind w:firstLine="480"/>
      </w:pPr>
      <w:bookmarkStart w:id="21" w:name="_Hlk50304555"/>
      <w:r>
        <w:rPr>
          <w:rFonts w:hint="eastAsia"/>
        </w:rPr>
        <w:t>各科目具体分析如下：</w:t>
      </w:r>
    </w:p>
    <w:bookmarkEnd w:id="21"/>
    <w:p w14:paraId="3303E28E" w14:textId="77777777" w:rsidR="008D76D6" w:rsidRPr="008C4EDC" w:rsidRDefault="008D76D6">
      <w:pPr>
        <w:pStyle w:val="WL06-"/>
        <w:spacing w:before="120" w:after="120"/>
        <w:ind w:firstLine="480"/>
      </w:pPr>
      <w:r w:rsidRPr="008C4EDC">
        <w:rPr>
          <w:rFonts w:hint="eastAsia"/>
        </w:rPr>
        <w:t>（</w:t>
      </w:r>
      <w:r w:rsidRPr="008C4EDC">
        <w:rPr>
          <w:rFonts w:hint="eastAsia"/>
        </w:rPr>
        <w:t>1</w:t>
      </w:r>
      <w:r w:rsidRPr="008C4EDC">
        <w:rPr>
          <w:rFonts w:hint="eastAsia"/>
        </w:rPr>
        <w:t>）交易性金融资产</w:t>
      </w:r>
    </w:p>
    <w:p w14:paraId="3717411F" w14:textId="77777777" w:rsidR="008D76D6" w:rsidRDefault="008D76D6">
      <w:pPr>
        <w:pStyle w:val="WL06-"/>
        <w:spacing w:before="120" w:after="120"/>
        <w:ind w:firstLine="480"/>
      </w:pPr>
      <w:bookmarkStart w:id="22" w:name="_Hlk138965828"/>
      <w:r>
        <w:rPr>
          <w:rFonts w:hint="eastAsia"/>
        </w:rPr>
        <w:t>截至</w:t>
      </w:r>
      <w:r>
        <w:rPr>
          <w:rFonts w:hint="eastAsia"/>
        </w:rPr>
        <w:t>202</w:t>
      </w:r>
      <w:r>
        <w:t>3</w:t>
      </w:r>
      <w:r>
        <w:rPr>
          <w:rFonts w:hint="eastAsia"/>
        </w:rPr>
        <w:t>年</w:t>
      </w:r>
      <w:r>
        <w:rPr>
          <w:rFonts w:hint="eastAsia"/>
        </w:rPr>
        <w:t>9</w:t>
      </w:r>
      <w:r>
        <w:rPr>
          <w:rFonts w:hint="eastAsia"/>
        </w:rPr>
        <w:t>月</w:t>
      </w:r>
      <w:r>
        <w:rPr>
          <w:rFonts w:hint="eastAsia"/>
        </w:rPr>
        <w:t>3</w:t>
      </w:r>
      <w:r>
        <w:t>0</w:t>
      </w:r>
      <w:r>
        <w:rPr>
          <w:rFonts w:hint="eastAsia"/>
        </w:rPr>
        <w:t>日，发行人交易性金融资产账面价值为</w:t>
      </w:r>
      <w:r>
        <w:t>39,822.11</w:t>
      </w:r>
      <w:r>
        <w:rPr>
          <w:rFonts w:hint="eastAsia"/>
        </w:rPr>
        <w:t>万元。交易性金融资产的具体明细如下：</w:t>
      </w:r>
    </w:p>
    <w:p w14:paraId="122A0C72" w14:textId="77777777" w:rsidR="008D76D6" w:rsidRDefault="008D76D6">
      <w:pPr>
        <w:keepNext/>
        <w:spacing w:beforeLines="0" w:before="0" w:afterLines="0" w:after="0" w:line="240" w:lineRule="auto"/>
        <w:ind w:firstLine="420"/>
        <w:jc w:val="right"/>
        <w:rPr>
          <w:rFonts w:cs="Mongolian Baiti"/>
          <w:sz w:val="21"/>
          <w:szCs w:val="21"/>
        </w:rPr>
      </w:pPr>
      <w:r>
        <w:rPr>
          <w:rFonts w:cs="Mongolian Baiti" w:hint="eastAsia"/>
          <w:sz w:val="21"/>
          <w:szCs w:val="21"/>
        </w:rPr>
        <w:t>单位：万元</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1174"/>
        <w:gridCol w:w="1198"/>
        <w:gridCol w:w="1946"/>
        <w:gridCol w:w="1049"/>
        <w:gridCol w:w="1497"/>
        <w:gridCol w:w="958"/>
      </w:tblGrid>
      <w:tr w:rsidR="008D76D6" w14:paraId="57B52EEB" w14:textId="77777777">
        <w:trPr>
          <w:trHeight w:val="397"/>
          <w:tblHeader/>
          <w:jc w:val="center"/>
        </w:trPr>
        <w:tc>
          <w:tcPr>
            <w:tcW w:w="1124" w:type="dxa"/>
            <w:shd w:val="clear" w:color="auto" w:fill="D9D9D9"/>
            <w:vAlign w:val="center"/>
          </w:tcPr>
          <w:p w14:paraId="722C1E25" w14:textId="77777777" w:rsidR="008D76D6" w:rsidRDefault="008D76D6" w:rsidP="00D16FB7">
            <w:pPr>
              <w:keepNext/>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产品名称</w:t>
            </w:r>
          </w:p>
        </w:tc>
        <w:tc>
          <w:tcPr>
            <w:tcW w:w="1111" w:type="dxa"/>
            <w:shd w:val="clear" w:color="auto" w:fill="D9D9D9"/>
            <w:vAlign w:val="center"/>
          </w:tcPr>
          <w:p w14:paraId="218D5C24" w14:textId="77777777" w:rsidR="008D76D6" w:rsidRDefault="008D76D6" w:rsidP="00D16FB7">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账面价值</w:t>
            </w:r>
          </w:p>
        </w:tc>
        <w:tc>
          <w:tcPr>
            <w:tcW w:w="1134" w:type="dxa"/>
            <w:shd w:val="clear" w:color="auto" w:fill="D9D9D9"/>
            <w:vAlign w:val="center"/>
          </w:tcPr>
          <w:p w14:paraId="47149DBB" w14:textId="77777777" w:rsidR="008D76D6" w:rsidRDefault="008D76D6" w:rsidP="00D16FB7">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投资背景</w:t>
            </w:r>
          </w:p>
        </w:tc>
        <w:tc>
          <w:tcPr>
            <w:tcW w:w="1842" w:type="dxa"/>
            <w:shd w:val="clear" w:color="auto" w:fill="D9D9D9"/>
            <w:vAlign w:val="center"/>
          </w:tcPr>
          <w:p w14:paraId="7CF3E1CD" w14:textId="77777777" w:rsidR="008D76D6" w:rsidRDefault="008D76D6" w:rsidP="00D16FB7">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投资对象</w:t>
            </w:r>
          </w:p>
        </w:tc>
        <w:tc>
          <w:tcPr>
            <w:tcW w:w="993" w:type="dxa"/>
            <w:shd w:val="clear" w:color="auto" w:fill="D9D9D9"/>
            <w:vAlign w:val="center"/>
          </w:tcPr>
          <w:p w14:paraId="332A71A1" w14:textId="77777777" w:rsidR="008D76D6" w:rsidRDefault="008D76D6" w:rsidP="00D16FB7">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风险等级</w:t>
            </w:r>
          </w:p>
        </w:tc>
        <w:tc>
          <w:tcPr>
            <w:tcW w:w="1417" w:type="dxa"/>
            <w:shd w:val="clear" w:color="auto" w:fill="D9D9D9"/>
            <w:vAlign w:val="center"/>
          </w:tcPr>
          <w:p w14:paraId="7E560693" w14:textId="77777777" w:rsidR="008D76D6" w:rsidRDefault="008D76D6" w:rsidP="00D16FB7">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收益率区间</w:t>
            </w:r>
          </w:p>
        </w:tc>
        <w:tc>
          <w:tcPr>
            <w:tcW w:w="907" w:type="dxa"/>
            <w:shd w:val="clear" w:color="auto" w:fill="D9D9D9"/>
          </w:tcPr>
          <w:p w14:paraId="4547347B" w14:textId="77777777" w:rsidR="008D76D6" w:rsidRDefault="008D76D6" w:rsidP="00D16FB7">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是否认定为财务性投资</w:t>
            </w:r>
          </w:p>
        </w:tc>
      </w:tr>
      <w:tr w:rsidR="008D76D6" w14:paraId="38119E2C" w14:textId="77777777">
        <w:trPr>
          <w:trHeight w:val="397"/>
          <w:jc w:val="center"/>
        </w:trPr>
        <w:tc>
          <w:tcPr>
            <w:tcW w:w="1124" w:type="dxa"/>
            <w:vAlign w:val="center"/>
          </w:tcPr>
          <w:p w14:paraId="5CD5DE36" w14:textId="77777777" w:rsidR="008D76D6" w:rsidRDefault="008D76D6" w:rsidP="008C4EDC">
            <w:pPr>
              <w:spacing w:beforeLines="0" w:before="0" w:afterLines="0" w:after="0" w:line="240" w:lineRule="auto"/>
              <w:ind w:firstLineChars="0" w:firstLine="0"/>
              <w:rPr>
                <w:rFonts w:ascii="Times New Roman" w:hAnsi="Times New Roman"/>
                <w:color w:val="000000"/>
                <w:sz w:val="21"/>
                <w:szCs w:val="21"/>
              </w:rPr>
            </w:pPr>
            <w:r>
              <w:rPr>
                <w:rFonts w:ascii="Times New Roman" w:hAnsi="Times New Roman"/>
                <w:color w:val="000000"/>
                <w:sz w:val="21"/>
                <w:szCs w:val="21"/>
              </w:rPr>
              <w:t>益安地风</w:t>
            </w:r>
            <w:r>
              <w:rPr>
                <w:rFonts w:ascii="Times New Roman" w:hAnsi="Times New Roman"/>
                <w:color w:val="000000"/>
                <w:sz w:val="21"/>
                <w:szCs w:val="21"/>
              </w:rPr>
              <w:t>5</w:t>
            </w:r>
            <w:r>
              <w:rPr>
                <w:rFonts w:ascii="Times New Roman" w:hAnsi="Times New Roman"/>
                <w:color w:val="000000"/>
                <w:sz w:val="21"/>
                <w:szCs w:val="21"/>
              </w:rPr>
              <w:t>号私募证券投资基金</w:t>
            </w:r>
          </w:p>
        </w:tc>
        <w:tc>
          <w:tcPr>
            <w:tcW w:w="1111" w:type="dxa"/>
            <w:vAlign w:val="center"/>
          </w:tcPr>
          <w:p w14:paraId="13BAAC97" w14:textId="77777777" w:rsidR="008D76D6" w:rsidRDefault="008D76D6" w:rsidP="00D16FB7">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11,138.97</w:t>
            </w:r>
          </w:p>
        </w:tc>
        <w:tc>
          <w:tcPr>
            <w:tcW w:w="1134" w:type="dxa"/>
            <w:vAlign w:val="center"/>
          </w:tcPr>
          <w:p w14:paraId="7B7BD0B4"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提高资金使用效率和收益水平</w:t>
            </w:r>
          </w:p>
        </w:tc>
        <w:tc>
          <w:tcPr>
            <w:tcW w:w="1842" w:type="dxa"/>
            <w:vAlign w:val="center"/>
          </w:tcPr>
          <w:p w14:paraId="58027DE7"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现金管理类、股票类、债券类、公募基金、商品及金融衍生品类、资产管理类、可开展融资融券交易、转融通证券出借交易</w:t>
            </w:r>
          </w:p>
        </w:tc>
        <w:tc>
          <w:tcPr>
            <w:tcW w:w="993" w:type="dxa"/>
            <w:vAlign w:val="center"/>
          </w:tcPr>
          <w:p w14:paraId="72A4F223"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R4</w:t>
            </w:r>
            <w:r>
              <w:rPr>
                <w:rFonts w:ascii="Times New Roman" w:hAnsi="Times New Roman"/>
                <w:color w:val="000000"/>
                <w:sz w:val="21"/>
                <w:szCs w:val="21"/>
              </w:rPr>
              <w:t>（成长型）</w:t>
            </w:r>
          </w:p>
        </w:tc>
        <w:tc>
          <w:tcPr>
            <w:tcW w:w="1417" w:type="dxa"/>
            <w:vAlign w:val="center"/>
          </w:tcPr>
          <w:p w14:paraId="3CEA2625"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w:t>
            </w:r>
          </w:p>
        </w:tc>
        <w:tc>
          <w:tcPr>
            <w:tcW w:w="907" w:type="dxa"/>
            <w:vAlign w:val="center"/>
          </w:tcPr>
          <w:p w14:paraId="7DC635F9"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是</w:t>
            </w:r>
          </w:p>
        </w:tc>
      </w:tr>
      <w:tr w:rsidR="008D76D6" w14:paraId="197839CC" w14:textId="77777777">
        <w:trPr>
          <w:trHeight w:val="397"/>
          <w:jc w:val="center"/>
        </w:trPr>
        <w:tc>
          <w:tcPr>
            <w:tcW w:w="1124" w:type="dxa"/>
            <w:vAlign w:val="center"/>
          </w:tcPr>
          <w:p w14:paraId="16EDDC9F" w14:textId="77777777" w:rsidR="008D76D6" w:rsidRDefault="008D76D6" w:rsidP="008C4EDC">
            <w:pPr>
              <w:spacing w:beforeLines="0" w:before="0" w:afterLines="0" w:after="0" w:line="240" w:lineRule="auto"/>
              <w:ind w:firstLineChars="0" w:firstLine="0"/>
              <w:rPr>
                <w:rFonts w:ascii="Times New Roman" w:hAnsi="Times New Roman"/>
                <w:color w:val="000000"/>
                <w:sz w:val="21"/>
                <w:szCs w:val="21"/>
              </w:rPr>
            </w:pPr>
            <w:r>
              <w:rPr>
                <w:rFonts w:ascii="Times New Roman" w:hAnsi="Times New Roman"/>
                <w:color w:val="000000"/>
                <w:sz w:val="21"/>
                <w:szCs w:val="21"/>
              </w:rPr>
              <w:t>共赢慧信汇率挂钩人民币结构性存款</w:t>
            </w:r>
            <w:r>
              <w:rPr>
                <w:rFonts w:ascii="Times New Roman" w:hAnsi="Times New Roman"/>
                <w:color w:val="000000"/>
                <w:sz w:val="21"/>
                <w:szCs w:val="21"/>
              </w:rPr>
              <w:t>00246</w:t>
            </w:r>
            <w:r>
              <w:rPr>
                <w:rFonts w:ascii="Times New Roman" w:hAnsi="Times New Roman"/>
                <w:color w:val="000000"/>
                <w:sz w:val="21"/>
                <w:szCs w:val="21"/>
              </w:rPr>
              <w:t>期</w:t>
            </w:r>
          </w:p>
        </w:tc>
        <w:tc>
          <w:tcPr>
            <w:tcW w:w="1111" w:type="dxa"/>
            <w:vAlign w:val="center"/>
          </w:tcPr>
          <w:p w14:paraId="3E35830C" w14:textId="77777777" w:rsidR="008D76D6" w:rsidRDefault="008D76D6" w:rsidP="00D16FB7">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4,972.95</w:t>
            </w:r>
          </w:p>
        </w:tc>
        <w:tc>
          <w:tcPr>
            <w:tcW w:w="1134" w:type="dxa"/>
            <w:vAlign w:val="center"/>
          </w:tcPr>
          <w:p w14:paraId="25F1418C"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提高资金使用效率和收益水平</w:t>
            </w:r>
          </w:p>
        </w:tc>
        <w:tc>
          <w:tcPr>
            <w:tcW w:w="1842" w:type="dxa"/>
            <w:vAlign w:val="center"/>
          </w:tcPr>
          <w:p w14:paraId="336C57B3"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保本浮动收益，联系标的欧元</w:t>
            </w:r>
            <w:r>
              <w:rPr>
                <w:rFonts w:ascii="Times New Roman" w:eastAsia="等线" w:hAnsi="Times New Roman"/>
                <w:color w:val="000000"/>
                <w:sz w:val="21"/>
                <w:szCs w:val="21"/>
              </w:rPr>
              <w:t>/</w:t>
            </w:r>
            <w:r>
              <w:rPr>
                <w:rFonts w:ascii="Times New Roman" w:hAnsi="Times New Roman"/>
                <w:color w:val="000000"/>
                <w:sz w:val="21"/>
                <w:szCs w:val="21"/>
              </w:rPr>
              <w:t>美元即期汇率</w:t>
            </w:r>
          </w:p>
        </w:tc>
        <w:tc>
          <w:tcPr>
            <w:tcW w:w="993" w:type="dxa"/>
            <w:vAlign w:val="center"/>
          </w:tcPr>
          <w:p w14:paraId="5E6D3E93"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R1</w:t>
            </w:r>
            <w:r>
              <w:rPr>
                <w:rFonts w:ascii="Times New Roman" w:hAnsi="Times New Roman"/>
                <w:color w:val="000000"/>
                <w:sz w:val="21"/>
                <w:szCs w:val="21"/>
              </w:rPr>
              <w:t>（谨慎型）</w:t>
            </w:r>
          </w:p>
        </w:tc>
        <w:tc>
          <w:tcPr>
            <w:tcW w:w="1417" w:type="dxa"/>
            <w:vAlign w:val="center"/>
          </w:tcPr>
          <w:p w14:paraId="2006715C"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eastAsia="等线" w:hAnsi="Times New Roman"/>
                <w:color w:val="000000"/>
                <w:sz w:val="21"/>
                <w:szCs w:val="21"/>
              </w:rPr>
              <w:t>1.05%-2.75%</w:t>
            </w:r>
          </w:p>
        </w:tc>
        <w:tc>
          <w:tcPr>
            <w:tcW w:w="907" w:type="dxa"/>
            <w:vAlign w:val="center"/>
          </w:tcPr>
          <w:p w14:paraId="323795BD"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否</w:t>
            </w:r>
          </w:p>
        </w:tc>
      </w:tr>
      <w:tr w:rsidR="008D76D6" w14:paraId="4C6DD6FC" w14:textId="77777777">
        <w:trPr>
          <w:trHeight w:val="397"/>
          <w:jc w:val="center"/>
        </w:trPr>
        <w:tc>
          <w:tcPr>
            <w:tcW w:w="1124" w:type="dxa"/>
            <w:vAlign w:val="center"/>
          </w:tcPr>
          <w:p w14:paraId="344DFB30" w14:textId="77777777" w:rsidR="008D76D6" w:rsidRDefault="008D76D6" w:rsidP="008C4EDC">
            <w:pPr>
              <w:spacing w:beforeLines="0" w:before="0" w:afterLines="0" w:after="0" w:line="240" w:lineRule="auto"/>
              <w:ind w:firstLineChars="0" w:firstLine="0"/>
              <w:rPr>
                <w:rFonts w:ascii="Times New Roman" w:hAnsi="Times New Roman"/>
                <w:color w:val="000000"/>
                <w:sz w:val="21"/>
                <w:szCs w:val="21"/>
              </w:rPr>
            </w:pPr>
            <w:r>
              <w:rPr>
                <w:rFonts w:ascii="Times New Roman" w:hAnsi="Times New Roman"/>
                <w:color w:val="000000"/>
                <w:sz w:val="21"/>
                <w:szCs w:val="21"/>
              </w:rPr>
              <w:t>平安银行对公结构性存款（</w:t>
            </w:r>
            <w:r>
              <w:rPr>
                <w:rFonts w:ascii="Times New Roman" w:hAnsi="Times New Roman"/>
                <w:color w:val="000000"/>
                <w:sz w:val="21"/>
                <w:szCs w:val="21"/>
              </w:rPr>
              <w:t>100%</w:t>
            </w:r>
            <w:r>
              <w:rPr>
                <w:rFonts w:ascii="Times New Roman" w:hAnsi="Times New Roman"/>
                <w:color w:val="000000"/>
                <w:sz w:val="21"/>
                <w:szCs w:val="21"/>
              </w:rPr>
              <w:t>保本挂钩指数）产品</w:t>
            </w:r>
          </w:p>
        </w:tc>
        <w:tc>
          <w:tcPr>
            <w:tcW w:w="1111" w:type="dxa"/>
            <w:vAlign w:val="center"/>
          </w:tcPr>
          <w:p w14:paraId="2EAA1D21" w14:textId="77777777" w:rsidR="008D76D6" w:rsidRDefault="008D76D6" w:rsidP="00D16FB7">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4,058.79</w:t>
            </w:r>
          </w:p>
        </w:tc>
        <w:tc>
          <w:tcPr>
            <w:tcW w:w="1134" w:type="dxa"/>
            <w:vAlign w:val="center"/>
          </w:tcPr>
          <w:p w14:paraId="4F2C59C6"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提高资金使用效率和收益水平</w:t>
            </w:r>
          </w:p>
        </w:tc>
        <w:tc>
          <w:tcPr>
            <w:tcW w:w="1842" w:type="dxa"/>
            <w:vAlign w:val="center"/>
          </w:tcPr>
          <w:p w14:paraId="737CD226"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保本浮动收益，挂钩沪深</w:t>
            </w:r>
            <w:r>
              <w:rPr>
                <w:rFonts w:ascii="Times New Roman" w:eastAsia="等线" w:hAnsi="Times New Roman"/>
                <w:color w:val="000000"/>
                <w:sz w:val="21"/>
                <w:szCs w:val="21"/>
              </w:rPr>
              <w:t>300</w:t>
            </w:r>
            <w:r>
              <w:rPr>
                <w:rFonts w:ascii="Times New Roman" w:hAnsi="Times New Roman"/>
                <w:color w:val="000000"/>
                <w:sz w:val="21"/>
                <w:szCs w:val="21"/>
              </w:rPr>
              <w:t>指数</w:t>
            </w:r>
          </w:p>
        </w:tc>
        <w:tc>
          <w:tcPr>
            <w:tcW w:w="993" w:type="dxa"/>
            <w:vAlign w:val="center"/>
          </w:tcPr>
          <w:p w14:paraId="1696F81D"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R2</w:t>
            </w:r>
            <w:r>
              <w:rPr>
                <w:rFonts w:ascii="Times New Roman" w:hAnsi="Times New Roman"/>
                <w:color w:val="000000"/>
                <w:sz w:val="21"/>
                <w:szCs w:val="21"/>
              </w:rPr>
              <w:t>（稳健型）</w:t>
            </w:r>
          </w:p>
        </w:tc>
        <w:tc>
          <w:tcPr>
            <w:tcW w:w="1417" w:type="dxa"/>
            <w:vAlign w:val="center"/>
          </w:tcPr>
          <w:p w14:paraId="38B93133"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eastAsia="等线" w:hAnsi="Times New Roman"/>
                <w:color w:val="000000"/>
                <w:sz w:val="21"/>
                <w:szCs w:val="21"/>
              </w:rPr>
              <w:t>1.95%-3.00%</w:t>
            </w:r>
          </w:p>
        </w:tc>
        <w:tc>
          <w:tcPr>
            <w:tcW w:w="907" w:type="dxa"/>
            <w:vAlign w:val="center"/>
          </w:tcPr>
          <w:p w14:paraId="33A14200"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否</w:t>
            </w:r>
          </w:p>
        </w:tc>
      </w:tr>
      <w:tr w:rsidR="008D76D6" w14:paraId="57D71A4C" w14:textId="77777777">
        <w:trPr>
          <w:trHeight w:val="397"/>
          <w:jc w:val="center"/>
        </w:trPr>
        <w:tc>
          <w:tcPr>
            <w:tcW w:w="1124" w:type="dxa"/>
            <w:vAlign w:val="center"/>
          </w:tcPr>
          <w:p w14:paraId="2CDD6B59" w14:textId="77777777" w:rsidR="008D76D6" w:rsidRDefault="008D76D6" w:rsidP="008C4EDC">
            <w:pPr>
              <w:spacing w:beforeLines="0" w:before="0" w:afterLines="0" w:after="0" w:line="240" w:lineRule="auto"/>
              <w:ind w:firstLineChars="0" w:firstLine="0"/>
              <w:rPr>
                <w:rFonts w:ascii="Times New Roman" w:hAnsi="Times New Roman"/>
                <w:color w:val="000000"/>
                <w:sz w:val="21"/>
                <w:szCs w:val="21"/>
              </w:rPr>
            </w:pPr>
            <w:r>
              <w:rPr>
                <w:rFonts w:ascii="Times New Roman" w:hAnsi="Times New Roman"/>
                <w:color w:val="000000"/>
                <w:sz w:val="21"/>
                <w:szCs w:val="21"/>
              </w:rPr>
              <w:t>平安银行对公结构性存款（</w:t>
            </w:r>
            <w:r>
              <w:rPr>
                <w:rFonts w:ascii="Times New Roman" w:hAnsi="Times New Roman"/>
                <w:color w:val="000000"/>
                <w:sz w:val="21"/>
                <w:szCs w:val="21"/>
              </w:rPr>
              <w:t>100%</w:t>
            </w:r>
            <w:r>
              <w:rPr>
                <w:rFonts w:ascii="Times New Roman" w:hAnsi="Times New Roman"/>
                <w:color w:val="000000"/>
                <w:sz w:val="21"/>
                <w:szCs w:val="21"/>
              </w:rPr>
              <w:t>保本挂钩黄金）</w:t>
            </w:r>
            <w:r>
              <w:rPr>
                <w:rFonts w:ascii="Times New Roman" w:hAnsi="Times New Roman"/>
                <w:color w:val="000000"/>
                <w:sz w:val="21"/>
                <w:szCs w:val="21"/>
              </w:rPr>
              <w:t>TGG23200830</w:t>
            </w:r>
            <w:r>
              <w:rPr>
                <w:rFonts w:ascii="Times New Roman" w:hAnsi="Times New Roman"/>
                <w:color w:val="000000"/>
                <w:sz w:val="21"/>
                <w:szCs w:val="21"/>
              </w:rPr>
              <w:t>期产品</w:t>
            </w:r>
          </w:p>
        </w:tc>
        <w:tc>
          <w:tcPr>
            <w:tcW w:w="1111" w:type="dxa"/>
            <w:vAlign w:val="center"/>
          </w:tcPr>
          <w:p w14:paraId="456BFB17" w14:textId="77777777" w:rsidR="008D76D6" w:rsidRDefault="008D76D6" w:rsidP="00D16FB7">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4,021.81</w:t>
            </w:r>
          </w:p>
        </w:tc>
        <w:tc>
          <w:tcPr>
            <w:tcW w:w="1134" w:type="dxa"/>
            <w:vAlign w:val="center"/>
          </w:tcPr>
          <w:p w14:paraId="5A8C7F50"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提高资金使用效率和收益水平</w:t>
            </w:r>
          </w:p>
        </w:tc>
        <w:tc>
          <w:tcPr>
            <w:tcW w:w="1842" w:type="dxa"/>
            <w:vAlign w:val="center"/>
          </w:tcPr>
          <w:p w14:paraId="5AFD17B9"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保本浮动收益，挂钩上海金</w:t>
            </w:r>
          </w:p>
        </w:tc>
        <w:tc>
          <w:tcPr>
            <w:tcW w:w="993" w:type="dxa"/>
            <w:vAlign w:val="center"/>
          </w:tcPr>
          <w:p w14:paraId="3A83F11E"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R2</w:t>
            </w:r>
            <w:r>
              <w:rPr>
                <w:rFonts w:ascii="Times New Roman" w:hAnsi="Times New Roman"/>
                <w:color w:val="000000"/>
                <w:sz w:val="21"/>
                <w:szCs w:val="21"/>
              </w:rPr>
              <w:t>（稳健型）</w:t>
            </w:r>
          </w:p>
        </w:tc>
        <w:tc>
          <w:tcPr>
            <w:tcW w:w="1417" w:type="dxa"/>
            <w:vAlign w:val="center"/>
          </w:tcPr>
          <w:p w14:paraId="72C5EEBA"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eastAsia="等线" w:hAnsi="Times New Roman"/>
                <w:color w:val="000000"/>
                <w:sz w:val="21"/>
                <w:szCs w:val="21"/>
              </w:rPr>
              <w:t>1.75%-2.97%</w:t>
            </w:r>
          </w:p>
        </w:tc>
        <w:tc>
          <w:tcPr>
            <w:tcW w:w="907" w:type="dxa"/>
            <w:vAlign w:val="center"/>
          </w:tcPr>
          <w:p w14:paraId="2E6445D0"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否</w:t>
            </w:r>
          </w:p>
        </w:tc>
      </w:tr>
      <w:tr w:rsidR="008D76D6" w14:paraId="254AB399" w14:textId="77777777">
        <w:trPr>
          <w:trHeight w:val="397"/>
          <w:jc w:val="center"/>
        </w:trPr>
        <w:tc>
          <w:tcPr>
            <w:tcW w:w="1124" w:type="dxa"/>
            <w:vAlign w:val="center"/>
          </w:tcPr>
          <w:p w14:paraId="7218B85D" w14:textId="77777777" w:rsidR="008D76D6" w:rsidRDefault="008D76D6" w:rsidP="008C4EDC">
            <w:pPr>
              <w:spacing w:beforeLines="0" w:before="0" w:afterLines="0" w:after="0" w:line="240" w:lineRule="auto"/>
              <w:ind w:firstLineChars="0" w:firstLine="0"/>
              <w:rPr>
                <w:rFonts w:ascii="Times New Roman" w:hAnsi="Times New Roman"/>
                <w:color w:val="000000"/>
                <w:sz w:val="21"/>
                <w:szCs w:val="21"/>
              </w:rPr>
            </w:pPr>
            <w:r>
              <w:rPr>
                <w:rFonts w:ascii="Times New Roman" w:hAnsi="Times New Roman"/>
                <w:color w:val="000000"/>
                <w:sz w:val="21"/>
                <w:szCs w:val="21"/>
              </w:rPr>
              <w:t>平安银行对公结构性存款（</w:t>
            </w:r>
            <w:r>
              <w:rPr>
                <w:rFonts w:ascii="Times New Roman" w:hAnsi="Times New Roman"/>
                <w:color w:val="000000"/>
                <w:sz w:val="21"/>
                <w:szCs w:val="21"/>
              </w:rPr>
              <w:t>100%</w:t>
            </w:r>
            <w:r>
              <w:rPr>
                <w:rFonts w:ascii="Times New Roman" w:hAnsi="Times New Roman"/>
                <w:color w:val="000000"/>
                <w:sz w:val="21"/>
                <w:szCs w:val="21"/>
              </w:rPr>
              <w:t>保本挂钩指数）</w:t>
            </w:r>
            <w:r>
              <w:rPr>
                <w:rFonts w:ascii="Times New Roman" w:hAnsi="Times New Roman"/>
                <w:color w:val="000000"/>
                <w:sz w:val="21"/>
                <w:szCs w:val="21"/>
              </w:rPr>
              <w:t>2023</w:t>
            </w:r>
            <w:r>
              <w:rPr>
                <w:rFonts w:ascii="Times New Roman" w:hAnsi="Times New Roman"/>
                <w:color w:val="000000"/>
                <w:sz w:val="21"/>
                <w:szCs w:val="21"/>
              </w:rPr>
              <w:t>年</w:t>
            </w:r>
            <w:r>
              <w:rPr>
                <w:rFonts w:ascii="Times New Roman" w:hAnsi="Times New Roman"/>
                <w:color w:val="000000"/>
                <w:sz w:val="21"/>
                <w:szCs w:val="21"/>
              </w:rPr>
              <w:t>TGG23100630</w:t>
            </w:r>
            <w:r>
              <w:rPr>
                <w:rFonts w:ascii="Times New Roman" w:hAnsi="Times New Roman"/>
                <w:color w:val="000000"/>
                <w:sz w:val="21"/>
                <w:szCs w:val="21"/>
              </w:rPr>
              <w:t>期人民币产品</w:t>
            </w:r>
          </w:p>
        </w:tc>
        <w:tc>
          <w:tcPr>
            <w:tcW w:w="1111" w:type="dxa"/>
            <w:vAlign w:val="center"/>
          </w:tcPr>
          <w:p w14:paraId="3965B10F" w14:textId="77777777" w:rsidR="008D76D6" w:rsidRDefault="008D76D6" w:rsidP="00D16FB7">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4,006.60</w:t>
            </w:r>
          </w:p>
        </w:tc>
        <w:tc>
          <w:tcPr>
            <w:tcW w:w="1134" w:type="dxa"/>
            <w:vAlign w:val="center"/>
          </w:tcPr>
          <w:p w14:paraId="0D466E3C"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提高资金使用效率和收益水平</w:t>
            </w:r>
          </w:p>
        </w:tc>
        <w:tc>
          <w:tcPr>
            <w:tcW w:w="1842" w:type="dxa"/>
            <w:vAlign w:val="center"/>
          </w:tcPr>
          <w:p w14:paraId="61FFA8D8"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保本浮动收益，挂钩中证</w:t>
            </w:r>
            <w:r>
              <w:rPr>
                <w:rFonts w:ascii="Times New Roman" w:eastAsia="等线" w:hAnsi="Times New Roman"/>
                <w:color w:val="000000"/>
                <w:sz w:val="21"/>
                <w:szCs w:val="21"/>
              </w:rPr>
              <w:t>500</w:t>
            </w:r>
            <w:r>
              <w:rPr>
                <w:rFonts w:ascii="Times New Roman" w:hAnsi="Times New Roman"/>
                <w:color w:val="000000"/>
                <w:sz w:val="21"/>
                <w:szCs w:val="21"/>
              </w:rPr>
              <w:t>指数</w:t>
            </w:r>
          </w:p>
        </w:tc>
        <w:tc>
          <w:tcPr>
            <w:tcW w:w="993" w:type="dxa"/>
            <w:vAlign w:val="center"/>
          </w:tcPr>
          <w:p w14:paraId="27FD5763"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R2</w:t>
            </w:r>
            <w:r>
              <w:rPr>
                <w:rFonts w:ascii="Times New Roman" w:hAnsi="Times New Roman"/>
                <w:color w:val="000000"/>
                <w:sz w:val="21"/>
                <w:szCs w:val="21"/>
              </w:rPr>
              <w:t>（稳健型）</w:t>
            </w:r>
          </w:p>
        </w:tc>
        <w:tc>
          <w:tcPr>
            <w:tcW w:w="1417" w:type="dxa"/>
            <w:vAlign w:val="center"/>
          </w:tcPr>
          <w:p w14:paraId="3D0E408A"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eastAsia="等线" w:hAnsi="Times New Roman"/>
                <w:color w:val="000000"/>
                <w:sz w:val="21"/>
                <w:szCs w:val="21"/>
              </w:rPr>
              <w:t>1.75%-2.72%</w:t>
            </w:r>
          </w:p>
        </w:tc>
        <w:tc>
          <w:tcPr>
            <w:tcW w:w="907" w:type="dxa"/>
            <w:vAlign w:val="center"/>
          </w:tcPr>
          <w:p w14:paraId="66CEC439"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否</w:t>
            </w:r>
          </w:p>
        </w:tc>
      </w:tr>
      <w:tr w:rsidR="008D76D6" w14:paraId="2A5CA13B" w14:textId="77777777">
        <w:trPr>
          <w:trHeight w:val="397"/>
          <w:jc w:val="center"/>
        </w:trPr>
        <w:tc>
          <w:tcPr>
            <w:tcW w:w="1124" w:type="dxa"/>
            <w:vAlign w:val="center"/>
          </w:tcPr>
          <w:p w14:paraId="3DD8B5D8" w14:textId="77777777" w:rsidR="008D76D6" w:rsidRDefault="008D76D6" w:rsidP="008C4EDC">
            <w:pPr>
              <w:spacing w:beforeLines="0" w:before="0" w:afterLines="0" w:after="0" w:line="240" w:lineRule="auto"/>
              <w:ind w:firstLineChars="0" w:firstLine="0"/>
              <w:rPr>
                <w:rFonts w:ascii="Times New Roman" w:hAnsi="Times New Roman"/>
                <w:color w:val="000000"/>
                <w:sz w:val="21"/>
                <w:szCs w:val="21"/>
              </w:rPr>
            </w:pPr>
            <w:r>
              <w:rPr>
                <w:rFonts w:ascii="Times New Roman" w:hAnsi="Times New Roman"/>
                <w:color w:val="000000"/>
                <w:sz w:val="21"/>
                <w:szCs w:val="21"/>
              </w:rPr>
              <w:t>聚赢股票挂钩沪深</w:t>
            </w:r>
            <w:r>
              <w:rPr>
                <w:rFonts w:ascii="Times New Roman" w:hAnsi="Times New Roman"/>
                <w:color w:val="000000"/>
                <w:sz w:val="21"/>
                <w:szCs w:val="21"/>
              </w:rPr>
              <w:t>300</w:t>
            </w:r>
            <w:r>
              <w:rPr>
                <w:rFonts w:ascii="Times New Roman" w:hAnsi="Times New Roman"/>
                <w:color w:val="000000"/>
                <w:sz w:val="21"/>
                <w:szCs w:val="21"/>
              </w:rPr>
              <w:t>指数双向鲨鱼鳍结构性存款</w:t>
            </w:r>
            <w:r>
              <w:rPr>
                <w:rFonts w:ascii="Times New Roman" w:hAnsi="Times New Roman"/>
                <w:color w:val="000000"/>
                <w:sz w:val="21"/>
                <w:szCs w:val="21"/>
              </w:rPr>
              <w:t>SDGA230502V</w:t>
            </w:r>
          </w:p>
        </w:tc>
        <w:tc>
          <w:tcPr>
            <w:tcW w:w="1111" w:type="dxa"/>
            <w:vAlign w:val="center"/>
          </w:tcPr>
          <w:p w14:paraId="3DC50153" w14:textId="77777777" w:rsidR="008D76D6" w:rsidRDefault="008D76D6" w:rsidP="00D16FB7">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4,002.07</w:t>
            </w:r>
          </w:p>
        </w:tc>
        <w:tc>
          <w:tcPr>
            <w:tcW w:w="1134" w:type="dxa"/>
            <w:vAlign w:val="center"/>
          </w:tcPr>
          <w:p w14:paraId="49D0AF88"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提高资金使用效率和收益水平</w:t>
            </w:r>
          </w:p>
        </w:tc>
        <w:tc>
          <w:tcPr>
            <w:tcW w:w="1842" w:type="dxa"/>
            <w:vAlign w:val="center"/>
          </w:tcPr>
          <w:p w14:paraId="65EAE133"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保本浮动收益，挂钩沪深</w:t>
            </w:r>
            <w:r>
              <w:rPr>
                <w:rFonts w:ascii="Times New Roman" w:eastAsia="等线" w:hAnsi="Times New Roman"/>
                <w:color w:val="000000"/>
                <w:sz w:val="21"/>
                <w:szCs w:val="21"/>
              </w:rPr>
              <w:t>300</w:t>
            </w:r>
            <w:r>
              <w:rPr>
                <w:rFonts w:ascii="Times New Roman" w:hAnsi="Times New Roman"/>
                <w:color w:val="000000"/>
                <w:sz w:val="21"/>
                <w:szCs w:val="21"/>
              </w:rPr>
              <w:t>指数</w:t>
            </w:r>
          </w:p>
        </w:tc>
        <w:tc>
          <w:tcPr>
            <w:tcW w:w="993" w:type="dxa"/>
            <w:vAlign w:val="center"/>
          </w:tcPr>
          <w:p w14:paraId="7ECE57D6"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R1</w:t>
            </w:r>
            <w:r>
              <w:rPr>
                <w:rFonts w:ascii="Times New Roman" w:hAnsi="Times New Roman"/>
                <w:color w:val="000000"/>
                <w:sz w:val="21"/>
                <w:szCs w:val="21"/>
              </w:rPr>
              <w:t>（谨慎型）</w:t>
            </w:r>
          </w:p>
        </w:tc>
        <w:tc>
          <w:tcPr>
            <w:tcW w:w="1417" w:type="dxa"/>
            <w:vAlign w:val="center"/>
          </w:tcPr>
          <w:p w14:paraId="4D0CA5AD"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eastAsia="等线" w:hAnsi="Times New Roman"/>
                <w:color w:val="000000"/>
                <w:sz w:val="21"/>
                <w:szCs w:val="21"/>
              </w:rPr>
              <w:t>1.55%-2.60%</w:t>
            </w:r>
          </w:p>
        </w:tc>
        <w:tc>
          <w:tcPr>
            <w:tcW w:w="907" w:type="dxa"/>
            <w:vAlign w:val="center"/>
          </w:tcPr>
          <w:p w14:paraId="793CBE47"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否</w:t>
            </w:r>
          </w:p>
        </w:tc>
      </w:tr>
      <w:tr w:rsidR="008D76D6" w14:paraId="39FF50DE" w14:textId="77777777">
        <w:trPr>
          <w:trHeight w:val="397"/>
          <w:jc w:val="center"/>
        </w:trPr>
        <w:tc>
          <w:tcPr>
            <w:tcW w:w="1124" w:type="dxa"/>
            <w:vAlign w:val="center"/>
          </w:tcPr>
          <w:p w14:paraId="3EA21C97" w14:textId="77777777" w:rsidR="008D76D6" w:rsidRDefault="008D76D6" w:rsidP="008C4EDC">
            <w:pPr>
              <w:spacing w:beforeLines="0" w:before="0" w:afterLines="0" w:after="0" w:line="240" w:lineRule="auto"/>
              <w:ind w:firstLineChars="0" w:firstLine="0"/>
              <w:rPr>
                <w:rFonts w:ascii="Times New Roman" w:hAnsi="Times New Roman"/>
                <w:color w:val="000000"/>
                <w:sz w:val="21"/>
                <w:szCs w:val="21"/>
              </w:rPr>
            </w:pPr>
            <w:r>
              <w:rPr>
                <w:rFonts w:ascii="Times New Roman" w:hAnsi="Times New Roman"/>
                <w:color w:val="000000"/>
                <w:sz w:val="21"/>
                <w:szCs w:val="21"/>
              </w:rPr>
              <w:t>招商银行点金系列看涨两层区间结构性存款</w:t>
            </w:r>
            <w:r>
              <w:rPr>
                <w:rFonts w:ascii="Times New Roman" w:hAnsi="Times New Roman"/>
                <w:color w:val="000000"/>
                <w:sz w:val="21"/>
                <w:szCs w:val="21"/>
              </w:rPr>
              <w:t>NQD00544</w:t>
            </w:r>
          </w:p>
        </w:tc>
        <w:tc>
          <w:tcPr>
            <w:tcW w:w="1111" w:type="dxa"/>
            <w:vAlign w:val="center"/>
          </w:tcPr>
          <w:p w14:paraId="6C2FA39F" w14:textId="77777777" w:rsidR="008D76D6" w:rsidRDefault="008D76D6" w:rsidP="00D16FB7">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3,531.97</w:t>
            </w:r>
          </w:p>
        </w:tc>
        <w:tc>
          <w:tcPr>
            <w:tcW w:w="1134" w:type="dxa"/>
            <w:vAlign w:val="center"/>
          </w:tcPr>
          <w:p w14:paraId="7AA4F1A3"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提高资金使用效率和收益水平</w:t>
            </w:r>
          </w:p>
        </w:tc>
        <w:tc>
          <w:tcPr>
            <w:tcW w:w="1842" w:type="dxa"/>
            <w:vAlign w:val="center"/>
          </w:tcPr>
          <w:p w14:paraId="24D6E331"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保本浮动收益，挂钩黄金</w:t>
            </w:r>
          </w:p>
        </w:tc>
        <w:tc>
          <w:tcPr>
            <w:tcW w:w="993" w:type="dxa"/>
            <w:vAlign w:val="center"/>
          </w:tcPr>
          <w:p w14:paraId="62D694B5"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R1</w:t>
            </w:r>
            <w:r>
              <w:rPr>
                <w:rFonts w:ascii="Times New Roman" w:hAnsi="Times New Roman"/>
                <w:color w:val="000000"/>
                <w:sz w:val="21"/>
                <w:szCs w:val="21"/>
              </w:rPr>
              <w:t>（谨慎型）</w:t>
            </w:r>
          </w:p>
        </w:tc>
        <w:tc>
          <w:tcPr>
            <w:tcW w:w="1417" w:type="dxa"/>
            <w:vAlign w:val="center"/>
          </w:tcPr>
          <w:p w14:paraId="5D13CFA6"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eastAsia="等线" w:hAnsi="Times New Roman"/>
                <w:color w:val="000000"/>
                <w:sz w:val="21"/>
                <w:szCs w:val="21"/>
              </w:rPr>
              <w:t>1.65%</w:t>
            </w:r>
            <w:r>
              <w:rPr>
                <w:rFonts w:ascii="Times New Roman" w:hAnsi="Times New Roman"/>
                <w:color w:val="000000"/>
                <w:sz w:val="21"/>
                <w:szCs w:val="21"/>
              </w:rPr>
              <w:t>-</w:t>
            </w:r>
            <w:r>
              <w:rPr>
                <w:rFonts w:ascii="Times New Roman" w:eastAsia="等线" w:hAnsi="Times New Roman"/>
                <w:color w:val="000000"/>
                <w:sz w:val="21"/>
                <w:szCs w:val="21"/>
              </w:rPr>
              <w:t>2.85%</w:t>
            </w:r>
          </w:p>
        </w:tc>
        <w:tc>
          <w:tcPr>
            <w:tcW w:w="907" w:type="dxa"/>
            <w:vAlign w:val="center"/>
          </w:tcPr>
          <w:p w14:paraId="5C1202B9"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否</w:t>
            </w:r>
          </w:p>
        </w:tc>
      </w:tr>
      <w:tr w:rsidR="008D76D6" w14:paraId="684A20A9" w14:textId="77777777">
        <w:trPr>
          <w:trHeight w:val="397"/>
          <w:jc w:val="center"/>
        </w:trPr>
        <w:tc>
          <w:tcPr>
            <w:tcW w:w="1124" w:type="dxa"/>
            <w:vAlign w:val="center"/>
          </w:tcPr>
          <w:p w14:paraId="12CE3070" w14:textId="77777777" w:rsidR="008D76D6" w:rsidRDefault="008D76D6" w:rsidP="008C4EDC">
            <w:pPr>
              <w:spacing w:beforeLines="0" w:before="0" w:afterLines="0" w:after="0" w:line="240" w:lineRule="auto"/>
              <w:ind w:firstLineChars="0" w:firstLine="0"/>
              <w:rPr>
                <w:rFonts w:ascii="Times New Roman" w:hAnsi="Times New Roman"/>
                <w:color w:val="000000"/>
                <w:sz w:val="21"/>
                <w:szCs w:val="21"/>
              </w:rPr>
            </w:pPr>
            <w:r>
              <w:rPr>
                <w:rFonts w:ascii="Times New Roman" w:hAnsi="Times New Roman"/>
                <w:color w:val="000000"/>
                <w:sz w:val="21"/>
                <w:szCs w:val="21"/>
              </w:rPr>
              <w:t>平安银行对公结构性存款（</w:t>
            </w:r>
            <w:r>
              <w:rPr>
                <w:rFonts w:ascii="Times New Roman" w:hAnsi="Times New Roman"/>
                <w:color w:val="000000"/>
                <w:sz w:val="21"/>
                <w:szCs w:val="21"/>
              </w:rPr>
              <w:t>100%</w:t>
            </w:r>
            <w:r>
              <w:rPr>
                <w:rFonts w:ascii="Times New Roman" w:hAnsi="Times New Roman"/>
                <w:color w:val="000000"/>
                <w:sz w:val="21"/>
                <w:szCs w:val="21"/>
              </w:rPr>
              <w:t>保本挂钩指数）</w:t>
            </w:r>
            <w:r>
              <w:rPr>
                <w:rFonts w:ascii="Times New Roman" w:hAnsi="Times New Roman"/>
                <w:color w:val="000000"/>
                <w:sz w:val="21"/>
                <w:szCs w:val="21"/>
              </w:rPr>
              <w:t>2023</w:t>
            </w:r>
            <w:r>
              <w:rPr>
                <w:rFonts w:ascii="Times New Roman" w:hAnsi="Times New Roman"/>
                <w:color w:val="000000"/>
                <w:sz w:val="21"/>
                <w:szCs w:val="21"/>
              </w:rPr>
              <w:t>年</w:t>
            </w:r>
            <w:r>
              <w:rPr>
                <w:rFonts w:ascii="Times New Roman" w:hAnsi="Times New Roman"/>
                <w:color w:val="000000"/>
                <w:sz w:val="21"/>
                <w:szCs w:val="21"/>
              </w:rPr>
              <w:t>TGG23100368</w:t>
            </w:r>
            <w:r>
              <w:rPr>
                <w:rFonts w:ascii="Times New Roman" w:hAnsi="Times New Roman"/>
                <w:color w:val="000000"/>
                <w:sz w:val="21"/>
                <w:szCs w:val="21"/>
              </w:rPr>
              <w:t>期人民币产品</w:t>
            </w:r>
          </w:p>
        </w:tc>
        <w:tc>
          <w:tcPr>
            <w:tcW w:w="1111" w:type="dxa"/>
            <w:vAlign w:val="center"/>
          </w:tcPr>
          <w:p w14:paraId="0B24FFB9" w14:textId="77777777" w:rsidR="008D76D6" w:rsidRDefault="008D76D6" w:rsidP="00D16FB7">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3,027.65</w:t>
            </w:r>
          </w:p>
        </w:tc>
        <w:tc>
          <w:tcPr>
            <w:tcW w:w="1134" w:type="dxa"/>
            <w:vAlign w:val="center"/>
          </w:tcPr>
          <w:p w14:paraId="2573172D"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提高资金使用效率和收益水平</w:t>
            </w:r>
          </w:p>
        </w:tc>
        <w:tc>
          <w:tcPr>
            <w:tcW w:w="1842" w:type="dxa"/>
            <w:vAlign w:val="center"/>
          </w:tcPr>
          <w:p w14:paraId="4B4CF150"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保本浮动收益，挂钩沪深</w:t>
            </w:r>
            <w:r>
              <w:rPr>
                <w:rFonts w:ascii="Times New Roman" w:eastAsia="等线" w:hAnsi="Times New Roman"/>
                <w:color w:val="000000"/>
                <w:sz w:val="21"/>
                <w:szCs w:val="21"/>
              </w:rPr>
              <w:t>300</w:t>
            </w:r>
            <w:r>
              <w:rPr>
                <w:rFonts w:ascii="Times New Roman" w:hAnsi="Times New Roman"/>
                <w:color w:val="000000"/>
                <w:sz w:val="21"/>
                <w:szCs w:val="21"/>
              </w:rPr>
              <w:t>指数</w:t>
            </w:r>
          </w:p>
        </w:tc>
        <w:tc>
          <w:tcPr>
            <w:tcW w:w="993" w:type="dxa"/>
            <w:vAlign w:val="center"/>
          </w:tcPr>
          <w:p w14:paraId="61D26D57"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R2</w:t>
            </w:r>
            <w:r>
              <w:rPr>
                <w:rFonts w:ascii="Times New Roman" w:hAnsi="Times New Roman"/>
                <w:color w:val="000000"/>
                <w:sz w:val="21"/>
                <w:szCs w:val="21"/>
              </w:rPr>
              <w:t>（稳健型）</w:t>
            </w:r>
          </w:p>
        </w:tc>
        <w:tc>
          <w:tcPr>
            <w:tcW w:w="1417" w:type="dxa"/>
            <w:vAlign w:val="center"/>
          </w:tcPr>
          <w:p w14:paraId="60B9964B"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eastAsia="等线" w:hAnsi="Times New Roman"/>
                <w:color w:val="000000"/>
                <w:sz w:val="21"/>
                <w:szCs w:val="21"/>
              </w:rPr>
              <w:t>1.95%</w:t>
            </w:r>
            <w:r>
              <w:rPr>
                <w:rFonts w:ascii="Times New Roman" w:hAnsi="Times New Roman"/>
                <w:color w:val="000000"/>
                <w:sz w:val="21"/>
                <w:szCs w:val="21"/>
              </w:rPr>
              <w:t>-</w:t>
            </w:r>
            <w:r>
              <w:rPr>
                <w:rFonts w:ascii="Times New Roman" w:eastAsia="等线" w:hAnsi="Times New Roman"/>
                <w:color w:val="000000"/>
                <w:sz w:val="21"/>
                <w:szCs w:val="21"/>
              </w:rPr>
              <w:t>2.90%</w:t>
            </w:r>
          </w:p>
        </w:tc>
        <w:tc>
          <w:tcPr>
            <w:tcW w:w="907" w:type="dxa"/>
            <w:vAlign w:val="center"/>
          </w:tcPr>
          <w:p w14:paraId="4AC7A678"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否</w:t>
            </w:r>
          </w:p>
        </w:tc>
      </w:tr>
      <w:tr w:rsidR="008D76D6" w14:paraId="4FBA7EB6" w14:textId="77777777">
        <w:trPr>
          <w:trHeight w:val="397"/>
          <w:jc w:val="center"/>
        </w:trPr>
        <w:tc>
          <w:tcPr>
            <w:tcW w:w="1124" w:type="dxa"/>
            <w:vAlign w:val="center"/>
          </w:tcPr>
          <w:p w14:paraId="7ED3CFC7" w14:textId="77777777" w:rsidR="008D76D6" w:rsidRDefault="008D76D6" w:rsidP="008C4EDC">
            <w:pPr>
              <w:spacing w:beforeLines="0" w:before="0" w:afterLines="0" w:after="0" w:line="240" w:lineRule="auto"/>
              <w:ind w:firstLineChars="0" w:firstLine="0"/>
              <w:rPr>
                <w:rFonts w:ascii="Times New Roman" w:hAnsi="Times New Roman"/>
                <w:color w:val="000000"/>
                <w:sz w:val="21"/>
                <w:szCs w:val="21"/>
              </w:rPr>
            </w:pPr>
            <w:r>
              <w:rPr>
                <w:rFonts w:ascii="Times New Roman" w:hAnsi="Times New Roman"/>
                <w:color w:val="000000"/>
                <w:sz w:val="21"/>
                <w:szCs w:val="21"/>
              </w:rPr>
              <w:t>东证融汇汇鑫</w:t>
            </w:r>
            <w:r>
              <w:rPr>
                <w:rFonts w:ascii="Times New Roman" w:hAnsi="Times New Roman"/>
                <w:color w:val="000000"/>
                <w:sz w:val="21"/>
                <w:szCs w:val="21"/>
              </w:rPr>
              <w:t>6M3</w:t>
            </w:r>
            <w:r>
              <w:rPr>
                <w:rFonts w:ascii="Times New Roman" w:hAnsi="Times New Roman"/>
                <w:color w:val="000000"/>
                <w:sz w:val="21"/>
                <w:szCs w:val="21"/>
              </w:rPr>
              <w:t>号集合资产管理计划</w:t>
            </w:r>
          </w:p>
        </w:tc>
        <w:tc>
          <w:tcPr>
            <w:tcW w:w="1111" w:type="dxa"/>
            <w:vAlign w:val="center"/>
          </w:tcPr>
          <w:p w14:paraId="1ED70413" w14:textId="77777777" w:rsidR="008D76D6" w:rsidRDefault="008D76D6" w:rsidP="00D16FB7">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1,061.28</w:t>
            </w:r>
          </w:p>
        </w:tc>
        <w:tc>
          <w:tcPr>
            <w:tcW w:w="1134" w:type="dxa"/>
            <w:vAlign w:val="center"/>
          </w:tcPr>
          <w:p w14:paraId="39C40D44"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提高资金使用效率和收益水平</w:t>
            </w:r>
          </w:p>
        </w:tc>
        <w:tc>
          <w:tcPr>
            <w:tcW w:w="1842" w:type="dxa"/>
            <w:vAlign w:val="center"/>
          </w:tcPr>
          <w:p w14:paraId="313DC4AB"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中国境内依法发行的国债、金融债、企业债、公司债、地方政府债、政策性金融债、可转债、可交换债、央行票据、短期融资券（含超短融）、中期票据、项目收益票据、非公开定向债务融资工具、次级债（含二级资本债）、国债期货、资产支持证券优先级、债券回购（含债券正回购和债券逆回购）、银行存款（包括银行定期存款、活期存款、协议存款、同业存款）、同业存单、大额可转让存单、货币市场基金、债券型基金。</w:t>
            </w:r>
          </w:p>
        </w:tc>
        <w:tc>
          <w:tcPr>
            <w:tcW w:w="993" w:type="dxa"/>
            <w:vAlign w:val="center"/>
          </w:tcPr>
          <w:p w14:paraId="29AE9B3B"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R2</w:t>
            </w:r>
            <w:r>
              <w:rPr>
                <w:rFonts w:ascii="Times New Roman" w:hAnsi="Times New Roman"/>
                <w:color w:val="000000"/>
                <w:sz w:val="21"/>
                <w:szCs w:val="21"/>
              </w:rPr>
              <w:t>（稳健型）</w:t>
            </w:r>
          </w:p>
        </w:tc>
        <w:tc>
          <w:tcPr>
            <w:tcW w:w="1417" w:type="dxa"/>
            <w:vAlign w:val="center"/>
          </w:tcPr>
          <w:p w14:paraId="2A85E85F"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参考收益率</w:t>
            </w:r>
            <w:r>
              <w:rPr>
                <w:rFonts w:ascii="Times New Roman" w:hAnsi="Times New Roman"/>
                <w:color w:val="000000"/>
                <w:sz w:val="21"/>
                <w:szCs w:val="21"/>
              </w:rPr>
              <w:t>4.50%</w:t>
            </w:r>
          </w:p>
        </w:tc>
        <w:tc>
          <w:tcPr>
            <w:tcW w:w="907" w:type="dxa"/>
            <w:vAlign w:val="center"/>
          </w:tcPr>
          <w:p w14:paraId="6E30585B"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否</w:t>
            </w:r>
          </w:p>
        </w:tc>
      </w:tr>
      <w:tr w:rsidR="008D76D6" w14:paraId="708F4A6F" w14:textId="77777777">
        <w:trPr>
          <w:trHeight w:val="397"/>
          <w:jc w:val="center"/>
        </w:trPr>
        <w:tc>
          <w:tcPr>
            <w:tcW w:w="1124" w:type="dxa"/>
            <w:vAlign w:val="center"/>
          </w:tcPr>
          <w:p w14:paraId="409BFC6F" w14:textId="77777777" w:rsidR="008D76D6" w:rsidRDefault="008D76D6" w:rsidP="00D16FB7">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合计</w:t>
            </w:r>
          </w:p>
        </w:tc>
        <w:tc>
          <w:tcPr>
            <w:tcW w:w="1111" w:type="dxa"/>
            <w:vAlign w:val="center"/>
          </w:tcPr>
          <w:p w14:paraId="3B3012E1" w14:textId="77777777" w:rsidR="008D76D6" w:rsidRDefault="008D76D6" w:rsidP="00D16FB7">
            <w:pPr>
              <w:spacing w:beforeLines="0" w:before="0" w:afterLines="0" w:after="0" w:line="240" w:lineRule="auto"/>
              <w:ind w:firstLineChars="0" w:firstLine="0"/>
              <w:jc w:val="right"/>
              <w:textAlignment w:val="center"/>
              <w:rPr>
                <w:rFonts w:ascii="Times New Roman" w:hAnsi="Times New Roman"/>
                <w:b/>
                <w:bCs/>
                <w:color w:val="000000"/>
                <w:sz w:val="21"/>
                <w:szCs w:val="21"/>
              </w:rPr>
            </w:pPr>
            <w:r>
              <w:rPr>
                <w:rFonts w:ascii="Times New Roman" w:hAnsi="Times New Roman"/>
                <w:b/>
                <w:bCs/>
                <w:color w:val="000000"/>
                <w:sz w:val="21"/>
                <w:szCs w:val="21"/>
              </w:rPr>
              <w:t>39,822.11</w:t>
            </w:r>
          </w:p>
        </w:tc>
        <w:tc>
          <w:tcPr>
            <w:tcW w:w="1134" w:type="dxa"/>
            <w:vAlign w:val="center"/>
          </w:tcPr>
          <w:p w14:paraId="3E511270" w14:textId="77777777" w:rsidR="008D76D6" w:rsidRPr="008C4EDC"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sidRPr="008C4EDC">
              <w:rPr>
                <w:rFonts w:ascii="Times New Roman" w:hAnsi="Times New Roman"/>
                <w:color w:val="000000"/>
                <w:sz w:val="21"/>
                <w:szCs w:val="21"/>
              </w:rPr>
              <w:t>-</w:t>
            </w:r>
          </w:p>
        </w:tc>
        <w:tc>
          <w:tcPr>
            <w:tcW w:w="1842" w:type="dxa"/>
            <w:vAlign w:val="center"/>
          </w:tcPr>
          <w:p w14:paraId="473D1E37" w14:textId="77777777" w:rsidR="008D76D6" w:rsidRPr="008C4EDC"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sidRPr="008C4EDC">
              <w:rPr>
                <w:rFonts w:ascii="Times New Roman" w:hAnsi="Times New Roman"/>
                <w:color w:val="000000"/>
                <w:sz w:val="21"/>
                <w:szCs w:val="21"/>
              </w:rPr>
              <w:t>-</w:t>
            </w:r>
          </w:p>
        </w:tc>
        <w:tc>
          <w:tcPr>
            <w:tcW w:w="993" w:type="dxa"/>
            <w:vAlign w:val="center"/>
          </w:tcPr>
          <w:p w14:paraId="0EBD016B" w14:textId="77777777" w:rsidR="008D76D6" w:rsidRPr="008C4EDC"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sidRPr="008C4EDC">
              <w:rPr>
                <w:rFonts w:ascii="Times New Roman" w:hAnsi="Times New Roman"/>
                <w:color w:val="000000"/>
                <w:sz w:val="21"/>
                <w:szCs w:val="21"/>
              </w:rPr>
              <w:t>-</w:t>
            </w:r>
          </w:p>
        </w:tc>
        <w:tc>
          <w:tcPr>
            <w:tcW w:w="1417" w:type="dxa"/>
            <w:vAlign w:val="center"/>
          </w:tcPr>
          <w:p w14:paraId="03EC2CC2" w14:textId="77777777" w:rsidR="008D76D6" w:rsidRPr="008C4EDC"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sidRPr="008C4EDC">
              <w:rPr>
                <w:rFonts w:ascii="Times New Roman" w:hAnsi="Times New Roman"/>
                <w:color w:val="000000"/>
                <w:sz w:val="21"/>
                <w:szCs w:val="21"/>
              </w:rPr>
              <w:t>-</w:t>
            </w:r>
          </w:p>
        </w:tc>
        <w:tc>
          <w:tcPr>
            <w:tcW w:w="907" w:type="dxa"/>
            <w:vAlign w:val="center"/>
          </w:tcPr>
          <w:p w14:paraId="167DBB83" w14:textId="77777777" w:rsidR="008D76D6" w:rsidRDefault="008D76D6" w:rsidP="00D16FB7">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w:t>
            </w:r>
          </w:p>
        </w:tc>
      </w:tr>
    </w:tbl>
    <w:p w14:paraId="442766DB" w14:textId="77777777" w:rsidR="008D76D6" w:rsidRDefault="008D76D6">
      <w:pPr>
        <w:pStyle w:val="WL06-"/>
        <w:spacing w:before="120" w:after="120"/>
        <w:ind w:firstLine="480"/>
      </w:pPr>
      <w:r>
        <w:rPr>
          <w:rFonts w:hint="eastAsia"/>
        </w:rPr>
        <w:t>对于益安地风</w:t>
      </w:r>
      <w:r>
        <w:rPr>
          <w:rFonts w:hint="eastAsia"/>
        </w:rPr>
        <w:t>5</w:t>
      </w:r>
      <w:r>
        <w:rPr>
          <w:rFonts w:hint="eastAsia"/>
        </w:rPr>
        <w:t>号私募证券投资基金，发行人将其认定为财务性投资。截至</w:t>
      </w:r>
      <w:r>
        <w:rPr>
          <w:rFonts w:hint="eastAsia"/>
        </w:rPr>
        <w:t>2</w:t>
      </w:r>
      <w:r>
        <w:t>023</w:t>
      </w:r>
      <w:r>
        <w:rPr>
          <w:rFonts w:hint="eastAsia"/>
        </w:rPr>
        <w:t>年</w:t>
      </w:r>
      <w:r>
        <w:rPr>
          <w:rFonts w:hint="eastAsia"/>
        </w:rPr>
        <w:t>9</w:t>
      </w:r>
      <w:r>
        <w:rPr>
          <w:rFonts w:hint="eastAsia"/>
        </w:rPr>
        <w:t>月</w:t>
      </w:r>
      <w:r>
        <w:rPr>
          <w:rFonts w:hint="eastAsia"/>
        </w:rPr>
        <w:t>3</w:t>
      </w:r>
      <w:r>
        <w:t>0</w:t>
      </w:r>
      <w:r>
        <w:rPr>
          <w:rFonts w:hint="eastAsia"/>
        </w:rPr>
        <w:t>日，其底层资产情况如下：</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5"/>
        <w:gridCol w:w="4505"/>
      </w:tblGrid>
      <w:tr w:rsidR="008D76D6" w14:paraId="6DFBA3D4" w14:textId="77777777">
        <w:trPr>
          <w:trHeight w:val="397"/>
          <w:tblHeader/>
          <w:jc w:val="center"/>
        </w:trPr>
        <w:tc>
          <w:tcPr>
            <w:tcW w:w="4264" w:type="dxa"/>
            <w:shd w:val="clear" w:color="auto" w:fill="D9D9D9"/>
            <w:vAlign w:val="center"/>
          </w:tcPr>
          <w:p w14:paraId="36A1B401" w14:textId="77777777" w:rsidR="008D76D6" w:rsidRDefault="008D76D6" w:rsidP="00CE3CA5">
            <w:pPr>
              <w:keepNext/>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底层资产</w:t>
            </w:r>
          </w:p>
        </w:tc>
        <w:tc>
          <w:tcPr>
            <w:tcW w:w="4264" w:type="dxa"/>
            <w:shd w:val="clear" w:color="auto" w:fill="D9D9D9"/>
            <w:vAlign w:val="center"/>
          </w:tcPr>
          <w:p w14:paraId="74835909"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资产占比</w:t>
            </w:r>
          </w:p>
        </w:tc>
      </w:tr>
      <w:tr w:rsidR="008D76D6" w14:paraId="3015F8EF" w14:textId="77777777">
        <w:trPr>
          <w:trHeight w:val="397"/>
          <w:jc w:val="center"/>
        </w:trPr>
        <w:tc>
          <w:tcPr>
            <w:tcW w:w="4264" w:type="dxa"/>
            <w:vAlign w:val="center"/>
          </w:tcPr>
          <w:p w14:paraId="69C8FC11"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现金</w:t>
            </w:r>
          </w:p>
        </w:tc>
        <w:tc>
          <w:tcPr>
            <w:tcW w:w="4264" w:type="dxa"/>
            <w:vAlign w:val="center"/>
          </w:tcPr>
          <w:p w14:paraId="5E7B0259"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0.0</w:t>
            </w:r>
            <w:r w:rsidR="00A84B9E">
              <w:rPr>
                <w:rFonts w:ascii="Times New Roman" w:hAnsi="Times New Roman"/>
                <w:color w:val="000000"/>
                <w:sz w:val="21"/>
                <w:szCs w:val="21"/>
              </w:rPr>
              <w:t>6</w:t>
            </w:r>
            <w:r>
              <w:rPr>
                <w:rFonts w:ascii="Times New Roman" w:hAnsi="Times New Roman"/>
                <w:color w:val="000000"/>
                <w:sz w:val="21"/>
                <w:szCs w:val="21"/>
              </w:rPr>
              <w:t>%</w:t>
            </w:r>
          </w:p>
        </w:tc>
      </w:tr>
      <w:tr w:rsidR="008D76D6" w14:paraId="018AE669" w14:textId="77777777">
        <w:trPr>
          <w:trHeight w:val="397"/>
          <w:jc w:val="center"/>
        </w:trPr>
        <w:tc>
          <w:tcPr>
            <w:tcW w:w="4264" w:type="dxa"/>
            <w:vAlign w:val="center"/>
          </w:tcPr>
          <w:p w14:paraId="55FBB22E"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华宝添益</w:t>
            </w:r>
          </w:p>
        </w:tc>
        <w:tc>
          <w:tcPr>
            <w:tcW w:w="4264" w:type="dxa"/>
            <w:vAlign w:val="center"/>
          </w:tcPr>
          <w:p w14:paraId="33EF61E2"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w:t>
            </w:r>
            <w:r w:rsidR="00A84B9E">
              <w:rPr>
                <w:rFonts w:ascii="Times New Roman" w:hAnsi="Times New Roman"/>
                <w:color w:val="000000"/>
                <w:sz w:val="21"/>
                <w:szCs w:val="21"/>
              </w:rPr>
              <w:t>66</w:t>
            </w:r>
            <w:r>
              <w:rPr>
                <w:rFonts w:ascii="Times New Roman" w:hAnsi="Times New Roman"/>
                <w:color w:val="000000"/>
                <w:sz w:val="21"/>
                <w:szCs w:val="21"/>
              </w:rPr>
              <w:t>%</w:t>
            </w:r>
          </w:p>
        </w:tc>
      </w:tr>
      <w:tr w:rsidR="008D76D6" w14:paraId="1C0E9070" w14:textId="77777777">
        <w:trPr>
          <w:trHeight w:val="397"/>
          <w:jc w:val="center"/>
        </w:trPr>
        <w:tc>
          <w:tcPr>
            <w:tcW w:w="4264" w:type="dxa"/>
            <w:vAlign w:val="center"/>
          </w:tcPr>
          <w:p w14:paraId="48B5EC50"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益安富家</w:t>
            </w:r>
            <w:r>
              <w:rPr>
                <w:rFonts w:ascii="Times New Roman" w:hAnsi="Times New Roman"/>
                <w:color w:val="000000"/>
                <w:sz w:val="21"/>
                <w:szCs w:val="21"/>
              </w:rPr>
              <w:t>2</w:t>
            </w:r>
            <w:r>
              <w:rPr>
                <w:rFonts w:ascii="Times New Roman" w:hAnsi="Times New Roman"/>
                <w:color w:val="000000"/>
                <w:sz w:val="21"/>
                <w:szCs w:val="21"/>
              </w:rPr>
              <w:t>号私募证券投资基金</w:t>
            </w:r>
            <w:r>
              <w:rPr>
                <w:rFonts w:ascii="Times New Roman" w:hAnsi="Times New Roman"/>
                <w:color w:val="000000"/>
                <w:sz w:val="21"/>
                <w:szCs w:val="21"/>
              </w:rPr>
              <w:t>B</w:t>
            </w:r>
          </w:p>
        </w:tc>
        <w:tc>
          <w:tcPr>
            <w:tcW w:w="4264" w:type="dxa"/>
            <w:vAlign w:val="center"/>
          </w:tcPr>
          <w:p w14:paraId="06378C50"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12</w:t>
            </w:r>
            <w:r w:rsidR="00A84B9E">
              <w:rPr>
                <w:rFonts w:ascii="Times New Roman" w:hAnsi="Times New Roman"/>
                <w:color w:val="000000"/>
                <w:sz w:val="21"/>
                <w:szCs w:val="21"/>
              </w:rPr>
              <w:t>.04</w:t>
            </w:r>
            <w:r>
              <w:rPr>
                <w:rFonts w:ascii="Times New Roman" w:hAnsi="Times New Roman"/>
                <w:color w:val="000000"/>
                <w:sz w:val="21"/>
                <w:szCs w:val="21"/>
              </w:rPr>
              <w:t>%</w:t>
            </w:r>
          </w:p>
        </w:tc>
      </w:tr>
      <w:tr w:rsidR="008D76D6" w14:paraId="398014EA" w14:textId="77777777">
        <w:trPr>
          <w:trHeight w:val="397"/>
          <w:jc w:val="center"/>
        </w:trPr>
        <w:tc>
          <w:tcPr>
            <w:tcW w:w="4264" w:type="dxa"/>
            <w:vAlign w:val="center"/>
          </w:tcPr>
          <w:p w14:paraId="75C7D514"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益安富家</w:t>
            </w:r>
            <w:r>
              <w:rPr>
                <w:rFonts w:ascii="Times New Roman" w:hAnsi="Times New Roman"/>
                <w:color w:val="000000"/>
                <w:sz w:val="21"/>
                <w:szCs w:val="21"/>
              </w:rPr>
              <w:t>6</w:t>
            </w:r>
            <w:r>
              <w:rPr>
                <w:rFonts w:ascii="Times New Roman" w:hAnsi="Times New Roman"/>
                <w:color w:val="000000"/>
                <w:sz w:val="21"/>
                <w:szCs w:val="21"/>
              </w:rPr>
              <w:t>号私募证券投资基金</w:t>
            </w:r>
            <w:r>
              <w:rPr>
                <w:rFonts w:ascii="Times New Roman" w:hAnsi="Times New Roman"/>
                <w:color w:val="000000"/>
                <w:sz w:val="21"/>
                <w:szCs w:val="21"/>
              </w:rPr>
              <w:t>B</w:t>
            </w:r>
          </w:p>
        </w:tc>
        <w:tc>
          <w:tcPr>
            <w:tcW w:w="4264" w:type="dxa"/>
            <w:vAlign w:val="center"/>
          </w:tcPr>
          <w:p w14:paraId="0E46498B"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90</w:t>
            </w:r>
            <w:r w:rsidR="00A84B9E">
              <w:rPr>
                <w:rFonts w:ascii="Times New Roman" w:hAnsi="Times New Roman" w:hint="eastAsia"/>
                <w:color w:val="000000"/>
                <w:sz w:val="21"/>
                <w:szCs w:val="21"/>
              </w:rPr>
              <w:t>.</w:t>
            </w:r>
            <w:r w:rsidR="00A84B9E">
              <w:rPr>
                <w:rFonts w:ascii="Times New Roman" w:hAnsi="Times New Roman"/>
                <w:color w:val="000000"/>
                <w:sz w:val="21"/>
                <w:szCs w:val="21"/>
              </w:rPr>
              <w:t>48</w:t>
            </w:r>
            <w:r>
              <w:rPr>
                <w:rFonts w:ascii="Times New Roman" w:hAnsi="Times New Roman"/>
                <w:color w:val="000000"/>
                <w:sz w:val="21"/>
                <w:szCs w:val="21"/>
              </w:rPr>
              <w:t>%</w:t>
            </w:r>
          </w:p>
        </w:tc>
      </w:tr>
      <w:tr w:rsidR="008D76D6" w14:paraId="3AA439F6" w14:textId="77777777">
        <w:trPr>
          <w:trHeight w:val="397"/>
          <w:jc w:val="center"/>
        </w:trPr>
        <w:tc>
          <w:tcPr>
            <w:tcW w:w="4264" w:type="dxa"/>
            <w:vAlign w:val="center"/>
          </w:tcPr>
          <w:p w14:paraId="01AF306D"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预提费用</w:t>
            </w:r>
          </w:p>
        </w:tc>
        <w:tc>
          <w:tcPr>
            <w:tcW w:w="4264" w:type="dxa"/>
            <w:vAlign w:val="center"/>
          </w:tcPr>
          <w:p w14:paraId="38E169CA"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w:t>
            </w:r>
            <w:r w:rsidR="00A84B9E">
              <w:rPr>
                <w:rFonts w:ascii="Times New Roman" w:hAnsi="Times New Roman"/>
                <w:color w:val="000000"/>
                <w:sz w:val="21"/>
                <w:szCs w:val="21"/>
              </w:rPr>
              <w:t>3.</w:t>
            </w:r>
            <w:r>
              <w:rPr>
                <w:rFonts w:ascii="Times New Roman" w:hAnsi="Times New Roman"/>
                <w:color w:val="000000"/>
                <w:sz w:val="21"/>
                <w:szCs w:val="21"/>
              </w:rPr>
              <w:t>2</w:t>
            </w:r>
            <w:r w:rsidR="00A84B9E">
              <w:rPr>
                <w:rFonts w:ascii="Times New Roman" w:hAnsi="Times New Roman"/>
                <w:color w:val="000000"/>
                <w:sz w:val="21"/>
                <w:szCs w:val="21"/>
              </w:rPr>
              <w:t>4</w:t>
            </w:r>
            <w:r>
              <w:rPr>
                <w:rFonts w:ascii="Times New Roman" w:hAnsi="Times New Roman"/>
                <w:color w:val="000000"/>
                <w:sz w:val="21"/>
                <w:szCs w:val="21"/>
              </w:rPr>
              <w:t>%</w:t>
            </w:r>
          </w:p>
        </w:tc>
      </w:tr>
      <w:tr w:rsidR="008D76D6" w14:paraId="3244295F" w14:textId="77777777">
        <w:trPr>
          <w:trHeight w:val="397"/>
          <w:jc w:val="center"/>
        </w:trPr>
        <w:tc>
          <w:tcPr>
            <w:tcW w:w="4264" w:type="dxa"/>
            <w:vAlign w:val="center"/>
          </w:tcPr>
          <w:p w14:paraId="49505919"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b/>
                <w:bCs/>
                <w:color w:val="000000"/>
                <w:sz w:val="21"/>
                <w:szCs w:val="21"/>
              </w:rPr>
            </w:pPr>
            <w:r>
              <w:rPr>
                <w:rFonts w:ascii="Times New Roman" w:hAnsi="Times New Roman"/>
                <w:b/>
                <w:bCs/>
                <w:color w:val="000000"/>
                <w:sz w:val="21"/>
                <w:szCs w:val="21"/>
              </w:rPr>
              <w:t>合计</w:t>
            </w:r>
          </w:p>
        </w:tc>
        <w:tc>
          <w:tcPr>
            <w:tcW w:w="4264" w:type="dxa"/>
            <w:vAlign w:val="center"/>
          </w:tcPr>
          <w:p w14:paraId="2A76FFE8"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b/>
                <w:bCs/>
                <w:color w:val="000000"/>
                <w:sz w:val="21"/>
                <w:szCs w:val="21"/>
              </w:rPr>
            </w:pPr>
            <w:r>
              <w:rPr>
                <w:rFonts w:ascii="Times New Roman" w:hAnsi="Times New Roman"/>
                <w:b/>
                <w:bCs/>
                <w:color w:val="000000"/>
                <w:sz w:val="21"/>
                <w:szCs w:val="21"/>
              </w:rPr>
              <w:t>100.00%</w:t>
            </w:r>
          </w:p>
        </w:tc>
      </w:tr>
    </w:tbl>
    <w:p w14:paraId="7BF3DCED" w14:textId="77777777" w:rsidR="008D76D6" w:rsidRDefault="008D76D6">
      <w:pPr>
        <w:pStyle w:val="WL06-"/>
        <w:spacing w:before="120" w:after="120"/>
        <w:ind w:firstLine="480"/>
      </w:pPr>
      <w:r>
        <w:rPr>
          <w:rFonts w:hint="eastAsia"/>
        </w:rPr>
        <w:t>其中益安富家</w:t>
      </w:r>
      <w:r>
        <w:rPr>
          <w:rFonts w:hint="eastAsia"/>
        </w:rPr>
        <w:t>2</w:t>
      </w:r>
      <w:r>
        <w:rPr>
          <w:rFonts w:hint="eastAsia"/>
        </w:rPr>
        <w:t>号私募证券投资基金</w:t>
      </w:r>
      <w:r>
        <w:rPr>
          <w:rFonts w:hint="eastAsia"/>
        </w:rPr>
        <w:t>B</w:t>
      </w:r>
      <w:r>
        <w:rPr>
          <w:rFonts w:hint="eastAsia"/>
        </w:rPr>
        <w:t>的前</w:t>
      </w:r>
      <w:r>
        <w:rPr>
          <w:rFonts w:hint="eastAsia"/>
        </w:rPr>
        <w:t>1</w:t>
      </w:r>
      <w:r>
        <w:t>0</w:t>
      </w:r>
      <w:r>
        <w:rPr>
          <w:rFonts w:hint="eastAsia"/>
        </w:rPr>
        <w:t>大资产占比如下：</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5"/>
        <w:gridCol w:w="4505"/>
      </w:tblGrid>
      <w:tr w:rsidR="008D76D6" w14:paraId="0676420A" w14:textId="77777777">
        <w:trPr>
          <w:trHeight w:val="397"/>
          <w:tblHeader/>
          <w:jc w:val="center"/>
        </w:trPr>
        <w:tc>
          <w:tcPr>
            <w:tcW w:w="4264" w:type="dxa"/>
            <w:shd w:val="clear" w:color="auto" w:fill="D9D9D9"/>
            <w:vAlign w:val="center"/>
          </w:tcPr>
          <w:p w14:paraId="556F71DF" w14:textId="77777777" w:rsidR="008D76D6" w:rsidRDefault="008D76D6" w:rsidP="008C4EDC">
            <w:pPr>
              <w:keepNext/>
              <w:spacing w:beforeLines="0" w:before="0" w:afterLines="0" w:after="0" w:line="240" w:lineRule="auto"/>
              <w:ind w:firstLineChars="0" w:firstLine="0"/>
              <w:jc w:val="center"/>
              <w:rPr>
                <w:rFonts w:cs="Mongolian Baiti"/>
                <w:b/>
                <w:bCs/>
                <w:sz w:val="21"/>
                <w:szCs w:val="21"/>
              </w:rPr>
            </w:pPr>
            <w:r>
              <w:rPr>
                <w:rFonts w:cs="Mongolian Baiti" w:hint="eastAsia"/>
                <w:b/>
                <w:bCs/>
                <w:sz w:val="21"/>
                <w:szCs w:val="21"/>
              </w:rPr>
              <w:t>底层资产</w:t>
            </w:r>
          </w:p>
        </w:tc>
        <w:tc>
          <w:tcPr>
            <w:tcW w:w="4264" w:type="dxa"/>
            <w:shd w:val="clear" w:color="auto" w:fill="D9D9D9"/>
            <w:vAlign w:val="center"/>
          </w:tcPr>
          <w:p w14:paraId="2F7068EE" w14:textId="77777777" w:rsidR="008D76D6" w:rsidRDefault="008D76D6" w:rsidP="008C4EDC">
            <w:pPr>
              <w:spacing w:beforeLines="0" w:before="0" w:afterLines="0" w:after="0" w:line="240" w:lineRule="auto"/>
              <w:ind w:firstLineChars="0" w:firstLine="0"/>
              <w:jc w:val="center"/>
              <w:rPr>
                <w:rFonts w:cs="Mongolian Baiti"/>
                <w:b/>
                <w:bCs/>
                <w:sz w:val="21"/>
                <w:szCs w:val="21"/>
              </w:rPr>
            </w:pPr>
            <w:r>
              <w:rPr>
                <w:rFonts w:cs="Mongolian Baiti" w:hint="eastAsia"/>
                <w:b/>
                <w:bCs/>
                <w:sz w:val="21"/>
                <w:szCs w:val="21"/>
              </w:rPr>
              <w:t>资产占比</w:t>
            </w:r>
          </w:p>
        </w:tc>
      </w:tr>
      <w:tr w:rsidR="008D76D6" w14:paraId="1DB8F554" w14:textId="77777777">
        <w:trPr>
          <w:trHeight w:val="397"/>
          <w:jc w:val="center"/>
        </w:trPr>
        <w:tc>
          <w:tcPr>
            <w:tcW w:w="4264" w:type="dxa"/>
            <w:vAlign w:val="center"/>
          </w:tcPr>
          <w:p w14:paraId="01D0295E"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杰瑞股份</w:t>
            </w:r>
          </w:p>
        </w:tc>
        <w:tc>
          <w:tcPr>
            <w:tcW w:w="4264" w:type="dxa"/>
            <w:vAlign w:val="center"/>
          </w:tcPr>
          <w:p w14:paraId="29CFA350"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24.62%</w:t>
            </w:r>
          </w:p>
        </w:tc>
      </w:tr>
      <w:tr w:rsidR="008D76D6" w14:paraId="4BB6330A" w14:textId="77777777">
        <w:trPr>
          <w:trHeight w:val="397"/>
          <w:jc w:val="center"/>
        </w:trPr>
        <w:tc>
          <w:tcPr>
            <w:tcW w:w="4264" w:type="dxa"/>
            <w:vAlign w:val="center"/>
          </w:tcPr>
          <w:p w14:paraId="5BA86A03"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上交所质押式回购（逆回购）</w:t>
            </w:r>
          </w:p>
        </w:tc>
        <w:tc>
          <w:tcPr>
            <w:tcW w:w="4264" w:type="dxa"/>
            <w:vAlign w:val="center"/>
          </w:tcPr>
          <w:p w14:paraId="66F7CE67"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16.54%</w:t>
            </w:r>
          </w:p>
        </w:tc>
      </w:tr>
      <w:tr w:rsidR="008D76D6" w14:paraId="5B401D6B" w14:textId="77777777">
        <w:trPr>
          <w:trHeight w:val="397"/>
          <w:jc w:val="center"/>
        </w:trPr>
        <w:tc>
          <w:tcPr>
            <w:tcW w:w="4264" w:type="dxa"/>
            <w:vAlign w:val="center"/>
          </w:tcPr>
          <w:p w14:paraId="27D0D682"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银华日利</w:t>
            </w:r>
          </w:p>
        </w:tc>
        <w:tc>
          <w:tcPr>
            <w:tcW w:w="4264" w:type="dxa"/>
            <w:vAlign w:val="center"/>
          </w:tcPr>
          <w:p w14:paraId="11C204D5"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10.10%</w:t>
            </w:r>
          </w:p>
        </w:tc>
      </w:tr>
      <w:tr w:rsidR="008D76D6" w14:paraId="4CB1DE78" w14:textId="77777777">
        <w:trPr>
          <w:trHeight w:val="397"/>
          <w:jc w:val="center"/>
        </w:trPr>
        <w:tc>
          <w:tcPr>
            <w:tcW w:w="4264" w:type="dxa"/>
            <w:vAlign w:val="center"/>
          </w:tcPr>
          <w:p w14:paraId="45B57AFF"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胜宏科技</w:t>
            </w:r>
          </w:p>
        </w:tc>
        <w:tc>
          <w:tcPr>
            <w:tcW w:w="4264" w:type="dxa"/>
            <w:vAlign w:val="center"/>
          </w:tcPr>
          <w:p w14:paraId="5E3C5C68"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6.13%</w:t>
            </w:r>
          </w:p>
        </w:tc>
      </w:tr>
      <w:tr w:rsidR="008D76D6" w14:paraId="3E9BA569" w14:textId="77777777">
        <w:trPr>
          <w:trHeight w:val="397"/>
          <w:jc w:val="center"/>
        </w:trPr>
        <w:tc>
          <w:tcPr>
            <w:tcW w:w="4264" w:type="dxa"/>
            <w:vAlign w:val="center"/>
          </w:tcPr>
          <w:p w14:paraId="5EB06F85"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赤峰黄金</w:t>
            </w:r>
          </w:p>
        </w:tc>
        <w:tc>
          <w:tcPr>
            <w:tcW w:w="4264" w:type="dxa"/>
            <w:vAlign w:val="center"/>
          </w:tcPr>
          <w:p w14:paraId="31B3178F"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6.11%</w:t>
            </w:r>
          </w:p>
        </w:tc>
      </w:tr>
      <w:tr w:rsidR="008D76D6" w14:paraId="3E5230A5" w14:textId="77777777">
        <w:trPr>
          <w:trHeight w:val="397"/>
          <w:jc w:val="center"/>
        </w:trPr>
        <w:tc>
          <w:tcPr>
            <w:tcW w:w="4264" w:type="dxa"/>
            <w:vAlign w:val="center"/>
          </w:tcPr>
          <w:p w14:paraId="74258C86"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安集科技</w:t>
            </w:r>
          </w:p>
        </w:tc>
        <w:tc>
          <w:tcPr>
            <w:tcW w:w="4264" w:type="dxa"/>
            <w:vAlign w:val="center"/>
          </w:tcPr>
          <w:p w14:paraId="5F8CF9A6"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6.01%</w:t>
            </w:r>
          </w:p>
        </w:tc>
      </w:tr>
      <w:tr w:rsidR="008D76D6" w14:paraId="1C125375" w14:textId="77777777">
        <w:trPr>
          <w:trHeight w:val="397"/>
          <w:jc w:val="center"/>
        </w:trPr>
        <w:tc>
          <w:tcPr>
            <w:tcW w:w="4264" w:type="dxa"/>
            <w:vAlign w:val="center"/>
          </w:tcPr>
          <w:p w14:paraId="7220ED86"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长川科技</w:t>
            </w:r>
          </w:p>
        </w:tc>
        <w:tc>
          <w:tcPr>
            <w:tcW w:w="4264" w:type="dxa"/>
            <w:vAlign w:val="center"/>
          </w:tcPr>
          <w:p w14:paraId="744527BC"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5.33%</w:t>
            </w:r>
          </w:p>
        </w:tc>
      </w:tr>
      <w:tr w:rsidR="008D76D6" w14:paraId="1192700B" w14:textId="77777777">
        <w:trPr>
          <w:trHeight w:val="397"/>
          <w:jc w:val="center"/>
        </w:trPr>
        <w:tc>
          <w:tcPr>
            <w:tcW w:w="4264" w:type="dxa"/>
            <w:vAlign w:val="center"/>
          </w:tcPr>
          <w:p w14:paraId="0618623C"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通</w:t>
            </w:r>
            <w:r>
              <w:rPr>
                <w:rFonts w:ascii="Times New Roman" w:hAnsi="Times New Roman"/>
                <w:color w:val="000000"/>
                <w:sz w:val="21"/>
                <w:szCs w:val="21"/>
              </w:rPr>
              <w:t>22</w:t>
            </w:r>
            <w:r>
              <w:rPr>
                <w:rFonts w:ascii="Times New Roman" w:hAnsi="Times New Roman"/>
                <w:color w:val="000000"/>
                <w:sz w:val="21"/>
                <w:szCs w:val="21"/>
              </w:rPr>
              <w:t>转债</w:t>
            </w:r>
          </w:p>
        </w:tc>
        <w:tc>
          <w:tcPr>
            <w:tcW w:w="4264" w:type="dxa"/>
            <w:vAlign w:val="center"/>
          </w:tcPr>
          <w:p w14:paraId="707D4A25"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4.01%</w:t>
            </w:r>
          </w:p>
        </w:tc>
      </w:tr>
      <w:tr w:rsidR="008D76D6" w14:paraId="0681B835" w14:textId="77777777">
        <w:trPr>
          <w:trHeight w:val="397"/>
          <w:jc w:val="center"/>
        </w:trPr>
        <w:tc>
          <w:tcPr>
            <w:tcW w:w="4264" w:type="dxa"/>
            <w:vAlign w:val="center"/>
          </w:tcPr>
          <w:p w14:paraId="39E1208D"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华旺科技</w:t>
            </w:r>
          </w:p>
        </w:tc>
        <w:tc>
          <w:tcPr>
            <w:tcW w:w="4264" w:type="dxa"/>
            <w:vAlign w:val="center"/>
          </w:tcPr>
          <w:p w14:paraId="0CAA90CD"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3.41%</w:t>
            </w:r>
          </w:p>
        </w:tc>
      </w:tr>
      <w:tr w:rsidR="008D76D6" w14:paraId="79ED1534" w14:textId="77777777">
        <w:trPr>
          <w:trHeight w:val="397"/>
          <w:jc w:val="center"/>
        </w:trPr>
        <w:tc>
          <w:tcPr>
            <w:tcW w:w="4264" w:type="dxa"/>
            <w:vAlign w:val="center"/>
          </w:tcPr>
          <w:p w14:paraId="3984716B"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安集科技</w:t>
            </w:r>
          </w:p>
        </w:tc>
        <w:tc>
          <w:tcPr>
            <w:tcW w:w="4264" w:type="dxa"/>
            <w:vAlign w:val="center"/>
          </w:tcPr>
          <w:p w14:paraId="28FFD723"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3.18%</w:t>
            </w:r>
          </w:p>
        </w:tc>
      </w:tr>
      <w:tr w:rsidR="008D76D6" w14:paraId="76682B1F" w14:textId="77777777">
        <w:trPr>
          <w:trHeight w:val="397"/>
          <w:jc w:val="center"/>
        </w:trPr>
        <w:tc>
          <w:tcPr>
            <w:tcW w:w="4264" w:type="dxa"/>
            <w:vAlign w:val="center"/>
          </w:tcPr>
          <w:p w14:paraId="175374A3" w14:textId="77777777" w:rsidR="008D76D6" w:rsidRDefault="008D76D6" w:rsidP="008C4EDC">
            <w:pPr>
              <w:spacing w:beforeLines="0" w:before="0" w:afterLines="0" w:after="0" w:line="240" w:lineRule="auto"/>
              <w:ind w:firstLineChars="0" w:firstLine="0"/>
              <w:jc w:val="center"/>
              <w:textAlignment w:val="center"/>
              <w:rPr>
                <w:b/>
                <w:bCs/>
                <w:color w:val="000000"/>
                <w:sz w:val="21"/>
                <w:szCs w:val="21"/>
              </w:rPr>
            </w:pPr>
            <w:r>
              <w:rPr>
                <w:rFonts w:hint="eastAsia"/>
                <w:b/>
                <w:bCs/>
                <w:color w:val="000000"/>
                <w:sz w:val="21"/>
                <w:szCs w:val="21"/>
              </w:rPr>
              <w:t>合计</w:t>
            </w:r>
          </w:p>
        </w:tc>
        <w:tc>
          <w:tcPr>
            <w:tcW w:w="4264" w:type="dxa"/>
            <w:vAlign w:val="center"/>
          </w:tcPr>
          <w:p w14:paraId="77AE57B8"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b/>
                <w:bCs/>
                <w:color w:val="000000"/>
                <w:sz w:val="21"/>
                <w:szCs w:val="21"/>
              </w:rPr>
            </w:pPr>
            <w:r>
              <w:rPr>
                <w:rFonts w:ascii="Times New Roman" w:hAnsi="Times New Roman"/>
                <w:b/>
                <w:bCs/>
                <w:color w:val="000000"/>
                <w:sz w:val="21"/>
                <w:szCs w:val="21"/>
              </w:rPr>
              <w:t>85.44%</w:t>
            </w:r>
          </w:p>
        </w:tc>
      </w:tr>
    </w:tbl>
    <w:p w14:paraId="154B3914" w14:textId="77777777" w:rsidR="008D76D6" w:rsidRDefault="008D76D6">
      <w:pPr>
        <w:pStyle w:val="WL06-"/>
        <w:spacing w:before="120" w:after="120"/>
        <w:ind w:firstLine="480"/>
      </w:pPr>
      <w:r>
        <w:rPr>
          <w:rFonts w:hint="eastAsia"/>
        </w:rPr>
        <w:t>其中益安富家</w:t>
      </w:r>
      <w:r>
        <w:rPr>
          <w:rFonts w:hint="eastAsia"/>
        </w:rPr>
        <w:t>6</w:t>
      </w:r>
      <w:r>
        <w:rPr>
          <w:rFonts w:hint="eastAsia"/>
        </w:rPr>
        <w:t>号私募证券投资基金</w:t>
      </w:r>
      <w:r>
        <w:rPr>
          <w:rFonts w:hint="eastAsia"/>
        </w:rPr>
        <w:t>B</w:t>
      </w:r>
      <w:r>
        <w:rPr>
          <w:rFonts w:hint="eastAsia"/>
        </w:rPr>
        <w:t>的前</w:t>
      </w:r>
      <w:r>
        <w:rPr>
          <w:rFonts w:hint="eastAsia"/>
        </w:rPr>
        <w:t>1</w:t>
      </w:r>
      <w:r>
        <w:t>0</w:t>
      </w:r>
      <w:r>
        <w:rPr>
          <w:rFonts w:hint="eastAsia"/>
        </w:rPr>
        <w:t>大资产占比如下：</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5"/>
        <w:gridCol w:w="4505"/>
      </w:tblGrid>
      <w:tr w:rsidR="008D76D6" w14:paraId="092E5500" w14:textId="77777777">
        <w:trPr>
          <w:trHeight w:val="397"/>
          <w:tblHeader/>
          <w:jc w:val="center"/>
        </w:trPr>
        <w:tc>
          <w:tcPr>
            <w:tcW w:w="4621" w:type="dxa"/>
            <w:shd w:val="clear" w:color="auto" w:fill="D9D9D9"/>
            <w:vAlign w:val="center"/>
          </w:tcPr>
          <w:p w14:paraId="01D96EA4" w14:textId="77777777" w:rsidR="008D76D6" w:rsidRDefault="008D76D6" w:rsidP="008C4EDC">
            <w:pPr>
              <w:keepNext/>
              <w:spacing w:beforeLines="0" w:before="0" w:afterLines="0" w:after="0" w:line="240" w:lineRule="auto"/>
              <w:ind w:firstLineChars="0" w:firstLine="0"/>
              <w:jc w:val="center"/>
              <w:rPr>
                <w:rFonts w:cs="Mongolian Baiti"/>
                <w:b/>
                <w:bCs/>
                <w:sz w:val="21"/>
                <w:szCs w:val="21"/>
              </w:rPr>
            </w:pPr>
            <w:r>
              <w:rPr>
                <w:rFonts w:cs="Mongolian Baiti" w:hint="eastAsia"/>
                <w:b/>
                <w:bCs/>
                <w:sz w:val="21"/>
                <w:szCs w:val="21"/>
              </w:rPr>
              <w:t>底层资产</w:t>
            </w:r>
          </w:p>
        </w:tc>
        <w:tc>
          <w:tcPr>
            <w:tcW w:w="4621" w:type="dxa"/>
            <w:shd w:val="clear" w:color="auto" w:fill="D9D9D9"/>
            <w:vAlign w:val="center"/>
          </w:tcPr>
          <w:p w14:paraId="0D7629CD" w14:textId="77777777" w:rsidR="008D76D6" w:rsidRDefault="008D76D6" w:rsidP="008C4EDC">
            <w:pPr>
              <w:spacing w:beforeLines="0" w:before="0" w:afterLines="0" w:after="0" w:line="240" w:lineRule="auto"/>
              <w:ind w:firstLineChars="0" w:firstLine="0"/>
              <w:jc w:val="center"/>
              <w:rPr>
                <w:rFonts w:cs="Mongolian Baiti"/>
                <w:b/>
                <w:bCs/>
                <w:sz w:val="21"/>
                <w:szCs w:val="21"/>
              </w:rPr>
            </w:pPr>
            <w:r>
              <w:rPr>
                <w:rFonts w:cs="Mongolian Baiti" w:hint="eastAsia"/>
                <w:b/>
                <w:bCs/>
                <w:sz w:val="21"/>
                <w:szCs w:val="21"/>
              </w:rPr>
              <w:t>资产占比</w:t>
            </w:r>
          </w:p>
        </w:tc>
      </w:tr>
      <w:tr w:rsidR="008D76D6" w14:paraId="40258FBB" w14:textId="77777777">
        <w:trPr>
          <w:trHeight w:val="397"/>
          <w:jc w:val="center"/>
        </w:trPr>
        <w:tc>
          <w:tcPr>
            <w:tcW w:w="4621" w:type="dxa"/>
            <w:vAlign w:val="center"/>
          </w:tcPr>
          <w:p w14:paraId="517F9BF8"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石化机械</w:t>
            </w:r>
          </w:p>
        </w:tc>
        <w:tc>
          <w:tcPr>
            <w:tcW w:w="4621" w:type="dxa"/>
            <w:vAlign w:val="center"/>
          </w:tcPr>
          <w:p w14:paraId="278F5110"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81.81%</w:t>
            </w:r>
          </w:p>
        </w:tc>
      </w:tr>
      <w:tr w:rsidR="008D76D6" w14:paraId="2E6024AC" w14:textId="77777777">
        <w:trPr>
          <w:trHeight w:val="397"/>
          <w:jc w:val="center"/>
        </w:trPr>
        <w:tc>
          <w:tcPr>
            <w:tcW w:w="4621" w:type="dxa"/>
            <w:vAlign w:val="center"/>
          </w:tcPr>
          <w:p w14:paraId="7C07C642"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银华日利货币</w:t>
            </w:r>
            <w:r>
              <w:rPr>
                <w:rFonts w:ascii="Times New Roman" w:hAnsi="Times New Roman"/>
                <w:color w:val="000000"/>
                <w:sz w:val="21"/>
                <w:szCs w:val="21"/>
              </w:rPr>
              <w:t>A</w:t>
            </w:r>
          </w:p>
        </w:tc>
        <w:tc>
          <w:tcPr>
            <w:tcW w:w="4621" w:type="dxa"/>
            <w:vAlign w:val="center"/>
          </w:tcPr>
          <w:p w14:paraId="514DBD33"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11.60%</w:t>
            </w:r>
          </w:p>
        </w:tc>
      </w:tr>
      <w:tr w:rsidR="008D76D6" w14:paraId="408E2923" w14:textId="77777777">
        <w:trPr>
          <w:trHeight w:val="397"/>
          <w:jc w:val="center"/>
        </w:trPr>
        <w:tc>
          <w:tcPr>
            <w:tcW w:w="4621" w:type="dxa"/>
            <w:vAlign w:val="center"/>
          </w:tcPr>
          <w:p w14:paraId="396B977A"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通</w:t>
            </w:r>
            <w:r>
              <w:rPr>
                <w:rFonts w:ascii="Times New Roman" w:hAnsi="Times New Roman"/>
                <w:color w:val="000000"/>
                <w:sz w:val="21"/>
                <w:szCs w:val="21"/>
              </w:rPr>
              <w:t>22</w:t>
            </w:r>
            <w:r>
              <w:rPr>
                <w:rFonts w:ascii="Times New Roman" w:hAnsi="Times New Roman"/>
                <w:color w:val="000000"/>
                <w:sz w:val="21"/>
                <w:szCs w:val="21"/>
              </w:rPr>
              <w:t>转债</w:t>
            </w:r>
          </w:p>
        </w:tc>
        <w:tc>
          <w:tcPr>
            <w:tcW w:w="4621" w:type="dxa"/>
            <w:vAlign w:val="center"/>
          </w:tcPr>
          <w:p w14:paraId="6F9EF79D"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3.55%</w:t>
            </w:r>
          </w:p>
        </w:tc>
      </w:tr>
      <w:tr w:rsidR="008D76D6" w14:paraId="601E3ADD" w14:textId="77777777">
        <w:trPr>
          <w:trHeight w:val="397"/>
          <w:jc w:val="center"/>
        </w:trPr>
        <w:tc>
          <w:tcPr>
            <w:tcW w:w="4621" w:type="dxa"/>
            <w:vAlign w:val="center"/>
          </w:tcPr>
          <w:p w14:paraId="28CCFB28"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华宝添益货币</w:t>
            </w:r>
            <w:r>
              <w:rPr>
                <w:rFonts w:ascii="Times New Roman" w:hAnsi="Times New Roman"/>
                <w:color w:val="000000"/>
                <w:sz w:val="21"/>
                <w:szCs w:val="21"/>
              </w:rPr>
              <w:t>A</w:t>
            </w:r>
          </w:p>
        </w:tc>
        <w:tc>
          <w:tcPr>
            <w:tcW w:w="4621" w:type="dxa"/>
            <w:vAlign w:val="center"/>
          </w:tcPr>
          <w:p w14:paraId="5ACC0665"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2.81%</w:t>
            </w:r>
          </w:p>
        </w:tc>
      </w:tr>
      <w:tr w:rsidR="008D76D6" w14:paraId="05129C77" w14:textId="77777777">
        <w:trPr>
          <w:trHeight w:val="397"/>
          <w:jc w:val="center"/>
        </w:trPr>
        <w:tc>
          <w:tcPr>
            <w:tcW w:w="4621" w:type="dxa"/>
            <w:vAlign w:val="center"/>
          </w:tcPr>
          <w:p w14:paraId="02C518E4"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现金</w:t>
            </w:r>
          </w:p>
        </w:tc>
        <w:tc>
          <w:tcPr>
            <w:tcW w:w="4621" w:type="dxa"/>
            <w:vAlign w:val="center"/>
          </w:tcPr>
          <w:p w14:paraId="5E5885D1"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0.17%</w:t>
            </w:r>
          </w:p>
        </w:tc>
      </w:tr>
      <w:tr w:rsidR="008D76D6" w14:paraId="18184DA3" w14:textId="77777777">
        <w:trPr>
          <w:trHeight w:val="397"/>
          <w:jc w:val="center"/>
        </w:trPr>
        <w:tc>
          <w:tcPr>
            <w:tcW w:w="4621" w:type="dxa"/>
            <w:vAlign w:val="center"/>
          </w:tcPr>
          <w:p w14:paraId="36093D2D"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上交所质押式回购（逆回购）</w:t>
            </w:r>
          </w:p>
        </w:tc>
        <w:tc>
          <w:tcPr>
            <w:tcW w:w="4621" w:type="dxa"/>
            <w:vAlign w:val="center"/>
          </w:tcPr>
          <w:p w14:paraId="1B7CA6D1"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0.06%</w:t>
            </w:r>
          </w:p>
        </w:tc>
      </w:tr>
      <w:tr w:rsidR="008D76D6" w14:paraId="63C034FF" w14:textId="77777777">
        <w:trPr>
          <w:trHeight w:val="397"/>
          <w:jc w:val="center"/>
        </w:trPr>
        <w:tc>
          <w:tcPr>
            <w:tcW w:w="4621" w:type="dxa"/>
            <w:vAlign w:val="center"/>
          </w:tcPr>
          <w:p w14:paraId="7767120B"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陕西能源</w:t>
            </w:r>
          </w:p>
        </w:tc>
        <w:tc>
          <w:tcPr>
            <w:tcW w:w="4621" w:type="dxa"/>
            <w:vAlign w:val="center"/>
          </w:tcPr>
          <w:p w14:paraId="482C3A2A"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0.01%</w:t>
            </w:r>
          </w:p>
        </w:tc>
      </w:tr>
      <w:tr w:rsidR="008D76D6" w14:paraId="2D3C116A" w14:textId="77777777">
        <w:trPr>
          <w:trHeight w:val="397"/>
          <w:jc w:val="center"/>
        </w:trPr>
        <w:tc>
          <w:tcPr>
            <w:tcW w:w="4621" w:type="dxa"/>
            <w:vAlign w:val="center"/>
          </w:tcPr>
          <w:p w14:paraId="5FBE0F60"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盟固利</w:t>
            </w:r>
          </w:p>
        </w:tc>
        <w:tc>
          <w:tcPr>
            <w:tcW w:w="4621" w:type="dxa"/>
            <w:vAlign w:val="center"/>
          </w:tcPr>
          <w:p w14:paraId="1960AF91"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0.01%</w:t>
            </w:r>
          </w:p>
        </w:tc>
      </w:tr>
      <w:tr w:rsidR="008D76D6" w14:paraId="2C14B583" w14:textId="77777777">
        <w:trPr>
          <w:trHeight w:val="397"/>
          <w:jc w:val="center"/>
        </w:trPr>
        <w:tc>
          <w:tcPr>
            <w:tcW w:w="4621" w:type="dxa"/>
            <w:vAlign w:val="center"/>
          </w:tcPr>
          <w:p w14:paraId="7474CAC6"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固高科技</w:t>
            </w:r>
          </w:p>
        </w:tc>
        <w:tc>
          <w:tcPr>
            <w:tcW w:w="4621" w:type="dxa"/>
            <w:vAlign w:val="center"/>
          </w:tcPr>
          <w:p w14:paraId="3F9401C5"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0.01%</w:t>
            </w:r>
          </w:p>
        </w:tc>
      </w:tr>
      <w:tr w:rsidR="008D76D6" w14:paraId="601156FA" w14:textId="77777777">
        <w:trPr>
          <w:trHeight w:val="397"/>
          <w:jc w:val="center"/>
        </w:trPr>
        <w:tc>
          <w:tcPr>
            <w:tcW w:w="4621" w:type="dxa"/>
            <w:vAlign w:val="center"/>
          </w:tcPr>
          <w:p w14:paraId="31843F5A"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威力传动</w:t>
            </w:r>
          </w:p>
        </w:tc>
        <w:tc>
          <w:tcPr>
            <w:tcW w:w="4621" w:type="dxa"/>
            <w:vAlign w:val="center"/>
          </w:tcPr>
          <w:p w14:paraId="397F3497"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0.01%</w:t>
            </w:r>
          </w:p>
        </w:tc>
      </w:tr>
      <w:tr w:rsidR="008D76D6" w14:paraId="5980E031" w14:textId="77777777">
        <w:trPr>
          <w:trHeight w:val="397"/>
          <w:jc w:val="center"/>
        </w:trPr>
        <w:tc>
          <w:tcPr>
            <w:tcW w:w="4621" w:type="dxa"/>
            <w:vAlign w:val="center"/>
          </w:tcPr>
          <w:p w14:paraId="144291A9" w14:textId="77777777" w:rsidR="008D76D6" w:rsidRDefault="008D76D6" w:rsidP="008C4EDC">
            <w:pPr>
              <w:spacing w:beforeLines="0" w:before="0" w:afterLines="0" w:after="0" w:line="240" w:lineRule="auto"/>
              <w:ind w:firstLineChars="0" w:firstLine="0"/>
              <w:jc w:val="center"/>
              <w:textAlignment w:val="center"/>
              <w:rPr>
                <w:b/>
                <w:bCs/>
                <w:color w:val="000000"/>
                <w:sz w:val="22"/>
              </w:rPr>
            </w:pPr>
            <w:r>
              <w:rPr>
                <w:rFonts w:hint="eastAsia"/>
                <w:b/>
                <w:bCs/>
                <w:color w:val="000000"/>
                <w:sz w:val="22"/>
              </w:rPr>
              <w:t>合计</w:t>
            </w:r>
          </w:p>
        </w:tc>
        <w:tc>
          <w:tcPr>
            <w:tcW w:w="4621" w:type="dxa"/>
            <w:vAlign w:val="center"/>
          </w:tcPr>
          <w:p w14:paraId="58DAB5E4"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b/>
                <w:bCs/>
                <w:color w:val="000000"/>
                <w:sz w:val="21"/>
                <w:szCs w:val="21"/>
              </w:rPr>
            </w:pPr>
            <w:r>
              <w:rPr>
                <w:rFonts w:ascii="Times New Roman" w:hAnsi="Times New Roman"/>
                <w:b/>
                <w:bCs/>
                <w:color w:val="000000"/>
                <w:sz w:val="21"/>
                <w:szCs w:val="21"/>
              </w:rPr>
              <w:t>100.04%</w:t>
            </w:r>
          </w:p>
        </w:tc>
      </w:tr>
    </w:tbl>
    <w:p w14:paraId="40259503" w14:textId="77777777" w:rsidR="008D76D6" w:rsidRDefault="008D76D6">
      <w:pPr>
        <w:pStyle w:val="WL06-"/>
        <w:spacing w:before="120" w:after="120"/>
        <w:ind w:firstLine="420"/>
        <w:rPr>
          <w:rFonts w:cs="Times New Roman"/>
          <w:sz w:val="21"/>
        </w:rPr>
      </w:pPr>
      <w:r>
        <w:rPr>
          <w:rFonts w:cs="Times New Roman" w:hint="eastAsia"/>
          <w:sz w:val="21"/>
        </w:rPr>
        <w:t>注：上表合计大于</w:t>
      </w:r>
      <w:r>
        <w:rPr>
          <w:rFonts w:cs="Times New Roman" w:hint="eastAsia"/>
          <w:sz w:val="21"/>
        </w:rPr>
        <w:t>1</w:t>
      </w:r>
      <w:r>
        <w:rPr>
          <w:rFonts w:cs="Times New Roman"/>
          <w:sz w:val="21"/>
        </w:rPr>
        <w:t>00%</w:t>
      </w:r>
      <w:r>
        <w:rPr>
          <w:rFonts w:cs="Times New Roman" w:hint="eastAsia"/>
          <w:sz w:val="21"/>
        </w:rPr>
        <w:t>系存在预提费用。</w:t>
      </w:r>
    </w:p>
    <w:p w14:paraId="7CD26C6D" w14:textId="77777777" w:rsidR="008D76D6" w:rsidRDefault="008D76D6">
      <w:pPr>
        <w:pStyle w:val="WL06-"/>
        <w:spacing w:before="120" w:after="120"/>
        <w:ind w:firstLine="480"/>
      </w:pPr>
      <w:r>
        <w:rPr>
          <w:rFonts w:hint="eastAsia"/>
        </w:rPr>
        <w:t>上述私募产品的主要投资为上市公司</w:t>
      </w:r>
      <w:r w:rsidR="009651D9">
        <w:rPr>
          <w:rFonts w:hint="eastAsia"/>
        </w:rPr>
        <w:t>股票</w:t>
      </w:r>
      <w:r>
        <w:rPr>
          <w:rFonts w:hint="eastAsia"/>
        </w:rPr>
        <w:t>，报告期内，发行人主营业务与上述被投资企业之间未发生销售、采购等活动。</w:t>
      </w:r>
    </w:p>
    <w:p w14:paraId="2F9697B8" w14:textId="77777777" w:rsidR="008D76D6" w:rsidRDefault="008D76D6">
      <w:pPr>
        <w:pStyle w:val="WL06-"/>
        <w:spacing w:before="120" w:after="120"/>
        <w:ind w:firstLine="480"/>
        <w:rPr>
          <w:rFonts w:cs="Times New Roman"/>
        </w:rPr>
      </w:pPr>
      <w:r>
        <w:rPr>
          <w:rFonts w:cs="Times New Roman" w:hint="eastAsia"/>
        </w:rPr>
        <w:t>发行人持有的结构性存款</w:t>
      </w:r>
      <w:r w:rsidR="00CA73C2">
        <w:rPr>
          <w:rFonts w:cs="Times New Roman" w:hint="eastAsia"/>
        </w:rPr>
        <w:t>产品</w:t>
      </w:r>
      <w:r>
        <w:rPr>
          <w:rFonts w:cs="Times New Roman"/>
        </w:rPr>
        <w:t>，均</w:t>
      </w:r>
      <w:r>
        <w:rPr>
          <w:rFonts w:cs="Times New Roman" w:hint="eastAsia"/>
        </w:rPr>
        <w:t>为</w:t>
      </w:r>
      <w:r>
        <w:rPr>
          <w:rFonts w:cs="Times New Roman"/>
        </w:rPr>
        <w:t>保本浮动型产品，该类产品不属于收益波动大且风险较高的金融产品，故未将其认定为财务性投资。</w:t>
      </w:r>
    </w:p>
    <w:p w14:paraId="3F474D14" w14:textId="77777777" w:rsidR="008D76D6" w:rsidRDefault="008D76D6">
      <w:pPr>
        <w:pStyle w:val="WL06-"/>
        <w:spacing w:before="120" w:after="120"/>
        <w:ind w:firstLine="480"/>
      </w:pPr>
      <w:r>
        <w:rPr>
          <w:rFonts w:hint="eastAsia"/>
        </w:rPr>
        <w:t>对于东证融汇汇鑫</w:t>
      </w:r>
      <w:r>
        <w:rPr>
          <w:rFonts w:hint="eastAsia"/>
        </w:rPr>
        <w:t>6M3</w:t>
      </w:r>
      <w:r>
        <w:rPr>
          <w:rFonts w:hint="eastAsia"/>
        </w:rPr>
        <w:t>号集合资产管理计划，其底层资产情况如下：</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5"/>
        <w:gridCol w:w="4505"/>
      </w:tblGrid>
      <w:tr w:rsidR="008D76D6" w14:paraId="7945E89D" w14:textId="77777777">
        <w:trPr>
          <w:trHeight w:val="397"/>
          <w:tblHeader/>
          <w:jc w:val="center"/>
        </w:trPr>
        <w:tc>
          <w:tcPr>
            <w:tcW w:w="4264" w:type="dxa"/>
            <w:shd w:val="clear" w:color="auto" w:fill="D9D9D9"/>
            <w:vAlign w:val="center"/>
          </w:tcPr>
          <w:p w14:paraId="2D64CCF0" w14:textId="77777777" w:rsidR="008D76D6" w:rsidRDefault="008D76D6" w:rsidP="008C4EDC">
            <w:pPr>
              <w:keepNext/>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资产组合明细</w:t>
            </w:r>
          </w:p>
        </w:tc>
        <w:tc>
          <w:tcPr>
            <w:tcW w:w="4264" w:type="dxa"/>
            <w:shd w:val="clear" w:color="auto" w:fill="D9D9D9"/>
            <w:vAlign w:val="center"/>
          </w:tcPr>
          <w:p w14:paraId="0F16D068" w14:textId="77777777" w:rsidR="008D76D6" w:rsidRDefault="008D76D6" w:rsidP="008C4EDC">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资产占比</w:t>
            </w:r>
          </w:p>
        </w:tc>
      </w:tr>
      <w:tr w:rsidR="008D76D6" w14:paraId="13CB2354" w14:textId="77777777">
        <w:trPr>
          <w:trHeight w:val="397"/>
          <w:jc w:val="center"/>
        </w:trPr>
        <w:tc>
          <w:tcPr>
            <w:tcW w:w="4264" w:type="dxa"/>
            <w:vAlign w:val="center"/>
          </w:tcPr>
          <w:p w14:paraId="09F9D024"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银行存款</w:t>
            </w:r>
          </w:p>
        </w:tc>
        <w:tc>
          <w:tcPr>
            <w:tcW w:w="4264" w:type="dxa"/>
            <w:vAlign w:val="center"/>
          </w:tcPr>
          <w:p w14:paraId="4FB2A75B"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0.34%</w:t>
            </w:r>
          </w:p>
        </w:tc>
      </w:tr>
      <w:tr w:rsidR="008D76D6" w14:paraId="51B396B9" w14:textId="77777777">
        <w:trPr>
          <w:trHeight w:val="397"/>
          <w:jc w:val="center"/>
        </w:trPr>
        <w:tc>
          <w:tcPr>
            <w:tcW w:w="4264" w:type="dxa"/>
            <w:vAlign w:val="center"/>
          </w:tcPr>
          <w:p w14:paraId="73171C1D"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存出保证金</w:t>
            </w:r>
          </w:p>
        </w:tc>
        <w:tc>
          <w:tcPr>
            <w:tcW w:w="4264" w:type="dxa"/>
            <w:vAlign w:val="center"/>
          </w:tcPr>
          <w:p w14:paraId="589E7321"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0.00%</w:t>
            </w:r>
          </w:p>
        </w:tc>
      </w:tr>
      <w:tr w:rsidR="008D76D6" w14:paraId="59A1045C" w14:textId="77777777">
        <w:trPr>
          <w:trHeight w:val="397"/>
          <w:jc w:val="center"/>
        </w:trPr>
        <w:tc>
          <w:tcPr>
            <w:tcW w:w="4264" w:type="dxa"/>
            <w:vAlign w:val="center"/>
          </w:tcPr>
          <w:p w14:paraId="71AA19F6"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债权投资</w:t>
            </w:r>
          </w:p>
        </w:tc>
        <w:tc>
          <w:tcPr>
            <w:tcW w:w="4264" w:type="dxa"/>
            <w:vAlign w:val="center"/>
          </w:tcPr>
          <w:p w14:paraId="25B2DBA5"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99.18%</w:t>
            </w:r>
          </w:p>
        </w:tc>
      </w:tr>
      <w:tr w:rsidR="008D76D6" w14:paraId="494FF72F" w14:textId="77777777">
        <w:trPr>
          <w:trHeight w:val="397"/>
          <w:jc w:val="center"/>
        </w:trPr>
        <w:tc>
          <w:tcPr>
            <w:tcW w:w="4264" w:type="dxa"/>
            <w:vAlign w:val="center"/>
          </w:tcPr>
          <w:p w14:paraId="113118D6"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基金投资</w:t>
            </w:r>
          </w:p>
        </w:tc>
        <w:tc>
          <w:tcPr>
            <w:tcW w:w="4264" w:type="dxa"/>
            <w:vAlign w:val="center"/>
          </w:tcPr>
          <w:p w14:paraId="2392944C"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0.47%</w:t>
            </w:r>
          </w:p>
        </w:tc>
      </w:tr>
      <w:tr w:rsidR="008D76D6" w14:paraId="17D12F12" w14:textId="77777777">
        <w:trPr>
          <w:trHeight w:val="397"/>
          <w:jc w:val="center"/>
        </w:trPr>
        <w:tc>
          <w:tcPr>
            <w:tcW w:w="4264" w:type="dxa"/>
            <w:vAlign w:val="center"/>
          </w:tcPr>
          <w:p w14:paraId="1BCA9C2B"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b/>
                <w:bCs/>
                <w:color w:val="000000"/>
                <w:sz w:val="21"/>
                <w:szCs w:val="21"/>
              </w:rPr>
            </w:pPr>
            <w:r>
              <w:rPr>
                <w:rFonts w:ascii="Times New Roman" w:hAnsi="Times New Roman"/>
                <w:b/>
                <w:bCs/>
                <w:color w:val="000000"/>
                <w:sz w:val="21"/>
                <w:szCs w:val="21"/>
              </w:rPr>
              <w:t>合计</w:t>
            </w:r>
          </w:p>
        </w:tc>
        <w:tc>
          <w:tcPr>
            <w:tcW w:w="4264" w:type="dxa"/>
            <w:vAlign w:val="center"/>
          </w:tcPr>
          <w:p w14:paraId="46D5EC25"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b/>
                <w:bCs/>
                <w:color w:val="000000"/>
                <w:sz w:val="21"/>
                <w:szCs w:val="21"/>
              </w:rPr>
            </w:pPr>
            <w:r>
              <w:rPr>
                <w:rFonts w:ascii="Times New Roman" w:hAnsi="Times New Roman"/>
                <w:b/>
                <w:bCs/>
                <w:color w:val="000000"/>
                <w:sz w:val="21"/>
                <w:szCs w:val="21"/>
              </w:rPr>
              <w:t>100.00%</w:t>
            </w:r>
          </w:p>
        </w:tc>
      </w:tr>
    </w:tbl>
    <w:p w14:paraId="4F078108" w14:textId="77777777" w:rsidR="008D76D6" w:rsidRDefault="008D76D6">
      <w:pPr>
        <w:pStyle w:val="WL06-"/>
        <w:spacing w:before="120" w:after="120"/>
        <w:ind w:firstLine="480"/>
      </w:pPr>
      <w:r>
        <w:rPr>
          <w:rFonts w:hint="eastAsia"/>
        </w:rPr>
        <w:t>公司出于为加强流动资金收益管理、提高资金使用效率的目的所购买的该等集合资产管理计划为安全性高、流动性好、风险较低（</w:t>
      </w:r>
      <w:r>
        <w:rPr>
          <w:rFonts w:hint="eastAsia"/>
        </w:rPr>
        <w:t>R2</w:t>
      </w:r>
      <w:r>
        <w:rPr>
          <w:rFonts w:hint="eastAsia"/>
        </w:rPr>
        <w:t>风险等级）的理财产品，其投资的底层资产主要系债券投资等固定收益类资产，不属于收益波动大且风险较高的金融产品，不属于财务性投资范畴，故发行人未将其认定为财务性投资。</w:t>
      </w:r>
    </w:p>
    <w:p w14:paraId="6DEDF249" w14:textId="77777777" w:rsidR="008D76D6" w:rsidRDefault="008D76D6">
      <w:pPr>
        <w:pStyle w:val="WL06-"/>
        <w:spacing w:before="120" w:after="120"/>
        <w:ind w:firstLine="480"/>
      </w:pPr>
      <w:r>
        <w:rPr>
          <w:rFonts w:hint="eastAsia"/>
        </w:rPr>
        <w:t>综上所述，本所律师认为，除益安地风</w:t>
      </w:r>
      <w:r>
        <w:rPr>
          <w:rFonts w:hint="eastAsia"/>
        </w:rPr>
        <w:t>5</w:t>
      </w:r>
      <w:r>
        <w:rPr>
          <w:rFonts w:hint="eastAsia"/>
        </w:rPr>
        <w:t>号私募证券投资基金属于财务性投资外，发行人持有的其他交易性金融资产为公司购买的安全性高、流动性好、低风险、期限较短的</w:t>
      </w:r>
      <w:r>
        <w:rPr>
          <w:rFonts w:hint="eastAsia"/>
        </w:rPr>
        <w:t>R</w:t>
      </w:r>
      <w:r>
        <w:t>1</w:t>
      </w:r>
      <w:r>
        <w:rPr>
          <w:rFonts w:hint="eastAsia"/>
        </w:rPr>
        <w:t>或者</w:t>
      </w:r>
      <w:r>
        <w:rPr>
          <w:rFonts w:hint="eastAsia"/>
        </w:rPr>
        <w:t>R2</w:t>
      </w:r>
      <w:r>
        <w:rPr>
          <w:rFonts w:hint="eastAsia"/>
        </w:rPr>
        <w:t>级理财产品，不属于收益波动大且风险较高的金融产品，发行人购买的上述理财产品的目的是在充分满足流动性的前提下进行的现金管理，不属于财务性投资或类金融投资</w:t>
      </w:r>
      <w:bookmarkEnd w:id="22"/>
      <w:r>
        <w:rPr>
          <w:rFonts w:hint="eastAsia"/>
        </w:rPr>
        <w:t>。</w:t>
      </w:r>
    </w:p>
    <w:p w14:paraId="5C74C750" w14:textId="77777777" w:rsidR="008D76D6" w:rsidRDefault="008D76D6">
      <w:pPr>
        <w:pStyle w:val="WL05-5"/>
        <w:ind w:firstLine="480"/>
        <w:outlineLvl w:val="9"/>
        <w:rPr>
          <w:rFonts w:cs="Mongolian Baiti"/>
          <w:b w:val="0"/>
          <w:bCs w:val="0"/>
          <w:kern w:val="2"/>
          <w:szCs w:val="21"/>
          <w:lang w:val="en-US"/>
        </w:rPr>
      </w:pPr>
      <w:r>
        <w:rPr>
          <w:rFonts w:cs="Mongolian Baiti" w:hint="eastAsia"/>
          <w:b w:val="0"/>
          <w:bCs w:val="0"/>
          <w:kern w:val="2"/>
          <w:szCs w:val="21"/>
          <w:lang w:val="en-US"/>
        </w:rPr>
        <w:t>（</w:t>
      </w:r>
      <w:r>
        <w:rPr>
          <w:rFonts w:cs="Mongolian Baiti" w:hint="eastAsia"/>
          <w:b w:val="0"/>
          <w:bCs w:val="0"/>
          <w:kern w:val="2"/>
          <w:szCs w:val="21"/>
          <w:lang w:val="en-US"/>
        </w:rPr>
        <w:t>2</w:t>
      </w:r>
      <w:r>
        <w:rPr>
          <w:rFonts w:cs="Mongolian Baiti" w:hint="eastAsia"/>
          <w:b w:val="0"/>
          <w:bCs w:val="0"/>
          <w:kern w:val="2"/>
          <w:szCs w:val="21"/>
          <w:lang w:val="en-US"/>
        </w:rPr>
        <w:t>）其他应收款</w:t>
      </w:r>
    </w:p>
    <w:p w14:paraId="070F3E61" w14:textId="77777777" w:rsidR="008D76D6" w:rsidRDefault="008D76D6">
      <w:pPr>
        <w:pStyle w:val="WL06-"/>
        <w:spacing w:before="120" w:after="120"/>
        <w:ind w:firstLine="480"/>
      </w:pPr>
      <w:r>
        <w:t>截至</w:t>
      </w:r>
      <w:r>
        <w:t>2023</w:t>
      </w:r>
      <w:r>
        <w:t>年</w:t>
      </w:r>
      <w:r>
        <w:rPr>
          <w:rFonts w:hint="eastAsia"/>
        </w:rPr>
        <w:t>9</w:t>
      </w:r>
      <w:r>
        <w:t>月</w:t>
      </w:r>
      <w:r>
        <w:t>30</w:t>
      </w:r>
      <w:r>
        <w:t>日，发行人其他应收款账面价值为</w:t>
      </w:r>
      <w:bookmarkStart w:id="23" w:name="_Hlk150379809"/>
      <w:r>
        <w:t>645.46</w:t>
      </w:r>
      <w:bookmarkEnd w:id="23"/>
      <w:r>
        <w:t>万元，</w:t>
      </w:r>
      <w:r>
        <w:rPr>
          <w:rFonts w:hint="eastAsia"/>
        </w:rPr>
        <w:t>账面余额为</w:t>
      </w:r>
      <w:bookmarkStart w:id="24" w:name="_Hlk150379820"/>
      <w:r>
        <w:t>685.21</w:t>
      </w:r>
      <w:bookmarkEnd w:id="24"/>
      <w:r>
        <w:rPr>
          <w:rFonts w:hint="eastAsia"/>
        </w:rPr>
        <w:t>万元，</w:t>
      </w:r>
      <w:r>
        <w:t>主要包括</w:t>
      </w:r>
      <w:r>
        <w:rPr>
          <w:rFonts w:hint="eastAsia"/>
        </w:rPr>
        <w:t>出口退税、保证金</w:t>
      </w:r>
      <w:r>
        <w:t>、往来款等，具体</w:t>
      </w:r>
      <w:r>
        <w:rPr>
          <w:rFonts w:hint="eastAsia"/>
        </w:rPr>
        <w:t>账面</w:t>
      </w:r>
      <w:r>
        <w:t>余额明细如下：</w:t>
      </w:r>
    </w:p>
    <w:p w14:paraId="6ED8BB72" w14:textId="77777777" w:rsidR="008D76D6" w:rsidRDefault="008D76D6">
      <w:pPr>
        <w:keepNext/>
        <w:spacing w:beforeLines="0" w:before="0" w:afterLines="0" w:after="0" w:line="240" w:lineRule="auto"/>
        <w:ind w:firstLine="420"/>
        <w:jc w:val="right"/>
        <w:rPr>
          <w:rFonts w:cs="Mongolian Baiti"/>
          <w:sz w:val="21"/>
          <w:szCs w:val="21"/>
        </w:rPr>
      </w:pPr>
      <w:r>
        <w:rPr>
          <w:rFonts w:cs="Mongolian Baiti" w:hint="eastAsia"/>
          <w:sz w:val="21"/>
          <w:szCs w:val="21"/>
        </w:rPr>
        <w:t>单位：万元</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5"/>
        <w:gridCol w:w="4505"/>
      </w:tblGrid>
      <w:tr w:rsidR="008D76D6" w14:paraId="29757D61" w14:textId="77777777">
        <w:trPr>
          <w:trHeight w:val="397"/>
          <w:tblHeader/>
          <w:jc w:val="center"/>
        </w:trPr>
        <w:tc>
          <w:tcPr>
            <w:tcW w:w="4264" w:type="dxa"/>
            <w:shd w:val="clear" w:color="auto" w:fill="D9D9D9"/>
            <w:vAlign w:val="center"/>
          </w:tcPr>
          <w:p w14:paraId="0B9BE4B3" w14:textId="77777777" w:rsidR="008D76D6" w:rsidRDefault="008D76D6" w:rsidP="008C4EDC">
            <w:pPr>
              <w:keepNext/>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款项性质</w:t>
            </w:r>
          </w:p>
        </w:tc>
        <w:tc>
          <w:tcPr>
            <w:tcW w:w="4264" w:type="dxa"/>
            <w:shd w:val="clear" w:color="auto" w:fill="D9D9D9"/>
            <w:vAlign w:val="center"/>
          </w:tcPr>
          <w:p w14:paraId="76A16A3C" w14:textId="77777777" w:rsidR="008D76D6" w:rsidRDefault="008D76D6" w:rsidP="008C4EDC">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账面余额</w:t>
            </w:r>
          </w:p>
        </w:tc>
      </w:tr>
      <w:tr w:rsidR="008D76D6" w14:paraId="7E09C480" w14:textId="77777777">
        <w:trPr>
          <w:trHeight w:val="397"/>
          <w:jc w:val="center"/>
        </w:trPr>
        <w:tc>
          <w:tcPr>
            <w:tcW w:w="4264" w:type="dxa"/>
            <w:vAlign w:val="center"/>
          </w:tcPr>
          <w:p w14:paraId="1B57B633"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出口退税</w:t>
            </w:r>
          </w:p>
        </w:tc>
        <w:tc>
          <w:tcPr>
            <w:tcW w:w="4264" w:type="dxa"/>
            <w:vAlign w:val="center"/>
          </w:tcPr>
          <w:p w14:paraId="0EF592B4"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549.97</w:t>
            </w:r>
          </w:p>
        </w:tc>
      </w:tr>
      <w:tr w:rsidR="008D76D6" w14:paraId="5C7642D7" w14:textId="77777777">
        <w:trPr>
          <w:trHeight w:val="397"/>
          <w:jc w:val="center"/>
        </w:trPr>
        <w:tc>
          <w:tcPr>
            <w:tcW w:w="4264" w:type="dxa"/>
            <w:vAlign w:val="center"/>
          </w:tcPr>
          <w:p w14:paraId="57C45CC8"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保证金</w:t>
            </w:r>
          </w:p>
        </w:tc>
        <w:tc>
          <w:tcPr>
            <w:tcW w:w="4264" w:type="dxa"/>
            <w:vAlign w:val="center"/>
          </w:tcPr>
          <w:p w14:paraId="23284F48"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46.07</w:t>
            </w:r>
          </w:p>
        </w:tc>
      </w:tr>
      <w:tr w:rsidR="008D76D6" w14:paraId="4970E009" w14:textId="77777777">
        <w:trPr>
          <w:trHeight w:val="397"/>
          <w:jc w:val="center"/>
        </w:trPr>
        <w:tc>
          <w:tcPr>
            <w:tcW w:w="4264" w:type="dxa"/>
            <w:vAlign w:val="center"/>
          </w:tcPr>
          <w:p w14:paraId="3FEF0919"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往来款</w:t>
            </w:r>
          </w:p>
        </w:tc>
        <w:tc>
          <w:tcPr>
            <w:tcW w:w="4264" w:type="dxa"/>
            <w:vAlign w:val="center"/>
          </w:tcPr>
          <w:p w14:paraId="503CD980"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89.16</w:t>
            </w:r>
          </w:p>
        </w:tc>
      </w:tr>
      <w:tr w:rsidR="008D76D6" w14:paraId="6BBDCD99" w14:textId="77777777">
        <w:trPr>
          <w:trHeight w:val="397"/>
          <w:jc w:val="center"/>
        </w:trPr>
        <w:tc>
          <w:tcPr>
            <w:tcW w:w="4264" w:type="dxa"/>
            <w:vAlign w:val="center"/>
          </w:tcPr>
          <w:p w14:paraId="0A4F9FA0"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b/>
                <w:bCs/>
                <w:color w:val="000000"/>
                <w:sz w:val="21"/>
                <w:szCs w:val="21"/>
              </w:rPr>
            </w:pPr>
            <w:r>
              <w:rPr>
                <w:rFonts w:ascii="Times New Roman" w:hAnsi="Times New Roman"/>
                <w:b/>
                <w:bCs/>
                <w:color w:val="000000"/>
                <w:sz w:val="21"/>
                <w:szCs w:val="21"/>
              </w:rPr>
              <w:t>合计</w:t>
            </w:r>
          </w:p>
        </w:tc>
        <w:tc>
          <w:tcPr>
            <w:tcW w:w="4264" w:type="dxa"/>
            <w:vAlign w:val="center"/>
          </w:tcPr>
          <w:p w14:paraId="2BAB753F"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b/>
                <w:bCs/>
                <w:color w:val="000000"/>
                <w:sz w:val="21"/>
                <w:szCs w:val="21"/>
              </w:rPr>
            </w:pPr>
            <w:r>
              <w:rPr>
                <w:rFonts w:ascii="Times New Roman" w:hAnsi="Times New Roman"/>
                <w:b/>
                <w:bCs/>
                <w:color w:val="000000"/>
                <w:sz w:val="21"/>
                <w:szCs w:val="21"/>
              </w:rPr>
              <w:t>685.21</w:t>
            </w:r>
          </w:p>
        </w:tc>
      </w:tr>
    </w:tbl>
    <w:p w14:paraId="6B854D02" w14:textId="77777777" w:rsidR="008D76D6" w:rsidRDefault="008D76D6">
      <w:pPr>
        <w:pStyle w:val="WL06-"/>
        <w:spacing w:before="120" w:after="120"/>
        <w:ind w:firstLine="480"/>
      </w:pPr>
      <w:r>
        <w:t>发行人其他应收款主要包括</w:t>
      </w:r>
      <w:r>
        <w:rPr>
          <w:rFonts w:hint="eastAsia"/>
        </w:rPr>
        <w:t>出口退税</w:t>
      </w:r>
      <w:r>
        <w:t>、保证金</w:t>
      </w:r>
      <w:r>
        <w:rPr>
          <w:rFonts w:hint="eastAsia"/>
        </w:rPr>
        <w:t>、往来款</w:t>
      </w:r>
      <w:r>
        <w:t>等，均与公司日常经营活动有关，不存在拆借资金或对外部企业提供借款的情况，不属于财务性投资或类金融投资。</w:t>
      </w:r>
    </w:p>
    <w:p w14:paraId="73E82B40" w14:textId="77777777" w:rsidR="008D76D6" w:rsidRDefault="008D76D6">
      <w:pPr>
        <w:pStyle w:val="WL06-"/>
        <w:spacing w:before="120" w:after="120"/>
        <w:ind w:firstLine="480"/>
      </w:pPr>
      <w:r>
        <w:rPr>
          <w:rFonts w:hint="eastAsia"/>
        </w:rPr>
        <w:t>（</w:t>
      </w:r>
      <w:r>
        <w:t>3</w:t>
      </w:r>
      <w:r>
        <w:rPr>
          <w:rFonts w:hint="eastAsia"/>
        </w:rPr>
        <w:t>）其他流动资产</w:t>
      </w:r>
    </w:p>
    <w:p w14:paraId="2CD03B40" w14:textId="77777777" w:rsidR="008D76D6" w:rsidRDefault="008D76D6">
      <w:pPr>
        <w:pStyle w:val="WL06-"/>
        <w:spacing w:before="120" w:after="120"/>
        <w:ind w:firstLine="480"/>
      </w:pPr>
      <w:r>
        <w:t>截至</w:t>
      </w:r>
      <w:r>
        <w:t>2023</w:t>
      </w:r>
      <w:r>
        <w:t>年</w:t>
      </w:r>
      <w:r>
        <w:rPr>
          <w:rFonts w:hint="eastAsia"/>
        </w:rPr>
        <w:t>9</w:t>
      </w:r>
      <w:r>
        <w:t>月</w:t>
      </w:r>
      <w:r>
        <w:t>30</w:t>
      </w:r>
      <w:r>
        <w:t>日，发行人其他流动资产账面</w:t>
      </w:r>
      <w:r>
        <w:rPr>
          <w:rFonts w:hint="eastAsia"/>
        </w:rPr>
        <w:t>价值</w:t>
      </w:r>
      <w:r>
        <w:t>为</w:t>
      </w:r>
      <w:bookmarkStart w:id="25" w:name="_Hlk150379847"/>
      <w:r>
        <w:t>3,238.40</w:t>
      </w:r>
      <w:bookmarkEnd w:id="25"/>
      <w:r>
        <w:t>万元，主要为预缴增值税、大额存单等，具体明细如下：</w:t>
      </w:r>
    </w:p>
    <w:p w14:paraId="4B7DC99C" w14:textId="77777777" w:rsidR="008D76D6" w:rsidRDefault="008D76D6">
      <w:pPr>
        <w:keepNext/>
        <w:spacing w:beforeLines="0" w:before="0" w:afterLines="0" w:after="0" w:line="240" w:lineRule="auto"/>
        <w:ind w:firstLine="420"/>
        <w:jc w:val="right"/>
        <w:rPr>
          <w:rFonts w:cs="Mongolian Baiti"/>
          <w:sz w:val="21"/>
          <w:szCs w:val="21"/>
        </w:rPr>
      </w:pPr>
      <w:r>
        <w:rPr>
          <w:rFonts w:cs="Mongolian Baiti" w:hint="eastAsia"/>
          <w:sz w:val="21"/>
          <w:szCs w:val="21"/>
        </w:rPr>
        <w:t>单位：万元</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5"/>
        <w:gridCol w:w="4505"/>
      </w:tblGrid>
      <w:tr w:rsidR="008D76D6" w14:paraId="103B9739" w14:textId="77777777">
        <w:trPr>
          <w:trHeight w:val="397"/>
          <w:tblHeader/>
          <w:jc w:val="center"/>
        </w:trPr>
        <w:tc>
          <w:tcPr>
            <w:tcW w:w="4621" w:type="dxa"/>
            <w:shd w:val="clear" w:color="auto" w:fill="D9D9D9"/>
            <w:vAlign w:val="center"/>
          </w:tcPr>
          <w:p w14:paraId="33AC4AD3" w14:textId="77777777" w:rsidR="008D76D6" w:rsidRDefault="008D76D6" w:rsidP="008C4EDC">
            <w:pPr>
              <w:keepNext/>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款项性质</w:t>
            </w:r>
          </w:p>
        </w:tc>
        <w:tc>
          <w:tcPr>
            <w:tcW w:w="4621" w:type="dxa"/>
            <w:shd w:val="clear" w:color="auto" w:fill="D9D9D9"/>
            <w:vAlign w:val="center"/>
          </w:tcPr>
          <w:p w14:paraId="73BF62BB" w14:textId="77777777" w:rsidR="008D76D6" w:rsidRDefault="008D76D6" w:rsidP="008C4EDC">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账面价值</w:t>
            </w:r>
          </w:p>
        </w:tc>
      </w:tr>
      <w:tr w:rsidR="008D76D6" w14:paraId="54D26C27" w14:textId="77777777">
        <w:trPr>
          <w:trHeight w:val="397"/>
          <w:jc w:val="center"/>
        </w:trPr>
        <w:tc>
          <w:tcPr>
            <w:tcW w:w="4621" w:type="dxa"/>
            <w:vAlign w:val="center"/>
          </w:tcPr>
          <w:p w14:paraId="59251FC6"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大额存单</w:t>
            </w:r>
          </w:p>
        </w:tc>
        <w:tc>
          <w:tcPr>
            <w:tcW w:w="4621" w:type="dxa"/>
            <w:vAlign w:val="center"/>
          </w:tcPr>
          <w:p w14:paraId="0040E65F"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3,167.39</w:t>
            </w:r>
          </w:p>
        </w:tc>
      </w:tr>
      <w:tr w:rsidR="008D76D6" w14:paraId="1573B075" w14:textId="77777777">
        <w:trPr>
          <w:trHeight w:val="397"/>
          <w:jc w:val="center"/>
        </w:trPr>
        <w:tc>
          <w:tcPr>
            <w:tcW w:w="4621" w:type="dxa"/>
            <w:vAlign w:val="center"/>
          </w:tcPr>
          <w:p w14:paraId="278C035D"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待抵扣增值税</w:t>
            </w:r>
          </w:p>
        </w:tc>
        <w:tc>
          <w:tcPr>
            <w:tcW w:w="4621" w:type="dxa"/>
            <w:vAlign w:val="center"/>
          </w:tcPr>
          <w:p w14:paraId="4169DDED"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71.00</w:t>
            </w:r>
          </w:p>
        </w:tc>
      </w:tr>
      <w:tr w:rsidR="008D76D6" w14:paraId="1686C80B" w14:textId="77777777">
        <w:trPr>
          <w:trHeight w:val="397"/>
          <w:jc w:val="center"/>
        </w:trPr>
        <w:tc>
          <w:tcPr>
            <w:tcW w:w="4621" w:type="dxa"/>
            <w:vAlign w:val="center"/>
          </w:tcPr>
          <w:p w14:paraId="12452670" w14:textId="77777777" w:rsidR="008D76D6" w:rsidRDefault="008D76D6" w:rsidP="008C4EDC">
            <w:pPr>
              <w:spacing w:beforeLines="0" w:before="0" w:afterLines="0" w:after="0" w:line="240" w:lineRule="auto"/>
              <w:ind w:firstLineChars="0" w:firstLine="0"/>
              <w:jc w:val="center"/>
              <w:textAlignment w:val="center"/>
              <w:rPr>
                <w:rFonts w:ascii="Times New Roman" w:hAnsi="Times New Roman"/>
                <w:b/>
                <w:bCs/>
                <w:color w:val="000000"/>
                <w:sz w:val="21"/>
                <w:szCs w:val="21"/>
              </w:rPr>
            </w:pPr>
            <w:r>
              <w:rPr>
                <w:rFonts w:ascii="Times New Roman" w:hAnsi="Times New Roman"/>
                <w:b/>
                <w:bCs/>
                <w:color w:val="000000"/>
                <w:sz w:val="21"/>
                <w:szCs w:val="21"/>
              </w:rPr>
              <w:t>合计</w:t>
            </w:r>
          </w:p>
        </w:tc>
        <w:tc>
          <w:tcPr>
            <w:tcW w:w="4621" w:type="dxa"/>
            <w:vAlign w:val="center"/>
          </w:tcPr>
          <w:p w14:paraId="01E0576E" w14:textId="77777777" w:rsidR="008D76D6" w:rsidRDefault="008D76D6" w:rsidP="008C4EDC">
            <w:pPr>
              <w:spacing w:beforeLines="0" w:before="0" w:afterLines="0" w:after="0" w:line="240" w:lineRule="auto"/>
              <w:ind w:firstLineChars="0" w:firstLine="0"/>
              <w:jc w:val="right"/>
              <w:textAlignment w:val="center"/>
              <w:rPr>
                <w:rFonts w:ascii="Times New Roman" w:hAnsi="Times New Roman"/>
                <w:b/>
                <w:bCs/>
                <w:color w:val="000000"/>
                <w:sz w:val="21"/>
                <w:szCs w:val="21"/>
              </w:rPr>
            </w:pPr>
            <w:r>
              <w:rPr>
                <w:rFonts w:ascii="Times New Roman" w:hAnsi="Times New Roman"/>
                <w:b/>
                <w:bCs/>
                <w:color w:val="000000"/>
                <w:sz w:val="21"/>
                <w:szCs w:val="21"/>
              </w:rPr>
              <w:t>3,238.40</w:t>
            </w:r>
          </w:p>
        </w:tc>
      </w:tr>
    </w:tbl>
    <w:p w14:paraId="4BB50080" w14:textId="77777777" w:rsidR="00AB5A14" w:rsidRPr="00B434D2" w:rsidRDefault="00AB5A14" w:rsidP="00AB5A14">
      <w:pPr>
        <w:spacing w:before="120" w:after="120"/>
        <w:ind w:firstLine="480"/>
        <w:rPr>
          <w:rFonts w:ascii="Times New Roman" w:hAnsi="Times New Roman"/>
          <w:kern w:val="0"/>
          <w:szCs w:val="24"/>
        </w:rPr>
      </w:pPr>
      <w:r w:rsidRPr="00B434D2">
        <w:rPr>
          <w:rFonts w:ascii="Times New Roman" w:hAnsi="Times New Roman"/>
          <w:kern w:val="0"/>
          <w:szCs w:val="24"/>
        </w:rPr>
        <w:t>其中于民生银行购买的</w:t>
      </w:r>
      <w:r w:rsidRPr="00B434D2">
        <w:rPr>
          <w:rFonts w:ascii="Times New Roman" w:hAnsi="Times New Roman"/>
          <w:kern w:val="0"/>
          <w:szCs w:val="24"/>
        </w:rPr>
        <w:t>1,000.00</w:t>
      </w:r>
      <w:r w:rsidRPr="00B434D2">
        <w:rPr>
          <w:rFonts w:ascii="Times New Roman" w:hAnsi="Times New Roman"/>
          <w:kern w:val="0"/>
          <w:szCs w:val="24"/>
        </w:rPr>
        <w:t>万元的大额存单年利率</w:t>
      </w:r>
      <w:r w:rsidRPr="00B434D2">
        <w:rPr>
          <w:rFonts w:ascii="Times New Roman" w:hAnsi="Times New Roman"/>
          <w:kern w:val="0"/>
          <w:szCs w:val="24"/>
        </w:rPr>
        <w:t>3.40%</w:t>
      </w:r>
      <w:r w:rsidRPr="00B434D2">
        <w:rPr>
          <w:rFonts w:ascii="Times New Roman" w:hAnsi="Times New Roman"/>
          <w:kern w:val="0"/>
          <w:szCs w:val="24"/>
        </w:rPr>
        <w:t>，于平安银行购买的</w:t>
      </w:r>
      <w:r w:rsidRPr="00B434D2">
        <w:rPr>
          <w:rFonts w:ascii="Times New Roman" w:hAnsi="Times New Roman"/>
          <w:kern w:val="0"/>
          <w:szCs w:val="24"/>
        </w:rPr>
        <w:t>2,000.00</w:t>
      </w:r>
      <w:r w:rsidRPr="00B434D2">
        <w:rPr>
          <w:rFonts w:ascii="Times New Roman" w:hAnsi="Times New Roman"/>
          <w:kern w:val="0"/>
          <w:szCs w:val="24"/>
        </w:rPr>
        <w:t>万元的大额存单年利率</w:t>
      </w:r>
      <w:r w:rsidRPr="00B434D2">
        <w:rPr>
          <w:rFonts w:ascii="Times New Roman" w:hAnsi="Times New Roman"/>
          <w:kern w:val="0"/>
          <w:szCs w:val="24"/>
        </w:rPr>
        <w:t>3.35%</w:t>
      </w:r>
      <w:r w:rsidRPr="00B434D2">
        <w:rPr>
          <w:rFonts w:ascii="Times New Roman" w:hAnsi="Times New Roman"/>
          <w:kern w:val="0"/>
          <w:szCs w:val="24"/>
        </w:rPr>
        <w:t>。</w:t>
      </w:r>
    </w:p>
    <w:p w14:paraId="79E1094F" w14:textId="77777777" w:rsidR="008D76D6" w:rsidRDefault="008D76D6">
      <w:pPr>
        <w:pStyle w:val="WL06-"/>
        <w:spacing w:before="120" w:after="120"/>
        <w:ind w:firstLine="480"/>
      </w:pPr>
      <w:r>
        <w:t>上述其他流动资产不属于财务性投资或类金融投资。</w:t>
      </w:r>
    </w:p>
    <w:p w14:paraId="492F2199" w14:textId="77777777" w:rsidR="008D76D6" w:rsidRDefault="008D76D6">
      <w:pPr>
        <w:pStyle w:val="WL05-5"/>
        <w:ind w:firstLine="480"/>
        <w:outlineLvl w:val="9"/>
        <w:rPr>
          <w:b w:val="0"/>
          <w:bCs w:val="0"/>
          <w:kern w:val="2"/>
          <w:szCs w:val="21"/>
          <w:lang w:val="en-US"/>
        </w:rPr>
      </w:pPr>
      <w:r>
        <w:rPr>
          <w:b w:val="0"/>
          <w:bCs w:val="0"/>
          <w:kern w:val="2"/>
          <w:szCs w:val="21"/>
          <w:lang w:val="en-US"/>
        </w:rPr>
        <w:t>（</w:t>
      </w:r>
      <w:r>
        <w:rPr>
          <w:b w:val="0"/>
          <w:bCs w:val="0"/>
          <w:kern w:val="2"/>
          <w:szCs w:val="21"/>
          <w:lang w:val="en-US"/>
        </w:rPr>
        <w:t>4</w:t>
      </w:r>
      <w:r>
        <w:rPr>
          <w:b w:val="0"/>
          <w:bCs w:val="0"/>
          <w:kern w:val="2"/>
          <w:szCs w:val="21"/>
          <w:lang w:val="en-US"/>
        </w:rPr>
        <w:t>）债权投资</w:t>
      </w:r>
    </w:p>
    <w:p w14:paraId="3028B4D6" w14:textId="77777777" w:rsidR="008D76D6" w:rsidRDefault="008D76D6">
      <w:pPr>
        <w:pStyle w:val="WL06-"/>
        <w:spacing w:before="120" w:after="120"/>
        <w:ind w:firstLine="480"/>
        <w:rPr>
          <w:rFonts w:cs="Times New Roman"/>
        </w:rPr>
      </w:pPr>
      <w:bookmarkStart w:id="26" w:name="_Hlk144217734"/>
      <w:r>
        <w:rPr>
          <w:rFonts w:cs="Times New Roman"/>
        </w:rPr>
        <w:t>截至</w:t>
      </w:r>
      <w:r>
        <w:rPr>
          <w:rFonts w:cs="Times New Roman"/>
        </w:rPr>
        <w:t>2023</w:t>
      </w:r>
      <w:r>
        <w:rPr>
          <w:rFonts w:cs="Times New Roman"/>
        </w:rPr>
        <w:t>年</w:t>
      </w:r>
      <w:r>
        <w:rPr>
          <w:rFonts w:cs="Times New Roman"/>
        </w:rPr>
        <w:t>9</w:t>
      </w:r>
      <w:r>
        <w:rPr>
          <w:rFonts w:cs="Times New Roman"/>
        </w:rPr>
        <w:t>月</w:t>
      </w:r>
      <w:r>
        <w:rPr>
          <w:rFonts w:cs="Times New Roman"/>
        </w:rPr>
        <w:t>30</w:t>
      </w:r>
      <w:r>
        <w:rPr>
          <w:rFonts w:cs="Times New Roman"/>
        </w:rPr>
        <w:t>日，发行人债权投资为购买的三年定期存单，账面价值为</w:t>
      </w:r>
      <w:bookmarkStart w:id="27" w:name="_Hlk150379874"/>
      <w:r>
        <w:rPr>
          <w:rFonts w:cs="Times New Roman"/>
        </w:rPr>
        <w:t>1,033.23</w:t>
      </w:r>
      <w:bookmarkEnd w:id="27"/>
      <w:r>
        <w:rPr>
          <w:rFonts w:cs="Times New Roman"/>
        </w:rPr>
        <w:t>万元，不属于财务性投资或类金融投资</w:t>
      </w:r>
      <w:bookmarkEnd w:id="26"/>
      <w:r>
        <w:rPr>
          <w:rFonts w:cs="Times New Roman"/>
        </w:rPr>
        <w:t>。</w:t>
      </w:r>
    </w:p>
    <w:p w14:paraId="24AE4FCF" w14:textId="77777777" w:rsidR="008D76D6" w:rsidRDefault="008D76D6">
      <w:pPr>
        <w:pStyle w:val="WL05-5"/>
        <w:ind w:firstLine="480"/>
        <w:outlineLvl w:val="9"/>
        <w:rPr>
          <w:b w:val="0"/>
          <w:bCs w:val="0"/>
          <w:kern w:val="2"/>
          <w:szCs w:val="21"/>
          <w:lang w:val="en-US"/>
        </w:rPr>
      </w:pPr>
      <w:r>
        <w:rPr>
          <w:b w:val="0"/>
          <w:bCs w:val="0"/>
          <w:kern w:val="2"/>
          <w:szCs w:val="21"/>
          <w:lang w:val="en-US"/>
        </w:rPr>
        <w:t>（</w:t>
      </w:r>
      <w:r>
        <w:rPr>
          <w:b w:val="0"/>
          <w:bCs w:val="0"/>
          <w:kern w:val="2"/>
          <w:szCs w:val="21"/>
          <w:lang w:val="en-US"/>
        </w:rPr>
        <w:t>5</w:t>
      </w:r>
      <w:r>
        <w:rPr>
          <w:b w:val="0"/>
          <w:bCs w:val="0"/>
          <w:kern w:val="2"/>
          <w:szCs w:val="21"/>
          <w:lang w:val="en-US"/>
        </w:rPr>
        <w:t>）其他权益工具投资</w:t>
      </w:r>
    </w:p>
    <w:p w14:paraId="4E38786A" w14:textId="77777777" w:rsidR="008D76D6" w:rsidRDefault="008D76D6">
      <w:pPr>
        <w:pStyle w:val="WL06-"/>
        <w:spacing w:before="120" w:after="120"/>
        <w:ind w:firstLine="480"/>
        <w:rPr>
          <w:rFonts w:cs="Times New Roman"/>
        </w:rPr>
      </w:pPr>
      <w:r>
        <w:rPr>
          <w:rFonts w:cs="Times New Roman"/>
        </w:rPr>
        <w:t>截至</w:t>
      </w:r>
      <w:r>
        <w:rPr>
          <w:rFonts w:cs="Times New Roman"/>
        </w:rPr>
        <w:t>2023</w:t>
      </w:r>
      <w:r>
        <w:rPr>
          <w:rFonts w:cs="Times New Roman"/>
        </w:rPr>
        <w:t>年</w:t>
      </w:r>
      <w:r>
        <w:rPr>
          <w:rFonts w:cs="Times New Roman"/>
        </w:rPr>
        <w:t>9</w:t>
      </w:r>
      <w:r>
        <w:rPr>
          <w:rFonts w:cs="Times New Roman"/>
        </w:rPr>
        <w:t>月</w:t>
      </w:r>
      <w:r>
        <w:rPr>
          <w:rFonts w:cs="Times New Roman"/>
        </w:rPr>
        <w:t>30</w:t>
      </w:r>
      <w:r>
        <w:rPr>
          <w:rFonts w:cs="Times New Roman"/>
        </w:rPr>
        <w:t>日，发行人其他权益工具投资账面价值为</w:t>
      </w:r>
      <w:r>
        <w:rPr>
          <w:rFonts w:cs="Times New Roman"/>
        </w:rPr>
        <w:t>0.00</w:t>
      </w:r>
      <w:r>
        <w:rPr>
          <w:rFonts w:cs="Times New Roman"/>
        </w:rPr>
        <w:t>万元，不存在财务性投资或类金融投资的情况。</w:t>
      </w:r>
    </w:p>
    <w:p w14:paraId="67704788" w14:textId="77777777" w:rsidR="008D76D6" w:rsidRDefault="008D76D6">
      <w:pPr>
        <w:pStyle w:val="WL05-5"/>
        <w:ind w:firstLine="480"/>
        <w:outlineLvl w:val="9"/>
        <w:rPr>
          <w:b w:val="0"/>
          <w:bCs w:val="0"/>
          <w:kern w:val="2"/>
          <w:szCs w:val="21"/>
          <w:lang w:val="en-US"/>
        </w:rPr>
      </w:pPr>
      <w:r>
        <w:rPr>
          <w:b w:val="0"/>
          <w:bCs w:val="0"/>
          <w:kern w:val="2"/>
          <w:szCs w:val="21"/>
          <w:lang w:val="en-US"/>
        </w:rPr>
        <w:t>（</w:t>
      </w:r>
      <w:r>
        <w:rPr>
          <w:b w:val="0"/>
          <w:bCs w:val="0"/>
          <w:kern w:val="2"/>
          <w:szCs w:val="21"/>
          <w:lang w:val="en-US"/>
        </w:rPr>
        <w:t>6</w:t>
      </w:r>
      <w:r>
        <w:rPr>
          <w:b w:val="0"/>
          <w:bCs w:val="0"/>
          <w:kern w:val="2"/>
          <w:szCs w:val="21"/>
          <w:lang w:val="en-US"/>
        </w:rPr>
        <w:t>）其他非流动金融资产</w:t>
      </w:r>
    </w:p>
    <w:p w14:paraId="5975221E" w14:textId="77777777" w:rsidR="008D76D6" w:rsidRDefault="008D76D6">
      <w:pPr>
        <w:pStyle w:val="WL06-"/>
        <w:spacing w:before="120" w:after="120"/>
        <w:ind w:firstLine="480"/>
        <w:rPr>
          <w:rFonts w:cs="Times New Roman"/>
        </w:rPr>
      </w:pPr>
      <w:r>
        <w:rPr>
          <w:rFonts w:cs="Times New Roman"/>
        </w:rPr>
        <w:t>截至</w:t>
      </w:r>
      <w:r>
        <w:rPr>
          <w:rFonts w:cs="Times New Roman"/>
        </w:rPr>
        <w:t>2023</w:t>
      </w:r>
      <w:r>
        <w:rPr>
          <w:rFonts w:cs="Times New Roman"/>
        </w:rPr>
        <w:t>年</w:t>
      </w:r>
      <w:r>
        <w:rPr>
          <w:rFonts w:cs="Times New Roman"/>
        </w:rPr>
        <w:t>9</w:t>
      </w:r>
      <w:r>
        <w:rPr>
          <w:rFonts w:cs="Times New Roman"/>
        </w:rPr>
        <w:t>月</w:t>
      </w:r>
      <w:r>
        <w:rPr>
          <w:rFonts w:cs="Times New Roman"/>
        </w:rPr>
        <w:t>30</w:t>
      </w:r>
      <w:r>
        <w:rPr>
          <w:rFonts w:cs="Times New Roman"/>
        </w:rPr>
        <w:t>日，发行人其他非流动金融资产账面价值为</w:t>
      </w:r>
      <w:r>
        <w:rPr>
          <w:rFonts w:cs="Times New Roman"/>
        </w:rPr>
        <w:t>0.00</w:t>
      </w:r>
      <w:r>
        <w:rPr>
          <w:rFonts w:cs="Times New Roman"/>
        </w:rPr>
        <w:t>万元，不存在财务性投资或类金融投资的情况。</w:t>
      </w:r>
    </w:p>
    <w:p w14:paraId="7DAAC072" w14:textId="77777777" w:rsidR="008D76D6" w:rsidRDefault="008D76D6">
      <w:pPr>
        <w:pStyle w:val="WL05-5"/>
        <w:ind w:firstLine="480"/>
        <w:outlineLvl w:val="9"/>
        <w:rPr>
          <w:rFonts w:cs="Mongolian Baiti"/>
          <w:b w:val="0"/>
          <w:bCs w:val="0"/>
          <w:kern w:val="2"/>
          <w:szCs w:val="21"/>
          <w:lang w:val="en-US"/>
        </w:rPr>
      </w:pPr>
      <w:r>
        <w:rPr>
          <w:rFonts w:cs="Mongolian Baiti" w:hint="eastAsia"/>
          <w:b w:val="0"/>
          <w:bCs w:val="0"/>
          <w:kern w:val="2"/>
          <w:szCs w:val="21"/>
          <w:lang w:val="en-US"/>
        </w:rPr>
        <w:t>（</w:t>
      </w:r>
      <w:r>
        <w:rPr>
          <w:rFonts w:cs="Mongolian Baiti"/>
          <w:b w:val="0"/>
          <w:bCs w:val="0"/>
          <w:kern w:val="2"/>
          <w:szCs w:val="21"/>
          <w:lang w:val="en-US"/>
        </w:rPr>
        <w:t>7</w:t>
      </w:r>
      <w:r>
        <w:rPr>
          <w:rFonts w:cs="Mongolian Baiti" w:hint="eastAsia"/>
          <w:b w:val="0"/>
          <w:bCs w:val="0"/>
          <w:kern w:val="2"/>
          <w:szCs w:val="21"/>
          <w:lang w:val="en-US"/>
        </w:rPr>
        <w:t>）长期股权投资</w:t>
      </w:r>
    </w:p>
    <w:p w14:paraId="1AA5D6AB" w14:textId="77777777" w:rsidR="008D76D6" w:rsidRDefault="008D76D6">
      <w:pPr>
        <w:pStyle w:val="WL06-"/>
        <w:spacing w:before="120" w:after="120"/>
        <w:ind w:firstLine="480"/>
      </w:pPr>
      <w:r>
        <w:rPr>
          <w:rFonts w:hint="eastAsia"/>
        </w:rPr>
        <w:t>截至</w:t>
      </w:r>
      <w:r>
        <w:t>2023</w:t>
      </w:r>
      <w:r>
        <w:rPr>
          <w:rFonts w:hint="eastAsia"/>
        </w:rPr>
        <w:t>年</w:t>
      </w:r>
      <w:r>
        <w:rPr>
          <w:rFonts w:hint="eastAsia"/>
        </w:rPr>
        <w:t>9</w:t>
      </w:r>
      <w:r>
        <w:rPr>
          <w:rFonts w:hint="eastAsia"/>
        </w:rPr>
        <w:t>月</w:t>
      </w:r>
      <w:r>
        <w:t>30</w:t>
      </w:r>
      <w:r>
        <w:rPr>
          <w:rFonts w:hint="eastAsia"/>
        </w:rPr>
        <w:t>日，发行人长期股权投资账面价值为</w:t>
      </w:r>
      <w:r>
        <w:rPr>
          <w:rFonts w:hint="eastAsia"/>
        </w:rPr>
        <w:t>0.00</w:t>
      </w:r>
      <w:r>
        <w:rPr>
          <w:rFonts w:hint="eastAsia"/>
        </w:rPr>
        <w:t>万元，不存在财务性投资或类金融投资的情况。</w:t>
      </w:r>
    </w:p>
    <w:p w14:paraId="67291E55" w14:textId="77777777" w:rsidR="008D76D6" w:rsidRDefault="008D76D6">
      <w:pPr>
        <w:pStyle w:val="WL05-5"/>
        <w:keepNext w:val="0"/>
        <w:keepLines w:val="0"/>
        <w:widowControl w:val="0"/>
        <w:ind w:firstLine="480"/>
        <w:outlineLvl w:val="9"/>
        <w:rPr>
          <w:rFonts w:cs="Mongolian Baiti"/>
          <w:b w:val="0"/>
          <w:bCs w:val="0"/>
          <w:kern w:val="2"/>
          <w:szCs w:val="21"/>
          <w:lang w:val="en-US"/>
        </w:rPr>
      </w:pPr>
      <w:r>
        <w:rPr>
          <w:rFonts w:cs="Mongolian Baiti" w:hint="eastAsia"/>
          <w:b w:val="0"/>
          <w:bCs w:val="0"/>
          <w:kern w:val="2"/>
          <w:szCs w:val="21"/>
          <w:lang w:val="en-US"/>
        </w:rPr>
        <w:t>（</w:t>
      </w:r>
      <w:r>
        <w:rPr>
          <w:rFonts w:cs="Mongolian Baiti"/>
          <w:b w:val="0"/>
          <w:bCs w:val="0"/>
          <w:kern w:val="2"/>
          <w:szCs w:val="21"/>
          <w:lang w:val="en-US"/>
        </w:rPr>
        <w:t>8</w:t>
      </w:r>
      <w:r>
        <w:rPr>
          <w:rFonts w:cs="Mongolian Baiti" w:hint="eastAsia"/>
          <w:b w:val="0"/>
          <w:bCs w:val="0"/>
          <w:kern w:val="2"/>
          <w:szCs w:val="21"/>
          <w:lang w:val="en-US"/>
        </w:rPr>
        <w:t>）其他非流动资产</w:t>
      </w:r>
    </w:p>
    <w:p w14:paraId="2F7D9645" w14:textId="77777777" w:rsidR="008D76D6" w:rsidRDefault="008D76D6">
      <w:pPr>
        <w:pStyle w:val="WL06-"/>
        <w:widowControl w:val="0"/>
        <w:spacing w:before="120" w:after="120"/>
        <w:ind w:firstLine="480"/>
      </w:pPr>
      <w:r>
        <w:rPr>
          <w:rFonts w:hint="eastAsia"/>
        </w:rPr>
        <w:t>截至</w:t>
      </w:r>
      <w:r>
        <w:t>2023</w:t>
      </w:r>
      <w:r>
        <w:rPr>
          <w:rFonts w:hint="eastAsia"/>
        </w:rPr>
        <w:t>年</w:t>
      </w:r>
      <w:r>
        <w:rPr>
          <w:rFonts w:hint="eastAsia"/>
        </w:rPr>
        <w:t>9</w:t>
      </w:r>
      <w:r>
        <w:rPr>
          <w:rFonts w:hint="eastAsia"/>
        </w:rPr>
        <w:t>月</w:t>
      </w:r>
      <w:r>
        <w:t>30</w:t>
      </w:r>
      <w:r>
        <w:rPr>
          <w:rFonts w:hint="eastAsia"/>
        </w:rPr>
        <w:t>日，发行人其他非流动资产账面价值为</w:t>
      </w:r>
      <w:r>
        <w:rPr>
          <w:rFonts w:hint="eastAsia"/>
        </w:rPr>
        <w:t>2.00</w:t>
      </w:r>
      <w:r>
        <w:rPr>
          <w:rFonts w:hint="eastAsia"/>
        </w:rPr>
        <w:t>万元，具体明细如下：</w:t>
      </w:r>
    </w:p>
    <w:p w14:paraId="7FFAA469" w14:textId="77777777" w:rsidR="008D76D6" w:rsidRDefault="008D76D6">
      <w:pPr>
        <w:keepNext/>
        <w:spacing w:beforeLines="0" w:before="0" w:afterLines="0" w:after="0" w:line="240" w:lineRule="auto"/>
        <w:ind w:firstLine="420"/>
        <w:jc w:val="right"/>
        <w:rPr>
          <w:rFonts w:cs="Mongolian Baiti"/>
          <w:sz w:val="21"/>
          <w:szCs w:val="21"/>
        </w:rPr>
      </w:pPr>
      <w:r>
        <w:rPr>
          <w:rFonts w:cs="Mongolian Baiti" w:hint="eastAsia"/>
          <w:sz w:val="21"/>
          <w:szCs w:val="21"/>
        </w:rPr>
        <w:t>单位：万元</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5"/>
        <w:gridCol w:w="4505"/>
      </w:tblGrid>
      <w:tr w:rsidR="008D76D6" w14:paraId="6A39C97C" w14:textId="77777777">
        <w:trPr>
          <w:trHeight w:val="397"/>
          <w:tblHeader/>
          <w:jc w:val="center"/>
        </w:trPr>
        <w:tc>
          <w:tcPr>
            <w:tcW w:w="4264" w:type="dxa"/>
            <w:shd w:val="clear" w:color="auto" w:fill="D9D9D9"/>
            <w:vAlign w:val="center"/>
          </w:tcPr>
          <w:p w14:paraId="4D825E0F" w14:textId="77777777" w:rsidR="008D76D6" w:rsidRDefault="008D76D6" w:rsidP="00CE3CA5">
            <w:pPr>
              <w:keepNext/>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款项性质</w:t>
            </w:r>
          </w:p>
        </w:tc>
        <w:tc>
          <w:tcPr>
            <w:tcW w:w="4264" w:type="dxa"/>
            <w:shd w:val="clear" w:color="auto" w:fill="D9D9D9"/>
            <w:vAlign w:val="center"/>
          </w:tcPr>
          <w:p w14:paraId="1D5F407D" w14:textId="77777777" w:rsidR="008D76D6" w:rsidRDefault="008D76D6" w:rsidP="00CE3CA5">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sz w:val="21"/>
                <w:szCs w:val="21"/>
              </w:rPr>
              <w:t>账面价值</w:t>
            </w:r>
          </w:p>
        </w:tc>
      </w:tr>
      <w:tr w:rsidR="008D76D6" w14:paraId="55DB3604" w14:textId="77777777">
        <w:trPr>
          <w:trHeight w:val="397"/>
          <w:jc w:val="center"/>
        </w:trPr>
        <w:tc>
          <w:tcPr>
            <w:tcW w:w="4264" w:type="dxa"/>
            <w:vAlign w:val="center"/>
          </w:tcPr>
          <w:p w14:paraId="45F37E3A"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预付软件款</w:t>
            </w:r>
          </w:p>
        </w:tc>
        <w:tc>
          <w:tcPr>
            <w:tcW w:w="4264" w:type="dxa"/>
            <w:vAlign w:val="center"/>
          </w:tcPr>
          <w:p w14:paraId="293E4B4B"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2.00</w:t>
            </w:r>
          </w:p>
        </w:tc>
      </w:tr>
      <w:tr w:rsidR="008D76D6" w14:paraId="5743033F" w14:textId="77777777">
        <w:trPr>
          <w:trHeight w:val="397"/>
          <w:jc w:val="center"/>
        </w:trPr>
        <w:tc>
          <w:tcPr>
            <w:tcW w:w="4264" w:type="dxa"/>
            <w:vAlign w:val="center"/>
          </w:tcPr>
          <w:p w14:paraId="55B41304" w14:textId="77777777" w:rsidR="008D76D6" w:rsidRDefault="008D76D6" w:rsidP="00CE3CA5">
            <w:pPr>
              <w:spacing w:beforeLines="0" w:before="0" w:afterLines="0" w:after="0" w:line="240" w:lineRule="auto"/>
              <w:ind w:firstLineChars="0" w:firstLine="0"/>
              <w:jc w:val="center"/>
              <w:textAlignment w:val="center"/>
              <w:rPr>
                <w:rFonts w:ascii="Times New Roman" w:hAnsi="Times New Roman"/>
                <w:b/>
                <w:bCs/>
                <w:color w:val="000000"/>
                <w:sz w:val="21"/>
                <w:szCs w:val="21"/>
              </w:rPr>
            </w:pPr>
            <w:r>
              <w:rPr>
                <w:rFonts w:ascii="Times New Roman" w:hAnsi="Times New Roman"/>
                <w:b/>
                <w:bCs/>
                <w:color w:val="000000"/>
                <w:sz w:val="21"/>
                <w:szCs w:val="21"/>
              </w:rPr>
              <w:t>合计</w:t>
            </w:r>
          </w:p>
        </w:tc>
        <w:tc>
          <w:tcPr>
            <w:tcW w:w="4264" w:type="dxa"/>
            <w:vAlign w:val="center"/>
          </w:tcPr>
          <w:p w14:paraId="784A58F1" w14:textId="77777777" w:rsidR="008D76D6" w:rsidRDefault="008D76D6" w:rsidP="00CE3CA5">
            <w:pPr>
              <w:spacing w:beforeLines="0" w:before="0" w:afterLines="0" w:after="0" w:line="240" w:lineRule="auto"/>
              <w:ind w:firstLineChars="0" w:firstLine="0"/>
              <w:jc w:val="right"/>
              <w:textAlignment w:val="center"/>
              <w:rPr>
                <w:rFonts w:ascii="Times New Roman" w:hAnsi="Times New Roman"/>
                <w:b/>
                <w:bCs/>
                <w:color w:val="000000"/>
                <w:sz w:val="21"/>
                <w:szCs w:val="21"/>
              </w:rPr>
            </w:pPr>
            <w:r>
              <w:rPr>
                <w:rFonts w:ascii="Times New Roman" w:hAnsi="Times New Roman"/>
                <w:b/>
                <w:bCs/>
                <w:color w:val="000000"/>
                <w:sz w:val="21"/>
                <w:szCs w:val="21"/>
              </w:rPr>
              <w:t>2.00</w:t>
            </w:r>
          </w:p>
        </w:tc>
      </w:tr>
    </w:tbl>
    <w:p w14:paraId="40E05EBB" w14:textId="77777777" w:rsidR="008D76D6" w:rsidRDefault="008D76D6">
      <w:pPr>
        <w:pStyle w:val="WL06-"/>
        <w:spacing w:before="120" w:after="120"/>
        <w:ind w:firstLine="480"/>
      </w:pPr>
      <w:r>
        <w:rPr>
          <w:rFonts w:hint="eastAsia"/>
        </w:rPr>
        <w:t>上述其他非流动资产不属于财务性投资或类金融投资。</w:t>
      </w:r>
    </w:p>
    <w:p w14:paraId="7A9EF369" w14:textId="77777777" w:rsidR="008D76D6" w:rsidRDefault="008D76D6">
      <w:pPr>
        <w:pStyle w:val="WL06-"/>
        <w:spacing w:before="120" w:after="120"/>
        <w:ind w:firstLine="480"/>
      </w:pPr>
      <w:r>
        <w:rPr>
          <w:rFonts w:hint="eastAsia"/>
        </w:rPr>
        <w:t>综上所述，截至</w:t>
      </w:r>
      <w:r>
        <w:rPr>
          <w:rFonts w:hint="eastAsia"/>
        </w:rPr>
        <w:t>2</w:t>
      </w:r>
      <w:r>
        <w:t>023</w:t>
      </w:r>
      <w:r>
        <w:rPr>
          <w:rFonts w:hint="eastAsia"/>
        </w:rPr>
        <w:t>年</w:t>
      </w:r>
      <w:r>
        <w:rPr>
          <w:rFonts w:hint="eastAsia"/>
        </w:rPr>
        <w:t>9</w:t>
      </w:r>
      <w:r>
        <w:rPr>
          <w:rFonts w:hint="eastAsia"/>
        </w:rPr>
        <w:t>月</w:t>
      </w:r>
      <w:r>
        <w:rPr>
          <w:rFonts w:hint="eastAsia"/>
        </w:rPr>
        <w:t>3</w:t>
      </w:r>
      <w:r>
        <w:t>0</w:t>
      </w:r>
      <w:r>
        <w:rPr>
          <w:rFonts w:hint="eastAsia"/>
        </w:rPr>
        <w:t>日，发行人财务性投资金额为</w:t>
      </w:r>
      <w:r>
        <w:rPr>
          <w:rFonts w:hint="eastAsia"/>
        </w:rPr>
        <w:t>11,138.97</w:t>
      </w:r>
      <w:r>
        <w:rPr>
          <w:rFonts w:hint="eastAsia"/>
        </w:rPr>
        <w:t>万元，占发行人</w:t>
      </w:r>
      <w:r>
        <w:rPr>
          <w:rFonts w:hint="eastAsia"/>
        </w:rPr>
        <w:t>2023</w:t>
      </w:r>
      <w:r>
        <w:rPr>
          <w:rFonts w:hint="eastAsia"/>
        </w:rPr>
        <w:t>年</w:t>
      </w:r>
      <w:r>
        <w:rPr>
          <w:rFonts w:hint="eastAsia"/>
        </w:rPr>
        <w:t>9</w:t>
      </w:r>
      <w:r>
        <w:rPr>
          <w:rFonts w:hint="eastAsia"/>
        </w:rPr>
        <w:t>月</w:t>
      </w:r>
      <w:r>
        <w:rPr>
          <w:rFonts w:hint="eastAsia"/>
        </w:rPr>
        <w:t>30</w:t>
      </w:r>
      <w:r>
        <w:rPr>
          <w:rFonts w:hint="eastAsia"/>
        </w:rPr>
        <w:t>日归属于母公司净资产</w:t>
      </w:r>
      <w:r>
        <w:rPr>
          <w:rFonts w:hint="eastAsia"/>
        </w:rPr>
        <w:t>78,281.01</w:t>
      </w:r>
      <w:r>
        <w:rPr>
          <w:rFonts w:hint="eastAsia"/>
        </w:rPr>
        <w:t>万元的比例为</w:t>
      </w:r>
      <w:r>
        <w:rPr>
          <w:rFonts w:hint="eastAsia"/>
        </w:rPr>
        <w:t>14.23%</w:t>
      </w:r>
      <w:r>
        <w:rPr>
          <w:rFonts w:hint="eastAsia"/>
        </w:rPr>
        <w:t>，不属于持有金额较大的财务性投资（包括类金融业务）的情况，符合《证券期货法律适用意见第</w:t>
      </w:r>
      <w:r>
        <w:rPr>
          <w:rFonts w:hint="eastAsia"/>
        </w:rPr>
        <w:t>18</w:t>
      </w:r>
      <w:r>
        <w:rPr>
          <w:rFonts w:hint="eastAsia"/>
        </w:rPr>
        <w:t>号》</w:t>
      </w:r>
      <w:r w:rsidR="00AB5A14">
        <w:rPr>
          <w:rFonts w:hint="eastAsia"/>
        </w:rPr>
        <w:t>及最新监管要求</w:t>
      </w:r>
      <w:r>
        <w:rPr>
          <w:rFonts w:hint="eastAsia"/>
        </w:rPr>
        <w:t>。</w:t>
      </w:r>
    </w:p>
    <w:p w14:paraId="3EED0E49" w14:textId="77777777" w:rsidR="008D76D6" w:rsidRDefault="008D76D6" w:rsidP="008C4EDC">
      <w:pPr>
        <w:pStyle w:val="004"/>
        <w:keepNext w:val="0"/>
        <w:keepLines w:val="0"/>
        <w:widowControl w:val="0"/>
        <w:spacing w:before="120" w:after="120"/>
        <w:ind w:firstLine="482"/>
      </w:pPr>
      <w:r>
        <w:rPr>
          <w:rFonts w:hint="eastAsia"/>
        </w:rPr>
        <w:t>（二）</w:t>
      </w:r>
      <w:r>
        <w:t>结合发行人持有私募基金等产品的实际投入时点，说明自本次发行董事会决议日前六个月至今，发行人新投入或拟投入的财务性投资及类金融业务的具体情况；结合前述情形，说明是否符合《证券期货法律适用意见第</w:t>
      </w:r>
      <w:r>
        <w:t>18</w:t>
      </w:r>
      <w:r>
        <w:t>号》以及最新监管要求，是否涉及调减的情形</w:t>
      </w:r>
    </w:p>
    <w:p w14:paraId="2749EC33" w14:textId="77777777" w:rsidR="008D76D6" w:rsidRPr="00B434D2" w:rsidRDefault="008D76D6" w:rsidP="00B434D2">
      <w:pPr>
        <w:spacing w:before="120" w:after="120"/>
        <w:ind w:firstLine="480"/>
        <w:rPr>
          <w:rFonts w:ascii="Times New Roman" w:hAnsi="Times New Roman"/>
        </w:rPr>
      </w:pPr>
      <w:r w:rsidRPr="00B434D2">
        <w:rPr>
          <w:rFonts w:ascii="Times New Roman" w:hAnsi="Times New Roman"/>
        </w:rPr>
        <w:t>1</w:t>
      </w:r>
      <w:r w:rsidRPr="00B434D2">
        <w:rPr>
          <w:rFonts w:ascii="Times New Roman" w:hAnsi="Times New Roman"/>
        </w:rPr>
        <w:t>、结合发行人持有私募基金等产品的实际投入时点，说明自本次发行董事会决议日前六个月至今，发行人新投入或拟投入的财务性投资及类金融业务的具体情况</w:t>
      </w:r>
    </w:p>
    <w:p w14:paraId="59F726A9" w14:textId="77777777" w:rsidR="008D76D6" w:rsidRDefault="008D76D6">
      <w:pPr>
        <w:spacing w:before="120" w:after="120"/>
        <w:ind w:firstLine="480"/>
        <w:rPr>
          <w:rFonts w:cs="Mongolian Baiti"/>
          <w:szCs w:val="21"/>
        </w:rPr>
      </w:pPr>
      <w:r>
        <w:rPr>
          <w:rFonts w:ascii="Times New Roman" w:hAnsi="Times New Roman"/>
          <w:szCs w:val="21"/>
        </w:rPr>
        <w:t>发行人于</w:t>
      </w:r>
      <w:r>
        <w:rPr>
          <w:rFonts w:ascii="Times New Roman" w:hAnsi="Times New Roman"/>
          <w:szCs w:val="21"/>
        </w:rPr>
        <w:t>2023</w:t>
      </w:r>
      <w:r>
        <w:rPr>
          <w:rFonts w:ascii="Times New Roman" w:hAnsi="Times New Roman"/>
          <w:szCs w:val="21"/>
        </w:rPr>
        <w:t>年</w:t>
      </w:r>
      <w:r>
        <w:rPr>
          <w:rFonts w:ascii="Times New Roman" w:hAnsi="Times New Roman"/>
          <w:szCs w:val="21"/>
        </w:rPr>
        <w:t>1</w:t>
      </w:r>
      <w:r>
        <w:rPr>
          <w:rFonts w:ascii="Times New Roman" w:hAnsi="Times New Roman"/>
          <w:szCs w:val="21"/>
        </w:rPr>
        <w:t>月</w:t>
      </w:r>
      <w:r>
        <w:rPr>
          <w:rFonts w:ascii="Times New Roman" w:hAnsi="Times New Roman"/>
          <w:szCs w:val="21"/>
        </w:rPr>
        <w:t>16</w:t>
      </w:r>
      <w:r>
        <w:rPr>
          <w:rFonts w:ascii="Times New Roman" w:hAnsi="Times New Roman"/>
          <w:szCs w:val="21"/>
        </w:rPr>
        <w:t>日召开第四届董事会第十七次会议审议通过《关于公司公开发行可转换公司债券方案的议案》，于</w:t>
      </w:r>
      <w:r>
        <w:rPr>
          <w:rFonts w:ascii="Times New Roman" w:hAnsi="Times New Roman"/>
          <w:szCs w:val="21"/>
        </w:rPr>
        <w:t>2023</w:t>
      </w:r>
      <w:r>
        <w:rPr>
          <w:rFonts w:ascii="Times New Roman" w:hAnsi="Times New Roman"/>
          <w:szCs w:val="21"/>
        </w:rPr>
        <w:t>年</w:t>
      </w:r>
      <w:r>
        <w:rPr>
          <w:rFonts w:ascii="Times New Roman" w:hAnsi="Times New Roman"/>
          <w:szCs w:val="21"/>
        </w:rPr>
        <w:t>4</w:t>
      </w:r>
      <w:r>
        <w:rPr>
          <w:rFonts w:ascii="Times New Roman" w:hAnsi="Times New Roman"/>
          <w:szCs w:val="21"/>
        </w:rPr>
        <w:t>月</w:t>
      </w:r>
      <w:r>
        <w:rPr>
          <w:rFonts w:ascii="Times New Roman" w:hAnsi="Times New Roman"/>
          <w:szCs w:val="21"/>
        </w:rPr>
        <w:t>19</w:t>
      </w:r>
      <w:r>
        <w:rPr>
          <w:rFonts w:ascii="Times New Roman" w:hAnsi="Times New Roman"/>
          <w:szCs w:val="21"/>
        </w:rPr>
        <w:t>日召开第四届董事会第二十次会议审议通过《关于修订</w:t>
      </w:r>
      <w:r>
        <w:rPr>
          <w:rFonts w:ascii="Times New Roman" w:hAnsi="Times New Roman"/>
          <w:szCs w:val="21"/>
        </w:rPr>
        <w:t>&lt;</w:t>
      </w:r>
      <w:r>
        <w:rPr>
          <w:rFonts w:ascii="Times New Roman" w:hAnsi="Times New Roman"/>
          <w:szCs w:val="21"/>
        </w:rPr>
        <w:t>公司向不特定对象发行可转换公司债券方案</w:t>
      </w:r>
      <w:r>
        <w:rPr>
          <w:rFonts w:ascii="Times New Roman" w:hAnsi="Times New Roman"/>
          <w:szCs w:val="21"/>
        </w:rPr>
        <w:t>&gt;</w:t>
      </w:r>
      <w:r>
        <w:rPr>
          <w:rFonts w:ascii="Times New Roman" w:hAnsi="Times New Roman"/>
          <w:szCs w:val="21"/>
        </w:rPr>
        <w:t>的议案》，于</w:t>
      </w:r>
      <w:r>
        <w:rPr>
          <w:rFonts w:ascii="Times New Roman" w:hAnsi="Times New Roman"/>
          <w:szCs w:val="21"/>
        </w:rPr>
        <w:t>2023</w:t>
      </w:r>
      <w:r>
        <w:rPr>
          <w:rFonts w:ascii="Times New Roman" w:hAnsi="Times New Roman"/>
          <w:szCs w:val="21"/>
        </w:rPr>
        <w:t>年</w:t>
      </w:r>
      <w:r>
        <w:rPr>
          <w:rFonts w:ascii="Times New Roman" w:hAnsi="Times New Roman"/>
          <w:szCs w:val="21"/>
        </w:rPr>
        <w:t>6</w:t>
      </w:r>
      <w:r>
        <w:rPr>
          <w:rFonts w:ascii="Times New Roman" w:hAnsi="Times New Roman"/>
          <w:szCs w:val="21"/>
        </w:rPr>
        <w:t>月</w:t>
      </w:r>
      <w:r>
        <w:rPr>
          <w:rFonts w:ascii="Times New Roman" w:hAnsi="Times New Roman"/>
          <w:szCs w:val="21"/>
        </w:rPr>
        <w:t>27</w:t>
      </w:r>
      <w:r>
        <w:rPr>
          <w:rFonts w:ascii="Times New Roman" w:hAnsi="Times New Roman"/>
          <w:szCs w:val="21"/>
        </w:rPr>
        <w:t>日召开公司第四届董事会第二十三次会议，审议通过了《关于修订</w:t>
      </w:r>
      <w:r>
        <w:rPr>
          <w:rFonts w:ascii="Times New Roman" w:hAnsi="Times New Roman"/>
          <w:szCs w:val="21"/>
        </w:rPr>
        <w:t>&lt;</w:t>
      </w:r>
      <w:r>
        <w:rPr>
          <w:rFonts w:ascii="Times New Roman" w:hAnsi="Times New Roman"/>
          <w:szCs w:val="21"/>
        </w:rPr>
        <w:t>公司向不特定对象发行可转换公司债券方案</w:t>
      </w:r>
      <w:r>
        <w:rPr>
          <w:rFonts w:ascii="Times New Roman" w:hAnsi="Times New Roman"/>
          <w:szCs w:val="21"/>
        </w:rPr>
        <w:t>&gt;</w:t>
      </w:r>
      <w:r>
        <w:rPr>
          <w:rFonts w:ascii="Times New Roman" w:hAnsi="Times New Roman"/>
          <w:szCs w:val="21"/>
        </w:rPr>
        <w:t>（二次修订稿）的议案》</w:t>
      </w:r>
      <w:r w:rsidR="002B717B">
        <w:rPr>
          <w:rFonts w:hint="eastAsia"/>
        </w:rPr>
        <w:t>，</w:t>
      </w:r>
      <w:r w:rsidR="002B717B" w:rsidRPr="00B434D2">
        <w:rPr>
          <w:rFonts w:ascii="Times New Roman" w:hAnsi="Times New Roman"/>
        </w:rPr>
        <w:t>于</w:t>
      </w:r>
      <w:r w:rsidR="002B717B" w:rsidRPr="00B434D2">
        <w:rPr>
          <w:rFonts w:ascii="Times New Roman" w:hAnsi="Times New Roman"/>
        </w:rPr>
        <w:t>2023</w:t>
      </w:r>
      <w:r w:rsidR="002B717B" w:rsidRPr="00B434D2">
        <w:rPr>
          <w:rFonts w:ascii="Times New Roman" w:hAnsi="Times New Roman"/>
        </w:rPr>
        <w:t>年</w:t>
      </w:r>
      <w:r w:rsidR="002B717B" w:rsidRPr="00B434D2">
        <w:rPr>
          <w:rFonts w:ascii="Times New Roman" w:hAnsi="Times New Roman"/>
        </w:rPr>
        <w:t>12</w:t>
      </w:r>
      <w:r w:rsidR="002B717B" w:rsidRPr="00B434D2">
        <w:rPr>
          <w:rFonts w:ascii="Times New Roman" w:hAnsi="Times New Roman"/>
        </w:rPr>
        <w:t>月</w:t>
      </w:r>
      <w:r w:rsidR="002B717B" w:rsidRPr="00B434D2">
        <w:rPr>
          <w:rFonts w:ascii="Times New Roman" w:hAnsi="Times New Roman"/>
        </w:rPr>
        <w:t>28</w:t>
      </w:r>
      <w:r w:rsidR="002B717B" w:rsidRPr="00B434D2">
        <w:rPr>
          <w:rFonts w:ascii="Times New Roman" w:hAnsi="Times New Roman"/>
        </w:rPr>
        <w:t>日召开公司第四届董事会第二十九次会议，审议通过了《关于修订</w:t>
      </w:r>
      <w:r w:rsidR="002B717B" w:rsidRPr="00B434D2">
        <w:rPr>
          <w:rFonts w:ascii="Times New Roman" w:hAnsi="Times New Roman"/>
        </w:rPr>
        <w:t>&lt;</w:t>
      </w:r>
      <w:r w:rsidR="002B717B" w:rsidRPr="00B434D2">
        <w:rPr>
          <w:rFonts w:ascii="Times New Roman" w:hAnsi="Times New Roman"/>
        </w:rPr>
        <w:t>公司</w:t>
      </w:r>
      <w:r w:rsidR="002B717B">
        <w:rPr>
          <w:rFonts w:hint="eastAsia"/>
        </w:rPr>
        <w:t>向不特定对象发行可转换公司债券方案</w:t>
      </w:r>
      <w:r w:rsidR="002B717B" w:rsidRPr="00B434D2">
        <w:rPr>
          <w:rFonts w:ascii="Times New Roman" w:hAnsi="Times New Roman"/>
        </w:rPr>
        <w:t>&gt;</w:t>
      </w:r>
      <w:r w:rsidR="002B717B">
        <w:rPr>
          <w:rFonts w:hint="eastAsia"/>
        </w:rPr>
        <w:t>（三次修订稿）的议案》</w:t>
      </w:r>
      <w:r>
        <w:rPr>
          <w:rFonts w:ascii="Times New Roman" w:hAnsi="Times New Roman"/>
          <w:szCs w:val="21"/>
        </w:rPr>
        <w:t>。本次发行相关董事会决议日前六个月起至本</w:t>
      </w:r>
      <w:r w:rsidR="00397B07">
        <w:rPr>
          <w:rFonts w:ascii="Times New Roman" w:hAnsi="Times New Roman" w:hint="eastAsia"/>
          <w:szCs w:val="21"/>
        </w:rPr>
        <w:t>补充法律意见书出具之</w:t>
      </w:r>
      <w:r>
        <w:rPr>
          <w:rFonts w:ascii="Times New Roman" w:hAnsi="Times New Roman"/>
          <w:szCs w:val="21"/>
        </w:rPr>
        <w:t>日，发行人新投入或拟投入的财务性投资及</w:t>
      </w:r>
      <w:r>
        <w:rPr>
          <w:rFonts w:cs="Mongolian Baiti" w:hint="eastAsia"/>
          <w:szCs w:val="21"/>
        </w:rPr>
        <w:t>类金融业务的具体情况如下：</w:t>
      </w:r>
    </w:p>
    <w:p w14:paraId="7992FBD4" w14:textId="77777777" w:rsidR="008D76D6" w:rsidRDefault="008D76D6">
      <w:pPr>
        <w:spacing w:before="120" w:after="120"/>
        <w:ind w:firstLine="48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）类金融业务</w:t>
      </w:r>
    </w:p>
    <w:p w14:paraId="16D3FD70" w14:textId="77777777" w:rsidR="008D76D6" w:rsidRDefault="008D76D6">
      <w:pPr>
        <w:spacing w:before="120" w:after="120"/>
        <w:ind w:firstLine="480"/>
        <w:rPr>
          <w:rFonts w:ascii="Times New Roman" w:hAnsi="Times New Roman"/>
          <w:szCs w:val="21"/>
        </w:rPr>
      </w:pPr>
      <w:r>
        <w:rPr>
          <w:rFonts w:ascii="Times New Roman" w:hAnsi="Times New Roman"/>
          <w:szCs w:val="21"/>
        </w:rPr>
        <w:t>本次发行相关董事会决议日前六个月起至本</w:t>
      </w:r>
      <w:r>
        <w:rPr>
          <w:rFonts w:ascii="Times New Roman" w:hAnsi="Times New Roman" w:hint="eastAsia"/>
          <w:szCs w:val="21"/>
        </w:rPr>
        <w:t>补充法律意见书出具之</w:t>
      </w:r>
      <w:r>
        <w:rPr>
          <w:rFonts w:ascii="Times New Roman" w:hAnsi="Times New Roman"/>
          <w:szCs w:val="21"/>
        </w:rPr>
        <w:t>日，公司不存在对融资租赁、商业保理和小贷业务等类金融业务投资的情况。</w:t>
      </w:r>
    </w:p>
    <w:p w14:paraId="5DAE6A42" w14:textId="77777777" w:rsidR="008D76D6" w:rsidRDefault="008D76D6">
      <w:pPr>
        <w:spacing w:before="120" w:after="120"/>
        <w:ind w:firstLine="48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）投资产业基金、并购基金</w:t>
      </w:r>
    </w:p>
    <w:p w14:paraId="072F4524" w14:textId="77777777" w:rsidR="008D76D6" w:rsidRDefault="008D76D6">
      <w:pPr>
        <w:spacing w:before="120" w:after="120"/>
        <w:ind w:firstLine="480"/>
        <w:rPr>
          <w:rFonts w:ascii="Times New Roman" w:hAnsi="Times New Roman"/>
          <w:szCs w:val="21"/>
        </w:rPr>
      </w:pPr>
      <w:r>
        <w:rPr>
          <w:rFonts w:ascii="Times New Roman" w:hAnsi="Times New Roman"/>
          <w:szCs w:val="21"/>
        </w:rPr>
        <w:t>本次发行相关董事会决议日前六个月起至本</w:t>
      </w:r>
      <w:r>
        <w:rPr>
          <w:rFonts w:ascii="Times New Roman" w:hAnsi="Times New Roman" w:hint="eastAsia"/>
          <w:szCs w:val="21"/>
        </w:rPr>
        <w:t>补充法律意见书出具之</w:t>
      </w:r>
      <w:r>
        <w:rPr>
          <w:rFonts w:ascii="Times New Roman" w:hAnsi="Times New Roman"/>
          <w:szCs w:val="21"/>
        </w:rPr>
        <w:t>日，公司不存在投资产业基金、并购基金的情况。</w:t>
      </w:r>
    </w:p>
    <w:p w14:paraId="3B7C1D6B" w14:textId="77777777" w:rsidR="008D76D6" w:rsidRDefault="008D76D6">
      <w:pPr>
        <w:spacing w:before="120" w:after="120"/>
        <w:ind w:firstLine="48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）拆借资金</w:t>
      </w:r>
    </w:p>
    <w:p w14:paraId="23815336" w14:textId="77777777" w:rsidR="008D76D6" w:rsidRDefault="008D76D6">
      <w:pPr>
        <w:spacing w:before="120" w:after="120"/>
        <w:ind w:firstLine="480"/>
        <w:rPr>
          <w:rFonts w:ascii="Times New Roman" w:hAnsi="Times New Roman"/>
          <w:szCs w:val="21"/>
        </w:rPr>
      </w:pPr>
      <w:r>
        <w:rPr>
          <w:rFonts w:ascii="Times New Roman" w:hAnsi="Times New Roman"/>
          <w:szCs w:val="21"/>
        </w:rPr>
        <w:t>本次发行相关董事会决议日前六个月起至本</w:t>
      </w:r>
      <w:r>
        <w:rPr>
          <w:rFonts w:ascii="Times New Roman" w:hAnsi="Times New Roman" w:hint="eastAsia"/>
          <w:szCs w:val="21"/>
        </w:rPr>
        <w:t>补充法律意见书出具之</w:t>
      </w:r>
      <w:r>
        <w:rPr>
          <w:rFonts w:ascii="Times New Roman" w:hAnsi="Times New Roman"/>
          <w:szCs w:val="21"/>
        </w:rPr>
        <w:t>日，公司不存在对外资金拆借、借予他人的情况。</w:t>
      </w:r>
    </w:p>
    <w:p w14:paraId="33620114" w14:textId="77777777" w:rsidR="008D76D6" w:rsidRDefault="008D76D6">
      <w:pPr>
        <w:spacing w:before="120" w:after="120"/>
        <w:ind w:firstLine="48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）委托贷款</w:t>
      </w:r>
    </w:p>
    <w:p w14:paraId="51D03A86" w14:textId="77777777" w:rsidR="008D76D6" w:rsidRDefault="008D76D6">
      <w:pPr>
        <w:spacing w:before="120" w:after="120"/>
        <w:ind w:firstLine="480"/>
        <w:rPr>
          <w:rFonts w:ascii="Times New Roman" w:hAnsi="Times New Roman"/>
          <w:szCs w:val="21"/>
        </w:rPr>
      </w:pPr>
      <w:r>
        <w:rPr>
          <w:rFonts w:ascii="Times New Roman" w:hAnsi="Times New Roman"/>
          <w:szCs w:val="21"/>
        </w:rPr>
        <w:t>本次发行相关董事会决议日前六个月起至本</w:t>
      </w:r>
      <w:r>
        <w:rPr>
          <w:rFonts w:ascii="Times New Roman" w:hAnsi="Times New Roman" w:hint="eastAsia"/>
          <w:szCs w:val="21"/>
        </w:rPr>
        <w:t>补充法律意见书出具之</w:t>
      </w:r>
      <w:r>
        <w:rPr>
          <w:rFonts w:ascii="Times New Roman" w:hAnsi="Times New Roman"/>
          <w:szCs w:val="21"/>
        </w:rPr>
        <w:t>日，公司不存在将资金以委托贷款的形式借予他人的情况。</w:t>
      </w:r>
    </w:p>
    <w:p w14:paraId="3C6213DA" w14:textId="77777777" w:rsidR="008D76D6" w:rsidRDefault="008D76D6">
      <w:pPr>
        <w:spacing w:before="120" w:after="120"/>
        <w:ind w:firstLine="48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）以超过集团持股比例向集团财务公司出资或增资</w:t>
      </w:r>
    </w:p>
    <w:p w14:paraId="19A05EA0" w14:textId="77777777" w:rsidR="008D76D6" w:rsidRDefault="008D76D6">
      <w:pPr>
        <w:spacing w:before="120" w:after="120"/>
        <w:ind w:firstLine="480"/>
        <w:rPr>
          <w:rFonts w:ascii="Times New Roman" w:hAnsi="Times New Roman"/>
          <w:szCs w:val="21"/>
        </w:rPr>
      </w:pPr>
      <w:r>
        <w:rPr>
          <w:rFonts w:ascii="Times New Roman" w:hAnsi="Times New Roman"/>
          <w:szCs w:val="21"/>
        </w:rPr>
        <w:t>本次发行相关董事会决议日前六个月起至本</w:t>
      </w:r>
      <w:r>
        <w:rPr>
          <w:rFonts w:ascii="Times New Roman" w:hAnsi="Times New Roman" w:hint="eastAsia"/>
          <w:szCs w:val="21"/>
        </w:rPr>
        <w:t>补充法律意见书出具之</w:t>
      </w:r>
      <w:r>
        <w:rPr>
          <w:rFonts w:ascii="Times New Roman" w:hAnsi="Times New Roman"/>
          <w:szCs w:val="21"/>
        </w:rPr>
        <w:t>日，公司不存在以超过集团持股比例向集团财务公司出资或增资的情况。</w:t>
      </w:r>
    </w:p>
    <w:p w14:paraId="385ADE17" w14:textId="77777777" w:rsidR="008D76D6" w:rsidRDefault="008D76D6">
      <w:pPr>
        <w:spacing w:before="120" w:after="120"/>
        <w:ind w:firstLine="48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）购买收益波动大且风险较高的金融产品</w:t>
      </w:r>
    </w:p>
    <w:p w14:paraId="1106FA84" w14:textId="77777777" w:rsidR="008D76D6" w:rsidRDefault="008D76D6">
      <w:pPr>
        <w:pStyle w:val="002"/>
        <w:keepNext w:val="0"/>
        <w:keepLines w:val="0"/>
        <w:widowControl w:val="0"/>
        <w:spacing w:before="120" w:after="120"/>
        <w:ind w:firstLine="480"/>
        <w:outlineLvl w:val="9"/>
        <w:rPr>
          <w:b w:val="0"/>
          <w:bCs w:val="0"/>
          <w:szCs w:val="21"/>
        </w:rPr>
      </w:pPr>
      <w:r>
        <w:rPr>
          <w:b w:val="0"/>
          <w:bCs w:val="0"/>
          <w:szCs w:val="21"/>
        </w:rPr>
        <w:t>本次发行相关董事会决议日前六个月起至本</w:t>
      </w:r>
      <w:r>
        <w:rPr>
          <w:rFonts w:hint="eastAsia"/>
          <w:b w:val="0"/>
          <w:bCs w:val="0"/>
          <w:szCs w:val="21"/>
        </w:rPr>
        <w:t>补充法律意见书出具之</w:t>
      </w:r>
      <w:r>
        <w:rPr>
          <w:b w:val="0"/>
          <w:bCs w:val="0"/>
          <w:szCs w:val="21"/>
        </w:rPr>
        <w:t>日，公司存在使用暂时闲置资金购买理财产品的情形，除中信证券信信向荣</w:t>
      </w:r>
      <w:r>
        <w:rPr>
          <w:b w:val="0"/>
          <w:bCs w:val="0"/>
          <w:szCs w:val="21"/>
        </w:rPr>
        <w:t>1</w:t>
      </w:r>
      <w:r>
        <w:rPr>
          <w:b w:val="0"/>
          <w:bCs w:val="0"/>
          <w:szCs w:val="21"/>
        </w:rPr>
        <w:t>号集合资产管理计划的产品风险等级为</w:t>
      </w:r>
      <w:r>
        <w:rPr>
          <w:b w:val="0"/>
          <w:bCs w:val="0"/>
          <w:szCs w:val="21"/>
        </w:rPr>
        <w:t>R3</w:t>
      </w:r>
      <w:r>
        <w:rPr>
          <w:b w:val="0"/>
          <w:bCs w:val="0"/>
          <w:szCs w:val="21"/>
        </w:rPr>
        <w:t>（中风险）外，其他理财产品均不属于收益波动大且风险较高的金融产品，具体明细如下：</w:t>
      </w:r>
    </w:p>
    <w:p w14:paraId="53C54B7B" w14:textId="77777777" w:rsidR="008D76D6" w:rsidRDefault="008D76D6">
      <w:pPr>
        <w:keepNext/>
        <w:spacing w:beforeLines="0" w:before="0" w:afterLines="0" w:after="0" w:line="240" w:lineRule="auto"/>
        <w:ind w:firstLine="420"/>
        <w:jc w:val="right"/>
        <w:rPr>
          <w:rFonts w:cs="Mongolian Baiti"/>
          <w:sz w:val="21"/>
          <w:szCs w:val="21"/>
        </w:rPr>
      </w:pPr>
      <w:r>
        <w:rPr>
          <w:rFonts w:cs="Mongolian Baiti" w:hint="eastAsia"/>
          <w:sz w:val="21"/>
          <w:szCs w:val="21"/>
        </w:rPr>
        <w:t>单位：万元</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3"/>
        <w:gridCol w:w="2596"/>
        <w:gridCol w:w="1795"/>
        <w:gridCol w:w="1349"/>
        <w:gridCol w:w="1497"/>
        <w:gridCol w:w="1110"/>
      </w:tblGrid>
      <w:tr w:rsidR="008D76D6" w14:paraId="44127261" w14:textId="77777777">
        <w:trPr>
          <w:trHeight w:val="397"/>
          <w:tblHeader/>
          <w:jc w:val="center"/>
        </w:trPr>
        <w:tc>
          <w:tcPr>
            <w:tcW w:w="675" w:type="dxa"/>
            <w:shd w:val="clear" w:color="auto" w:fill="D9D9D9"/>
            <w:vAlign w:val="center"/>
          </w:tcPr>
          <w:p w14:paraId="52ED89FF" w14:textId="77777777" w:rsidR="008D76D6" w:rsidRDefault="008D76D6">
            <w:pPr>
              <w:keepNext/>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kern w:val="0"/>
                <w:sz w:val="21"/>
                <w:szCs w:val="21"/>
              </w:rPr>
              <w:t>序号</w:t>
            </w:r>
          </w:p>
        </w:tc>
        <w:tc>
          <w:tcPr>
            <w:tcW w:w="2668" w:type="dxa"/>
            <w:shd w:val="clear" w:color="auto" w:fill="D9D9D9"/>
            <w:vAlign w:val="center"/>
          </w:tcPr>
          <w:p w14:paraId="7DD3CD15" w14:textId="77777777" w:rsidR="008D76D6" w:rsidRDefault="008D76D6">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kern w:val="0"/>
                <w:sz w:val="21"/>
                <w:szCs w:val="21"/>
              </w:rPr>
              <w:t>产品名称</w:t>
            </w:r>
          </w:p>
        </w:tc>
        <w:tc>
          <w:tcPr>
            <w:tcW w:w="1843" w:type="dxa"/>
            <w:shd w:val="clear" w:color="auto" w:fill="D9D9D9"/>
            <w:vAlign w:val="center"/>
          </w:tcPr>
          <w:p w14:paraId="416F897A" w14:textId="77777777" w:rsidR="008D76D6" w:rsidRDefault="008D76D6">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kern w:val="0"/>
                <w:sz w:val="21"/>
                <w:szCs w:val="21"/>
              </w:rPr>
              <w:t>产品风险等级</w:t>
            </w:r>
          </w:p>
        </w:tc>
        <w:tc>
          <w:tcPr>
            <w:tcW w:w="1383" w:type="dxa"/>
            <w:shd w:val="clear" w:color="auto" w:fill="D9D9D9"/>
            <w:vAlign w:val="center"/>
          </w:tcPr>
          <w:p w14:paraId="6EF9E80E" w14:textId="77777777" w:rsidR="008D76D6" w:rsidRDefault="008D76D6">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kern w:val="0"/>
                <w:sz w:val="21"/>
                <w:szCs w:val="21"/>
              </w:rPr>
              <w:t>购买日期</w:t>
            </w:r>
          </w:p>
        </w:tc>
        <w:tc>
          <w:tcPr>
            <w:tcW w:w="1536" w:type="dxa"/>
            <w:shd w:val="clear" w:color="auto" w:fill="D9D9D9"/>
            <w:vAlign w:val="center"/>
          </w:tcPr>
          <w:p w14:paraId="04486005" w14:textId="77777777" w:rsidR="00194D14" w:rsidRDefault="008D76D6">
            <w:pPr>
              <w:spacing w:beforeLines="0" w:before="0" w:afterLines="0" w:after="0" w:line="240" w:lineRule="auto"/>
              <w:ind w:firstLineChars="0" w:firstLine="0"/>
              <w:jc w:val="center"/>
              <w:rPr>
                <w:rFonts w:ascii="Times New Roman" w:hAnsi="Times New Roman"/>
                <w:b/>
                <w:bCs/>
                <w:kern w:val="0"/>
                <w:sz w:val="21"/>
                <w:szCs w:val="21"/>
              </w:rPr>
            </w:pPr>
            <w:r>
              <w:rPr>
                <w:rFonts w:ascii="Times New Roman" w:hAnsi="Times New Roman"/>
                <w:b/>
                <w:bCs/>
                <w:kern w:val="0"/>
                <w:sz w:val="21"/>
                <w:szCs w:val="21"/>
              </w:rPr>
              <w:t>预期</w:t>
            </w:r>
          </w:p>
          <w:p w14:paraId="679847E7" w14:textId="77777777" w:rsidR="008D76D6" w:rsidRDefault="008D76D6">
            <w:pPr>
              <w:spacing w:beforeLines="0" w:before="0" w:afterLines="0" w:after="0" w:line="240" w:lineRule="auto"/>
              <w:ind w:firstLineChars="0" w:firstLine="0"/>
              <w:jc w:val="center"/>
              <w:rPr>
                <w:rFonts w:ascii="Times New Roman" w:hAnsi="Times New Roman"/>
                <w:b/>
                <w:bCs/>
                <w:sz w:val="21"/>
                <w:szCs w:val="21"/>
              </w:rPr>
            </w:pPr>
            <w:r>
              <w:rPr>
                <w:rFonts w:ascii="Times New Roman" w:hAnsi="Times New Roman"/>
                <w:b/>
                <w:bCs/>
                <w:kern w:val="0"/>
                <w:sz w:val="21"/>
                <w:szCs w:val="21"/>
              </w:rPr>
              <w:t>收益率水平</w:t>
            </w:r>
          </w:p>
        </w:tc>
        <w:tc>
          <w:tcPr>
            <w:tcW w:w="1137" w:type="dxa"/>
            <w:shd w:val="clear" w:color="auto" w:fill="D9D9D9"/>
            <w:vAlign w:val="center"/>
          </w:tcPr>
          <w:p w14:paraId="580B4993" w14:textId="77777777" w:rsidR="008D76D6" w:rsidRDefault="008D76D6">
            <w:pPr>
              <w:adjustRightInd w:val="0"/>
              <w:snapToGrid w:val="0"/>
              <w:spacing w:beforeLines="0" w:before="0" w:afterLines="0" w:after="0" w:line="240" w:lineRule="auto"/>
              <w:ind w:firstLineChars="0" w:firstLine="0"/>
              <w:jc w:val="center"/>
              <w:rPr>
                <w:rFonts w:ascii="Times New Roman" w:hAnsi="Times New Roman"/>
                <w:b/>
                <w:bCs/>
                <w:kern w:val="0"/>
                <w:sz w:val="21"/>
                <w:szCs w:val="21"/>
              </w:rPr>
            </w:pPr>
            <w:r>
              <w:rPr>
                <w:rFonts w:ascii="Times New Roman" w:hAnsi="Times New Roman"/>
                <w:b/>
                <w:bCs/>
                <w:kern w:val="0"/>
                <w:sz w:val="21"/>
                <w:szCs w:val="21"/>
              </w:rPr>
              <w:t>投资金额</w:t>
            </w:r>
          </w:p>
        </w:tc>
      </w:tr>
      <w:tr w:rsidR="008D76D6" w14:paraId="29EB370A" w14:textId="77777777">
        <w:trPr>
          <w:trHeight w:val="397"/>
          <w:jc w:val="center"/>
        </w:trPr>
        <w:tc>
          <w:tcPr>
            <w:tcW w:w="675" w:type="dxa"/>
            <w:vAlign w:val="center"/>
          </w:tcPr>
          <w:p w14:paraId="12BAD53F"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1</w:t>
            </w:r>
          </w:p>
        </w:tc>
        <w:tc>
          <w:tcPr>
            <w:tcW w:w="2668" w:type="dxa"/>
            <w:vAlign w:val="center"/>
          </w:tcPr>
          <w:p w14:paraId="24939BD8"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中信证券信信向荣</w:t>
            </w:r>
            <w:r>
              <w:rPr>
                <w:rFonts w:ascii="Times New Roman" w:hAnsi="Times New Roman"/>
                <w:color w:val="000000"/>
                <w:sz w:val="21"/>
                <w:szCs w:val="21"/>
              </w:rPr>
              <w:t>3</w:t>
            </w:r>
            <w:r>
              <w:rPr>
                <w:rFonts w:ascii="Times New Roman" w:hAnsi="Times New Roman"/>
                <w:color w:val="000000"/>
                <w:sz w:val="21"/>
                <w:szCs w:val="21"/>
              </w:rPr>
              <w:t>号资产管理计划</w:t>
            </w:r>
          </w:p>
        </w:tc>
        <w:tc>
          <w:tcPr>
            <w:tcW w:w="1843" w:type="dxa"/>
            <w:vAlign w:val="center"/>
          </w:tcPr>
          <w:p w14:paraId="4DCE6BA9"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R2</w:t>
            </w:r>
            <w:r>
              <w:rPr>
                <w:rFonts w:ascii="Times New Roman" w:hAnsi="Times New Roman"/>
                <w:sz w:val="21"/>
                <w:szCs w:val="21"/>
              </w:rPr>
              <w:t>（稳健型）</w:t>
            </w:r>
          </w:p>
        </w:tc>
        <w:tc>
          <w:tcPr>
            <w:tcW w:w="1383" w:type="dxa"/>
            <w:vAlign w:val="center"/>
          </w:tcPr>
          <w:p w14:paraId="03050319"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2022/7/20</w:t>
            </w:r>
          </w:p>
        </w:tc>
        <w:tc>
          <w:tcPr>
            <w:tcW w:w="1536" w:type="dxa"/>
            <w:vAlign w:val="center"/>
          </w:tcPr>
          <w:p w14:paraId="72547B3E"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3.90%</w:t>
            </w:r>
          </w:p>
        </w:tc>
        <w:tc>
          <w:tcPr>
            <w:tcW w:w="1137" w:type="dxa"/>
            <w:vAlign w:val="center"/>
          </w:tcPr>
          <w:p w14:paraId="2E08FD53"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1,000.00</w:t>
            </w:r>
          </w:p>
        </w:tc>
      </w:tr>
      <w:tr w:rsidR="008D76D6" w14:paraId="61463816" w14:textId="77777777">
        <w:trPr>
          <w:trHeight w:val="397"/>
          <w:jc w:val="center"/>
        </w:trPr>
        <w:tc>
          <w:tcPr>
            <w:tcW w:w="675" w:type="dxa"/>
            <w:vAlign w:val="center"/>
          </w:tcPr>
          <w:p w14:paraId="3FAB44F6"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2</w:t>
            </w:r>
          </w:p>
        </w:tc>
        <w:tc>
          <w:tcPr>
            <w:tcW w:w="2668" w:type="dxa"/>
            <w:vAlign w:val="center"/>
          </w:tcPr>
          <w:p w14:paraId="28817267"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中信理财之共赢成长强债半年锁定期净值型人民币理财产品</w:t>
            </w:r>
          </w:p>
        </w:tc>
        <w:tc>
          <w:tcPr>
            <w:tcW w:w="1843" w:type="dxa"/>
            <w:vAlign w:val="center"/>
          </w:tcPr>
          <w:p w14:paraId="090E9584"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R2</w:t>
            </w:r>
            <w:r>
              <w:rPr>
                <w:rFonts w:ascii="Times New Roman" w:hAnsi="Times New Roman"/>
                <w:sz w:val="21"/>
                <w:szCs w:val="21"/>
              </w:rPr>
              <w:t>（稳健型）</w:t>
            </w:r>
          </w:p>
        </w:tc>
        <w:tc>
          <w:tcPr>
            <w:tcW w:w="1383" w:type="dxa"/>
            <w:vAlign w:val="center"/>
          </w:tcPr>
          <w:p w14:paraId="0F8A8FFE"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2022/7/20</w:t>
            </w:r>
          </w:p>
        </w:tc>
        <w:tc>
          <w:tcPr>
            <w:tcW w:w="1536" w:type="dxa"/>
            <w:vAlign w:val="center"/>
          </w:tcPr>
          <w:p w14:paraId="51C2CF1A"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3.7%-4.3%</w:t>
            </w:r>
          </w:p>
        </w:tc>
        <w:tc>
          <w:tcPr>
            <w:tcW w:w="1137" w:type="dxa"/>
            <w:vAlign w:val="center"/>
          </w:tcPr>
          <w:p w14:paraId="398FEB64"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kern w:val="0"/>
                <w:sz w:val="21"/>
                <w:szCs w:val="21"/>
              </w:rPr>
              <w:t>870.00</w:t>
            </w:r>
          </w:p>
        </w:tc>
      </w:tr>
      <w:tr w:rsidR="008D76D6" w14:paraId="438AFAB7" w14:textId="77777777">
        <w:trPr>
          <w:trHeight w:val="397"/>
          <w:jc w:val="center"/>
        </w:trPr>
        <w:tc>
          <w:tcPr>
            <w:tcW w:w="675" w:type="dxa"/>
            <w:vAlign w:val="center"/>
          </w:tcPr>
          <w:p w14:paraId="5DE29F3F"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3</w:t>
            </w:r>
          </w:p>
        </w:tc>
        <w:tc>
          <w:tcPr>
            <w:tcW w:w="2668" w:type="dxa"/>
            <w:vAlign w:val="center"/>
          </w:tcPr>
          <w:p w14:paraId="5A042C5F"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平安银行（三年定期存款）</w:t>
            </w:r>
          </w:p>
        </w:tc>
        <w:tc>
          <w:tcPr>
            <w:tcW w:w="1843" w:type="dxa"/>
            <w:vAlign w:val="center"/>
          </w:tcPr>
          <w:p w14:paraId="6D271558"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R1</w:t>
            </w:r>
            <w:r>
              <w:rPr>
                <w:rFonts w:ascii="Times New Roman" w:hAnsi="Times New Roman"/>
                <w:sz w:val="21"/>
                <w:szCs w:val="21"/>
              </w:rPr>
              <w:t>（谨慎型）</w:t>
            </w:r>
          </w:p>
        </w:tc>
        <w:tc>
          <w:tcPr>
            <w:tcW w:w="1383" w:type="dxa"/>
            <w:vAlign w:val="center"/>
          </w:tcPr>
          <w:p w14:paraId="0F6AD333"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2022/9/16</w:t>
            </w:r>
          </w:p>
        </w:tc>
        <w:tc>
          <w:tcPr>
            <w:tcW w:w="1536" w:type="dxa"/>
            <w:vAlign w:val="center"/>
          </w:tcPr>
          <w:p w14:paraId="1034F351"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3.05%</w:t>
            </w:r>
          </w:p>
        </w:tc>
        <w:tc>
          <w:tcPr>
            <w:tcW w:w="1137" w:type="dxa"/>
            <w:vAlign w:val="center"/>
          </w:tcPr>
          <w:p w14:paraId="5A672F35"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1,000.00</w:t>
            </w:r>
          </w:p>
        </w:tc>
      </w:tr>
      <w:tr w:rsidR="008D76D6" w14:paraId="2441D614" w14:textId="77777777">
        <w:trPr>
          <w:trHeight w:val="397"/>
          <w:jc w:val="center"/>
        </w:trPr>
        <w:tc>
          <w:tcPr>
            <w:tcW w:w="675" w:type="dxa"/>
            <w:vAlign w:val="center"/>
          </w:tcPr>
          <w:p w14:paraId="45C11EFD"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4</w:t>
            </w:r>
          </w:p>
        </w:tc>
        <w:tc>
          <w:tcPr>
            <w:tcW w:w="2668" w:type="dxa"/>
            <w:vAlign w:val="center"/>
          </w:tcPr>
          <w:p w14:paraId="1CCEA7F4"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光大信托</w:t>
            </w:r>
            <w:r>
              <w:rPr>
                <w:rFonts w:ascii="Times New Roman" w:hAnsi="Times New Roman"/>
                <w:color w:val="000000"/>
                <w:sz w:val="21"/>
                <w:szCs w:val="21"/>
              </w:rPr>
              <w:t>-</w:t>
            </w:r>
            <w:r>
              <w:rPr>
                <w:rFonts w:ascii="Times New Roman" w:hAnsi="Times New Roman"/>
                <w:color w:val="000000"/>
                <w:sz w:val="21"/>
                <w:szCs w:val="21"/>
              </w:rPr>
              <w:t>深汇系列集合资金信托计划</w:t>
            </w:r>
          </w:p>
        </w:tc>
        <w:tc>
          <w:tcPr>
            <w:tcW w:w="1843" w:type="dxa"/>
            <w:vAlign w:val="center"/>
          </w:tcPr>
          <w:p w14:paraId="3F0DFF87"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R2</w:t>
            </w:r>
            <w:r>
              <w:rPr>
                <w:rFonts w:ascii="Times New Roman" w:hAnsi="Times New Roman"/>
                <w:sz w:val="21"/>
                <w:szCs w:val="21"/>
              </w:rPr>
              <w:t>（稳健型）</w:t>
            </w:r>
          </w:p>
        </w:tc>
        <w:tc>
          <w:tcPr>
            <w:tcW w:w="1383" w:type="dxa"/>
            <w:vAlign w:val="center"/>
          </w:tcPr>
          <w:p w14:paraId="1710A740"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2022/10/20</w:t>
            </w:r>
          </w:p>
        </w:tc>
        <w:tc>
          <w:tcPr>
            <w:tcW w:w="1536" w:type="dxa"/>
            <w:vAlign w:val="center"/>
          </w:tcPr>
          <w:p w14:paraId="74ED077B"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5.40%</w:t>
            </w:r>
          </w:p>
        </w:tc>
        <w:tc>
          <w:tcPr>
            <w:tcW w:w="1137" w:type="dxa"/>
            <w:vAlign w:val="center"/>
          </w:tcPr>
          <w:p w14:paraId="4444F398"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1,000.00</w:t>
            </w:r>
          </w:p>
        </w:tc>
      </w:tr>
      <w:tr w:rsidR="008D76D6" w14:paraId="78369678" w14:textId="77777777">
        <w:trPr>
          <w:trHeight w:val="397"/>
          <w:jc w:val="center"/>
        </w:trPr>
        <w:tc>
          <w:tcPr>
            <w:tcW w:w="675" w:type="dxa"/>
            <w:vAlign w:val="center"/>
          </w:tcPr>
          <w:p w14:paraId="0CBE782A"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5</w:t>
            </w:r>
          </w:p>
        </w:tc>
        <w:tc>
          <w:tcPr>
            <w:tcW w:w="2668" w:type="dxa"/>
            <w:vAlign w:val="center"/>
          </w:tcPr>
          <w:p w14:paraId="02148DE5"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东证融汇汇鑫</w:t>
            </w:r>
            <w:r>
              <w:rPr>
                <w:rFonts w:ascii="Times New Roman" w:hAnsi="Times New Roman"/>
                <w:color w:val="000000"/>
                <w:sz w:val="21"/>
                <w:szCs w:val="21"/>
              </w:rPr>
              <w:t>6M3</w:t>
            </w:r>
            <w:r>
              <w:rPr>
                <w:rFonts w:ascii="Times New Roman" w:hAnsi="Times New Roman"/>
                <w:color w:val="000000"/>
                <w:sz w:val="21"/>
                <w:szCs w:val="21"/>
              </w:rPr>
              <w:t>号集合资产管理计划</w:t>
            </w:r>
          </w:p>
        </w:tc>
        <w:tc>
          <w:tcPr>
            <w:tcW w:w="1843" w:type="dxa"/>
            <w:vAlign w:val="center"/>
          </w:tcPr>
          <w:p w14:paraId="69944B3A"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R2</w:t>
            </w:r>
            <w:r>
              <w:rPr>
                <w:rFonts w:ascii="Times New Roman" w:hAnsi="Times New Roman"/>
                <w:sz w:val="21"/>
                <w:szCs w:val="21"/>
              </w:rPr>
              <w:t>（稳健型）</w:t>
            </w:r>
          </w:p>
        </w:tc>
        <w:tc>
          <w:tcPr>
            <w:tcW w:w="1383" w:type="dxa"/>
            <w:vAlign w:val="center"/>
          </w:tcPr>
          <w:p w14:paraId="7916E362"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2022/10/25</w:t>
            </w:r>
          </w:p>
        </w:tc>
        <w:tc>
          <w:tcPr>
            <w:tcW w:w="1536" w:type="dxa"/>
            <w:vAlign w:val="center"/>
          </w:tcPr>
          <w:p w14:paraId="7E1E2C58"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4.60%</w:t>
            </w:r>
          </w:p>
        </w:tc>
        <w:tc>
          <w:tcPr>
            <w:tcW w:w="1137" w:type="dxa"/>
            <w:vAlign w:val="center"/>
          </w:tcPr>
          <w:p w14:paraId="66983503"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1,000.00</w:t>
            </w:r>
          </w:p>
        </w:tc>
      </w:tr>
      <w:tr w:rsidR="008D76D6" w14:paraId="0E31452B" w14:textId="77777777">
        <w:trPr>
          <w:trHeight w:val="397"/>
          <w:jc w:val="center"/>
        </w:trPr>
        <w:tc>
          <w:tcPr>
            <w:tcW w:w="675" w:type="dxa"/>
            <w:vAlign w:val="center"/>
          </w:tcPr>
          <w:p w14:paraId="61376663"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6</w:t>
            </w:r>
          </w:p>
        </w:tc>
        <w:tc>
          <w:tcPr>
            <w:tcW w:w="2668" w:type="dxa"/>
            <w:vAlign w:val="center"/>
          </w:tcPr>
          <w:p w14:paraId="255FDA47"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贵竹固收增利</w:t>
            </w:r>
            <w:r>
              <w:rPr>
                <w:rFonts w:ascii="Times New Roman" w:hAnsi="Times New Roman"/>
                <w:color w:val="000000"/>
                <w:sz w:val="21"/>
                <w:szCs w:val="21"/>
              </w:rPr>
              <w:t>6</w:t>
            </w:r>
            <w:r>
              <w:rPr>
                <w:rFonts w:ascii="Times New Roman" w:hAnsi="Times New Roman"/>
                <w:color w:val="000000"/>
                <w:sz w:val="21"/>
                <w:szCs w:val="21"/>
              </w:rPr>
              <w:t>个月自动续期</w:t>
            </w:r>
            <w:r>
              <w:rPr>
                <w:rFonts w:ascii="Times New Roman" w:hAnsi="Times New Roman"/>
                <w:color w:val="000000"/>
                <w:sz w:val="21"/>
                <w:szCs w:val="21"/>
              </w:rPr>
              <w:t>2</w:t>
            </w:r>
            <w:r>
              <w:rPr>
                <w:rFonts w:ascii="Times New Roman" w:hAnsi="Times New Roman"/>
                <w:color w:val="000000"/>
                <w:sz w:val="21"/>
                <w:szCs w:val="21"/>
              </w:rPr>
              <w:t>号</w:t>
            </w:r>
          </w:p>
        </w:tc>
        <w:tc>
          <w:tcPr>
            <w:tcW w:w="1843" w:type="dxa"/>
            <w:vAlign w:val="center"/>
          </w:tcPr>
          <w:p w14:paraId="6945A85D"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R2</w:t>
            </w:r>
            <w:r>
              <w:rPr>
                <w:rFonts w:ascii="Times New Roman" w:hAnsi="Times New Roman"/>
                <w:sz w:val="21"/>
                <w:szCs w:val="21"/>
              </w:rPr>
              <w:t>（稳健型）</w:t>
            </w:r>
          </w:p>
        </w:tc>
        <w:tc>
          <w:tcPr>
            <w:tcW w:w="1383" w:type="dxa"/>
            <w:vAlign w:val="center"/>
          </w:tcPr>
          <w:p w14:paraId="3058D812"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2022/11/25</w:t>
            </w:r>
          </w:p>
        </w:tc>
        <w:tc>
          <w:tcPr>
            <w:tcW w:w="1536" w:type="dxa"/>
            <w:vAlign w:val="center"/>
          </w:tcPr>
          <w:p w14:paraId="5B65EDAC"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3.3%-5%</w:t>
            </w:r>
          </w:p>
        </w:tc>
        <w:tc>
          <w:tcPr>
            <w:tcW w:w="1137" w:type="dxa"/>
            <w:vAlign w:val="center"/>
          </w:tcPr>
          <w:p w14:paraId="705BD618"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2,000.00</w:t>
            </w:r>
          </w:p>
        </w:tc>
      </w:tr>
      <w:tr w:rsidR="008D76D6" w14:paraId="78758C4C" w14:textId="77777777">
        <w:trPr>
          <w:trHeight w:val="397"/>
          <w:jc w:val="center"/>
        </w:trPr>
        <w:tc>
          <w:tcPr>
            <w:tcW w:w="675" w:type="dxa"/>
            <w:vAlign w:val="center"/>
          </w:tcPr>
          <w:p w14:paraId="13372C36"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7</w:t>
            </w:r>
          </w:p>
        </w:tc>
        <w:tc>
          <w:tcPr>
            <w:tcW w:w="2668" w:type="dxa"/>
            <w:vAlign w:val="center"/>
          </w:tcPr>
          <w:p w14:paraId="46A7BFD3"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平安银行挂钩中证指数</w:t>
            </w:r>
          </w:p>
        </w:tc>
        <w:tc>
          <w:tcPr>
            <w:tcW w:w="1843" w:type="dxa"/>
            <w:vAlign w:val="center"/>
          </w:tcPr>
          <w:p w14:paraId="2C76E1F0"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R2</w:t>
            </w:r>
            <w:r>
              <w:rPr>
                <w:rFonts w:ascii="Times New Roman" w:hAnsi="Times New Roman"/>
                <w:sz w:val="21"/>
                <w:szCs w:val="21"/>
              </w:rPr>
              <w:t>（稳健型）</w:t>
            </w:r>
          </w:p>
        </w:tc>
        <w:tc>
          <w:tcPr>
            <w:tcW w:w="1383" w:type="dxa"/>
            <w:vAlign w:val="center"/>
          </w:tcPr>
          <w:p w14:paraId="67C67752"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2023/1/20</w:t>
            </w:r>
          </w:p>
        </w:tc>
        <w:tc>
          <w:tcPr>
            <w:tcW w:w="1536" w:type="dxa"/>
            <w:vAlign w:val="center"/>
          </w:tcPr>
          <w:p w14:paraId="43DC7B67"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1.95%-3.00%</w:t>
            </w:r>
          </w:p>
        </w:tc>
        <w:tc>
          <w:tcPr>
            <w:tcW w:w="1137" w:type="dxa"/>
            <w:vAlign w:val="center"/>
          </w:tcPr>
          <w:p w14:paraId="7C76E67F"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3,000.00</w:t>
            </w:r>
          </w:p>
        </w:tc>
      </w:tr>
      <w:tr w:rsidR="008D76D6" w14:paraId="18C0DAE9" w14:textId="77777777">
        <w:trPr>
          <w:trHeight w:val="397"/>
          <w:jc w:val="center"/>
        </w:trPr>
        <w:tc>
          <w:tcPr>
            <w:tcW w:w="675" w:type="dxa"/>
            <w:vAlign w:val="center"/>
          </w:tcPr>
          <w:p w14:paraId="50942AAE"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8</w:t>
            </w:r>
          </w:p>
        </w:tc>
        <w:tc>
          <w:tcPr>
            <w:tcW w:w="2668" w:type="dxa"/>
            <w:vAlign w:val="center"/>
          </w:tcPr>
          <w:p w14:paraId="5F3644C7"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平安银行挂钩黄金指数</w:t>
            </w:r>
          </w:p>
        </w:tc>
        <w:tc>
          <w:tcPr>
            <w:tcW w:w="1843" w:type="dxa"/>
            <w:vAlign w:val="center"/>
          </w:tcPr>
          <w:p w14:paraId="3FF971E4"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R2</w:t>
            </w:r>
            <w:r>
              <w:rPr>
                <w:rFonts w:ascii="Times New Roman" w:hAnsi="Times New Roman"/>
                <w:sz w:val="21"/>
                <w:szCs w:val="21"/>
              </w:rPr>
              <w:t>（稳健型）</w:t>
            </w:r>
          </w:p>
        </w:tc>
        <w:tc>
          <w:tcPr>
            <w:tcW w:w="1383" w:type="dxa"/>
            <w:vAlign w:val="center"/>
          </w:tcPr>
          <w:p w14:paraId="5F930B5F"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2023/1/20</w:t>
            </w:r>
          </w:p>
        </w:tc>
        <w:tc>
          <w:tcPr>
            <w:tcW w:w="1536" w:type="dxa"/>
            <w:vAlign w:val="center"/>
          </w:tcPr>
          <w:p w14:paraId="272829A8"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1.75%-3.04%</w:t>
            </w:r>
          </w:p>
        </w:tc>
        <w:tc>
          <w:tcPr>
            <w:tcW w:w="1137" w:type="dxa"/>
            <w:vAlign w:val="center"/>
          </w:tcPr>
          <w:p w14:paraId="4AD2EC52"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3,000.00</w:t>
            </w:r>
          </w:p>
        </w:tc>
      </w:tr>
      <w:tr w:rsidR="008D76D6" w14:paraId="0769A69C" w14:textId="77777777">
        <w:trPr>
          <w:trHeight w:val="397"/>
          <w:jc w:val="center"/>
        </w:trPr>
        <w:tc>
          <w:tcPr>
            <w:tcW w:w="675" w:type="dxa"/>
            <w:vAlign w:val="center"/>
          </w:tcPr>
          <w:p w14:paraId="399ADD4F"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9</w:t>
            </w:r>
          </w:p>
        </w:tc>
        <w:tc>
          <w:tcPr>
            <w:tcW w:w="2668" w:type="dxa"/>
            <w:vAlign w:val="center"/>
          </w:tcPr>
          <w:p w14:paraId="0528F02D"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招商银行点金系列看涨两层区间</w:t>
            </w:r>
            <w:r>
              <w:rPr>
                <w:rFonts w:ascii="Times New Roman" w:hAnsi="Times New Roman"/>
                <w:color w:val="000000"/>
                <w:sz w:val="21"/>
                <w:szCs w:val="21"/>
              </w:rPr>
              <w:t>93</w:t>
            </w:r>
            <w:r>
              <w:rPr>
                <w:rFonts w:ascii="Times New Roman" w:hAnsi="Times New Roman"/>
                <w:color w:val="000000"/>
                <w:sz w:val="21"/>
                <w:szCs w:val="21"/>
              </w:rPr>
              <w:t>天结构性存款产品</w:t>
            </w:r>
          </w:p>
        </w:tc>
        <w:tc>
          <w:tcPr>
            <w:tcW w:w="1843" w:type="dxa"/>
            <w:vAlign w:val="center"/>
          </w:tcPr>
          <w:p w14:paraId="0E92A4F9"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R1</w:t>
            </w:r>
            <w:r>
              <w:rPr>
                <w:rFonts w:ascii="Times New Roman" w:hAnsi="Times New Roman"/>
                <w:sz w:val="21"/>
                <w:szCs w:val="21"/>
              </w:rPr>
              <w:t>（谨慎型）</w:t>
            </w:r>
          </w:p>
        </w:tc>
        <w:tc>
          <w:tcPr>
            <w:tcW w:w="1383" w:type="dxa"/>
            <w:vAlign w:val="center"/>
          </w:tcPr>
          <w:p w14:paraId="2ACFA7E5"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2023/2/24</w:t>
            </w:r>
          </w:p>
        </w:tc>
        <w:tc>
          <w:tcPr>
            <w:tcW w:w="1536" w:type="dxa"/>
            <w:vAlign w:val="center"/>
          </w:tcPr>
          <w:p w14:paraId="7B68C1F2"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2.85%</w:t>
            </w:r>
          </w:p>
        </w:tc>
        <w:tc>
          <w:tcPr>
            <w:tcW w:w="1137" w:type="dxa"/>
            <w:vAlign w:val="center"/>
          </w:tcPr>
          <w:p w14:paraId="7CE5653C"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3,000.00</w:t>
            </w:r>
          </w:p>
        </w:tc>
      </w:tr>
      <w:tr w:rsidR="008D76D6" w14:paraId="78E6BAEA" w14:textId="77777777">
        <w:trPr>
          <w:trHeight w:val="397"/>
          <w:jc w:val="center"/>
        </w:trPr>
        <w:tc>
          <w:tcPr>
            <w:tcW w:w="675" w:type="dxa"/>
            <w:vAlign w:val="center"/>
          </w:tcPr>
          <w:p w14:paraId="7B29733A"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10</w:t>
            </w:r>
          </w:p>
        </w:tc>
        <w:tc>
          <w:tcPr>
            <w:tcW w:w="2668" w:type="dxa"/>
            <w:vAlign w:val="center"/>
          </w:tcPr>
          <w:p w14:paraId="00367FFF"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平安银行对公结构性存款（</w:t>
            </w:r>
            <w:r>
              <w:rPr>
                <w:rFonts w:ascii="Times New Roman" w:hAnsi="Times New Roman"/>
                <w:color w:val="000000"/>
                <w:sz w:val="21"/>
                <w:szCs w:val="21"/>
              </w:rPr>
              <w:t>100%</w:t>
            </w:r>
            <w:r>
              <w:rPr>
                <w:rFonts w:ascii="Times New Roman" w:hAnsi="Times New Roman"/>
                <w:color w:val="000000"/>
                <w:sz w:val="21"/>
                <w:szCs w:val="21"/>
              </w:rPr>
              <w:t>保本挂钩指数）产品</w:t>
            </w:r>
          </w:p>
        </w:tc>
        <w:tc>
          <w:tcPr>
            <w:tcW w:w="1843" w:type="dxa"/>
            <w:vAlign w:val="center"/>
          </w:tcPr>
          <w:p w14:paraId="45D8F9EE"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R2</w:t>
            </w:r>
            <w:r>
              <w:rPr>
                <w:rFonts w:ascii="Times New Roman" w:hAnsi="Times New Roman"/>
                <w:sz w:val="21"/>
                <w:szCs w:val="21"/>
              </w:rPr>
              <w:t>（稳健型）</w:t>
            </w:r>
          </w:p>
        </w:tc>
        <w:tc>
          <w:tcPr>
            <w:tcW w:w="1383" w:type="dxa"/>
            <w:vAlign w:val="center"/>
          </w:tcPr>
          <w:p w14:paraId="2FF90451"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2023/2/24</w:t>
            </w:r>
          </w:p>
        </w:tc>
        <w:tc>
          <w:tcPr>
            <w:tcW w:w="1536" w:type="dxa"/>
            <w:vAlign w:val="center"/>
          </w:tcPr>
          <w:p w14:paraId="7F276C04"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2.90%</w:t>
            </w:r>
          </w:p>
        </w:tc>
        <w:tc>
          <w:tcPr>
            <w:tcW w:w="1137" w:type="dxa"/>
            <w:vAlign w:val="center"/>
          </w:tcPr>
          <w:p w14:paraId="2667D86E"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2,000.00</w:t>
            </w:r>
          </w:p>
        </w:tc>
      </w:tr>
      <w:tr w:rsidR="008D76D6" w14:paraId="696786A8" w14:textId="77777777">
        <w:trPr>
          <w:trHeight w:val="397"/>
          <w:jc w:val="center"/>
        </w:trPr>
        <w:tc>
          <w:tcPr>
            <w:tcW w:w="675" w:type="dxa"/>
            <w:vAlign w:val="center"/>
          </w:tcPr>
          <w:p w14:paraId="469DA3BC"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11</w:t>
            </w:r>
          </w:p>
        </w:tc>
        <w:tc>
          <w:tcPr>
            <w:tcW w:w="2668" w:type="dxa"/>
            <w:vAlign w:val="center"/>
          </w:tcPr>
          <w:p w14:paraId="289F3F89"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中信理财之共赢智信汇率挂钩人民币结构性存款</w:t>
            </w:r>
            <w:r>
              <w:rPr>
                <w:rFonts w:ascii="Times New Roman" w:hAnsi="Times New Roman"/>
                <w:color w:val="000000"/>
                <w:sz w:val="21"/>
                <w:szCs w:val="21"/>
              </w:rPr>
              <w:t>13938</w:t>
            </w:r>
            <w:r>
              <w:rPr>
                <w:rFonts w:ascii="Times New Roman" w:hAnsi="Times New Roman"/>
                <w:color w:val="000000"/>
                <w:sz w:val="21"/>
                <w:szCs w:val="21"/>
              </w:rPr>
              <w:t>期</w:t>
            </w:r>
          </w:p>
        </w:tc>
        <w:tc>
          <w:tcPr>
            <w:tcW w:w="1843" w:type="dxa"/>
            <w:vAlign w:val="center"/>
          </w:tcPr>
          <w:p w14:paraId="00553541"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R1</w:t>
            </w:r>
            <w:r>
              <w:rPr>
                <w:rFonts w:ascii="Times New Roman" w:hAnsi="Times New Roman"/>
                <w:sz w:val="21"/>
                <w:szCs w:val="21"/>
              </w:rPr>
              <w:t>（谨慎型）</w:t>
            </w:r>
          </w:p>
        </w:tc>
        <w:tc>
          <w:tcPr>
            <w:tcW w:w="1383" w:type="dxa"/>
            <w:vAlign w:val="center"/>
          </w:tcPr>
          <w:p w14:paraId="5FE8A0DB"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2023/3/1</w:t>
            </w:r>
          </w:p>
        </w:tc>
        <w:tc>
          <w:tcPr>
            <w:tcW w:w="1536" w:type="dxa"/>
            <w:vAlign w:val="center"/>
          </w:tcPr>
          <w:p w14:paraId="7A6FCBC5"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2.60%</w:t>
            </w:r>
          </w:p>
        </w:tc>
        <w:tc>
          <w:tcPr>
            <w:tcW w:w="1137" w:type="dxa"/>
            <w:vAlign w:val="center"/>
          </w:tcPr>
          <w:p w14:paraId="2DE94778"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950.00</w:t>
            </w:r>
          </w:p>
        </w:tc>
      </w:tr>
      <w:tr w:rsidR="008D76D6" w14:paraId="1B623A0B" w14:textId="77777777">
        <w:trPr>
          <w:trHeight w:val="397"/>
          <w:jc w:val="center"/>
        </w:trPr>
        <w:tc>
          <w:tcPr>
            <w:tcW w:w="675" w:type="dxa"/>
            <w:vAlign w:val="center"/>
          </w:tcPr>
          <w:p w14:paraId="43A5C07C"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12</w:t>
            </w:r>
          </w:p>
        </w:tc>
        <w:tc>
          <w:tcPr>
            <w:tcW w:w="2668" w:type="dxa"/>
            <w:vAlign w:val="center"/>
          </w:tcPr>
          <w:p w14:paraId="48D62CA3"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中国民生银行对公大额存单</w:t>
            </w:r>
            <w:r>
              <w:rPr>
                <w:rFonts w:ascii="Times New Roman" w:hAnsi="Times New Roman"/>
                <w:color w:val="000000"/>
                <w:sz w:val="21"/>
                <w:szCs w:val="21"/>
              </w:rPr>
              <w:t>FGG2301A02</w:t>
            </w:r>
          </w:p>
        </w:tc>
        <w:tc>
          <w:tcPr>
            <w:tcW w:w="1843" w:type="dxa"/>
            <w:vAlign w:val="center"/>
          </w:tcPr>
          <w:p w14:paraId="5B7B5004"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R1</w:t>
            </w:r>
            <w:r>
              <w:rPr>
                <w:rFonts w:ascii="Times New Roman" w:hAnsi="Times New Roman"/>
                <w:sz w:val="21"/>
                <w:szCs w:val="21"/>
              </w:rPr>
              <w:t>（谨慎型）</w:t>
            </w:r>
          </w:p>
        </w:tc>
        <w:tc>
          <w:tcPr>
            <w:tcW w:w="1383" w:type="dxa"/>
            <w:vAlign w:val="center"/>
          </w:tcPr>
          <w:p w14:paraId="24B98B63"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2023/3/2</w:t>
            </w:r>
          </w:p>
        </w:tc>
        <w:tc>
          <w:tcPr>
            <w:tcW w:w="1536" w:type="dxa"/>
            <w:vAlign w:val="center"/>
          </w:tcPr>
          <w:p w14:paraId="7D2517F3"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2.7%</w:t>
            </w:r>
          </w:p>
        </w:tc>
        <w:tc>
          <w:tcPr>
            <w:tcW w:w="1137" w:type="dxa"/>
            <w:vAlign w:val="center"/>
          </w:tcPr>
          <w:p w14:paraId="1314ADF5"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1,000.00</w:t>
            </w:r>
          </w:p>
        </w:tc>
      </w:tr>
      <w:tr w:rsidR="008D76D6" w14:paraId="6A9B8F2F" w14:textId="77777777">
        <w:trPr>
          <w:trHeight w:val="397"/>
          <w:jc w:val="center"/>
        </w:trPr>
        <w:tc>
          <w:tcPr>
            <w:tcW w:w="675" w:type="dxa"/>
            <w:vAlign w:val="center"/>
          </w:tcPr>
          <w:p w14:paraId="225967A7"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13</w:t>
            </w:r>
          </w:p>
        </w:tc>
        <w:tc>
          <w:tcPr>
            <w:tcW w:w="2668" w:type="dxa"/>
            <w:vAlign w:val="center"/>
          </w:tcPr>
          <w:p w14:paraId="5AEA3939"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招商银行点金系列看涨两层区间</w:t>
            </w:r>
            <w:r>
              <w:rPr>
                <w:rFonts w:ascii="Times New Roman" w:hAnsi="Times New Roman"/>
                <w:color w:val="000000"/>
                <w:sz w:val="21"/>
                <w:szCs w:val="21"/>
              </w:rPr>
              <w:t>92</w:t>
            </w:r>
            <w:r>
              <w:rPr>
                <w:rFonts w:ascii="Times New Roman" w:hAnsi="Times New Roman"/>
                <w:color w:val="000000"/>
                <w:sz w:val="21"/>
                <w:szCs w:val="21"/>
              </w:rPr>
              <w:t>天结构性存款产品</w:t>
            </w:r>
          </w:p>
        </w:tc>
        <w:tc>
          <w:tcPr>
            <w:tcW w:w="1843" w:type="dxa"/>
            <w:vAlign w:val="center"/>
          </w:tcPr>
          <w:p w14:paraId="66A22B74"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R1</w:t>
            </w:r>
            <w:r>
              <w:rPr>
                <w:rFonts w:ascii="Times New Roman" w:hAnsi="Times New Roman"/>
                <w:sz w:val="21"/>
                <w:szCs w:val="21"/>
              </w:rPr>
              <w:t>（谨慎型）</w:t>
            </w:r>
          </w:p>
        </w:tc>
        <w:tc>
          <w:tcPr>
            <w:tcW w:w="1383" w:type="dxa"/>
            <w:vAlign w:val="center"/>
          </w:tcPr>
          <w:p w14:paraId="7669E29F"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2023/3/30</w:t>
            </w:r>
          </w:p>
        </w:tc>
        <w:tc>
          <w:tcPr>
            <w:tcW w:w="1536" w:type="dxa"/>
            <w:vAlign w:val="center"/>
          </w:tcPr>
          <w:p w14:paraId="5727D3AA"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1.65%-2.85%</w:t>
            </w:r>
          </w:p>
        </w:tc>
        <w:tc>
          <w:tcPr>
            <w:tcW w:w="1137" w:type="dxa"/>
            <w:vAlign w:val="center"/>
          </w:tcPr>
          <w:p w14:paraId="2DEFFBCC"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4,000.00</w:t>
            </w:r>
          </w:p>
        </w:tc>
      </w:tr>
      <w:tr w:rsidR="008D76D6" w14:paraId="7967D369" w14:textId="77777777">
        <w:trPr>
          <w:trHeight w:val="397"/>
          <w:jc w:val="center"/>
        </w:trPr>
        <w:tc>
          <w:tcPr>
            <w:tcW w:w="675" w:type="dxa"/>
            <w:vAlign w:val="center"/>
          </w:tcPr>
          <w:p w14:paraId="6CD0E240"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14</w:t>
            </w:r>
          </w:p>
        </w:tc>
        <w:tc>
          <w:tcPr>
            <w:tcW w:w="2668" w:type="dxa"/>
            <w:vAlign w:val="center"/>
          </w:tcPr>
          <w:p w14:paraId="2484ABD6"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平安银行对公结构性存款（</w:t>
            </w:r>
            <w:r>
              <w:rPr>
                <w:rFonts w:ascii="Times New Roman" w:hAnsi="Times New Roman"/>
                <w:color w:val="000000"/>
                <w:sz w:val="21"/>
                <w:szCs w:val="21"/>
              </w:rPr>
              <w:t>100%</w:t>
            </w:r>
            <w:r>
              <w:rPr>
                <w:rFonts w:ascii="Times New Roman" w:hAnsi="Times New Roman"/>
                <w:color w:val="000000"/>
                <w:sz w:val="21"/>
                <w:szCs w:val="21"/>
              </w:rPr>
              <w:t>保本挂钩指数）产品</w:t>
            </w:r>
          </w:p>
        </w:tc>
        <w:tc>
          <w:tcPr>
            <w:tcW w:w="1843" w:type="dxa"/>
            <w:vAlign w:val="center"/>
          </w:tcPr>
          <w:p w14:paraId="10C0EA84"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R2</w:t>
            </w:r>
            <w:r>
              <w:rPr>
                <w:rFonts w:ascii="Times New Roman" w:hAnsi="Times New Roman"/>
                <w:sz w:val="21"/>
                <w:szCs w:val="21"/>
              </w:rPr>
              <w:t>（稳健型）</w:t>
            </w:r>
          </w:p>
        </w:tc>
        <w:tc>
          <w:tcPr>
            <w:tcW w:w="1383" w:type="dxa"/>
            <w:vAlign w:val="center"/>
          </w:tcPr>
          <w:p w14:paraId="53F17F27"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2023/3/30</w:t>
            </w:r>
          </w:p>
        </w:tc>
        <w:tc>
          <w:tcPr>
            <w:tcW w:w="1536" w:type="dxa"/>
            <w:vAlign w:val="center"/>
          </w:tcPr>
          <w:p w14:paraId="72A7D3A8"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1.95%-3.00%</w:t>
            </w:r>
          </w:p>
        </w:tc>
        <w:tc>
          <w:tcPr>
            <w:tcW w:w="1137" w:type="dxa"/>
            <w:vAlign w:val="center"/>
          </w:tcPr>
          <w:p w14:paraId="2B6FC1BA"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4,000.00</w:t>
            </w:r>
          </w:p>
        </w:tc>
      </w:tr>
      <w:tr w:rsidR="008D76D6" w14:paraId="24BF15CD" w14:textId="77777777">
        <w:trPr>
          <w:trHeight w:val="397"/>
          <w:jc w:val="center"/>
        </w:trPr>
        <w:tc>
          <w:tcPr>
            <w:tcW w:w="675" w:type="dxa"/>
            <w:vAlign w:val="center"/>
          </w:tcPr>
          <w:p w14:paraId="1F2650FE"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15</w:t>
            </w:r>
          </w:p>
        </w:tc>
        <w:tc>
          <w:tcPr>
            <w:tcW w:w="2668" w:type="dxa"/>
            <w:vAlign w:val="center"/>
          </w:tcPr>
          <w:p w14:paraId="1BFDDED7"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东证融汇汇鑫</w:t>
            </w:r>
            <w:r>
              <w:rPr>
                <w:rFonts w:ascii="Times New Roman" w:hAnsi="Times New Roman"/>
                <w:color w:val="000000"/>
                <w:sz w:val="21"/>
                <w:szCs w:val="21"/>
              </w:rPr>
              <w:t>6M3</w:t>
            </w:r>
            <w:r>
              <w:rPr>
                <w:rFonts w:ascii="Times New Roman" w:hAnsi="Times New Roman"/>
                <w:color w:val="000000"/>
                <w:sz w:val="21"/>
                <w:szCs w:val="21"/>
              </w:rPr>
              <w:t>号集合资产管理计划</w:t>
            </w:r>
          </w:p>
        </w:tc>
        <w:tc>
          <w:tcPr>
            <w:tcW w:w="1843" w:type="dxa"/>
            <w:vAlign w:val="center"/>
          </w:tcPr>
          <w:p w14:paraId="755AAB47"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R2</w:t>
            </w:r>
            <w:r>
              <w:rPr>
                <w:rFonts w:ascii="Times New Roman" w:hAnsi="Times New Roman"/>
                <w:sz w:val="21"/>
                <w:szCs w:val="21"/>
              </w:rPr>
              <w:t>（稳健型）</w:t>
            </w:r>
          </w:p>
        </w:tc>
        <w:tc>
          <w:tcPr>
            <w:tcW w:w="1383" w:type="dxa"/>
            <w:vAlign w:val="center"/>
          </w:tcPr>
          <w:p w14:paraId="3269C671"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2023/4/25</w:t>
            </w:r>
          </w:p>
        </w:tc>
        <w:tc>
          <w:tcPr>
            <w:tcW w:w="1536" w:type="dxa"/>
            <w:vAlign w:val="center"/>
          </w:tcPr>
          <w:p w14:paraId="1EEEBC70"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4.60%</w:t>
            </w:r>
          </w:p>
        </w:tc>
        <w:tc>
          <w:tcPr>
            <w:tcW w:w="1137" w:type="dxa"/>
            <w:vAlign w:val="center"/>
          </w:tcPr>
          <w:p w14:paraId="47BFD0EE"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1,000.00</w:t>
            </w:r>
          </w:p>
        </w:tc>
      </w:tr>
      <w:tr w:rsidR="008D76D6" w14:paraId="1BE366F3" w14:textId="77777777">
        <w:trPr>
          <w:trHeight w:val="397"/>
          <w:jc w:val="center"/>
        </w:trPr>
        <w:tc>
          <w:tcPr>
            <w:tcW w:w="675" w:type="dxa"/>
            <w:vAlign w:val="center"/>
          </w:tcPr>
          <w:p w14:paraId="51B41D0F"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16</w:t>
            </w:r>
          </w:p>
        </w:tc>
        <w:tc>
          <w:tcPr>
            <w:tcW w:w="2668" w:type="dxa"/>
            <w:vAlign w:val="center"/>
          </w:tcPr>
          <w:p w14:paraId="05CB9C26"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招商银行点金系列看涨两层区间结构性存款</w:t>
            </w:r>
            <w:r>
              <w:rPr>
                <w:rFonts w:ascii="Times New Roman" w:hAnsi="Times New Roman"/>
                <w:color w:val="000000"/>
                <w:sz w:val="21"/>
                <w:szCs w:val="21"/>
              </w:rPr>
              <w:t>NQD00544</w:t>
            </w:r>
          </w:p>
        </w:tc>
        <w:tc>
          <w:tcPr>
            <w:tcW w:w="1843" w:type="dxa"/>
            <w:vAlign w:val="center"/>
          </w:tcPr>
          <w:p w14:paraId="6F320D28"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R1</w:t>
            </w:r>
            <w:r>
              <w:rPr>
                <w:rFonts w:ascii="Times New Roman" w:hAnsi="Times New Roman"/>
                <w:sz w:val="21"/>
                <w:szCs w:val="21"/>
              </w:rPr>
              <w:t>（谨慎型）</w:t>
            </w:r>
          </w:p>
        </w:tc>
        <w:tc>
          <w:tcPr>
            <w:tcW w:w="1383" w:type="dxa"/>
            <w:vAlign w:val="center"/>
          </w:tcPr>
          <w:p w14:paraId="6E2FAFF0"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2023/6/6</w:t>
            </w:r>
          </w:p>
        </w:tc>
        <w:tc>
          <w:tcPr>
            <w:tcW w:w="1536" w:type="dxa"/>
            <w:vAlign w:val="center"/>
          </w:tcPr>
          <w:p w14:paraId="367D867F"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eastAsia="等线" w:hAnsi="Times New Roman"/>
                <w:color w:val="000000"/>
                <w:sz w:val="21"/>
                <w:szCs w:val="21"/>
              </w:rPr>
              <w:t>1.65%</w:t>
            </w:r>
            <w:r>
              <w:rPr>
                <w:rFonts w:ascii="Times New Roman" w:hAnsi="Times New Roman"/>
                <w:color w:val="000000"/>
                <w:sz w:val="21"/>
                <w:szCs w:val="21"/>
              </w:rPr>
              <w:t>-</w:t>
            </w:r>
            <w:r>
              <w:rPr>
                <w:rFonts w:ascii="Times New Roman" w:eastAsia="等线" w:hAnsi="Times New Roman"/>
                <w:color w:val="000000"/>
                <w:sz w:val="21"/>
                <w:szCs w:val="21"/>
              </w:rPr>
              <w:t>2.85%</w:t>
            </w:r>
          </w:p>
        </w:tc>
        <w:tc>
          <w:tcPr>
            <w:tcW w:w="1137" w:type="dxa"/>
            <w:vAlign w:val="center"/>
          </w:tcPr>
          <w:p w14:paraId="089D76CE"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3,500.00</w:t>
            </w:r>
          </w:p>
        </w:tc>
      </w:tr>
      <w:tr w:rsidR="008D76D6" w14:paraId="2499A496" w14:textId="77777777">
        <w:trPr>
          <w:trHeight w:val="397"/>
          <w:jc w:val="center"/>
        </w:trPr>
        <w:tc>
          <w:tcPr>
            <w:tcW w:w="675" w:type="dxa"/>
            <w:vAlign w:val="center"/>
          </w:tcPr>
          <w:p w14:paraId="7DF12EE6"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kern w:val="0"/>
                <w:sz w:val="21"/>
                <w:szCs w:val="21"/>
              </w:rPr>
              <w:t>17</w:t>
            </w:r>
          </w:p>
        </w:tc>
        <w:tc>
          <w:tcPr>
            <w:tcW w:w="2668" w:type="dxa"/>
            <w:vAlign w:val="center"/>
          </w:tcPr>
          <w:p w14:paraId="28A1175B"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平安银行对公结构性存款（</w:t>
            </w:r>
            <w:r>
              <w:rPr>
                <w:rFonts w:ascii="Times New Roman" w:hAnsi="Times New Roman"/>
                <w:color w:val="000000"/>
                <w:sz w:val="21"/>
                <w:szCs w:val="21"/>
              </w:rPr>
              <w:t>100%</w:t>
            </w:r>
            <w:r>
              <w:rPr>
                <w:rFonts w:ascii="Times New Roman" w:hAnsi="Times New Roman"/>
                <w:color w:val="000000"/>
                <w:sz w:val="21"/>
                <w:szCs w:val="21"/>
              </w:rPr>
              <w:t>保本挂钩指数）</w:t>
            </w:r>
            <w:r>
              <w:rPr>
                <w:rFonts w:ascii="Times New Roman" w:hAnsi="Times New Roman"/>
                <w:color w:val="000000"/>
                <w:sz w:val="21"/>
                <w:szCs w:val="21"/>
              </w:rPr>
              <w:t>2023</w:t>
            </w:r>
            <w:r>
              <w:rPr>
                <w:rFonts w:ascii="Times New Roman" w:hAnsi="Times New Roman"/>
                <w:color w:val="000000"/>
                <w:sz w:val="21"/>
                <w:szCs w:val="21"/>
              </w:rPr>
              <w:t>年</w:t>
            </w:r>
            <w:r>
              <w:rPr>
                <w:rFonts w:ascii="Times New Roman" w:hAnsi="Times New Roman"/>
                <w:color w:val="000000"/>
                <w:sz w:val="21"/>
                <w:szCs w:val="21"/>
              </w:rPr>
              <w:t>TGG23100368</w:t>
            </w:r>
            <w:r>
              <w:rPr>
                <w:rFonts w:ascii="Times New Roman" w:hAnsi="Times New Roman"/>
                <w:color w:val="000000"/>
                <w:sz w:val="21"/>
                <w:szCs w:val="21"/>
              </w:rPr>
              <w:t>期人民币产品</w:t>
            </w:r>
          </w:p>
        </w:tc>
        <w:tc>
          <w:tcPr>
            <w:tcW w:w="1843" w:type="dxa"/>
            <w:vAlign w:val="center"/>
          </w:tcPr>
          <w:p w14:paraId="4709C3D1"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R2</w:t>
            </w:r>
            <w:r>
              <w:rPr>
                <w:rFonts w:ascii="Times New Roman" w:hAnsi="Times New Roman"/>
                <w:sz w:val="21"/>
                <w:szCs w:val="21"/>
              </w:rPr>
              <w:t>（稳健型）</w:t>
            </w:r>
          </w:p>
        </w:tc>
        <w:tc>
          <w:tcPr>
            <w:tcW w:w="1383" w:type="dxa"/>
            <w:vAlign w:val="center"/>
          </w:tcPr>
          <w:p w14:paraId="5CAA06E2"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2023/6/7</w:t>
            </w:r>
          </w:p>
        </w:tc>
        <w:tc>
          <w:tcPr>
            <w:tcW w:w="1536" w:type="dxa"/>
            <w:vAlign w:val="center"/>
          </w:tcPr>
          <w:p w14:paraId="01D703C4"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1.95%-2.90%</w:t>
            </w:r>
          </w:p>
        </w:tc>
        <w:tc>
          <w:tcPr>
            <w:tcW w:w="1137" w:type="dxa"/>
            <w:vAlign w:val="center"/>
          </w:tcPr>
          <w:p w14:paraId="30B82CC1"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3,000.00</w:t>
            </w:r>
          </w:p>
        </w:tc>
      </w:tr>
      <w:tr w:rsidR="008D76D6" w14:paraId="054907FD" w14:textId="77777777">
        <w:trPr>
          <w:trHeight w:val="397"/>
          <w:jc w:val="center"/>
        </w:trPr>
        <w:tc>
          <w:tcPr>
            <w:tcW w:w="675" w:type="dxa"/>
            <w:vAlign w:val="center"/>
          </w:tcPr>
          <w:p w14:paraId="354BC903"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kern w:val="0"/>
                <w:sz w:val="21"/>
                <w:szCs w:val="21"/>
              </w:rPr>
              <w:t>18</w:t>
            </w:r>
          </w:p>
        </w:tc>
        <w:tc>
          <w:tcPr>
            <w:tcW w:w="2668" w:type="dxa"/>
            <w:vAlign w:val="center"/>
          </w:tcPr>
          <w:p w14:paraId="376B4C9C"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中信证券信信向荣</w:t>
            </w:r>
            <w:r>
              <w:rPr>
                <w:rFonts w:ascii="Times New Roman" w:hAnsi="Times New Roman"/>
                <w:color w:val="000000"/>
                <w:sz w:val="21"/>
                <w:szCs w:val="21"/>
              </w:rPr>
              <w:t>1</w:t>
            </w:r>
            <w:r>
              <w:rPr>
                <w:rFonts w:ascii="Times New Roman" w:hAnsi="Times New Roman"/>
                <w:color w:val="000000"/>
                <w:sz w:val="21"/>
                <w:szCs w:val="21"/>
              </w:rPr>
              <w:t>号集合资产管理计划</w:t>
            </w:r>
          </w:p>
        </w:tc>
        <w:tc>
          <w:tcPr>
            <w:tcW w:w="1843" w:type="dxa"/>
            <w:vAlign w:val="center"/>
          </w:tcPr>
          <w:p w14:paraId="2A66D251"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R3</w:t>
            </w:r>
            <w:r>
              <w:rPr>
                <w:rFonts w:ascii="Times New Roman" w:hAnsi="Times New Roman"/>
                <w:sz w:val="21"/>
                <w:szCs w:val="21"/>
              </w:rPr>
              <w:t>（中风险）</w:t>
            </w:r>
          </w:p>
        </w:tc>
        <w:tc>
          <w:tcPr>
            <w:tcW w:w="1383" w:type="dxa"/>
            <w:vAlign w:val="center"/>
          </w:tcPr>
          <w:p w14:paraId="459F3881"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kern w:val="0"/>
                <w:sz w:val="21"/>
                <w:szCs w:val="21"/>
              </w:rPr>
              <w:t>2022/7/12</w:t>
            </w:r>
            <w:r>
              <w:rPr>
                <w:rFonts w:ascii="Times New Roman" w:hAnsi="Times New Roman"/>
                <w:kern w:val="0"/>
                <w:sz w:val="21"/>
                <w:szCs w:val="21"/>
              </w:rPr>
              <w:t>，并于</w:t>
            </w:r>
            <w:r>
              <w:rPr>
                <w:rFonts w:ascii="Times New Roman" w:hAnsi="Times New Roman"/>
                <w:kern w:val="0"/>
                <w:sz w:val="21"/>
                <w:szCs w:val="21"/>
              </w:rPr>
              <w:t>2023/7/12</w:t>
            </w:r>
            <w:r>
              <w:rPr>
                <w:rFonts w:ascii="Times New Roman" w:hAnsi="Times New Roman"/>
                <w:kern w:val="0"/>
                <w:sz w:val="21"/>
                <w:szCs w:val="21"/>
              </w:rPr>
              <w:t>自动滚存</w:t>
            </w:r>
          </w:p>
        </w:tc>
        <w:tc>
          <w:tcPr>
            <w:tcW w:w="1536" w:type="dxa"/>
            <w:vAlign w:val="center"/>
          </w:tcPr>
          <w:p w14:paraId="084786DB"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4.00%</w:t>
            </w:r>
          </w:p>
        </w:tc>
        <w:tc>
          <w:tcPr>
            <w:tcW w:w="1137" w:type="dxa"/>
            <w:vAlign w:val="center"/>
          </w:tcPr>
          <w:p w14:paraId="3B0D38CE"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1,000.00</w:t>
            </w:r>
          </w:p>
        </w:tc>
      </w:tr>
      <w:tr w:rsidR="008D76D6" w14:paraId="5D7F5342" w14:textId="77777777">
        <w:trPr>
          <w:trHeight w:val="397"/>
          <w:jc w:val="center"/>
        </w:trPr>
        <w:tc>
          <w:tcPr>
            <w:tcW w:w="675" w:type="dxa"/>
            <w:vAlign w:val="center"/>
          </w:tcPr>
          <w:p w14:paraId="5DC41D85"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kern w:val="0"/>
                <w:sz w:val="21"/>
                <w:szCs w:val="21"/>
              </w:rPr>
              <w:t>19</w:t>
            </w:r>
          </w:p>
        </w:tc>
        <w:tc>
          <w:tcPr>
            <w:tcW w:w="2668" w:type="dxa"/>
            <w:vAlign w:val="center"/>
          </w:tcPr>
          <w:p w14:paraId="47AD6264"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平安银行对公结构性存款（</w:t>
            </w:r>
            <w:r>
              <w:rPr>
                <w:rFonts w:ascii="Times New Roman" w:hAnsi="Times New Roman"/>
                <w:color w:val="000000"/>
                <w:sz w:val="21"/>
                <w:szCs w:val="21"/>
              </w:rPr>
              <w:t>100%</w:t>
            </w:r>
            <w:r>
              <w:rPr>
                <w:rFonts w:ascii="Times New Roman" w:hAnsi="Times New Roman"/>
                <w:color w:val="000000"/>
                <w:sz w:val="21"/>
                <w:szCs w:val="21"/>
              </w:rPr>
              <w:t>保本挂钩黄金）</w:t>
            </w:r>
            <w:r>
              <w:rPr>
                <w:rFonts w:ascii="Times New Roman" w:hAnsi="Times New Roman"/>
                <w:color w:val="000000"/>
                <w:sz w:val="21"/>
                <w:szCs w:val="21"/>
              </w:rPr>
              <w:t>TGG23200830</w:t>
            </w:r>
            <w:r>
              <w:rPr>
                <w:rFonts w:ascii="Times New Roman" w:hAnsi="Times New Roman"/>
                <w:color w:val="000000"/>
                <w:sz w:val="21"/>
                <w:szCs w:val="21"/>
              </w:rPr>
              <w:t>期产品</w:t>
            </w:r>
          </w:p>
        </w:tc>
        <w:tc>
          <w:tcPr>
            <w:tcW w:w="1843" w:type="dxa"/>
            <w:vAlign w:val="center"/>
          </w:tcPr>
          <w:p w14:paraId="61A45F75"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R2</w:t>
            </w:r>
            <w:r>
              <w:rPr>
                <w:rFonts w:ascii="Times New Roman" w:hAnsi="Times New Roman"/>
                <w:sz w:val="21"/>
                <w:szCs w:val="21"/>
              </w:rPr>
              <w:t>（稳健型）</w:t>
            </w:r>
          </w:p>
        </w:tc>
        <w:tc>
          <w:tcPr>
            <w:tcW w:w="1383" w:type="dxa"/>
            <w:vAlign w:val="center"/>
          </w:tcPr>
          <w:p w14:paraId="79EEF021"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2023/7/26</w:t>
            </w:r>
          </w:p>
        </w:tc>
        <w:tc>
          <w:tcPr>
            <w:tcW w:w="1536" w:type="dxa"/>
            <w:vAlign w:val="center"/>
          </w:tcPr>
          <w:p w14:paraId="5E7F2004"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1.75%-2.97%</w:t>
            </w:r>
          </w:p>
        </w:tc>
        <w:tc>
          <w:tcPr>
            <w:tcW w:w="1137" w:type="dxa"/>
            <w:vAlign w:val="center"/>
          </w:tcPr>
          <w:p w14:paraId="4DFC275F"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4,000.00</w:t>
            </w:r>
          </w:p>
        </w:tc>
      </w:tr>
      <w:tr w:rsidR="008D76D6" w14:paraId="752DC068" w14:textId="77777777">
        <w:trPr>
          <w:trHeight w:val="397"/>
          <w:jc w:val="center"/>
        </w:trPr>
        <w:tc>
          <w:tcPr>
            <w:tcW w:w="675" w:type="dxa"/>
            <w:vAlign w:val="center"/>
          </w:tcPr>
          <w:p w14:paraId="78A9EC75"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kern w:val="0"/>
                <w:sz w:val="21"/>
                <w:szCs w:val="21"/>
              </w:rPr>
              <w:t>20</w:t>
            </w:r>
          </w:p>
        </w:tc>
        <w:tc>
          <w:tcPr>
            <w:tcW w:w="2668" w:type="dxa"/>
            <w:vAlign w:val="center"/>
          </w:tcPr>
          <w:p w14:paraId="29E12A68"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平安银行对公结构性存款（</w:t>
            </w:r>
            <w:r>
              <w:rPr>
                <w:rFonts w:ascii="Times New Roman" w:hAnsi="Times New Roman"/>
                <w:sz w:val="21"/>
                <w:szCs w:val="21"/>
              </w:rPr>
              <w:t>100%</w:t>
            </w:r>
            <w:r>
              <w:rPr>
                <w:rFonts w:ascii="Times New Roman" w:hAnsi="Times New Roman"/>
                <w:sz w:val="21"/>
                <w:szCs w:val="21"/>
              </w:rPr>
              <w:t>保本挂钩指数）</w:t>
            </w:r>
            <w:r>
              <w:rPr>
                <w:rFonts w:ascii="Times New Roman" w:hAnsi="Times New Roman"/>
                <w:sz w:val="21"/>
                <w:szCs w:val="21"/>
              </w:rPr>
              <w:t>2023</w:t>
            </w:r>
            <w:r>
              <w:rPr>
                <w:rFonts w:ascii="Times New Roman" w:hAnsi="Times New Roman"/>
                <w:sz w:val="21"/>
                <w:szCs w:val="21"/>
              </w:rPr>
              <w:t>年</w:t>
            </w:r>
            <w:r>
              <w:rPr>
                <w:rFonts w:ascii="Times New Roman" w:hAnsi="Times New Roman"/>
                <w:sz w:val="21"/>
                <w:szCs w:val="21"/>
              </w:rPr>
              <w:t>TGG23100630</w:t>
            </w:r>
            <w:r>
              <w:rPr>
                <w:rFonts w:ascii="Times New Roman" w:hAnsi="Times New Roman"/>
                <w:sz w:val="21"/>
                <w:szCs w:val="21"/>
              </w:rPr>
              <w:t>期人民币产品</w:t>
            </w:r>
          </w:p>
        </w:tc>
        <w:tc>
          <w:tcPr>
            <w:tcW w:w="1843" w:type="dxa"/>
            <w:vAlign w:val="center"/>
          </w:tcPr>
          <w:p w14:paraId="3E24B2D2"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R2</w:t>
            </w:r>
            <w:r>
              <w:rPr>
                <w:rFonts w:ascii="Times New Roman" w:hAnsi="Times New Roman"/>
                <w:color w:val="000000"/>
                <w:sz w:val="21"/>
                <w:szCs w:val="21"/>
              </w:rPr>
              <w:t>（稳健型）</w:t>
            </w:r>
          </w:p>
        </w:tc>
        <w:tc>
          <w:tcPr>
            <w:tcW w:w="1383" w:type="dxa"/>
            <w:vAlign w:val="center"/>
          </w:tcPr>
          <w:p w14:paraId="20ECF05E"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2023/9/8</w:t>
            </w:r>
          </w:p>
        </w:tc>
        <w:tc>
          <w:tcPr>
            <w:tcW w:w="1536" w:type="dxa"/>
            <w:vAlign w:val="center"/>
          </w:tcPr>
          <w:p w14:paraId="3CCE03F7"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1.75%-2.72%</w:t>
            </w:r>
          </w:p>
        </w:tc>
        <w:tc>
          <w:tcPr>
            <w:tcW w:w="1137" w:type="dxa"/>
            <w:vAlign w:val="center"/>
          </w:tcPr>
          <w:p w14:paraId="467AEEF3"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4,000.00</w:t>
            </w:r>
          </w:p>
        </w:tc>
      </w:tr>
      <w:tr w:rsidR="008D76D6" w14:paraId="28B1CE97" w14:textId="77777777">
        <w:trPr>
          <w:trHeight w:val="397"/>
          <w:jc w:val="center"/>
        </w:trPr>
        <w:tc>
          <w:tcPr>
            <w:tcW w:w="675" w:type="dxa"/>
            <w:vAlign w:val="center"/>
          </w:tcPr>
          <w:p w14:paraId="773B57B4"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kern w:val="0"/>
                <w:sz w:val="21"/>
                <w:szCs w:val="21"/>
              </w:rPr>
              <w:t>21</w:t>
            </w:r>
          </w:p>
        </w:tc>
        <w:tc>
          <w:tcPr>
            <w:tcW w:w="2668" w:type="dxa"/>
            <w:vAlign w:val="center"/>
          </w:tcPr>
          <w:p w14:paraId="3AA09365"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共赢慧信汇率挂钩人民币结构性存款</w:t>
            </w:r>
            <w:r>
              <w:rPr>
                <w:rFonts w:ascii="Times New Roman" w:hAnsi="Times New Roman"/>
                <w:sz w:val="21"/>
                <w:szCs w:val="21"/>
              </w:rPr>
              <w:t>00246</w:t>
            </w:r>
            <w:r>
              <w:rPr>
                <w:rFonts w:ascii="Times New Roman" w:hAnsi="Times New Roman"/>
                <w:sz w:val="21"/>
                <w:szCs w:val="21"/>
              </w:rPr>
              <w:t>期</w:t>
            </w:r>
          </w:p>
        </w:tc>
        <w:tc>
          <w:tcPr>
            <w:tcW w:w="1843" w:type="dxa"/>
            <w:vAlign w:val="center"/>
          </w:tcPr>
          <w:p w14:paraId="3D435F09"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R1</w:t>
            </w:r>
            <w:r>
              <w:rPr>
                <w:rFonts w:ascii="Times New Roman" w:hAnsi="Times New Roman"/>
                <w:sz w:val="21"/>
                <w:szCs w:val="21"/>
              </w:rPr>
              <w:t>（谨慎型）</w:t>
            </w:r>
          </w:p>
        </w:tc>
        <w:tc>
          <w:tcPr>
            <w:tcW w:w="1383" w:type="dxa"/>
            <w:vAlign w:val="center"/>
          </w:tcPr>
          <w:p w14:paraId="5CA1B1D6"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2023/9/16</w:t>
            </w:r>
          </w:p>
        </w:tc>
        <w:tc>
          <w:tcPr>
            <w:tcW w:w="1536" w:type="dxa"/>
            <w:vAlign w:val="center"/>
          </w:tcPr>
          <w:p w14:paraId="42304937"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1.05%-2.75%</w:t>
            </w:r>
          </w:p>
        </w:tc>
        <w:tc>
          <w:tcPr>
            <w:tcW w:w="1137" w:type="dxa"/>
            <w:vAlign w:val="center"/>
          </w:tcPr>
          <w:p w14:paraId="5175A117"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970.00</w:t>
            </w:r>
          </w:p>
        </w:tc>
      </w:tr>
      <w:tr w:rsidR="008D76D6" w14:paraId="4504BEF9" w14:textId="77777777">
        <w:trPr>
          <w:trHeight w:val="397"/>
          <w:jc w:val="center"/>
        </w:trPr>
        <w:tc>
          <w:tcPr>
            <w:tcW w:w="675" w:type="dxa"/>
            <w:vAlign w:val="center"/>
          </w:tcPr>
          <w:p w14:paraId="484F4B86"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kern w:val="0"/>
                <w:sz w:val="21"/>
                <w:szCs w:val="21"/>
              </w:rPr>
              <w:t>22</w:t>
            </w:r>
          </w:p>
        </w:tc>
        <w:tc>
          <w:tcPr>
            <w:tcW w:w="2668" w:type="dxa"/>
            <w:vAlign w:val="center"/>
          </w:tcPr>
          <w:p w14:paraId="25113743"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聚赢股票挂钩沪深</w:t>
            </w:r>
            <w:r>
              <w:rPr>
                <w:rFonts w:ascii="Times New Roman" w:hAnsi="Times New Roman"/>
                <w:sz w:val="21"/>
                <w:szCs w:val="21"/>
              </w:rPr>
              <w:t>300</w:t>
            </w:r>
            <w:r>
              <w:rPr>
                <w:rFonts w:ascii="Times New Roman" w:hAnsi="Times New Roman"/>
                <w:sz w:val="21"/>
                <w:szCs w:val="21"/>
              </w:rPr>
              <w:t>指数双向鲨鱼鳍结构性存款</w:t>
            </w:r>
            <w:r>
              <w:rPr>
                <w:rFonts w:ascii="Times New Roman" w:hAnsi="Times New Roman"/>
                <w:sz w:val="21"/>
                <w:szCs w:val="21"/>
              </w:rPr>
              <w:t>SDGA230502V</w:t>
            </w:r>
          </w:p>
        </w:tc>
        <w:tc>
          <w:tcPr>
            <w:tcW w:w="1843" w:type="dxa"/>
            <w:vAlign w:val="center"/>
          </w:tcPr>
          <w:p w14:paraId="2081C82E"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R1</w:t>
            </w:r>
            <w:r>
              <w:rPr>
                <w:rFonts w:ascii="Times New Roman" w:hAnsi="Times New Roman"/>
                <w:sz w:val="21"/>
                <w:szCs w:val="21"/>
              </w:rPr>
              <w:t>（谨慎型）</w:t>
            </w:r>
          </w:p>
        </w:tc>
        <w:tc>
          <w:tcPr>
            <w:tcW w:w="1383" w:type="dxa"/>
            <w:vAlign w:val="center"/>
          </w:tcPr>
          <w:p w14:paraId="2DE94116"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2023/9/22</w:t>
            </w:r>
          </w:p>
        </w:tc>
        <w:tc>
          <w:tcPr>
            <w:tcW w:w="1536" w:type="dxa"/>
            <w:vAlign w:val="center"/>
          </w:tcPr>
          <w:p w14:paraId="6872C18E"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1.55%-2.60%</w:t>
            </w:r>
          </w:p>
        </w:tc>
        <w:tc>
          <w:tcPr>
            <w:tcW w:w="1137" w:type="dxa"/>
            <w:vAlign w:val="center"/>
          </w:tcPr>
          <w:p w14:paraId="15785941"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4,000.00</w:t>
            </w:r>
          </w:p>
        </w:tc>
      </w:tr>
      <w:tr w:rsidR="008D76D6" w14:paraId="5C245A99" w14:textId="77777777">
        <w:trPr>
          <w:trHeight w:val="397"/>
          <w:jc w:val="center"/>
        </w:trPr>
        <w:tc>
          <w:tcPr>
            <w:tcW w:w="675" w:type="dxa"/>
            <w:vAlign w:val="center"/>
          </w:tcPr>
          <w:p w14:paraId="621F1E50"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kern w:val="0"/>
                <w:sz w:val="21"/>
                <w:szCs w:val="21"/>
              </w:rPr>
              <w:t>23</w:t>
            </w:r>
          </w:p>
        </w:tc>
        <w:tc>
          <w:tcPr>
            <w:tcW w:w="2668" w:type="dxa"/>
            <w:vAlign w:val="center"/>
          </w:tcPr>
          <w:p w14:paraId="5EDAC451"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共赢慧信汇率挂钩人民币结构性存款</w:t>
            </w:r>
            <w:r>
              <w:rPr>
                <w:rFonts w:ascii="Times New Roman" w:hAnsi="Times New Roman"/>
                <w:sz w:val="21"/>
                <w:szCs w:val="21"/>
              </w:rPr>
              <w:t>00313</w:t>
            </w:r>
            <w:r>
              <w:rPr>
                <w:rFonts w:ascii="Times New Roman" w:hAnsi="Times New Roman"/>
                <w:sz w:val="21"/>
                <w:szCs w:val="21"/>
              </w:rPr>
              <w:t>期</w:t>
            </w:r>
          </w:p>
        </w:tc>
        <w:tc>
          <w:tcPr>
            <w:tcW w:w="1843" w:type="dxa"/>
            <w:vAlign w:val="center"/>
          </w:tcPr>
          <w:p w14:paraId="09AA4ECA"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R1</w:t>
            </w:r>
            <w:r>
              <w:rPr>
                <w:rFonts w:ascii="Times New Roman" w:hAnsi="Times New Roman"/>
                <w:sz w:val="21"/>
                <w:szCs w:val="21"/>
              </w:rPr>
              <w:t>（谨慎型）</w:t>
            </w:r>
          </w:p>
        </w:tc>
        <w:tc>
          <w:tcPr>
            <w:tcW w:w="1383" w:type="dxa"/>
            <w:vAlign w:val="center"/>
          </w:tcPr>
          <w:p w14:paraId="659D5C6B"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2023/9/23</w:t>
            </w:r>
          </w:p>
        </w:tc>
        <w:tc>
          <w:tcPr>
            <w:tcW w:w="1536" w:type="dxa"/>
            <w:vAlign w:val="center"/>
          </w:tcPr>
          <w:p w14:paraId="60EF682F"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2.35%</w:t>
            </w:r>
          </w:p>
        </w:tc>
        <w:tc>
          <w:tcPr>
            <w:tcW w:w="1137" w:type="dxa"/>
            <w:vAlign w:val="center"/>
          </w:tcPr>
          <w:p w14:paraId="5B7CC1D1"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4,000.00</w:t>
            </w:r>
          </w:p>
        </w:tc>
      </w:tr>
      <w:tr w:rsidR="008D76D6" w14:paraId="30951C6C" w14:textId="77777777">
        <w:trPr>
          <w:trHeight w:val="397"/>
          <w:jc w:val="center"/>
        </w:trPr>
        <w:tc>
          <w:tcPr>
            <w:tcW w:w="675" w:type="dxa"/>
            <w:vAlign w:val="center"/>
          </w:tcPr>
          <w:p w14:paraId="79B47A18"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24</w:t>
            </w:r>
          </w:p>
        </w:tc>
        <w:tc>
          <w:tcPr>
            <w:tcW w:w="2668" w:type="dxa"/>
            <w:vAlign w:val="center"/>
          </w:tcPr>
          <w:p w14:paraId="1BBCD4BF"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招商银行点金系列看跌两层区间</w:t>
            </w:r>
            <w:r>
              <w:rPr>
                <w:rFonts w:ascii="Times New Roman" w:hAnsi="Times New Roman"/>
                <w:color w:val="000000"/>
                <w:sz w:val="21"/>
                <w:szCs w:val="21"/>
              </w:rPr>
              <w:t>94</w:t>
            </w:r>
            <w:r>
              <w:rPr>
                <w:rFonts w:ascii="Times New Roman" w:hAnsi="Times New Roman"/>
                <w:color w:val="000000"/>
                <w:sz w:val="21"/>
                <w:szCs w:val="21"/>
              </w:rPr>
              <w:t>天结构性存款</w:t>
            </w:r>
          </w:p>
        </w:tc>
        <w:tc>
          <w:tcPr>
            <w:tcW w:w="1843" w:type="dxa"/>
            <w:vAlign w:val="center"/>
          </w:tcPr>
          <w:p w14:paraId="363A57C3"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R1</w:t>
            </w:r>
            <w:r>
              <w:rPr>
                <w:rFonts w:ascii="Times New Roman" w:hAnsi="Times New Roman"/>
                <w:sz w:val="21"/>
                <w:szCs w:val="21"/>
              </w:rPr>
              <w:t>（谨慎型）</w:t>
            </w:r>
          </w:p>
        </w:tc>
        <w:tc>
          <w:tcPr>
            <w:tcW w:w="1383" w:type="dxa"/>
            <w:vAlign w:val="center"/>
          </w:tcPr>
          <w:p w14:paraId="7745AC67"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2023/10/13</w:t>
            </w:r>
          </w:p>
        </w:tc>
        <w:tc>
          <w:tcPr>
            <w:tcW w:w="1536" w:type="dxa"/>
            <w:vAlign w:val="center"/>
          </w:tcPr>
          <w:p w14:paraId="46F3E015"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1.65%-2.55%</w:t>
            </w:r>
          </w:p>
        </w:tc>
        <w:tc>
          <w:tcPr>
            <w:tcW w:w="1137" w:type="dxa"/>
            <w:vAlign w:val="center"/>
          </w:tcPr>
          <w:p w14:paraId="14E8586D"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3,600.00</w:t>
            </w:r>
          </w:p>
        </w:tc>
      </w:tr>
      <w:tr w:rsidR="008D76D6" w14:paraId="6B57ADE5" w14:textId="77777777">
        <w:trPr>
          <w:trHeight w:val="397"/>
          <w:jc w:val="center"/>
        </w:trPr>
        <w:tc>
          <w:tcPr>
            <w:tcW w:w="675" w:type="dxa"/>
            <w:vAlign w:val="center"/>
          </w:tcPr>
          <w:p w14:paraId="6370385E"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25</w:t>
            </w:r>
          </w:p>
        </w:tc>
        <w:tc>
          <w:tcPr>
            <w:tcW w:w="2668" w:type="dxa"/>
            <w:vAlign w:val="center"/>
          </w:tcPr>
          <w:p w14:paraId="632F65E2"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共赢慧信汇率挂钩人民币结构性存款</w:t>
            </w:r>
            <w:r>
              <w:rPr>
                <w:rFonts w:ascii="Times New Roman" w:hAnsi="Times New Roman"/>
                <w:color w:val="000000"/>
                <w:sz w:val="21"/>
                <w:szCs w:val="21"/>
              </w:rPr>
              <w:t>00558</w:t>
            </w:r>
            <w:r>
              <w:rPr>
                <w:rFonts w:ascii="Times New Roman" w:hAnsi="Times New Roman"/>
                <w:color w:val="000000"/>
                <w:sz w:val="21"/>
                <w:szCs w:val="21"/>
              </w:rPr>
              <w:t>期</w:t>
            </w:r>
          </w:p>
        </w:tc>
        <w:tc>
          <w:tcPr>
            <w:tcW w:w="1843" w:type="dxa"/>
            <w:vAlign w:val="center"/>
          </w:tcPr>
          <w:p w14:paraId="2C6472FC"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R1</w:t>
            </w:r>
            <w:r>
              <w:rPr>
                <w:rFonts w:ascii="Times New Roman" w:hAnsi="Times New Roman"/>
                <w:sz w:val="21"/>
                <w:szCs w:val="21"/>
              </w:rPr>
              <w:t>（谨慎型）</w:t>
            </w:r>
          </w:p>
        </w:tc>
        <w:tc>
          <w:tcPr>
            <w:tcW w:w="1383" w:type="dxa"/>
            <w:vAlign w:val="center"/>
          </w:tcPr>
          <w:p w14:paraId="249BE5E5"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2023/10/21</w:t>
            </w:r>
          </w:p>
        </w:tc>
        <w:tc>
          <w:tcPr>
            <w:tcW w:w="1536" w:type="dxa"/>
            <w:vAlign w:val="center"/>
          </w:tcPr>
          <w:p w14:paraId="0BCF4C73"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1.05%-2.65%</w:t>
            </w:r>
          </w:p>
        </w:tc>
        <w:tc>
          <w:tcPr>
            <w:tcW w:w="1137" w:type="dxa"/>
            <w:vAlign w:val="center"/>
          </w:tcPr>
          <w:p w14:paraId="2AB48B7B"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2,000.00</w:t>
            </w:r>
          </w:p>
        </w:tc>
      </w:tr>
      <w:tr w:rsidR="008D76D6" w14:paraId="30C4E1B3" w14:textId="77777777">
        <w:trPr>
          <w:trHeight w:val="397"/>
          <w:jc w:val="center"/>
        </w:trPr>
        <w:tc>
          <w:tcPr>
            <w:tcW w:w="675" w:type="dxa"/>
            <w:vAlign w:val="center"/>
          </w:tcPr>
          <w:p w14:paraId="1DB71D95"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26</w:t>
            </w:r>
          </w:p>
        </w:tc>
        <w:tc>
          <w:tcPr>
            <w:tcW w:w="2668" w:type="dxa"/>
            <w:vAlign w:val="center"/>
          </w:tcPr>
          <w:p w14:paraId="14F6AC7B"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平安银行对公结构性存款（</w:t>
            </w:r>
            <w:r>
              <w:rPr>
                <w:rFonts w:ascii="Times New Roman" w:hAnsi="Times New Roman"/>
                <w:color w:val="000000"/>
                <w:sz w:val="21"/>
                <w:szCs w:val="21"/>
              </w:rPr>
              <w:t>100%</w:t>
            </w:r>
            <w:r>
              <w:rPr>
                <w:rFonts w:ascii="Times New Roman" w:hAnsi="Times New Roman"/>
                <w:color w:val="000000"/>
                <w:sz w:val="21"/>
                <w:szCs w:val="21"/>
              </w:rPr>
              <w:t>保本挂钩汇率）</w:t>
            </w:r>
            <w:r>
              <w:rPr>
                <w:rFonts w:ascii="Times New Roman" w:hAnsi="Times New Roman"/>
                <w:color w:val="000000"/>
                <w:sz w:val="21"/>
                <w:szCs w:val="21"/>
              </w:rPr>
              <w:t>2023</w:t>
            </w:r>
            <w:r>
              <w:rPr>
                <w:rFonts w:ascii="Times New Roman" w:hAnsi="Times New Roman"/>
                <w:color w:val="000000"/>
                <w:sz w:val="21"/>
                <w:szCs w:val="21"/>
              </w:rPr>
              <w:t>年</w:t>
            </w:r>
            <w:r>
              <w:rPr>
                <w:rFonts w:ascii="Times New Roman" w:hAnsi="Times New Roman"/>
                <w:color w:val="000000"/>
                <w:sz w:val="21"/>
                <w:szCs w:val="21"/>
              </w:rPr>
              <w:t>TGG23001202</w:t>
            </w:r>
            <w:r>
              <w:rPr>
                <w:rFonts w:ascii="Times New Roman" w:hAnsi="Times New Roman"/>
                <w:color w:val="000000"/>
                <w:sz w:val="21"/>
                <w:szCs w:val="21"/>
              </w:rPr>
              <w:t>期</w:t>
            </w:r>
          </w:p>
        </w:tc>
        <w:tc>
          <w:tcPr>
            <w:tcW w:w="1843" w:type="dxa"/>
            <w:vAlign w:val="center"/>
          </w:tcPr>
          <w:p w14:paraId="5643ABDF"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R2</w:t>
            </w:r>
            <w:r>
              <w:rPr>
                <w:rFonts w:ascii="Times New Roman" w:hAnsi="Times New Roman"/>
                <w:color w:val="000000"/>
                <w:sz w:val="21"/>
                <w:szCs w:val="21"/>
              </w:rPr>
              <w:t>（稳健型）</w:t>
            </w:r>
          </w:p>
        </w:tc>
        <w:tc>
          <w:tcPr>
            <w:tcW w:w="1383" w:type="dxa"/>
            <w:vAlign w:val="center"/>
          </w:tcPr>
          <w:p w14:paraId="7D2564E5"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sz w:val="21"/>
                <w:szCs w:val="21"/>
              </w:rPr>
              <w:t>2023/10/25</w:t>
            </w:r>
          </w:p>
        </w:tc>
        <w:tc>
          <w:tcPr>
            <w:tcW w:w="1536" w:type="dxa"/>
            <w:vAlign w:val="center"/>
          </w:tcPr>
          <w:p w14:paraId="1E9CB20F" w14:textId="77777777" w:rsidR="008D76D6" w:rsidRDefault="008D76D6">
            <w:pPr>
              <w:spacing w:beforeLines="0" w:before="0" w:afterLines="0" w:after="0" w:line="240" w:lineRule="auto"/>
              <w:ind w:firstLineChars="0" w:firstLine="0"/>
              <w:jc w:val="center"/>
              <w:textAlignment w:val="center"/>
              <w:rPr>
                <w:rFonts w:ascii="Times New Roman" w:hAnsi="Times New Roman"/>
                <w:color w:val="000000"/>
                <w:sz w:val="21"/>
                <w:szCs w:val="21"/>
              </w:rPr>
            </w:pPr>
            <w:r>
              <w:rPr>
                <w:rFonts w:ascii="Times New Roman" w:hAnsi="Times New Roman"/>
                <w:color w:val="000000"/>
                <w:sz w:val="21"/>
                <w:szCs w:val="21"/>
              </w:rPr>
              <w:t>1.75%-2.55%</w:t>
            </w:r>
          </w:p>
        </w:tc>
        <w:tc>
          <w:tcPr>
            <w:tcW w:w="1137" w:type="dxa"/>
            <w:vAlign w:val="center"/>
          </w:tcPr>
          <w:p w14:paraId="7C67AF81" w14:textId="77777777" w:rsidR="008D76D6" w:rsidRDefault="008D76D6" w:rsidP="00B434D2">
            <w:pPr>
              <w:spacing w:beforeLines="0" w:before="0" w:afterLines="0" w:after="0" w:line="240" w:lineRule="auto"/>
              <w:ind w:firstLineChars="0" w:firstLine="0"/>
              <w:jc w:val="right"/>
              <w:textAlignment w:val="center"/>
              <w:rPr>
                <w:rFonts w:ascii="Times New Roman" w:hAnsi="Times New Roman"/>
                <w:color w:val="000000"/>
                <w:sz w:val="21"/>
                <w:szCs w:val="21"/>
              </w:rPr>
            </w:pPr>
            <w:r>
              <w:rPr>
                <w:rFonts w:ascii="Times New Roman" w:hAnsi="Times New Roman"/>
                <w:color w:val="000000"/>
                <w:sz w:val="21"/>
                <w:szCs w:val="21"/>
              </w:rPr>
              <w:t>2,000.00</w:t>
            </w:r>
          </w:p>
        </w:tc>
      </w:tr>
    </w:tbl>
    <w:p w14:paraId="0C1350FE" w14:textId="77777777" w:rsidR="00F36846" w:rsidRPr="00F36846" w:rsidRDefault="00F36846" w:rsidP="00F36846">
      <w:pPr>
        <w:pStyle w:val="005"/>
        <w:spacing w:before="120" w:after="120"/>
        <w:ind w:firstLine="480"/>
      </w:pPr>
      <w:r w:rsidRPr="00F36846">
        <w:t>公司于</w:t>
      </w:r>
      <w:r w:rsidRPr="00F36846">
        <w:t>2022</w:t>
      </w:r>
      <w:r w:rsidRPr="00F36846">
        <w:t>年</w:t>
      </w:r>
      <w:r w:rsidRPr="00F36846">
        <w:t>7</w:t>
      </w:r>
      <w:r w:rsidRPr="00F36846">
        <w:t>月</w:t>
      </w:r>
      <w:r w:rsidRPr="00F36846">
        <w:t>12</w:t>
      </w:r>
      <w:r w:rsidRPr="00F36846">
        <w:t>日购买中信证券信信向荣</w:t>
      </w:r>
      <w:r w:rsidRPr="00F36846">
        <w:t>1</w:t>
      </w:r>
      <w:r w:rsidRPr="00F36846">
        <w:t>号集合资产管理计划</w:t>
      </w:r>
      <w:r w:rsidRPr="00F36846">
        <w:t>1,000</w:t>
      </w:r>
      <w:r w:rsidRPr="00F36846">
        <w:t>万元，该产品风险等级为</w:t>
      </w:r>
      <w:r w:rsidRPr="00F36846">
        <w:t>R3</w:t>
      </w:r>
      <w:r w:rsidRPr="00F36846">
        <w:t>（中风险）</w:t>
      </w:r>
      <w:r w:rsidRPr="008C4EDC">
        <w:t>。</w:t>
      </w:r>
      <w:bookmarkStart w:id="28" w:name="_Hlk155097433"/>
      <w:r w:rsidRPr="00F36846">
        <w:t>该产品</w:t>
      </w:r>
      <w:r w:rsidRPr="008C4EDC">
        <w:t>首次购买日在本次发行相关董事会决议日前六个月之前，</w:t>
      </w:r>
      <w:bookmarkEnd w:id="28"/>
      <w:r w:rsidRPr="00F36846">
        <w:t>于</w:t>
      </w:r>
      <w:r w:rsidRPr="00F36846">
        <w:t>2023</w:t>
      </w:r>
      <w:r w:rsidRPr="00F36846">
        <w:t>年</w:t>
      </w:r>
      <w:r w:rsidRPr="00F36846">
        <w:t>7</w:t>
      </w:r>
      <w:r w:rsidRPr="00F36846">
        <w:t>月</w:t>
      </w:r>
      <w:r w:rsidRPr="00F36846">
        <w:t>11</w:t>
      </w:r>
      <w:r w:rsidRPr="00F36846">
        <w:t>日到期后，</w:t>
      </w:r>
      <w:r w:rsidRPr="00F36846">
        <w:t>2023</w:t>
      </w:r>
      <w:r w:rsidRPr="00F36846">
        <w:t>年</w:t>
      </w:r>
      <w:r w:rsidRPr="00F36846">
        <w:t>7</w:t>
      </w:r>
      <w:r w:rsidRPr="00F36846">
        <w:t>月</w:t>
      </w:r>
      <w:r w:rsidRPr="00F36846">
        <w:t>12</w:t>
      </w:r>
      <w:r w:rsidRPr="00F36846">
        <w:t>日自动滚存，公司未</w:t>
      </w:r>
      <w:r w:rsidRPr="008C4EDC">
        <w:t>做</w:t>
      </w:r>
      <w:r w:rsidRPr="00F36846">
        <w:t>任何操作</w:t>
      </w:r>
      <w:r w:rsidRPr="008C4EDC">
        <w:t>，</w:t>
      </w:r>
      <w:r w:rsidRPr="00F36846">
        <w:t>不属于公司主动实施的购买行为。</w:t>
      </w:r>
      <w:r w:rsidRPr="008C4EDC">
        <w:t>公司已于</w:t>
      </w:r>
      <w:r w:rsidRPr="008C4EDC">
        <w:t>2</w:t>
      </w:r>
      <w:r w:rsidRPr="00F36846">
        <w:t>023</w:t>
      </w:r>
      <w:r w:rsidRPr="008C4EDC">
        <w:t>年</w:t>
      </w:r>
      <w:r w:rsidRPr="008C4EDC">
        <w:t>9</w:t>
      </w:r>
      <w:r w:rsidRPr="008C4EDC">
        <w:t>月</w:t>
      </w:r>
      <w:r w:rsidRPr="008C4EDC">
        <w:t>2</w:t>
      </w:r>
      <w:r w:rsidRPr="00F36846">
        <w:t>1</w:t>
      </w:r>
      <w:r w:rsidRPr="008C4EDC">
        <w:t>日对该理财产品进行赎回，实际年化收益率约为</w:t>
      </w:r>
      <w:r w:rsidRPr="008C4EDC">
        <w:t>4</w:t>
      </w:r>
      <w:r w:rsidRPr="00F36846">
        <w:t>.10%</w:t>
      </w:r>
      <w:r w:rsidRPr="008C4EDC">
        <w:t>。</w:t>
      </w:r>
    </w:p>
    <w:p w14:paraId="5C16E641" w14:textId="77777777" w:rsidR="004137BD" w:rsidRDefault="004137BD" w:rsidP="004137BD">
      <w:pPr>
        <w:pStyle w:val="005"/>
        <w:spacing w:before="120" w:after="120"/>
        <w:ind w:firstLine="480"/>
      </w:pPr>
      <w:bookmarkStart w:id="29" w:name="_Hlk155052455"/>
      <w:r>
        <w:rPr>
          <w:rFonts w:hint="eastAsia"/>
        </w:rPr>
        <w:t>光大信托</w:t>
      </w:r>
      <w:r>
        <w:rPr>
          <w:rFonts w:hint="eastAsia"/>
        </w:rPr>
        <w:t>-</w:t>
      </w:r>
      <w:r>
        <w:rPr>
          <w:rFonts w:hint="eastAsia"/>
        </w:rPr>
        <w:t>深汇系列集合资金信托计划已于</w:t>
      </w:r>
      <w:r>
        <w:rPr>
          <w:rFonts w:hint="eastAsia"/>
        </w:rPr>
        <w:t>2</w:t>
      </w:r>
      <w:r>
        <w:t>023</w:t>
      </w:r>
      <w:r>
        <w:rPr>
          <w:rFonts w:hint="eastAsia"/>
        </w:rPr>
        <w:t>年</w:t>
      </w:r>
      <w:r>
        <w:t>4</w:t>
      </w:r>
      <w:r>
        <w:rPr>
          <w:rFonts w:hint="eastAsia"/>
        </w:rPr>
        <w:t>月</w:t>
      </w:r>
      <w:r>
        <w:rPr>
          <w:rFonts w:hint="eastAsia"/>
        </w:rPr>
        <w:t>2</w:t>
      </w:r>
      <w:r>
        <w:t>0</w:t>
      </w:r>
      <w:r>
        <w:rPr>
          <w:rFonts w:hint="eastAsia"/>
        </w:rPr>
        <w:t>日赎回，实际收益率为</w:t>
      </w:r>
      <w:r>
        <w:t>5.39%</w:t>
      </w:r>
      <w:r>
        <w:rPr>
          <w:rFonts w:hint="eastAsia"/>
        </w:rPr>
        <w:t>；该信托资金投资于相关金融机构发行的标准化金融产品，包括债券、货币市场工具、固定收益类基金及其他固定收益产品等金融监管部门批准或备案发行的具有固定收益特征的金融产品以及中国证监会认可的其他投资品种。贵竹固收增利</w:t>
      </w:r>
      <w:r>
        <w:rPr>
          <w:rFonts w:hint="eastAsia"/>
        </w:rPr>
        <w:t>6</w:t>
      </w:r>
      <w:r>
        <w:rPr>
          <w:rFonts w:hint="eastAsia"/>
        </w:rPr>
        <w:t>个月自动续期</w:t>
      </w:r>
      <w:r>
        <w:rPr>
          <w:rFonts w:hint="eastAsia"/>
        </w:rPr>
        <w:t>2</w:t>
      </w:r>
      <w:r>
        <w:rPr>
          <w:rFonts w:hint="eastAsia"/>
        </w:rPr>
        <w:t>号已于</w:t>
      </w:r>
      <w:r>
        <w:rPr>
          <w:rFonts w:hint="eastAsia"/>
        </w:rPr>
        <w:t>2</w:t>
      </w:r>
      <w:r>
        <w:t>023</w:t>
      </w:r>
      <w:r>
        <w:rPr>
          <w:rFonts w:hint="eastAsia"/>
        </w:rPr>
        <w:t>年</w:t>
      </w:r>
      <w:r>
        <w:rPr>
          <w:rFonts w:hint="eastAsia"/>
        </w:rPr>
        <w:t>5</w:t>
      </w:r>
      <w:r>
        <w:rPr>
          <w:rFonts w:hint="eastAsia"/>
        </w:rPr>
        <w:t>月</w:t>
      </w:r>
      <w:r>
        <w:rPr>
          <w:rFonts w:hint="eastAsia"/>
        </w:rPr>
        <w:t>2</w:t>
      </w:r>
      <w:r>
        <w:t>6</w:t>
      </w:r>
      <w:r>
        <w:rPr>
          <w:rFonts w:hint="eastAsia"/>
        </w:rPr>
        <w:t>日赎回，实际收益率为</w:t>
      </w:r>
      <w:r>
        <w:t>2.62%</w:t>
      </w:r>
      <w:r>
        <w:rPr>
          <w:rFonts w:hint="eastAsia"/>
        </w:rPr>
        <w:t>，该产品类型为固定收益类。东证融汇汇鑫</w:t>
      </w:r>
      <w:r>
        <w:rPr>
          <w:rFonts w:hint="eastAsia"/>
        </w:rPr>
        <w:t>6M3</w:t>
      </w:r>
      <w:r>
        <w:rPr>
          <w:rFonts w:hint="eastAsia"/>
        </w:rPr>
        <w:t>号集合资产管理计划已于</w:t>
      </w:r>
      <w:r>
        <w:rPr>
          <w:rFonts w:hint="eastAsia"/>
        </w:rPr>
        <w:t>2</w:t>
      </w:r>
      <w:r>
        <w:t>023</w:t>
      </w:r>
      <w:r>
        <w:rPr>
          <w:rFonts w:hint="eastAsia"/>
        </w:rPr>
        <w:t>年</w:t>
      </w:r>
      <w:r>
        <w:rPr>
          <w:rFonts w:hint="eastAsia"/>
        </w:rPr>
        <w:t>1</w:t>
      </w:r>
      <w:r>
        <w:t>0</w:t>
      </w:r>
      <w:r>
        <w:rPr>
          <w:rFonts w:hint="eastAsia"/>
        </w:rPr>
        <w:t>月</w:t>
      </w:r>
      <w:r>
        <w:rPr>
          <w:rFonts w:hint="eastAsia"/>
        </w:rPr>
        <w:t>2</w:t>
      </w:r>
      <w:r>
        <w:t>7</w:t>
      </w:r>
      <w:r>
        <w:rPr>
          <w:rFonts w:hint="eastAsia"/>
        </w:rPr>
        <w:t>日赎回，实际收益率为</w:t>
      </w:r>
      <w:r>
        <w:t>5.07%</w:t>
      </w:r>
      <w:r>
        <w:rPr>
          <w:rFonts w:hint="eastAsia"/>
        </w:rPr>
        <w:t>，该产品底层资产明细情况见前文表格，主要投向债权投资。综上，该等产品均不属于收益波动大且风险较高的金融产品。</w:t>
      </w:r>
    </w:p>
    <w:bookmarkEnd w:id="29"/>
    <w:p w14:paraId="758C3E7A" w14:textId="77777777" w:rsidR="008D76D6" w:rsidRDefault="008D76D6">
      <w:pPr>
        <w:pStyle w:val="WL05-5"/>
        <w:ind w:firstLine="480"/>
        <w:outlineLvl w:val="9"/>
        <w:rPr>
          <w:rFonts w:cs="Mongolian Baiti"/>
          <w:b w:val="0"/>
          <w:bCs w:val="0"/>
          <w:kern w:val="2"/>
          <w:szCs w:val="21"/>
          <w:lang w:val="en-US"/>
        </w:rPr>
      </w:pPr>
      <w:r>
        <w:rPr>
          <w:rFonts w:cs="Mongolian Baiti" w:hint="eastAsia"/>
          <w:b w:val="0"/>
          <w:bCs w:val="0"/>
          <w:kern w:val="2"/>
          <w:szCs w:val="21"/>
          <w:lang w:val="en-US"/>
        </w:rPr>
        <w:t>（</w:t>
      </w:r>
      <w:r>
        <w:rPr>
          <w:rFonts w:cs="Mongolian Baiti" w:hint="eastAsia"/>
          <w:b w:val="0"/>
          <w:bCs w:val="0"/>
          <w:kern w:val="2"/>
          <w:szCs w:val="21"/>
          <w:lang w:val="en-US"/>
        </w:rPr>
        <w:t>7</w:t>
      </w:r>
      <w:r>
        <w:rPr>
          <w:rFonts w:cs="Mongolian Baiti" w:hint="eastAsia"/>
          <w:b w:val="0"/>
          <w:bCs w:val="0"/>
          <w:kern w:val="2"/>
          <w:szCs w:val="21"/>
          <w:lang w:val="en-US"/>
        </w:rPr>
        <w:t>）非金融企业投资金融业务</w:t>
      </w:r>
    </w:p>
    <w:p w14:paraId="2045B99F" w14:textId="77777777" w:rsidR="008D76D6" w:rsidRDefault="008D76D6">
      <w:pPr>
        <w:pStyle w:val="0050"/>
        <w:spacing w:before="120" w:after="120"/>
        <w:rPr>
          <w:rFonts w:ascii="Times New Roman" w:eastAsia="宋体" w:hAnsi="Times New Roman" w:cs="Mongolian Baiti"/>
          <w:b w:val="0"/>
          <w:szCs w:val="21"/>
        </w:rPr>
      </w:pPr>
      <w:bookmarkStart w:id="30" w:name="_Hlk154540808"/>
      <w:r>
        <w:rPr>
          <w:rFonts w:ascii="Times New Roman" w:eastAsia="宋体" w:hAnsi="Times New Roman" w:cs="Mongolian Baiti" w:hint="eastAsia"/>
          <w:b w:val="0"/>
          <w:szCs w:val="21"/>
        </w:rPr>
        <w:t>本次发行相关董事会决议日前六个月起至本</w:t>
      </w:r>
      <w:r w:rsidR="002537E1">
        <w:rPr>
          <w:rFonts w:ascii="Times New Roman" w:eastAsia="宋体" w:hAnsi="Times New Roman" w:cs="Mongolian Baiti" w:hint="eastAsia"/>
          <w:b w:val="0"/>
          <w:szCs w:val="21"/>
        </w:rPr>
        <w:t>补充法律意见书出具之</w:t>
      </w:r>
      <w:r>
        <w:rPr>
          <w:rFonts w:ascii="Times New Roman" w:eastAsia="宋体" w:hAnsi="Times New Roman" w:cs="Mongolian Baiti" w:hint="eastAsia"/>
          <w:b w:val="0"/>
          <w:szCs w:val="21"/>
        </w:rPr>
        <w:t>日，公司不存在投资金融业务的情况。</w:t>
      </w:r>
    </w:p>
    <w:bookmarkEnd w:id="30"/>
    <w:p w14:paraId="2DEEC06F" w14:textId="77777777" w:rsidR="008D76D6" w:rsidRDefault="008D76D6">
      <w:pPr>
        <w:pStyle w:val="WL05-5"/>
        <w:ind w:firstLine="480"/>
        <w:outlineLvl w:val="9"/>
        <w:rPr>
          <w:rFonts w:cs="Mongolian Baiti"/>
          <w:b w:val="0"/>
          <w:bCs w:val="0"/>
          <w:kern w:val="2"/>
          <w:szCs w:val="21"/>
          <w:lang w:val="en-US"/>
        </w:rPr>
      </w:pPr>
      <w:r>
        <w:rPr>
          <w:rFonts w:cs="Mongolian Baiti" w:hint="eastAsia"/>
          <w:b w:val="0"/>
          <w:bCs w:val="0"/>
          <w:kern w:val="2"/>
          <w:szCs w:val="21"/>
          <w:lang w:val="en-US"/>
        </w:rPr>
        <w:t>（</w:t>
      </w:r>
      <w:r>
        <w:rPr>
          <w:rFonts w:cs="Mongolian Baiti" w:hint="eastAsia"/>
          <w:b w:val="0"/>
          <w:bCs w:val="0"/>
          <w:kern w:val="2"/>
          <w:szCs w:val="21"/>
          <w:lang w:val="en-US"/>
        </w:rPr>
        <w:t>8</w:t>
      </w:r>
      <w:r>
        <w:rPr>
          <w:rFonts w:cs="Mongolian Baiti" w:hint="eastAsia"/>
          <w:b w:val="0"/>
          <w:bCs w:val="0"/>
          <w:kern w:val="2"/>
          <w:szCs w:val="21"/>
          <w:lang w:val="en-US"/>
        </w:rPr>
        <w:t>）拟实施的财务性投资的具体情况</w:t>
      </w:r>
    </w:p>
    <w:p w14:paraId="3B593A97" w14:textId="77777777" w:rsidR="008D76D6" w:rsidRDefault="008D76D6">
      <w:pPr>
        <w:pStyle w:val="0050"/>
        <w:spacing w:before="120" w:after="120"/>
        <w:rPr>
          <w:rFonts w:ascii="Times New Roman" w:eastAsia="宋体" w:hAnsi="Times New Roman" w:cs="Mongolian Baiti"/>
          <w:b w:val="0"/>
          <w:szCs w:val="21"/>
        </w:rPr>
      </w:pPr>
      <w:r>
        <w:rPr>
          <w:rFonts w:ascii="Times New Roman" w:eastAsia="宋体" w:hAnsi="Times New Roman" w:cs="Mongolian Baiti" w:hint="eastAsia"/>
          <w:b w:val="0"/>
          <w:szCs w:val="21"/>
        </w:rPr>
        <w:t>截至本补充法律意见书出具之日，</w:t>
      </w:r>
      <w:bookmarkStart w:id="31" w:name="_Hlk154540821"/>
      <w:r>
        <w:rPr>
          <w:rFonts w:ascii="Times New Roman" w:eastAsia="宋体" w:hAnsi="Times New Roman" w:cs="Mongolian Baiti" w:hint="eastAsia"/>
          <w:b w:val="0"/>
          <w:szCs w:val="21"/>
        </w:rPr>
        <w:t>公司不存在拟实施财务性投资的相关安排。</w:t>
      </w:r>
      <w:bookmarkEnd w:id="31"/>
    </w:p>
    <w:p w14:paraId="69298BA5" w14:textId="77777777" w:rsidR="008D76D6" w:rsidRDefault="008D76D6">
      <w:pPr>
        <w:pStyle w:val="0050"/>
        <w:spacing w:before="120" w:after="120"/>
        <w:rPr>
          <w:rFonts w:ascii="Times New Roman" w:eastAsia="宋体" w:hAnsi="Times New Roman" w:cs="Mongolian Baiti"/>
          <w:b w:val="0"/>
          <w:szCs w:val="21"/>
        </w:rPr>
      </w:pPr>
      <w:r>
        <w:rPr>
          <w:rFonts w:ascii="Times New Roman" w:eastAsia="宋体" w:hAnsi="Times New Roman" w:cs="Mongolian Baiti" w:hint="eastAsia"/>
          <w:b w:val="0"/>
          <w:szCs w:val="21"/>
        </w:rPr>
        <w:t>综上所述，本所律师认为，自本次发行相关董事会决议日前六个月起至本补充法律意见书出具之日，公司不存在新投入或拟投入的财务性投资及类金融业务的情形，无需从本次募集资金总额中扣除。</w:t>
      </w:r>
    </w:p>
    <w:p w14:paraId="79DF1C25" w14:textId="77777777" w:rsidR="008D76D6" w:rsidRPr="00B434D2" w:rsidRDefault="008D76D6" w:rsidP="00B434D2">
      <w:pPr>
        <w:spacing w:before="120" w:after="120"/>
        <w:ind w:firstLine="480"/>
        <w:rPr>
          <w:rFonts w:ascii="Times New Roman" w:hAnsi="Times New Roman"/>
        </w:rPr>
      </w:pPr>
      <w:r w:rsidRPr="00B434D2">
        <w:rPr>
          <w:rFonts w:ascii="Times New Roman" w:hAnsi="Times New Roman" w:hint="eastAsia"/>
        </w:rPr>
        <w:t>2</w:t>
      </w:r>
      <w:r w:rsidRPr="00B434D2">
        <w:rPr>
          <w:rFonts w:ascii="Times New Roman" w:hAnsi="Times New Roman" w:hint="eastAsia"/>
        </w:rPr>
        <w:t>、结合前述情形，说明是否符合《证券期货法律适用意见第</w:t>
      </w:r>
      <w:r w:rsidRPr="00B434D2">
        <w:rPr>
          <w:rFonts w:ascii="Times New Roman" w:hAnsi="Times New Roman" w:hint="eastAsia"/>
        </w:rPr>
        <w:t>18</w:t>
      </w:r>
      <w:r w:rsidRPr="00B434D2">
        <w:rPr>
          <w:rFonts w:ascii="Times New Roman" w:hAnsi="Times New Roman" w:hint="eastAsia"/>
        </w:rPr>
        <w:t>号》以及最新监管要求，是否涉及调减的情形</w:t>
      </w:r>
    </w:p>
    <w:p w14:paraId="7F47A429" w14:textId="77777777" w:rsidR="008D76D6" w:rsidRDefault="008D76D6">
      <w:pPr>
        <w:pStyle w:val="0050"/>
        <w:spacing w:before="120" w:after="120"/>
        <w:rPr>
          <w:rFonts w:ascii="Times New Roman" w:eastAsia="宋体" w:hAnsi="Times New Roman" w:cs="Mongolian Baiti"/>
          <w:b w:val="0"/>
          <w:szCs w:val="21"/>
        </w:rPr>
      </w:pPr>
      <w:r>
        <w:rPr>
          <w:rFonts w:ascii="Times New Roman" w:eastAsia="宋体" w:hAnsi="Times New Roman" w:cs="Mongolian Baiti" w:hint="eastAsia"/>
          <w:b w:val="0"/>
          <w:szCs w:val="21"/>
        </w:rPr>
        <w:t>综上所述，截至</w:t>
      </w:r>
      <w:r>
        <w:rPr>
          <w:rFonts w:ascii="Times New Roman" w:eastAsia="宋体" w:hAnsi="Times New Roman" w:cs="Mongolian Baiti" w:hint="eastAsia"/>
          <w:b w:val="0"/>
          <w:szCs w:val="21"/>
        </w:rPr>
        <w:t>2023</w:t>
      </w:r>
      <w:r>
        <w:rPr>
          <w:rFonts w:ascii="Times New Roman" w:eastAsia="宋体" w:hAnsi="Times New Roman" w:cs="Mongolian Baiti" w:hint="eastAsia"/>
          <w:b w:val="0"/>
          <w:szCs w:val="21"/>
        </w:rPr>
        <w:t>年</w:t>
      </w:r>
      <w:r>
        <w:rPr>
          <w:rFonts w:ascii="Times New Roman" w:eastAsia="宋体" w:hAnsi="Times New Roman" w:cs="Mongolian Baiti" w:hint="eastAsia"/>
          <w:b w:val="0"/>
          <w:szCs w:val="21"/>
        </w:rPr>
        <w:t>9</w:t>
      </w:r>
      <w:r>
        <w:rPr>
          <w:rFonts w:ascii="Times New Roman" w:eastAsia="宋体" w:hAnsi="Times New Roman" w:cs="Mongolian Baiti" w:hint="eastAsia"/>
          <w:b w:val="0"/>
          <w:szCs w:val="21"/>
        </w:rPr>
        <w:t>月</w:t>
      </w:r>
      <w:r>
        <w:rPr>
          <w:rFonts w:ascii="Times New Roman" w:eastAsia="宋体" w:hAnsi="Times New Roman" w:cs="Mongolian Baiti" w:hint="eastAsia"/>
          <w:b w:val="0"/>
          <w:szCs w:val="21"/>
        </w:rPr>
        <w:t>30</w:t>
      </w:r>
      <w:r>
        <w:rPr>
          <w:rFonts w:ascii="Times New Roman" w:eastAsia="宋体" w:hAnsi="Times New Roman" w:cs="Mongolian Baiti" w:hint="eastAsia"/>
          <w:b w:val="0"/>
          <w:szCs w:val="21"/>
        </w:rPr>
        <w:t>日，发行人财务性投资金额为</w:t>
      </w:r>
      <w:r>
        <w:rPr>
          <w:rFonts w:ascii="Times New Roman" w:eastAsia="宋体" w:hAnsi="Times New Roman" w:cs="Mongolian Baiti" w:hint="eastAsia"/>
          <w:b w:val="0"/>
          <w:szCs w:val="21"/>
        </w:rPr>
        <w:t>11,138.97</w:t>
      </w:r>
      <w:r>
        <w:rPr>
          <w:rFonts w:ascii="Times New Roman" w:eastAsia="宋体" w:hAnsi="Times New Roman" w:cs="Mongolian Baiti" w:hint="eastAsia"/>
          <w:b w:val="0"/>
          <w:szCs w:val="21"/>
        </w:rPr>
        <w:t>万元，占发行人</w:t>
      </w:r>
      <w:r>
        <w:rPr>
          <w:rFonts w:ascii="Times New Roman" w:eastAsia="宋体" w:hAnsi="Times New Roman" w:cs="Mongolian Baiti" w:hint="eastAsia"/>
          <w:b w:val="0"/>
          <w:szCs w:val="21"/>
        </w:rPr>
        <w:t>2023</w:t>
      </w:r>
      <w:r>
        <w:rPr>
          <w:rFonts w:ascii="Times New Roman" w:eastAsia="宋体" w:hAnsi="Times New Roman" w:cs="Mongolian Baiti" w:hint="eastAsia"/>
          <w:b w:val="0"/>
          <w:szCs w:val="21"/>
        </w:rPr>
        <w:t>年</w:t>
      </w:r>
      <w:r>
        <w:rPr>
          <w:rFonts w:ascii="Times New Roman" w:eastAsia="宋体" w:hAnsi="Times New Roman" w:cs="Mongolian Baiti" w:hint="eastAsia"/>
          <w:b w:val="0"/>
          <w:szCs w:val="21"/>
        </w:rPr>
        <w:t>9</w:t>
      </w:r>
      <w:r>
        <w:rPr>
          <w:rFonts w:ascii="Times New Roman" w:eastAsia="宋体" w:hAnsi="Times New Roman" w:cs="Mongolian Baiti" w:hint="eastAsia"/>
          <w:b w:val="0"/>
          <w:szCs w:val="21"/>
        </w:rPr>
        <w:t>月</w:t>
      </w:r>
      <w:r>
        <w:rPr>
          <w:rFonts w:ascii="Times New Roman" w:eastAsia="宋体" w:hAnsi="Times New Roman" w:cs="Mongolian Baiti" w:hint="eastAsia"/>
          <w:b w:val="0"/>
          <w:szCs w:val="21"/>
        </w:rPr>
        <w:t>30</w:t>
      </w:r>
      <w:r>
        <w:rPr>
          <w:rFonts w:ascii="Times New Roman" w:eastAsia="宋体" w:hAnsi="Times New Roman" w:cs="Mongolian Baiti" w:hint="eastAsia"/>
          <w:b w:val="0"/>
          <w:szCs w:val="21"/>
        </w:rPr>
        <w:t>日归属于母公司净资产</w:t>
      </w:r>
      <w:r>
        <w:rPr>
          <w:rFonts w:ascii="Times New Roman" w:eastAsia="宋体" w:hAnsi="Times New Roman" w:cs="Mongolian Baiti" w:hint="eastAsia"/>
          <w:b w:val="0"/>
          <w:szCs w:val="21"/>
        </w:rPr>
        <w:t>78,281.01</w:t>
      </w:r>
      <w:r>
        <w:rPr>
          <w:rFonts w:ascii="Times New Roman" w:eastAsia="宋体" w:hAnsi="Times New Roman" w:cs="Mongolian Baiti" w:hint="eastAsia"/>
          <w:b w:val="0"/>
          <w:szCs w:val="21"/>
        </w:rPr>
        <w:t>万元的比例为</w:t>
      </w:r>
      <w:r>
        <w:rPr>
          <w:rFonts w:ascii="Times New Roman" w:eastAsia="宋体" w:hAnsi="Times New Roman" w:cs="Mongolian Baiti" w:hint="eastAsia"/>
          <w:b w:val="0"/>
          <w:szCs w:val="21"/>
        </w:rPr>
        <w:t>14.23%</w:t>
      </w:r>
      <w:r>
        <w:rPr>
          <w:rFonts w:ascii="Times New Roman" w:eastAsia="宋体" w:hAnsi="Times New Roman" w:cs="Mongolian Baiti" w:hint="eastAsia"/>
          <w:b w:val="0"/>
          <w:szCs w:val="21"/>
        </w:rPr>
        <w:t>；自本次发行相关董事会决议日前六个月起至本补充法律意见书出具之日，公司不存在新投入或拟投入的财务性投资及类金融业务的情形，无需从本次募集资金总额中扣除，符合《证券期货法律适用意见第</w:t>
      </w:r>
      <w:r>
        <w:rPr>
          <w:rFonts w:ascii="Times New Roman" w:eastAsia="宋体" w:hAnsi="Times New Roman" w:cs="Mongolian Baiti" w:hint="eastAsia"/>
          <w:b w:val="0"/>
          <w:szCs w:val="21"/>
        </w:rPr>
        <w:t>18</w:t>
      </w:r>
      <w:r>
        <w:rPr>
          <w:rFonts w:ascii="Times New Roman" w:eastAsia="宋体" w:hAnsi="Times New Roman" w:cs="Mongolian Baiti" w:hint="eastAsia"/>
          <w:b w:val="0"/>
          <w:szCs w:val="21"/>
        </w:rPr>
        <w:t>号》</w:t>
      </w:r>
      <w:r w:rsidR="00FC3DE6">
        <w:rPr>
          <w:rFonts w:ascii="Times New Roman" w:eastAsia="宋体" w:hAnsi="Times New Roman" w:cs="Mongolian Baiti" w:hint="eastAsia"/>
          <w:b w:val="0"/>
          <w:szCs w:val="21"/>
        </w:rPr>
        <w:t>及最新监管要求</w:t>
      </w:r>
      <w:r>
        <w:rPr>
          <w:rFonts w:ascii="Times New Roman" w:eastAsia="宋体" w:hAnsi="Times New Roman" w:cs="Mongolian Baiti" w:hint="eastAsia"/>
          <w:b w:val="0"/>
          <w:szCs w:val="21"/>
        </w:rPr>
        <w:t>。</w:t>
      </w:r>
    </w:p>
    <w:bookmarkEnd w:id="20"/>
    <w:p w14:paraId="7A71A84F" w14:textId="77777777" w:rsidR="008D76D6" w:rsidRPr="00B434D2" w:rsidRDefault="008D76D6" w:rsidP="00B434D2">
      <w:pPr>
        <w:pStyle w:val="003"/>
        <w:spacing w:before="120" w:after="120"/>
        <w:ind w:firstLine="482"/>
      </w:pPr>
      <w:r w:rsidRPr="00B434D2">
        <w:rPr>
          <w:rFonts w:hint="eastAsia"/>
        </w:rPr>
        <w:t>七、核查程序及核查意见</w:t>
      </w:r>
    </w:p>
    <w:p w14:paraId="7552E2CB" w14:textId="77777777" w:rsidR="008D76D6" w:rsidRPr="00B434D2" w:rsidRDefault="008D76D6" w:rsidP="00B434D2">
      <w:pPr>
        <w:pStyle w:val="004"/>
        <w:spacing w:before="120" w:after="120"/>
        <w:ind w:firstLine="482"/>
      </w:pPr>
      <w:r w:rsidRPr="00B434D2">
        <w:rPr>
          <w:rFonts w:hint="eastAsia"/>
        </w:rPr>
        <w:t>（一）核查程序</w:t>
      </w:r>
    </w:p>
    <w:p w14:paraId="07D38EF2" w14:textId="77777777" w:rsidR="008D76D6" w:rsidRDefault="008D76D6">
      <w:pPr>
        <w:spacing w:before="120" w:afterLines="0"/>
        <w:ind w:firstLine="480"/>
        <w:rPr>
          <w:rFonts w:ascii="宋体" w:hAnsi="宋体" w:cs="黑体"/>
          <w:bCs/>
        </w:rPr>
      </w:pPr>
      <w:r>
        <w:rPr>
          <w:rFonts w:ascii="宋体" w:hAnsi="宋体" w:cs="黑体" w:hint="eastAsia"/>
          <w:bCs/>
        </w:rPr>
        <w:t>针对上述问题，本所律师履行了以下核查程序：</w:t>
      </w:r>
    </w:p>
    <w:p w14:paraId="5A1F7D81" w14:textId="77777777" w:rsidR="008D76D6" w:rsidRDefault="008D76D6">
      <w:pPr>
        <w:spacing w:before="120" w:after="120"/>
        <w:ind w:firstLine="480"/>
        <w:rPr>
          <w:rFonts w:ascii="Times New Roman" w:hAnsi="Times New Roman"/>
        </w:rPr>
      </w:pPr>
      <w:r>
        <w:rPr>
          <w:rFonts w:ascii="Times New Roman" w:hAnsi="Times New Roman"/>
        </w:rPr>
        <w:t>1</w:t>
      </w:r>
      <w:r>
        <w:rPr>
          <w:rFonts w:ascii="Times New Roman" w:hAnsi="Times New Roman"/>
        </w:rPr>
        <w:t>、获取了汇兑损益明细表并进行分类汇总，了解发行人汇兑损益情况；</w:t>
      </w:r>
    </w:p>
    <w:p w14:paraId="051EA26C" w14:textId="77777777" w:rsidR="008D76D6" w:rsidRDefault="008D76D6">
      <w:pPr>
        <w:spacing w:before="120" w:after="120"/>
        <w:ind w:firstLine="480"/>
        <w:rPr>
          <w:rFonts w:ascii="Times New Roman" w:hAnsi="Times New Roman"/>
        </w:rPr>
      </w:pPr>
      <w:r>
        <w:rPr>
          <w:rFonts w:ascii="Times New Roman" w:hAnsi="Times New Roman"/>
        </w:rPr>
        <w:t>2</w:t>
      </w:r>
      <w:r>
        <w:rPr>
          <w:rFonts w:ascii="Times New Roman" w:hAnsi="Times New Roman"/>
        </w:rPr>
        <w:t>、访谈发行人财务总监访谈，了解即期汇率的确认原则及计算汇兑损益的方法；</w:t>
      </w:r>
    </w:p>
    <w:p w14:paraId="0349B393" w14:textId="77777777" w:rsidR="008D76D6" w:rsidRDefault="008D76D6">
      <w:pPr>
        <w:spacing w:before="120" w:after="120"/>
        <w:ind w:firstLine="480"/>
        <w:rPr>
          <w:rFonts w:ascii="Times New Roman" w:hAnsi="Times New Roman"/>
        </w:rPr>
      </w:pPr>
      <w:r>
        <w:rPr>
          <w:rFonts w:ascii="Times New Roman" w:hAnsi="Times New Roman"/>
        </w:rPr>
        <w:t>3</w:t>
      </w:r>
      <w:r>
        <w:rPr>
          <w:rFonts w:ascii="Times New Roman" w:hAnsi="Times New Roman"/>
        </w:rPr>
        <w:t>、获取了每个会计科目各期末外币户明细表，</w:t>
      </w:r>
      <w:r w:rsidR="00BA52BB">
        <w:rPr>
          <w:rFonts w:ascii="Times New Roman" w:hAnsi="Times New Roman" w:hint="eastAsia"/>
        </w:rPr>
        <w:t>了解</w:t>
      </w:r>
      <w:r>
        <w:rPr>
          <w:rFonts w:ascii="Times New Roman" w:hAnsi="Times New Roman"/>
        </w:rPr>
        <w:t>各科目外币户在各期末人民币余额；</w:t>
      </w:r>
    </w:p>
    <w:p w14:paraId="3D7AB391" w14:textId="77777777" w:rsidR="008D76D6" w:rsidRDefault="008D76D6">
      <w:pPr>
        <w:spacing w:before="120" w:after="120"/>
        <w:ind w:firstLine="480"/>
        <w:rPr>
          <w:rFonts w:ascii="Times New Roman" w:hAnsi="Times New Roman"/>
        </w:rPr>
      </w:pPr>
      <w:r>
        <w:rPr>
          <w:rFonts w:ascii="Times New Roman" w:hAnsi="Times New Roman"/>
        </w:rPr>
        <w:t>4</w:t>
      </w:r>
      <w:r>
        <w:rPr>
          <w:rFonts w:ascii="Times New Roman" w:hAnsi="Times New Roman"/>
        </w:rPr>
        <w:t>、查阅公司</w:t>
      </w:r>
      <w:r w:rsidR="00803F7D">
        <w:rPr>
          <w:rFonts w:ascii="Times New Roman" w:hAnsi="Times New Roman" w:hint="eastAsia"/>
        </w:rPr>
        <w:t>2</w:t>
      </w:r>
      <w:r w:rsidR="00803F7D">
        <w:rPr>
          <w:rFonts w:ascii="Times New Roman" w:hAnsi="Times New Roman"/>
        </w:rPr>
        <w:t>023</w:t>
      </w:r>
      <w:r w:rsidR="00803F7D">
        <w:rPr>
          <w:rFonts w:ascii="Times New Roman" w:hAnsi="Times New Roman" w:hint="eastAsia"/>
        </w:rPr>
        <w:t>年</w:t>
      </w:r>
      <w:r>
        <w:rPr>
          <w:rFonts w:ascii="Times New Roman" w:hAnsi="Times New Roman"/>
        </w:rPr>
        <w:t>三季度报告、</w:t>
      </w:r>
      <w:r w:rsidR="00803F7D">
        <w:rPr>
          <w:rFonts w:ascii="Times New Roman" w:hAnsi="Times New Roman" w:hint="eastAsia"/>
        </w:rPr>
        <w:t>2</w:t>
      </w:r>
      <w:r w:rsidR="00803F7D">
        <w:rPr>
          <w:rFonts w:ascii="Times New Roman" w:hAnsi="Times New Roman"/>
        </w:rPr>
        <w:t>020</w:t>
      </w:r>
      <w:r w:rsidR="00803F7D">
        <w:rPr>
          <w:rFonts w:ascii="Times New Roman" w:hAnsi="Times New Roman" w:hint="eastAsia"/>
        </w:rPr>
        <w:t>年</w:t>
      </w:r>
      <w:r w:rsidR="00803F7D">
        <w:rPr>
          <w:rFonts w:ascii="Times New Roman" w:hAnsi="Times New Roman" w:hint="eastAsia"/>
        </w:rPr>
        <w:t>-</w:t>
      </w:r>
      <w:r w:rsidR="00803F7D">
        <w:rPr>
          <w:rFonts w:ascii="Times New Roman" w:hAnsi="Times New Roman"/>
        </w:rPr>
        <w:t>2022</w:t>
      </w:r>
      <w:r w:rsidR="00803F7D">
        <w:rPr>
          <w:rFonts w:ascii="Times New Roman" w:hAnsi="Times New Roman" w:hint="eastAsia"/>
        </w:rPr>
        <w:t>年</w:t>
      </w:r>
      <w:r>
        <w:rPr>
          <w:rFonts w:ascii="Times New Roman" w:hAnsi="Times New Roman"/>
        </w:rPr>
        <w:t>年度报告等，通过网络查询美元汇率波动情况，</w:t>
      </w:r>
      <w:r>
        <w:rPr>
          <w:rFonts w:ascii="Times New Roman" w:hAnsi="Times New Roman" w:hint="eastAsia"/>
        </w:rPr>
        <w:t>访谈</w:t>
      </w:r>
      <w:r>
        <w:rPr>
          <w:rFonts w:ascii="Times New Roman" w:hAnsi="Times New Roman"/>
        </w:rPr>
        <w:t>管理层，了解主要出口国家和地区贸易保护政策情况、国际贸易摩擦、汇率波动等是否对公司生产经营业绩、募投项目实施造成影响；</w:t>
      </w:r>
    </w:p>
    <w:p w14:paraId="27479F1E" w14:textId="77777777" w:rsidR="008D76D6" w:rsidRDefault="008D76D6">
      <w:pPr>
        <w:spacing w:before="120" w:after="120"/>
        <w:ind w:firstLine="480"/>
        <w:rPr>
          <w:rFonts w:ascii="Times New Roman" w:hAnsi="Times New Roman"/>
        </w:rPr>
      </w:pPr>
      <w:r>
        <w:rPr>
          <w:rFonts w:ascii="Times New Roman" w:hAnsi="Times New Roman"/>
        </w:rPr>
        <w:t>5</w:t>
      </w:r>
      <w:r>
        <w:rPr>
          <w:rFonts w:ascii="Times New Roman" w:hAnsi="Times New Roman"/>
        </w:rPr>
        <w:t>、访谈发行人的</w:t>
      </w:r>
      <w:r w:rsidR="00961C78">
        <w:rPr>
          <w:rFonts w:ascii="Times New Roman" w:hAnsi="Times New Roman" w:hint="eastAsia"/>
        </w:rPr>
        <w:t>销售部门负责人、</w:t>
      </w:r>
      <w:r>
        <w:rPr>
          <w:rFonts w:ascii="Times New Roman" w:hAnsi="Times New Roman"/>
        </w:rPr>
        <w:t>财务部门负责人，了解报告期内境外销售的主要业务模式和经营情况、订单获取方式、主要客户变动原因以及贴牌客户的合作模式、协议签订情况；</w:t>
      </w:r>
    </w:p>
    <w:p w14:paraId="01AFF96D" w14:textId="77777777" w:rsidR="008D76D6" w:rsidRDefault="008D76D6">
      <w:pPr>
        <w:spacing w:before="120" w:after="120"/>
        <w:ind w:firstLine="480"/>
        <w:rPr>
          <w:rFonts w:ascii="Times New Roman" w:hAnsi="Times New Roman"/>
        </w:rPr>
      </w:pPr>
      <w:r>
        <w:rPr>
          <w:rFonts w:ascii="Times New Roman" w:hAnsi="Times New Roman"/>
        </w:rPr>
        <w:t>6</w:t>
      </w:r>
      <w:r>
        <w:rPr>
          <w:rFonts w:ascii="Times New Roman" w:hAnsi="Times New Roman"/>
        </w:rPr>
        <w:t>、获取发行人的销售明细表，统计报告期内境外客户具体国家或地区的收入金额及占比；</w:t>
      </w:r>
    </w:p>
    <w:p w14:paraId="57006E90" w14:textId="77777777" w:rsidR="008D76D6" w:rsidRDefault="008D76D6">
      <w:pPr>
        <w:spacing w:before="120" w:after="120"/>
        <w:ind w:firstLine="480"/>
        <w:rPr>
          <w:rFonts w:ascii="Times New Roman" w:hAnsi="Times New Roman"/>
        </w:rPr>
      </w:pPr>
      <w:r>
        <w:rPr>
          <w:rFonts w:ascii="Times New Roman" w:hAnsi="Times New Roman"/>
        </w:rPr>
        <w:t>7</w:t>
      </w:r>
      <w:r>
        <w:rPr>
          <w:rFonts w:ascii="Times New Roman" w:hAnsi="Times New Roman"/>
        </w:rPr>
        <w:t>、获取发行人主要客户的销售合同，核查销售合同中的主要条款，了解发行人与主要客户的信用政策情况以及是否发生重大变化；</w:t>
      </w:r>
    </w:p>
    <w:p w14:paraId="469E6B59" w14:textId="77777777" w:rsidR="008D76D6" w:rsidRDefault="008D76D6">
      <w:pPr>
        <w:spacing w:before="120" w:after="120"/>
        <w:ind w:firstLine="480"/>
        <w:rPr>
          <w:rFonts w:ascii="Times New Roman" w:hAnsi="Times New Roman"/>
        </w:rPr>
      </w:pPr>
      <w:r>
        <w:rPr>
          <w:rFonts w:ascii="Times New Roman" w:hAnsi="Times New Roman"/>
        </w:rPr>
        <w:t>8</w:t>
      </w:r>
      <w:r>
        <w:rPr>
          <w:rFonts w:ascii="Times New Roman" w:hAnsi="Times New Roman"/>
        </w:rPr>
        <w:t>、</w:t>
      </w:r>
      <w:r w:rsidR="004D69BC">
        <w:rPr>
          <w:rFonts w:ascii="Times New Roman" w:hAnsi="Times New Roman" w:hint="eastAsia"/>
          <w:szCs w:val="24"/>
        </w:rPr>
        <w:t>获取</w:t>
      </w:r>
      <w:r w:rsidR="004D69BC" w:rsidRPr="004D69BC">
        <w:rPr>
          <w:rFonts w:ascii="Times New Roman" w:hAnsi="Times New Roman"/>
          <w:szCs w:val="24"/>
        </w:rPr>
        <w:t>公司应收账款账面价值占营业收入的比例，与报告期各年度同期进行对比，核查是否存在异常波动</w:t>
      </w:r>
      <w:r w:rsidR="004D69BC">
        <w:rPr>
          <w:rFonts w:ascii="Times New Roman" w:hAnsi="Times New Roman" w:hint="eastAsia"/>
          <w:szCs w:val="24"/>
        </w:rPr>
        <w:t>；</w:t>
      </w:r>
      <w:r>
        <w:rPr>
          <w:rFonts w:ascii="Times New Roman" w:hAnsi="Times New Roman"/>
        </w:rPr>
        <w:t>获取境外客户的应收账款期末余额明细表、期后回款情况统计表</w:t>
      </w:r>
      <w:r w:rsidR="004D69BC">
        <w:rPr>
          <w:rFonts w:ascii="Times New Roman" w:hAnsi="Times New Roman" w:hint="eastAsia"/>
        </w:rPr>
        <w:t>及期后回款的银行单据</w:t>
      </w:r>
      <w:r>
        <w:rPr>
          <w:rFonts w:ascii="Times New Roman" w:hAnsi="Times New Roman"/>
        </w:rPr>
        <w:t>，</w:t>
      </w:r>
      <w:r w:rsidR="000708AF">
        <w:rPr>
          <w:rFonts w:ascii="Times New Roman" w:hAnsi="Times New Roman" w:hint="eastAsia"/>
        </w:rPr>
        <w:t>了解发行人境外客户的期后回款情况</w:t>
      </w:r>
      <w:r>
        <w:rPr>
          <w:rFonts w:ascii="Times New Roman" w:hAnsi="Times New Roman"/>
        </w:rPr>
        <w:t>；</w:t>
      </w:r>
    </w:p>
    <w:p w14:paraId="4689086D" w14:textId="77777777" w:rsidR="008D76D6" w:rsidRDefault="008D76D6">
      <w:pPr>
        <w:spacing w:before="120" w:after="120"/>
        <w:ind w:firstLine="480"/>
        <w:rPr>
          <w:rFonts w:ascii="Times New Roman" w:hAnsi="Times New Roman"/>
        </w:rPr>
      </w:pPr>
      <w:r>
        <w:rPr>
          <w:rFonts w:ascii="Times New Roman" w:hAnsi="Times New Roman"/>
        </w:rPr>
        <w:t>9</w:t>
      </w:r>
      <w:r>
        <w:rPr>
          <w:rFonts w:ascii="Times New Roman" w:hAnsi="Times New Roman"/>
        </w:rPr>
        <w:t>、对报告期内主要客户进行函证，并根据回函情况访谈</w:t>
      </w:r>
      <w:r>
        <w:rPr>
          <w:rFonts w:ascii="Times New Roman" w:hAnsi="Times New Roman" w:hint="eastAsia"/>
        </w:rPr>
        <w:t>公司相关负责人</w:t>
      </w:r>
      <w:r>
        <w:rPr>
          <w:rFonts w:ascii="Times New Roman" w:hAnsi="Times New Roman"/>
        </w:rPr>
        <w:t>，了解境外客户未回函的原因并评价其合理性，检查未回函境外客户的销售合同或订单、销售发票、出库单、报关单、提单、银行回单等原始单据，</w:t>
      </w:r>
      <w:r w:rsidR="000708AF">
        <w:rPr>
          <w:rFonts w:ascii="Times New Roman" w:hAnsi="Times New Roman" w:hint="eastAsia"/>
        </w:rPr>
        <w:t>了解</w:t>
      </w:r>
      <w:r>
        <w:rPr>
          <w:rFonts w:ascii="Times New Roman" w:hAnsi="Times New Roman"/>
        </w:rPr>
        <w:t>未回函境外客户执行替代程序的完整性和充分性；</w:t>
      </w:r>
    </w:p>
    <w:p w14:paraId="1215284C" w14:textId="77777777" w:rsidR="0062490A" w:rsidRDefault="0062490A">
      <w:pPr>
        <w:spacing w:before="120" w:after="120"/>
        <w:ind w:firstLine="480"/>
        <w:rPr>
          <w:rFonts w:ascii="Times New Roman" w:hAnsi="Times New Roman"/>
        </w:rPr>
      </w:pPr>
      <w:r>
        <w:rPr>
          <w:rFonts w:ascii="Times New Roman" w:hAnsi="Times New Roman" w:hint="eastAsia"/>
        </w:rPr>
        <w:t>1</w:t>
      </w:r>
      <w:r>
        <w:rPr>
          <w:rFonts w:ascii="Times New Roman" w:hAnsi="Times New Roman"/>
        </w:rPr>
        <w:t>0</w:t>
      </w:r>
      <w:r>
        <w:rPr>
          <w:rFonts w:ascii="Times New Roman" w:hAnsi="Times New Roman" w:hint="eastAsia"/>
        </w:rPr>
        <w:t>、</w:t>
      </w:r>
      <w:bookmarkStart w:id="32" w:name="_Hlk154740742"/>
      <w:r w:rsidR="00CA055C">
        <w:rPr>
          <w:rFonts w:ascii="Times New Roman" w:hAnsi="Times New Roman" w:hint="eastAsia"/>
        </w:rPr>
        <w:t>获取发行人报告期内采购及销售明细表，</w:t>
      </w:r>
      <w:bookmarkEnd w:id="32"/>
      <w:r w:rsidR="00CA055C">
        <w:rPr>
          <w:rFonts w:ascii="Times New Roman" w:hAnsi="Times New Roman" w:hint="eastAsia"/>
        </w:rPr>
        <w:t>了解发行人供应商与客户重叠情况；</w:t>
      </w:r>
    </w:p>
    <w:p w14:paraId="50B7B843" w14:textId="77777777" w:rsidR="00CA055C" w:rsidRDefault="00CA055C">
      <w:pPr>
        <w:spacing w:before="120" w:after="120"/>
        <w:ind w:firstLine="480"/>
        <w:rPr>
          <w:rFonts w:ascii="Times New Roman" w:hAnsi="Times New Roman" w:hint="eastAsia"/>
        </w:rPr>
      </w:pPr>
      <w:r>
        <w:rPr>
          <w:rFonts w:ascii="Times New Roman" w:hAnsi="Times New Roman" w:hint="eastAsia"/>
        </w:rPr>
        <w:t>1</w:t>
      </w:r>
      <w:r>
        <w:rPr>
          <w:rFonts w:ascii="Times New Roman" w:hAnsi="Times New Roman"/>
        </w:rPr>
        <w:t>1</w:t>
      </w:r>
      <w:r>
        <w:rPr>
          <w:rFonts w:ascii="Times New Roman" w:hAnsi="Times New Roman" w:hint="eastAsia"/>
        </w:rPr>
        <w:t>、</w:t>
      </w:r>
      <w:bookmarkStart w:id="33" w:name="_Hlk154740770"/>
      <w:r>
        <w:rPr>
          <w:rFonts w:ascii="Times New Roman" w:hAnsi="Times New Roman" w:hint="eastAsia"/>
        </w:rPr>
        <w:t>获取发行人实际控制人、控股股东及董监高签署的调查表，</w:t>
      </w:r>
      <w:bookmarkEnd w:id="33"/>
      <w:r>
        <w:rPr>
          <w:rFonts w:ascii="Times New Roman" w:hAnsi="Times New Roman" w:hint="eastAsia"/>
        </w:rPr>
        <w:t>了解</w:t>
      </w:r>
      <w:r>
        <w:t>发行人及发行人关联方、客户、供应商之间的关联关系情况</w:t>
      </w:r>
      <w:r>
        <w:rPr>
          <w:rFonts w:hint="eastAsia"/>
        </w:rPr>
        <w:t>；</w:t>
      </w:r>
    </w:p>
    <w:p w14:paraId="3324B536" w14:textId="77777777" w:rsidR="008D76D6" w:rsidRDefault="008D76D6">
      <w:pPr>
        <w:spacing w:before="120" w:after="120"/>
        <w:ind w:firstLine="480"/>
        <w:rPr>
          <w:rFonts w:ascii="Times New Roman" w:hAnsi="Times New Roman"/>
        </w:rPr>
      </w:pPr>
      <w:r>
        <w:rPr>
          <w:rFonts w:ascii="Times New Roman" w:hAnsi="Times New Roman"/>
        </w:rPr>
        <w:t>1</w:t>
      </w:r>
      <w:r w:rsidR="00CA055C">
        <w:rPr>
          <w:rFonts w:ascii="Times New Roman" w:hAnsi="Times New Roman"/>
        </w:rPr>
        <w:t>2</w:t>
      </w:r>
      <w:r>
        <w:rPr>
          <w:rFonts w:ascii="Times New Roman" w:hAnsi="Times New Roman"/>
        </w:rPr>
        <w:t>、访谈发行人</w:t>
      </w:r>
      <w:r w:rsidR="00961C78">
        <w:rPr>
          <w:rFonts w:ascii="Times New Roman" w:hAnsi="Times New Roman" w:hint="eastAsia"/>
        </w:rPr>
        <w:t>相关负责人</w:t>
      </w:r>
      <w:r>
        <w:rPr>
          <w:rFonts w:ascii="Times New Roman" w:hAnsi="Times New Roman"/>
        </w:rPr>
        <w:t>，了解发行人汽车配件业务开展的背景，汽车配件行业发展趋势等业务情况；</w:t>
      </w:r>
    </w:p>
    <w:p w14:paraId="2248AE6A" w14:textId="77777777" w:rsidR="008D76D6" w:rsidRDefault="008D76D6">
      <w:pPr>
        <w:spacing w:before="120" w:after="120"/>
        <w:ind w:firstLine="480"/>
        <w:rPr>
          <w:rFonts w:ascii="Times New Roman" w:hAnsi="Times New Roman"/>
        </w:rPr>
      </w:pPr>
      <w:r>
        <w:rPr>
          <w:rFonts w:ascii="Times New Roman" w:hAnsi="Times New Roman"/>
        </w:rPr>
        <w:t>1</w:t>
      </w:r>
      <w:r w:rsidR="00CA055C">
        <w:rPr>
          <w:rFonts w:ascii="Times New Roman" w:hAnsi="Times New Roman"/>
        </w:rPr>
        <w:t>3</w:t>
      </w:r>
      <w:r>
        <w:rPr>
          <w:rFonts w:ascii="Times New Roman" w:hAnsi="Times New Roman"/>
        </w:rPr>
        <w:t>、查阅发行人本次募投项目可行性研究报告，分析募投项目与现有铸造生产线之间生产关系；</w:t>
      </w:r>
    </w:p>
    <w:p w14:paraId="5957CB28" w14:textId="77777777" w:rsidR="008D76D6" w:rsidRDefault="008D76D6">
      <w:pPr>
        <w:spacing w:before="120" w:after="120"/>
        <w:ind w:firstLine="480"/>
        <w:rPr>
          <w:rFonts w:ascii="Times New Roman" w:hAnsi="Times New Roman"/>
        </w:rPr>
      </w:pPr>
      <w:r>
        <w:rPr>
          <w:rFonts w:ascii="Times New Roman" w:hAnsi="Times New Roman"/>
        </w:rPr>
        <w:t>1</w:t>
      </w:r>
      <w:r w:rsidR="00CA055C">
        <w:rPr>
          <w:rFonts w:ascii="Times New Roman" w:hAnsi="Times New Roman"/>
        </w:rPr>
        <w:t>4</w:t>
      </w:r>
      <w:r>
        <w:rPr>
          <w:rFonts w:ascii="Times New Roman" w:hAnsi="Times New Roman"/>
        </w:rPr>
        <w:t>、查阅发行人定期报告、财务报告及审计报告、会计科目明细表、理财管理产品合同及财务资料等文件，</w:t>
      </w:r>
      <w:r w:rsidR="000708AF">
        <w:rPr>
          <w:rFonts w:ascii="Times New Roman" w:hAnsi="Times New Roman" w:hint="eastAsia"/>
        </w:rPr>
        <w:t>了解</w:t>
      </w:r>
      <w:r>
        <w:rPr>
          <w:rFonts w:ascii="Times New Roman" w:hAnsi="Times New Roman"/>
        </w:rPr>
        <w:t>发行人是否存在财务性投资的情况。查阅董事会、监事会和股东大会决议、了解本次发行相关董事会决议日前六个月起至本</w:t>
      </w:r>
      <w:r w:rsidR="002537E1">
        <w:rPr>
          <w:rFonts w:ascii="Times New Roman" w:hAnsi="Times New Roman" w:hint="eastAsia"/>
        </w:rPr>
        <w:t>补充法律意见书出具之</w:t>
      </w:r>
      <w:r>
        <w:rPr>
          <w:rFonts w:ascii="Times New Roman" w:hAnsi="Times New Roman"/>
        </w:rPr>
        <w:t>日，是否存在已实施或拟实施财务性投资的计划；</w:t>
      </w:r>
    </w:p>
    <w:p w14:paraId="1819B5A5" w14:textId="77777777" w:rsidR="008D76D6" w:rsidRDefault="008D76D6">
      <w:pPr>
        <w:spacing w:before="120" w:after="120"/>
        <w:ind w:firstLine="480"/>
        <w:rPr>
          <w:rFonts w:ascii="Times New Roman" w:hAnsi="Times New Roman"/>
          <w:bCs/>
          <w:szCs w:val="24"/>
        </w:rPr>
      </w:pPr>
      <w:r>
        <w:rPr>
          <w:rFonts w:ascii="Times New Roman" w:hAnsi="Times New Roman" w:hint="eastAsia"/>
          <w:bCs/>
          <w:szCs w:val="24"/>
        </w:rPr>
        <w:t>1</w:t>
      </w:r>
      <w:r w:rsidR="00CA055C">
        <w:rPr>
          <w:rFonts w:ascii="Times New Roman" w:hAnsi="Times New Roman"/>
          <w:bCs/>
          <w:szCs w:val="24"/>
        </w:rPr>
        <w:t>5</w:t>
      </w:r>
      <w:r>
        <w:rPr>
          <w:rFonts w:ascii="Times New Roman" w:hAnsi="Times New Roman" w:hint="eastAsia"/>
          <w:bCs/>
          <w:szCs w:val="24"/>
        </w:rPr>
        <w:t>、</w:t>
      </w:r>
      <w:r>
        <w:rPr>
          <w:rFonts w:ascii="Times New Roman" w:hAnsi="Times New Roman"/>
          <w:bCs/>
          <w:szCs w:val="24"/>
        </w:rPr>
        <w:t>取得并审阅发行人土地及房产产权证书，了解发行人是否持有商业房地产；</w:t>
      </w:r>
    </w:p>
    <w:p w14:paraId="2D5A34F0" w14:textId="77777777" w:rsidR="008D76D6" w:rsidRDefault="008D76D6">
      <w:pPr>
        <w:spacing w:before="120" w:after="120"/>
        <w:ind w:firstLine="480"/>
        <w:rPr>
          <w:rFonts w:ascii="Times New Roman" w:hAnsi="Times New Roman"/>
          <w:bCs/>
          <w:szCs w:val="24"/>
        </w:rPr>
      </w:pPr>
      <w:r>
        <w:rPr>
          <w:rFonts w:ascii="Times New Roman" w:hAnsi="Times New Roman" w:hint="eastAsia"/>
          <w:bCs/>
          <w:szCs w:val="24"/>
        </w:rPr>
        <w:t>1</w:t>
      </w:r>
      <w:r w:rsidR="00CA055C">
        <w:rPr>
          <w:rFonts w:ascii="Times New Roman" w:hAnsi="Times New Roman"/>
          <w:bCs/>
          <w:szCs w:val="24"/>
        </w:rPr>
        <w:t>6</w:t>
      </w:r>
      <w:r>
        <w:rPr>
          <w:rFonts w:ascii="Times New Roman" w:hAnsi="Times New Roman" w:hint="eastAsia"/>
          <w:bCs/>
          <w:szCs w:val="24"/>
        </w:rPr>
        <w:t>、</w:t>
      </w:r>
      <w:r>
        <w:rPr>
          <w:rFonts w:ascii="Times New Roman" w:hAnsi="Times New Roman"/>
          <w:bCs/>
          <w:szCs w:val="24"/>
        </w:rPr>
        <w:t>取得并审阅发行人及子公司对外租赁房屋合同，了解发行人对外租赁房屋的用途；</w:t>
      </w:r>
    </w:p>
    <w:p w14:paraId="78ADA54A" w14:textId="77777777" w:rsidR="008D76D6" w:rsidRDefault="008D76D6">
      <w:pPr>
        <w:spacing w:before="120" w:after="120"/>
        <w:ind w:firstLine="480"/>
        <w:rPr>
          <w:rFonts w:ascii="Times New Roman" w:hAnsi="Times New Roman"/>
          <w:bCs/>
          <w:szCs w:val="24"/>
        </w:rPr>
      </w:pPr>
      <w:r>
        <w:rPr>
          <w:rFonts w:ascii="Times New Roman" w:hAnsi="Times New Roman"/>
          <w:bCs/>
          <w:szCs w:val="24"/>
        </w:rPr>
        <w:t>1</w:t>
      </w:r>
      <w:r w:rsidR="00CA055C">
        <w:rPr>
          <w:rFonts w:ascii="Times New Roman" w:hAnsi="Times New Roman"/>
          <w:bCs/>
          <w:szCs w:val="24"/>
        </w:rPr>
        <w:t>7</w:t>
      </w:r>
      <w:r>
        <w:rPr>
          <w:rFonts w:ascii="Times New Roman" w:hAnsi="Times New Roman" w:hint="eastAsia"/>
          <w:bCs/>
          <w:szCs w:val="24"/>
        </w:rPr>
        <w:t>、</w:t>
      </w:r>
      <w:r>
        <w:rPr>
          <w:rFonts w:ascii="Times New Roman" w:hAnsi="Times New Roman"/>
          <w:bCs/>
          <w:szCs w:val="24"/>
        </w:rPr>
        <w:t>取得并审阅发行人报告期内的《年度报告》《审计报告》及《募集说明书》，了解发行人的主营业务；</w:t>
      </w:r>
    </w:p>
    <w:p w14:paraId="38AAFA60" w14:textId="77777777" w:rsidR="008D76D6" w:rsidRDefault="008D76D6">
      <w:pPr>
        <w:spacing w:before="120" w:after="120"/>
        <w:ind w:firstLine="480"/>
        <w:rPr>
          <w:rFonts w:ascii="Times New Roman" w:hAnsi="Times New Roman"/>
          <w:bCs/>
          <w:szCs w:val="24"/>
        </w:rPr>
      </w:pPr>
      <w:r>
        <w:rPr>
          <w:rFonts w:ascii="Times New Roman" w:hAnsi="Times New Roman" w:hint="eastAsia"/>
          <w:bCs/>
          <w:szCs w:val="24"/>
        </w:rPr>
        <w:t>1</w:t>
      </w:r>
      <w:r w:rsidR="00CA055C">
        <w:rPr>
          <w:rFonts w:ascii="Times New Roman" w:hAnsi="Times New Roman"/>
          <w:bCs/>
          <w:szCs w:val="24"/>
        </w:rPr>
        <w:t>8</w:t>
      </w:r>
      <w:r>
        <w:rPr>
          <w:rFonts w:ascii="Times New Roman" w:hAnsi="Times New Roman" w:hint="eastAsia"/>
          <w:bCs/>
          <w:szCs w:val="24"/>
        </w:rPr>
        <w:t>、</w:t>
      </w:r>
      <w:r>
        <w:rPr>
          <w:rFonts w:ascii="Times New Roman" w:hAnsi="Times New Roman"/>
          <w:bCs/>
          <w:szCs w:val="24"/>
        </w:rPr>
        <w:t>取得并审阅发行人及子公司营业执照，了解发行人及子公司经营范围是否涉及商业房地产经营业务；</w:t>
      </w:r>
    </w:p>
    <w:p w14:paraId="1253FD55" w14:textId="77777777" w:rsidR="008D76D6" w:rsidRDefault="008D76D6">
      <w:pPr>
        <w:spacing w:before="120" w:after="120"/>
        <w:ind w:firstLine="480"/>
        <w:rPr>
          <w:rFonts w:ascii="Times New Roman" w:hAnsi="Times New Roman"/>
          <w:bCs/>
          <w:szCs w:val="24"/>
        </w:rPr>
      </w:pPr>
      <w:r>
        <w:rPr>
          <w:rFonts w:ascii="Times New Roman" w:hAnsi="Times New Roman"/>
          <w:bCs/>
          <w:szCs w:val="24"/>
        </w:rPr>
        <w:t>1</w:t>
      </w:r>
      <w:r w:rsidR="00CA055C">
        <w:rPr>
          <w:rFonts w:ascii="Times New Roman" w:hAnsi="Times New Roman"/>
          <w:bCs/>
          <w:szCs w:val="24"/>
        </w:rPr>
        <w:t>9</w:t>
      </w:r>
      <w:r>
        <w:rPr>
          <w:rFonts w:ascii="Times New Roman" w:hAnsi="Times New Roman" w:hint="eastAsia"/>
          <w:bCs/>
          <w:szCs w:val="24"/>
        </w:rPr>
        <w:t>、</w:t>
      </w:r>
      <w:r>
        <w:rPr>
          <w:rFonts w:ascii="Times New Roman" w:hAnsi="Times New Roman"/>
          <w:bCs/>
          <w:szCs w:val="24"/>
        </w:rPr>
        <w:t>取得并审阅发行人《募集资金管理</w:t>
      </w:r>
      <w:r w:rsidR="000708AF">
        <w:rPr>
          <w:rFonts w:ascii="Times New Roman" w:hAnsi="Times New Roman" w:hint="eastAsia"/>
          <w:bCs/>
          <w:szCs w:val="24"/>
        </w:rPr>
        <w:t>制度</w:t>
      </w:r>
      <w:r>
        <w:rPr>
          <w:rFonts w:ascii="Times New Roman" w:hAnsi="Times New Roman"/>
          <w:bCs/>
          <w:szCs w:val="24"/>
        </w:rPr>
        <w:t>》，了解发行人对募集资金的管理制度；</w:t>
      </w:r>
    </w:p>
    <w:p w14:paraId="3B2A7228" w14:textId="77777777" w:rsidR="008D76D6" w:rsidRDefault="00CA055C">
      <w:pPr>
        <w:topLinePunct/>
        <w:spacing w:before="120" w:after="120"/>
        <w:ind w:firstLine="480"/>
        <w:rPr>
          <w:rFonts w:ascii="Times New Roman" w:hAnsi="Times New Roman"/>
        </w:rPr>
      </w:pPr>
      <w:r>
        <w:rPr>
          <w:rFonts w:ascii="Times New Roman" w:hAnsi="Times New Roman"/>
          <w:bCs/>
          <w:szCs w:val="24"/>
        </w:rPr>
        <w:t>20</w:t>
      </w:r>
      <w:r w:rsidR="008D76D6">
        <w:rPr>
          <w:rFonts w:ascii="Times New Roman" w:hAnsi="Times New Roman" w:hint="eastAsia"/>
          <w:bCs/>
          <w:szCs w:val="24"/>
        </w:rPr>
        <w:t>、</w:t>
      </w:r>
      <w:r w:rsidR="008D76D6">
        <w:rPr>
          <w:rFonts w:ascii="Times New Roman" w:hAnsi="Times New Roman"/>
          <w:bCs/>
          <w:szCs w:val="24"/>
        </w:rPr>
        <w:t>取得并审阅发行人出具的</w:t>
      </w:r>
      <w:r w:rsidR="008D76D6">
        <w:rPr>
          <w:rFonts w:ascii="Times New Roman" w:hAnsi="Times New Roman"/>
        </w:rPr>
        <w:t>《关于本次发行不涉及商业房地产经营业务相关事项的承诺函》；</w:t>
      </w:r>
    </w:p>
    <w:p w14:paraId="666A3EEC" w14:textId="77777777" w:rsidR="008D76D6" w:rsidRDefault="00CA055C">
      <w:pPr>
        <w:spacing w:before="120" w:after="120"/>
        <w:ind w:firstLine="480"/>
        <w:rPr>
          <w:rFonts w:ascii="Times New Roman" w:hAnsi="Times New Roman"/>
          <w:bCs/>
          <w:szCs w:val="24"/>
        </w:rPr>
      </w:pPr>
      <w:r>
        <w:rPr>
          <w:rFonts w:ascii="Times New Roman" w:hAnsi="Times New Roman"/>
          <w:bCs/>
          <w:szCs w:val="24"/>
        </w:rPr>
        <w:t>21</w:t>
      </w:r>
      <w:r w:rsidR="008D76D6">
        <w:rPr>
          <w:rFonts w:ascii="Times New Roman" w:hAnsi="Times New Roman" w:hint="eastAsia"/>
          <w:bCs/>
          <w:szCs w:val="24"/>
        </w:rPr>
        <w:t>、</w:t>
      </w:r>
      <w:r w:rsidR="008D76D6">
        <w:rPr>
          <w:rFonts w:ascii="Times New Roman" w:hAnsi="Times New Roman"/>
          <w:bCs/>
          <w:szCs w:val="24"/>
        </w:rPr>
        <w:t>登录国家</w:t>
      </w:r>
      <w:r w:rsidR="000708AF">
        <w:rPr>
          <w:rFonts w:ascii="Times New Roman" w:hAnsi="Times New Roman" w:hint="eastAsia"/>
          <w:bCs/>
          <w:szCs w:val="24"/>
        </w:rPr>
        <w:t>企业信用信息公示系统</w:t>
      </w:r>
      <w:r w:rsidR="008D76D6">
        <w:rPr>
          <w:rFonts w:ascii="Times New Roman" w:hAnsi="Times New Roman"/>
          <w:bCs/>
          <w:szCs w:val="24"/>
        </w:rPr>
        <w:t>（</w:t>
      </w:r>
      <w:r w:rsidR="000708AF" w:rsidRPr="000708AF">
        <w:rPr>
          <w:rFonts w:ascii="Times New Roman" w:hAnsi="Times New Roman"/>
          <w:bCs/>
          <w:szCs w:val="24"/>
        </w:rPr>
        <w:t>https://www.gsxt.gov.cn/</w:t>
      </w:r>
      <w:r w:rsidR="008D76D6">
        <w:rPr>
          <w:rFonts w:ascii="Times New Roman" w:hAnsi="Times New Roman"/>
          <w:bCs/>
          <w:szCs w:val="24"/>
        </w:rPr>
        <w:t>），查询发行人及子公司是否取得房地产开发资质；</w:t>
      </w:r>
    </w:p>
    <w:p w14:paraId="14FCCE23" w14:textId="77777777" w:rsidR="008D76D6" w:rsidRDefault="008D76D6">
      <w:pPr>
        <w:spacing w:before="120" w:after="120"/>
        <w:ind w:firstLine="480"/>
        <w:rPr>
          <w:rFonts w:ascii="Times New Roman" w:hAnsi="Times New Roman"/>
          <w:bCs/>
          <w:szCs w:val="24"/>
        </w:rPr>
      </w:pPr>
      <w:r>
        <w:rPr>
          <w:rFonts w:ascii="Times New Roman" w:hAnsi="Times New Roman" w:hint="eastAsia"/>
          <w:bCs/>
          <w:szCs w:val="24"/>
        </w:rPr>
        <w:t>2</w:t>
      </w:r>
      <w:r w:rsidR="00CA055C">
        <w:rPr>
          <w:rFonts w:ascii="Times New Roman" w:hAnsi="Times New Roman"/>
          <w:bCs/>
          <w:szCs w:val="24"/>
        </w:rPr>
        <w:t>2</w:t>
      </w:r>
      <w:r>
        <w:rPr>
          <w:rFonts w:ascii="Times New Roman" w:hAnsi="Times New Roman" w:hint="eastAsia"/>
          <w:bCs/>
          <w:szCs w:val="24"/>
        </w:rPr>
        <w:t>、</w:t>
      </w:r>
      <w:r>
        <w:rPr>
          <w:rFonts w:ascii="Times New Roman" w:hAnsi="Times New Roman"/>
          <w:bCs/>
          <w:szCs w:val="24"/>
        </w:rPr>
        <w:t>走访发行人对外租赁的厂房，了解发行人对外租赁房产的用途。</w:t>
      </w:r>
    </w:p>
    <w:p w14:paraId="417CC57E" w14:textId="77777777" w:rsidR="008D76D6" w:rsidRPr="00B434D2" w:rsidRDefault="008D76D6" w:rsidP="00B434D2">
      <w:pPr>
        <w:pStyle w:val="004"/>
        <w:spacing w:before="120" w:after="120"/>
        <w:ind w:firstLine="482"/>
      </w:pPr>
      <w:r w:rsidRPr="00B434D2">
        <w:rPr>
          <w:rFonts w:hint="eastAsia"/>
        </w:rPr>
        <w:t>（二）核查意见</w:t>
      </w:r>
    </w:p>
    <w:p w14:paraId="6AB15620" w14:textId="77777777" w:rsidR="008D76D6" w:rsidRDefault="008D76D6">
      <w:pPr>
        <w:spacing w:before="120" w:afterLines="0"/>
        <w:ind w:firstLine="480"/>
        <w:rPr>
          <w:rFonts w:ascii="宋体" w:hAnsi="宋体" w:cs="黑体"/>
          <w:bCs/>
        </w:rPr>
      </w:pPr>
      <w:r>
        <w:rPr>
          <w:rFonts w:ascii="宋体" w:hAnsi="宋体" w:cs="黑体" w:hint="eastAsia"/>
          <w:bCs/>
        </w:rPr>
        <w:t>经核查，本所律师认为：</w:t>
      </w:r>
    </w:p>
    <w:p w14:paraId="30420449" w14:textId="77777777" w:rsidR="008D76D6" w:rsidRDefault="008D76D6">
      <w:pPr>
        <w:spacing w:before="120" w:after="120"/>
        <w:ind w:firstLine="480"/>
      </w:pPr>
      <w:r>
        <w:rPr>
          <w:rFonts w:ascii="Times New Roman" w:hAnsi="Times New Roman"/>
        </w:rPr>
        <w:t>1</w:t>
      </w:r>
      <w:r>
        <w:rPr>
          <w:rFonts w:ascii="Times New Roman" w:hAnsi="Times New Roman"/>
        </w:rPr>
        <w:t>、</w:t>
      </w:r>
      <w:r w:rsidR="00201504">
        <w:rPr>
          <w:rFonts w:ascii="Times New Roman" w:hAnsi="Times New Roman" w:hint="eastAsia"/>
        </w:rPr>
        <w:t>公司报告期内的</w:t>
      </w:r>
      <w:r>
        <w:rPr>
          <w:rFonts w:ascii="Times New Roman" w:hAnsi="Times New Roman"/>
        </w:rPr>
        <w:t>汇兑损益与汇率波动方向一致</w:t>
      </w:r>
      <w:r w:rsidR="00201504">
        <w:rPr>
          <w:rFonts w:ascii="Times New Roman" w:hAnsi="Times New Roman" w:hint="eastAsia"/>
        </w:rPr>
        <w:t>，与发行人境外收入匹配</w:t>
      </w:r>
      <w:r>
        <w:rPr>
          <w:rFonts w:ascii="Times New Roman" w:hAnsi="Times New Roman" w:hint="eastAsia"/>
        </w:rPr>
        <w:t>；公司外销收入符合出口</w:t>
      </w:r>
      <w:r>
        <w:rPr>
          <w:rFonts w:ascii="Times New Roman" w:hAnsi="Times New Roman"/>
        </w:rPr>
        <w:t>国家和地区的进出口政策</w:t>
      </w:r>
      <w:r>
        <w:rPr>
          <w:rFonts w:ascii="Times New Roman" w:hAnsi="Times New Roman" w:hint="eastAsia"/>
        </w:rPr>
        <w:t>；</w:t>
      </w:r>
      <w:r w:rsidR="003F7EAF">
        <w:t>主要进口国的有关进出口政策</w:t>
      </w:r>
      <w:r w:rsidR="003F7EAF">
        <w:rPr>
          <w:rFonts w:hint="eastAsia"/>
        </w:rPr>
        <w:t>、</w:t>
      </w:r>
      <w:r>
        <w:t>国际贸易摩擦、汇率波动等方面的风险对公司生产经营、募投项目实施和汇兑损益</w:t>
      </w:r>
      <w:r>
        <w:rPr>
          <w:rFonts w:hint="eastAsia"/>
        </w:rPr>
        <w:t>不会造成重大不利</w:t>
      </w:r>
      <w:r>
        <w:t>影响</w:t>
      </w:r>
      <w:r>
        <w:rPr>
          <w:rFonts w:hint="eastAsia"/>
        </w:rPr>
        <w:t>。</w:t>
      </w:r>
    </w:p>
    <w:p w14:paraId="6FAB2541" w14:textId="77777777" w:rsidR="008D76D6" w:rsidRDefault="008D76D6">
      <w:pPr>
        <w:spacing w:before="120" w:afterLines="0" w:after="0"/>
        <w:ind w:firstLine="480"/>
        <w:rPr>
          <w:rFonts w:ascii="Times New Roman" w:hAnsi="Times New Roman"/>
        </w:rPr>
      </w:pPr>
      <w:r>
        <w:rPr>
          <w:rFonts w:ascii="Times New Roman" w:hAnsi="Times New Roman" w:hint="eastAsia"/>
        </w:rPr>
        <w:t>2</w:t>
      </w:r>
      <w:r>
        <w:rPr>
          <w:rFonts w:ascii="Times New Roman" w:hAnsi="Times New Roman" w:hint="eastAsia"/>
        </w:rPr>
        <w:t>、</w:t>
      </w:r>
      <w:r>
        <w:rPr>
          <w:rFonts w:ascii="Times New Roman" w:hAnsi="Times New Roman"/>
        </w:rPr>
        <w:t>报告期内，公司境外销售收入具有真实性、准确性</w:t>
      </w:r>
      <w:r w:rsidR="00201504">
        <w:rPr>
          <w:rFonts w:ascii="Times New Roman" w:hAnsi="Times New Roman" w:hint="eastAsia"/>
        </w:rPr>
        <w:t>，主要客户未发生重大变动</w:t>
      </w:r>
      <w:r>
        <w:rPr>
          <w:rFonts w:ascii="Times New Roman" w:hAnsi="Times New Roman"/>
        </w:rPr>
        <w:t>。函证涉及金额占境外收入的比例较高，回函较好，境外客户未回函的原因具有合理性且履行的替代程序具有完整性和充分性</w:t>
      </w:r>
      <w:r>
        <w:rPr>
          <w:rFonts w:ascii="Times New Roman" w:hAnsi="Times New Roman" w:hint="eastAsia"/>
        </w:rPr>
        <w:t>；</w:t>
      </w:r>
    </w:p>
    <w:p w14:paraId="13C12C6C" w14:textId="77777777" w:rsidR="008D76D6" w:rsidRDefault="008D76D6" w:rsidP="008C4EDC">
      <w:pPr>
        <w:spacing w:before="120" w:after="120"/>
        <w:ind w:firstLine="480"/>
      </w:pPr>
      <w:r>
        <w:rPr>
          <w:rFonts w:ascii="Times New Roman" w:hAnsi="Times New Roman"/>
        </w:rPr>
        <w:t>3</w:t>
      </w:r>
      <w:r>
        <w:rPr>
          <w:rFonts w:ascii="Times New Roman" w:hAnsi="Times New Roman"/>
        </w:rPr>
        <w:t>、发行人的供应商在报告期内存在一定变动情况，主要系供应商自身经营情况所致，具有合理性。出于业务便利等因素考量，发行人客户与供应商存在重叠情况，金额较小，具有合理性，符合行业惯例；</w:t>
      </w:r>
      <w:r>
        <w:rPr>
          <w:rFonts w:hint="eastAsia"/>
        </w:rPr>
        <w:t>报告期内，发行人</w:t>
      </w:r>
      <w:r w:rsidR="00946350">
        <w:rPr>
          <w:rFonts w:hint="eastAsia"/>
        </w:rPr>
        <w:t>及</w:t>
      </w:r>
      <w:r w:rsidR="00486717">
        <w:rPr>
          <w:rFonts w:hint="eastAsia"/>
        </w:rPr>
        <w:t>实际控制人</w:t>
      </w:r>
      <w:r>
        <w:rPr>
          <w:rFonts w:hint="eastAsia"/>
        </w:rPr>
        <w:t>与客户、供应商之间不存在关联关系或其他密切关系，亦不存在</w:t>
      </w:r>
      <w:r w:rsidR="00E64257">
        <w:rPr>
          <w:rFonts w:hint="eastAsia"/>
        </w:rPr>
        <w:t>异常的</w:t>
      </w:r>
      <w:r>
        <w:rPr>
          <w:rFonts w:hint="eastAsia"/>
        </w:rPr>
        <w:t>人员、业务和资金往来或其他利益安排</w:t>
      </w:r>
      <w:r>
        <w:t>；</w:t>
      </w:r>
    </w:p>
    <w:p w14:paraId="74D1DDCF" w14:textId="77777777" w:rsidR="008D76D6" w:rsidRDefault="004C36DF">
      <w:pPr>
        <w:spacing w:before="120" w:after="120"/>
        <w:ind w:firstLine="480"/>
      </w:pPr>
      <w:r>
        <w:rPr>
          <w:rFonts w:ascii="Times New Roman" w:hAnsi="Times New Roman"/>
        </w:rPr>
        <w:t>4</w:t>
      </w:r>
      <w:r w:rsidR="008D76D6">
        <w:rPr>
          <w:rFonts w:ascii="Times New Roman" w:hAnsi="Times New Roman"/>
        </w:rPr>
        <w:t>、</w:t>
      </w:r>
      <w:r w:rsidR="008D76D6">
        <w:t>报告期内，公司汽车配件毛利率持续为负，主要系产品定价相对较低</w:t>
      </w:r>
      <w:r w:rsidR="008D76D6">
        <w:rPr>
          <w:rFonts w:hint="eastAsia"/>
        </w:rPr>
        <w:t>及</w:t>
      </w:r>
      <w:r w:rsidR="008D76D6">
        <w:t>生产线产能利用率未饱和</w:t>
      </w:r>
      <w:r w:rsidR="008D76D6">
        <w:rPr>
          <w:rFonts w:hint="eastAsia"/>
        </w:rPr>
        <w:t>导致</w:t>
      </w:r>
      <w:r w:rsidR="008D76D6">
        <w:t>单位产品成本承担的固定费用较高</w:t>
      </w:r>
      <w:r w:rsidR="008D76D6">
        <w:rPr>
          <w:rFonts w:hint="eastAsia"/>
        </w:rPr>
        <w:t>。</w:t>
      </w:r>
      <w:r w:rsidR="008D76D6">
        <w:t>报告期内，公司铸件生产线均处于正常生产状态，相关设备正常运营，不存在明显减值迹象</w:t>
      </w:r>
      <w:r w:rsidR="008D76D6">
        <w:rPr>
          <w:rFonts w:hint="eastAsia"/>
        </w:rPr>
        <w:t>；</w:t>
      </w:r>
    </w:p>
    <w:p w14:paraId="32373F58" w14:textId="77777777" w:rsidR="008D76D6" w:rsidRDefault="004C36DF">
      <w:pPr>
        <w:spacing w:before="120" w:after="120"/>
        <w:ind w:firstLine="480"/>
        <w:rPr>
          <w:rFonts w:ascii="Times New Roman" w:hAnsi="Times New Roman"/>
        </w:rPr>
      </w:pPr>
      <w:r>
        <w:rPr>
          <w:rFonts w:ascii="Times New Roman" w:hAnsi="Times New Roman"/>
        </w:rPr>
        <w:t>5</w:t>
      </w:r>
      <w:r w:rsidR="008D76D6">
        <w:rPr>
          <w:rFonts w:ascii="Times New Roman" w:hAnsi="Times New Roman"/>
        </w:rPr>
        <w:t>、</w:t>
      </w:r>
      <w:r w:rsidR="008D76D6">
        <w:rPr>
          <w:rFonts w:ascii="Times New Roman" w:hAnsi="Times New Roman"/>
          <w:color w:val="000000"/>
          <w:szCs w:val="32"/>
        </w:rPr>
        <w:t>发行人</w:t>
      </w:r>
      <w:r w:rsidR="008D76D6">
        <w:rPr>
          <w:rFonts w:ascii="Times New Roman" w:hAnsi="Times New Roman" w:hint="eastAsia"/>
          <w:color w:val="000000"/>
          <w:szCs w:val="32"/>
        </w:rPr>
        <w:t>及子公司</w:t>
      </w:r>
      <w:r w:rsidR="008D76D6">
        <w:rPr>
          <w:rFonts w:ascii="Times New Roman" w:hAnsi="Times New Roman"/>
          <w:color w:val="000000"/>
          <w:szCs w:val="32"/>
        </w:rPr>
        <w:t>未开展商业房地产经营业务，并且已采取有效措施确保本次募集资金不变相投入相关业务；</w:t>
      </w:r>
    </w:p>
    <w:p w14:paraId="0C85D13D" w14:textId="77777777" w:rsidR="008D76D6" w:rsidRDefault="004C36DF">
      <w:pPr>
        <w:topLinePunct/>
        <w:spacing w:before="120" w:after="120"/>
        <w:ind w:firstLine="480"/>
        <w:rPr>
          <w:rFonts w:ascii="Times New Roman" w:hAnsi="Times New Roman"/>
          <w:color w:val="000000"/>
          <w:szCs w:val="32"/>
        </w:rPr>
      </w:pPr>
      <w:r>
        <w:rPr>
          <w:rFonts w:ascii="Times New Roman" w:hAnsi="Times New Roman"/>
        </w:rPr>
        <w:t>6</w:t>
      </w:r>
      <w:r w:rsidR="008D76D6">
        <w:rPr>
          <w:rFonts w:ascii="Times New Roman" w:hAnsi="Times New Roman"/>
        </w:rPr>
        <w:t>、发行人购买私募基金主要原因系提高资金使用效率和收益水平，降低公司的资金成本；发行人将益安地风</w:t>
      </w:r>
      <w:r w:rsidR="008D76D6">
        <w:rPr>
          <w:rFonts w:ascii="Times New Roman" w:hAnsi="Times New Roman"/>
        </w:rPr>
        <w:t>5</w:t>
      </w:r>
      <w:r w:rsidR="008D76D6">
        <w:rPr>
          <w:rFonts w:ascii="Times New Roman" w:hAnsi="Times New Roman"/>
        </w:rPr>
        <w:t>号私募证券投资基金划分为以公允价值计量且其变动计入当期损益的金融资产，不存在减值风险；发行人未将相关投资认定为财务性投资的依据充分，最近一期未持有金额较大的财务性投资（包括类金融业务）；</w:t>
      </w:r>
      <w:r w:rsidR="008D76D6">
        <w:rPr>
          <w:rFonts w:ascii="Times New Roman" w:hAnsi="Times New Roman"/>
          <w:color w:val="000000"/>
          <w:szCs w:val="32"/>
        </w:rPr>
        <w:t>自本次发行董事会决议日前六个月至今，发行人不存在新投入或拟投入的财务性投资及类金融业务的情况；发行人持有的交易性金融资产符合《证券期货法律适用意见第</w:t>
      </w:r>
      <w:r w:rsidR="008D76D6">
        <w:rPr>
          <w:rFonts w:ascii="Times New Roman" w:hAnsi="Times New Roman"/>
          <w:color w:val="000000"/>
          <w:szCs w:val="32"/>
        </w:rPr>
        <w:t>18</w:t>
      </w:r>
      <w:r w:rsidR="008D76D6">
        <w:rPr>
          <w:rFonts w:ascii="Times New Roman" w:hAnsi="Times New Roman"/>
          <w:color w:val="000000"/>
          <w:szCs w:val="32"/>
        </w:rPr>
        <w:t>号》以及最新监管要求，不涉及调减情形。</w:t>
      </w:r>
    </w:p>
    <w:p w14:paraId="04B8C278" w14:textId="77777777" w:rsidR="008D76D6" w:rsidRDefault="008D76D6">
      <w:pPr>
        <w:pStyle w:val="1"/>
        <w:spacing w:before="120" w:after="120"/>
        <w:ind w:firstLine="482"/>
        <w:jc w:val="left"/>
        <w:rPr>
          <w:rFonts w:ascii="Times New Roman" w:hAnsi="Times New Roman"/>
          <w:sz w:val="24"/>
          <w:szCs w:val="24"/>
          <w:lang w:eastAsia="zh-Hans"/>
        </w:rPr>
      </w:pPr>
      <w:bookmarkStart w:id="34" w:name="_Toc153983218"/>
      <w:r>
        <w:rPr>
          <w:rFonts w:ascii="Times New Roman" w:hAnsi="Times New Roman"/>
          <w:sz w:val="24"/>
          <w:szCs w:val="24"/>
          <w:lang w:eastAsia="zh-Hans"/>
        </w:rPr>
        <w:t>问题</w:t>
      </w:r>
      <w:r>
        <w:rPr>
          <w:rFonts w:ascii="Times New Roman" w:hAnsi="Times New Roman"/>
          <w:sz w:val="24"/>
          <w:szCs w:val="24"/>
          <w:lang w:eastAsia="zh-Hans"/>
        </w:rPr>
        <w:t>3.</w:t>
      </w:r>
      <w:bookmarkEnd w:id="34"/>
    </w:p>
    <w:p w14:paraId="3F0916A3" w14:textId="77777777" w:rsidR="008D76D6" w:rsidRDefault="008D76D6">
      <w:pPr>
        <w:topLinePunct/>
        <w:adjustRightInd w:val="0"/>
        <w:snapToGrid w:val="0"/>
        <w:spacing w:before="120" w:after="120"/>
        <w:ind w:firstLine="480"/>
        <w:rPr>
          <w:rFonts w:ascii="Times New Roman" w:hAnsi="Times New Roman"/>
          <w:color w:val="000000"/>
          <w:szCs w:val="32"/>
        </w:rPr>
      </w:pPr>
      <w:r>
        <w:rPr>
          <w:rFonts w:ascii="Times New Roman" w:hAnsi="Times New Roman"/>
          <w:color w:val="000000"/>
          <w:szCs w:val="32"/>
        </w:rPr>
        <w:t>发行人本次向不特定对象发行可转债拟募集资金总额不超过</w:t>
      </w:r>
      <w:r>
        <w:rPr>
          <w:rFonts w:ascii="Times New Roman" w:hAnsi="Times New Roman"/>
          <w:color w:val="000000"/>
          <w:szCs w:val="32"/>
        </w:rPr>
        <w:t>33,000.00</w:t>
      </w:r>
      <w:r>
        <w:rPr>
          <w:rFonts w:ascii="Times New Roman" w:hAnsi="Times New Roman"/>
          <w:color w:val="000000"/>
          <w:szCs w:val="32"/>
        </w:rPr>
        <w:t>万元，其中</w:t>
      </w:r>
      <w:r>
        <w:rPr>
          <w:rFonts w:ascii="Times New Roman" w:hAnsi="Times New Roman"/>
          <w:color w:val="000000"/>
          <w:szCs w:val="32"/>
        </w:rPr>
        <w:t>27,800.00</w:t>
      </w:r>
      <w:r>
        <w:rPr>
          <w:rFonts w:ascii="Times New Roman" w:hAnsi="Times New Roman"/>
          <w:color w:val="000000"/>
          <w:szCs w:val="32"/>
        </w:rPr>
        <w:t>万元计划用于</w:t>
      </w:r>
      <w:r>
        <w:rPr>
          <w:rFonts w:ascii="Times New Roman" w:hAnsi="Times New Roman"/>
          <w:color w:val="000000"/>
          <w:szCs w:val="32"/>
        </w:rPr>
        <w:t>“</w:t>
      </w:r>
      <w:r>
        <w:rPr>
          <w:rFonts w:ascii="Times New Roman" w:hAnsi="Times New Roman"/>
          <w:color w:val="000000"/>
          <w:szCs w:val="32"/>
        </w:rPr>
        <w:t>智慧节能阀门建设项目</w:t>
      </w:r>
      <w:r>
        <w:rPr>
          <w:rFonts w:ascii="Times New Roman" w:hAnsi="Times New Roman"/>
          <w:color w:val="000000"/>
          <w:szCs w:val="32"/>
        </w:rPr>
        <w:t>”</w:t>
      </w:r>
      <w:r>
        <w:rPr>
          <w:rFonts w:ascii="Times New Roman" w:hAnsi="Times New Roman"/>
          <w:color w:val="000000"/>
          <w:szCs w:val="32"/>
        </w:rPr>
        <w:t>，其余</w:t>
      </w:r>
      <w:r>
        <w:rPr>
          <w:rFonts w:ascii="Times New Roman" w:hAnsi="Times New Roman"/>
          <w:color w:val="000000"/>
          <w:szCs w:val="32"/>
        </w:rPr>
        <w:t>5,200.00</w:t>
      </w:r>
      <w:r>
        <w:rPr>
          <w:rFonts w:ascii="Times New Roman" w:hAnsi="Times New Roman"/>
          <w:color w:val="000000"/>
          <w:szCs w:val="32"/>
        </w:rPr>
        <w:t>万元计划用于补充流动资金。本次募投项目计划新增</w:t>
      </w:r>
      <w:r>
        <w:rPr>
          <w:rFonts w:ascii="Times New Roman" w:hAnsi="Times New Roman"/>
          <w:color w:val="000000"/>
          <w:szCs w:val="32"/>
        </w:rPr>
        <w:t>“</w:t>
      </w:r>
      <w:r>
        <w:rPr>
          <w:rFonts w:ascii="Times New Roman" w:hAnsi="Times New Roman"/>
          <w:color w:val="000000"/>
          <w:szCs w:val="32"/>
        </w:rPr>
        <w:t>智能阀门</w:t>
      </w:r>
      <w:r>
        <w:rPr>
          <w:rFonts w:ascii="Times New Roman" w:hAnsi="Times New Roman"/>
          <w:color w:val="000000"/>
          <w:szCs w:val="32"/>
        </w:rPr>
        <w:t>”</w:t>
      </w:r>
      <w:r>
        <w:rPr>
          <w:rFonts w:ascii="Times New Roman" w:hAnsi="Times New Roman"/>
          <w:color w:val="000000"/>
          <w:szCs w:val="32"/>
        </w:rPr>
        <w:t>产能</w:t>
      </w:r>
      <w:r>
        <w:rPr>
          <w:rFonts w:ascii="Times New Roman" w:hAnsi="Times New Roman"/>
          <w:color w:val="000000"/>
          <w:szCs w:val="32"/>
        </w:rPr>
        <w:t>2.5</w:t>
      </w:r>
      <w:r>
        <w:rPr>
          <w:rFonts w:ascii="Times New Roman" w:hAnsi="Times New Roman"/>
          <w:color w:val="000000"/>
          <w:szCs w:val="32"/>
        </w:rPr>
        <w:t>万套、</w:t>
      </w:r>
      <w:r>
        <w:rPr>
          <w:rFonts w:ascii="Times New Roman" w:hAnsi="Times New Roman"/>
          <w:color w:val="000000"/>
          <w:szCs w:val="32"/>
        </w:rPr>
        <w:t>“</w:t>
      </w:r>
      <w:r>
        <w:rPr>
          <w:rFonts w:ascii="Times New Roman" w:hAnsi="Times New Roman"/>
          <w:color w:val="000000"/>
          <w:szCs w:val="32"/>
        </w:rPr>
        <w:t>燃气阀门</w:t>
      </w:r>
      <w:r>
        <w:rPr>
          <w:rFonts w:ascii="Times New Roman" w:hAnsi="Times New Roman"/>
          <w:color w:val="000000"/>
          <w:szCs w:val="32"/>
        </w:rPr>
        <w:t>”3.5</w:t>
      </w:r>
      <w:r>
        <w:rPr>
          <w:rFonts w:ascii="Times New Roman" w:hAnsi="Times New Roman"/>
          <w:color w:val="000000"/>
          <w:szCs w:val="32"/>
        </w:rPr>
        <w:t>万套。</w:t>
      </w:r>
    </w:p>
    <w:p w14:paraId="5AB64906" w14:textId="77777777" w:rsidR="008D76D6" w:rsidRDefault="008D76D6">
      <w:pPr>
        <w:topLinePunct/>
        <w:adjustRightInd w:val="0"/>
        <w:snapToGrid w:val="0"/>
        <w:spacing w:before="120" w:after="120"/>
        <w:ind w:firstLine="480"/>
        <w:rPr>
          <w:rFonts w:ascii="Times New Roman" w:hAnsi="Times New Roman"/>
          <w:color w:val="000000"/>
          <w:szCs w:val="32"/>
        </w:rPr>
      </w:pPr>
      <w:r>
        <w:rPr>
          <w:rFonts w:ascii="Times New Roman" w:hAnsi="Times New Roman"/>
          <w:color w:val="000000"/>
          <w:szCs w:val="32"/>
        </w:rPr>
        <w:t>请发行人补充说明：（</w:t>
      </w:r>
      <w:r>
        <w:rPr>
          <w:rFonts w:ascii="Times New Roman" w:hAnsi="Times New Roman"/>
          <w:color w:val="000000"/>
          <w:szCs w:val="32"/>
        </w:rPr>
        <w:t>1</w:t>
      </w:r>
      <w:r>
        <w:rPr>
          <w:rFonts w:ascii="Times New Roman" w:hAnsi="Times New Roman"/>
          <w:color w:val="000000"/>
          <w:szCs w:val="32"/>
        </w:rPr>
        <w:t>）本次募投项目备案或审批情况，包括但不限于环评、能评文件取得情况，是否已取得项目开工所需的所有审批文件，项目实施是否存在重大不确定性或对本次发行构成实质性障碍；（</w:t>
      </w:r>
      <w:r>
        <w:rPr>
          <w:rFonts w:ascii="Times New Roman" w:hAnsi="Times New Roman"/>
          <w:color w:val="000000"/>
          <w:szCs w:val="32"/>
        </w:rPr>
        <w:t>2</w:t>
      </w:r>
      <w:r>
        <w:rPr>
          <w:rFonts w:ascii="Times New Roman" w:hAnsi="Times New Roman"/>
          <w:color w:val="000000"/>
          <w:szCs w:val="32"/>
        </w:rPr>
        <w:t>）请以列表等方式详细说明本募</w:t>
      </w:r>
      <w:r>
        <w:rPr>
          <w:rFonts w:ascii="Times New Roman" w:hAnsi="Times New Roman" w:hint="eastAsia"/>
          <w:color w:val="000000"/>
          <w:szCs w:val="32"/>
        </w:rPr>
        <w:t>投</w:t>
      </w:r>
      <w:r>
        <w:rPr>
          <w:rFonts w:ascii="Times New Roman" w:hAnsi="Times New Roman"/>
          <w:color w:val="000000"/>
          <w:szCs w:val="32"/>
        </w:rPr>
        <w:t>项目产品与现有业务产品的区别和联系，包括但不限于工艺技术、生产设备、产品性能、智能化程度等方面，并结合本募产品报告期内已实现收入、相关研发情况等，说明是否属于募集资金投向主业；（</w:t>
      </w:r>
      <w:r>
        <w:rPr>
          <w:rFonts w:ascii="Times New Roman" w:hAnsi="Times New Roman"/>
          <w:color w:val="000000"/>
          <w:szCs w:val="32"/>
        </w:rPr>
        <w:t>3</w:t>
      </w:r>
      <w:r>
        <w:rPr>
          <w:rFonts w:ascii="Times New Roman" w:hAnsi="Times New Roman"/>
          <w:color w:val="000000"/>
          <w:szCs w:val="32"/>
        </w:rPr>
        <w:t>）请结合本募产品的应用场景和市场空间、发行人市场占有率、产品竞争优势、在手订单或意向性合同、同行业公司可比项目等情况，量化测算并分类别说明发行人的实际产能需求，产能扩张幅度是否与市场发展趋势相符，是否存在产能过剩风险，发行人拟采取的产能消化措施；（</w:t>
      </w:r>
      <w:r>
        <w:rPr>
          <w:rFonts w:ascii="Times New Roman" w:hAnsi="Times New Roman"/>
          <w:color w:val="000000"/>
          <w:szCs w:val="32"/>
        </w:rPr>
        <w:t>4</w:t>
      </w:r>
      <w:r>
        <w:rPr>
          <w:rFonts w:ascii="Times New Roman" w:hAnsi="Times New Roman"/>
          <w:color w:val="000000"/>
          <w:szCs w:val="32"/>
        </w:rPr>
        <w:t>）请结合</w:t>
      </w:r>
      <w:r>
        <w:rPr>
          <w:rFonts w:ascii="Times New Roman" w:hAnsi="Times New Roman"/>
          <w:color w:val="000000"/>
          <w:szCs w:val="32"/>
        </w:rPr>
        <w:t>“</w:t>
      </w:r>
      <w:r>
        <w:rPr>
          <w:rFonts w:ascii="Times New Roman" w:hAnsi="Times New Roman"/>
          <w:color w:val="000000"/>
          <w:szCs w:val="32"/>
        </w:rPr>
        <w:t>智慧节能阀门建设项目</w:t>
      </w:r>
      <w:r>
        <w:rPr>
          <w:rFonts w:ascii="Times New Roman" w:hAnsi="Times New Roman"/>
          <w:color w:val="000000"/>
          <w:szCs w:val="32"/>
        </w:rPr>
        <w:t>”</w:t>
      </w:r>
      <w:r>
        <w:rPr>
          <w:rFonts w:ascii="Times New Roman" w:hAnsi="Times New Roman"/>
          <w:color w:val="000000"/>
          <w:szCs w:val="32"/>
        </w:rPr>
        <w:t>产品具体参数，说明智能阀门和燃气阀门的具体区别和联系，以及在智慧与节能方面与同行业可比公司产品的比较，募投项目名称是否与实际产品相匹配，是否准确客观描述本次募投项目涉及阀门产品，是否存在夸大宣传或者误导性陈述的情形。</w:t>
      </w:r>
    </w:p>
    <w:p w14:paraId="1E1C54E8" w14:textId="77777777" w:rsidR="008D76D6" w:rsidRDefault="008D76D6">
      <w:pPr>
        <w:topLinePunct/>
        <w:adjustRightInd w:val="0"/>
        <w:snapToGrid w:val="0"/>
        <w:spacing w:before="120" w:after="120"/>
        <w:ind w:firstLine="480"/>
        <w:rPr>
          <w:rFonts w:ascii="Times New Roman" w:hAnsi="Times New Roman"/>
          <w:color w:val="000000"/>
          <w:szCs w:val="32"/>
        </w:rPr>
      </w:pPr>
      <w:r>
        <w:rPr>
          <w:rFonts w:ascii="Times New Roman" w:hAnsi="Times New Roman"/>
          <w:color w:val="000000"/>
          <w:szCs w:val="32"/>
        </w:rPr>
        <w:t>请发行人补充披露上述事项相关风险。</w:t>
      </w:r>
    </w:p>
    <w:p w14:paraId="3FF20712" w14:textId="77777777" w:rsidR="008D76D6" w:rsidRDefault="008D76D6">
      <w:pPr>
        <w:topLinePunct/>
        <w:adjustRightInd w:val="0"/>
        <w:snapToGrid w:val="0"/>
        <w:spacing w:before="120" w:after="120"/>
        <w:ind w:firstLine="480"/>
        <w:rPr>
          <w:rFonts w:ascii="仿宋" w:hAnsi="仿宋"/>
          <w:color w:val="000000"/>
          <w:szCs w:val="32"/>
        </w:rPr>
      </w:pPr>
      <w:r>
        <w:rPr>
          <w:rFonts w:ascii="Times New Roman" w:hAnsi="Times New Roman"/>
          <w:color w:val="000000"/>
          <w:szCs w:val="32"/>
        </w:rPr>
        <w:t>请保荐人核查并发表明确意见，请会计师核查（</w:t>
      </w:r>
      <w:r>
        <w:rPr>
          <w:rFonts w:ascii="Times New Roman" w:hAnsi="Times New Roman"/>
          <w:color w:val="000000"/>
          <w:szCs w:val="32"/>
        </w:rPr>
        <w:t>2</w:t>
      </w:r>
      <w:r>
        <w:rPr>
          <w:rFonts w:ascii="Times New Roman" w:hAnsi="Times New Roman"/>
          <w:color w:val="000000"/>
          <w:szCs w:val="32"/>
        </w:rPr>
        <w:t>）并发表明确意见，请发行人律师核查（</w:t>
      </w:r>
      <w:r>
        <w:rPr>
          <w:rFonts w:ascii="Times New Roman" w:hAnsi="Times New Roman"/>
          <w:color w:val="000000"/>
          <w:szCs w:val="32"/>
        </w:rPr>
        <w:t>1</w:t>
      </w:r>
      <w:r>
        <w:rPr>
          <w:rFonts w:ascii="Times New Roman" w:hAnsi="Times New Roman"/>
          <w:color w:val="000000"/>
          <w:szCs w:val="32"/>
        </w:rPr>
        <w:t>）（</w:t>
      </w:r>
      <w:r>
        <w:rPr>
          <w:rFonts w:ascii="Times New Roman" w:hAnsi="Times New Roman"/>
          <w:color w:val="000000"/>
          <w:szCs w:val="32"/>
        </w:rPr>
        <w:t>4</w:t>
      </w:r>
      <w:r>
        <w:rPr>
          <w:rFonts w:ascii="Times New Roman" w:hAnsi="Times New Roman"/>
          <w:color w:val="000000"/>
          <w:szCs w:val="32"/>
        </w:rPr>
        <w:t>）并发表明确意见。</w:t>
      </w:r>
    </w:p>
    <w:p w14:paraId="43061F9F" w14:textId="77777777" w:rsidR="008D76D6" w:rsidRDefault="008D76D6">
      <w:pPr>
        <w:topLinePunct/>
        <w:spacing w:before="120" w:after="120"/>
        <w:ind w:firstLine="478"/>
        <w:rPr>
          <w:rFonts w:ascii="宋体" w:hAnsi="宋体" w:hint="eastAsia"/>
          <w:b/>
          <w:bCs/>
          <w:spacing w:val="-1"/>
          <w:szCs w:val="24"/>
        </w:rPr>
      </w:pPr>
      <w:r>
        <w:rPr>
          <w:rFonts w:ascii="宋体" w:hAnsi="宋体" w:hint="eastAsia"/>
          <w:b/>
          <w:bCs/>
          <w:spacing w:val="-1"/>
          <w:szCs w:val="24"/>
        </w:rPr>
        <w:t>回复：</w:t>
      </w:r>
    </w:p>
    <w:p w14:paraId="5CF7E7AF" w14:textId="77777777" w:rsidR="008D76D6" w:rsidRPr="00B434D2" w:rsidRDefault="008D76D6" w:rsidP="00B434D2">
      <w:pPr>
        <w:pStyle w:val="003"/>
        <w:spacing w:before="120" w:after="120"/>
        <w:ind w:firstLine="482"/>
        <w:rPr>
          <w:rFonts w:hint="eastAsia"/>
        </w:rPr>
      </w:pPr>
      <w:r w:rsidRPr="00B434D2">
        <w:rPr>
          <w:rFonts w:hint="eastAsia"/>
        </w:rPr>
        <w:t>一、本次募投项目备案或审批情况，包括但不限于环评</w:t>
      </w:r>
      <w:r w:rsidRPr="00B434D2">
        <w:t>、</w:t>
      </w:r>
      <w:r w:rsidRPr="00B434D2">
        <w:rPr>
          <w:rFonts w:hint="eastAsia"/>
        </w:rPr>
        <w:t>能评文件取得情况，是否已取得项目开工所需的所有审批文件，项目实施是否存在重大不确定性或对本次发行构成实质性障碍。</w:t>
      </w:r>
    </w:p>
    <w:p w14:paraId="2D800502" w14:textId="77777777" w:rsidR="008D76D6" w:rsidRDefault="008D76D6">
      <w:pPr>
        <w:spacing w:before="120" w:after="120"/>
        <w:ind w:firstLine="480"/>
      </w:pPr>
      <w:r>
        <w:rPr>
          <w:rFonts w:hint="eastAsia"/>
        </w:rPr>
        <w:t>截至本补充法律意见书出具之日，发行人本次募投项目的备案及审批情况如下：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1515"/>
        <w:gridCol w:w="1639"/>
        <w:gridCol w:w="2115"/>
        <w:gridCol w:w="1385"/>
        <w:gridCol w:w="1482"/>
      </w:tblGrid>
      <w:tr w:rsidR="008D76D6" w14:paraId="115BF314" w14:textId="77777777">
        <w:trPr>
          <w:jc w:val="center"/>
        </w:trPr>
        <w:tc>
          <w:tcPr>
            <w:tcW w:w="907" w:type="dxa"/>
            <w:shd w:val="clear" w:color="auto" w:fill="BFBFBF"/>
            <w:vAlign w:val="center"/>
          </w:tcPr>
          <w:p w14:paraId="234CEECD" w14:textId="77777777" w:rsidR="008D76D6" w:rsidRDefault="008D76D6">
            <w:pPr>
              <w:spacing w:beforeLines="0" w:before="0" w:afterLines="0" w:after="0" w:line="240" w:lineRule="auto"/>
              <w:ind w:firstLineChars="0" w:firstLine="0"/>
              <w:jc w:val="center"/>
              <w:rPr>
                <w:rFonts w:hint="eastAsia"/>
                <w:b/>
                <w:bCs/>
                <w:sz w:val="21"/>
                <w:szCs w:val="21"/>
              </w:rPr>
            </w:pPr>
            <w:r>
              <w:rPr>
                <w:rFonts w:hint="eastAsia"/>
                <w:b/>
                <w:bCs/>
                <w:sz w:val="21"/>
                <w:szCs w:val="21"/>
              </w:rPr>
              <w:t>序号</w:t>
            </w:r>
          </w:p>
        </w:tc>
        <w:tc>
          <w:tcPr>
            <w:tcW w:w="1579" w:type="dxa"/>
            <w:shd w:val="clear" w:color="auto" w:fill="BFBFBF"/>
            <w:vAlign w:val="center"/>
          </w:tcPr>
          <w:p w14:paraId="5971F67A" w14:textId="77777777" w:rsidR="008D76D6" w:rsidRDefault="008D76D6">
            <w:pPr>
              <w:spacing w:beforeLines="0" w:before="0" w:afterLines="0" w:after="0" w:line="240" w:lineRule="auto"/>
              <w:ind w:firstLineChars="0" w:firstLine="0"/>
              <w:jc w:val="center"/>
              <w:rPr>
                <w:rFonts w:hint="eastAsia"/>
                <w:b/>
                <w:bCs/>
                <w:sz w:val="21"/>
                <w:szCs w:val="21"/>
              </w:rPr>
            </w:pPr>
            <w:r>
              <w:rPr>
                <w:rFonts w:hint="eastAsia"/>
                <w:b/>
                <w:bCs/>
                <w:sz w:val="21"/>
                <w:szCs w:val="21"/>
              </w:rPr>
              <w:t>项目</w:t>
            </w:r>
          </w:p>
        </w:tc>
        <w:tc>
          <w:tcPr>
            <w:tcW w:w="1698" w:type="dxa"/>
            <w:shd w:val="clear" w:color="auto" w:fill="BFBFBF"/>
            <w:vAlign w:val="center"/>
          </w:tcPr>
          <w:p w14:paraId="04099585" w14:textId="77777777" w:rsidR="008D76D6" w:rsidRDefault="008D76D6">
            <w:pPr>
              <w:spacing w:beforeLines="0" w:before="0" w:afterLines="0" w:after="0" w:line="240" w:lineRule="auto"/>
              <w:ind w:firstLineChars="0" w:firstLine="0"/>
              <w:jc w:val="center"/>
              <w:rPr>
                <w:rFonts w:hint="eastAsia"/>
                <w:b/>
                <w:bCs/>
                <w:sz w:val="21"/>
                <w:szCs w:val="21"/>
              </w:rPr>
            </w:pPr>
            <w:r>
              <w:rPr>
                <w:rFonts w:hint="eastAsia"/>
                <w:b/>
                <w:bCs/>
                <w:sz w:val="21"/>
                <w:szCs w:val="21"/>
              </w:rPr>
              <w:t>文件名称</w:t>
            </w:r>
          </w:p>
        </w:tc>
        <w:tc>
          <w:tcPr>
            <w:tcW w:w="2116" w:type="dxa"/>
            <w:shd w:val="clear" w:color="auto" w:fill="BFBFBF"/>
            <w:vAlign w:val="center"/>
          </w:tcPr>
          <w:p w14:paraId="7EB9B1B4" w14:textId="77777777" w:rsidR="008D76D6" w:rsidRDefault="008D76D6">
            <w:pPr>
              <w:spacing w:beforeLines="0" w:before="0" w:afterLines="0" w:after="0" w:line="240" w:lineRule="auto"/>
              <w:ind w:firstLineChars="0" w:firstLine="0"/>
              <w:jc w:val="center"/>
              <w:rPr>
                <w:rFonts w:hint="eastAsia"/>
                <w:b/>
                <w:bCs/>
                <w:sz w:val="21"/>
                <w:szCs w:val="21"/>
              </w:rPr>
            </w:pPr>
            <w:r>
              <w:rPr>
                <w:rFonts w:hint="eastAsia"/>
                <w:b/>
                <w:bCs/>
                <w:sz w:val="21"/>
                <w:szCs w:val="21"/>
              </w:rPr>
              <w:t>编号</w:t>
            </w:r>
          </w:p>
        </w:tc>
        <w:tc>
          <w:tcPr>
            <w:tcW w:w="1441" w:type="dxa"/>
            <w:shd w:val="clear" w:color="auto" w:fill="BFBFBF"/>
            <w:vAlign w:val="center"/>
          </w:tcPr>
          <w:p w14:paraId="34E354E8" w14:textId="77777777" w:rsidR="008D76D6" w:rsidRDefault="008D76D6">
            <w:pPr>
              <w:spacing w:beforeLines="0" w:before="0" w:afterLines="0" w:after="0" w:line="240" w:lineRule="auto"/>
              <w:ind w:firstLineChars="0" w:firstLine="0"/>
              <w:jc w:val="center"/>
              <w:rPr>
                <w:rFonts w:hint="eastAsia"/>
                <w:b/>
                <w:bCs/>
                <w:sz w:val="21"/>
                <w:szCs w:val="21"/>
              </w:rPr>
            </w:pPr>
            <w:r>
              <w:rPr>
                <w:rFonts w:hint="eastAsia"/>
                <w:b/>
                <w:bCs/>
                <w:sz w:val="21"/>
                <w:szCs w:val="21"/>
              </w:rPr>
              <w:t>批准机关</w:t>
            </w:r>
          </w:p>
        </w:tc>
        <w:tc>
          <w:tcPr>
            <w:tcW w:w="1501" w:type="dxa"/>
            <w:shd w:val="clear" w:color="auto" w:fill="BFBFBF"/>
            <w:vAlign w:val="center"/>
          </w:tcPr>
          <w:p w14:paraId="103D0E58" w14:textId="77777777" w:rsidR="008D76D6" w:rsidRDefault="008D76D6">
            <w:pPr>
              <w:spacing w:beforeLines="0" w:before="0" w:afterLines="0" w:after="0" w:line="240" w:lineRule="auto"/>
              <w:ind w:firstLineChars="0" w:firstLine="0"/>
              <w:jc w:val="center"/>
              <w:rPr>
                <w:rFonts w:hint="eastAsia"/>
                <w:b/>
                <w:bCs/>
                <w:sz w:val="21"/>
                <w:szCs w:val="21"/>
              </w:rPr>
            </w:pPr>
            <w:r>
              <w:rPr>
                <w:rFonts w:hint="eastAsia"/>
                <w:b/>
                <w:bCs/>
                <w:sz w:val="21"/>
                <w:szCs w:val="21"/>
              </w:rPr>
              <w:t>取得时间</w:t>
            </w:r>
          </w:p>
        </w:tc>
      </w:tr>
      <w:tr w:rsidR="008D76D6" w14:paraId="6324884D" w14:textId="77777777">
        <w:trPr>
          <w:jc w:val="center"/>
        </w:trPr>
        <w:tc>
          <w:tcPr>
            <w:tcW w:w="907" w:type="dxa"/>
            <w:vAlign w:val="center"/>
          </w:tcPr>
          <w:p w14:paraId="0F890715" w14:textId="77777777" w:rsidR="008D76D6" w:rsidRDefault="008D76D6">
            <w:pPr>
              <w:spacing w:beforeLines="0" w:before="0" w:afterLines="0" w:after="0" w:line="240" w:lineRule="auto"/>
              <w:ind w:firstLineChars="0" w:firstLine="0"/>
              <w:jc w:val="center"/>
              <w:rPr>
                <w:rFonts w:ascii="宋体" w:hAnsi="宋体" w:hint="eastAsia"/>
                <w:sz w:val="21"/>
                <w:szCs w:val="21"/>
              </w:rPr>
            </w:pPr>
            <w:r>
              <w:rPr>
                <w:rFonts w:ascii="宋体" w:hAnsi="宋体" w:hint="eastAsia"/>
                <w:sz w:val="21"/>
                <w:szCs w:val="21"/>
              </w:rPr>
              <w:t>1</w:t>
            </w:r>
          </w:p>
        </w:tc>
        <w:tc>
          <w:tcPr>
            <w:tcW w:w="1579" w:type="dxa"/>
            <w:vAlign w:val="center"/>
          </w:tcPr>
          <w:p w14:paraId="16E168AE" w14:textId="77777777" w:rsidR="008D76D6" w:rsidRDefault="008D76D6" w:rsidP="00B434D2">
            <w:pPr>
              <w:spacing w:beforeLines="0" w:before="0" w:afterLines="0" w:after="0" w:line="240" w:lineRule="auto"/>
              <w:ind w:firstLineChars="0" w:firstLine="0"/>
              <w:jc w:val="center"/>
              <w:rPr>
                <w:rFonts w:ascii="宋体" w:hAnsi="宋体" w:hint="eastAsia"/>
                <w:sz w:val="21"/>
                <w:szCs w:val="21"/>
              </w:rPr>
            </w:pPr>
            <w:r>
              <w:rPr>
                <w:rFonts w:ascii="宋体" w:hAnsi="宋体" w:hint="eastAsia"/>
                <w:sz w:val="21"/>
                <w:szCs w:val="21"/>
              </w:rPr>
              <w:t>项目备案</w:t>
            </w:r>
          </w:p>
        </w:tc>
        <w:tc>
          <w:tcPr>
            <w:tcW w:w="1698" w:type="dxa"/>
            <w:vAlign w:val="center"/>
          </w:tcPr>
          <w:p w14:paraId="60798997" w14:textId="77777777" w:rsidR="008D76D6" w:rsidRDefault="008D76D6">
            <w:pPr>
              <w:spacing w:beforeLines="0" w:before="0" w:afterLines="0" w:after="0" w:line="240" w:lineRule="auto"/>
              <w:ind w:firstLineChars="0" w:firstLine="0"/>
              <w:jc w:val="center"/>
              <w:rPr>
                <w:rFonts w:ascii="宋体" w:hAnsi="宋体" w:hint="eastAsia"/>
                <w:sz w:val="21"/>
                <w:szCs w:val="21"/>
              </w:rPr>
            </w:pPr>
            <w:r>
              <w:rPr>
                <w:rFonts w:ascii="宋体" w:hAnsi="宋体" w:hint="eastAsia"/>
                <w:sz w:val="21"/>
                <w:szCs w:val="21"/>
              </w:rPr>
              <w:t>《企业投资项目备案证明》</w:t>
            </w:r>
          </w:p>
        </w:tc>
        <w:tc>
          <w:tcPr>
            <w:tcW w:w="2116" w:type="dxa"/>
            <w:vAlign w:val="center"/>
          </w:tcPr>
          <w:p w14:paraId="31A05068" w14:textId="77777777" w:rsidR="008D76D6" w:rsidRDefault="008D76D6">
            <w:pPr>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2302-370271-89</w:t>
            </w:r>
          </w:p>
          <w:p w14:paraId="6E39647E" w14:textId="77777777" w:rsidR="008D76D6" w:rsidRDefault="008D76D6">
            <w:pPr>
              <w:spacing w:beforeLines="0" w:before="0" w:afterLines="0" w:after="0" w:line="240" w:lineRule="auto"/>
              <w:ind w:firstLineChars="0" w:firstLine="0"/>
              <w:jc w:val="center"/>
              <w:rPr>
                <w:rFonts w:ascii="宋体" w:hAnsi="宋体" w:hint="eastAsia"/>
                <w:sz w:val="21"/>
                <w:szCs w:val="21"/>
              </w:rPr>
            </w:pPr>
            <w:r>
              <w:rPr>
                <w:rFonts w:ascii="Times New Roman" w:hAnsi="Times New Roman"/>
                <w:sz w:val="21"/>
                <w:szCs w:val="21"/>
              </w:rPr>
              <w:t>-01-271613</w:t>
            </w:r>
          </w:p>
        </w:tc>
        <w:tc>
          <w:tcPr>
            <w:tcW w:w="1441" w:type="dxa"/>
            <w:vAlign w:val="center"/>
          </w:tcPr>
          <w:p w14:paraId="2AD13740" w14:textId="77777777" w:rsidR="008D76D6" w:rsidRDefault="008D76D6">
            <w:pPr>
              <w:spacing w:beforeLines="0" w:before="0" w:afterLines="0" w:after="0" w:line="240" w:lineRule="auto"/>
              <w:ind w:firstLineChars="0" w:firstLine="0"/>
              <w:jc w:val="center"/>
              <w:rPr>
                <w:rFonts w:ascii="宋体" w:hAnsi="宋体" w:hint="eastAsia"/>
                <w:sz w:val="21"/>
                <w:szCs w:val="21"/>
              </w:rPr>
            </w:pPr>
            <w:r>
              <w:rPr>
                <w:rFonts w:ascii="宋体" w:hAnsi="宋体" w:hint="eastAsia"/>
                <w:sz w:val="21"/>
                <w:szCs w:val="21"/>
              </w:rPr>
              <w:t>青岛高新区管委行政审批服务部</w:t>
            </w:r>
          </w:p>
        </w:tc>
        <w:tc>
          <w:tcPr>
            <w:tcW w:w="1501" w:type="dxa"/>
            <w:vAlign w:val="center"/>
          </w:tcPr>
          <w:p w14:paraId="3741674B"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sz w:val="21"/>
                <w:szCs w:val="21"/>
              </w:rPr>
              <w:t>2023</w:t>
            </w:r>
            <w:r>
              <w:rPr>
                <w:rFonts w:ascii="Times New Roman" w:hAnsi="Times New Roman" w:hint="eastAsia"/>
                <w:sz w:val="21"/>
                <w:szCs w:val="21"/>
              </w:rPr>
              <w:t>.</w:t>
            </w:r>
            <w:r>
              <w:rPr>
                <w:rFonts w:ascii="Times New Roman" w:hAnsi="Times New Roman"/>
                <w:sz w:val="21"/>
                <w:szCs w:val="21"/>
              </w:rPr>
              <w:t>02</w:t>
            </w:r>
            <w:r>
              <w:rPr>
                <w:rFonts w:ascii="Times New Roman" w:hAnsi="Times New Roman" w:hint="eastAsia"/>
                <w:sz w:val="21"/>
                <w:szCs w:val="21"/>
              </w:rPr>
              <w:t>.</w:t>
            </w:r>
            <w:r>
              <w:rPr>
                <w:rFonts w:ascii="Times New Roman" w:hAnsi="Times New Roman"/>
                <w:sz w:val="21"/>
                <w:szCs w:val="21"/>
              </w:rPr>
              <w:t>10</w:t>
            </w:r>
          </w:p>
        </w:tc>
      </w:tr>
      <w:tr w:rsidR="008D76D6" w14:paraId="2728B3D4" w14:textId="77777777">
        <w:trPr>
          <w:jc w:val="center"/>
        </w:trPr>
        <w:tc>
          <w:tcPr>
            <w:tcW w:w="907" w:type="dxa"/>
            <w:vAlign w:val="center"/>
          </w:tcPr>
          <w:p w14:paraId="0B8DECEF" w14:textId="77777777" w:rsidR="008D76D6" w:rsidRDefault="008D76D6">
            <w:pPr>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2</w:t>
            </w:r>
          </w:p>
        </w:tc>
        <w:tc>
          <w:tcPr>
            <w:tcW w:w="1579" w:type="dxa"/>
            <w:vAlign w:val="center"/>
          </w:tcPr>
          <w:p w14:paraId="5EC74312" w14:textId="77777777" w:rsidR="008D76D6" w:rsidRDefault="008D76D6" w:rsidP="00B434D2">
            <w:pPr>
              <w:spacing w:beforeLines="0" w:before="0" w:afterLines="0" w:after="0" w:line="240" w:lineRule="auto"/>
              <w:ind w:firstLineChars="0" w:firstLine="0"/>
              <w:jc w:val="center"/>
              <w:rPr>
                <w:rFonts w:ascii="Times New Roman" w:hAnsi="Times New Roman"/>
                <w:sz w:val="21"/>
                <w:szCs w:val="21"/>
              </w:rPr>
            </w:pPr>
            <w:r>
              <w:rPr>
                <w:rFonts w:ascii="Times New Roman" w:hAnsi="Times New Roman" w:hint="eastAsia"/>
                <w:sz w:val="21"/>
                <w:szCs w:val="21"/>
              </w:rPr>
              <w:t>环境影响评价</w:t>
            </w:r>
          </w:p>
        </w:tc>
        <w:tc>
          <w:tcPr>
            <w:tcW w:w="1698" w:type="dxa"/>
            <w:vAlign w:val="center"/>
          </w:tcPr>
          <w:p w14:paraId="1D64F6DD" w14:textId="77777777" w:rsidR="008D76D6" w:rsidRDefault="008D76D6">
            <w:pPr>
              <w:spacing w:beforeLines="0" w:before="0" w:afterLines="0" w:after="0" w:line="240" w:lineRule="auto"/>
              <w:ind w:firstLineChars="0" w:firstLine="0"/>
              <w:rPr>
                <w:rFonts w:ascii="Times New Roman" w:hAnsi="Times New Roman"/>
                <w:sz w:val="21"/>
                <w:szCs w:val="21"/>
              </w:rPr>
            </w:pPr>
            <w:r>
              <w:rPr>
                <w:rFonts w:ascii="Times New Roman" w:hAnsi="Times New Roman"/>
                <w:sz w:val="21"/>
                <w:szCs w:val="21"/>
              </w:rPr>
              <w:t>《关于青岛伟隆阀门股份有限公司智慧节能阀门建设项目环境影响评价文件告知承诺审批的意见》</w:t>
            </w:r>
          </w:p>
        </w:tc>
        <w:tc>
          <w:tcPr>
            <w:tcW w:w="2116" w:type="dxa"/>
            <w:vAlign w:val="center"/>
          </w:tcPr>
          <w:p w14:paraId="455F3049" w14:textId="77777777" w:rsidR="008D76D6" w:rsidRDefault="008D76D6">
            <w:pPr>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青环承诺审（高新）</w:t>
            </w:r>
            <w:r>
              <w:rPr>
                <w:rFonts w:ascii="Times New Roman" w:hAnsi="Times New Roman"/>
                <w:sz w:val="21"/>
                <w:szCs w:val="21"/>
              </w:rPr>
              <w:t>[2023]4</w:t>
            </w:r>
            <w:r>
              <w:rPr>
                <w:rFonts w:ascii="Times New Roman" w:hAnsi="Times New Roman"/>
                <w:sz w:val="21"/>
                <w:szCs w:val="21"/>
              </w:rPr>
              <w:t>号</w:t>
            </w:r>
          </w:p>
        </w:tc>
        <w:tc>
          <w:tcPr>
            <w:tcW w:w="1441" w:type="dxa"/>
            <w:vAlign w:val="center"/>
          </w:tcPr>
          <w:p w14:paraId="6FCC3C9B" w14:textId="77777777" w:rsidR="008D76D6" w:rsidRDefault="008D76D6">
            <w:pPr>
              <w:spacing w:beforeLines="0" w:before="0" w:afterLines="0" w:after="0" w:line="240" w:lineRule="auto"/>
              <w:ind w:firstLineChars="0" w:firstLine="0"/>
              <w:jc w:val="center"/>
              <w:rPr>
                <w:rFonts w:ascii="Times New Roman" w:hAnsi="Times New Roman"/>
                <w:sz w:val="21"/>
                <w:szCs w:val="21"/>
              </w:rPr>
            </w:pPr>
            <w:r>
              <w:rPr>
                <w:rFonts w:ascii="Times New Roman" w:hAnsi="Times New Roman" w:hint="eastAsia"/>
                <w:sz w:val="21"/>
                <w:szCs w:val="21"/>
              </w:rPr>
              <w:t>青岛市生态环境局</w:t>
            </w:r>
          </w:p>
        </w:tc>
        <w:tc>
          <w:tcPr>
            <w:tcW w:w="1501" w:type="dxa"/>
            <w:vAlign w:val="center"/>
          </w:tcPr>
          <w:p w14:paraId="093DE938" w14:textId="77777777" w:rsidR="008D76D6" w:rsidRDefault="008D76D6">
            <w:pPr>
              <w:spacing w:beforeLines="0" w:before="0" w:afterLines="0" w:after="0" w:line="240" w:lineRule="auto"/>
              <w:ind w:firstLineChars="0" w:firstLine="0"/>
              <w:jc w:val="center"/>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023</w:t>
            </w:r>
            <w:r>
              <w:rPr>
                <w:rFonts w:ascii="Times New Roman" w:hAnsi="Times New Roman" w:hint="eastAsia"/>
                <w:sz w:val="21"/>
                <w:szCs w:val="21"/>
              </w:rPr>
              <w:t>.</w:t>
            </w:r>
            <w:r>
              <w:rPr>
                <w:rFonts w:ascii="Times New Roman" w:hAnsi="Times New Roman"/>
                <w:sz w:val="21"/>
                <w:szCs w:val="21"/>
              </w:rPr>
              <w:t>0</w:t>
            </w:r>
            <w:r>
              <w:rPr>
                <w:rFonts w:ascii="Times New Roman" w:hAnsi="Times New Roman" w:hint="eastAsia"/>
                <w:sz w:val="21"/>
                <w:szCs w:val="21"/>
              </w:rPr>
              <w:t>3.1</w:t>
            </w:r>
            <w:r>
              <w:rPr>
                <w:rFonts w:ascii="Times New Roman" w:hAnsi="Times New Roman"/>
                <w:sz w:val="21"/>
                <w:szCs w:val="21"/>
              </w:rPr>
              <w:t>0</w:t>
            </w:r>
          </w:p>
        </w:tc>
      </w:tr>
      <w:tr w:rsidR="008D76D6" w14:paraId="7E3369DB" w14:textId="77777777">
        <w:trPr>
          <w:jc w:val="center"/>
        </w:trPr>
        <w:tc>
          <w:tcPr>
            <w:tcW w:w="907" w:type="dxa"/>
            <w:vAlign w:val="center"/>
          </w:tcPr>
          <w:p w14:paraId="5F87A57A" w14:textId="77777777" w:rsidR="008D76D6" w:rsidRDefault="008D76D6">
            <w:pPr>
              <w:spacing w:beforeLines="0" w:before="0" w:afterLines="0" w:after="0" w:line="240" w:lineRule="auto"/>
              <w:ind w:firstLineChars="0" w:firstLine="0"/>
              <w:jc w:val="center"/>
              <w:rPr>
                <w:rFonts w:ascii="Times New Roman" w:hAnsi="Times New Roman"/>
                <w:sz w:val="21"/>
                <w:szCs w:val="21"/>
              </w:rPr>
            </w:pPr>
            <w:r>
              <w:rPr>
                <w:rFonts w:ascii="Times New Roman" w:hAnsi="Times New Roman" w:hint="eastAsia"/>
                <w:sz w:val="21"/>
                <w:szCs w:val="21"/>
              </w:rPr>
              <w:t>3</w:t>
            </w:r>
          </w:p>
        </w:tc>
        <w:tc>
          <w:tcPr>
            <w:tcW w:w="1579" w:type="dxa"/>
            <w:vAlign w:val="center"/>
          </w:tcPr>
          <w:p w14:paraId="71E434E0" w14:textId="77777777" w:rsidR="008D76D6" w:rsidRDefault="008D76D6" w:rsidP="00B434D2">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水土保持批复</w:t>
            </w:r>
          </w:p>
        </w:tc>
        <w:tc>
          <w:tcPr>
            <w:tcW w:w="1698" w:type="dxa"/>
            <w:vAlign w:val="center"/>
          </w:tcPr>
          <w:p w14:paraId="5ACD635E" w14:textId="77777777" w:rsidR="008D76D6" w:rsidRDefault="008D76D6">
            <w:pPr>
              <w:spacing w:beforeLines="0" w:before="0" w:afterLines="0" w:after="0" w:line="240" w:lineRule="auto"/>
              <w:ind w:firstLineChars="0" w:firstLine="0"/>
              <w:rPr>
                <w:rFonts w:ascii="Times New Roman" w:hAnsi="Times New Roman"/>
                <w:sz w:val="21"/>
                <w:szCs w:val="21"/>
              </w:rPr>
            </w:pPr>
            <w:r>
              <w:rPr>
                <w:rFonts w:ascii="Times New Roman" w:hAnsi="Times New Roman" w:hint="eastAsia"/>
                <w:sz w:val="21"/>
                <w:szCs w:val="21"/>
              </w:rPr>
              <w:t>《关于智慧节能阀门建设项目水土保持方案的批复》</w:t>
            </w:r>
          </w:p>
        </w:tc>
        <w:tc>
          <w:tcPr>
            <w:tcW w:w="2116" w:type="dxa"/>
            <w:vAlign w:val="center"/>
          </w:tcPr>
          <w:p w14:paraId="1469FFDE"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城行审三</w:t>
            </w:r>
            <w:r>
              <w:rPr>
                <w:rFonts w:ascii="Times New Roman" w:hAnsi="Times New Roman" w:hint="eastAsia"/>
                <w:sz w:val="21"/>
                <w:szCs w:val="21"/>
              </w:rPr>
              <w:t>[</w:t>
            </w:r>
            <w:r>
              <w:rPr>
                <w:rFonts w:ascii="Times New Roman" w:hAnsi="Times New Roman"/>
                <w:sz w:val="21"/>
                <w:szCs w:val="21"/>
              </w:rPr>
              <w:t>2023]567</w:t>
            </w:r>
            <w:r>
              <w:rPr>
                <w:rFonts w:ascii="Times New Roman" w:hAnsi="Times New Roman" w:hint="eastAsia"/>
                <w:sz w:val="21"/>
                <w:szCs w:val="21"/>
              </w:rPr>
              <w:t>号</w:t>
            </w:r>
          </w:p>
        </w:tc>
        <w:tc>
          <w:tcPr>
            <w:tcW w:w="1441" w:type="dxa"/>
            <w:vAlign w:val="center"/>
          </w:tcPr>
          <w:p w14:paraId="41899EA5"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城阳区行政审批服务局</w:t>
            </w:r>
          </w:p>
        </w:tc>
        <w:tc>
          <w:tcPr>
            <w:tcW w:w="1501" w:type="dxa"/>
            <w:vAlign w:val="center"/>
          </w:tcPr>
          <w:p w14:paraId="57980638"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2</w:t>
            </w:r>
            <w:r>
              <w:rPr>
                <w:rFonts w:ascii="Times New Roman" w:hAnsi="Times New Roman"/>
                <w:sz w:val="21"/>
                <w:szCs w:val="21"/>
              </w:rPr>
              <w:t>023</w:t>
            </w:r>
            <w:r>
              <w:rPr>
                <w:rFonts w:ascii="Times New Roman" w:hAnsi="Times New Roman" w:hint="eastAsia"/>
                <w:sz w:val="21"/>
                <w:szCs w:val="21"/>
              </w:rPr>
              <w:t>.</w:t>
            </w:r>
            <w:r>
              <w:rPr>
                <w:rFonts w:ascii="Times New Roman" w:hAnsi="Times New Roman"/>
                <w:sz w:val="21"/>
                <w:szCs w:val="21"/>
              </w:rPr>
              <w:t>0</w:t>
            </w:r>
            <w:r>
              <w:rPr>
                <w:rFonts w:ascii="Times New Roman" w:hAnsi="Times New Roman" w:hint="eastAsia"/>
                <w:sz w:val="21"/>
                <w:szCs w:val="21"/>
              </w:rPr>
              <w:t>8.</w:t>
            </w:r>
            <w:r>
              <w:rPr>
                <w:rFonts w:ascii="Times New Roman" w:hAnsi="Times New Roman"/>
                <w:sz w:val="21"/>
                <w:szCs w:val="21"/>
              </w:rPr>
              <w:t>0</w:t>
            </w:r>
            <w:r>
              <w:rPr>
                <w:rFonts w:ascii="Times New Roman" w:hAnsi="Times New Roman" w:hint="eastAsia"/>
                <w:sz w:val="21"/>
                <w:szCs w:val="21"/>
              </w:rPr>
              <w:t>8</w:t>
            </w:r>
          </w:p>
        </w:tc>
      </w:tr>
      <w:tr w:rsidR="008D76D6" w14:paraId="7F02DF84" w14:textId="77777777">
        <w:trPr>
          <w:jc w:val="center"/>
        </w:trPr>
        <w:tc>
          <w:tcPr>
            <w:tcW w:w="907" w:type="dxa"/>
            <w:vAlign w:val="center"/>
          </w:tcPr>
          <w:p w14:paraId="1570FCC2"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4</w:t>
            </w:r>
          </w:p>
        </w:tc>
        <w:tc>
          <w:tcPr>
            <w:tcW w:w="1579" w:type="dxa"/>
            <w:vAlign w:val="center"/>
          </w:tcPr>
          <w:p w14:paraId="2A9D5E3E" w14:textId="77777777" w:rsidR="008D76D6" w:rsidRDefault="008D76D6" w:rsidP="00B434D2">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节能审查</w:t>
            </w:r>
          </w:p>
        </w:tc>
        <w:tc>
          <w:tcPr>
            <w:tcW w:w="6756" w:type="dxa"/>
            <w:gridSpan w:val="4"/>
            <w:vAlign w:val="center"/>
          </w:tcPr>
          <w:p w14:paraId="72353A1A"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不适用</w:t>
            </w:r>
          </w:p>
        </w:tc>
      </w:tr>
      <w:tr w:rsidR="008D76D6" w14:paraId="76681C7F" w14:textId="77777777">
        <w:trPr>
          <w:jc w:val="center"/>
        </w:trPr>
        <w:tc>
          <w:tcPr>
            <w:tcW w:w="907" w:type="dxa"/>
            <w:vAlign w:val="center"/>
          </w:tcPr>
          <w:p w14:paraId="2C45D6B2"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5</w:t>
            </w:r>
          </w:p>
        </w:tc>
        <w:tc>
          <w:tcPr>
            <w:tcW w:w="1579" w:type="dxa"/>
            <w:vAlign w:val="center"/>
          </w:tcPr>
          <w:p w14:paraId="0E4A3B5D" w14:textId="77777777" w:rsidR="008D76D6" w:rsidRDefault="008D76D6" w:rsidP="00B434D2">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安全评价</w:t>
            </w:r>
          </w:p>
        </w:tc>
        <w:tc>
          <w:tcPr>
            <w:tcW w:w="6756" w:type="dxa"/>
            <w:gridSpan w:val="4"/>
            <w:vAlign w:val="center"/>
          </w:tcPr>
          <w:p w14:paraId="50D42A50"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不适用</w:t>
            </w:r>
          </w:p>
        </w:tc>
      </w:tr>
      <w:tr w:rsidR="008D76D6" w14:paraId="3B458946" w14:textId="77777777">
        <w:trPr>
          <w:jc w:val="center"/>
        </w:trPr>
        <w:tc>
          <w:tcPr>
            <w:tcW w:w="907" w:type="dxa"/>
            <w:vAlign w:val="center"/>
          </w:tcPr>
          <w:p w14:paraId="131A2163"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6</w:t>
            </w:r>
          </w:p>
        </w:tc>
        <w:tc>
          <w:tcPr>
            <w:tcW w:w="1579" w:type="dxa"/>
            <w:vAlign w:val="center"/>
          </w:tcPr>
          <w:p w14:paraId="6C7F8025" w14:textId="77777777" w:rsidR="008D76D6" w:rsidRDefault="008D76D6" w:rsidP="00B434D2">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不动产权证书</w:t>
            </w:r>
          </w:p>
        </w:tc>
        <w:tc>
          <w:tcPr>
            <w:tcW w:w="1698" w:type="dxa"/>
            <w:vAlign w:val="center"/>
          </w:tcPr>
          <w:p w14:paraId="7263F995" w14:textId="77777777" w:rsidR="008D76D6" w:rsidRDefault="008D76D6" w:rsidP="00B434D2">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sz w:val="21"/>
                <w:szCs w:val="21"/>
              </w:rPr>
              <w:t>不动产权证书</w:t>
            </w:r>
          </w:p>
        </w:tc>
        <w:tc>
          <w:tcPr>
            <w:tcW w:w="2116" w:type="dxa"/>
            <w:vAlign w:val="center"/>
          </w:tcPr>
          <w:p w14:paraId="006AC9EF"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sz w:val="21"/>
                <w:szCs w:val="21"/>
              </w:rPr>
              <w:t>鲁（</w:t>
            </w:r>
            <w:r>
              <w:rPr>
                <w:rFonts w:ascii="Times New Roman" w:hAnsi="Times New Roman"/>
                <w:sz w:val="21"/>
                <w:szCs w:val="21"/>
              </w:rPr>
              <w:t>2023</w:t>
            </w:r>
            <w:r>
              <w:rPr>
                <w:rFonts w:ascii="Times New Roman" w:hAnsi="Times New Roman"/>
                <w:sz w:val="21"/>
                <w:szCs w:val="21"/>
              </w:rPr>
              <w:t>）青岛市高新区不动产权第</w:t>
            </w:r>
            <w:r>
              <w:rPr>
                <w:rFonts w:ascii="Times New Roman" w:hAnsi="Times New Roman"/>
                <w:sz w:val="21"/>
                <w:szCs w:val="21"/>
              </w:rPr>
              <w:t>0044317</w:t>
            </w:r>
            <w:r>
              <w:rPr>
                <w:rFonts w:ascii="Times New Roman" w:hAnsi="Times New Roman"/>
                <w:sz w:val="21"/>
                <w:szCs w:val="21"/>
              </w:rPr>
              <w:t>号</w:t>
            </w:r>
          </w:p>
        </w:tc>
        <w:tc>
          <w:tcPr>
            <w:tcW w:w="1441" w:type="dxa"/>
            <w:vAlign w:val="center"/>
          </w:tcPr>
          <w:p w14:paraId="1BD19298"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sz w:val="21"/>
                <w:szCs w:val="21"/>
              </w:rPr>
              <w:t>青岛市自然资源和规划局</w:t>
            </w:r>
          </w:p>
        </w:tc>
        <w:tc>
          <w:tcPr>
            <w:tcW w:w="1501" w:type="dxa"/>
            <w:vAlign w:val="center"/>
          </w:tcPr>
          <w:p w14:paraId="51F1909C"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sz w:val="21"/>
                <w:szCs w:val="21"/>
              </w:rPr>
              <w:t>2023.04.17</w:t>
            </w:r>
          </w:p>
        </w:tc>
      </w:tr>
      <w:tr w:rsidR="008D76D6" w14:paraId="54FC85E0" w14:textId="77777777">
        <w:trPr>
          <w:jc w:val="center"/>
        </w:trPr>
        <w:tc>
          <w:tcPr>
            <w:tcW w:w="907" w:type="dxa"/>
            <w:vAlign w:val="center"/>
          </w:tcPr>
          <w:p w14:paraId="75B0276E"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7</w:t>
            </w:r>
          </w:p>
        </w:tc>
        <w:tc>
          <w:tcPr>
            <w:tcW w:w="1579" w:type="dxa"/>
            <w:vAlign w:val="center"/>
          </w:tcPr>
          <w:p w14:paraId="01E5A179" w14:textId="77777777" w:rsidR="008D76D6" w:rsidRDefault="008D76D6" w:rsidP="00B434D2">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建设用地规划许可证</w:t>
            </w:r>
          </w:p>
        </w:tc>
        <w:tc>
          <w:tcPr>
            <w:tcW w:w="1698" w:type="dxa"/>
            <w:vAlign w:val="center"/>
          </w:tcPr>
          <w:p w14:paraId="617051D5" w14:textId="77777777" w:rsidR="008D76D6" w:rsidRDefault="008D76D6" w:rsidP="00B434D2">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建设用地规划许可证</w:t>
            </w:r>
          </w:p>
        </w:tc>
        <w:tc>
          <w:tcPr>
            <w:tcW w:w="2116" w:type="dxa"/>
            <w:vAlign w:val="center"/>
          </w:tcPr>
          <w:p w14:paraId="2D003F09" w14:textId="77777777" w:rsidR="008D76D6" w:rsidRDefault="008D76D6">
            <w:pPr>
              <w:spacing w:beforeLines="0" w:before="0" w:afterLines="0" w:after="0" w:line="240" w:lineRule="auto"/>
              <w:ind w:firstLineChars="0" w:firstLine="0"/>
              <w:jc w:val="center"/>
              <w:rPr>
                <w:rFonts w:ascii="Times New Roman" w:hAnsi="Times New Roman"/>
                <w:sz w:val="21"/>
                <w:szCs w:val="21"/>
              </w:rPr>
            </w:pPr>
            <w:r>
              <w:rPr>
                <w:rFonts w:ascii="Times New Roman" w:hAnsi="Times New Roman" w:hint="eastAsia"/>
                <w:sz w:val="21"/>
                <w:szCs w:val="21"/>
              </w:rPr>
              <w:t>地字第</w:t>
            </w:r>
            <w:r>
              <w:rPr>
                <w:rFonts w:ascii="Times New Roman" w:hAnsi="Times New Roman" w:hint="eastAsia"/>
                <w:sz w:val="21"/>
                <w:szCs w:val="21"/>
              </w:rPr>
              <w:t>3</w:t>
            </w:r>
            <w:r>
              <w:rPr>
                <w:rFonts w:ascii="Times New Roman" w:hAnsi="Times New Roman"/>
                <w:sz w:val="21"/>
                <w:szCs w:val="21"/>
              </w:rPr>
              <w:t>70200202316029</w:t>
            </w:r>
            <w:r>
              <w:rPr>
                <w:rFonts w:ascii="Times New Roman" w:hAnsi="Times New Roman" w:hint="eastAsia"/>
                <w:sz w:val="21"/>
                <w:szCs w:val="21"/>
              </w:rPr>
              <w:t>号</w:t>
            </w:r>
          </w:p>
        </w:tc>
        <w:tc>
          <w:tcPr>
            <w:tcW w:w="1441" w:type="dxa"/>
            <w:vAlign w:val="center"/>
          </w:tcPr>
          <w:p w14:paraId="7D7F00E7" w14:textId="77777777" w:rsidR="008D76D6" w:rsidRDefault="008D76D6">
            <w:pPr>
              <w:spacing w:beforeLines="0" w:before="0" w:afterLines="0" w:after="0" w:line="240" w:lineRule="auto"/>
              <w:ind w:firstLineChars="0" w:firstLine="0"/>
              <w:jc w:val="center"/>
              <w:rPr>
                <w:rFonts w:ascii="Times New Roman" w:hAnsi="Times New Roman"/>
                <w:sz w:val="21"/>
                <w:szCs w:val="21"/>
              </w:rPr>
            </w:pPr>
            <w:r>
              <w:rPr>
                <w:rFonts w:ascii="Times New Roman" w:hAnsi="Times New Roman"/>
                <w:sz w:val="21"/>
                <w:szCs w:val="21"/>
              </w:rPr>
              <w:t>青岛市自然资源和规划局</w:t>
            </w:r>
          </w:p>
        </w:tc>
        <w:tc>
          <w:tcPr>
            <w:tcW w:w="1501" w:type="dxa"/>
            <w:vAlign w:val="center"/>
          </w:tcPr>
          <w:p w14:paraId="0C528672" w14:textId="77777777" w:rsidR="008D76D6" w:rsidRDefault="008D76D6">
            <w:pPr>
              <w:spacing w:beforeLines="0" w:before="0" w:afterLines="0" w:after="0" w:line="240" w:lineRule="auto"/>
              <w:ind w:firstLineChars="0" w:firstLine="0"/>
              <w:jc w:val="center"/>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023.12.21</w:t>
            </w:r>
          </w:p>
        </w:tc>
      </w:tr>
      <w:tr w:rsidR="008D76D6" w14:paraId="5C3919F8" w14:textId="77777777">
        <w:trPr>
          <w:jc w:val="center"/>
        </w:trPr>
        <w:tc>
          <w:tcPr>
            <w:tcW w:w="907" w:type="dxa"/>
            <w:vAlign w:val="center"/>
          </w:tcPr>
          <w:p w14:paraId="76A8C0A2"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8</w:t>
            </w:r>
          </w:p>
        </w:tc>
        <w:tc>
          <w:tcPr>
            <w:tcW w:w="1579" w:type="dxa"/>
            <w:vAlign w:val="center"/>
          </w:tcPr>
          <w:p w14:paraId="42F2F406" w14:textId="77777777" w:rsidR="008D76D6" w:rsidRDefault="008D76D6" w:rsidP="00B434D2">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建设工程规划许可证</w:t>
            </w:r>
          </w:p>
        </w:tc>
        <w:tc>
          <w:tcPr>
            <w:tcW w:w="1698" w:type="dxa"/>
            <w:vAlign w:val="center"/>
          </w:tcPr>
          <w:p w14:paraId="7D8856AE" w14:textId="77777777" w:rsidR="008D76D6" w:rsidRDefault="008D76D6" w:rsidP="00B434D2">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sz w:val="21"/>
                <w:szCs w:val="21"/>
              </w:rPr>
              <w:t>建设工程规划许可证</w:t>
            </w:r>
          </w:p>
        </w:tc>
        <w:tc>
          <w:tcPr>
            <w:tcW w:w="2116" w:type="dxa"/>
            <w:vAlign w:val="center"/>
          </w:tcPr>
          <w:p w14:paraId="72723C81"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sz w:val="21"/>
                <w:szCs w:val="21"/>
              </w:rPr>
              <w:t>建字第</w:t>
            </w:r>
            <w:r>
              <w:rPr>
                <w:rFonts w:ascii="Times New Roman" w:hAnsi="Times New Roman"/>
                <w:sz w:val="21"/>
                <w:szCs w:val="21"/>
              </w:rPr>
              <w:t>370200202316014</w:t>
            </w:r>
            <w:r>
              <w:rPr>
                <w:rFonts w:ascii="Times New Roman" w:hAnsi="Times New Roman"/>
                <w:sz w:val="21"/>
                <w:szCs w:val="21"/>
              </w:rPr>
              <w:t>号</w:t>
            </w:r>
          </w:p>
        </w:tc>
        <w:tc>
          <w:tcPr>
            <w:tcW w:w="1441" w:type="dxa"/>
            <w:vAlign w:val="center"/>
          </w:tcPr>
          <w:p w14:paraId="23882543"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sz w:val="21"/>
                <w:szCs w:val="21"/>
              </w:rPr>
              <w:t>青岛市自然资源和规划局</w:t>
            </w:r>
          </w:p>
        </w:tc>
        <w:tc>
          <w:tcPr>
            <w:tcW w:w="1501" w:type="dxa"/>
            <w:vAlign w:val="center"/>
          </w:tcPr>
          <w:p w14:paraId="390A53AE"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sz w:val="21"/>
                <w:szCs w:val="21"/>
              </w:rPr>
              <w:t>2023.04.20</w:t>
            </w:r>
          </w:p>
        </w:tc>
      </w:tr>
      <w:tr w:rsidR="008D76D6" w14:paraId="4D253266" w14:textId="77777777">
        <w:trPr>
          <w:jc w:val="center"/>
        </w:trPr>
        <w:tc>
          <w:tcPr>
            <w:tcW w:w="907" w:type="dxa"/>
            <w:vAlign w:val="center"/>
          </w:tcPr>
          <w:p w14:paraId="15A61E2E"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9</w:t>
            </w:r>
          </w:p>
        </w:tc>
        <w:tc>
          <w:tcPr>
            <w:tcW w:w="1579" w:type="dxa"/>
            <w:vAlign w:val="center"/>
          </w:tcPr>
          <w:p w14:paraId="20E09172" w14:textId="77777777" w:rsidR="008D76D6" w:rsidRDefault="008D76D6" w:rsidP="00B434D2">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hint="eastAsia"/>
                <w:sz w:val="21"/>
                <w:szCs w:val="21"/>
              </w:rPr>
              <w:t>施工许可证</w:t>
            </w:r>
          </w:p>
        </w:tc>
        <w:tc>
          <w:tcPr>
            <w:tcW w:w="1698" w:type="dxa"/>
            <w:vAlign w:val="center"/>
          </w:tcPr>
          <w:p w14:paraId="623887DF" w14:textId="77777777" w:rsidR="008D76D6" w:rsidRDefault="008D76D6" w:rsidP="00B434D2">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sz w:val="21"/>
                <w:szCs w:val="21"/>
              </w:rPr>
              <w:t>建筑工程施工许可证</w:t>
            </w:r>
          </w:p>
        </w:tc>
        <w:tc>
          <w:tcPr>
            <w:tcW w:w="2116" w:type="dxa"/>
            <w:vAlign w:val="center"/>
          </w:tcPr>
          <w:p w14:paraId="2DC15E77"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sz w:val="21"/>
                <w:szCs w:val="21"/>
              </w:rPr>
              <w:t>370215202307310101</w:t>
            </w:r>
          </w:p>
        </w:tc>
        <w:tc>
          <w:tcPr>
            <w:tcW w:w="1441" w:type="dxa"/>
            <w:vAlign w:val="center"/>
          </w:tcPr>
          <w:p w14:paraId="6E51B6A5"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sz w:val="21"/>
                <w:szCs w:val="21"/>
              </w:rPr>
              <w:t>城阳区行政审批服务局</w:t>
            </w:r>
          </w:p>
        </w:tc>
        <w:tc>
          <w:tcPr>
            <w:tcW w:w="1501" w:type="dxa"/>
            <w:vAlign w:val="center"/>
          </w:tcPr>
          <w:p w14:paraId="4FD8D9B7" w14:textId="77777777" w:rsidR="008D76D6" w:rsidRDefault="008D76D6">
            <w:pPr>
              <w:spacing w:beforeLines="0" w:before="0" w:afterLines="0" w:after="0" w:line="240" w:lineRule="auto"/>
              <w:ind w:firstLineChars="0" w:firstLine="0"/>
              <w:jc w:val="center"/>
              <w:rPr>
                <w:rFonts w:ascii="Times New Roman" w:hAnsi="Times New Roman" w:hint="eastAsia"/>
                <w:sz w:val="21"/>
                <w:szCs w:val="21"/>
              </w:rPr>
            </w:pPr>
            <w:r>
              <w:rPr>
                <w:rFonts w:ascii="Times New Roman" w:hAnsi="Times New Roman"/>
                <w:sz w:val="21"/>
                <w:szCs w:val="21"/>
              </w:rPr>
              <w:t>2023.07.31</w:t>
            </w:r>
          </w:p>
        </w:tc>
      </w:tr>
    </w:tbl>
    <w:p w14:paraId="270B42A1" w14:textId="77777777" w:rsidR="008D76D6" w:rsidRDefault="008D76D6">
      <w:pPr>
        <w:pStyle w:val="aff0"/>
        <w:widowControl w:val="0"/>
        <w:spacing w:beforeLines="50" w:before="120" w:afterLines="50" w:after="120" w:line="360" w:lineRule="auto"/>
        <w:ind w:firstLineChars="200" w:firstLine="480"/>
        <w:jc w:val="both"/>
        <w:rPr>
          <w:rFonts w:ascii="Times New Roman" w:hAnsi="Times New Roman"/>
        </w:rPr>
      </w:pPr>
      <w:bookmarkStart w:id="35" w:name="_Hlk138984895"/>
      <w:r>
        <w:rPr>
          <w:rFonts w:ascii="Times New Roman" w:hAnsi="Times New Roman"/>
        </w:rPr>
        <w:t>2</w:t>
      </w:r>
      <w:r>
        <w:rPr>
          <w:rFonts w:ascii="Times New Roman" w:hAnsi="Times New Roman" w:hint="default"/>
        </w:rPr>
        <w:t>023</w:t>
      </w:r>
      <w:r>
        <w:rPr>
          <w:rFonts w:ascii="Times New Roman" w:hAnsi="Times New Roman"/>
        </w:rPr>
        <w:t>年</w:t>
      </w:r>
      <w:r>
        <w:rPr>
          <w:rFonts w:ascii="Times New Roman" w:hAnsi="Times New Roman"/>
        </w:rPr>
        <w:t>1</w:t>
      </w:r>
      <w:r>
        <w:rPr>
          <w:rFonts w:ascii="Times New Roman" w:hAnsi="Times New Roman"/>
        </w:rPr>
        <w:t>月，青岛蓝霖环保科技有限公司出具《青岛伟隆阀门股份有限公司智慧节能阀门建设项目节能报告》，发行人募投项目的年电力消费量为</w:t>
      </w:r>
      <w:r>
        <w:rPr>
          <w:rFonts w:ascii="Times New Roman" w:hAnsi="Times New Roman"/>
        </w:rPr>
        <w:t>1</w:t>
      </w:r>
      <w:r>
        <w:rPr>
          <w:rFonts w:ascii="Times New Roman" w:hAnsi="Times New Roman" w:hint="default"/>
        </w:rPr>
        <w:t>77.767</w:t>
      </w:r>
      <w:r>
        <w:rPr>
          <w:rFonts w:ascii="Times New Roman" w:hAnsi="Times New Roman"/>
        </w:rPr>
        <w:t>万千瓦时，年综合能源消费量为</w:t>
      </w:r>
      <w:r>
        <w:rPr>
          <w:rFonts w:ascii="Times New Roman" w:hAnsi="Times New Roman"/>
        </w:rPr>
        <w:t>8</w:t>
      </w:r>
      <w:r>
        <w:rPr>
          <w:rFonts w:ascii="Times New Roman" w:hAnsi="Times New Roman" w:hint="default"/>
        </w:rPr>
        <w:t>76.47</w:t>
      </w:r>
      <w:r>
        <w:rPr>
          <w:rFonts w:ascii="Times New Roman" w:hAnsi="Times New Roman"/>
        </w:rPr>
        <w:t>吨标准煤。</w:t>
      </w:r>
    </w:p>
    <w:p w14:paraId="7607F094" w14:textId="77777777" w:rsidR="008D76D6" w:rsidRDefault="008D76D6">
      <w:pPr>
        <w:pStyle w:val="aff0"/>
        <w:widowControl w:val="0"/>
        <w:spacing w:beforeLines="50" w:before="120" w:afterLines="50" w:after="120" w:line="360" w:lineRule="auto"/>
        <w:ind w:firstLineChars="200" w:firstLine="480"/>
        <w:jc w:val="both"/>
        <w:rPr>
          <w:rFonts w:ascii="Times New Roman" w:hAnsi="Times New Roman" w:hint="default"/>
        </w:rPr>
      </w:pPr>
      <w:r>
        <w:rPr>
          <w:rFonts w:ascii="Times New Roman" w:hAnsi="Times New Roman" w:hint="default"/>
        </w:rPr>
        <w:t>根据《固定资产投资项目节能审查办法》第九条第三款规定</w:t>
      </w:r>
      <w:r w:rsidR="00633B74">
        <w:rPr>
          <w:rFonts w:ascii="Times New Roman" w:hAnsi="Times New Roman"/>
        </w:rPr>
        <w:t>：</w:t>
      </w:r>
      <w:bookmarkEnd w:id="35"/>
      <w:r>
        <w:rPr>
          <w:rFonts w:ascii="Times New Roman" w:hAnsi="Times New Roman" w:hint="default"/>
        </w:rPr>
        <w:t>“</w:t>
      </w:r>
      <w:r>
        <w:rPr>
          <w:rFonts w:ascii="Times New Roman" w:hAnsi="Times New Roman" w:hint="default"/>
        </w:rPr>
        <w:t>年综合能源消费量不满</w:t>
      </w:r>
      <w:r>
        <w:rPr>
          <w:rFonts w:ascii="Times New Roman" w:hAnsi="Times New Roman" w:hint="default"/>
        </w:rPr>
        <w:t>1000</w:t>
      </w:r>
      <w:r>
        <w:rPr>
          <w:rFonts w:ascii="Times New Roman" w:hAnsi="Times New Roman" w:hint="default"/>
        </w:rPr>
        <w:t>吨标准煤且年电力消费量不满</w:t>
      </w:r>
      <w:r>
        <w:rPr>
          <w:rFonts w:ascii="Times New Roman" w:hAnsi="Times New Roman" w:hint="default"/>
        </w:rPr>
        <w:t>500</w:t>
      </w:r>
      <w:r>
        <w:rPr>
          <w:rFonts w:ascii="Times New Roman" w:hAnsi="Times New Roman" w:hint="default"/>
        </w:rPr>
        <w:t>万千瓦时的固定资产投资项目，涉及国家秘密的固定资产投资项目以及用能工艺简单、节能潜力小的行业（具体行业目录由国家发展改革委制定公布并适时更新）的固定资产投资项目，可不单独编制节能报告。项目应按照相关节能标准、规范建设，项目可行性研究报告或项目申请报告应对项目能源利用、节能措施和能效水平等进行分析。节能审查机关对项目不再单独进行节能审查，不再出具节能审查意见。</w:t>
      </w:r>
      <w:r>
        <w:rPr>
          <w:rFonts w:ascii="Times New Roman" w:hAnsi="Times New Roman" w:hint="default"/>
        </w:rPr>
        <w:t>”</w:t>
      </w:r>
    </w:p>
    <w:p w14:paraId="29A552A8" w14:textId="77777777" w:rsidR="008D76D6" w:rsidRDefault="008D76D6">
      <w:pPr>
        <w:pStyle w:val="aff0"/>
        <w:widowControl w:val="0"/>
        <w:spacing w:beforeLines="50" w:before="120" w:afterLines="50" w:after="120" w:line="360" w:lineRule="auto"/>
        <w:ind w:firstLineChars="200" w:firstLine="480"/>
        <w:jc w:val="both"/>
        <w:rPr>
          <w:rFonts w:ascii="Times New Roman" w:hAnsi="Times New Roman"/>
        </w:rPr>
      </w:pPr>
      <w:r>
        <w:rPr>
          <w:rFonts w:ascii="Times New Roman" w:hAnsi="Times New Roman"/>
        </w:rPr>
        <w:t>经核查，发行人本次募投项目</w:t>
      </w:r>
      <w:r>
        <w:rPr>
          <w:rFonts w:ascii="Times New Roman" w:hAnsi="Times New Roman" w:hint="default"/>
        </w:rPr>
        <w:t>年综合能源消费量不满</w:t>
      </w:r>
      <w:r>
        <w:rPr>
          <w:rFonts w:ascii="Times New Roman" w:hAnsi="Times New Roman" w:hint="default"/>
        </w:rPr>
        <w:t>1</w:t>
      </w:r>
      <w:r w:rsidR="0054103E">
        <w:rPr>
          <w:rFonts w:ascii="Times New Roman" w:hAnsi="Times New Roman" w:hint="default"/>
        </w:rPr>
        <w:t>,</w:t>
      </w:r>
      <w:r>
        <w:rPr>
          <w:rFonts w:ascii="Times New Roman" w:hAnsi="Times New Roman" w:hint="default"/>
        </w:rPr>
        <w:t>000</w:t>
      </w:r>
      <w:r>
        <w:rPr>
          <w:rFonts w:ascii="Times New Roman" w:hAnsi="Times New Roman" w:hint="default"/>
        </w:rPr>
        <w:t>吨标准煤且年电力消费量不满</w:t>
      </w:r>
      <w:r>
        <w:rPr>
          <w:rFonts w:ascii="Times New Roman" w:hAnsi="Times New Roman" w:hint="default"/>
        </w:rPr>
        <w:t>500</w:t>
      </w:r>
      <w:r>
        <w:rPr>
          <w:rFonts w:ascii="Times New Roman" w:hAnsi="Times New Roman" w:hint="default"/>
        </w:rPr>
        <w:t>万千瓦时</w:t>
      </w:r>
      <w:r w:rsidR="0054103E">
        <w:rPr>
          <w:rFonts w:ascii="Times New Roman" w:hAnsi="Times New Roman"/>
        </w:rPr>
        <w:t>。</w:t>
      </w:r>
      <w:r>
        <w:rPr>
          <w:rFonts w:ascii="Times New Roman" w:hAnsi="Times New Roman"/>
        </w:rPr>
        <w:t>根据上述规定，发行人本次募投项目无需节能审查机关单独进行节能审查并出具节能审查意见。</w:t>
      </w:r>
    </w:p>
    <w:p w14:paraId="4660B84B" w14:textId="77777777" w:rsidR="008D76D6" w:rsidRDefault="008D76D6">
      <w:pPr>
        <w:pStyle w:val="aff0"/>
        <w:spacing w:beforeLines="50" w:before="120" w:afterLines="50" w:after="120" w:line="360" w:lineRule="auto"/>
        <w:ind w:firstLineChars="200" w:firstLine="480"/>
        <w:jc w:val="both"/>
        <w:rPr>
          <w:rFonts w:ascii="Times New Roman" w:hAnsi="Times New Roman"/>
        </w:rPr>
      </w:pPr>
      <w:r>
        <w:rPr>
          <w:rFonts w:ascii="Times New Roman" w:hAnsi="Times New Roman"/>
        </w:rPr>
        <w:t>根据《中华人民共和国安全生产法》第三十二条规定：“矿山、金属冶炼建设项目和用于生产、储存、装卸危险物品的建设项目，应当按照国家有关规定进行安全评价</w:t>
      </w:r>
      <w:r w:rsidR="00633B74">
        <w:rPr>
          <w:rFonts w:ascii="Times New Roman" w:hAnsi="Times New Roman"/>
        </w:rPr>
        <w:t>。</w:t>
      </w:r>
      <w:r>
        <w:rPr>
          <w:rFonts w:ascii="Times New Roman" w:hAnsi="Times New Roman"/>
        </w:rPr>
        <w:t>”</w:t>
      </w:r>
    </w:p>
    <w:p w14:paraId="078AF71B" w14:textId="77777777" w:rsidR="008D76D6" w:rsidRDefault="008D76D6">
      <w:pPr>
        <w:pStyle w:val="aff0"/>
        <w:spacing w:beforeLines="50" w:before="120" w:afterLines="50" w:after="120" w:line="360" w:lineRule="auto"/>
        <w:ind w:firstLineChars="200" w:firstLine="480"/>
        <w:jc w:val="both"/>
        <w:rPr>
          <w:rFonts w:ascii="Times New Roman" w:hAnsi="Times New Roman"/>
        </w:rPr>
      </w:pPr>
      <w:r>
        <w:rPr>
          <w:rFonts w:ascii="Times New Roman" w:hAnsi="Times New Roman"/>
        </w:rPr>
        <w:t>根据《建设项目安全设施“三同时”监督管理办法》第七条至第九条规定，非煤矿矿山建设项目的建设项目；生产、储存危险化学品（包括使用长输管道输送危险化学品，下同）的建设项目；生产、储存烟花爆竹的建设项目；金属冶炼建设项目；使用危险化学品从事生产并且使用量达到规定数量的化工建设项目（属于危险化学品生产的除外）的生产经营单位应当委托具有相应资质的安全评价机构，对其建设项目进行安全预评价，并编制安全预评价报告。除前述项目以外的其他建设项目的生产经营单位应当对其安全生产条件和设施进行综合分析，形成书面报告备查。</w:t>
      </w:r>
    </w:p>
    <w:p w14:paraId="793682D3" w14:textId="77777777" w:rsidR="008D76D6" w:rsidRDefault="008D76D6">
      <w:pPr>
        <w:pStyle w:val="aff0"/>
        <w:spacing w:beforeLines="50" w:before="120" w:afterLines="50" w:after="120" w:line="360" w:lineRule="auto"/>
        <w:ind w:firstLineChars="200" w:firstLine="480"/>
        <w:jc w:val="both"/>
        <w:rPr>
          <w:rFonts w:ascii="Times New Roman" w:hAnsi="Times New Roman"/>
        </w:rPr>
      </w:pPr>
      <w:r>
        <w:rPr>
          <w:rFonts w:ascii="Times New Roman" w:hAnsi="Times New Roman"/>
        </w:rPr>
        <w:t>根据《建设项目安全设施“三同时”监督管理办法》第十条第一款的规定，生产经营单位在建设项目初步设计时，应当委托有相应资质的设计单位对建设项目安全设施同时进行设计，编制安全设施设计；第十六条规定，本办法第七条第（一）项、第（二）项、第（三）项和第（四）项规定以外的建设项目安全设施设计，由生产经营单位组织审查，形成书面报告备查。</w:t>
      </w:r>
    </w:p>
    <w:p w14:paraId="3B45C573" w14:textId="77777777" w:rsidR="008D76D6" w:rsidRDefault="008D76D6">
      <w:pPr>
        <w:pStyle w:val="aff0"/>
        <w:spacing w:beforeLines="50" w:before="120" w:afterLines="50" w:after="120" w:line="360" w:lineRule="auto"/>
        <w:ind w:firstLineChars="200" w:firstLine="480"/>
        <w:jc w:val="both"/>
        <w:rPr>
          <w:rFonts w:ascii="Times New Roman" w:hAnsi="Times New Roman"/>
        </w:rPr>
      </w:pPr>
      <w:r>
        <w:rPr>
          <w:rFonts w:ascii="Times New Roman" w:hAnsi="Times New Roman"/>
        </w:rPr>
        <w:t>根据上述规定，本次募投项目为智慧节能阀门建设项目和补充流动资金，不属于《建设项目安全设施“三同时”监督管理办法》第七条规定的建设项目，发行人无需就本次发行募投项目办理安全预评价相关手续。同时根据规定，发行人应当委托有相应资质的设计单位对建设项目安全设施同时进行设计，由生产经营单位发行人自行组织审查，形成书面报告备查。</w:t>
      </w:r>
    </w:p>
    <w:p w14:paraId="7EB49CB9" w14:textId="77777777" w:rsidR="008D76D6" w:rsidRDefault="008D76D6">
      <w:pPr>
        <w:pStyle w:val="aff0"/>
        <w:widowControl w:val="0"/>
        <w:spacing w:beforeLines="50" w:before="120" w:afterLines="50" w:after="120" w:line="360" w:lineRule="auto"/>
        <w:ind w:firstLineChars="200" w:firstLine="480"/>
        <w:jc w:val="both"/>
        <w:rPr>
          <w:rFonts w:ascii="Times New Roman" w:hAnsi="Times New Roman"/>
        </w:rPr>
      </w:pPr>
      <w:r>
        <w:rPr>
          <w:rFonts w:ascii="Times New Roman" w:hAnsi="Times New Roman"/>
        </w:rPr>
        <w:t>发行人已就本次募投项目聘请了具备相应资质的安全设施设计单位进行安全设施设计，并取得相关报告，后续将在安全设施完工并组织试运行后完成安全设施竣工验收。</w:t>
      </w:r>
    </w:p>
    <w:p w14:paraId="71ED5E23" w14:textId="77777777" w:rsidR="008D76D6" w:rsidRDefault="008D76D6">
      <w:pPr>
        <w:spacing w:before="120" w:after="120"/>
        <w:ind w:firstLine="480"/>
        <w:rPr>
          <w:rFonts w:ascii="Times New Roman" w:hAnsi="Times New Roman"/>
          <w:szCs w:val="24"/>
        </w:rPr>
      </w:pPr>
      <w:r>
        <w:rPr>
          <w:rFonts w:ascii="Times New Roman" w:hAnsi="Times New Roman" w:hint="eastAsia"/>
          <w:szCs w:val="24"/>
        </w:rPr>
        <w:t>综上所述，本所律师认为，发行人本次募投项目已取得现阶段所需的所有审批文件，实施不存在重大不确定性或实质性障碍。</w:t>
      </w:r>
    </w:p>
    <w:p w14:paraId="3A416B83" w14:textId="77777777" w:rsidR="008D76D6" w:rsidRPr="00AC74B8" w:rsidRDefault="00AC74B8" w:rsidP="00B434D2">
      <w:pPr>
        <w:pStyle w:val="003"/>
        <w:keepNext w:val="0"/>
        <w:keepLines w:val="0"/>
        <w:widowControl w:val="0"/>
        <w:spacing w:before="120" w:after="120"/>
        <w:ind w:firstLine="482"/>
      </w:pPr>
      <w:r w:rsidRPr="00AC74B8">
        <w:rPr>
          <w:rFonts w:hint="eastAsia"/>
        </w:rPr>
        <w:t>二、</w:t>
      </w:r>
      <w:r w:rsidR="008D76D6" w:rsidRPr="00AC74B8">
        <w:rPr>
          <w:rFonts w:hint="eastAsia"/>
        </w:rPr>
        <w:t>请结合“智慧节能阀门建设项目”产品具体参数，说明智能阀门和燃气阀门的具体区别和联系，以及在智慧与节能方面与同行业可比公司产品的比较，募投项目名称是否与实际产品相匹配，是否准确客观描述本次募投项目涉及阀门产品，是否存在夸大宣传或者误导性陈述的情形。</w:t>
      </w:r>
    </w:p>
    <w:p w14:paraId="7AC651BC" w14:textId="77777777" w:rsidR="008D76D6" w:rsidRPr="00AC74B8" w:rsidRDefault="008D76D6" w:rsidP="00B434D2">
      <w:pPr>
        <w:pStyle w:val="004"/>
        <w:spacing w:before="120" w:after="120"/>
        <w:ind w:firstLine="482"/>
      </w:pPr>
      <w:r w:rsidRPr="00AC74B8">
        <w:rPr>
          <w:rFonts w:hint="eastAsia"/>
        </w:rPr>
        <w:t>（一）结合“智慧节能阀门建设项目”产品具体参数，说明智能阀门和燃气阀门的具体区别和联系，以及在智慧与节能方面与同行业可比公司产品的比较</w:t>
      </w:r>
    </w:p>
    <w:p w14:paraId="253A8EA3" w14:textId="77777777" w:rsidR="008D76D6" w:rsidRPr="00AC74B8" w:rsidRDefault="008D76D6" w:rsidP="00B434D2">
      <w:pPr>
        <w:spacing w:before="120" w:after="120"/>
        <w:ind w:firstLine="480"/>
        <w:rPr>
          <w:rFonts w:ascii="Times New Roman" w:hAnsi="Times New Roman"/>
        </w:rPr>
      </w:pPr>
      <w:r w:rsidRPr="00AC74B8">
        <w:rPr>
          <w:rFonts w:ascii="Times New Roman" w:hAnsi="Times New Roman"/>
        </w:rPr>
        <w:t>1</w:t>
      </w:r>
      <w:r w:rsidRPr="00B434D2">
        <w:rPr>
          <w:rFonts w:ascii="Times New Roman" w:hAnsi="Times New Roman"/>
        </w:rPr>
        <w:t>、结合</w:t>
      </w:r>
      <w:r w:rsidRPr="00B434D2">
        <w:rPr>
          <w:rFonts w:ascii="Times New Roman" w:hAnsi="Times New Roman"/>
        </w:rPr>
        <w:t>“</w:t>
      </w:r>
      <w:r w:rsidRPr="00B434D2">
        <w:rPr>
          <w:rFonts w:ascii="Times New Roman" w:hAnsi="Times New Roman"/>
        </w:rPr>
        <w:t>智慧节能阀门建设项目</w:t>
      </w:r>
      <w:r w:rsidRPr="00B434D2">
        <w:rPr>
          <w:rFonts w:ascii="Times New Roman" w:hAnsi="Times New Roman"/>
        </w:rPr>
        <w:t>”</w:t>
      </w:r>
      <w:r w:rsidRPr="00B434D2">
        <w:rPr>
          <w:rFonts w:ascii="Times New Roman" w:hAnsi="Times New Roman"/>
        </w:rPr>
        <w:t>产品具体参数，说明智能阀门和燃气阀门的具体区别和联系</w:t>
      </w:r>
    </w:p>
    <w:p w14:paraId="527EC813" w14:textId="77777777" w:rsidR="008D76D6" w:rsidRDefault="008D76D6">
      <w:pPr>
        <w:adjustRightInd w:val="0"/>
        <w:snapToGrid w:val="0"/>
        <w:spacing w:before="120" w:afterLines="0" w:after="0"/>
        <w:ind w:firstLine="480"/>
        <w:rPr>
          <w:rFonts w:ascii="宋体" w:hAnsi="宋体"/>
          <w:color w:val="000000"/>
          <w:szCs w:val="28"/>
        </w:rPr>
      </w:pPr>
      <w:bookmarkStart w:id="36" w:name="_Hlk154540850"/>
      <w:r>
        <w:rPr>
          <w:rFonts w:ascii="宋体" w:hAnsi="宋体" w:hint="eastAsia"/>
          <w:color w:val="000000"/>
          <w:szCs w:val="28"/>
        </w:rPr>
        <w:t>本募投项目的智能阀门与燃气阀门基本参数情况如下：</w:t>
      </w:r>
    </w:p>
    <w:tbl>
      <w:tblPr>
        <w:tblW w:w="4882"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7"/>
        <w:gridCol w:w="3297"/>
        <w:gridCol w:w="3363"/>
      </w:tblGrid>
      <w:tr w:rsidR="008D76D6" w14:paraId="3DABD9CF" w14:textId="77777777">
        <w:trPr>
          <w:trHeight w:val="397"/>
          <w:jc w:val="center"/>
        </w:trPr>
        <w:tc>
          <w:tcPr>
            <w:tcW w:w="2021" w:type="dxa"/>
            <w:shd w:val="clear" w:color="auto" w:fill="D8D8D8"/>
            <w:vAlign w:val="center"/>
          </w:tcPr>
          <w:p w14:paraId="64CE57F8"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b/>
                <w:color w:val="000000"/>
                <w:kern w:val="0"/>
                <w:sz w:val="21"/>
                <w:szCs w:val="21"/>
                <w:lang w:bidi="ar"/>
              </w:rPr>
            </w:pPr>
            <w:r>
              <w:rPr>
                <w:rFonts w:ascii="Times New Roman" w:hAnsi="Times New Roman" w:hint="eastAsia"/>
                <w:b/>
                <w:color w:val="000000"/>
                <w:kern w:val="0"/>
                <w:sz w:val="21"/>
                <w:szCs w:val="21"/>
                <w:lang w:bidi="ar"/>
              </w:rPr>
              <w:t>项目</w:t>
            </w:r>
          </w:p>
        </w:tc>
        <w:tc>
          <w:tcPr>
            <w:tcW w:w="3119" w:type="dxa"/>
            <w:shd w:val="clear" w:color="auto" w:fill="D8D8D8"/>
            <w:vAlign w:val="center"/>
          </w:tcPr>
          <w:p w14:paraId="5B11A17B"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b/>
                <w:color w:val="000000"/>
                <w:kern w:val="0"/>
                <w:sz w:val="21"/>
                <w:szCs w:val="21"/>
                <w:lang w:bidi="ar"/>
              </w:rPr>
            </w:pPr>
            <w:r>
              <w:rPr>
                <w:rFonts w:ascii="Times New Roman" w:hAnsi="Times New Roman" w:hint="eastAsia"/>
                <w:b/>
                <w:color w:val="000000"/>
                <w:kern w:val="0"/>
                <w:sz w:val="21"/>
                <w:szCs w:val="21"/>
                <w:lang w:bidi="ar"/>
              </w:rPr>
              <w:t>智能阀门</w:t>
            </w:r>
          </w:p>
        </w:tc>
        <w:tc>
          <w:tcPr>
            <w:tcW w:w="3181" w:type="dxa"/>
            <w:shd w:val="clear" w:color="auto" w:fill="D8D8D8"/>
            <w:vAlign w:val="center"/>
          </w:tcPr>
          <w:p w14:paraId="4E6CC419"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b/>
                <w:color w:val="000000"/>
                <w:kern w:val="0"/>
                <w:sz w:val="21"/>
                <w:szCs w:val="21"/>
                <w:lang w:bidi="ar"/>
              </w:rPr>
            </w:pPr>
            <w:r>
              <w:rPr>
                <w:rFonts w:ascii="Times New Roman" w:hAnsi="Times New Roman" w:hint="eastAsia"/>
                <w:b/>
                <w:color w:val="000000"/>
                <w:kern w:val="0"/>
                <w:sz w:val="21"/>
                <w:szCs w:val="21"/>
                <w:lang w:bidi="ar"/>
              </w:rPr>
              <w:t>燃气阀门</w:t>
            </w:r>
          </w:p>
        </w:tc>
      </w:tr>
      <w:tr w:rsidR="008D76D6" w14:paraId="409A42D6" w14:textId="77777777">
        <w:trPr>
          <w:trHeight w:val="397"/>
          <w:jc w:val="center"/>
        </w:trPr>
        <w:tc>
          <w:tcPr>
            <w:tcW w:w="2021" w:type="dxa"/>
            <w:noWrap/>
            <w:vAlign w:val="center"/>
          </w:tcPr>
          <w:p w14:paraId="04CFB52B"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口径（单位：</w:t>
            </w:r>
            <w:r>
              <w:rPr>
                <w:rFonts w:ascii="Times New Roman" w:hAnsi="Times New Roman" w:hint="eastAsia"/>
                <w:color w:val="000000"/>
                <w:kern w:val="0"/>
                <w:sz w:val="21"/>
                <w:szCs w:val="21"/>
                <w:lang w:bidi="ar"/>
              </w:rPr>
              <w:t>mm</w:t>
            </w:r>
            <w:r>
              <w:rPr>
                <w:rFonts w:ascii="Times New Roman" w:hAnsi="Times New Roman" w:hint="eastAsia"/>
                <w:color w:val="000000"/>
                <w:kern w:val="0"/>
                <w:sz w:val="21"/>
                <w:szCs w:val="21"/>
                <w:lang w:bidi="ar"/>
              </w:rPr>
              <w:t>）</w:t>
            </w:r>
          </w:p>
        </w:tc>
        <w:tc>
          <w:tcPr>
            <w:tcW w:w="3119" w:type="dxa"/>
            <w:noWrap/>
            <w:vAlign w:val="center"/>
          </w:tcPr>
          <w:p w14:paraId="2F65D35E" w14:textId="77777777" w:rsidR="008D76D6" w:rsidRDefault="008D76D6" w:rsidP="00B434D2">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DN50~DN4000</w:t>
            </w:r>
          </w:p>
        </w:tc>
        <w:tc>
          <w:tcPr>
            <w:tcW w:w="3181" w:type="dxa"/>
            <w:noWrap/>
            <w:vAlign w:val="center"/>
          </w:tcPr>
          <w:p w14:paraId="706A7F15" w14:textId="77777777" w:rsidR="008D76D6" w:rsidRDefault="008D76D6" w:rsidP="00B434D2">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DN50~DN1200</w:t>
            </w:r>
          </w:p>
        </w:tc>
      </w:tr>
      <w:tr w:rsidR="008D76D6" w14:paraId="52AC9C55" w14:textId="77777777">
        <w:trPr>
          <w:trHeight w:val="397"/>
          <w:jc w:val="center"/>
        </w:trPr>
        <w:tc>
          <w:tcPr>
            <w:tcW w:w="2021" w:type="dxa"/>
            <w:noWrap/>
            <w:vAlign w:val="center"/>
          </w:tcPr>
          <w:p w14:paraId="7902EF78"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压力等级</w:t>
            </w:r>
          </w:p>
          <w:p w14:paraId="00A9C5BC"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（单位：</w:t>
            </w:r>
            <w:r>
              <w:rPr>
                <w:rFonts w:ascii="Times New Roman" w:hAnsi="Times New Roman" w:hint="eastAsia"/>
                <w:color w:val="000000"/>
                <w:kern w:val="0"/>
                <w:sz w:val="21"/>
                <w:szCs w:val="21"/>
                <w:lang w:bidi="ar"/>
              </w:rPr>
              <w:t>kg/cm</w:t>
            </w:r>
            <w:r>
              <w:rPr>
                <w:rFonts w:ascii="Times New Roman" w:hAnsi="Times New Roman" w:hint="eastAsia"/>
                <w:color w:val="000000"/>
                <w:kern w:val="0"/>
                <w:sz w:val="21"/>
                <w:szCs w:val="21"/>
                <w:vertAlign w:val="superscript"/>
                <w:lang w:bidi="ar"/>
              </w:rPr>
              <w:t>2</w:t>
            </w:r>
            <w:r>
              <w:rPr>
                <w:rFonts w:ascii="Times New Roman" w:hAnsi="Times New Roman" w:hint="eastAsia"/>
                <w:color w:val="000000"/>
                <w:kern w:val="0"/>
                <w:sz w:val="21"/>
                <w:szCs w:val="21"/>
                <w:lang w:bidi="ar"/>
              </w:rPr>
              <w:t>）</w:t>
            </w:r>
          </w:p>
        </w:tc>
        <w:tc>
          <w:tcPr>
            <w:tcW w:w="3119" w:type="dxa"/>
            <w:noWrap/>
            <w:vAlign w:val="center"/>
          </w:tcPr>
          <w:p w14:paraId="0C136995" w14:textId="77777777" w:rsidR="008D76D6" w:rsidRDefault="008D76D6" w:rsidP="00B434D2">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PN6~PN25</w:t>
            </w:r>
          </w:p>
        </w:tc>
        <w:tc>
          <w:tcPr>
            <w:tcW w:w="3181" w:type="dxa"/>
            <w:noWrap/>
            <w:vAlign w:val="center"/>
          </w:tcPr>
          <w:p w14:paraId="5FC63A04" w14:textId="77777777" w:rsidR="008D76D6" w:rsidRDefault="008D76D6" w:rsidP="00B434D2">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PN4~PN16</w:t>
            </w:r>
          </w:p>
        </w:tc>
      </w:tr>
      <w:tr w:rsidR="008D76D6" w14:paraId="371BF898" w14:textId="77777777">
        <w:trPr>
          <w:trHeight w:val="378"/>
          <w:jc w:val="center"/>
        </w:trPr>
        <w:tc>
          <w:tcPr>
            <w:tcW w:w="2021" w:type="dxa"/>
            <w:noWrap/>
            <w:vAlign w:val="center"/>
          </w:tcPr>
          <w:p w14:paraId="42F64830"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适用温度</w:t>
            </w:r>
          </w:p>
          <w:p w14:paraId="7D3C3512"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（单位：</w:t>
            </w:r>
            <w:r>
              <w:rPr>
                <w:rFonts w:ascii="Times New Roman" w:hAnsi="Times New Roman" w:cs="宋体" w:hint="eastAsia"/>
                <w:color w:val="000000"/>
                <w:kern w:val="0"/>
                <w:sz w:val="21"/>
                <w:szCs w:val="21"/>
                <w:lang w:bidi="ar"/>
              </w:rPr>
              <w:t>℃</w:t>
            </w:r>
            <w:r>
              <w:rPr>
                <w:rFonts w:ascii="Times New Roman" w:hAnsi="Times New Roman" w:hint="eastAsia"/>
                <w:color w:val="000000"/>
                <w:kern w:val="0"/>
                <w:sz w:val="21"/>
                <w:szCs w:val="21"/>
                <w:lang w:bidi="ar"/>
              </w:rPr>
              <w:t>）</w:t>
            </w:r>
          </w:p>
        </w:tc>
        <w:tc>
          <w:tcPr>
            <w:tcW w:w="3119" w:type="dxa"/>
            <w:noWrap/>
            <w:vAlign w:val="center"/>
          </w:tcPr>
          <w:p w14:paraId="09CCF95D" w14:textId="77777777" w:rsidR="008D76D6" w:rsidRDefault="008D76D6" w:rsidP="00B434D2">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-10~120</w:t>
            </w:r>
          </w:p>
        </w:tc>
        <w:tc>
          <w:tcPr>
            <w:tcW w:w="3181" w:type="dxa"/>
            <w:noWrap/>
            <w:vAlign w:val="center"/>
          </w:tcPr>
          <w:p w14:paraId="17872826" w14:textId="77777777" w:rsidR="008D76D6" w:rsidRDefault="008D76D6" w:rsidP="00B434D2">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0~60</w:t>
            </w:r>
          </w:p>
        </w:tc>
      </w:tr>
      <w:tr w:rsidR="008D76D6" w14:paraId="50780732" w14:textId="77777777">
        <w:trPr>
          <w:trHeight w:val="397"/>
          <w:jc w:val="center"/>
        </w:trPr>
        <w:tc>
          <w:tcPr>
            <w:tcW w:w="2021" w:type="dxa"/>
            <w:noWrap/>
            <w:vAlign w:val="center"/>
          </w:tcPr>
          <w:p w14:paraId="471CC14D"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连接方式</w:t>
            </w:r>
          </w:p>
        </w:tc>
        <w:tc>
          <w:tcPr>
            <w:tcW w:w="3119" w:type="dxa"/>
            <w:noWrap/>
            <w:vAlign w:val="center"/>
          </w:tcPr>
          <w:p w14:paraId="353077E5" w14:textId="77777777" w:rsidR="008D76D6" w:rsidRDefault="008D76D6" w:rsidP="00B434D2">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法兰式</w:t>
            </w:r>
          </w:p>
        </w:tc>
        <w:tc>
          <w:tcPr>
            <w:tcW w:w="3181" w:type="dxa"/>
            <w:noWrap/>
            <w:vAlign w:val="center"/>
          </w:tcPr>
          <w:p w14:paraId="1F746CA0" w14:textId="77777777" w:rsidR="008D76D6" w:rsidRDefault="008D76D6" w:rsidP="00B434D2">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法兰式，</w:t>
            </w:r>
            <w:r>
              <w:rPr>
                <w:rFonts w:ascii="Times New Roman" w:hAnsi="Times New Roman" w:cs="楷体" w:hint="eastAsia"/>
                <w:color w:val="000000"/>
                <w:kern w:val="0"/>
                <w:sz w:val="21"/>
                <w:lang w:bidi="ar"/>
              </w:rPr>
              <w:t>PE</w:t>
            </w:r>
            <w:r>
              <w:rPr>
                <w:rFonts w:ascii="Times New Roman" w:hAnsi="Times New Roman" w:cs="楷体" w:hint="eastAsia"/>
                <w:color w:val="000000"/>
                <w:kern w:val="0"/>
                <w:sz w:val="21"/>
                <w:lang w:bidi="ar"/>
              </w:rPr>
              <w:t>管热熔式和钢管焊接式</w:t>
            </w:r>
          </w:p>
        </w:tc>
      </w:tr>
      <w:tr w:rsidR="008D76D6" w14:paraId="3BA34A41" w14:textId="77777777">
        <w:trPr>
          <w:trHeight w:val="397"/>
          <w:jc w:val="center"/>
        </w:trPr>
        <w:tc>
          <w:tcPr>
            <w:tcW w:w="2021" w:type="dxa"/>
            <w:noWrap/>
            <w:vAlign w:val="center"/>
          </w:tcPr>
          <w:p w14:paraId="27B8F789"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承压部件材料</w:t>
            </w:r>
          </w:p>
        </w:tc>
        <w:tc>
          <w:tcPr>
            <w:tcW w:w="3119" w:type="dxa"/>
            <w:noWrap/>
            <w:vAlign w:val="center"/>
          </w:tcPr>
          <w:p w14:paraId="7DFD0B99" w14:textId="77777777" w:rsidR="008D76D6" w:rsidRDefault="008D76D6" w:rsidP="00B434D2">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铸铁</w:t>
            </w:r>
            <w:r>
              <w:rPr>
                <w:rFonts w:ascii="Times New Roman" w:hAnsi="Times New Roman" w:cs="楷体" w:hint="eastAsia"/>
                <w:color w:val="000000"/>
                <w:kern w:val="0"/>
                <w:sz w:val="21"/>
                <w:lang w:bidi="ar"/>
              </w:rPr>
              <w:t>QT500-7</w:t>
            </w:r>
            <w:r>
              <w:rPr>
                <w:rFonts w:ascii="Times New Roman" w:hAnsi="Times New Roman" w:cs="楷体" w:hint="eastAsia"/>
                <w:color w:val="000000"/>
                <w:kern w:val="0"/>
                <w:sz w:val="21"/>
                <w:lang w:bidi="ar"/>
              </w:rPr>
              <w:t>，不锈钢</w:t>
            </w:r>
            <w:r>
              <w:rPr>
                <w:rFonts w:ascii="Times New Roman" w:hAnsi="Times New Roman" w:cs="楷体" w:hint="eastAsia"/>
                <w:color w:val="000000"/>
                <w:kern w:val="0"/>
                <w:sz w:val="21"/>
                <w:lang w:bidi="ar"/>
              </w:rPr>
              <w:t>SS304/316</w:t>
            </w:r>
            <w:r>
              <w:rPr>
                <w:rFonts w:ascii="Times New Roman" w:hAnsi="Times New Roman" w:cs="楷体" w:hint="eastAsia"/>
                <w:color w:val="000000"/>
                <w:kern w:val="0"/>
                <w:sz w:val="21"/>
                <w:lang w:bidi="ar"/>
              </w:rPr>
              <w:t>（防止生锈污染水质）</w:t>
            </w:r>
          </w:p>
        </w:tc>
        <w:tc>
          <w:tcPr>
            <w:tcW w:w="3181" w:type="dxa"/>
            <w:noWrap/>
            <w:vAlign w:val="center"/>
          </w:tcPr>
          <w:p w14:paraId="6FB2DBB3" w14:textId="77777777" w:rsidR="008D76D6" w:rsidRDefault="008D76D6" w:rsidP="00B434D2">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铸铁</w:t>
            </w:r>
            <w:r>
              <w:rPr>
                <w:rFonts w:ascii="Times New Roman" w:hAnsi="Times New Roman" w:cs="楷体" w:hint="eastAsia"/>
                <w:color w:val="000000"/>
                <w:kern w:val="0"/>
                <w:sz w:val="21"/>
                <w:lang w:bidi="ar"/>
              </w:rPr>
              <w:t>QT500-7</w:t>
            </w:r>
            <w:r>
              <w:rPr>
                <w:rFonts w:ascii="Times New Roman" w:hAnsi="Times New Roman" w:cs="楷体" w:hint="eastAsia"/>
                <w:color w:val="000000"/>
                <w:kern w:val="0"/>
                <w:sz w:val="21"/>
                <w:lang w:bidi="ar"/>
              </w:rPr>
              <w:t>，碳钢</w:t>
            </w:r>
            <w:r>
              <w:rPr>
                <w:rFonts w:ascii="Times New Roman" w:hAnsi="Times New Roman" w:cs="楷体" w:hint="eastAsia"/>
                <w:color w:val="000000"/>
                <w:kern w:val="0"/>
                <w:sz w:val="21"/>
                <w:lang w:bidi="ar"/>
              </w:rPr>
              <w:t>ZG230-450</w:t>
            </w:r>
            <w:r>
              <w:rPr>
                <w:rFonts w:ascii="Times New Roman" w:hAnsi="Times New Roman" w:cs="楷体" w:hint="eastAsia"/>
                <w:color w:val="000000"/>
                <w:kern w:val="0"/>
                <w:sz w:val="21"/>
                <w:lang w:bidi="ar"/>
              </w:rPr>
              <w:t>（强度相对较高，焊接性能好）</w:t>
            </w:r>
          </w:p>
        </w:tc>
      </w:tr>
      <w:tr w:rsidR="008D76D6" w14:paraId="345C6EFE" w14:textId="77777777">
        <w:trPr>
          <w:trHeight w:val="397"/>
          <w:jc w:val="center"/>
        </w:trPr>
        <w:tc>
          <w:tcPr>
            <w:tcW w:w="2021" w:type="dxa"/>
            <w:noWrap/>
            <w:vAlign w:val="center"/>
          </w:tcPr>
          <w:p w14:paraId="02646C92"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工作介质</w:t>
            </w:r>
          </w:p>
        </w:tc>
        <w:tc>
          <w:tcPr>
            <w:tcW w:w="3119" w:type="dxa"/>
            <w:noWrap/>
            <w:vAlign w:val="center"/>
          </w:tcPr>
          <w:p w14:paraId="61A5BF0E" w14:textId="77777777" w:rsidR="008D76D6" w:rsidRDefault="008D76D6" w:rsidP="00F536B5">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水</w:t>
            </w:r>
          </w:p>
        </w:tc>
        <w:tc>
          <w:tcPr>
            <w:tcW w:w="3181" w:type="dxa"/>
            <w:noWrap/>
            <w:vAlign w:val="center"/>
          </w:tcPr>
          <w:p w14:paraId="2E9F67C3" w14:textId="77777777" w:rsidR="008D76D6" w:rsidRDefault="008D76D6" w:rsidP="00F536B5">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燃气</w:t>
            </w:r>
          </w:p>
        </w:tc>
      </w:tr>
      <w:tr w:rsidR="00F536B5" w14:paraId="6003076D" w14:textId="77777777">
        <w:trPr>
          <w:trHeight w:val="397"/>
          <w:jc w:val="center"/>
        </w:trPr>
        <w:tc>
          <w:tcPr>
            <w:tcW w:w="2021" w:type="dxa"/>
            <w:noWrap/>
            <w:vAlign w:val="center"/>
          </w:tcPr>
          <w:p w14:paraId="591AE73B" w14:textId="77777777" w:rsidR="00F536B5" w:rsidRDefault="00F536B5">
            <w:pPr>
              <w:widowControl/>
              <w:adjustRightInd w:val="0"/>
              <w:snapToGrid w:val="0"/>
              <w:spacing w:beforeLines="0" w:before="0" w:afterLines="0" w:after="0" w:line="240" w:lineRule="auto"/>
              <w:ind w:firstLineChars="0" w:firstLine="0"/>
              <w:jc w:val="center"/>
              <w:textAlignment w:val="center"/>
              <w:rPr>
                <w:rFonts w:ascii="Times New Roman" w:hAnsi="Times New Roman" w:hint="eastAsia"/>
                <w:color w:val="000000"/>
                <w:kern w:val="0"/>
                <w:sz w:val="21"/>
                <w:szCs w:val="21"/>
                <w:lang w:bidi="ar"/>
              </w:rPr>
            </w:pPr>
            <w:r>
              <w:rPr>
                <w:rFonts w:ascii="Times New Roman" w:hAnsi="Times New Roman" w:hint="eastAsia"/>
                <w:color w:val="000000"/>
                <w:kern w:val="0"/>
                <w:sz w:val="21"/>
                <w:szCs w:val="21"/>
                <w:lang w:bidi="ar"/>
              </w:rPr>
              <w:t>下游应用场景</w:t>
            </w:r>
          </w:p>
        </w:tc>
        <w:tc>
          <w:tcPr>
            <w:tcW w:w="3119" w:type="dxa"/>
            <w:noWrap/>
            <w:vAlign w:val="center"/>
          </w:tcPr>
          <w:p w14:paraId="78259DEB" w14:textId="77777777" w:rsidR="00F536B5" w:rsidRDefault="00F536B5" w:rsidP="00F536B5">
            <w:pPr>
              <w:widowControl/>
              <w:adjustRightInd w:val="0"/>
              <w:snapToGrid w:val="0"/>
              <w:spacing w:beforeLines="0" w:before="0" w:afterLines="0" w:after="0" w:line="240" w:lineRule="auto"/>
              <w:ind w:firstLineChars="0" w:firstLine="0"/>
              <w:jc w:val="center"/>
              <w:textAlignment w:val="center"/>
              <w:rPr>
                <w:rFonts w:ascii="Times New Roman" w:hAnsi="Times New Roman" w:cs="楷体" w:hint="eastAsia"/>
                <w:color w:val="000000"/>
                <w:kern w:val="0"/>
                <w:sz w:val="21"/>
                <w:lang w:bidi="ar"/>
              </w:rPr>
            </w:pPr>
            <w:r>
              <w:rPr>
                <w:rFonts w:ascii="Times New Roman" w:hAnsi="Times New Roman" w:cs="楷体" w:hint="eastAsia"/>
                <w:color w:val="000000"/>
                <w:kern w:val="0"/>
                <w:sz w:val="21"/>
                <w:lang w:bidi="ar"/>
              </w:rPr>
              <w:t>水处理领域</w:t>
            </w:r>
          </w:p>
        </w:tc>
        <w:tc>
          <w:tcPr>
            <w:tcW w:w="3181" w:type="dxa"/>
            <w:noWrap/>
            <w:vAlign w:val="center"/>
          </w:tcPr>
          <w:p w14:paraId="56283841" w14:textId="77777777" w:rsidR="00F536B5" w:rsidRDefault="00F536B5" w:rsidP="00F536B5">
            <w:pPr>
              <w:widowControl/>
              <w:adjustRightInd w:val="0"/>
              <w:snapToGrid w:val="0"/>
              <w:spacing w:beforeLines="0" w:before="0" w:afterLines="0" w:after="0" w:line="240" w:lineRule="auto"/>
              <w:ind w:firstLineChars="0" w:firstLine="0"/>
              <w:jc w:val="center"/>
              <w:textAlignment w:val="center"/>
              <w:rPr>
                <w:rFonts w:ascii="Times New Roman" w:hAnsi="Times New Roman" w:cs="楷体" w:hint="eastAsia"/>
                <w:color w:val="000000"/>
                <w:kern w:val="0"/>
                <w:sz w:val="21"/>
                <w:lang w:bidi="ar"/>
              </w:rPr>
            </w:pPr>
            <w:r>
              <w:rPr>
                <w:rFonts w:ascii="Times New Roman" w:hAnsi="Times New Roman" w:cs="楷体" w:hint="eastAsia"/>
                <w:color w:val="000000"/>
                <w:kern w:val="0"/>
                <w:sz w:val="21"/>
                <w:lang w:bidi="ar"/>
              </w:rPr>
              <w:t>燃气领域</w:t>
            </w:r>
          </w:p>
        </w:tc>
      </w:tr>
    </w:tbl>
    <w:bookmarkEnd w:id="36"/>
    <w:p w14:paraId="6F40DD6D" w14:textId="77777777" w:rsidR="008D76D6" w:rsidRPr="00B434D2" w:rsidRDefault="008D76D6" w:rsidP="00B434D2">
      <w:pPr>
        <w:adjustRightInd w:val="0"/>
        <w:snapToGrid w:val="0"/>
        <w:spacing w:before="120" w:after="120"/>
        <w:ind w:firstLine="480"/>
        <w:rPr>
          <w:color w:val="000000"/>
          <w:szCs w:val="28"/>
        </w:rPr>
      </w:pPr>
      <w:r>
        <w:rPr>
          <w:rFonts w:ascii="宋体" w:hAnsi="宋体" w:hint="eastAsia"/>
          <w:color w:val="000000"/>
          <w:szCs w:val="28"/>
        </w:rPr>
        <w:t>根据以上参数对比情况，本所律师认为，智能阀门及燃气阀门的口径、压力等级、适用温度、连接方式及承压部件材料等参数有一定重合之处，但两类产品的整体参数存在较大区别，</w:t>
      </w:r>
      <w:r w:rsidR="00F71DC5">
        <w:t>且可以根据工作介质直接区分，</w:t>
      </w:r>
      <w:r w:rsidR="00E64257">
        <w:rPr>
          <w:color w:val="000000"/>
          <w:szCs w:val="28"/>
        </w:rPr>
        <w:t>在生产工艺、下游</w:t>
      </w:r>
      <w:r w:rsidR="00E64257">
        <w:rPr>
          <w:rFonts w:hint="eastAsia"/>
          <w:color w:val="000000"/>
          <w:szCs w:val="28"/>
        </w:rPr>
        <w:t>应用场景</w:t>
      </w:r>
      <w:r w:rsidR="00E64257">
        <w:rPr>
          <w:color w:val="000000"/>
          <w:szCs w:val="28"/>
        </w:rPr>
        <w:t>等方面亦有较大区别。</w:t>
      </w:r>
    </w:p>
    <w:p w14:paraId="267B8FF7" w14:textId="77777777" w:rsidR="008D76D6" w:rsidRPr="00B434D2" w:rsidRDefault="008D76D6" w:rsidP="00B434D2">
      <w:pPr>
        <w:spacing w:before="120" w:after="120"/>
        <w:ind w:firstLine="480"/>
        <w:rPr>
          <w:rFonts w:ascii="Times New Roman" w:hAnsi="Times New Roman"/>
        </w:rPr>
      </w:pPr>
      <w:r w:rsidRPr="00B434D2">
        <w:rPr>
          <w:rFonts w:ascii="Times New Roman" w:hAnsi="Times New Roman"/>
        </w:rPr>
        <w:t>2</w:t>
      </w:r>
      <w:r w:rsidRPr="00B434D2">
        <w:rPr>
          <w:rFonts w:ascii="Times New Roman" w:hAnsi="Times New Roman" w:hint="eastAsia"/>
        </w:rPr>
        <w:t>、募投项目产品在智慧与节能方面与同行业可比公司产品的比较</w:t>
      </w:r>
    </w:p>
    <w:p w14:paraId="6D4EC9D3" w14:textId="77777777" w:rsidR="008D76D6" w:rsidRDefault="008D76D6">
      <w:pPr>
        <w:adjustRightInd w:val="0"/>
        <w:snapToGrid w:val="0"/>
        <w:spacing w:before="120" w:afterLines="0" w:after="0"/>
        <w:ind w:firstLine="480"/>
        <w:rPr>
          <w:rFonts w:ascii="宋体" w:hAnsi="宋体"/>
          <w:color w:val="000000"/>
          <w:szCs w:val="28"/>
        </w:rPr>
      </w:pPr>
      <w:r>
        <w:rPr>
          <w:rFonts w:ascii="宋体" w:hAnsi="宋体" w:hint="eastAsia"/>
          <w:color w:val="000000"/>
          <w:szCs w:val="28"/>
        </w:rPr>
        <w:t>公司募投项目产品与同行业可比公司产品的比较情况如下：</w:t>
      </w:r>
    </w:p>
    <w:tbl>
      <w:tblPr>
        <w:tblW w:w="4816"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9"/>
        <w:gridCol w:w="1345"/>
        <w:gridCol w:w="2135"/>
        <w:gridCol w:w="4029"/>
      </w:tblGrid>
      <w:tr w:rsidR="008D76D6" w14:paraId="5538DAE9" w14:textId="77777777">
        <w:trPr>
          <w:trHeight w:val="397"/>
          <w:jc w:val="center"/>
        </w:trPr>
        <w:tc>
          <w:tcPr>
            <w:tcW w:w="1106" w:type="dxa"/>
            <w:shd w:val="clear" w:color="auto" w:fill="D8D8D8"/>
            <w:vAlign w:val="center"/>
          </w:tcPr>
          <w:p w14:paraId="02A18E5B"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b/>
                <w:bCs/>
                <w:color w:val="000000"/>
                <w:kern w:val="0"/>
                <w:sz w:val="21"/>
                <w:szCs w:val="21"/>
                <w:lang w:bidi="ar"/>
              </w:rPr>
            </w:pPr>
            <w:r>
              <w:rPr>
                <w:rFonts w:ascii="Times New Roman" w:hAnsi="Times New Roman" w:hint="eastAsia"/>
                <w:b/>
                <w:bCs/>
                <w:color w:val="000000"/>
                <w:kern w:val="0"/>
                <w:sz w:val="21"/>
                <w:szCs w:val="21"/>
                <w:lang w:bidi="ar"/>
              </w:rPr>
              <w:t>公司名称</w:t>
            </w:r>
          </w:p>
        </w:tc>
        <w:tc>
          <w:tcPr>
            <w:tcW w:w="1272" w:type="dxa"/>
            <w:shd w:val="clear" w:color="auto" w:fill="D8D8D8"/>
            <w:vAlign w:val="center"/>
          </w:tcPr>
          <w:p w14:paraId="0ADEDF5A"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b/>
                <w:bCs/>
                <w:color w:val="000000"/>
                <w:kern w:val="0"/>
                <w:sz w:val="21"/>
                <w:szCs w:val="21"/>
                <w:lang w:bidi="ar"/>
              </w:rPr>
            </w:pPr>
            <w:r>
              <w:rPr>
                <w:rFonts w:ascii="Times New Roman" w:hAnsi="Times New Roman" w:hint="eastAsia"/>
                <w:b/>
                <w:bCs/>
                <w:color w:val="000000"/>
                <w:kern w:val="0"/>
                <w:sz w:val="21"/>
                <w:szCs w:val="21"/>
                <w:lang w:bidi="ar"/>
              </w:rPr>
              <w:t>产品类型</w:t>
            </w:r>
          </w:p>
        </w:tc>
        <w:tc>
          <w:tcPr>
            <w:tcW w:w="2020" w:type="dxa"/>
            <w:shd w:val="clear" w:color="auto" w:fill="D8D8D8"/>
            <w:vAlign w:val="center"/>
          </w:tcPr>
          <w:p w14:paraId="232B2C35"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b/>
                <w:bCs/>
                <w:color w:val="000000"/>
                <w:kern w:val="0"/>
                <w:sz w:val="21"/>
                <w:szCs w:val="21"/>
                <w:lang w:bidi="ar"/>
              </w:rPr>
            </w:pPr>
            <w:r>
              <w:rPr>
                <w:rFonts w:ascii="Times New Roman" w:hAnsi="Times New Roman" w:hint="eastAsia"/>
                <w:b/>
                <w:bCs/>
                <w:color w:val="000000"/>
                <w:kern w:val="0"/>
                <w:sz w:val="21"/>
                <w:szCs w:val="21"/>
                <w:lang w:bidi="ar"/>
              </w:rPr>
              <w:t>应用领域</w:t>
            </w:r>
          </w:p>
        </w:tc>
        <w:tc>
          <w:tcPr>
            <w:tcW w:w="3812" w:type="dxa"/>
            <w:shd w:val="clear" w:color="auto" w:fill="D8D8D8"/>
            <w:vAlign w:val="center"/>
          </w:tcPr>
          <w:p w14:paraId="4A4BB3AD"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b/>
                <w:bCs/>
                <w:color w:val="000000"/>
                <w:kern w:val="0"/>
                <w:sz w:val="21"/>
                <w:szCs w:val="21"/>
                <w:lang w:bidi="ar"/>
              </w:rPr>
            </w:pPr>
            <w:r>
              <w:rPr>
                <w:rFonts w:ascii="Times New Roman" w:hAnsi="Times New Roman" w:hint="eastAsia"/>
                <w:b/>
                <w:bCs/>
                <w:color w:val="000000"/>
                <w:kern w:val="0"/>
                <w:sz w:val="21"/>
                <w:szCs w:val="21"/>
                <w:lang w:bidi="ar"/>
              </w:rPr>
              <w:t>智慧性与节能性</w:t>
            </w:r>
          </w:p>
        </w:tc>
      </w:tr>
      <w:tr w:rsidR="008D76D6" w14:paraId="60899281" w14:textId="77777777">
        <w:trPr>
          <w:trHeight w:val="397"/>
          <w:jc w:val="center"/>
        </w:trPr>
        <w:tc>
          <w:tcPr>
            <w:tcW w:w="1106" w:type="dxa"/>
            <w:noWrap/>
            <w:vAlign w:val="center"/>
          </w:tcPr>
          <w:p w14:paraId="013303C0"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冠龙节能</w:t>
            </w:r>
          </w:p>
        </w:tc>
        <w:tc>
          <w:tcPr>
            <w:tcW w:w="1272" w:type="dxa"/>
            <w:noWrap/>
            <w:vAlign w:val="center"/>
          </w:tcPr>
          <w:p w14:paraId="1D238DD5" w14:textId="77777777" w:rsidR="008D76D6" w:rsidRDefault="008D76D6" w:rsidP="00B434D2">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节水阀门</w:t>
            </w:r>
          </w:p>
        </w:tc>
        <w:tc>
          <w:tcPr>
            <w:tcW w:w="2020" w:type="dxa"/>
            <w:noWrap/>
            <w:vAlign w:val="center"/>
          </w:tcPr>
          <w:p w14:paraId="7804D6E1" w14:textId="77777777" w:rsidR="008D76D6" w:rsidRDefault="008D76D6">
            <w:pPr>
              <w:widowControl/>
              <w:adjustRightInd w:val="0"/>
              <w:snapToGrid w:val="0"/>
              <w:spacing w:beforeLines="0" w:before="0" w:afterLines="0" w:after="0" w:line="240" w:lineRule="auto"/>
              <w:ind w:firstLineChars="0" w:firstLine="0"/>
              <w:jc w:val="left"/>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城镇给排水、水利、工业</w:t>
            </w:r>
          </w:p>
        </w:tc>
        <w:tc>
          <w:tcPr>
            <w:tcW w:w="3812" w:type="dxa"/>
            <w:noWrap/>
            <w:vAlign w:val="center"/>
          </w:tcPr>
          <w:p w14:paraId="6CB46B69" w14:textId="77777777" w:rsidR="008D76D6" w:rsidRDefault="008D76D6">
            <w:pPr>
              <w:widowControl/>
              <w:adjustRightInd w:val="0"/>
              <w:snapToGrid w:val="0"/>
              <w:spacing w:beforeLines="0" w:before="0" w:afterLines="0" w:after="0" w:line="240" w:lineRule="auto"/>
              <w:ind w:firstLineChars="0" w:firstLine="0"/>
              <w:jc w:val="left"/>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产品节能环保具体体现为节水、节能两个方面：节水主要体现为降低管网漏损率、减少超压出流和降低爆管的发生。节能主要体现为防止管道泄露造成的压力损失、降低流阻减少能耗、提升输水效率降低能耗。</w:t>
            </w:r>
          </w:p>
        </w:tc>
      </w:tr>
      <w:tr w:rsidR="008D76D6" w14:paraId="21D222CF" w14:textId="77777777">
        <w:trPr>
          <w:trHeight w:val="397"/>
          <w:jc w:val="center"/>
        </w:trPr>
        <w:tc>
          <w:tcPr>
            <w:tcW w:w="1106" w:type="dxa"/>
            <w:noWrap/>
            <w:vAlign w:val="center"/>
          </w:tcPr>
          <w:p w14:paraId="18C64658"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智能自控</w:t>
            </w:r>
          </w:p>
        </w:tc>
        <w:tc>
          <w:tcPr>
            <w:tcW w:w="1272" w:type="dxa"/>
            <w:noWrap/>
            <w:vAlign w:val="center"/>
          </w:tcPr>
          <w:p w14:paraId="09854B87" w14:textId="77777777" w:rsidR="008D76D6" w:rsidRDefault="008D76D6" w:rsidP="00B434D2">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智能控制阀</w:t>
            </w:r>
          </w:p>
        </w:tc>
        <w:tc>
          <w:tcPr>
            <w:tcW w:w="2020" w:type="dxa"/>
            <w:noWrap/>
            <w:vAlign w:val="center"/>
          </w:tcPr>
          <w:p w14:paraId="59AF3E4D" w14:textId="77777777" w:rsidR="008D76D6" w:rsidRDefault="008D76D6">
            <w:pPr>
              <w:widowControl/>
              <w:adjustRightInd w:val="0"/>
              <w:snapToGrid w:val="0"/>
              <w:spacing w:beforeLines="0" w:before="0" w:afterLines="0" w:after="0" w:line="240" w:lineRule="auto"/>
              <w:ind w:firstLineChars="0" w:firstLine="0"/>
              <w:jc w:val="left"/>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石油化工、煤化工</w:t>
            </w:r>
          </w:p>
        </w:tc>
        <w:tc>
          <w:tcPr>
            <w:tcW w:w="3812" w:type="dxa"/>
            <w:noWrap/>
            <w:vAlign w:val="center"/>
          </w:tcPr>
          <w:p w14:paraId="32F5FC05" w14:textId="77777777" w:rsidR="008D76D6" w:rsidRDefault="008D76D6">
            <w:pPr>
              <w:widowControl/>
              <w:adjustRightInd w:val="0"/>
              <w:snapToGrid w:val="0"/>
              <w:spacing w:beforeLines="0" w:before="0" w:afterLines="0" w:after="0" w:line="240" w:lineRule="auto"/>
              <w:ind w:firstLineChars="0" w:firstLine="0"/>
              <w:jc w:val="left"/>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带有微处理器，能够实现智能化控制功能的控制阀。其通过接受调节控制单元输出的控制信号，借助动力系统改变介质流量、压力、温度、液位等工艺参数以实现控制。</w:t>
            </w:r>
          </w:p>
        </w:tc>
      </w:tr>
      <w:tr w:rsidR="008D76D6" w14:paraId="01924318" w14:textId="77777777">
        <w:trPr>
          <w:trHeight w:val="397"/>
          <w:jc w:val="center"/>
        </w:trPr>
        <w:tc>
          <w:tcPr>
            <w:tcW w:w="1106" w:type="dxa"/>
            <w:noWrap/>
            <w:vAlign w:val="center"/>
          </w:tcPr>
          <w:p w14:paraId="158E349F"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江苏神通</w:t>
            </w:r>
          </w:p>
        </w:tc>
        <w:tc>
          <w:tcPr>
            <w:tcW w:w="1272" w:type="dxa"/>
            <w:noWrap/>
            <w:vAlign w:val="center"/>
          </w:tcPr>
          <w:p w14:paraId="0B856DF0" w14:textId="77777777" w:rsidR="008D76D6" w:rsidRDefault="008D76D6" w:rsidP="00B434D2">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冶金阀门</w:t>
            </w:r>
          </w:p>
        </w:tc>
        <w:tc>
          <w:tcPr>
            <w:tcW w:w="2020" w:type="dxa"/>
            <w:noWrap/>
            <w:vAlign w:val="center"/>
          </w:tcPr>
          <w:p w14:paraId="18D7502E" w14:textId="77777777" w:rsidR="008D76D6" w:rsidRDefault="008D76D6">
            <w:pPr>
              <w:widowControl/>
              <w:adjustRightInd w:val="0"/>
              <w:snapToGrid w:val="0"/>
              <w:spacing w:beforeLines="0" w:before="0" w:afterLines="0" w:after="0" w:line="240" w:lineRule="auto"/>
              <w:ind w:firstLineChars="0" w:firstLine="0"/>
              <w:jc w:val="left"/>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高炉煤气全干法除尘系统、转炉煤气除尘与回收系统和焦炉烟气除尘系统</w:t>
            </w:r>
          </w:p>
        </w:tc>
        <w:tc>
          <w:tcPr>
            <w:tcW w:w="3812" w:type="dxa"/>
            <w:noWrap/>
            <w:vAlign w:val="center"/>
          </w:tcPr>
          <w:p w14:paraId="172BACD6" w14:textId="77777777" w:rsidR="008D76D6" w:rsidRDefault="008D76D6">
            <w:pPr>
              <w:widowControl/>
              <w:adjustRightInd w:val="0"/>
              <w:snapToGrid w:val="0"/>
              <w:spacing w:beforeLines="0" w:before="0" w:afterLines="0" w:after="0" w:line="240" w:lineRule="auto"/>
              <w:ind w:firstLineChars="0" w:firstLine="0"/>
              <w:jc w:val="left"/>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具有节能、减排及降耗效果。</w:t>
            </w:r>
          </w:p>
        </w:tc>
      </w:tr>
      <w:tr w:rsidR="008D76D6" w14:paraId="3FC947C8" w14:textId="77777777">
        <w:trPr>
          <w:trHeight w:val="397"/>
          <w:jc w:val="center"/>
        </w:trPr>
        <w:tc>
          <w:tcPr>
            <w:tcW w:w="1106" w:type="dxa"/>
            <w:noWrap/>
            <w:vAlign w:val="center"/>
          </w:tcPr>
          <w:p w14:paraId="6324AFC8" w14:textId="77777777" w:rsidR="008D76D6" w:rsidRDefault="008D76D6">
            <w:pPr>
              <w:widowControl/>
              <w:adjustRightInd w:val="0"/>
              <w:snapToGrid w:val="0"/>
              <w:spacing w:beforeLines="0" w:before="0" w:afterLines="0" w:after="0" w:line="240" w:lineRule="auto"/>
              <w:ind w:firstLineChars="0" w:firstLine="0"/>
              <w:jc w:val="center"/>
              <w:textAlignment w:val="center"/>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伟隆股份</w:t>
            </w:r>
          </w:p>
        </w:tc>
        <w:tc>
          <w:tcPr>
            <w:tcW w:w="1272" w:type="dxa"/>
            <w:noWrap/>
            <w:vAlign w:val="center"/>
          </w:tcPr>
          <w:p w14:paraId="1178711D" w14:textId="77777777" w:rsidR="008D76D6" w:rsidRDefault="008D76D6" w:rsidP="00B434D2">
            <w:pPr>
              <w:widowControl/>
              <w:adjustRightInd w:val="0"/>
              <w:snapToGrid w:val="0"/>
              <w:spacing w:beforeLines="0" w:before="0" w:afterLines="0" w:after="0" w:line="240" w:lineRule="auto"/>
              <w:ind w:firstLineChars="0" w:firstLine="0"/>
              <w:jc w:val="center"/>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智能阀门、燃气阀门</w:t>
            </w:r>
          </w:p>
        </w:tc>
        <w:tc>
          <w:tcPr>
            <w:tcW w:w="2020" w:type="dxa"/>
            <w:noWrap/>
            <w:vAlign w:val="center"/>
          </w:tcPr>
          <w:p w14:paraId="5498223A" w14:textId="77777777" w:rsidR="008D76D6" w:rsidRDefault="008D76D6">
            <w:pPr>
              <w:widowControl/>
              <w:adjustRightInd w:val="0"/>
              <w:snapToGrid w:val="0"/>
              <w:spacing w:beforeLines="0" w:before="0" w:afterLines="0" w:after="0" w:line="240" w:lineRule="auto"/>
              <w:ind w:firstLineChars="0" w:firstLine="0"/>
              <w:jc w:val="left"/>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消防、水处理、暖通、水利、天然气</w:t>
            </w:r>
          </w:p>
        </w:tc>
        <w:tc>
          <w:tcPr>
            <w:tcW w:w="3812" w:type="dxa"/>
            <w:noWrap/>
            <w:vAlign w:val="center"/>
          </w:tcPr>
          <w:p w14:paraId="6B65E9DA" w14:textId="77777777" w:rsidR="008D76D6" w:rsidRDefault="008D76D6">
            <w:pPr>
              <w:widowControl/>
              <w:adjustRightInd w:val="0"/>
              <w:snapToGrid w:val="0"/>
              <w:spacing w:beforeLines="0" w:before="0" w:afterLines="0" w:after="0" w:line="240" w:lineRule="auto"/>
              <w:ind w:firstLineChars="0" w:firstLine="0"/>
              <w:jc w:val="left"/>
              <w:textAlignment w:val="center"/>
              <w:rPr>
                <w:rFonts w:ascii="Times New Roman" w:hAnsi="Times New Roman" w:cs="楷体"/>
                <w:color w:val="000000"/>
                <w:kern w:val="0"/>
                <w:sz w:val="21"/>
                <w:lang w:bidi="ar"/>
              </w:rPr>
            </w:pPr>
            <w:r>
              <w:rPr>
                <w:rFonts w:ascii="Times New Roman" w:hAnsi="Times New Roman" w:cs="楷体" w:hint="eastAsia"/>
                <w:color w:val="000000"/>
                <w:kern w:val="0"/>
                <w:sz w:val="21"/>
                <w:lang w:bidi="ar"/>
              </w:rPr>
              <w:t>智慧性体现为可实现数据远程传输、远程操作并通过</w:t>
            </w:r>
            <w:r>
              <w:rPr>
                <w:rFonts w:ascii="Times New Roman" w:hAnsi="Times New Roman" w:cs="楷体" w:hint="eastAsia"/>
                <w:color w:val="000000"/>
                <w:kern w:val="0"/>
                <w:sz w:val="21"/>
                <w:lang w:bidi="ar"/>
              </w:rPr>
              <w:t>APP</w:t>
            </w:r>
            <w:r>
              <w:rPr>
                <w:rFonts w:ascii="Times New Roman" w:hAnsi="Times New Roman" w:cs="楷体" w:hint="eastAsia"/>
                <w:color w:val="000000"/>
                <w:kern w:val="0"/>
                <w:sz w:val="21"/>
                <w:lang w:bidi="ar"/>
              </w:rPr>
              <w:t>软件实时监控数据；节能性体现为在相同压力下，可以实现较小的压力损失。</w:t>
            </w:r>
          </w:p>
        </w:tc>
      </w:tr>
    </w:tbl>
    <w:p w14:paraId="27D3999A" w14:textId="77777777" w:rsidR="008D76D6" w:rsidRDefault="008D76D6">
      <w:pPr>
        <w:widowControl/>
        <w:spacing w:beforeLines="0" w:before="0" w:afterLines="0" w:after="0" w:line="240" w:lineRule="auto"/>
        <w:ind w:firstLineChars="0" w:firstLine="0"/>
        <w:rPr>
          <w:rFonts w:ascii="Times New Roman" w:hAnsi="Times New Roman"/>
          <w:sz w:val="21"/>
          <w:szCs w:val="24"/>
        </w:rPr>
      </w:pPr>
      <w:r>
        <w:rPr>
          <w:rFonts w:ascii="Times New Roman" w:hAnsi="Times New Roman" w:hint="eastAsia"/>
          <w:sz w:val="21"/>
          <w:szCs w:val="24"/>
        </w:rPr>
        <w:t>资料来源：各公司公开披露信息</w:t>
      </w:r>
    </w:p>
    <w:p w14:paraId="7BB86988" w14:textId="77777777" w:rsidR="008D76D6" w:rsidRPr="00AC74B8" w:rsidRDefault="008D76D6" w:rsidP="008C4EDC">
      <w:pPr>
        <w:pStyle w:val="004"/>
        <w:keepNext w:val="0"/>
        <w:keepLines w:val="0"/>
        <w:widowControl w:val="0"/>
        <w:spacing w:before="120" w:after="120"/>
        <w:ind w:firstLine="482"/>
      </w:pPr>
      <w:r w:rsidRPr="00AC74B8">
        <w:rPr>
          <w:rFonts w:hint="eastAsia"/>
        </w:rPr>
        <w:t>（二）募投项目名称是否与实际产品相匹配，是否准确客观描述本次募投项目涉及阀门产品，是否存在夸大宣传或者误导性陈述的情形</w:t>
      </w:r>
    </w:p>
    <w:p w14:paraId="6CB57646" w14:textId="77777777" w:rsidR="008D76D6" w:rsidRDefault="008D76D6" w:rsidP="002A5284">
      <w:pPr>
        <w:adjustRightInd w:val="0"/>
        <w:snapToGrid w:val="0"/>
        <w:spacing w:before="120" w:afterLines="0" w:after="0"/>
        <w:ind w:firstLine="480"/>
        <w:rPr>
          <w:rFonts w:ascii="Times New Roman" w:hAnsi="Times New Roman"/>
          <w:color w:val="000000"/>
          <w:szCs w:val="28"/>
        </w:rPr>
      </w:pPr>
      <w:bookmarkStart w:id="37" w:name="_Hlk154540863"/>
      <w:r>
        <w:rPr>
          <w:rFonts w:ascii="Times New Roman" w:hAnsi="Times New Roman" w:hint="eastAsia"/>
          <w:color w:val="000000"/>
          <w:szCs w:val="28"/>
        </w:rPr>
        <w:t>公司本次募投产品智能阀门的智能化体现在可实现数据远程传输、远程操作并通过</w:t>
      </w:r>
      <w:r>
        <w:rPr>
          <w:rFonts w:ascii="Times New Roman" w:hAnsi="Times New Roman" w:hint="eastAsia"/>
          <w:color w:val="000000"/>
          <w:szCs w:val="28"/>
        </w:rPr>
        <w:t>APP</w:t>
      </w:r>
      <w:r>
        <w:rPr>
          <w:rFonts w:ascii="Times New Roman" w:hAnsi="Times New Roman" w:hint="eastAsia"/>
          <w:color w:val="000000"/>
          <w:szCs w:val="28"/>
        </w:rPr>
        <w:t>软件实施数据</w:t>
      </w:r>
      <w:r w:rsidR="00BB0B7E">
        <w:rPr>
          <w:rFonts w:ascii="Times New Roman" w:hAnsi="Times New Roman" w:hint="eastAsia"/>
          <w:color w:val="000000"/>
          <w:szCs w:val="28"/>
        </w:rPr>
        <w:t>监控</w:t>
      </w:r>
      <w:r>
        <w:rPr>
          <w:rFonts w:ascii="Times New Roman" w:hAnsi="Times New Roman" w:hint="eastAsia"/>
          <w:color w:val="000000"/>
          <w:szCs w:val="28"/>
        </w:rPr>
        <w:t>。本</w:t>
      </w:r>
      <w:r w:rsidR="00F71DC5">
        <w:rPr>
          <w:rFonts w:ascii="Times New Roman" w:hAnsi="Times New Roman" w:hint="eastAsia"/>
          <w:color w:val="000000"/>
          <w:szCs w:val="28"/>
        </w:rPr>
        <w:t>次</w:t>
      </w:r>
      <w:r>
        <w:rPr>
          <w:rFonts w:ascii="Times New Roman" w:hAnsi="Times New Roman" w:hint="eastAsia"/>
          <w:color w:val="000000"/>
          <w:szCs w:val="28"/>
        </w:rPr>
        <w:t>募投项目中的燃气阀门产品亦可配置智能制造软件，体现其智能化、自动化、数字化的智慧属性。此外，本</w:t>
      </w:r>
      <w:r w:rsidR="00F71DC5">
        <w:rPr>
          <w:rFonts w:ascii="Times New Roman" w:hAnsi="Times New Roman" w:hint="eastAsia"/>
          <w:color w:val="000000"/>
          <w:szCs w:val="28"/>
        </w:rPr>
        <w:t>次</w:t>
      </w:r>
      <w:r>
        <w:rPr>
          <w:rFonts w:ascii="Times New Roman" w:hAnsi="Times New Roman" w:hint="eastAsia"/>
          <w:color w:val="000000"/>
          <w:szCs w:val="28"/>
        </w:rPr>
        <w:t>募投项目的燃气阀门产品采用全新设计结构，更加突出气密性的特点，具有阀门启闭摩擦小、阀杆强度高、防腐性能卓越、密封程度和承压程度高等特点，具有节能属性。因此，本</w:t>
      </w:r>
      <w:r w:rsidR="00F71DC5">
        <w:rPr>
          <w:rFonts w:ascii="Times New Roman" w:hAnsi="Times New Roman" w:hint="eastAsia"/>
          <w:color w:val="000000"/>
          <w:szCs w:val="28"/>
        </w:rPr>
        <w:t>次</w:t>
      </w:r>
      <w:r>
        <w:rPr>
          <w:rFonts w:ascii="Times New Roman" w:hAnsi="Times New Roman" w:hint="eastAsia"/>
          <w:color w:val="000000"/>
          <w:szCs w:val="28"/>
        </w:rPr>
        <w:t>募投项目的智能阀门、燃气阀门均能体现项目名称中的“智慧节能”的属性，募投项目名称与实际产品相匹配，不存在夸大宣传或者误导性陈述的情形。</w:t>
      </w:r>
    </w:p>
    <w:bookmarkEnd w:id="37"/>
    <w:p w14:paraId="08873C9E" w14:textId="77777777" w:rsidR="008D76D6" w:rsidRPr="00B434D2" w:rsidRDefault="00291796" w:rsidP="00B434D2">
      <w:pPr>
        <w:pStyle w:val="003"/>
        <w:spacing w:before="120" w:after="120"/>
        <w:ind w:firstLine="482"/>
      </w:pPr>
      <w:r w:rsidRPr="00B434D2">
        <w:rPr>
          <w:rFonts w:hint="eastAsia"/>
        </w:rPr>
        <w:t>三</w:t>
      </w:r>
      <w:r w:rsidR="008D76D6" w:rsidRPr="00B434D2">
        <w:rPr>
          <w:rFonts w:hint="eastAsia"/>
        </w:rPr>
        <w:t>、核查程序及核查意见</w:t>
      </w:r>
    </w:p>
    <w:p w14:paraId="472D1D24" w14:textId="77777777" w:rsidR="008D76D6" w:rsidRPr="00B434D2" w:rsidRDefault="008D76D6" w:rsidP="00B434D2">
      <w:pPr>
        <w:pStyle w:val="004"/>
        <w:spacing w:before="120" w:after="120"/>
        <w:ind w:firstLine="482"/>
      </w:pPr>
      <w:r w:rsidRPr="00B434D2">
        <w:rPr>
          <w:rFonts w:hint="eastAsia"/>
        </w:rPr>
        <w:t>（一）核查程序</w:t>
      </w:r>
    </w:p>
    <w:p w14:paraId="28C3BA35" w14:textId="77777777" w:rsidR="008D76D6" w:rsidRDefault="008D76D6">
      <w:pPr>
        <w:spacing w:before="120" w:afterLines="0"/>
        <w:ind w:firstLine="480"/>
        <w:rPr>
          <w:rFonts w:ascii="宋体" w:hAnsi="宋体" w:cs="黑体"/>
          <w:bCs/>
        </w:rPr>
      </w:pPr>
      <w:r>
        <w:rPr>
          <w:rFonts w:ascii="宋体" w:hAnsi="宋体" w:cs="黑体" w:hint="eastAsia"/>
          <w:bCs/>
        </w:rPr>
        <w:t>针对上述问题，本所律师履行了以下核查程序：</w:t>
      </w:r>
    </w:p>
    <w:p w14:paraId="77CB4BB5" w14:textId="77777777" w:rsidR="008D76D6" w:rsidRDefault="008D76D6">
      <w:pPr>
        <w:topLinePunct/>
        <w:spacing w:before="120" w:after="120"/>
        <w:ind w:firstLine="476"/>
        <w:rPr>
          <w:rFonts w:ascii="宋体" w:hAnsi="宋体"/>
          <w:spacing w:val="-1"/>
          <w:szCs w:val="24"/>
        </w:rPr>
      </w:pPr>
      <w:r>
        <w:rPr>
          <w:rFonts w:ascii="Times New Roman" w:hAnsi="Times New Roman"/>
          <w:spacing w:val="-1"/>
          <w:szCs w:val="24"/>
        </w:rPr>
        <w:t>1</w:t>
      </w:r>
      <w:r>
        <w:rPr>
          <w:rFonts w:ascii="Times New Roman" w:hAnsi="Times New Roman"/>
          <w:spacing w:val="-1"/>
          <w:szCs w:val="24"/>
        </w:rPr>
        <w:t>、</w:t>
      </w:r>
      <w:r>
        <w:rPr>
          <w:rFonts w:ascii="宋体" w:hAnsi="宋体" w:hint="eastAsia"/>
          <w:spacing w:val="-1"/>
          <w:szCs w:val="24"/>
        </w:rPr>
        <w:t xml:space="preserve"> 取得并审阅发行人本次募投项目的投资备案文件、环评批复及节能报告等文件，了解发行人募投项目已取得审批文件情况；</w:t>
      </w:r>
    </w:p>
    <w:p w14:paraId="4D245165" w14:textId="77777777" w:rsidR="008D76D6" w:rsidRDefault="008D76D6">
      <w:pPr>
        <w:topLinePunct/>
        <w:spacing w:before="120" w:after="120"/>
        <w:ind w:firstLine="476"/>
        <w:rPr>
          <w:rFonts w:ascii="Times New Roman" w:hAnsi="Times New Roman"/>
          <w:szCs w:val="24"/>
        </w:rPr>
      </w:pPr>
      <w:r>
        <w:rPr>
          <w:rFonts w:ascii="Times New Roman" w:hAnsi="Times New Roman"/>
          <w:spacing w:val="-1"/>
          <w:szCs w:val="24"/>
        </w:rPr>
        <w:t>2</w:t>
      </w:r>
      <w:r>
        <w:rPr>
          <w:rFonts w:ascii="Times New Roman" w:hAnsi="Times New Roman"/>
          <w:spacing w:val="-1"/>
          <w:szCs w:val="24"/>
        </w:rPr>
        <w:t>、</w:t>
      </w:r>
      <w:r>
        <w:rPr>
          <w:rFonts w:ascii="Times New Roman" w:hAnsi="Times New Roman" w:hint="eastAsia"/>
          <w:spacing w:val="-1"/>
          <w:szCs w:val="24"/>
        </w:rPr>
        <w:t>取得并审阅发行人本次募投项目的不动产证书、</w:t>
      </w:r>
      <w:r>
        <w:rPr>
          <w:rFonts w:ascii="Times New Roman" w:hAnsi="Times New Roman"/>
          <w:szCs w:val="24"/>
        </w:rPr>
        <w:t>建设工程规划许可证</w:t>
      </w:r>
      <w:r>
        <w:rPr>
          <w:rFonts w:ascii="Times New Roman" w:hAnsi="Times New Roman" w:hint="eastAsia"/>
          <w:szCs w:val="24"/>
        </w:rPr>
        <w:t>及</w:t>
      </w:r>
      <w:r>
        <w:rPr>
          <w:rFonts w:ascii="Times New Roman" w:hAnsi="Times New Roman"/>
          <w:szCs w:val="24"/>
        </w:rPr>
        <w:t>建筑工程施工许可证</w:t>
      </w:r>
      <w:r>
        <w:rPr>
          <w:rFonts w:ascii="Times New Roman" w:hAnsi="Times New Roman" w:hint="eastAsia"/>
          <w:szCs w:val="24"/>
        </w:rPr>
        <w:t>，了解发行人是否已具备开工所需的必备文件；</w:t>
      </w:r>
    </w:p>
    <w:p w14:paraId="0553663D" w14:textId="77777777" w:rsidR="008D76D6" w:rsidRDefault="008D76D6">
      <w:pPr>
        <w:spacing w:before="120" w:after="120"/>
        <w:ind w:firstLine="480"/>
        <w:rPr>
          <w:rFonts w:hint="eastAsia"/>
        </w:rPr>
      </w:pPr>
      <w:r>
        <w:rPr>
          <w:rFonts w:ascii="Times New Roman" w:hAnsi="Times New Roman" w:hint="eastAsia"/>
          <w:szCs w:val="24"/>
        </w:rPr>
        <w:t>3</w:t>
      </w:r>
      <w:r>
        <w:rPr>
          <w:rFonts w:ascii="Times New Roman" w:hAnsi="Times New Roman" w:hint="eastAsia"/>
          <w:szCs w:val="24"/>
        </w:rPr>
        <w:t>、</w:t>
      </w:r>
      <w:r>
        <w:t>访谈公司</w:t>
      </w:r>
      <w:r>
        <w:rPr>
          <w:rFonts w:hint="eastAsia"/>
        </w:rPr>
        <w:t>相关负责人员</w:t>
      </w:r>
      <w:r>
        <w:t>，了解本次募投项目产品的主要参数，查阅并了解同行业可比公司产品情况。</w:t>
      </w:r>
    </w:p>
    <w:p w14:paraId="6B85DDC4" w14:textId="77777777" w:rsidR="008D76D6" w:rsidRPr="00B434D2" w:rsidRDefault="008D76D6" w:rsidP="00B434D2">
      <w:pPr>
        <w:pStyle w:val="004"/>
        <w:spacing w:before="120" w:after="120"/>
        <w:ind w:firstLine="482"/>
      </w:pPr>
      <w:r w:rsidRPr="00B434D2">
        <w:rPr>
          <w:rFonts w:hint="eastAsia"/>
        </w:rPr>
        <w:t>（二）核查意见</w:t>
      </w:r>
    </w:p>
    <w:p w14:paraId="09999D78" w14:textId="77777777" w:rsidR="008D76D6" w:rsidRDefault="008D76D6">
      <w:pPr>
        <w:spacing w:before="120" w:afterLines="0"/>
        <w:ind w:firstLine="480"/>
        <w:rPr>
          <w:rFonts w:ascii="宋体" w:hAnsi="宋体" w:cs="黑体"/>
          <w:bCs/>
        </w:rPr>
      </w:pPr>
      <w:r>
        <w:rPr>
          <w:rFonts w:ascii="宋体" w:hAnsi="宋体" w:cs="黑体" w:hint="eastAsia"/>
          <w:bCs/>
        </w:rPr>
        <w:t>经核查，本所律师认为：</w:t>
      </w:r>
    </w:p>
    <w:p w14:paraId="653AC268" w14:textId="77777777" w:rsidR="008D76D6" w:rsidRDefault="008D76D6">
      <w:pPr>
        <w:spacing w:before="120" w:after="120"/>
        <w:ind w:firstLine="480"/>
        <w:rPr>
          <w:rFonts w:ascii="Times New Roman" w:hAnsi="Times New Roman"/>
          <w:szCs w:val="24"/>
        </w:rPr>
      </w:pPr>
      <w:r>
        <w:rPr>
          <w:rFonts w:ascii="Times New Roman" w:hAnsi="Times New Roman"/>
          <w:szCs w:val="24"/>
        </w:rPr>
        <w:t>1</w:t>
      </w:r>
      <w:r>
        <w:rPr>
          <w:rFonts w:ascii="Times New Roman" w:hAnsi="Times New Roman"/>
          <w:szCs w:val="24"/>
        </w:rPr>
        <w:t>、发行人本次募投项目已取得现阶段所需的所有审批文件，实施不存在重大不确定性或实质性障碍。</w:t>
      </w:r>
    </w:p>
    <w:p w14:paraId="1A410A5E" w14:textId="77777777" w:rsidR="008D76D6" w:rsidRPr="00291796" w:rsidRDefault="008D76D6" w:rsidP="00B434D2">
      <w:pPr>
        <w:spacing w:before="120" w:after="120"/>
        <w:ind w:firstLine="480"/>
        <w:rPr>
          <w:rFonts w:ascii="Times New Roman" w:hAnsi="Times New Roman"/>
        </w:rPr>
      </w:pPr>
      <w:r w:rsidRPr="00291796">
        <w:rPr>
          <w:rFonts w:ascii="Times New Roman" w:hAnsi="Times New Roman"/>
        </w:rPr>
        <w:t>2</w:t>
      </w:r>
      <w:r w:rsidRPr="00291796">
        <w:rPr>
          <w:rFonts w:ascii="Times New Roman" w:hAnsi="Times New Roman"/>
        </w:rPr>
        <w:t>、</w:t>
      </w:r>
      <w:r w:rsidRPr="00B434D2">
        <w:rPr>
          <w:rFonts w:ascii="Times New Roman" w:hAnsi="Times New Roman"/>
        </w:rPr>
        <w:t>智能阀门及燃气阀门的口径、压力等级、适用温度、连接方式及承压部件材料等参数有一定重合之处，但两类产品的整体参数存在较大区别，</w:t>
      </w:r>
      <w:bookmarkStart w:id="38" w:name="_Hlk155030360"/>
      <w:r w:rsidR="00E000EC">
        <w:t>且可以根据工作介质直接区分，</w:t>
      </w:r>
      <w:bookmarkEnd w:id="38"/>
      <w:r w:rsidRPr="00B434D2">
        <w:rPr>
          <w:rFonts w:ascii="Times New Roman" w:hAnsi="Times New Roman"/>
        </w:rPr>
        <w:t>在生产工艺、下游客户等方面亦有较大区别；</w:t>
      </w:r>
      <w:r w:rsidRPr="00291796">
        <w:rPr>
          <w:rFonts w:ascii="Times New Roman" w:hAnsi="Times New Roman"/>
        </w:rPr>
        <w:t>募投项目名称与实际产品相匹配，</w:t>
      </w:r>
      <w:r w:rsidRPr="00B434D2">
        <w:rPr>
          <w:rFonts w:ascii="Times New Roman" w:hAnsi="Times New Roman"/>
        </w:rPr>
        <w:t>不</w:t>
      </w:r>
      <w:r w:rsidRPr="00291796">
        <w:rPr>
          <w:rFonts w:ascii="Times New Roman" w:hAnsi="Times New Roman"/>
        </w:rPr>
        <w:t>存在夸大宣传或者误导性陈述的情形</w:t>
      </w:r>
      <w:r w:rsidRPr="00B434D2">
        <w:rPr>
          <w:rFonts w:ascii="Times New Roman" w:hAnsi="Times New Roman"/>
        </w:rPr>
        <w:t>。</w:t>
      </w:r>
    </w:p>
    <w:p w14:paraId="4C3771EB" w14:textId="77777777" w:rsidR="008D76D6" w:rsidRDefault="008D76D6">
      <w:pPr>
        <w:pStyle w:val="1"/>
        <w:spacing w:before="120" w:after="120"/>
        <w:ind w:firstLine="482"/>
        <w:jc w:val="left"/>
        <w:rPr>
          <w:rFonts w:ascii="Times New Roman" w:hAnsi="Times New Roman"/>
          <w:sz w:val="24"/>
          <w:szCs w:val="24"/>
          <w:lang w:eastAsia="zh-Hans"/>
        </w:rPr>
      </w:pPr>
      <w:bookmarkStart w:id="39" w:name="_Toc153983219"/>
      <w:r>
        <w:rPr>
          <w:rFonts w:ascii="Times New Roman" w:hAnsi="Times New Roman"/>
          <w:sz w:val="24"/>
          <w:szCs w:val="24"/>
          <w:lang w:eastAsia="zh-Hans"/>
        </w:rPr>
        <w:t>问题</w:t>
      </w:r>
      <w:r>
        <w:rPr>
          <w:rFonts w:ascii="Times New Roman" w:hAnsi="Times New Roman"/>
          <w:sz w:val="24"/>
          <w:szCs w:val="24"/>
          <w:lang w:eastAsia="zh-Hans"/>
        </w:rPr>
        <w:t>4.</w:t>
      </w:r>
      <w:bookmarkEnd w:id="39"/>
    </w:p>
    <w:p w14:paraId="061A1FF0" w14:textId="77777777" w:rsidR="008D76D6" w:rsidRDefault="008D76D6">
      <w:pPr>
        <w:topLinePunct/>
        <w:adjustRightInd w:val="0"/>
        <w:snapToGrid w:val="0"/>
        <w:spacing w:beforeLines="0" w:afterLines="0"/>
        <w:ind w:firstLine="480"/>
        <w:rPr>
          <w:rFonts w:ascii="Times New Roman" w:hAnsi="Times New Roman"/>
          <w:color w:val="000000"/>
          <w:szCs w:val="32"/>
        </w:rPr>
      </w:pPr>
      <w:r>
        <w:rPr>
          <w:rFonts w:ascii="Times New Roman" w:hAnsi="Times New Roman"/>
          <w:color w:val="000000"/>
          <w:szCs w:val="32"/>
        </w:rPr>
        <w:t>报告期内，发行人子公司莱州伟隆存在因其原管理人员范庆丰（发行人实际控制人范庆伟之胞弟）私用莱州伟隆阀门有限公司（以下简称莱州伟隆）公章而导致的诉讼情况，包括未履行内部审批程序，私用莱州伟隆公章对外签署借款合同及签署担保合同，其中涉及担保金额超过</w:t>
      </w:r>
      <w:r>
        <w:rPr>
          <w:rFonts w:ascii="Times New Roman" w:hAnsi="Times New Roman"/>
          <w:color w:val="000000"/>
          <w:szCs w:val="32"/>
        </w:rPr>
        <w:t>1000</w:t>
      </w:r>
      <w:r>
        <w:rPr>
          <w:rFonts w:ascii="Times New Roman" w:hAnsi="Times New Roman"/>
          <w:color w:val="000000"/>
          <w:szCs w:val="32"/>
        </w:rPr>
        <w:t>万元的案件，法院判决莱州伟隆就莱州辰英特机械制造有限公司及范威辰无法清偿部分承担</w:t>
      </w:r>
      <w:r>
        <w:rPr>
          <w:rFonts w:ascii="Times New Roman" w:hAnsi="Times New Roman"/>
          <w:color w:val="000000"/>
          <w:szCs w:val="32"/>
        </w:rPr>
        <w:t>50%</w:t>
      </w:r>
      <w:r>
        <w:rPr>
          <w:rFonts w:ascii="Times New Roman" w:hAnsi="Times New Roman"/>
          <w:color w:val="000000"/>
          <w:szCs w:val="32"/>
        </w:rPr>
        <w:t>的赔偿责任（以下简称辰英特案）；此外，目前尚有部分诉讼在审理中。</w:t>
      </w:r>
      <w:r>
        <w:rPr>
          <w:rFonts w:ascii="Times New Roman" w:hAnsi="Times New Roman"/>
          <w:color w:val="000000"/>
          <w:szCs w:val="32"/>
        </w:rPr>
        <w:t>2021</w:t>
      </w:r>
      <w:r>
        <w:rPr>
          <w:rFonts w:ascii="Times New Roman" w:hAnsi="Times New Roman"/>
          <w:color w:val="000000"/>
          <w:szCs w:val="32"/>
        </w:rPr>
        <w:t>年</w:t>
      </w:r>
      <w:r>
        <w:rPr>
          <w:rFonts w:ascii="Times New Roman" w:hAnsi="Times New Roman"/>
          <w:color w:val="000000"/>
          <w:szCs w:val="32"/>
        </w:rPr>
        <w:t>10</w:t>
      </w:r>
      <w:r>
        <w:rPr>
          <w:rFonts w:ascii="Times New Roman" w:hAnsi="Times New Roman"/>
          <w:color w:val="000000"/>
          <w:szCs w:val="32"/>
        </w:rPr>
        <w:t>月，青岛证监局、交易所针对上述事项对发行人分别采取责令改正的监管措施、给予监管函。根据发行人、范庆丰出具的说明，发行人实际控制人范庆伟出具的承诺，</w:t>
      </w:r>
      <w:r>
        <w:rPr>
          <w:rFonts w:ascii="Times New Roman" w:hAnsi="Times New Roman"/>
          <w:color w:val="000000"/>
          <w:szCs w:val="32"/>
        </w:rPr>
        <w:t>“</w:t>
      </w:r>
      <w:r>
        <w:rPr>
          <w:rFonts w:ascii="Times New Roman" w:hAnsi="Times New Roman"/>
          <w:color w:val="000000"/>
          <w:szCs w:val="32"/>
        </w:rPr>
        <w:t>如未来莱州伟隆因范庆丰私用公章对外借款或担保的原因遭受损失，范庆伟将及时补偿莱州伟隆损失。</w:t>
      </w:r>
      <w:r>
        <w:rPr>
          <w:rFonts w:ascii="Times New Roman" w:hAnsi="Times New Roman"/>
          <w:color w:val="000000"/>
          <w:szCs w:val="32"/>
        </w:rPr>
        <w:t>”</w:t>
      </w:r>
    </w:p>
    <w:p w14:paraId="3347EC51" w14:textId="77777777" w:rsidR="008D76D6" w:rsidRDefault="008D76D6">
      <w:pPr>
        <w:topLinePunct/>
        <w:adjustRightInd w:val="0"/>
        <w:snapToGrid w:val="0"/>
        <w:spacing w:before="120" w:after="120"/>
        <w:ind w:firstLine="480"/>
        <w:rPr>
          <w:rFonts w:ascii="Times New Roman" w:hAnsi="Times New Roman"/>
          <w:color w:val="000000"/>
          <w:szCs w:val="32"/>
        </w:rPr>
      </w:pPr>
      <w:r>
        <w:rPr>
          <w:rFonts w:ascii="Times New Roman" w:hAnsi="Times New Roman"/>
          <w:color w:val="000000"/>
          <w:szCs w:val="32"/>
        </w:rPr>
        <w:t>请发行人补充说明：（</w:t>
      </w:r>
      <w:r>
        <w:rPr>
          <w:rFonts w:ascii="Times New Roman" w:hAnsi="Times New Roman"/>
          <w:color w:val="000000"/>
          <w:szCs w:val="32"/>
        </w:rPr>
        <w:t>1</w:t>
      </w:r>
      <w:r>
        <w:rPr>
          <w:rFonts w:ascii="Times New Roman" w:hAnsi="Times New Roman"/>
          <w:color w:val="000000"/>
          <w:szCs w:val="32"/>
        </w:rPr>
        <w:t>）前述尚在审理中诉讼的进展，以及对发行人及子公司的影响；（</w:t>
      </w:r>
      <w:r>
        <w:rPr>
          <w:rFonts w:ascii="Times New Roman" w:hAnsi="Times New Roman"/>
          <w:color w:val="000000"/>
          <w:szCs w:val="32"/>
        </w:rPr>
        <w:t>2</w:t>
      </w:r>
      <w:r>
        <w:rPr>
          <w:rFonts w:ascii="Times New Roman" w:hAnsi="Times New Roman"/>
          <w:color w:val="000000"/>
          <w:szCs w:val="32"/>
        </w:rPr>
        <w:t>）子公司就前述借款、担保履行相应责任涉及金额的交易对手方、发生额、发生日期、追回金额及日期，法院就辰英特案等已判决子公司承担赔偿责任的具体履行情况，发行人及子公司是否违规对外提供财务资助或违规提供担保，后续是否可能涉及违规处分或被采取相关措施；（</w:t>
      </w:r>
      <w:r>
        <w:rPr>
          <w:rFonts w:ascii="Times New Roman" w:hAnsi="Times New Roman"/>
          <w:color w:val="000000"/>
          <w:szCs w:val="32"/>
        </w:rPr>
        <w:t>3</w:t>
      </w:r>
      <w:r>
        <w:rPr>
          <w:rFonts w:ascii="Times New Roman" w:hAnsi="Times New Roman"/>
          <w:color w:val="000000"/>
          <w:szCs w:val="32"/>
        </w:rPr>
        <w:t>）发行人是否已就范庆伟关于莱州伟隆的承诺履行信息披露义务，承诺内容是否符合可行性、明确性要求，相关承诺作出的具体日期及执行情况，莱州伟隆垫付资金及范庆伟收回款项的时间间隔，在间隔期是否构成资金占用等情形，是否存在违反承诺的情况；（</w:t>
      </w:r>
      <w:r>
        <w:rPr>
          <w:rFonts w:ascii="Times New Roman" w:hAnsi="Times New Roman"/>
          <w:color w:val="000000"/>
          <w:szCs w:val="32"/>
        </w:rPr>
        <w:t>4</w:t>
      </w:r>
      <w:r>
        <w:rPr>
          <w:rFonts w:ascii="Times New Roman" w:hAnsi="Times New Roman"/>
          <w:color w:val="000000"/>
          <w:szCs w:val="32"/>
        </w:rPr>
        <w:t>）结合前述情况，说明发行人及子公司内部控制是否健全及有效执行，相关内部控制缺陷（如有）的风险是否已充分披露。</w:t>
      </w:r>
    </w:p>
    <w:p w14:paraId="6941A6C1" w14:textId="77777777" w:rsidR="008D76D6" w:rsidRDefault="008D76D6">
      <w:pPr>
        <w:topLinePunct/>
        <w:adjustRightInd w:val="0"/>
        <w:snapToGrid w:val="0"/>
        <w:spacing w:before="120" w:after="120"/>
        <w:ind w:firstLine="480"/>
        <w:rPr>
          <w:rFonts w:ascii="仿宋" w:hAnsi="仿宋"/>
          <w:color w:val="000000"/>
          <w:szCs w:val="32"/>
        </w:rPr>
      </w:pPr>
      <w:r>
        <w:rPr>
          <w:rFonts w:ascii="仿宋" w:hAnsi="仿宋" w:hint="eastAsia"/>
          <w:color w:val="000000"/>
          <w:szCs w:val="32"/>
        </w:rPr>
        <w:t>请发行人补充披露上述事项相关风险。</w:t>
      </w:r>
    </w:p>
    <w:p w14:paraId="16A73752" w14:textId="77777777" w:rsidR="008D76D6" w:rsidRDefault="008D76D6">
      <w:pPr>
        <w:topLinePunct/>
        <w:adjustRightInd w:val="0"/>
        <w:snapToGrid w:val="0"/>
        <w:spacing w:before="120" w:after="120"/>
        <w:ind w:firstLine="480"/>
        <w:rPr>
          <w:rFonts w:ascii="仿宋" w:hAnsi="仿宋"/>
          <w:color w:val="000000"/>
          <w:szCs w:val="32"/>
        </w:rPr>
      </w:pPr>
      <w:r>
        <w:rPr>
          <w:rFonts w:ascii="仿宋" w:hAnsi="仿宋" w:hint="eastAsia"/>
          <w:color w:val="000000"/>
          <w:szCs w:val="32"/>
        </w:rPr>
        <w:t>请保荐人</w:t>
      </w:r>
      <w:r>
        <w:rPr>
          <w:rFonts w:ascii="仿宋" w:hAnsi="仿宋"/>
          <w:color w:val="000000"/>
          <w:szCs w:val="32"/>
        </w:rPr>
        <w:t>、会计师、发行人律师</w:t>
      </w:r>
      <w:r>
        <w:rPr>
          <w:rFonts w:ascii="仿宋" w:hAnsi="仿宋" w:hint="eastAsia"/>
          <w:color w:val="000000"/>
          <w:szCs w:val="32"/>
        </w:rPr>
        <w:t>核查并发表明确意见。</w:t>
      </w:r>
    </w:p>
    <w:p w14:paraId="28020C46" w14:textId="77777777" w:rsidR="008D76D6" w:rsidRDefault="008D76D6">
      <w:pPr>
        <w:topLinePunct/>
        <w:spacing w:before="120" w:after="120"/>
        <w:ind w:firstLine="478"/>
        <w:rPr>
          <w:rFonts w:ascii="宋体" w:hAnsi="宋体" w:hint="eastAsia"/>
          <w:b/>
          <w:bCs/>
          <w:spacing w:val="-1"/>
          <w:szCs w:val="24"/>
        </w:rPr>
      </w:pPr>
      <w:r>
        <w:rPr>
          <w:rFonts w:ascii="宋体" w:hAnsi="宋体" w:hint="eastAsia"/>
          <w:b/>
          <w:bCs/>
          <w:spacing w:val="-1"/>
          <w:szCs w:val="24"/>
        </w:rPr>
        <w:t>回复：</w:t>
      </w:r>
    </w:p>
    <w:p w14:paraId="719D97D8" w14:textId="77777777" w:rsidR="008D76D6" w:rsidRPr="00B434D2" w:rsidRDefault="00291796" w:rsidP="00B434D2">
      <w:pPr>
        <w:pStyle w:val="003"/>
        <w:spacing w:before="120" w:after="120"/>
        <w:ind w:firstLine="482"/>
      </w:pPr>
      <w:r w:rsidRPr="00B434D2">
        <w:rPr>
          <w:rFonts w:hint="eastAsia"/>
        </w:rPr>
        <w:t>一、</w:t>
      </w:r>
      <w:r w:rsidR="008D76D6" w:rsidRPr="00B434D2">
        <w:t>前述尚在审理中诉讼的进展，以及对发行人及子公司的影响</w:t>
      </w:r>
    </w:p>
    <w:p w14:paraId="45D71F12" w14:textId="77777777" w:rsidR="008D76D6" w:rsidRDefault="008D76D6">
      <w:pPr>
        <w:widowControl/>
        <w:autoSpaceDE w:val="0"/>
        <w:autoSpaceDN w:val="0"/>
        <w:adjustRightInd w:val="0"/>
        <w:spacing w:before="120" w:afterLines="0" w:after="120"/>
        <w:ind w:firstLineChars="0" w:firstLine="480"/>
        <w:rPr>
          <w:rFonts w:ascii="Times New Roman" w:hAnsi="Times New Roman"/>
          <w:color w:val="000000"/>
          <w:szCs w:val="32"/>
        </w:rPr>
      </w:pPr>
      <w:r>
        <w:rPr>
          <w:rFonts w:ascii="Times New Roman" w:hAnsi="Times New Roman" w:hint="eastAsia"/>
          <w:color w:val="000000"/>
          <w:szCs w:val="32"/>
        </w:rPr>
        <w:t>截至本法律意见书出具之日，前述尚在审理中的案件进展情况如下：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1144"/>
        <w:gridCol w:w="2054"/>
        <w:gridCol w:w="1799"/>
        <w:gridCol w:w="3373"/>
      </w:tblGrid>
      <w:tr w:rsidR="008D76D6" w14:paraId="3548F336" w14:textId="77777777">
        <w:trPr>
          <w:jc w:val="center"/>
        </w:trPr>
        <w:tc>
          <w:tcPr>
            <w:tcW w:w="655" w:type="dxa"/>
            <w:shd w:val="clear" w:color="auto" w:fill="BFBFBF"/>
            <w:vAlign w:val="center"/>
          </w:tcPr>
          <w:p w14:paraId="68CFDB11"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序号</w:t>
            </w:r>
          </w:p>
        </w:tc>
        <w:tc>
          <w:tcPr>
            <w:tcW w:w="1172" w:type="dxa"/>
            <w:shd w:val="clear" w:color="auto" w:fill="BFBFBF"/>
            <w:vAlign w:val="center"/>
          </w:tcPr>
          <w:p w14:paraId="0913F9BD"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原告</w:t>
            </w:r>
          </w:p>
        </w:tc>
        <w:tc>
          <w:tcPr>
            <w:tcW w:w="2109" w:type="dxa"/>
            <w:shd w:val="clear" w:color="auto" w:fill="BFBFBF"/>
            <w:vAlign w:val="center"/>
          </w:tcPr>
          <w:p w14:paraId="5E6083FA"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被告</w:t>
            </w:r>
          </w:p>
        </w:tc>
        <w:tc>
          <w:tcPr>
            <w:tcW w:w="1842" w:type="dxa"/>
            <w:shd w:val="clear" w:color="auto" w:fill="BFBFBF"/>
            <w:vAlign w:val="center"/>
          </w:tcPr>
          <w:p w14:paraId="37B3F021"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借款金额</w:t>
            </w:r>
            <w:r>
              <w:rPr>
                <w:rFonts w:ascii="Times New Roman" w:hAnsi="Times New Roman" w:hint="eastAsia"/>
                <w:b/>
                <w:bCs/>
                <w:color w:val="000000"/>
                <w:sz w:val="21"/>
                <w:szCs w:val="21"/>
              </w:rPr>
              <w:t>/</w:t>
            </w:r>
            <w:r>
              <w:rPr>
                <w:rFonts w:ascii="Times New Roman" w:hAnsi="Times New Roman" w:hint="eastAsia"/>
                <w:b/>
                <w:bCs/>
                <w:color w:val="000000"/>
                <w:sz w:val="21"/>
                <w:szCs w:val="21"/>
              </w:rPr>
              <w:t>担保金额</w:t>
            </w:r>
          </w:p>
        </w:tc>
        <w:tc>
          <w:tcPr>
            <w:tcW w:w="3464" w:type="dxa"/>
            <w:shd w:val="clear" w:color="auto" w:fill="BFBFBF"/>
            <w:vAlign w:val="center"/>
          </w:tcPr>
          <w:p w14:paraId="0D0FE175"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案件审理情况</w:t>
            </w:r>
          </w:p>
        </w:tc>
      </w:tr>
      <w:tr w:rsidR="008D76D6" w14:paraId="0F816EA2" w14:textId="77777777">
        <w:trPr>
          <w:jc w:val="center"/>
        </w:trPr>
        <w:tc>
          <w:tcPr>
            <w:tcW w:w="655" w:type="dxa"/>
            <w:vAlign w:val="center"/>
          </w:tcPr>
          <w:p w14:paraId="4AA730D0"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1</w:t>
            </w:r>
          </w:p>
        </w:tc>
        <w:tc>
          <w:tcPr>
            <w:tcW w:w="1172" w:type="dxa"/>
            <w:vAlign w:val="center"/>
          </w:tcPr>
          <w:p w14:paraId="0B087F5F"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李斌乐</w:t>
            </w:r>
          </w:p>
        </w:tc>
        <w:tc>
          <w:tcPr>
            <w:tcW w:w="2109" w:type="dxa"/>
            <w:vAlign w:val="center"/>
          </w:tcPr>
          <w:p w14:paraId="600B10E3"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范庆丰、莱州伟隆</w:t>
            </w:r>
          </w:p>
        </w:tc>
        <w:tc>
          <w:tcPr>
            <w:tcW w:w="1842" w:type="dxa"/>
            <w:vAlign w:val="center"/>
          </w:tcPr>
          <w:p w14:paraId="2393C935"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bCs/>
                <w:sz w:val="21"/>
                <w:szCs w:val="21"/>
              </w:rPr>
            </w:pPr>
            <w:r>
              <w:rPr>
                <w:rFonts w:ascii="Times New Roman" w:hAnsi="Times New Roman" w:hint="eastAsia"/>
                <w:bCs/>
                <w:sz w:val="21"/>
                <w:szCs w:val="21"/>
              </w:rPr>
              <w:t>60.00</w:t>
            </w:r>
            <w:r>
              <w:rPr>
                <w:rFonts w:ascii="Times New Roman" w:hAnsi="Times New Roman" w:hint="eastAsia"/>
                <w:bCs/>
                <w:sz w:val="21"/>
                <w:szCs w:val="21"/>
              </w:rPr>
              <w:t>万元</w:t>
            </w:r>
          </w:p>
        </w:tc>
        <w:tc>
          <w:tcPr>
            <w:tcW w:w="3464" w:type="dxa"/>
            <w:vAlign w:val="center"/>
          </w:tcPr>
          <w:p w14:paraId="779AA994" w14:textId="77777777" w:rsidR="008D76D6" w:rsidRDefault="008D76D6">
            <w:pPr>
              <w:widowControl/>
              <w:autoSpaceDE w:val="0"/>
              <w:autoSpaceDN w:val="0"/>
              <w:adjustRightInd w:val="0"/>
              <w:spacing w:beforeLines="0" w:before="0" w:afterLines="0" w:after="0" w:line="240" w:lineRule="auto"/>
              <w:ind w:firstLineChars="0" w:firstLine="0"/>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023</w:t>
            </w:r>
            <w:r>
              <w:rPr>
                <w:rFonts w:ascii="Times New Roman" w:hAnsi="Times New Roman" w:hint="eastAsia"/>
                <w:bCs/>
                <w:sz w:val="21"/>
                <w:szCs w:val="21"/>
              </w:rPr>
              <w:t>年</w:t>
            </w:r>
            <w:r w:rsidR="001D35F7">
              <w:rPr>
                <w:rFonts w:ascii="Times New Roman" w:hAnsi="Times New Roman"/>
                <w:bCs/>
                <w:sz w:val="21"/>
                <w:szCs w:val="21"/>
              </w:rPr>
              <w:t>12</w:t>
            </w:r>
            <w:r>
              <w:rPr>
                <w:rFonts w:ascii="Times New Roman" w:hAnsi="Times New Roman" w:hint="eastAsia"/>
                <w:bCs/>
                <w:sz w:val="21"/>
                <w:szCs w:val="21"/>
              </w:rPr>
              <w:t>月</w:t>
            </w:r>
            <w:r w:rsidR="001D35F7">
              <w:rPr>
                <w:rFonts w:ascii="Times New Roman" w:hAnsi="Times New Roman"/>
                <w:bCs/>
                <w:sz w:val="21"/>
                <w:szCs w:val="21"/>
              </w:rPr>
              <w:t>25</w:t>
            </w:r>
            <w:r>
              <w:rPr>
                <w:rFonts w:ascii="Times New Roman" w:hAnsi="Times New Roman" w:hint="eastAsia"/>
                <w:bCs/>
                <w:sz w:val="21"/>
                <w:szCs w:val="21"/>
              </w:rPr>
              <w:t>日，山东省莱州市人民法院</w:t>
            </w:r>
            <w:r w:rsidR="001D35F7">
              <w:rPr>
                <w:rFonts w:ascii="Times New Roman" w:hAnsi="Times New Roman" w:hint="eastAsia"/>
                <w:bCs/>
                <w:sz w:val="21"/>
                <w:szCs w:val="21"/>
              </w:rPr>
              <w:t>作出（</w:t>
            </w:r>
            <w:r w:rsidR="001D35F7">
              <w:rPr>
                <w:rFonts w:ascii="Times New Roman" w:hAnsi="Times New Roman" w:hint="eastAsia"/>
                <w:bCs/>
                <w:sz w:val="21"/>
                <w:szCs w:val="21"/>
              </w:rPr>
              <w:t>2</w:t>
            </w:r>
            <w:r w:rsidR="001D35F7">
              <w:rPr>
                <w:rFonts w:ascii="Times New Roman" w:hAnsi="Times New Roman"/>
                <w:bCs/>
                <w:sz w:val="21"/>
                <w:szCs w:val="21"/>
              </w:rPr>
              <w:t>023</w:t>
            </w:r>
            <w:r w:rsidR="001D35F7">
              <w:rPr>
                <w:rFonts w:ascii="Times New Roman" w:hAnsi="Times New Roman" w:hint="eastAsia"/>
                <w:bCs/>
                <w:sz w:val="21"/>
                <w:szCs w:val="21"/>
              </w:rPr>
              <w:t>）鲁</w:t>
            </w:r>
            <w:r w:rsidR="001D35F7">
              <w:rPr>
                <w:rFonts w:ascii="Times New Roman" w:hAnsi="Times New Roman" w:hint="eastAsia"/>
                <w:bCs/>
                <w:sz w:val="21"/>
                <w:szCs w:val="21"/>
              </w:rPr>
              <w:t>0</w:t>
            </w:r>
            <w:r w:rsidR="001D35F7">
              <w:rPr>
                <w:rFonts w:ascii="Times New Roman" w:hAnsi="Times New Roman"/>
                <w:bCs/>
                <w:sz w:val="21"/>
                <w:szCs w:val="21"/>
              </w:rPr>
              <w:t>683</w:t>
            </w:r>
            <w:r w:rsidR="001D35F7">
              <w:rPr>
                <w:rFonts w:ascii="Times New Roman" w:hAnsi="Times New Roman" w:hint="eastAsia"/>
                <w:bCs/>
                <w:sz w:val="21"/>
                <w:szCs w:val="21"/>
              </w:rPr>
              <w:t>民初</w:t>
            </w:r>
            <w:r w:rsidR="001D35F7">
              <w:rPr>
                <w:rFonts w:ascii="Times New Roman" w:hAnsi="Times New Roman" w:hint="eastAsia"/>
                <w:bCs/>
                <w:sz w:val="21"/>
                <w:szCs w:val="21"/>
              </w:rPr>
              <w:t>5</w:t>
            </w:r>
            <w:r w:rsidR="001D35F7">
              <w:rPr>
                <w:rFonts w:ascii="Times New Roman" w:hAnsi="Times New Roman"/>
                <w:bCs/>
                <w:sz w:val="21"/>
                <w:szCs w:val="21"/>
              </w:rPr>
              <w:t>168</w:t>
            </w:r>
            <w:r w:rsidR="001D35F7">
              <w:rPr>
                <w:rFonts w:ascii="Times New Roman" w:hAnsi="Times New Roman" w:hint="eastAsia"/>
                <w:bCs/>
                <w:sz w:val="21"/>
                <w:szCs w:val="21"/>
              </w:rPr>
              <w:t>号《民事判决书》</w:t>
            </w:r>
            <w:r>
              <w:rPr>
                <w:rFonts w:ascii="Times New Roman" w:hAnsi="Times New Roman" w:hint="eastAsia"/>
                <w:bCs/>
                <w:sz w:val="21"/>
                <w:szCs w:val="21"/>
              </w:rPr>
              <w:t>，</w:t>
            </w:r>
            <w:r w:rsidR="001D35F7">
              <w:rPr>
                <w:rFonts w:ascii="Times New Roman" w:hAnsi="Times New Roman" w:hint="eastAsia"/>
                <w:bCs/>
                <w:sz w:val="21"/>
                <w:szCs w:val="21"/>
              </w:rPr>
              <w:t>判决：</w:t>
            </w:r>
          </w:p>
          <w:p w14:paraId="03687CDE" w14:textId="77777777" w:rsidR="001D35F7" w:rsidRDefault="001D35F7">
            <w:pPr>
              <w:widowControl/>
              <w:autoSpaceDE w:val="0"/>
              <w:autoSpaceDN w:val="0"/>
              <w:adjustRightInd w:val="0"/>
              <w:spacing w:beforeLines="0" w:before="0" w:afterLines="0" w:after="0" w:line="240" w:lineRule="auto"/>
              <w:ind w:firstLineChars="0" w:firstLine="0"/>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、范庆丰、莱州伟隆共同偿还原告李斌乐借款</w:t>
            </w:r>
            <w:r>
              <w:rPr>
                <w:rFonts w:ascii="Times New Roman" w:hAnsi="Times New Roman" w:hint="eastAsia"/>
                <w:bCs/>
                <w:sz w:val="21"/>
                <w:szCs w:val="21"/>
              </w:rPr>
              <w:t>5</w:t>
            </w:r>
            <w:r>
              <w:rPr>
                <w:rFonts w:ascii="Times New Roman" w:hAnsi="Times New Roman"/>
                <w:bCs/>
                <w:sz w:val="21"/>
                <w:szCs w:val="21"/>
              </w:rPr>
              <w:t>0</w:t>
            </w:r>
            <w:r>
              <w:rPr>
                <w:rFonts w:ascii="Times New Roman" w:hAnsi="Times New Roman" w:hint="eastAsia"/>
                <w:bCs/>
                <w:sz w:val="21"/>
                <w:szCs w:val="21"/>
              </w:rPr>
              <w:t>万元，并给付李斌乐自</w:t>
            </w:r>
            <w:r>
              <w:rPr>
                <w:rFonts w:ascii="Times New Roman" w:hAnsi="Times New Roman" w:hint="eastAsia"/>
                <w:bCs/>
                <w:sz w:val="21"/>
                <w:szCs w:val="21"/>
              </w:rPr>
              <w:t>2</w:t>
            </w:r>
            <w:r>
              <w:rPr>
                <w:rFonts w:ascii="Times New Roman" w:hAnsi="Times New Roman"/>
                <w:bCs/>
                <w:sz w:val="21"/>
                <w:szCs w:val="21"/>
              </w:rPr>
              <w:t>023</w:t>
            </w:r>
            <w:r>
              <w:rPr>
                <w:rFonts w:ascii="Times New Roman" w:hAnsi="Times New Roman" w:hint="eastAsia"/>
                <w:bCs/>
                <w:sz w:val="21"/>
                <w:szCs w:val="21"/>
              </w:rPr>
              <w:t>年</w:t>
            </w:r>
            <w:r>
              <w:rPr>
                <w:rFonts w:ascii="Times New Roman" w:hAnsi="Times New Roman" w:hint="eastAsia"/>
                <w:bCs/>
                <w:sz w:val="21"/>
                <w:szCs w:val="21"/>
              </w:rPr>
              <w:t>7</w:t>
            </w:r>
            <w:r>
              <w:rPr>
                <w:rFonts w:ascii="Times New Roman" w:hAnsi="Times New Roman" w:hint="eastAsia"/>
                <w:bCs/>
                <w:sz w:val="21"/>
                <w:szCs w:val="21"/>
              </w:rPr>
              <w:t>月</w:t>
            </w:r>
            <w:r>
              <w:rPr>
                <w:rFonts w:ascii="Times New Roman" w:hAnsi="Times New Roman" w:hint="eastAsia"/>
                <w:bCs/>
                <w:sz w:val="21"/>
                <w:szCs w:val="21"/>
              </w:rPr>
              <w:t>1</w:t>
            </w:r>
            <w:r>
              <w:rPr>
                <w:rFonts w:ascii="Times New Roman" w:hAnsi="Times New Roman"/>
                <w:bCs/>
                <w:sz w:val="21"/>
                <w:szCs w:val="21"/>
              </w:rPr>
              <w:t>3</w:t>
            </w:r>
            <w:r>
              <w:rPr>
                <w:rFonts w:ascii="Times New Roman" w:hAnsi="Times New Roman" w:hint="eastAsia"/>
                <w:bCs/>
                <w:sz w:val="21"/>
                <w:szCs w:val="21"/>
              </w:rPr>
              <w:t>日起至实际给付之日止以</w:t>
            </w:r>
            <w:r>
              <w:rPr>
                <w:rFonts w:ascii="Times New Roman" w:hAnsi="Times New Roman" w:hint="eastAsia"/>
                <w:bCs/>
                <w:sz w:val="21"/>
                <w:szCs w:val="21"/>
              </w:rPr>
              <w:t>5</w:t>
            </w:r>
            <w:r>
              <w:rPr>
                <w:rFonts w:ascii="Times New Roman" w:hAnsi="Times New Roman"/>
                <w:bCs/>
                <w:sz w:val="21"/>
                <w:szCs w:val="21"/>
              </w:rPr>
              <w:t>0</w:t>
            </w:r>
            <w:r>
              <w:rPr>
                <w:rFonts w:ascii="Times New Roman" w:hAnsi="Times New Roman" w:hint="eastAsia"/>
                <w:bCs/>
                <w:sz w:val="21"/>
                <w:szCs w:val="21"/>
              </w:rPr>
              <w:t>万元作为基数按照同期全国银行间同业拆借中心公布的一年期贷款市场报价利率计算的利息；</w:t>
            </w:r>
          </w:p>
          <w:p w14:paraId="5A8B0BEA" w14:textId="77777777" w:rsidR="001D35F7" w:rsidRDefault="001D35F7">
            <w:pPr>
              <w:widowControl/>
              <w:autoSpaceDE w:val="0"/>
              <w:autoSpaceDN w:val="0"/>
              <w:adjustRightInd w:val="0"/>
              <w:spacing w:beforeLines="0" w:before="0" w:afterLines="0" w:after="0" w:line="240" w:lineRule="auto"/>
              <w:ind w:firstLineChars="0" w:firstLine="0"/>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、驳回原告李斌乐的其他诉讼请求。</w:t>
            </w:r>
          </w:p>
          <w:p w14:paraId="235503D9" w14:textId="77777777" w:rsidR="004F71C9" w:rsidRDefault="004F71C9">
            <w:pPr>
              <w:widowControl/>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bCs/>
                <w:sz w:val="21"/>
                <w:szCs w:val="21"/>
              </w:rPr>
              <w:t>截至本补充法律意见书出具之日，上述判决尚未生效。</w:t>
            </w:r>
          </w:p>
        </w:tc>
      </w:tr>
      <w:tr w:rsidR="008D76D6" w14:paraId="6BBE411C" w14:textId="77777777">
        <w:trPr>
          <w:jc w:val="center"/>
        </w:trPr>
        <w:tc>
          <w:tcPr>
            <w:tcW w:w="655" w:type="dxa"/>
            <w:vAlign w:val="center"/>
          </w:tcPr>
          <w:p w14:paraId="737DE54F"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p>
        </w:tc>
        <w:tc>
          <w:tcPr>
            <w:tcW w:w="1172" w:type="dxa"/>
            <w:vAlign w:val="center"/>
          </w:tcPr>
          <w:p w14:paraId="3FD30B33"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李伟</w:t>
            </w:r>
          </w:p>
        </w:tc>
        <w:tc>
          <w:tcPr>
            <w:tcW w:w="2109" w:type="dxa"/>
            <w:vAlign w:val="center"/>
          </w:tcPr>
          <w:p w14:paraId="1E6174FA"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范庆丰、尹德坤、邵烽承、莱州伟隆及伟隆股份</w:t>
            </w:r>
          </w:p>
        </w:tc>
        <w:tc>
          <w:tcPr>
            <w:tcW w:w="1842" w:type="dxa"/>
            <w:vAlign w:val="center"/>
          </w:tcPr>
          <w:p w14:paraId="1BD15F4F" w14:textId="77777777" w:rsidR="008D76D6" w:rsidRDefault="008D76D6">
            <w:pPr>
              <w:pStyle w:val="aff0"/>
              <w:autoSpaceDE w:val="0"/>
              <w:autoSpaceDN w:val="0"/>
              <w:spacing w:before="120" w:after="120"/>
              <w:contextualSpacing/>
              <w:jc w:val="center"/>
              <w:rPr>
                <w:rFonts w:ascii="Times New Roman" w:hAnsi="Times New Roman"/>
                <w:bCs/>
                <w:sz w:val="21"/>
                <w:szCs w:val="21"/>
              </w:rPr>
            </w:pPr>
            <w:r>
              <w:rPr>
                <w:rFonts w:ascii="Times New Roman" w:hAnsi="Times New Roman"/>
                <w:bCs/>
                <w:sz w:val="21"/>
                <w:szCs w:val="21"/>
              </w:rPr>
              <w:t>90.8</w:t>
            </w:r>
            <w:r>
              <w:rPr>
                <w:rFonts w:ascii="Times New Roman" w:hAnsi="Times New Roman"/>
                <w:bCs/>
                <w:sz w:val="21"/>
                <w:szCs w:val="21"/>
              </w:rPr>
              <w:t>万元及利息</w:t>
            </w:r>
          </w:p>
        </w:tc>
        <w:tc>
          <w:tcPr>
            <w:tcW w:w="3464" w:type="dxa"/>
            <w:vAlign w:val="center"/>
          </w:tcPr>
          <w:p w14:paraId="4A420DED" w14:textId="77777777" w:rsidR="008D76D6" w:rsidRDefault="008D76D6">
            <w:pPr>
              <w:pStyle w:val="aff0"/>
              <w:autoSpaceDE w:val="0"/>
              <w:autoSpaceDN w:val="0"/>
              <w:spacing w:before="120" w:after="120"/>
              <w:contextualSpacing/>
              <w:jc w:val="both"/>
              <w:rPr>
                <w:bCs/>
                <w:sz w:val="21"/>
                <w:szCs w:val="21"/>
              </w:rPr>
            </w:pPr>
            <w:r>
              <w:rPr>
                <w:rFonts w:ascii="Times New Roman" w:hAnsi="Times New Roman"/>
                <w:bCs/>
                <w:sz w:val="21"/>
                <w:szCs w:val="21"/>
              </w:rPr>
              <w:t>2023</w:t>
            </w:r>
            <w:r>
              <w:rPr>
                <w:bCs/>
                <w:sz w:val="21"/>
                <w:szCs w:val="21"/>
              </w:rPr>
              <w:t>年</w:t>
            </w:r>
            <w:r>
              <w:rPr>
                <w:rFonts w:ascii="Times New Roman" w:hAnsi="Times New Roman"/>
                <w:bCs/>
                <w:sz w:val="21"/>
                <w:szCs w:val="21"/>
              </w:rPr>
              <w:t>8</w:t>
            </w:r>
            <w:r>
              <w:rPr>
                <w:bCs/>
                <w:sz w:val="21"/>
                <w:szCs w:val="21"/>
              </w:rPr>
              <w:t>月</w:t>
            </w:r>
            <w:r>
              <w:rPr>
                <w:rFonts w:ascii="Times New Roman" w:hAnsi="Times New Roman"/>
                <w:bCs/>
                <w:sz w:val="21"/>
                <w:szCs w:val="21"/>
              </w:rPr>
              <w:t>2</w:t>
            </w:r>
            <w:r>
              <w:rPr>
                <w:bCs/>
                <w:sz w:val="21"/>
                <w:szCs w:val="21"/>
              </w:rPr>
              <w:t>日，山东省平度市人民法院作出（</w:t>
            </w:r>
            <w:r>
              <w:rPr>
                <w:rFonts w:ascii="Times New Roman" w:hAnsi="Times New Roman"/>
                <w:bCs/>
                <w:sz w:val="21"/>
                <w:szCs w:val="21"/>
              </w:rPr>
              <w:t>2023</w:t>
            </w:r>
            <w:r>
              <w:rPr>
                <w:bCs/>
                <w:sz w:val="21"/>
                <w:szCs w:val="21"/>
              </w:rPr>
              <w:t>）鲁</w:t>
            </w:r>
            <w:r>
              <w:rPr>
                <w:rFonts w:ascii="Times New Roman" w:hAnsi="Times New Roman"/>
                <w:bCs/>
                <w:sz w:val="21"/>
                <w:szCs w:val="21"/>
              </w:rPr>
              <w:t>0283</w:t>
            </w:r>
            <w:r>
              <w:rPr>
                <w:bCs/>
                <w:sz w:val="21"/>
                <w:szCs w:val="21"/>
              </w:rPr>
              <w:t>民初</w:t>
            </w:r>
            <w:r>
              <w:rPr>
                <w:rFonts w:ascii="Times New Roman" w:hAnsi="Times New Roman"/>
                <w:bCs/>
                <w:sz w:val="21"/>
                <w:szCs w:val="21"/>
              </w:rPr>
              <w:t>4814</w:t>
            </w:r>
            <w:r>
              <w:rPr>
                <w:bCs/>
                <w:sz w:val="21"/>
                <w:szCs w:val="21"/>
              </w:rPr>
              <w:t>号《民事裁定书》，裁定驳回李伟起诉。</w:t>
            </w:r>
          </w:p>
          <w:p w14:paraId="631D07B9" w14:textId="77777777" w:rsidR="008D76D6" w:rsidRDefault="008D76D6">
            <w:pPr>
              <w:widowControl/>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hint="eastAsia"/>
                <w:bCs/>
                <w:sz w:val="21"/>
                <w:szCs w:val="21"/>
              </w:rPr>
              <w:t>李伟不服一审裁定，已向青岛市中级人民法院提起上诉，截至本补充法律意见书出具之日，该案尚在审理中。</w:t>
            </w:r>
          </w:p>
        </w:tc>
      </w:tr>
      <w:tr w:rsidR="008D76D6" w14:paraId="6886FEB8" w14:textId="77777777">
        <w:trPr>
          <w:jc w:val="center"/>
        </w:trPr>
        <w:tc>
          <w:tcPr>
            <w:tcW w:w="655" w:type="dxa"/>
            <w:vAlign w:val="center"/>
          </w:tcPr>
          <w:p w14:paraId="7CD4C781"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3</w:t>
            </w:r>
          </w:p>
        </w:tc>
        <w:tc>
          <w:tcPr>
            <w:tcW w:w="1172" w:type="dxa"/>
            <w:vAlign w:val="center"/>
          </w:tcPr>
          <w:p w14:paraId="09F69548"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孙建军</w:t>
            </w:r>
          </w:p>
        </w:tc>
        <w:tc>
          <w:tcPr>
            <w:tcW w:w="2109" w:type="dxa"/>
            <w:vAlign w:val="center"/>
          </w:tcPr>
          <w:p w14:paraId="53C9908B"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范庆丰、李存涛、莱州伟隆及伟隆股份</w:t>
            </w:r>
          </w:p>
        </w:tc>
        <w:tc>
          <w:tcPr>
            <w:tcW w:w="1842" w:type="dxa"/>
            <w:vAlign w:val="center"/>
          </w:tcPr>
          <w:p w14:paraId="76BB16D5"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bCs/>
                <w:sz w:val="21"/>
                <w:szCs w:val="21"/>
              </w:rPr>
            </w:pPr>
            <w:r>
              <w:rPr>
                <w:rFonts w:ascii="Times New Roman" w:hAnsi="Times New Roman" w:hint="eastAsia"/>
                <w:bCs/>
                <w:sz w:val="21"/>
                <w:szCs w:val="21"/>
              </w:rPr>
              <w:t>30</w:t>
            </w:r>
            <w:r>
              <w:rPr>
                <w:rFonts w:ascii="Times New Roman" w:hAnsi="Times New Roman" w:hint="eastAsia"/>
                <w:bCs/>
                <w:sz w:val="21"/>
                <w:szCs w:val="21"/>
              </w:rPr>
              <w:t>万元及利息</w:t>
            </w:r>
          </w:p>
        </w:tc>
        <w:tc>
          <w:tcPr>
            <w:tcW w:w="3464" w:type="dxa"/>
            <w:vAlign w:val="center"/>
          </w:tcPr>
          <w:p w14:paraId="0267F0A1" w14:textId="77777777" w:rsidR="008D76D6" w:rsidRDefault="008D76D6">
            <w:pPr>
              <w:widowControl/>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bCs/>
                <w:sz w:val="21"/>
                <w:szCs w:val="21"/>
              </w:rPr>
              <w:t>2</w:t>
            </w:r>
            <w:r>
              <w:rPr>
                <w:rFonts w:ascii="Times New Roman" w:hAnsi="Times New Roman"/>
                <w:bCs/>
                <w:sz w:val="21"/>
                <w:szCs w:val="21"/>
              </w:rPr>
              <w:t>023</w:t>
            </w:r>
            <w:r>
              <w:rPr>
                <w:rFonts w:ascii="Times New Roman" w:hAnsi="Times New Roman" w:hint="eastAsia"/>
                <w:bCs/>
                <w:sz w:val="21"/>
                <w:szCs w:val="21"/>
              </w:rPr>
              <w:t>年</w:t>
            </w:r>
            <w:r>
              <w:rPr>
                <w:rFonts w:ascii="Times New Roman" w:hAnsi="Times New Roman" w:hint="eastAsia"/>
                <w:bCs/>
                <w:sz w:val="21"/>
                <w:szCs w:val="21"/>
              </w:rPr>
              <w:t>1</w:t>
            </w:r>
            <w:r>
              <w:rPr>
                <w:rFonts w:ascii="Times New Roman" w:hAnsi="Times New Roman"/>
                <w:bCs/>
                <w:sz w:val="21"/>
                <w:szCs w:val="21"/>
              </w:rPr>
              <w:t>1</w:t>
            </w:r>
            <w:r>
              <w:rPr>
                <w:rFonts w:ascii="Times New Roman" w:hAnsi="Times New Roman" w:hint="eastAsia"/>
                <w:bCs/>
                <w:sz w:val="21"/>
                <w:szCs w:val="21"/>
              </w:rPr>
              <w:t>月</w:t>
            </w:r>
            <w:r>
              <w:rPr>
                <w:rFonts w:ascii="Times New Roman" w:hAnsi="Times New Roman" w:hint="eastAsia"/>
                <w:bCs/>
                <w:sz w:val="21"/>
                <w:szCs w:val="21"/>
              </w:rPr>
              <w:t>8</w:t>
            </w:r>
            <w:r>
              <w:rPr>
                <w:rFonts w:ascii="Times New Roman" w:hAnsi="Times New Roman" w:hint="eastAsia"/>
                <w:bCs/>
                <w:sz w:val="21"/>
                <w:szCs w:val="21"/>
              </w:rPr>
              <w:t>日，莱州市人民法院开庭审理，截至本补充法律意见书出具之日，该案尚未作出一审判决。</w:t>
            </w:r>
          </w:p>
        </w:tc>
      </w:tr>
    </w:tbl>
    <w:p w14:paraId="1DE6B576" w14:textId="77777777" w:rsidR="008D76D6" w:rsidRDefault="008D76D6">
      <w:pPr>
        <w:widowControl/>
        <w:autoSpaceDE w:val="0"/>
        <w:autoSpaceDN w:val="0"/>
        <w:adjustRightInd w:val="0"/>
        <w:spacing w:before="120" w:afterLines="0" w:after="120"/>
        <w:ind w:firstLineChars="0" w:firstLine="480"/>
        <w:rPr>
          <w:rFonts w:ascii="Times New Roman" w:hAnsi="Times New Roman"/>
          <w:color w:val="000000"/>
          <w:szCs w:val="32"/>
        </w:rPr>
      </w:pPr>
      <w:r>
        <w:rPr>
          <w:rFonts w:ascii="Times New Roman" w:hAnsi="Times New Roman" w:hint="eastAsia"/>
          <w:color w:val="000000"/>
          <w:szCs w:val="32"/>
        </w:rPr>
        <w:t>发行人实际控制人范庆伟已出具承诺：“本人同意借款给范庆丰并通过本人范庆伟银行账户向伟隆股份及莱州伟隆支付相关款项，以赔偿给伟隆股份及莱州伟隆造成的一切损失”。</w:t>
      </w:r>
    </w:p>
    <w:p w14:paraId="36CC2777" w14:textId="77777777" w:rsidR="008D76D6" w:rsidRDefault="008D76D6">
      <w:pPr>
        <w:widowControl/>
        <w:autoSpaceDE w:val="0"/>
        <w:autoSpaceDN w:val="0"/>
        <w:adjustRightInd w:val="0"/>
        <w:spacing w:before="120" w:afterLines="0" w:after="120"/>
        <w:ind w:firstLineChars="0" w:firstLine="480"/>
        <w:rPr>
          <w:bCs/>
        </w:rPr>
      </w:pPr>
      <w:r>
        <w:rPr>
          <w:rFonts w:ascii="Times New Roman" w:hAnsi="Times New Roman" w:hint="eastAsia"/>
          <w:color w:val="000000"/>
          <w:szCs w:val="32"/>
        </w:rPr>
        <w:t>综上所述，本所律师认为，发行人及子公司涉及上述案件的金额较小，且发行人实际控制人范庆伟已出具相关承诺，上述案件不会对发行人产生重大不利影响，不会构成本次发行的实质性障碍</w:t>
      </w:r>
      <w:r>
        <w:rPr>
          <w:rFonts w:hint="eastAsia"/>
          <w:bCs/>
        </w:rPr>
        <w:t>。</w:t>
      </w:r>
    </w:p>
    <w:p w14:paraId="5112D187" w14:textId="77777777" w:rsidR="008D76D6" w:rsidRPr="00B434D2" w:rsidRDefault="00291796" w:rsidP="008C4EDC">
      <w:pPr>
        <w:pStyle w:val="003"/>
        <w:keepNext w:val="0"/>
        <w:keepLines w:val="0"/>
        <w:widowControl w:val="0"/>
        <w:spacing w:before="120" w:after="120"/>
        <w:ind w:firstLine="482"/>
      </w:pPr>
      <w:r>
        <w:rPr>
          <w:rFonts w:hint="eastAsia"/>
        </w:rPr>
        <w:t>二、</w:t>
      </w:r>
      <w:r w:rsidR="008D76D6" w:rsidRPr="00B434D2">
        <w:t>子公司就前述借款、担保履行相应责任涉及金额的交易对手方、发生额、发生日期、追回金额及日期，法院就辰英特案等已判决子公司承担赔偿责任的具体履行情况，发行人及子公司是否违规对外提供财务资助或违规提供担保，后续是否可能涉及违规处分或被采取相关措施</w:t>
      </w:r>
      <w:r w:rsidR="008D76D6" w:rsidRPr="00B434D2">
        <w:rPr>
          <w:rFonts w:hint="eastAsia"/>
        </w:rPr>
        <w:t>。</w:t>
      </w:r>
    </w:p>
    <w:p w14:paraId="59FD04F4" w14:textId="77777777" w:rsidR="008D76D6" w:rsidRPr="00B434D2" w:rsidRDefault="00291796" w:rsidP="008C4EDC">
      <w:pPr>
        <w:pStyle w:val="004"/>
        <w:keepNext w:val="0"/>
        <w:keepLines w:val="0"/>
        <w:widowControl w:val="0"/>
        <w:spacing w:before="120" w:after="120"/>
        <w:ind w:firstLine="482"/>
      </w:pPr>
      <w:r w:rsidRPr="00B434D2">
        <w:rPr>
          <w:rFonts w:hint="eastAsia"/>
        </w:rPr>
        <w:t>（一）</w:t>
      </w:r>
      <w:r w:rsidR="008D76D6" w:rsidRPr="00B434D2">
        <w:t>子公司就前述借款、担保履行相应责任涉及金额的交易对手方、发生额、发生日期、追回金额及日期，法院就辰英特案等已判决子公司承担赔偿责任的具体履行情况</w:t>
      </w:r>
    </w:p>
    <w:p w14:paraId="5AB3E778" w14:textId="77777777" w:rsidR="008D76D6" w:rsidRDefault="008D76D6">
      <w:pPr>
        <w:autoSpaceDE w:val="0"/>
        <w:autoSpaceDN w:val="0"/>
        <w:adjustRightInd w:val="0"/>
        <w:spacing w:before="120" w:afterLines="0" w:after="120"/>
        <w:ind w:firstLineChars="0" w:firstLine="482"/>
        <w:rPr>
          <w:rFonts w:ascii="Times New Roman" w:hAnsi="Times New Roman"/>
          <w:color w:val="000000"/>
          <w:szCs w:val="32"/>
        </w:rPr>
      </w:pPr>
      <w:r>
        <w:rPr>
          <w:rFonts w:ascii="Times New Roman" w:hAnsi="Times New Roman" w:hint="eastAsia"/>
          <w:color w:val="000000"/>
          <w:szCs w:val="32"/>
        </w:rPr>
        <w:t>经核查，截至本补充法律意见书出具之日，莱州伟隆就相关借款、担保履行相应责任的具体情况如下：</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05"/>
        <w:gridCol w:w="705"/>
        <w:gridCol w:w="848"/>
        <w:gridCol w:w="709"/>
        <w:gridCol w:w="1161"/>
        <w:gridCol w:w="1196"/>
        <w:gridCol w:w="1161"/>
        <w:gridCol w:w="893"/>
        <w:gridCol w:w="1983"/>
      </w:tblGrid>
      <w:tr w:rsidR="008D76D6" w14:paraId="2E3629AE" w14:textId="77777777">
        <w:tc>
          <w:tcPr>
            <w:tcW w:w="704" w:type="dxa"/>
            <w:shd w:val="clear" w:color="auto" w:fill="BFBFBF"/>
            <w:vAlign w:val="center"/>
          </w:tcPr>
          <w:p w14:paraId="42C3D6D6"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序号</w:t>
            </w:r>
          </w:p>
        </w:tc>
        <w:tc>
          <w:tcPr>
            <w:tcW w:w="705" w:type="dxa"/>
            <w:shd w:val="clear" w:color="auto" w:fill="BFBFBF"/>
            <w:vAlign w:val="center"/>
          </w:tcPr>
          <w:p w14:paraId="6E15AD53"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hint="eastAsia"/>
                <w:b/>
                <w:bCs/>
                <w:color w:val="000000"/>
                <w:sz w:val="21"/>
                <w:szCs w:val="21"/>
              </w:rPr>
              <w:t>责任</w:t>
            </w:r>
          </w:p>
          <w:p w14:paraId="50A74455"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类型</w:t>
            </w:r>
          </w:p>
        </w:tc>
        <w:tc>
          <w:tcPr>
            <w:tcW w:w="705" w:type="dxa"/>
            <w:shd w:val="clear" w:color="auto" w:fill="BFBFBF"/>
            <w:vAlign w:val="center"/>
          </w:tcPr>
          <w:p w14:paraId="3BF56265"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对手方</w:t>
            </w:r>
          </w:p>
        </w:tc>
        <w:tc>
          <w:tcPr>
            <w:tcW w:w="848" w:type="dxa"/>
            <w:shd w:val="clear" w:color="auto" w:fill="BFBFBF"/>
            <w:vAlign w:val="center"/>
          </w:tcPr>
          <w:p w14:paraId="4FCC9DA6"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发生</w:t>
            </w:r>
          </w:p>
          <w:p w14:paraId="77C8C4CA"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金额</w:t>
            </w:r>
          </w:p>
        </w:tc>
        <w:tc>
          <w:tcPr>
            <w:tcW w:w="709" w:type="dxa"/>
            <w:shd w:val="clear" w:color="auto" w:fill="BFBFBF"/>
            <w:vAlign w:val="center"/>
          </w:tcPr>
          <w:p w14:paraId="6C327144"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发生</w:t>
            </w:r>
          </w:p>
          <w:p w14:paraId="66302F84"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日期</w:t>
            </w:r>
          </w:p>
        </w:tc>
        <w:tc>
          <w:tcPr>
            <w:tcW w:w="1161" w:type="dxa"/>
            <w:shd w:val="clear" w:color="auto" w:fill="BFBFBF"/>
            <w:vAlign w:val="center"/>
          </w:tcPr>
          <w:p w14:paraId="619BD7DB"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hint="eastAsia"/>
                <w:b/>
                <w:bCs/>
                <w:color w:val="000000"/>
                <w:sz w:val="21"/>
                <w:szCs w:val="21"/>
              </w:rPr>
              <w:t>实际</w:t>
            </w:r>
          </w:p>
          <w:p w14:paraId="32B4E4E5"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承担金额</w:t>
            </w:r>
          </w:p>
        </w:tc>
        <w:tc>
          <w:tcPr>
            <w:tcW w:w="1196" w:type="dxa"/>
            <w:shd w:val="clear" w:color="auto" w:fill="BFBFBF"/>
          </w:tcPr>
          <w:p w14:paraId="60BDF417"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莱州伟隆支付时间</w:t>
            </w:r>
          </w:p>
        </w:tc>
        <w:tc>
          <w:tcPr>
            <w:tcW w:w="1161" w:type="dxa"/>
            <w:shd w:val="clear" w:color="auto" w:fill="BFBFBF"/>
            <w:vAlign w:val="center"/>
          </w:tcPr>
          <w:p w14:paraId="7249FA75"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hint="eastAsia"/>
                <w:b/>
                <w:bCs/>
                <w:color w:val="000000"/>
                <w:sz w:val="21"/>
                <w:szCs w:val="21"/>
              </w:rPr>
              <w:t>追回</w:t>
            </w:r>
          </w:p>
          <w:p w14:paraId="1B1A4E1F"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金额</w:t>
            </w:r>
          </w:p>
        </w:tc>
        <w:tc>
          <w:tcPr>
            <w:tcW w:w="893" w:type="dxa"/>
            <w:shd w:val="clear" w:color="auto" w:fill="BFBFBF"/>
            <w:vAlign w:val="center"/>
          </w:tcPr>
          <w:p w14:paraId="5B33B93A"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hint="eastAsia"/>
                <w:b/>
                <w:bCs/>
                <w:color w:val="000000"/>
                <w:sz w:val="21"/>
                <w:szCs w:val="21"/>
              </w:rPr>
              <w:t>追回</w:t>
            </w:r>
          </w:p>
          <w:p w14:paraId="6A55C839"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日期</w:t>
            </w:r>
          </w:p>
        </w:tc>
        <w:tc>
          <w:tcPr>
            <w:tcW w:w="1983" w:type="dxa"/>
            <w:shd w:val="clear" w:color="auto" w:fill="BFBFBF"/>
            <w:vAlign w:val="center"/>
          </w:tcPr>
          <w:p w14:paraId="77EF30F5"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具体履行情况</w:t>
            </w:r>
          </w:p>
        </w:tc>
      </w:tr>
      <w:tr w:rsidR="008D76D6" w14:paraId="6AA0AB58" w14:textId="77777777">
        <w:tc>
          <w:tcPr>
            <w:tcW w:w="704" w:type="dxa"/>
            <w:vAlign w:val="center"/>
          </w:tcPr>
          <w:p w14:paraId="6EE9C9A8"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1</w:t>
            </w:r>
          </w:p>
        </w:tc>
        <w:tc>
          <w:tcPr>
            <w:tcW w:w="705" w:type="dxa"/>
            <w:vAlign w:val="center"/>
          </w:tcPr>
          <w:p w14:paraId="19EA1CE2"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借款</w:t>
            </w:r>
          </w:p>
        </w:tc>
        <w:tc>
          <w:tcPr>
            <w:tcW w:w="705" w:type="dxa"/>
            <w:vAlign w:val="center"/>
          </w:tcPr>
          <w:p w14:paraId="4562BE7A"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梁栋</w:t>
            </w:r>
          </w:p>
        </w:tc>
        <w:tc>
          <w:tcPr>
            <w:tcW w:w="848" w:type="dxa"/>
            <w:vAlign w:val="center"/>
          </w:tcPr>
          <w:p w14:paraId="783226E2"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3.5</w:t>
            </w:r>
          </w:p>
          <w:p w14:paraId="370AA0C4"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万元</w:t>
            </w:r>
          </w:p>
        </w:tc>
        <w:tc>
          <w:tcPr>
            <w:tcW w:w="709" w:type="dxa"/>
            <w:vAlign w:val="center"/>
          </w:tcPr>
          <w:p w14:paraId="2DC65200"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019.</w:t>
            </w:r>
          </w:p>
          <w:p w14:paraId="2C4498D3"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0</w:t>
            </w:r>
            <w:r>
              <w:rPr>
                <w:rFonts w:ascii="Times New Roman" w:hAnsi="Times New Roman"/>
                <w:color w:val="000000"/>
                <w:sz w:val="21"/>
                <w:szCs w:val="21"/>
              </w:rPr>
              <w:t>1.16</w:t>
            </w:r>
          </w:p>
        </w:tc>
        <w:tc>
          <w:tcPr>
            <w:tcW w:w="1161" w:type="dxa"/>
            <w:vAlign w:val="center"/>
          </w:tcPr>
          <w:p w14:paraId="5EA7B3C9"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42,415.87</w:t>
            </w:r>
            <w:r>
              <w:rPr>
                <w:rFonts w:ascii="Times New Roman" w:hAnsi="Times New Roman" w:hint="eastAsia"/>
                <w:color w:val="000000"/>
                <w:sz w:val="21"/>
                <w:szCs w:val="21"/>
              </w:rPr>
              <w:t>元</w:t>
            </w:r>
          </w:p>
        </w:tc>
        <w:tc>
          <w:tcPr>
            <w:tcW w:w="1196" w:type="dxa"/>
            <w:vAlign w:val="center"/>
          </w:tcPr>
          <w:p w14:paraId="62A91DC1"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022.02.16</w:t>
            </w:r>
          </w:p>
        </w:tc>
        <w:tc>
          <w:tcPr>
            <w:tcW w:w="1161" w:type="dxa"/>
            <w:vAlign w:val="center"/>
          </w:tcPr>
          <w:p w14:paraId="0CE758FF"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42,415.87</w:t>
            </w:r>
            <w:r>
              <w:rPr>
                <w:rFonts w:ascii="Times New Roman" w:hAnsi="Times New Roman" w:hint="eastAsia"/>
                <w:color w:val="000000"/>
                <w:sz w:val="21"/>
                <w:szCs w:val="21"/>
              </w:rPr>
              <w:t>元</w:t>
            </w:r>
          </w:p>
        </w:tc>
        <w:tc>
          <w:tcPr>
            <w:tcW w:w="893" w:type="dxa"/>
            <w:vAlign w:val="center"/>
          </w:tcPr>
          <w:p w14:paraId="224DE6FC"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w:t>
            </w:r>
          </w:p>
          <w:p w14:paraId="21A31BCE"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color w:val="000000"/>
                <w:sz w:val="21"/>
                <w:szCs w:val="21"/>
              </w:rPr>
              <w:t>03.25</w:t>
            </w:r>
          </w:p>
        </w:tc>
        <w:tc>
          <w:tcPr>
            <w:tcW w:w="1983" w:type="dxa"/>
          </w:tcPr>
          <w:p w14:paraId="096E618A"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hint="eastAsia"/>
                <w:bCs/>
                <w:sz w:val="21"/>
                <w:szCs w:val="21"/>
              </w:rPr>
              <w:t>莱州伟隆支付梁栋</w:t>
            </w:r>
            <w:r>
              <w:rPr>
                <w:rFonts w:ascii="Times New Roman" w:hAnsi="Times New Roman"/>
                <w:bCs/>
                <w:sz w:val="21"/>
                <w:szCs w:val="21"/>
              </w:rPr>
              <w:t>242,415.87</w:t>
            </w:r>
            <w:r>
              <w:rPr>
                <w:rFonts w:hint="eastAsia"/>
                <w:bCs/>
                <w:sz w:val="21"/>
                <w:szCs w:val="21"/>
              </w:rPr>
              <w:t>元，范庆丰通过向发行人实际控制人范庆伟借款的方式赔偿莱州伟隆。</w:t>
            </w:r>
          </w:p>
        </w:tc>
      </w:tr>
      <w:tr w:rsidR="008D76D6" w14:paraId="080A4883" w14:textId="77777777">
        <w:tc>
          <w:tcPr>
            <w:tcW w:w="704" w:type="dxa"/>
            <w:vAlign w:val="center"/>
          </w:tcPr>
          <w:p w14:paraId="30DA425C"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p>
        </w:tc>
        <w:tc>
          <w:tcPr>
            <w:tcW w:w="705" w:type="dxa"/>
            <w:vAlign w:val="center"/>
          </w:tcPr>
          <w:p w14:paraId="403092C5"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借款</w:t>
            </w:r>
          </w:p>
        </w:tc>
        <w:tc>
          <w:tcPr>
            <w:tcW w:w="705" w:type="dxa"/>
            <w:vAlign w:val="center"/>
          </w:tcPr>
          <w:p w14:paraId="227B771F"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hint="eastAsia"/>
                <w:bCs/>
                <w:sz w:val="21"/>
                <w:szCs w:val="21"/>
              </w:rPr>
              <w:t>黎昌莉</w:t>
            </w:r>
          </w:p>
        </w:tc>
        <w:tc>
          <w:tcPr>
            <w:tcW w:w="848" w:type="dxa"/>
            <w:vAlign w:val="center"/>
          </w:tcPr>
          <w:p w14:paraId="759594C9"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6</w:t>
            </w:r>
            <w:r>
              <w:rPr>
                <w:rFonts w:ascii="Times New Roman" w:hAnsi="Times New Roman"/>
                <w:color w:val="000000"/>
                <w:sz w:val="21"/>
                <w:szCs w:val="21"/>
              </w:rPr>
              <w:t>0</w:t>
            </w:r>
            <w:r>
              <w:rPr>
                <w:rFonts w:ascii="Times New Roman" w:hAnsi="Times New Roman" w:hint="eastAsia"/>
                <w:color w:val="000000"/>
                <w:sz w:val="21"/>
                <w:szCs w:val="21"/>
              </w:rPr>
              <w:t>万元</w:t>
            </w:r>
          </w:p>
        </w:tc>
        <w:tc>
          <w:tcPr>
            <w:tcW w:w="709" w:type="dxa"/>
            <w:vAlign w:val="center"/>
          </w:tcPr>
          <w:p w14:paraId="0679C986"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019.</w:t>
            </w:r>
          </w:p>
          <w:p w14:paraId="0934DFBE"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0</w:t>
            </w:r>
            <w:r>
              <w:rPr>
                <w:rFonts w:ascii="Times New Roman" w:hAnsi="Times New Roman"/>
                <w:color w:val="000000"/>
                <w:sz w:val="21"/>
                <w:szCs w:val="21"/>
              </w:rPr>
              <w:t>1.15</w:t>
            </w:r>
          </w:p>
        </w:tc>
        <w:tc>
          <w:tcPr>
            <w:tcW w:w="1161" w:type="dxa"/>
            <w:vAlign w:val="center"/>
          </w:tcPr>
          <w:p w14:paraId="4C782921"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bCs/>
                <w:sz w:val="21"/>
                <w:szCs w:val="21"/>
              </w:rPr>
              <w:t>620,632.33</w:t>
            </w:r>
            <w:r>
              <w:rPr>
                <w:rFonts w:hint="eastAsia"/>
                <w:bCs/>
                <w:sz w:val="21"/>
                <w:szCs w:val="21"/>
              </w:rPr>
              <w:t>元</w:t>
            </w:r>
          </w:p>
        </w:tc>
        <w:tc>
          <w:tcPr>
            <w:tcW w:w="1196" w:type="dxa"/>
            <w:vAlign w:val="center"/>
          </w:tcPr>
          <w:p w14:paraId="38CEBE2A"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022.02.16</w:t>
            </w:r>
          </w:p>
        </w:tc>
        <w:tc>
          <w:tcPr>
            <w:tcW w:w="1161" w:type="dxa"/>
            <w:vAlign w:val="center"/>
          </w:tcPr>
          <w:p w14:paraId="6E622FAA"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bCs/>
                <w:sz w:val="21"/>
                <w:szCs w:val="21"/>
              </w:rPr>
              <w:t>620,632.33</w:t>
            </w:r>
            <w:r>
              <w:rPr>
                <w:rFonts w:hint="eastAsia"/>
                <w:bCs/>
                <w:sz w:val="21"/>
                <w:szCs w:val="21"/>
              </w:rPr>
              <w:t>元</w:t>
            </w:r>
          </w:p>
        </w:tc>
        <w:tc>
          <w:tcPr>
            <w:tcW w:w="893" w:type="dxa"/>
            <w:vAlign w:val="center"/>
          </w:tcPr>
          <w:p w14:paraId="47CB87DD"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w:t>
            </w:r>
          </w:p>
          <w:p w14:paraId="662813E8"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color w:val="000000"/>
                <w:sz w:val="21"/>
                <w:szCs w:val="21"/>
              </w:rPr>
              <w:t>03.25</w:t>
            </w:r>
          </w:p>
        </w:tc>
        <w:tc>
          <w:tcPr>
            <w:tcW w:w="1983" w:type="dxa"/>
          </w:tcPr>
          <w:p w14:paraId="2A909754"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hint="eastAsia"/>
                <w:bCs/>
                <w:sz w:val="21"/>
                <w:szCs w:val="21"/>
              </w:rPr>
              <w:t>莱州伟隆支付</w:t>
            </w:r>
            <w:r>
              <w:rPr>
                <w:rFonts w:ascii="Times New Roman" w:hAnsi="Times New Roman"/>
                <w:bCs/>
                <w:sz w:val="21"/>
                <w:szCs w:val="21"/>
              </w:rPr>
              <w:t>620,632.33</w:t>
            </w:r>
            <w:r>
              <w:rPr>
                <w:rFonts w:hint="eastAsia"/>
                <w:bCs/>
                <w:sz w:val="21"/>
                <w:szCs w:val="21"/>
              </w:rPr>
              <w:t>元，范庆丰通过向发行人实际控制人范庆伟借款的方式赔偿莱州伟隆。</w:t>
            </w:r>
          </w:p>
        </w:tc>
      </w:tr>
      <w:tr w:rsidR="008D76D6" w14:paraId="77A77B83" w14:textId="77777777">
        <w:tc>
          <w:tcPr>
            <w:tcW w:w="704" w:type="dxa"/>
            <w:vAlign w:val="center"/>
          </w:tcPr>
          <w:p w14:paraId="0D8C78A6"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3</w:t>
            </w:r>
          </w:p>
        </w:tc>
        <w:tc>
          <w:tcPr>
            <w:tcW w:w="705" w:type="dxa"/>
            <w:vAlign w:val="center"/>
          </w:tcPr>
          <w:p w14:paraId="60FD2E7A"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借款</w:t>
            </w:r>
          </w:p>
        </w:tc>
        <w:tc>
          <w:tcPr>
            <w:tcW w:w="705" w:type="dxa"/>
            <w:vAlign w:val="center"/>
          </w:tcPr>
          <w:p w14:paraId="6BECE4AC"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张伟</w:t>
            </w:r>
          </w:p>
        </w:tc>
        <w:tc>
          <w:tcPr>
            <w:tcW w:w="848" w:type="dxa"/>
            <w:vAlign w:val="center"/>
          </w:tcPr>
          <w:p w14:paraId="7A0D78F7"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50</w:t>
            </w:r>
          </w:p>
          <w:p w14:paraId="71E69DE1"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万元</w:t>
            </w:r>
          </w:p>
        </w:tc>
        <w:tc>
          <w:tcPr>
            <w:tcW w:w="709" w:type="dxa"/>
            <w:vAlign w:val="center"/>
          </w:tcPr>
          <w:p w14:paraId="3743AE36"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018.</w:t>
            </w:r>
          </w:p>
          <w:p w14:paraId="3A7F0FA1"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color w:val="000000"/>
                <w:sz w:val="21"/>
                <w:szCs w:val="21"/>
              </w:rPr>
              <w:t>12.27</w:t>
            </w:r>
          </w:p>
        </w:tc>
        <w:tc>
          <w:tcPr>
            <w:tcW w:w="1161" w:type="dxa"/>
            <w:vAlign w:val="center"/>
          </w:tcPr>
          <w:p w14:paraId="37876E4D"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bCs/>
                <w:sz w:val="21"/>
                <w:szCs w:val="21"/>
              </w:rPr>
            </w:pPr>
            <w:r>
              <w:rPr>
                <w:rFonts w:ascii="Times New Roman" w:hAnsi="Times New Roman"/>
                <w:bCs/>
                <w:sz w:val="21"/>
                <w:szCs w:val="21"/>
              </w:rPr>
              <w:t>1,154,</w:t>
            </w:r>
          </w:p>
          <w:p w14:paraId="619F5F81"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bCs/>
                <w:sz w:val="21"/>
                <w:szCs w:val="21"/>
              </w:rPr>
              <w:t>183.56</w:t>
            </w:r>
            <w:r>
              <w:rPr>
                <w:rFonts w:hint="eastAsia"/>
                <w:bCs/>
                <w:sz w:val="21"/>
                <w:szCs w:val="21"/>
              </w:rPr>
              <w:t>元</w:t>
            </w:r>
          </w:p>
        </w:tc>
        <w:tc>
          <w:tcPr>
            <w:tcW w:w="1196" w:type="dxa"/>
            <w:vAlign w:val="center"/>
          </w:tcPr>
          <w:p w14:paraId="3A1FC868"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022.02.16</w:t>
            </w:r>
          </w:p>
        </w:tc>
        <w:tc>
          <w:tcPr>
            <w:tcW w:w="1161" w:type="dxa"/>
            <w:vAlign w:val="center"/>
          </w:tcPr>
          <w:p w14:paraId="705810E0"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bCs/>
                <w:sz w:val="21"/>
                <w:szCs w:val="21"/>
              </w:rPr>
            </w:pPr>
            <w:r>
              <w:rPr>
                <w:rFonts w:ascii="Times New Roman" w:hAnsi="Times New Roman"/>
                <w:bCs/>
                <w:sz w:val="21"/>
                <w:szCs w:val="21"/>
              </w:rPr>
              <w:t>1,154,</w:t>
            </w:r>
          </w:p>
          <w:p w14:paraId="7D8C4C12"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bCs/>
                <w:sz w:val="21"/>
                <w:szCs w:val="21"/>
              </w:rPr>
              <w:t>183.56</w:t>
            </w:r>
            <w:r>
              <w:rPr>
                <w:rFonts w:hint="eastAsia"/>
                <w:bCs/>
                <w:sz w:val="21"/>
                <w:szCs w:val="21"/>
              </w:rPr>
              <w:t>元</w:t>
            </w:r>
          </w:p>
        </w:tc>
        <w:tc>
          <w:tcPr>
            <w:tcW w:w="893" w:type="dxa"/>
            <w:vAlign w:val="center"/>
          </w:tcPr>
          <w:p w14:paraId="0A4F418F"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w:t>
            </w:r>
          </w:p>
          <w:p w14:paraId="1D92B789"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color w:val="000000"/>
                <w:sz w:val="21"/>
                <w:szCs w:val="21"/>
              </w:rPr>
              <w:t>03.25</w:t>
            </w:r>
          </w:p>
        </w:tc>
        <w:tc>
          <w:tcPr>
            <w:tcW w:w="1983" w:type="dxa"/>
            <w:vAlign w:val="center"/>
          </w:tcPr>
          <w:p w14:paraId="2097B92B"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hint="eastAsia"/>
                <w:bCs/>
                <w:sz w:val="21"/>
                <w:szCs w:val="21"/>
              </w:rPr>
              <w:t>莱州伟隆支付借款及利息共</w:t>
            </w:r>
            <w:r>
              <w:rPr>
                <w:rFonts w:ascii="Times New Roman" w:hAnsi="Times New Roman"/>
                <w:bCs/>
                <w:sz w:val="21"/>
                <w:szCs w:val="21"/>
              </w:rPr>
              <w:t>1,154,183.56</w:t>
            </w:r>
            <w:r>
              <w:rPr>
                <w:rFonts w:hint="eastAsia"/>
                <w:bCs/>
                <w:sz w:val="21"/>
                <w:szCs w:val="21"/>
              </w:rPr>
              <w:t>元。范庆丰通过向发行人实际控制人范庆伟借款的方式赔偿莱州伟隆。</w:t>
            </w:r>
          </w:p>
        </w:tc>
      </w:tr>
      <w:tr w:rsidR="008D76D6" w14:paraId="175C2ED9" w14:textId="77777777">
        <w:tc>
          <w:tcPr>
            <w:tcW w:w="704" w:type="dxa"/>
            <w:vAlign w:val="center"/>
          </w:tcPr>
          <w:p w14:paraId="6F3A4912"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4</w:t>
            </w:r>
          </w:p>
        </w:tc>
        <w:tc>
          <w:tcPr>
            <w:tcW w:w="705" w:type="dxa"/>
            <w:vAlign w:val="center"/>
          </w:tcPr>
          <w:p w14:paraId="2A123ABD"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借款</w:t>
            </w:r>
          </w:p>
        </w:tc>
        <w:tc>
          <w:tcPr>
            <w:tcW w:w="705" w:type="dxa"/>
            <w:vAlign w:val="center"/>
          </w:tcPr>
          <w:p w14:paraId="1864409A"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赵志刚</w:t>
            </w:r>
          </w:p>
        </w:tc>
        <w:tc>
          <w:tcPr>
            <w:tcW w:w="848" w:type="dxa"/>
            <w:vAlign w:val="center"/>
          </w:tcPr>
          <w:p w14:paraId="590F028D"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00</w:t>
            </w:r>
          </w:p>
          <w:p w14:paraId="2FE1B450"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万元</w:t>
            </w:r>
          </w:p>
        </w:tc>
        <w:tc>
          <w:tcPr>
            <w:tcW w:w="709" w:type="dxa"/>
            <w:vAlign w:val="center"/>
          </w:tcPr>
          <w:p w14:paraId="00CF39C8"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019.</w:t>
            </w:r>
          </w:p>
          <w:p w14:paraId="28E86388"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0</w:t>
            </w:r>
            <w:r>
              <w:rPr>
                <w:rFonts w:ascii="Times New Roman" w:hAnsi="Times New Roman"/>
                <w:color w:val="000000"/>
                <w:sz w:val="21"/>
                <w:szCs w:val="21"/>
              </w:rPr>
              <w:t>5.01</w:t>
            </w:r>
          </w:p>
        </w:tc>
        <w:tc>
          <w:tcPr>
            <w:tcW w:w="1161" w:type="dxa"/>
            <w:vAlign w:val="center"/>
          </w:tcPr>
          <w:p w14:paraId="763F22E2"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color w:val="000000"/>
                <w:sz w:val="21"/>
                <w:szCs w:val="21"/>
              </w:rPr>
              <w:t>-</w:t>
            </w:r>
          </w:p>
        </w:tc>
        <w:tc>
          <w:tcPr>
            <w:tcW w:w="1196" w:type="dxa"/>
            <w:vAlign w:val="center"/>
          </w:tcPr>
          <w:p w14:paraId="6F2A3292"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1161" w:type="dxa"/>
            <w:vAlign w:val="center"/>
          </w:tcPr>
          <w:p w14:paraId="40E2F404"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893" w:type="dxa"/>
            <w:vAlign w:val="center"/>
          </w:tcPr>
          <w:p w14:paraId="5DB8035C"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1983" w:type="dxa"/>
            <w:vAlign w:val="center"/>
          </w:tcPr>
          <w:p w14:paraId="7765CC51"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hint="eastAsia"/>
                <w:bCs/>
                <w:sz w:val="21"/>
                <w:szCs w:val="21"/>
              </w:rPr>
              <w:t>范庆丰已通过借款的方式向赵志刚偿还完毕。</w:t>
            </w:r>
          </w:p>
        </w:tc>
      </w:tr>
      <w:tr w:rsidR="008D76D6" w14:paraId="53253222" w14:textId="77777777">
        <w:tc>
          <w:tcPr>
            <w:tcW w:w="704" w:type="dxa"/>
            <w:vAlign w:val="center"/>
          </w:tcPr>
          <w:p w14:paraId="467DF234"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5</w:t>
            </w:r>
          </w:p>
        </w:tc>
        <w:tc>
          <w:tcPr>
            <w:tcW w:w="705" w:type="dxa"/>
            <w:vAlign w:val="center"/>
          </w:tcPr>
          <w:p w14:paraId="68C197A5"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借款</w:t>
            </w:r>
          </w:p>
        </w:tc>
        <w:tc>
          <w:tcPr>
            <w:tcW w:w="705" w:type="dxa"/>
            <w:vAlign w:val="center"/>
          </w:tcPr>
          <w:p w14:paraId="65E37E37"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王伟</w:t>
            </w:r>
          </w:p>
        </w:tc>
        <w:tc>
          <w:tcPr>
            <w:tcW w:w="848" w:type="dxa"/>
            <w:vAlign w:val="center"/>
          </w:tcPr>
          <w:p w14:paraId="636DE5AF"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50</w:t>
            </w:r>
          </w:p>
          <w:p w14:paraId="0A116563"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万元</w:t>
            </w:r>
          </w:p>
        </w:tc>
        <w:tc>
          <w:tcPr>
            <w:tcW w:w="709" w:type="dxa"/>
            <w:vAlign w:val="center"/>
          </w:tcPr>
          <w:p w14:paraId="586B2F46"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017.</w:t>
            </w:r>
          </w:p>
          <w:p w14:paraId="230185FF"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color w:val="000000"/>
                <w:sz w:val="21"/>
                <w:szCs w:val="21"/>
              </w:rPr>
              <w:t>08.07</w:t>
            </w:r>
          </w:p>
        </w:tc>
        <w:tc>
          <w:tcPr>
            <w:tcW w:w="1161" w:type="dxa"/>
            <w:vAlign w:val="center"/>
          </w:tcPr>
          <w:p w14:paraId="0C7E3AE4"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1196" w:type="dxa"/>
            <w:vAlign w:val="center"/>
          </w:tcPr>
          <w:p w14:paraId="61A5F998"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1161" w:type="dxa"/>
            <w:vAlign w:val="center"/>
          </w:tcPr>
          <w:p w14:paraId="376521F9"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893" w:type="dxa"/>
            <w:vAlign w:val="center"/>
          </w:tcPr>
          <w:p w14:paraId="3DD51A8F"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1983" w:type="dxa"/>
            <w:vAlign w:val="center"/>
          </w:tcPr>
          <w:p w14:paraId="3368B645"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hint="eastAsia"/>
                <w:bCs/>
                <w:sz w:val="21"/>
                <w:szCs w:val="21"/>
              </w:rPr>
              <w:t>范庆丰已通过向发行人实际控制人范庆伟借款的方式向王伟偿还完毕。</w:t>
            </w:r>
          </w:p>
        </w:tc>
      </w:tr>
      <w:tr w:rsidR="008D76D6" w14:paraId="2BD66191" w14:textId="77777777">
        <w:tc>
          <w:tcPr>
            <w:tcW w:w="704" w:type="dxa"/>
            <w:vAlign w:val="center"/>
          </w:tcPr>
          <w:p w14:paraId="55011D9D"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6</w:t>
            </w:r>
          </w:p>
        </w:tc>
        <w:tc>
          <w:tcPr>
            <w:tcW w:w="705" w:type="dxa"/>
            <w:vAlign w:val="center"/>
          </w:tcPr>
          <w:p w14:paraId="26D9F304"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担保</w:t>
            </w:r>
          </w:p>
        </w:tc>
        <w:tc>
          <w:tcPr>
            <w:tcW w:w="705" w:type="dxa"/>
            <w:vAlign w:val="center"/>
          </w:tcPr>
          <w:p w14:paraId="124CB846"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hint="eastAsia"/>
                <w:color w:val="000000"/>
                <w:sz w:val="21"/>
                <w:szCs w:val="21"/>
              </w:rPr>
              <w:t>莱州辉瑞仓储有限公司</w:t>
            </w:r>
          </w:p>
        </w:tc>
        <w:tc>
          <w:tcPr>
            <w:tcW w:w="848" w:type="dxa"/>
            <w:vAlign w:val="center"/>
          </w:tcPr>
          <w:p w14:paraId="24460469"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,043</w:t>
            </w:r>
            <w:r>
              <w:rPr>
                <w:rFonts w:ascii="Times New Roman" w:hAnsi="Times New Roman" w:hint="eastAsia"/>
                <w:color w:val="000000"/>
                <w:sz w:val="21"/>
                <w:szCs w:val="21"/>
              </w:rPr>
              <w:t>万元</w:t>
            </w:r>
          </w:p>
        </w:tc>
        <w:tc>
          <w:tcPr>
            <w:tcW w:w="709" w:type="dxa"/>
            <w:vAlign w:val="center"/>
          </w:tcPr>
          <w:p w14:paraId="2D2405B7"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019.</w:t>
            </w:r>
          </w:p>
          <w:p w14:paraId="59FC0197"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ascii="Times New Roman" w:hAnsi="Times New Roman"/>
                <w:color w:val="000000"/>
                <w:sz w:val="21"/>
                <w:szCs w:val="21"/>
              </w:rPr>
              <w:t>01.09</w:t>
            </w:r>
          </w:p>
        </w:tc>
        <w:tc>
          <w:tcPr>
            <w:tcW w:w="1161" w:type="dxa"/>
            <w:vAlign w:val="center"/>
          </w:tcPr>
          <w:p w14:paraId="33D5DBF7"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bCs/>
                <w:sz w:val="21"/>
                <w:szCs w:val="21"/>
              </w:rPr>
              <w:t>7</w:t>
            </w:r>
            <w:r>
              <w:rPr>
                <w:rFonts w:ascii="Times New Roman" w:hAnsi="Times New Roman" w:hint="eastAsia"/>
                <w:bCs/>
                <w:sz w:val="21"/>
                <w:szCs w:val="21"/>
              </w:rPr>
              <w:t>,</w:t>
            </w:r>
            <w:r>
              <w:rPr>
                <w:rFonts w:ascii="Times New Roman" w:hAnsi="Times New Roman"/>
                <w:bCs/>
                <w:sz w:val="21"/>
                <w:szCs w:val="21"/>
              </w:rPr>
              <w:t>853,790</w:t>
            </w:r>
            <w:r>
              <w:rPr>
                <w:rFonts w:ascii="Times New Roman" w:hAnsi="Times New Roman" w:hint="eastAsia"/>
                <w:bCs/>
                <w:sz w:val="21"/>
                <w:szCs w:val="21"/>
              </w:rPr>
              <w:t>元</w:t>
            </w:r>
          </w:p>
        </w:tc>
        <w:tc>
          <w:tcPr>
            <w:tcW w:w="1196" w:type="dxa"/>
            <w:vAlign w:val="center"/>
          </w:tcPr>
          <w:p w14:paraId="2E6471F7"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022.01.12</w:t>
            </w:r>
          </w:p>
          <w:p w14:paraId="5E74E566"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022.09.26</w:t>
            </w:r>
          </w:p>
        </w:tc>
        <w:tc>
          <w:tcPr>
            <w:tcW w:w="1161" w:type="dxa"/>
            <w:vAlign w:val="center"/>
          </w:tcPr>
          <w:p w14:paraId="45915DA2"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bCs/>
                <w:sz w:val="21"/>
                <w:szCs w:val="21"/>
              </w:rPr>
              <w:t>7</w:t>
            </w:r>
            <w:r>
              <w:rPr>
                <w:rFonts w:ascii="Times New Roman" w:hAnsi="Times New Roman" w:hint="eastAsia"/>
                <w:bCs/>
                <w:sz w:val="21"/>
                <w:szCs w:val="21"/>
              </w:rPr>
              <w:t>,</w:t>
            </w:r>
            <w:r>
              <w:rPr>
                <w:rFonts w:ascii="Times New Roman" w:hAnsi="Times New Roman"/>
                <w:bCs/>
                <w:sz w:val="21"/>
                <w:szCs w:val="21"/>
              </w:rPr>
              <w:t>853,790</w:t>
            </w:r>
            <w:r>
              <w:rPr>
                <w:rFonts w:ascii="Times New Roman" w:hAnsi="Times New Roman" w:hint="eastAsia"/>
                <w:bCs/>
                <w:sz w:val="21"/>
                <w:szCs w:val="21"/>
              </w:rPr>
              <w:t>元</w:t>
            </w:r>
          </w:p>
        </w:tc>
        <w:tc>
          <w:tcPr>
            <w:tcW w:w="893" w:type="dxa"/>
            <w:vAlign w:val="center"/>
          </w:tcPr>
          <w:p w14:paraId="74C1F90C"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w:t>
            </w:r>
          </w:p>
          <w:p w14:paraId="507C4276"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color w:val="000000"/>
                <w:sz w:val="21"/>
                <w:szCs w:val="21"/>
              </w:rPr>
              <w:t>01.27</w:t>
            </w:r>
          </w:p>
          <w:p w14:paraId="4A0E8182"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p>
          <w:p w14:paraId="298B2D7F"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w:t>
            </w:r>
          </w:p>
          <w:p w14:paraId="5B5D2FBC"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color w:val="000000"/>
                <w:sz w:val="21"/>
                <w:szCs w:val="21"/>
              </w:rPr>
              <w:t>12.30</w:t>
            </w:r>
          </w:p>
        </w:tc>
        <w:tc>
          <w:tcPr>
            <w:tcW w:w="1983" w:type="dxa"/>
          </w:tcPr>
          <w:p w14:paraId="20FD2DE5"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hint="eastAsia"/>
                <w:color w:val="000000"/>
                <w:sz w:val="21"/>
                <w:szCs w:val="21"/>
              </w:rPr>
            </w:pPr>
            <w:r>
              <w:rPr>
                <w:rFonts w:hint="eastAsia"/>
                <w:bCs/>
                <w:sz w:val="21"/>
                <w:szCs w:val="21"/>
              </w:rPr>
              <w:t>莱州伟隆承担</w:t>
            </w:r>
            <w:r>
              <w:rPr>
                <w:rFonts w:ascii="Times New Roman" w:hAnsi="Times New Roman"/>
                <w:bCs/>
                <w:sz w:val="21"/>
                <w:szCs w:val="21"/>
              </w:rPr>
              <w:t>7</w:t>
            </w:r>
            <w:r>
              <w:rPr>
                <w:rFonts w:ascii="Times New Roman" w:hAnsi="Times New Roman" w:hint="eastAsia"/>
                <w:bCs/>
                <w:sz w:val="21"/>
                <w:szCs w:val="21"/>
              </w:rPr>
              <w:t>,</w:t>
            </w:r>
            <w:r>
              <w:rPr>
                <w:rFonts w:ascii="Times New Roman" w:hAnsi="Times New Roman"/>
                <w:bCs/>
                <w:sz w:val="21"/>
                <w:szCs w:val="21"/>
              </w:rPr>
              <w:t>853,790</w:t>
            </w:r>
            <w:r>
              <w:rPr>
                <w:rFonts w:ascii="Times New Roman" w:hAnsi="Times New Roman" w:hint="eastAsia"/>
                <w:bCs/>
                <w:sz w:val="21"/>
                <w:szCs w:val="21"/>
              </w:rPr>
              <w:t>元</w:t>
            </w:r>
            <w:r>
              <w:rPr>
                <w:rFonts w:ascii="Times New Roman" w:hAnsi="Times New Roman" w:hint="eastAsia"/>
                <w:bCs/>
                <w:sz w:val="21"/>
                <w:szCs w:val="21"/>
              </w:rPr>
              <w:t>,</w:t>
            </w:r>
            <w:r>
              <w:rPr>
                <w:rFonts w:hint="eastAsia"/>
                <w:bCs/>
                <w:sz w:val="21"/>
                <w:szCs w:val="21"/>
              </w:rPr>
              <w:t>范庆丰通过向发行人实际控制人范庆伟借款的方式赔偿莱州伟隆。</w:t>
            </w:r>
          </w:p>
        </w:tc>
      </w:tr>
      <w:tr w:rsidR="008D76D6" w14:paraId="03E1719E" w14:textId="77777777">
        <w:tc>
          <w:tcPr>
            <w:tcW w:w="704" w:type="dxa"/>
            <w:vAlign w:val="center"/>
          </w:tcPr>
          <w:p w14:paraId="5A69B411"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7</w:t>
            </w:r>
          </w:p>
        </w:tc>
        <w:tc>
          <w:tcPr>
            <w:tcW w:w="705" w:type="dxa"/>
            <w:vAlign w:val="center"/>
          </w:tcPr>
          <w:p w14:paraId="242DD974"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担保</w:t>
            </w:r>
          </w:p>
        </w:tc>
        <w:tc>
          <w:tcPr>
            <w:tcW w:w="705" w:type="dxa"/>
            <w:vAlign w:val="center"/>
          </w:tcPr>
          <w:p w14:paraId="0DFBF27D"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王鲁松</w:t>
            </w:r>
          </w:p>
        </w:tc>
        <w:tc>
          <w:tcPr>
            <w:tcW w:w="848" w:type="dxa"/>
            <w:vAlign w:val="center"/>
          </w:tcPr>
          <w:p w14:paraId="1592537E"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7</w:t>
            </w:r>
            <w:r>
              <w:rPr>
                <w:rFonts w:ascii="Times New Roman" w:hAnsi="Times New Roman"/>
                <w:color w:val="000000"/>
                <w:sz w:val="21"/>
                <w:szCs w:val="21"/>
              </w:rPr>
              <w:t>0</w:t>
            </w:r>
            <w:r>
              <w:rPr>
                <w:rFonts w:ascii="Times New Roman" w:hAnsi="Times New Roman" w:hint="eastAsia"/>
                <w:color w:val="000000"/>
                <w:sz w:val="21"/>
                <w:szCs w:val="21"/>
              </w:rPr>
              <w:t>万元</w:t>
            </w:r>
          </w:p>
        </w:tc>
        <w:tc>
          <w:tcPr>
            <w:tcW w:w="709" w:type="dxa"/>
            <w:vAlign w:val="center"/>
          </w:tcPr>
          <w:p w14:paraId="2999D773"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019.</w:t>
            </w:r>
          </w:p>
          <w:p w14:paraId="0DEB25FB"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0</w:t>
            </w:r>
            <w:r>
              <w:rPr>
                <w:rFonts w:ascii="Times New Roman" w:hAnsi="Times New Roman"/>
                <w:color w:val="000000"/>
                <w:sz w:val="21"/>
                <w:szCs w:val="21"/>
              </w:rPr>
              <w:t>5.14</w:t>
            </w:r>
          </w:p>
        </w:tc>
        <w:tc>
          <w:tcPr>
            <w:tcW w:w="1161" w:type="dxa"/>
            <w:vAlign w:val="center"/>
          </w:tcPr>
          <w:p w14:paraId="111CC170"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1196" w:type="dxa"/>
            <w:vAlign w:val="center"/>
          </w:tcPr>
          <w:p w14:paraId="1735A275"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1161" w:type="dxa"/>
            <w:vAlign w:val="center"/>
          </w:tcPr>
          <w:p w14:paraId="7FA621E4"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893" w:type="dxa"/>
            <w:vAlign w:val="center"/>
          </w:tcPr>
          <w:p w14:paraId="236F1B4B"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1983" w:type="dxa"/>
          </w:tcPr>
          <w:p w14:paraId="7876E2A3" w14:textId="77777777" w:rsidR="008D76D6" w:rsidRDefault="008D76D6">
            <w:pPr>
              <w:autoSpaceDE w:val="0"/>
              <w:autoSpaceDN w:val="0"/>
              <w:adjustRightInd w:val="0"/>
              <w:spacing w:beforeLines="0" w:before="0" w:afterLines="0" w:after="0" w:line="240" w:lineRule="auto"/>
              <w:ind w:firstLineChars="0" w:firstLine="0"/>
              <w:jc w:val="left"/>
              <w:rPr>
                <w:rFonts w:ascii="Times New Roman" w:hAnsi="Times New Roman" w:hint="eastAsia"/>
                <w:color w:val="000000"/>
                <w:sz w:val="21"/>
                <w:szCs w:val="21"/>
              </w:rPr>
            </w:pPr>
            <w:r>
              <w:rPr>
                <w:rFonts w:hint="eastAsia"/>
                <w:bCs/>
                <w:sz w:val="21"/>
                <w:szCs w:val="21"/>
              </w:rPr>
              <w:t>范庆丰通过向发行人实际控制人范庆伟借款的方式向王鲁松偿还完毕。</w:t>
            </w:r>
          </w:p>
        </w:tc>
      </w:tr>
      <w:tr w:rsidR="008D76D6" w14:paraId="255897D8" w14:textId="77777777">
        <w:tc>
          <w:tcPr>
            <w:tcW w:w="704" w:type="dxa"/>
            <w:vAlign w:val="center"/>
          </w:tcPr>
          <w:p w14:paraId="7AD06B2C"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8</w:t>
            </w:r>
          </w:p>
        </w:tc>
        <w:tc>
          <w:tcPr>
            <w:tcW w:w="705" w:type="dxa"/>
            <w:vAlign w:val="center"/>
          </w:tcPr>
          <w:p w14:paraId="28AC80B4"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担保</w:t>
            </w:r>
          </w:p>
        </w:tc>
        <w:tc>
          <w:tcPr>
            <w:tcW w:w="705" w:type="dxa"/>
            <w:vAlign w:val="center"/>
          </w:tcPr>
          <w:p w14:paraId="7CD24DD5"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于大鹏</w:t>
            </w:r>
          </w:p>
        </w:tc>
        <w:tc>
          <w:tcPr>
            <w:tcW w:w="848" w:type="dxa"/>
            <w:vAlign w:val="center"/>
          </w:tcPr>
          <w:p w14:paraId="2B00D96B"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5</w:t>
            </w:r>
            <w:r>
              <w:rPr>
                <w:rFonts w:ascii="Times New Roman" w:hAnsi="Times New Roman" w:hint="eastAsia"/>
                <w:color w:val="000000"/>
                <w:sz w:val="21"/>
                <w:szCs w:val="21"/>
              </w:rPr>
              <w:t>万元</w:t>
            </w:r>
          </w:p>
        </w:tc>
        <w:tc>
          <w:tcPr>
            <w:tcW w:w="709" w:type="dxa"/>
            <w:vAlign w:val="center"/>
          </w:tcPr>
          <w:p w14:paraId="5AA1AD38"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019.</w:t>
            </w:r>
          </w:p>
          <w:p w14:paraId="077F24E6"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color w:val="000000"/>
                <w:sz w:val="21"/>
                <w:szCs w:val="21"/>
              </w:rPr>
              <w:t>06</w:t>
            </w:r>
          </w:p>
        </w:tc>
        <w:tc>
          <w:tcPr>
            <w:tcW w:w="1161" w:type="dxa"/>
            <w:vAlign w:val="center"/>
          </w:tcPr>
          <w:p w14:paraId="33B74015"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1196" w:type="dxa"/>
            <w:vAlign w:val="center"/>
          </w:tcPr>
          <w:p w14:paraId="182225C5"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1161" w:type="dxa"/>
            <w:vAlign w:val="center"/>
          </w:tcPr>
          <w:p w14:paraId="710FBC9F"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893" w:type="dxa"/>
            <w:vAlign w:val="center"/>
          </w:tcPr>
          <w:p w14:paraId="03C41999"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w:t>
            </w:r>
          </w:p>
        </w:tc>
        <w:tc>
          <w:tcPr>
            <w:tcW w:w="1983" w:type="dxa"/>
          </w:tcPr>
          <w:p w14:paraId="1516C38C"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莱州伟隆未承担偿还责任。</w:t>
            </w:r>
          </w:p>
        </w:tc>
      </w:tr>
    </w:tbl>
    <w:p w14:paraId="52C605F8" w14:textId="77777777" w:rsidR="008D76D6" w:rsidRPr="00B434D2" w:rsidRDefault="00291796" w:rsidP="00B434D2">
      <w:pPr>
        <w:pStyle w:val="004"/>
        <w:spacing w:before="120" w:after="120"/>
        <w:ind w:firstLine="482"/>
      </w:pPr>
      <w:r w:rsidRPr="00B434D2">
        <w:rPr>
          <w:rFonts w:hint="eastAsia"/>
        </w:rPr>
        <w:t>（二）</w:t>
      </w:r>
      <w:r w:rsidR="008D76D6" w:rsidRPr="00B434D2">
        <w:t>发行人及子公司是否违规对外提供财务资助或违规提供担保，后续是否可能涉及违规处分或被采取相关措施</w:t>
      </w:r>
      <w:r w:rsidR="008D76D6" w:rsidRPr="00B434D2">
        <w:rPr>
          <w:rFonts w:hint="eastAsia"/>
        </w:rPr>
        <w:t>。</w:t>
      </w:r>
    </w:p>
    <w:p w14:paraId="11DFE665" w14:textId="77777777" w:rsidR="008D76D6" w:rsidRDefault="00291796">
      <w:pPr>
        <w:autoSpaceDE w:val="0"/>
        <w:autoSpaceDN w:val="0"/>
        <w:adjustRightInd w:val="0"/>
        <w:spacing w:before="120" w:afterLines="0" w:after="120"/>
        <w:ind w:firstLineChars="0" w:firstLine="482"/>
        <w:rPr>
          <w:rFonts w:ascii="Times New Roman" w:hAnsi="Times New Roman"/>
          <w:color w:val="000000"/>
          <w:szCs w:val="32"/>
        </w:rPr>
      </w:pPr>
      <w:r>
        <w:rPr>
          <w:rFonts w:ascii="Times New Roman" w:hAnsi="Times New Roman" w:hint="eastAsia"/>
          <w:color w:val="000000"/>
          <w:szCs w:val="32"/>
        </w:rPr>
        <w:t>1</w:t>
      </w:r>
      <w:r>
        <w:rPr>
          <w:rFonts w:ascii="Times New Roman" w:hAnsi="Times New Roman" w:hint="eastAsia"/>
          <w:color w:val="000000"/>
          <w:szCs w:val="32"/>
        </w:rPr>
        <w:t>、</w:t>
      </w:r>
      <w:r w:rsidR="008D76D6">
        <w:rPr>
          <w:rFonts w:ascii="Times New Roman" w:hAnsi="Times New Roman" w:hint="eastAsia"/>
          <w:color w:val="000000"/>
          <w:szCs w:val="32"/>
        </w:rPr>
        <w:t>发行人及子公司是否违规对外提供财务资助或违规提供担保</w:t>
      </w:r>
    </w:p>
    <w:p w14:paraId="5596685D" w14:textId="77777777" w:rsidR="008D76D6" w:rsidRDefault="008D76D6" w:rsidP="004D0F0E">
      <w:pPr>
        <w:autoSpaceDE w:val="0"/>
        <w:autoSpaceDN w:val="0"/>
        <w:adjustRightInd w:val="0"/>
        <w:spacing w:before="120" w:afterLines="0" w:after="120"/>
        <w:ind w:firstLineChars="0" w:firstLine="482"/>
        <w:rPr>
          <w:rFonts w:ascii="Times New Roman" w:hAnsi="Times New Roman"/>
          <w:color w:val="000000"/>
          <w:szCs w:val="32"/>
        </w:rPr>
      </w:pPr>
      <w:r>
        <w:rPr>
          <w:rFonts w:ascii="Times New Roman" w:hAnsi="Times New Roman" w:hint="eastAsia"/>
          <w:color w:val="000000"/>
          <w:szCs w:val="32"/>
        </w:rPr>
        <w:t>经核查，报告期内，发行人及子公司不存在违规对外提供财务资助或违规提供担保的情形。报告期内，莱州伟隆对外承担借款及担保责任系由莱州伟隆时任总经理范庆丰私用莱州伟隆公章对外签署借款及担保合同导致。范庆丰私用莱州伟隆公章签署借款及担保合同事项未履行发行人及莱州伟隆内部审议程序，发行人实际控制人、控股股东及董监高均未参与且不知情</w:t>
      </w:r>
      <w:r w:rsidR="004D0F0E">
        <w:rPr>
          <w:rFonts w:ascii="Times New Roman" w:hAnsi="Times New Roman" w:hint="eastAsia"/>
          <w:color w:val="000000"/>
          <w:szCs w:val="32"/>
        </w:rPr>
        <w:t>，</w:t>
      </w:r>
      <w:r>
        <w:rPr>
          <w:rFonts w:ascii="Times New Roman" w:hAnsi="Times New Roman" w:hint="eastAsia"/>
          <w:color w:val="000000"/>
          <w:szCs w:val="32"/>
        </w:rPr>
        <w:t>该等事项不属于发行人违规对外提供财务资助或违规提供担保的情形。</w:t>
      </w:r>
    </w:p>
    <w:p w14:paraId="062E900E" w14:textId="77777777" w:rsidR="008D76D6" w:rsidRDefault="00291796">
      <w:pPr>
        <w:widowControl/>
        <w:autoSpaceDE w:val="0"/>
        <w:autoSpaceDN w:val="0"/>
        <w:spacing w:before="120" w:after="120"/>
        <w:ind w:firstLine="480"/>
        <w:rPr>
          <w:rFonts w:ascii="Times New Roman" w:hAnsi="Times New Roman"/>
          <w:kern w:val="0"/>
          <w:szCs w:val="24"/>
        </w:rPr>
      </w:pPr>
      <w:r>
        <w:rPr>
          <w:rFonts w:ascii="Times New Roman" w:hAnsi="Times New Roman" w:hint="eastAsia"/>
          <w:kern w:val="0"/>
          <w:szCs w:val="24"/>
        </w:rPr>
        <w:t>2</w:t>
      </w:r>
      <w:r>
        <w:rPr>
          <w:rFonts w:ascii="Times New Roman" w:hAnsi="Times New Roman" w:hint="eastAsia"/>
          <w:kern w:val="0"/>
          <w:szCs w:val="24"/>
        </w:rPr>
        <w:t>、</w:t>
      </w:r>
      <w:r w:rsidR="008D76D6">
        <w:rPr>
          <w:rFonts w:ascii="Times New Roman" w:hAnsi="Times New Roman"/>
          <w:color w:val="000000"/>
          <w:szCs w:val="32"/>
        </w:rPr>
        <w:t>后续是否可能涉及违规处分或被采取相关措施</w:t>
      </w:r>
    </w:p>
    <w:p w14:paraId="43591B83" w14:textId="77777777" w:rsidR="008D76D6" w:rsidRDefault="008D76D6">
      <w:pPr>
        <w:widowControl/>
        <w:autoSpaceDE w:val="0"/>
        <w:autoSpaceDN w:val="0"/>
        <w:spacing w:before="120" w:after="120"/>
        <w:ind w:firstLine="480"/>
        <w:rPr>
          <w:rFonts w:ascii="宋体" w:hAnsi="宋体" w:cs="宋体"/>
          <w:kern w:val="0"/>
          <w:szCs w:val="24"/>
        </w:rPr>
      </w:pPr>
      <w:r>
        <w:rPr>
          <w:rFonts w:ascii="Times New Roman" w:hAnsi="Times New Roman" w:hint="eastAsia"/>
          <w:kern w:val="0"/>
          <w:szCs w:val="24"/>
        </w:rPr>
        <w:t>就上述范庆丰私用莱州伟隆公章</w:t>
      </w:r>
      <w:r w:rsidR="001B1236">
        <w:rPr>
          <w:rFonts w:ascii="Times New Roman" w:hAnsi="Times New Roman" w:hint="eastAsia"/>
          <w:kern w:val="0"/>
          <w:szCs w:val="24"/>
        </w:rPr>
        <w:t>事项</w:t>
      </w:r>
      <w:r>
        <w:rPr>
          <w:rFonts w:ascii="宋体" w:hAnsi="宋体" w:cs="宋体" w:hint="eastAsia"/>
          <w:kern w:val="0"/>
          <w:szCs w:val="24"/>
        </w:rPr>
        <w:t>，发行人已收到中国证券监督管理委员会青岛监管局出具的《关于对青岛伟隆阀门股份有限公司采取责令改正措施的决定》（</w:t>
      </w:r>
      <w:r>
        <w:rPr>
          <w:rFonts w:ascii="Times New Roman" w:hAnsi="Times New Roman"/>
          <w:kern w:val="0"/>
          <w:szCs w:val="24"/>
        </w:rPr>
        <w:t>[2021]17</w:t>
      </w:r>
      <w:r>
        <w:rPr>
          <w:rFonts w:ascii="Times New Roman" w:hAnsi="Times New Roman" w:hint="eastAsia"/>
          <w:kern w:val="0"/>
          <w:szCs w:val="24"/>
        </w:rPr>
        <w:t>号</w:t>
      </w:r>
      <w:r>
        <w:rPr>
          <w:rFonts w:ascii="宋体" w:hAnsi="宋体" w:cs="宋体" w:hint="eastAsia"/>
          <w:kern w:val="0"/>
          <w:szCs w:val="24"/>
        </w:rPr>
        <w:t>），深圳证券交易所上市公司管理一部对发行人出具《关于对青岛伟隆阀门股份有限公司的监管函》（公司部监管函</w:t>
      </w:r>
      <w:r>
        <w:rPr>
          <w:rFonts w:ascii="Times New Roman" w:hAnsi="Times New Roman"/>
          <w:kern w:val="0"/>
          <w:szCs w:val="24"/>
        </w:rPr>
        <w:t>[2021]</w:t>
      </w:r>
      <w:r>
        <w:rPr>
          <w:rFonts w:ascii="Times New Roman" w:hAnsi="Times New Roman" w:hint="eastAsia"/>
          <w:kern w:val="0"/>
          <w:szCs w:val="24"/>
        </w:rPr>
        <w:t>第</w:t>
      </w:r>
      <w:r>
        <w:rPr>
          <w:rFonts w:ascii="Times New Roman" w:hAnsi="Times New Roman"/>
          <w:kern w:val="0"/>
          <w:szCs w:val="24"/>
        </w:rPr>
        <w:t>160</w:t>
      </w:r>
      <w:r>
        <w:rPr>
          <w:rFonts w:ascii="宋体" w:hAnsi="宋体" w:cs="宋体" w:hint="eastAsia"/>
          <w:kern w:val="0"/>
          <w:szCs w:val="24"/>
        </w:rPr>
        <w:t>号）。</w:t>
      </w:r>
    </w:p>
    <w:p w14:paraId="4C8153CB" w14:textId="77777777" w:rsidR="008D76D6" w:rsidRDefault="008D76D6">
      <w:pPr>
        <w:widowControl/>
        <w:autoSpaceDE w:val="0"/>
        <w:autoSpaceDN w:val="0"/>
        <w:spacing w:before="120" w:after="120"/>
        <w:ind w:firstLine="480"/>
        <w:rPr>
          <w:rFonts w:ascii="宋体" w:hAnsi="宋体"/>
          <w:szCs w:val="24"/>
        </w:rPr>
      </w:pPr>
      <w:r>
        <w:rPr>
          <w:rFonts w:ascii="宋体" w:hAnsi="宋体" w:hint="eastAsia"/>
          <w:szCs w:val="24"/>
        </w:rPr>
        <w:t>针对上述行政监管措施，发行人及相关责任人</w:t>
      </w:r>
      <w:r>
        <w:rPr>
          <w:rFonts w:hint="eastAsia"/>
          <w:szCs w:val="24"/>
        </w:rPr>
        <w:t>及时完善了相关的内部控制制度并重新修订了包括《内幕信息知情人登记管理制度》在内的相关内部管理制度，</w:t>
      </w:r>
      <w:r>
        <w:rPr>
          <w:rFonts w:ascii="宋体" w:hAnsi="宋体" w:hint="eastAsia"/>
          <w:szCs w:val="24"/>
        </w:rPr>
        <w:t>已按照相关法律法规要求积极整改。除上述行政监管措施外，截至本补充法律意见书出具之日，发行人未因莱州伟隆对外借款及担保事项受到新的处分或相关措施。</w:t>
      </w:r>
    </w:p>
    <w:p w14:paraId="18787F78" w14:textId="77777777" w:rsidR="008D76D6" w:rsidRDefault="008D76D6">
      <w:pPr>
        <w:widowControl/>
        <w:autoSpaceDE w:val="0"/>
        <w:autoSpaceDN w:val="0"/>
        <w:spacing w:before="120" w:after="120"/>
        <w:ind w:firstLine="480"/>
        <w:rPr>
          <w:rFonts w:ascii="宋体" w:hAnsi="宋体" w:cs="宋体"/>
          <w:kern w:val="0"/>
          <w:szCs w:val="24"/>
        </w:rPr>
      </w:pPr>
      <w:r>
        <w:rPr>
          <w:rFonts w:ascii="宋体" w:hAnsi="宋体" w:hint="eastAsia"/>
          <w:szCs w:val="24"/>
        </w:rPr>
        <w:t>鉴于，发行人就范庆丰私用莱州伟隆公章事项已受到中国证券监督管理委员会青岛监管局以及深圳证券交易所上市公司管理一部采取的相关监管措施，且发行人针对相关事项已整改完毕，发行人实际控制人范庆伟已出具相关承诺并积极履行，发行人及子公司未实际遭受损失。综上所述，本所律师认为，发行人及子公司因</w:t>
      </w:r>
      <w:r>
        <w:rPr>
          <w:rFonts w:ascii="Times New Roman" w:hAnsi="Times New Roman" w:hint="eastAsia"/>
          <w:kern w:val="0"/>
          <w:szCs w:val="24"/>
        </w:rPr>
        <w:t>范庆丰私用莱州伟隆公章相关事项</w:t>
      </w:r>
      <w:r>
        <w:rPr>
          <w:rFonts w:ascii="Times New Roman" w:hAnsi="Times New Roman" w:hint="eastAsia"/>
          <w:color w:val="000000"/>
          <w:szCs w:val="32"/>
        </w:rPr>
        <w:t>后续涉及违规处分或被采取相关措施的风险较小。</w:t>
      </w:r>
    </w:p>
    <w:p w14:paraId="61BEE792" w14:textId="77777777" w:rsidR="008D76D6" w:rsidRPr="00B434D2" w:rsidRDefault="00291796" w:rsidP="00B434D2">
      <w:pPr>
        <w:pStyle w:val="003"/>
        <w:spacing w:before="120" w:after="120"/>
        <w:ind w:firstLine="482"/>
      </w:pPr>
      <w:r w:rsidRPr="00B434D2">
        <w:rPr>
          <w:rFonts w:hint="eastAsia"/>
        </w:rPr>
        <w:t>三、</w:t>
      </w:r>
      <w:r w:rsidR="008D76D6" w:rsidRPr="00B434D2">
        <w:t>发行人是否已就范庆伟关于莱州伟隆的承诺履行信息披露义务，承诺内容是否符合可行性、明确性要求，相关承诺作出的具体日期及执行情况，莱州伟隆垫付资金及范庆伟收回款项的时间间隔，在间隔期是否构成资金占用等情形，是否存在违反承诺的情况</w:t>
      </w:r>
      <w:r w:rsidR="008D76D6" w:rsidRPr="00B434D2">
        <w:rPr>
          <w:rFonts w:hint="eastAsia"/>
        </w:rPr>
        <w:t>。</w:t>
      </w:r>
    </w:p>
    <w:p w14:paraId="73C6C917" w14:textId="77777777" w:rsidR="008D76D6" w:rsidRPr="00B434D2" w:rsidRDefault="00291796" w:rsidP="00B434D2">
      <w:pPr>
        <w:pStyle w:val="004"/>
        <w:spacing w:before="120" w:after="120"/>
        <w:ind w:firstLine="482"/>
        <w:rPr>
          <w:rFonts w:hint="eastAsia"/>
        </w:rPr>
      </w:pPr>
      <w:r w:rsidRPr="00B434D2">
        <w:rPr>
          <w:rFonts w:hint="eastAsia"/>
        </w:rPr>
        <w:t>（一）</w:t>
      </w:r>
      <w:r w:rsidR="008D76D6" w:rsidRPr="00B434D2">
        <w:t>发行人是否已就范庆伟关于莱州伟隆的承诺履行信息披露义务</w:t>
      </w:r>
      <w:r w:rsidR="008D76D6" w:rsidRPr="00B434D2">
        <w:rPr>
          <w:rFonts w:hint="eastAsia"/>
        </w:rPr>
        <w:t>，</w:t>
      </w:r>
      <w:r w:rsidR="008D76D6" w:rsidRPr="00B434D2">
        <w:t>承诺内容是否符合可行性、明确性要求，相关承诺作出的具体日期及执行情况</w:t>
      </w:r>
    </w:p>
    <w:p w14:paraId="2C1D7DA1" w14:textId="77777777" w:rsidR="008D76D6" w:rsidRDefault="008D76D6">
      <w:pPr>
        <w:autoSpaceDE w:val="0"/>
        <w:autoSpaceDN w:val="0"/>
        <w:adjustRightInd w:val="0"/>
        <w:spacing w:before="120" w:afterLines="0" w:after="120"/>
        <w:ind w:firstLineChars="0" w:firstLine="482"/>
        <w:rPr>
          <w:rFonts w:ascii="Times New Roman" w:hAnsi="Times New Roman"/>
          <w:color w:val="000000"/>
          <w:szCs w:val="32"/>
        </w:rPr>
      </w:pPr>
      <w:r>
        <w:rPr>
          <w:rFonts w:ascii="Times New Roman" w:hAnsi="Times New Roman" w:hint="eastAsia"/>
          <w:color w:val="000000"/>
          <w:szCs w:val="32"/>
        </w:rPr>
        <w:t>发行人已在本次发行的《募集说明书》“第六节</w:t>
      </w:r>
      <w:r>
        <w:rPr>
          <w:rFonts w:ascii="Times New Roman" w:hAnsi="Times New Roman" w:hint="eastAsia"/>
          <w:color w:val="000000"/>
          <w:szCs w:val="32"/>
        </w:rPr>
        <w:t xml:space="preserve"> </w:t>
      </w:r>
      <w:r>
        <w:rPr>
          <w:rFonts w:ascii="Times New Roman" w:hAnsi="Times New Roman" w:hint="eastAsia"/>
          <w:color w:val="000000"/>
          <w:szCs w:val="32"/>
        </w:rPr>
        <w:t>合规经营与独立性”之“（四）需要说明的其他问题”中披露范庆伟关于莱州伟隆对外借款及担保事项的承诺。相关承诺具体内容为：“</w:t>
      </w:r>
      <w:r>
        <w:rPr>
          <w:rFonts w:ascii="宋体" w:hAnsi="宋体" w:hint="eastAsia"/>
          <w:szCs w:val="24"/>
        </w:rPr>
        <w:t>本人同意借款给范庆丰并通过本人范庆伟银行账户向莱州伟隆支付相关款项，以赔偿范庆丰私用莱州伟隆公章进行对外担保及借款给伟隆股份、莱州伟隆造成的一切损失。</w:t>
      </w:r>
      <w:r>
        <w:rPr>
          <w:rFonts w:ascii="Times New Roman" w:hAnsi="Times New Roman" w:hint="eastAsia"/>
          <w:color w:val="000000"/>
          <w:szCs w:val="32"/>
        </w:rPr>
        <w:t>”</w:t>
      </w:r>
    </w:p>
    <w:p w14:paraId="02695026" w14:textId="77777777" w:rsidR="008D76D6" w:rsidRDefault="008D76D6">
      <w:pPr>
        <w:widowControl/>
        <w:autoSpaceDE w:val="0"/>
        <w:autoSpaceDN w:val="0"/>
        <w:adjustRightInd w:val="0"/>
        <w:spacing w:before="120" w:after="120"/>
        <w:ind w:firstLine="480"/>
        <w:rPr>
          <w:rFonts w:ascii="Times New Roman" w:hAnsi="Times New Roman"/>
          <w:color w:val="000000"/>
          <w:szCs w:val="32"/>
        </w:rPr>
      </w:pPr>
      <w:r>
        <w:rPr>
          <w:rFonts w:ascii="Times New Roman" w:hAnsi="Times New Roman" w:hint="eastAsia"/>
          <w:color w:val="000000"/>
          <w:szCs w:val="32"/>
        </w:rPr>
        <w:t>针对莱州伟隆对外借款及担保事项，发行人实际控制人范庆伟已分别出具以下承诺：</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2"/>
        <w:gridCol w:w="3174"/>
        <w:gridCol w:w="1844"/>
        <w:gridCol w:w="1737"/>
      </w:tblGrid>
      <w:tr w:rsidR="008D76D6" w14:paraId="76AC7A73" w14:textId="77777777">
        <w:tc>
          <w:tcPr>
            <w:tcW w:w="719" w:type="dxa"/>
            <w:shd w:val="clear" w:color="auto" w:fill="BFBFBF"/>
          </w:tcPr>
          <w:p w14:paraId="1D34804C"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序号</w:t>
            </w:r>
          </w:p>
        </w:tc>
        <w:tc>
          <w:tcPr>
            <w:tcW w:w="1594" w:type="dxa"/>
            <w:shd w:val="clear" w:color="auto" w:fill="BFBFBF"/>
          </w:tcPr>
          <w:p w14:paraId="022AA9D3"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承诺人</w:t>
            </w:r>
          </w:p>
        </w:tc>
        <w:tc>
          <w:tcPr>
            <w:tcW w:w="3252" w:type="dxa"/>
            <w:shd w:val="clear" w:color="auto" w:fill="BFBFBF"/>
          </w:tcPr>
          <w:p w14:paraId="39C1AF56"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承诺内容</w:t>
            </w:r>
          </w:p>
        </w:tc>
        <w:tc>
          <w:tcPr>
            <w:tcW w:w="1890" w:type="dxa"/>
            <w:shd w:val="clear" w:color="auto" w:fill="BFBFBF"/>
          </w:tcPr>
          <w:p w14:paraId="56704C1C"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承诺时间</w:t>
            </w:r>
          </w:p>
        </w:tc>
        <w:tc>
          <w:tcPr>
            <w:tcW w:w="1787" w:type="dxa"/>
            <w:shd w:val="clear" w:color="auto" w:fill="BFBFBF"/>
          </w:tcPr>
          <w:p w14:paraId="2D24C529"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执行情况</w:t>
            </w:r>
          </w:p>
        </w:tc>
      </w:tr>
      <w:tr w:rsidR="008D76D6" w14:paraId="22744BE3" w14:textId="77777777">
        <w:tc>
          <w:tcPr>
            <w:tcW w:w="719" w:type="dxa"/>
            <w:vAlign w:val="center"/>
          </w:tcPr>
          <w:p w14:paraId="51E295B2"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1</w:t>
            </w:r>
          </w:p>
        </w:tc>
        <w:tc>
          <w:tcPr>
            <w:tcW w:w="1594" w:type="dxa"/>
            <w:vAlign w:val="center"/>
          </w:tcPr>
          <w:p w14:paraId="7C95BAAE"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范庆伟</w:t>
            </w:r>
          </w:p>
        </w:tc>
        <w:tc>
          <w:tcPr>
            <w:tcW w:w="3252" w:type="dxa"/>
          </w:tcPr>
          <w:p w14:paraId="1727B06E" w14:textId="77777777" w:rsidR="008D76D6" w:rsidRDefault="008D76D6">
            <w:pPr>
              <w:spacing w:beforeLines="0" w:before="0" w:afterLines="0" w:after="0" w:line="240" w:lineRule="auto"/>
              <w:ind w:firstLineChars="0" w:firstLine="0"/>
              <w:rPr>
                <w:rFonts w:ascii="Times New Roman" w:hAnsi="Times New Roman"/>
                <w:sz w:val="21"/>
                <w:szCs w:val="21"/>
              </w:rPr>
            </w:pPr>
            <w:r>
              <w:rPr>
                <w:rFonts w:ascii="Times New Roman" w:hAnsi="Times New Roman"/>
                <w:sz w:val="21"/>
                <w:szCs w:val="21"/>
              </w:rPr>
              <w:t>就莱州辉瑞仓储有限公司与莱州辰英特机械制造有限公司、范庆丰、范威辰、莱州伟隆阀门有限公司</w:t>
            </w:r>
            <w:r>
              <w:rPr>
                <w:rFonts w:ascii="Times New Roman" w:hAnsi="Times New Roman"/>
                <w:sz w:val="21"/>
                <w:szCs w:val="21"/>
              </w:rPr>
              <w:t>(</w:t>
            </w:r>
            <w:r>
              <w:rPr>
                <w:rFonts w:ascii="Times New Roman" w:hAnsi="Times New Roman"/>
                <w:sz w:val="21"/>
                <w:szCs w:val="21"/>
              </w:rPr>
              <w:t>以下简称</w:t>
            </w:r>
            <w:r>
              <w:rPr>
                <w:rFonts w:ascii="Times New Roman" w:hAnsi="Times New Roman"/>
                <w:sz w:val="21"/>
                <w:szCs w:val="21"/>
              </w:rPr>
              <w:t>“</w:t>
            </w:r>
            <w:r>
              <w:rPr>
                <w:rFonts w:ascii="Times New Roman" w:hAnsi="Times New Roman"/>
                <w:sz w:val="21"/>
                <w:szCs w:val="21"/>
              </w:rPr>
              <w:t>莱州伟隆</w:t>
            </w:r>
            <w:r>
              <w:rPr>
                <w:rFonts w:ascii="Times New Roman" w:hAnsi="Times New Roman"/>
                <w:sz w:val="21"/>
                <w:szCs w:val="21"/>
              </w:rPr>
              <w:t>”</w:t>
            </w:r>
            <w:r>
              <w:rPr>
                <w:rFonts w:ascii="Times New Roman" w:hAnsi="Times New Roman"/>
                <w:sz w:val="21"/>
                <w:szCs w:val="21"/>
              </w:rPr>
              <w:t>等买卖合同纠纷一案，</w:t>
            </w:r>
            <w:r>
              <w:rPr>
                <w:rFonts w:ascii="Times New Roman" w:hAnsi="Times New Roman"/>
                <w:sz w:val="21"/>
                <w:szCs w:val="21"/>
              </w:rPr>
              <w:t>2020</w:t>
            </w:r>
            <w:r>
              <w:rPr>
                <w:rFonts w:ascii="Times New Roman" w:hAnsi="Times New Roman"/>
                <w:sz w:val="21"/>
                <w:szCs w:val="21"/>
              </w:rPr>
              <w:t>年</w:t>
            </w:r>
            <w:r>
              <w:rPr>
                <w:rFonts w:ascii="Times New Roman" w:hAnsi="Times New Roman"/>
                <w:sz w:val="21"/>
                <w:szCs w:val="21"/>
              </w:rPr>
              <w:t>12</w:t>
            </w:r>
            <w:r>
              <w:rPr>
                <w:rFonts w:ascii="Times New Roman" w:hAnsi="Times New Roman"/>
                <w:sz w:val="21"/>
                <w:szCs w:val="21"/>
              </w:rPr>
              <w:t>月</w:t>
            </w:r>
            <w:r>
              <w:rPr>
                <w:rFonts w:ascii="Times New Roman" w:hAnsi="Times New Roman"/>
                <w:sz w:val="21"/>
                <w:szCs w:val="21"/>
              </w:rPr>
              <w:t>24</w:t>
            </w:r>
            <w:r>
              <w:rPr>
                <w:rFonts w:ascii="Times New Roman" w:hAnsi="Times New Roman"/>
                <w:sz w:val="21"/>
                <w:szCs w:val="21"/>
              </w:rPr>
              <w:t>日，莱州伟隆收到山东省莱州市人民法院</w:t>
            </w:r>
            <w:r>
              <w:rPr>
                <w:rFonts w:ascii="Times New Roman" w:hAnsi="Times New Roman"/>
                <w:sz w:val="21"/>
                <w:szCs w:val="21"/>
              </w:rPr>
              <w:t>(20200683</w:t>
            </w:r>
            <w:r>
              <w:rPr>
                <w:rFonts w:ascii="Times New Roman" w:hAnsi="Times New Roman"/>
                <w:sz w:val="21"/>
                <w:szCs w:val="21"/>
              </w:rPr>
              <w:t>民初</w:t>
            </w:r>
            <w:r>
              <w:rPr>
                <w:rFonts w:ascii="Times New Roman" w:hAnsi="Times New Roman"/>
                <w:sz w:val="21"/>
                <w:szCs w:val="21"/>
              </w:rPr>
              <w:t>8092</w:t>
            </w:r>
            <w:r>
              <w:rPr>
                <w:rFonts w:ascii="Times New Roman" w:hAnsi="Times New Roman"/>
                <w:sz w:val="21"/>
                <w:szCs w:val="21"/>
              </w:rPr>
              <w:t>号</w:t>
            </w:r>
            <w:r>
              <w:rPr>
                <w:rFonts w:ascii="Times New Roman" w:hAnsi="Times New Roman"/>
                <w:sz w:val="21"/>
                <w:szCs w:val="21"/>
              </w:rPr>
              <w:t>)</w:t>
            </w:r>
            <w:r>
              <w:rPr>
                <w:rFonts w:ascii="Times New Roman" w:hAnsi="Times New Roman"/>
                <w:sz w:val="21"/>
                <w:szCs w:val="21"/>
              </w:rPr>
              <w:t>开庭通知书后，立即启动诉讼答辩程序，莱州市人民法院于</w:t>
            </w:r>
            <w:r>
              <w:rPr>
                <w:rFonts w:ascii="Times New Roman" w:hAnsi="Times New Roman"/>
                <w:sz w:val="21"/>
                <w:szCs w:val="21"/>
              </w:rPr>
              <w:t>2021</w:t>
            </w:r>
            <w:r>
              <w:rPr>
                <w:rFonts w:ascii="Times New Roman" w:hAnsi="Times New Roman"/>
                <w:sz w:val="21"/>
                <w:szCs w:val="21"/>
              </w:rPr>
              <w:t>年</w:t>
            </w:r>
            <w:r>
              <w:rPr>
                <w:rFonts w:ascii="Times New Roman" w:hAnsi="Times New Roman"/>
                <w:sz w:val="21"/>
                <w:szCs w:val="21"/>
              </w:rPr>
              <w:t>1</w:t>
            </w:r>
            <w:r>
              <w:rPr>
                <w:rFonts w:ascii="Times New Roman" w:hAnsi="Times New Roman"/>
                <w:sz w:val="21"/>
                <w:szCs w:val="21"/>
              </w:rPr>
              <w:t>月</w:t>
            </w:r>
            <w:r>
              <w:rPr>
                <w:rFonts w:ascii="Times New Roman" w:hAnsi="Times New Roman"/>
                <w:sz w:val="21"/>
                <w:szCs w:val="21"/>
              </w:rPr>
              <w:t>14</w:t>
            </w:r>
            <w:r>
              <w:rPr>
                <w:rFonts w:ascii="Times New Roman" w:hAnsi="Times New Roman"/>
                <w:sz w:val="21"/>
                <w:szCs w:val="21"/>
              </w:rPr>
              <w:t>日开庭一审，截止目前尚无生效判决。</w:t>
            </w:r>
          </w:p>
          <w:p w14:paraId="68A83251" w14:textId="77777777" w:rsidR="008D76D6" w:rsidRDefault="008D76D6">
            <w:pPr>
              <w:spacing w:beforeLines="0" w:before="0" w:afterLines="0" w:after="0" w:line="240" w:lineRule="auto"/>
              <w:ind w:firstLineChars="0" w:firstLine="0"/>
              <w:rPr>
                <w:rFonts w:ascii="宋体" w:hAnsi="宋体" w:hint="eastAsia"/>
                <w:sz w:val="21"/>
                <w:szCs w:val="21"/>
              </w:rPr>
            </w:pPr>
            <w:r>
              <w:rPr>
                <w:rFonts w:ascii="Times New Roman" w:hAnsi="Times New Roman"/>
                <w:sz w:val="21"/>
                <w:szCs w:val="21"/>
              </w:rPr>
              <w:t>鉴于上述事项为本人弟弟范庆丰</w:t>
            </w:r>
            <w:r>
              <w:rPr>
                <w:rFonts w:ascii="Times New Roman" w:hAnsi="Times New Roman" w:hint="eastAsia"/>
                <w:sz w:val="21"/>
                <w:szCs w:val="21"/>
              </w:rPr>
              <w:t>（</w:t>
            </w:r>
            <w:r>
              <w:rPr>
                <w:rFonts w:ascii="Times New Roman" w:hAnsi="Times New Roman"/>
                <w:sz w:val="21"/>
                <w:szCs w:val="21"/>
              </w:rPr>
              <w:t>原莱州伟隆经理</w:t>
            </w:r>
            <w:r>
              <w:rPr>
                <w:rFonts w:ascii="Times New Roman" w:hAnsi="Times New Roman"/>
                <w:sz w:val="21"/>
                <w:szCs w:val="21"/>
              </w:rPr>
              <w:t>)</w:t>
            </w:r>
            <w:r>
              <w:rPr>
                <w:rFonts w:ascii="Times New Roman" w:hAnsi="Times New Roman"/>
                <w:sz w:val="21"/>
                <w:szCs w:val="21"/>
              </w:rPr>
              <w:t>私自使用公章所致，如将来的生效判决要求莱州伟隆承担相应的责任，本人同意</w:t>
            </w:r>
            <w:r>
              <w:rPr>
                <w:rFonts w:ascii="Times New Roman" w:hAnsi="Times New Roman" w:hint="eastAsia"/>
                <w:sz w:val="21"/>
                <w:szCs w:val="21"/>
              </w:rPr>
              <w:t>借款给范庆丰用于赔偿其给莱州伟隆造成的损失</w:t>
            </w:r>
            <w:r>
              <w:rPr>
                <w:rFonts w:ascii="Times New Roman" w:hAnsi="Times New Roman"/>
                <w:sz w:val="21"/>
                <w:szCs w:val="21"/>
              </w:rPr>
              <w:t>，确保莱州伟隆不因此受到任何赔偿或损失。</w:t>
            </w:r>
          </w:p>
        </w:tc>
        <w:tc>
          <w:tcPr>
            <w:tcW w:w="1890" w:type="dxa"/>
            <w:vAlign w:val="center"/>
          </w:tcPr>
          <w:p w14:paraId="179F3CC6"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021</w:t>
            </w:r>
            <w:r>
              <w:rPr>
                <w:rFonts w:ascii="Times New Roman" w:hAnsi="Times New Roman" w:hint="eastAsia"/>
                <w:color w:val="000000"/>
                <w:sz w:val="21"/>
                <w:szCs w:val="21"/>
              </w:rPr>
              <w:t>年</w:t>
            </w:r>
            <w:r>
              <w:rPr>
                <w:rFonts w:ascii="Times New Roman" w:hAnsi="Times New Roman" w:hint="eastAsia"/>
                <w:color w:val="000000"/>
                <w:sz w:val="21"/>
                <w:szCs w:val="21"/>
              </w:rPr>
              <w:t>4</w:t>
            </w:r>
            <w:r>
              <w:rPr>
                <w:rFonts w:ascii="Times New Roman" w:hAnsi="Times New Roman" w:hint="eastAsia"/>
                <w:color w:val="000000"/>
                <w:sz w:val="21"/>
                <w:szCs w:val="21"/>
              </w:rPr>
              <w:t>月</w:t>
            </w:r>
            <w:r>
              <w:rPr>
                <w:rFonts w:ascii="Times New Roman" w:hAnsi="Times New Roman" w:hint="eastAsia"/>
                <w:color w:val="000000"/>
                <w:sz w:val="21"/>
                <w:szCs w:val="21"/>
              </w:rPr>
              <w:t>2</w:t>
            </w:r>
            <w:r>
              <w:rPr>
                <w:rFonts w:ascii="Times New Roman" w:hAnsi="Times New Roman"/>
                <w:color w:val="000000"/>
                <w:sz w:val="21"/>
                <w:szCs w:val="21"/>
              </w:rPr>
              <w:t>7</w:t>
            </w:r>
            <w:r>
              <w:rPr>
                <w:rFonts w:ascii="Times New Roman" w:hAnsi="Times New Roman" w:hint="eastAsia"/>
                <w:color w:val="000000"/>
                <w:sz w:val="21"/>
                <w:szCs w:val="21"/>
              </w:rPr>
              <w:t>日</w:t>
            </w:r>
          </w:p>
        </w:tc>
        <w:tc>
          <w:tcPr>
            <w:tcW w:w="1787" w:type="dxa"/>
            <w:vAlign w:val="center"/>
          </w:tcPr>
          <w:p w14:paraId="52EB2842"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范庆伟已履行承诺事项</w:t>
            </w:r>
          </w:p>
        </w:tc>
      </w:tr>
      <w:tr w:rsidR="008D76D6" w14:paraId="450D762B" w14:textId="77777777">
        <w:tc>
          <w:tcPr>
            <w:tcW w:w="719" w:type="dxa"/>
            <w:vAlign w:val="center"/>
          </w:tcPr>
          <w:p w14:paraId="62900A1F"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p>
        </w:tc>
        <w:tc>
          <w:tcPr>
            <w:tcW w:w="1594" w:type="dxa"/>
            <w:vAlign w:val="center"/>
          </w:tcPr>
          <w:p w14:paraId="4AE12C1D"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范庆伟</w:t>
            </w:r>
          </w:p>
        </w:tc>
        <w:tc>
          <w:tcPr>
            <w:tcW w:w="3252" w:type="dxa"/>
          </w:tcPr>
          <w:p w14:paraId="3B66411B" w14:textId="77777777" w:rsidR="008D76D6" w:rsidRDefault="008D76D6">
            <w:pPr>
              <w:spacing w:beforeLines="0" w:before="0" w:afterLines="0" w:after="0" w:line="240" w:lineRule="auto"/>
              <w:ind w:firstLineChars="0" w:firstLine="0"/>
              <w:rPr>
                <w:rFonts w:ascii="宋体" w:hAnsi="宋体" w:hint="eastAsia"/>
                <w:sz w:val="21"/>
                <w:szCs w:val="21"/>
              </w:rPr>
            </w:pPr>
            <w:r>
              <w:rPr>
                <w:rFonts w:ascii="宋体" w:hAnsi="宋体" w:hint="eastAsia"/>
                <w:sz w:val="21"/>
                <w:szCs w:val="21"/>
              </w:rPr>
              <w:t>本人范庆伟，系范庆丰之胞兄，本人同意借款给范庆丰并通过本人范庆伟银行账户向莱州伟隆支付相关款项，以赔偿范庆丰私用莱州伟隆公章进行对外担保及借款给伟隆股份、莱州伟隆造成的一切损失。</w:t>
            </w:r>
          </w:p>
        </w:tc>
        <w:tc>
          <w:tcPr>
            <w:tcW w:w="1890" w:type="dxa"/>
            <w:vAlign w:val="center"/>
          </w:tcPr>
          <w:p w14:paraId="5CDC8A37"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w:t>
            </w:r>
            <w:r>
              <w:rPr>
                <w:rFonts w:ascii="Times New Roman" w:hAnsi="Times New Roman" w:hint="eastAsia"/>
                <w:color w:val="000000"/>
                <w:sz w:val="21"/>
                <w:szCs w:val="21"/>
              </w:rPr>
              <w:t>年</w:t>
            </w:r>
            <w:r>
              <w:rPr>
                <w:rFonts w:ascii="Times New Roman" w:hAnsi="Times New Roman" w:hint="eastAsia"/>
                <w:color w:val="000000"/>
                <w:sz w:val="21"/>
                <w:szCs w:val="21"/>
              </w:rPr>
              <w:t>1</w:t>
            </w:r>
            <w:r>
              <w:rPr>
                <w:rFonts w:ascii="Times New Roman" w:hAnsi="Times New Roman" w:hint="eastAsia"/>
                <w:color w:val="000000"/>
                <w:sz w:val="21"/>
                <w:szCs w:val="21"/>
              </w:rPr>
              <w:t>月</w:t>
            </w:r>
            <w:r>
              <w:rPr>
                <w:rFonts w:ascii="Times New Roman" w:hAnsi="Times New Roman" w:hint="eastAsia"/>
                <w:color w:val="000000"/>
                <w:sz w:val="21"/>
                <w:szCs w:val="21"/>
              </w:rPr>
              <w:t>2</w:t>
            </w:r>
            <w:r>
              <w:rPr>
                <w:rFonts w:ascii="Times New Roman" w:hAnsi="Times New Roman"/>
                <w:color w:val="000000"/>
                <w:sz w:val="21"/>
                <w:szCs w:val="21"/>
              </w:rPr>
              <w:t>7</w:t>
            </w:r>
            <w:r>
              <w:rPr>
                <w:rFonts w:ascii="Times New Roman" w:hAnsi="Times New Roman" w:hint="eastAsia"/>
                <w:color w:val="000000"/>
                <w:sz w:val="21"/>
                <w:szCs w:val="21"/>
              </w:rPr>
              <w:t>日</w:t>
            </w:r>
          </w:p>
        </w:tc>
        <w:tc>
          <w:tcPr>
            <w:tcW w:w="1787" w:type="dxa"/>
            <w:vAlign w:val="center"/>
          </w:tcPr>
          <w:p w14:paraId="13AF3EEB" w14:textId="77777777" w:rsidR="008D76D6" w:rsidRDefault="008D76D6">
            <w:pPr>
              <w:widowControl/>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范庆伟已履行承诺事项</w:t>
            </w:r>
          </w:p>
        </w:tc>
      </w:tr>
    </w:tbl>
    <w:p w14:paraId="307B1D53" w14:textId="77777777" w:rsidR="008D76D6" w:rsidRDefault="008D76D6">
      <w:pPr>
        <w:widowControl/>
        <w:autoSpaceDE w:val="0"/>
        <w:autoSpaceDN w:val="0"/>
        <w:adjustRightInd w:val="0"/>
        <w:spacing w:before="120" w:afterLines="0" w:after="120"/>
        <w:ind w:firstLineChars="0" w:firstLine="480"/>
        <w:rPr>
          <w:rFonts w:ascii="Times New Roman" w:hAnsi="Times New Roman" w:hint="eastAsia"/>
          <w:color w:val="000000"/>
          <w:szCs w:val="32"/>
        </w:rPr>
      </w:pPr>
      <w:r>
        <w:rPr>
          <w:rFonts w:ascii="Times New Roman" w:hAnsi="Times New Roman" w:hint="eastAsia"/>
          <w:color w:val="000000"/>
          <w:szCs w:val="32"/>
        </w:rPr>
        <w:t>综上所述，本所律师认为，</w:t>
      </w:r>
      <w:r>
        <w:rPr>
          <w:rFonts w:ascii="Times New Roman" w:hAnsi="Times New Roman"/>
          <w:color w:val="000000"/>
          <w:szCs w:val="32"/>
        </w:rPr>
        <w:t>发行人已就范庆伟关于莱州伟隆的承诺履行信息披露义务，承诺内容符合可行性、明确性要求，</w:t>
      </w:r>
      <w:r>
        <w:rPr>
          <w:rFonts w:ascii="Times New Roman" w:hAnsi="Times New Roman" w:hint="eastAsia"/>
          <w:color w:val="000000"/>
          <w:szCs w:val="32"/>
        </w:rPr>
        <w:t>范庆伟已切实履行相关承诺事项。</w:t>
      </w:r>
    </w:p>
    <w:p w14:paraId="7E20BA7D" w14:textId="77777777" w:rsidR="008D76D6" w:rsidRPr="00B434D2" w:rsidRDefault="00291796" w:rsidP="00B434D2">
      <w:pPr>
        <w:pStyle w:val="004"/>
        <w:spacing w:before="120" w:after="120"/>
        <w:ind w:firstLine="482"/>
      </w:pPr>
      <w:r w:rsidRPr="00B434D2">
        <w:rPr>
          <w:rFonts w:hint="eastAsia"/>
        </w:rPr>
        <w:t>（二）</w:t>
      </w:r>
      <w:r w:rsidR="008D76D6" w:rsidRPr="00B434D2">
        <w:t>莱州伟隆垫付资金及范庆伟收回款项的时间间隔，在间隔期是否构成资金占用等情形，是否存在违反承诺的情况</w:t>
      </w:r>
      <w:r w:rsidR="008D76D6" w:rsidRPr="00B434D2">
        <w:rPr>
          <w:rFonts w:hint="eastAsia"/>
        </w:rPr>
        <w:t>。</w:t>
      </w:r>
    </w:p>
    <w:p w14:paraId="489F363C" w14:textId="77777777" w:rsidR="008D76D6" w:rsidRDefault="008D76D6">
      <w:pPr>
        <w:widowControl/>
        <w:autoSpaceDE w:val="0"/>
        <w:autoSpaceDN w:val="0"/>
        <w:adjustRightInd w:val="0"/>
        <w:spacing w:before="120" w:afterLines="0" w:after="120"/>
        <w:ind w:firstLineChars="0" w:firstLine="480"/>
        <w:rPr>
          <w:rFonts w:ascii="Times New Roman" w:hAnsi="Times New Roman"/>
          <w:color w:val="000000"/>
          <w:szCs w:val="32"/>
        </w:rPr>
      </w:pPr>
      <w:r>
        <w:rPr>
          <w:rFonts w:ascii="Times New Roman" w:hAnsi="Times New Roman" w:hint="eastAsia"/>
          <w:color w:val="000000"/>
          <w:szCs w:val="32"/>
        </w:rPr>
        <w:t>经核查，莱州伟隆支付相关债权人资金及范庆伟向莱州伟隆支付资金的具体情况如下：</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694"/>
        <w:gridCol w:w="695"/>
        <w:gridCol w:w="1175"/>
        <w:gridCol w:w="1319"/>
        <w:gridCol w:w="1211"/>
        <w:gridCol w:w="1175"/>
        <w:gridCol w:w="1161"/>
        <w:gridCol w:w="894"/>
      </w:tblGrid>
      <w:tr w:rsidR="008D76D6" w14:paraId="4BAD4D9A" w14:textId="77777777">
        <w:tc>
          <w:tcPr>
            <w:tcW w:w="389" w:type="pct"/>
            <w:shd w:val="clear" w:color="auto" w:fill="BFBFBF"/>
            <w:vAlign w:val="center"/>
          </w:tcPr>
          <w:p w14:paraId="1EF07A22"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序号</w:t>
            </w:r>
          </w:p>
        </w:tc>
        <w:tc>
          <w:tcPr>
            <w:tcW w:w="390" w:type="pct"/>
            <w:shd w:val="clear" w:color="auto" w:fill="BFBFBF"/>
            <w:vAlign w:val="center"/>
          </w:tcPr>
          <w:p w14:paraId="0A8A3821"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hint="eastAsia"/>
                <w:b/>
                <w:bCs/>
                <w:color w:val="000000"/>
                <w:sz w:val="21"/>
                <w:szCs w:val="21"/>
              </w:rPr>
              <w:t>责任</w:t>
            </w:r>
          </w:p>
          <w:p w14:paraId="7398124B"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类型</w:t>
            </w:r>
          </w:p>
        </w:tc>
        <w:tc>
          <w:tcPr>
            <w:tcW w:w="390" w:type="pct"/>
            <w:shd w:val="clear" w:color="auto" w:fill="BFBFBF"/>
            <w:vAlign w:val="center"/>
          </w:tcPr>
          <w:p w14:paraId="2C02ABF4"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对手方</w:t>
            </w:r>
          </w:p>
        </w:tc>
        <w:tc>
          <w:tcPr>
            <w:tcW w:w="656" w:type="pct"/>
            <w:shd w:val="clear" w:color="auto" w:fill="BFBFBF"/>
            <w:vAlign w:val="center"/>
          </w:tcPr>
          <w:p w14:paraId="7D8B67E9"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判决情况</w:t>
            </w:r>
          </w:p>
        </w:tc>
        <w:tc>
          <w:tcPr>
            <w:tcW w:w="714" w:type="pct"/>
            <w:shd w:val="clear" w:color="auto" w:fill="BFBFBF"/>
            <w:vAlign w:val="center"/>
          </w:tcPr>
          <w:p w14:paraId="681E3F4B"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hint="eastAsia"/>
                <w:b/>
                <w:bCs/>
                <w:color w:val="000000"/>
                <w:sz w:val="21"/>
                <w:szCs w:val="21"/>
              </w:rPr>
              <w:t>实际</w:t>
            </w:r>
          </w:p>
          <w:p w14:paraId="6B6EFE94"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承担金额</w:t>
            </w:r>
          </w:p>
        </w:tc>
        <w:tc>
          <w:tcPr>
            <w:tcW w:w="676" w:type="pct"/>
            <w:shd w:val="clear" w:color="auto" w:fill="BFBFBF"/>
          </w:tcPr>
          <w:p w14:paraId="1C2967E8"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hint="eastAsia"/>
                <w:b/>
                <w:bCs/>
                <w:color w:val="000000"/>
                <w:sz w:val="21"/>
                <w:szCs w:val="21"/>
              </w:rPr>
              <w:t>莱州伟隆</w:t>
            </w:r>
          </w:p>
          <w:p w14:paraId="7B83F7BC"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支付时间</w:t>
            </w:r>
          </w:p>
        </w:tc>
        <w:tc>
          <w:tcPr>
            <w:tcW w:w="656" w:type="pct"/>
            <w:shd w:val="clear" w:color="auto" w:fill="BFBFBF"/>
            <w:vAlign w:val="center"/>
          </w:tcPr>
          <w:p w14:paraId="10C3D9F1"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hint="eastAsia"/>
                <w:b/>
                <w:bCs/>
                <w:color w:val="000000"/>
                <w:sz w:val="21"/>
                <w:szCs w:val="21"/>
              </w:rPr>
              <w:t>追回</w:t>
            </w:r>
          </w:p>
          <w:p w14:paraId="448CA2BB"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金额</w:t>
            </w:r>
          </w:p>
        </w:tc>
        <w:tc>
          <w:tcPr>
            <w:tcW w:w="628" w:type="pct"/>
            <w:shd w:val="clear" w:color="auto" w:fill="BFBFBF"/>
            <w:vAlign w:val="center"/>
          </w:tcPr>
          <w:p w14:paraId="624BB1E7"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hint="eastAsia"/>
                <w:b/>
                <w:bCs/>
                <w:color w:val="000000"/>
                <w:sz w:val="21"/>
                <w:szCs w:val="21"/>
              </w:rPr>
              <w:t>范庆伟</w:t>
            </w:r>
          </w:p>
          <w:p w14:paraId="0CF4E02F"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支付日期</w:t>
            </w:r>
          </w:p>
        </w:tc>
        <w:tc>
          <w:tcPr>
            <w:tcW w:w="500" w:type="pct"/>
            <w:shd w:val="clear" w:color="auto" w:fill="BFBFBF"/>
            <w:vAlign w:val="center"/>
          </w:tcPr>
          <w:p w14:paraId="294928D1"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b/>
                <w:bCs/>
                <w:color w:val="000000"/>
                <w:sz w:val="21"/>
                <w:szCs w:val="21"/>
              </w:rPr>
            </w:pPr>
            <w:r>
              <w:rPr>
                <w:rFonts w:ascii="Times New Roman" w:hAnsi="Times New Roman" w:hint="eastAsia"/>
                <w:b/>
                <w:bCs/>
                <w:color w:val="000000"/>
                <w:sz w:val="21"/>
                <w:szCs w:val="21"/>
              </w:rPr>
              <w:t>间隔</w:t>
            </w:r>
          </w:p>
          <w:p w14:paraId="76AFA72D"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
                <w:bCs/>
                <w:color w:val="000000"/>
                <w:sz w:val="21"/>
                <w:szCs w:val="21"/>
              </w:rPr>
            </w:pPr>
            <w:r>
              <w:rPr>
                <w:rFonts w:ascii="Times New Roman" w:hAnsi="Times New Roman" w:hint="eastAsia"/>
                <w:b/>
                <w:bCs/>
                <w:color w:val="000000"/>
                <w:sz w:val="21"/>
                <w:szCs w:val="21"/>
              </w:rPr>
              <w:t>时间</w:t>
            </w:r>
          </w:p>
        </w:tc>
      </w:tr>
      <w:tr w:rsidR="008D76D6" w14:paraId="22935655" w14:textId="77777777">
        <w:tc>
          <w:tcPr>
            <w:tcW w:w="389" w:type="pct"/>
            <w:vAlign w:val="center"/>
          </w:tcPr>
          <w:p w14:paraId="5286E848"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1</w:t>
            </w:r>
          </w:p>
        </w:tc>
        <w:tc>
          <w:tcPr>
            <w:tcW w:w="390" w:type="pct"/>
            <w:vAlign w:val="center"/>
          </w:tcPr>
          <w:p w14:paraId="1C89FC1B"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借款</w:t>
            </w:r>
          </w:p>
        </w:tc>
        <w:tc>
          <w:tcPr>
            <w:tcW w:w="390" w:type="pct"/>
            <w:vAlign w:val="center"/>
          </w:tcPr>
          <w:p w14:paraId="74996B80"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梁栋</w:t>
            </w:r>
          </w:p>
        </w:tc>
        <w:tc>
          <w:tcPr>
            <w:tcW w:w="656" w:type="pct"/>
          </w:tcPr>
          <w:p w14:paraId="3CBE0995" w14:textId="77777777" w:rsidR="008D76D6" w:rsidRDefault="008D76D6">
            <w:pPr>
              <w:pStyle w:val="aff0"/>
              <w:autoSpaceDE w:val="0"/>
              <w:autoSpaceDN w:val="0"/>
              <w:spacing w:before="120" w:after="120"/>
              <w:jc w:val="both"/>
              <w:rPr>
                <w:rFonts w:ascii="Times New Roman" w:hAnsi="Times New Roman"/>
                <w:bCs/>
                <w:sz w:val="21"/>
                <w:szCs w:val="21"/>
              </w:rPr>
            </w:pPr>
            <w:r>
              <w:rPr>
                <w:rFonts w:ascii="Times New Roman" w:hAnsi="Times New Roman"/>
                <w:bCs/>
                <w:sz w:val="21"/>
                <w:szCs w:val="21"/>
              </w:rPr>
              <w:t>范庆丰及莱州伟隆共同偿还梁栋借款</w:t>
            </w:r>
            <w:r>
              <w:rPr>
                <w:rFonts w:ascii="Times New Roman" w:hAnsi="Times New Roman"/>
                <w:bCs/>
                <w:sz w:val="21"/>
                <w:szCs w:val="21"/>
              </w:rPr>
              <w:t>23.5</w:t>
            </w:r>
            <w:r>
              <w:rPr>
                <w:rFonts w:ascii="Times New Roman" w:hAnsi="Times New Roman"/>
                <w:bCs/>
                <w:sz w:val="21"/>
                <w:szCs w:val="21"/>
              </w:rPr>
              <w:t>万元及利息。</w:t>
            </w:r>
          </w:p>
        </w:tc>
        <w:tc>
          <w:tcPr>
            <w:tcW w:w="714" w:type="pct"/>
            <w:vAlign w:val="center"/>
          </w:tcPr>
          <w:p w14:paraId="61826B2C"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42,415.87</w:t>
            </w:r>
            <w:r>
              <w:rPr>
                <w:rFonts w:ascii="Times New Roman" w:hAnsi="Times New Roman" w:hint="eastAsia"/>
                <w:color w:val="000000"/>
                <w:sz w:val="21"/>
                <w:szCs w:val="21"/>
              </w:rPr>
              <w:t>元</w:t>
            </w:r>
          </w:p>
        </w:tc>
        <w:tc>
          <w:tcPr>
            <w:tcW w:w="676" w:type="pct"/>
            <w:vAlign w:val="center"/>
          </w:tcPr>
          <w:p w14:paraId="63567337"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022.02.16</w:t>
            </w:r>
          </w:p>
        </w:tc>
        <w:tc>
          <w:tcPr>
            <w:tcW w:w="656" w:type="pct"/>
            <w:vAlign w:val="center"/>
          </w:tcPr>
          <w:p w14:paraId="068EE4F8"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42,415.87</w:t>
            </w:r>
            <w:r>
              <w:rPr>
                <w:rFonts w:ascii="Times New Roman" w:hAnsi="Times New Roman" w:hint="eastAsia"/>
                <w:color w:val="000000"/>
                <w:sz w:val="21"/>
                <w:szCs w:val="21"/>
              </w:rPr>
              <w:t>元</w:t>
            </w:r>
          </w:p>
        </w:tc>
        <w:tc>
          <w:tcPr>
            <w:tcW w:w="628" w:type="pct"/>
            <w:vAlign w:val="center"/>
          </w:tcPr>
          <w:p w14:paraId="32F2A55B"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022.03.25</w:t>
            </w:r>
          </w:p>
        </w:tc>
        <w:tc>
          <w:tcPr>
            <w:tcW w:w="500" w:type="pct"/>
            <w:vAlign w:val="center"/>
          </w:tcPr>
          <w:p w14:paraId="21BE74CB"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6</w:t>
            </w:r>
            <w:r>
              <w:rPr>
                <w:rFonts w:ascii="Times New Roman" w:hAnsi="Times New Roman" w:hint="eastAsia"/>
                <w:color w:val="000000"/>
                <w:sz w:val="21"/>
                <w:szCs w:val="21"/>
              </w:rPr>
              <w:t>天</w:t>
            </w:r>
          </w:p>
        </w:tc>
      </w:tr>
      <w:tr w:rsidR="008D76D6" w14:paraId="19A33236" w14:textId="77777777">
        <w:tc>
          <w:tcPr>
            <w:tcW w:w="389" w:type="pct"/>
            <w:vAlign w:val="center"/>
          </w:tcPr>
          <w:p w14:paraId="0963B268"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p>
        </w:tc>
        <w:tc>
          <w:tcPr>
            <w:tcW w:w="390" w:type="pct"/>
            <w:vAlign w:val="center"/>
          </w:tcPr>
          <w:p w14:paraId="50BFE3BF"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借款</w:t>
            </w:r>
          </w:p>
        </w:tc>
        <w:tc>
          <w:tcPr>
            <w:tcW w:w="390" w:type="pct"/>
            <w:vAlign w:val="center"/>
          </w:tcPr>
          <w:p w14:paraId="6C90F76B"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hint="eastAsia"/>
                <w:bCs/>
                <w:sz w:val="21"/>
                <w:szCs w:val="21"/>
              </w:rPr>
              <w:t>黎昌莉</w:t>
            </w:r>
          </w:p>
        </w:tc>
        <w:tc>
          <w:tcPr>
            <w:tcW w:w="656" w:type="pct"/>
          </w:tcPr>
          <w:p w14:paraId="1070A655" w14:textId="77777777" w:rsidR="008D76D6" w:rsidRDefault="008D76D6">
            <w:pPr>
              <w:autoSpaceDE w:val="0"/>
              <w:autoSpaceDN w:val="0"/>
              <w:adjustRightInd w:val="0"/>
              <w:spacing w:beforeLines="0" w:before="0" w:afterLines="0" w:after="0" w:line="240" w:lineRule="auto"/>
              <w:ind w:firstLineChars="0" w:firstLine="0"/>
              <w:rPr>
                <w:rFonts w:ascii="Times New Roman" w:hAnsi="Times New Roman"/>
                <w:bCs/>
                <w:sz w:val="21"/>
                <w:szCs w:val="21"/>
              </w:rPr>
            </w:pPr>
            <w:r>
              <w:rPr>
                <w:rFonts w:hint="eastAsia"/>
                <w:bCs/>
                <w:sz w:val="21"/>
                <w:szCs w:val="21"/>
              </w:rPr>
              <w:t>范庆丰及莱州伟隆共同偿还黎昌莉借款</w:t>
            </w:r>
            <w:r>
              <w:rPr>
                <w:rFonts w:ascii="Times New Roman" w:hAnsi="Times New Roman"/>
                <w:bCs/>
                <w:sz w:val="21"/>
                <w:szCs w:val="21"/>
              </w:rPr>
              <w:t>60</w:t>
            </w:r>
            <w:r>
              <w:rPr>
                <w:rFonts w:hint="eastAsia"/>
                <w:bCs/>
                <w:sz w:val="21"/>
                <w:szCs w:val="21"/>
              </w:rPr>
              <w:t>万元及利息。伟隆股份承担连带清偿责任。</w:t>
            </w:r>
          </w:p>
        </w:tc>
        <w:tc>
          <w:tcPr>
            <w:tcW w:w="714" w:type="pct"/>
            <w:vAlign w:val="center"/>
          </w:tcPr>
          <w:p w14:paraId="4CA9B211"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bCs/>
                <w:sz w:val="21"/>
                <w:szCs w:val="21"/>
              </w:rPr>
              <w:t>620,632.33</w:t>
            </w:r>
            <w:r>
              <w:rPr>
                <w:rFonts w:hint="eastAsia"/>
                <w:bCs/>
                <w:sz w:val="21"/>
                <w:szCs w:val="21"/>
              </w:rPr>
              <w:t>元</w:t>
            </w:r>
          </w:p>
        </w:tc>
        <w:tc>
          <w:tcPr>
            <w:tcW w:w="676" w:type="pct"/>
            <w:vAlign w:val="center"/>
          </w:tcPr>
          <w:p w14:paraId="25210FF1"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022.02.16</w:t>
            </w:r>
          </w:p>
        </w:tc>
        <w:tc>
          <w:tcPr>
            <w:tcW w:w="656" w:type="pct"/>
            <w:vAlign w:val="center"/>
          </w:tcPr>
          <w:p w14:paraId="006D5B42"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bCs/>
                <w:sz w:val="21"/>
                <w:szCs w:val="21"/>
              </w:rPr>
              <w:t>620,632.33</w:t>
            </w:r>
            <w:r>
              <w:rPr>
                <w:rFonts w:hint="eastAsia"/>
                <w:bCs/>
                <w:sz w:val="21"/>
                <w:szCs w:val="21"/>
              </w:rPr>
              <w:t>元</w:t>
            </w:r>
          </w:p>
        </w:tc>
        <w:tc>
          <w:tcPr>
            <w:tcW w:w="628" w:type="pct"/>
            <w:vAlign w:val="center"/>
          </w:tcPr>
          <w:p w14:paraId="7E52AA1F"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022.03.25</w:t>
            </w:r>
          </w:p>
        </w:tc>
        <w:tc>
          <w:tcPr>
            <w:tcW w:w="500" w:type="pct"/>
            <w:vAlign w:val="center"/>
          </w:tcPr>
          <w:p w14:paraId="44555B7A"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6</w:t>
            </w:r>
            <w:r>
              <w:rPr>
                <w:rFonts w:ascii="Times New Roman" w:hAnsi="Times New Roman" w:hint="eastAsia"/>
                <w:color w:val="000000"/>
                <w:sz w:val="21"/>
                <w:szCs w:val="21"/>
              </w:rPr>
              <w:t>天</w:t>
            </w:r>
          </w:p>
        </w:tc>
      </w:tr>
      <w:tr w:rsidR="008D76D6" w14:paraId="477875B8" w14:textId="77777777">
        <w:tc>
          <w:tcPr>
            <w:tcW w:w="389" w:type="pct"/>
            <w:vAlign w:val="center"/>
          </w:tcPr>
          <w:p w14:paraId="24CA01C2"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3</w:t>
            </w:r>
          </w:p>
        </w:tc>
        <w:tc>
          <w:tcPr>
            <w:tcW w:w="390" w:type="pct"/>
            <w:vAlign w:val="center"/>
          </w:tcPr>
          <w:p w14:paraId="74B23588"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借款</w:t>
            </w:r>
          </w:p>
        </w:tc>
        <w:tc>
          <w:tcPr>
            <w:tcW w:w="390" w:type="pct"/>
            <w:vAlign w:val="center"/>
          </w:tcPr>
          <w:p w14:paraId="73BC9C3D"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张伟</w:t>
            </w:r>
          </w:p>
        </w:tc>
        <w:tc>
          <w:tcPr>
            <w:tcW w:w="656" w:type="pct"/>
          </w:tcPr>
          <w:p w14:paraId="25C2B77D" w14:textId="77777777" w:rsidR="008D76D6" w:rsidRDefault="008D76D6">
            <w:pPr>
              <w:pStyle w:val="aff0"/>
              <w:autoSpaceDE w:val="0"/>
              <w:autoSpaceDN w:val="0"/>
              <w:spacing w:before="120" w:after="120"/>
              <w:jc w:val="both"/>
              <w:rPr>
                <w:bCs/>
                <w:sz w:val="21"/>
                <w:szCs w:val="21"/>
              </w:rPr>
            </w:pPr>
            <w:r>
              <w:rPr>
                <w:bCs/>
                <w:sz w:val="21"/>
                <w:szCs w:val="21"/>
              </w:rPr>
              <w:t>范庆丰、范威辰、莱州伟隆、莱州辰英特机械制造有限公司共同偿还张伟</w:t>
            </w:r>
            <w:r>
              <w:rPr>
                <w:rFonts w:ascii="Times New Roman" w:hAnsi="Times New Roman"/>
                <w:bCs/>
                <w:sz w:val="21"/>
                <w:szCs w:val="21"/>
              </w:rPr>
              <w:t>112</w:t>
            </w:r>
            <w:r>
              <w:rPr>
                <w:bCs/>
                <w:sz w:val="21"/>
                <w:szCs w:val="21"/>
              </w:rPr>
              <w:t>万元及利息。</w:t>
            </w:r>
          </w:p>
        </w:tc>
        <w:tc>
          <w:tcPr>
            <w:tcW w:w="714" w:type="pct"/>
            <w:vAlign w:val="center"/>
          </w:tcPr>
          <w:p w14:paraId="3A05FC78"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bCs/>
                <w:sz w:val="21"/>
                <w:szCs w:val="21"/>
              </w:rPr>
            </w:pPr>
            <w:r>
              <w:rPr>
                <w:rFonts w:ascii="Times New Roman" w:hAnsi="Times New Roman"/>
                <w:bCs/>
                <w:sz w:val="21"/>
                <w:szCs w:val="21"/>
              </w:rPr>
              <w:t>1,154,183.56</w:t>
            </w:r>
            <w:r>
              <w:rPr>
                <w:rFonts w:hint="eastAsia"/>
                <w:bCs/>
                <w:sz w:val="21"/>
                <w:szCs w:val="21"/>
              </w:rPr>
              <w:t>元</w:t>
            </w:r>
          </w:p>
        </w:tc>
        <w:tc>
          <w:tcPr>
            <w:tcW w:w="676" w:type="pct"/>
            <w:vAlign w:val="center"/>
          </w:tcPr>
          <w:p w14:paraId="12B35B11"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022.02.16</w:t>
            </w:r>
          </w:p>
        </w:tc>
        <w:tc>
          <w:tcPr>
            <w:tcW w:w="656" w:type="pct"/>
            <w:vAlign w:val="center"/>
          </w:tcPr>
          <w:p w14:paraId="05B95BFE"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bCs/>
                <w:sz w:val="21"/>
                <w:szCs w:val="21"/>
              </w:rPr>
            </w:pPr>
            <w:r>
              <w:rPr>
                <w:rFonts w:ascii="Times New Roman" w:hAnsi="Times New Roman"/>
                <w:bCs/>
                <w:sz w:val="21"/>
                <w:szCs w:val="21"/>
              </w:rPr>
              <w:t>1,154,</w:t>
            </w:r>
          </w:p>
          <w:p w14:paraId="330AD752"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bCs/>
                <w:sz w:val="21"/>
                <w:szCs w:val="21"/>
              </w:rPr>
              <w:t>183.56</w:t>
            </w:r>
            <w:r>
              <w:rPr>
                <w:rFonts w:hint="eastAsia"/>
                <w:bCs/>
                <w:sz w:val="21"/>
                <w:szCs w:val="21"/>
              </w:rPr>
              <w:t>元</w:t>
            </w:r>
          </w:p>
        </w:tc>
        <w:tc>
          <w:tcPr>
            <w:tcW w:w="628" w:type="pct"/>
            <w:vAlign w:val="center"/>
          </w:tcPr>
          <w:p w14:paraId="41F33988"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022.03.25</w:t>
            </w:r>
          </w:p>
        </w:tc>
        <w:tc>
          <w:tcPr>
            <w:tcW w:w="500" w:type="pct"/>
            <w:vAlign w:val="center"/>
          </w:tcPr>
          <w:p w14:paraId="2AF300F5"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6</w:t>
            </w:r>
            <w:r>
              <w:rPr>
                <w:rFonts w:ascii="Times New Roman" w:hAnsi="Times New Roman" w:hint="eastAsia"/>
                <w:color w:val="000000"/>
                <w:sz w:val="21"/>
                <w:szCs w:val="21"/>
              </w:rPr>
              <w:t>天</w:t>
            </w:r>
          </w:p>
        </w:tc>
      </w:tr>
      <w:tr w:rsidR="008D76D6" w14:paraId="518DF62B" w14:textId="77777777">
        <w:trPr>
          <w:trHeight w:val="1607"/>
        </w:trPr>
        <w:tc>
          <w:tcPr>
            <w:tcW w:w="389" w:type="pct"/>
            <w:vMerge w:val="restart"/>
            <w:vAlign w:val="center"/>
          </w:tcPr>
          <w:p w14:paraId="7348EEF4"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4</w:t>
            </w:r>
          </w:p>
        </w:tc>
        <w:tc>
          <w:tcPr>
            <w:tcW w:w="390" w:type="pct"/>
            <w:vMerge w:val="restart"/>
            <w:vAlign w:val="center"/>
          </w:tcPr>
          <w:p w14:paraId="5004020C"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担保</w:t>
            </w:r>
          </w:p>
        </w:tc>
        <w:tc>
          <w:tcPr>
            <w:tcW w:w="390" w:type="pct"/>
            <w:vMerge w:val="restart"/>
            <w:vAlign w:val="center"/>
          </w:tcPr>
          <w:p w14:paraId="44CF667E"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莱州辉瑞仓储有限公司</w:t>
            </w:r>
          </w:p>
        </w:tc>
        <w:tc>
          <w:tcPr>
            <w:tcW w:w="656" w:type="pct"/>
            <w:vMerge w:val="restart"/>
          </w:tcPr>
          <w:p w14:paraId="639BCB55" w14:textId="77777777" w:rsidR="008D76D6" w:rsidRDefault="008D76D6">
            <w:pPr>
              <w:pStyle w:val="aff0"/>
              <w:autoSpaceDE w:val="0"/>
              <w:autoSpaceDN w:val="0"/>
              <w:spacing w:before="120" w:after="120"/>
              <w:contextualSpacing/>
              <w:jc w:val="both"/>
              <w:rPr>
                <w:bCs/>
                <w:sz w:val="21"/>
                <w:szCs w:val="21"/>
              </w:rPr>
            </w:pPr>
            <w:r>
              <w:rPr>
                <w:bCs/>
                <w:sz w:val="21"/>
                <w:szCs w:val="21"/>
              </w:rPr>
              <w:t>伟隆阀门有限公司就莱州辰英特机械制造有限公司及范威辰无法清偿部分承担</w:t>
            </w:r>
            <w:r>
              <w:rPr>
                <w:rFonts w:ascii="Times New Roman" w:hAnsi="Times New Roman"/>
                <w:bCs/>
                <w:sz w:val="21"/>
                <w:szCs w:val="21"/>
              </w:rPr>
              <w:t>50%</w:t>
            </w:r>
            <w:r>
              <w:rPr>
                <w:bCs/>
                <w:sz w:val="21"/>
                <w:szCs w:val="21"/>
              </w:rPr>
              <w:t>的赔偿责任。</w:t>
            </w:r>
          </w:p>
        </w:tc>
        <w:tc>
          <w:tcPr>
            <w:tcW w:w="714" w:type="pct"/>
            <w:vAlign w:val="center"/>
          </w:tcPr>
          <w:p w14:paraId="6AD47ABB"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7</w:t>
            </w:r>
            <w:r>
              <w:rPr>
                <w:rFonts w:ascii="Times New Roman" w:hAnsi="Times New Roman"/>
                <w:color w:val="000000"/>
                <w:sz w:val="21"/>
                <w:szCs w:val="21"/>
              </w:rPr>
              <w:t>,707,000</w:t>
            </w:r>
            <w:r>
              <w:rPr>
                <w:rFonts w:ascii="Times New Roman" w:hAnsi="Times New Roman" w:hint="eastAsia"/>
                <w:color w:val="000000"/>
                <w:sz w:val="21"/>
                <w:szCs w:val="21"/>
              </w:rPr>
              <w:t>元</w:t>
            </w:r>
          </w:p>
        </w:tc>
        <w:tc>
          <w:tcPr>
            <w:tcW w:w="676" w:type="pct"/>
            <w:vAlign w:val="center"/>
          </w:tcPr>
          <w:p w14:paraId="747545A0"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022.01.12</w:t>
            </w:r>
          </w:p>
        </w:tc>
        <w:tc>
          <w:tcPr>
            <w:tcW w:w="656" w:type="pct"/>
            <w:vAlign w:val="center"/>
          </w:tcPr>
          <w:p w14:paraId="51FD0854"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7</w:t>
            </w:r>
            <w:r>
              <w:rPr>
                <w:rFonts w:ascii="Times New Roman" w:hAnsi="Times New Roman"/>
                <w:color w:val="000000"/>
                <w:sz w:val="21"/>
                <w:szCs w:val="21"/>
              </w:rPr>
              <w:t>,768,504</w:t>
            </w:r>
            <w:r>
              <w:rPr>
                <w:rFonts w:ascii="Times New Roman" w:hAnsi="Times New Roman" w:hint="eastAsia"/>
                <w:color w:val="000000"/>
                <w:sz w:val="21"/>
                <w:szCs w:val="21"/>
              </w:rPr>
              <w:t>元</w:t>
            </w:r>
          </w:p>
        </w:tc>
        <w:tc>
          <w:tcPr>
            <w:tcW w:w="628" w:type="pct"/>
            <w:vAlign w:val="center"/>
          </w:tcPr>
          <w:p w14:paraId="73356C6F"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022.01.27</w:t>
            </w:r>
          </w:p>
        </w:tc>
        <w:tc>
          <w:tcPr>
            <w:tcW w:w="500" w:type="pct"/>
            <w:vAlign w:val="center"/>
          </w:tcPr>
          <w:p w14:paraId="638DCA12"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5</w:t>
            </w:r>
            <w:r>
              <w:rPr>
                <w:rFonts w:ascii="Times New Roman" w:hAnsi="Times New Roman" w:hint="eastAsia"/>
                <w:color w:val="000000"/>
                <w:sz w:val="21"/>
                <w:szCs w:val="21"/>
              </w:rPr>
              <w:t>天</w:t>
            </w:r>
          </w:p>
        </w:tc>
      </w:tr>
      <w:tr w:rsidR="008D76D6" w14:paraId="56944C69" w14:textId="77777777">
        <w:trPr>
          <w:trHeight w:val="546"/>
        </w:trPr>
        <w:tc>
          <w:tcPr>
            <w:tcW w:w="389" w:type="pct"/>
            <w:vMerge/>
            <w:vAlign w:val="center"/>
          </w:tcPr>
          <w:p w14:paraId="4E29C376"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p>
        </w:tc>
        <w:tc>
          <w:tcPr>
            <w:tcW w:w="390" w:type="pct"/>
            <w:vMerge/>
            <w:vAlign w:val="center"/>
          </w:tcPr>
          <w:p w14:paraId="333C58AA"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p>
        </w:tc>
        <w:tc>
          <w:tcPr>
            <w:tcW w:w="390" w:type="pct"/>
            <w:vMerge/>
            <w:vAlign w:val="center"/>
          </w:tcPr>
          <w:p w14:paraId="2D224095"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p>
        </w:tc>
        <w:tc>
          <w:tcPr>
            <w:tcW w:w="656" w:type="pct"/>
            <w:vMerge/>
          </w:tcPr>
          <w:p w14:paraId="16147145"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p>
        </w:tc>
        <w:tc>
          <w:tcPr>
            <w:tcW w:w="714" w:type="pct"/>
            <w:vAlign w:val="center"/>
          </w:tcPr>
          <w:p w14:paraId="294A0F14"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46,790</w:t>
            </w:r>
            <w:r>
              <w:rPr>
                <w:rFonts w:ascii="Times New Roman" w:hAnsi="Times New Roman" w:hint="eastAsia"/>
                <w:color w:val="000000"/>
                <w:sz w:val="21"/>
                <w:szCs w:val="21"/>
              </w:rPr>
              <w:t>元</w:t>
            </w:r>
          </w:p>
        </w:tc>
        <w:tc>
          <w:tcPr>
            <w:tcW w:w="676" w:type="pct"/>
            <w:vAlign w:val="center"/>
          </w:tcPr>
          <w:p w14:paraId="19312FC9"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022.09.26</w:t>
            </w:r>
          </w:p>
        </w:tc>
        <w:tc>
          <w:tcPr>
            <w:tcW w:w="656" w:type="pct"/>
            <w:vAlign w:val="center"/>
          </w:tcPr>
          <w:p w14:paraId="0F02EA5E"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bCs/>
                <w:sz w:val="21"/>
                <w:szCs w:val="21"/>
              </w:rPr>
            </w:pPr>
            <w:r>
              <w:rPr>
                <w:rFonts w:ascii="Times New Roman" w:hAnsi="Times New Roman" w:hint="eastAsia"/>
                <w:bCs/>
                <w:sz w:val="21"/>
                <w:szCs w:val="21"/>
              </w:rPr>
              <w:t>8</w:t>
            </w:r>
            <w:r>
              <w:rPr>
                <w:rFonts w:ascii="Times New Roman" w:hAnsi="Times New Roman"/>
                <w:bCs/>
                <w:sz w:val="21"/>
                <w:szCs w:val="21"/>
              </w:rPr>
              <w:t>5,286</w:t>
            </w:r>
            <w:r>
              <w:rPr>
                <w:rFonts w:ascii="Times New Roman" w:hAnsi="Times New Roman" w:hint="eastAsia"/>
                <w:bCs/>
                <w:sz w:val="21"/>
                <w:szCs w:val="21"/>
              </w:rPr>
              <w:t>元</w:t>
            </w:r>
          </w:p>
        </w:tc>
        <w:tc>
          <w:tcPr>
            <w:tcW w:w="628" w:type="pct"/>
            <w:vAlign w:val="center"/>
          </w:tcPr>
          <w:p w14:paraId="7DE5E266"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022.12.30</w:t>
            </w:r>
          </w:p>
        </w:tc>
        <w:tc>
          <w:tcPr>
            <w:tcW w:w="500" w:type="pct"/>
            <w:vAlign w:val="center"/>
          </w:tcPr>
          <w:p w14:paraId="772B637B" w14:textId="77777777" w:rsidR="008D76D6" w:rsidRDefault="008D76D6">
            <w:pPr>
              <w:autoSpaceDE w:val="0"/>
              <w:autoSpaceDN w:val="0"/>
              <w:adjustRightInd w:val="0"/>
              <w:spacing w:beforeLines="0" w:before="0" w:afterLines="0" w:after="0" w:line="240" w:lineRule="auto"/>
              <w:ind w:firstLineChars="0" w:firstLine="0"/>
              <w:jc w:val="center"/>
              <w:rPr>
                <w:rFonts w:ascii="Times New Roman" w:hAnsi="Times New Roman" w:hint="eastAsia"/>
                <w:color w:val="000000"/>
                <w:sz w:val="21"/>
                <w:szCs w:val="21"/>
              </w:rPr>
            </w:pPr>
            <w:r>
              <w:rPr>
                <w:rFonts w:ascii="Times New Roman" w:hAnsi="Times New Roman" w:hint="eastAsia"/>
                <w:color w:val="000000"/>
                <w:sz w:val="21"/>
                <w:szCs w:val="21"/>
              </w:rPr>
              <w:t>9</w:t>
            </w:r>
            <w:r>
              <w:rPr>
                <w:rFonts w:ascii="Times New Roman" w:hAnsi="Times New Roman"/>
                <w:color w:val="000000"/>
                <w:sz w:val="21"/>
                <w:szCs w:val="21"/>
              </w:rPr>
              <w:t>5</w:t>
            </w:r>
            <w:r>
              <w:rPr>
                <w:rFonts w:ascii="Times New Roman" w:hAnsi="Times New Roman" w:hint="eastAsia"/>
                <w:color w:val="000000"/>
                <w:sz w:val="21"/>
                <w:szCs w:val="21"/>
              </w:rPr>
              <w:t>天</w:t>
            </w:r>
          </w:p>
        </w:tc>
      </w:tr>
    </w:tbl>
    <w:p w14:paraId="1244332F" w14:textId="77777777" w:rsidR="008D76D6" w:rsidRDefault="008D76D6">
      <w:pPr>
        <w:widowControl/>
        <w:autoSpaceDE w:val="0"/>
        <w:autoSpaceDN w:val="0"/>
        <w:adjustRightInd w:val="0"/>
        <w:spacing w:beforeLines="0" w:before="0" w:afterLines="0" w:after="0" w:line="240" w:lineRule="auto"/>
        <w:ind w:firstLineChars="0" w:firstLine="482"/>
        <w:rPr>
          <w:rFonts w:ascii="Times New Roman" w:hAnsi="Times New Roman"/>
          <w:bCs/>
          <w:sz w:val="21"/>
          <w:szCs w:val="21"/>
        </w:rPr>
      </w:pPr>
      <w:r>
        <w:rPr>
          <w:rFonts w:ascii="Times New Roman" w:hAnsi="Times New Roman"/>
          <w:color w:val="000000"/>
          <w:sz w:val="21"/>
          <w:szCs w:val="21"/>
        </w:rPr>
        <w:t>注：</w:t>
      </w:r>
      <w:r>
        <w:rPr>
          <w:rFonts w:ascii="Times New Roman" w:hAnsi="Times New Roman" w:hint="eastAsia"/>
          <w:color w:val="000000"/>
          <w:sz w:val="21"/>
          <w:szCs w:val="21"/>
        </w:rPr>
        <w:t>莱州辉瑞仓储有限公司担保案件中，莱州伟隆共计承担</w:t>
      </w:r>
      <w:r>
        <w:rPr>
          <w:rFonts w:ascii="Times New Roman" w:hAnsi="Times New Roman"/>
          <w:bCs/>
          <w:sz w:val="21"/>
          <w:szCs w:val="21"/>
        </w:rPr>
        <w:t>7</w:t>
      </w:r>
      <w:r>
        <w:rPr>
          <w:rFonts w:ascii="Times New Roman" w:hAnsi="Times New Roman" w:hint="eastAsia"/>
          <w:bCs/>
          <w:sz w:val="21"/>
          <w:szCs w:val="21"/>
        </w:rPr>
        <w:t>,</w:t>
      </w:r>
      <w:r>
        <w:rPr>
          <w:rFonts w:ascii="Times New Roman" w:hAnsi="Times New Roman"/>
          <w:bCs/>
          <w:sz w:val="21"/>
          <w:szCs w:val="21"/>
        </w:rPr>
        <w:t>853,790</w:t>
      </w:r>
      <w:r>
        <w:rPr>
          <w:rFonts w:ascii="Times New Roman" w:hAnsi="Times New Roman" w:hint="eastAsia"/>
          <w:bCs/>
          <w:sz w:val="21"/>
          <w:szCs w:val="21"/>
        </w:rPr>
        <w:t>元支付责任，范庆伟已向莱州伟隆支付完毕。</w:t>
      </w:r>
    </w:p>
    <w:p w14:paraId="5D6C6026" w14:textId="77777777" w:rsidR="008D76D6" w:rsidRDefault="008D76D6">
      <w:pPr>
        <w:widowControl/>
        <w:autoSpaceDE w:val="0"/>
        <w:autoSpaceDN w:val="0"/>
        <w:adjustRightInd w:val="0"/>
        <w:spacing w:before="120" w:after="120"/>
        <w:ind w:firstLine="480"/>
        <w:rPr>
          <w:rFonts w:ascii="Times New Roman" w:hAnsi="Times New Roman"/>
          <w:bCs/>
          <w:szCs w:val="24"/>
        </w:rPr>
      </w:pPr>
      <w:r>
        <w:rPr>
          <w:rFonts w:ascii="Times New Roman" w:hAnsi="Times New Roman" w:hint="eastAsia"/>
          <w:bCs/>
          <w:szCs w:val="24"/>
        </w:rPr>
        <w:t>根据上述相关案件的法院判决及范庆伟出具的承诺，莱州伟隆为相关法院生效判决确定的履行义务人，莱州伟隆支付相关款项系履行法院生效判决确定的履行义务，不存在莱州伟隆主动代范庆丰偿还相关债务的行为，不存在占用莱州伟隆资金的情形。同时，范庆伟承诺借款给范庆丰并通过范庆伟银行账户向莱州伟隆支付相关款项，以赔偿范庆丰私用莱州伟隆公章进行对外担保及借款给伟隆股份、莱州伟隆造成的一切损失系范庆伟为保护发行人及中小股东利益作出的承诺，不属于其本人的法定义务，其本人不存在占用莱州伟隆资金的情形。截至本补充法律意见书出具之日，范庆伟已切实履行相关承诺内容。</w:t>
      </w:r>
    </w:p>
    <w:p w14:paraId="21B175FC" w14:textId="77777777" w:rsidR="008D76D6" w:rsidRDefault="008D76D6">
      <w:pPr>
        <w:widowControl/>
        <w:autoSpaceDE w:val="0"/>
        <w:autoSpaceDN w:val="0"/>
        <w:adjustRightInd w:val="0"/>
        <w:spacing w:before="120" w:after="120"/>
        <w:ind w:firstLine="480"/>
        <w:rPr>
          <w:rFonts w:ascii="Times New Roman" w:hAnsi="Times New Roman" w:hint="eastAsia"/>
          <w:bCs/>
          <w:szCs w:val="24"/>
        </w:rPr>
      </w:pPr>
      <w:r>
        <w:rPr>
          <w:rFonts w:ascii="Times New Roman" w:hAnsi="Times New Roman" w:hint="eastAsia"/>
          <w:bCs/>
          <w:szCs w:val="24"/>
        </w:rPr>
        <w:t>综上所述，本所律师认为，范庆伟支付莱州伟隆款项的间隔期间内不构成对莱州伟隆的资金占用，在莱州伟隆承担法院生效判决确认的履行义务后，范庆伟已及时向莱州伟隆支付相应款项，不存在违反承诺的情况。</w:t>
      </w:r>
    </w:p>
    <w:p w14:paraId="300818C4" w14:textId="77777777" w:rsidR="008D76D6" w:rsidRPr="00B434D2" w:rsidRDefault="00291796" w:rsidP="00B434D2">
      <w:pPr>
        <w:pStyle w:val="003"/>
        <w:spacing w:before="120" w:after="120"/>
        <w:ind w:firstLine="482"/>
      </w:pPr>
      <w:r w:rsidRPr="00B434D2">
        <w:rPr>
          <w:rFonts w:hint="eastAsia"/>
        </w:rPr>
        <w:t>四、</w:t>
      </w:r>
      <w:r w:rsidR="008D76D6" w:rsidRPr="00B434D2">
        <w:t>结合前述情况，说明发行人及子公司内部控制是否健全及有效执行，相关内部控制缺陷（如有）的风险是否已充分披露。</w:t>
      </w:r>
    </w:p>
    <w:p w14:paraId="41AAF756" w14:textId="77777777" w:rsidR="008D76D6" w:rsidRPr="00B434D2" w:rsidRDefault="00291796" w:rsidP="00B434D2">
      <w:pPr>
        <w:pStyle w:val="004"/>
        <w:spacing w:before="120" w:after="120"/>
        <w:ind w:firstLine="482"/>
      </w:pPr>
      <w:r w:rsidRPr="00B434D2">
        <w:rPr>
          <w:rFonts w:hint="eastAsia"/>
        </w:rPr>
        <w:t>（一）</w:t>
      </w:r>
      <w:r w:rsidR="008D76D6" w:rsidRPr="00B434D2">
        <w:t>结合前述情况，说明发行人及子公司内部控制是否健全及有效执行</w:t>
      </w:r>
    </w:p>
    <w:p w14:paraId="56DF79CE" w14:textId="77777777" w:rsidR="008D76D6" w:rsidRDefault="008D76D6">
      <w:pPr>
        <w:widowControl/>
        <w:autoSpaceDE w:val="0"/>
        <w:autoSpaceDN w:val="0"/>
        <w:adjustRightInd w:val="0"/>
        <w:spacing w:before="120" w:afterLines="0" w:after="120"/>
        <w:ind w:firstLineChars="0" w:firstLine="480"/>
        <w:rPr>
          <w:rFonts w:ascii="Times New Roman" w:hAnsi="Times New Roman"/>
          <w:color w:val="000000"/>
          <w:szCs w:val="32"/>
        </w:rPr>
      </w:pPr>
      <w:r>
        <w:rPr>
          <w:rFonts w:ascii="Times New Roman" w:hAnsi="Times New Roman" w:hint="eastAsia"/>
          <w:color w:val="000000"/>
          <w:szCs w:val="32"/>
        </w:rPr>
        <w:t>经核查，针对莱州伟隆对外担保及借款事项，发行人已采取了如下整改措施：</w:t>
      </w:r>
    </w:p>
    <w:p w14:paraId="5650AC53" w14:textId="77777777" w:rsidR="008D76D6" w:rsidRDefault="00291796">
      <w:pPr>
        <w:pStyle w:val="aff0"/>
        <w:tabs>
          <w:tab w:val="left" w:pos="0"/>
        </w:tabs>
        <w:autoSpaceDE w:val="0"/>
        <w:autoSpaceDN w:val="0"/>
        <w:spacing w:beforeLines="50" w:before="120" w:afterLines="50" w:after="120" w:line="360" w:lineRule="auto"/>
        <w:ind w:firstLineChars="200" w:firstLine="480"/>
        <w:jc w:val="both"/>
        <w:rPr>
          <w:bCs/>
        </w:rPr>
      </w:pPr>
      <w:r>
        <w:rPr>
          <w:rFonts w:ascii="Times New Roman" w:hAnsi="Times New Roman"/>
          <w:bCs/>
        </w:rPr>
        <w:t>1</w:t>
      </w:r>
      <w:r>
        <w:rPr>
          <w:rFonts w:ascii="Times New Roman" w:hAnsi="Times New Roman"/>
          <w:bCs/>
        </w:rPr>
        <w:t>、</w:t>
      </w:r>
      <w:r w:rsidR="008D76D6">
        <w:rPr>
          <w:bCs/>
        </w:rPr>
        <w:t>强化公司董监高及相关人员合规意识</w:t>
      </w:r>
    </w:p>
    <w:p w14:paraId="6FEFD9D8" w14:textId="77777777" w:rsidR="008D76D6" w:rsidRDefault="008D76D6">
      <w:pPr>
        <w:pStyle w:val="aff0"/>
        <w:tabs>
          <w:tab w:val="left" w:pos="0"/>
        </w:tabs>
        <w:autoSpaceDE w:val="0"/>
        <w:autoSpaceDN w:val="0"/>
        <w:spacing w:beforeLines="50" w:before="120" w:afterLines="50" w:after="120" w:line="360" w:lineRule="auto"/>
        <w:ind w:firstLineChars="200" w:firstLine="480"/>
        <w:jc w:val="both"/>
        <w:rPr>
          <w:bCs/>
        </w:rPr>
      </w:pPr>
      <w:r>
        <w:rPr>
          <w:bCs/>
        </w:rPr>
        <w:t>公司组织董监高及相关人员进行上市公司治理相关法律法规及公司内部制度的培训，并要求董监高及相关人员对上市公司治理相关的法律法规及时进行自学。同时，公司亦不定期开展专题培训活动，进一步提高公司董事、监事、高级管理人员及相关人员对法规的理解，进一步强化公司董监高及相关人员的合规意识。</w:t>
      </w:r>
    </w:p>
    <w:p w14:paraId="5F8530AC" w14:textId="77777777" w:rsidR="008D76D6" w:rsidRDefault="00291796">
      <w:pPr>
        <w:pStyle w:val="aff0"/>
        <w:tabs>
          <w:tab w:val="left" w:pos="0"/>
          <w:tab w:val="left" w:pos="284"/>
        </w:tabs>
        <w:autoSpaceDE w:val="0"/>
        <w:autoSpaceDN w:val="0"/>
        <w:spacing w:beforeLines="50" w:before="120" w:afterLines="50" w:after="120" w:line="360" w:lineRule="auto"/>
        <w:ind w:firstLineChars="200" w:firstLine="480"/>
        <w:jc w:val="both"/>
        <w:rPr>
          <w:bCs/>
        </w:rPr>
      </w:pPr>
      <w:r>
        <w:rPr>
          <w:rFonts w:ascii="Times New Roman" w:hAnsi="Times New Roman"/>
          <w:bCs/>
        </w:rPr>
        <w:t>2</w:t>
      </w:r>
      <w:r>
        <w:rPr>
          <w:rFonts w:ascii="Times New Roman" w:hAnsi="Times New Roman"/>
          <w:bCs/>
        </w:rPr>
        <w:t>、</w:t>
      </w:r>
      <w:r w:rsidR="008D76D6">
        <w:rPr>
          <w:bCs/>
        </w:rPr>
        <w:t>修订相关制度，加强公司及子公司的规范化管理</w:t>
      </w:r>
    </w:p>
    <w:p w14:paraId="13A92468" w14:textId="77777777" w:rsidR="008D76D6" w:rsidRDefault="008D76D6">
      <w:pPr>
        <w:pStyle w:val="aff0"/>
        <w:tabs>
          <w:tab w:val="left" w:pos="0"/>
          <w:tab w:val="left" w:pos="284"/>
        </w:tabs>
        <w:autoSpaceDE w:val="0"/>
        <w:autoSpaceDN w:val="0"/>
        <w:spacing w:beforeLines="50" w:before="120" w:afterLines="50" w:after="120" w:line="360" w:lineRule="auto"/>
        <w:ind w:firstLineChars="200" w:firstLine="480"/>
        <w:jc w:val="both"/>
        <w:rPr>
          <w:rFonts w:hint="default"/>
          <w:bCs/>
        </w:rPr>
      </w:pPr>
      <w:r>
        <w:rPr>
          <w:bCs/>
        </w:rPr>
        <w:t>公司及时修订了《子公司管理制度》《印鉴管理制度》《内部控制管理制度》等内部管理制度，进一步明确公司及子公司各岗位人员职责。同时，莱州伟隆已于2020年7月辞退私用印章的责任人员，改进了莱州伟隆印章管理要求并落实责任人员。</w:t>
      </w:r>
    </w:p>
    <w:p w14:paraId="5AE66F2A" w14:textId="77777777" w:rsidR="008D76D6" w:rsidRDefault="00291796">
      <w:pPr>
        <w:pStyle w:val="aff0"/>
        <w:tabs>
          <w:tab w:val="left" w:pos="0"/>
          <w:tab w:val="left" w:pos="284"/>
        </w:tabs>
        <w:autoSpaceDE w:val="0"/>
        <w:autoSpaceDN w:val="0"/>
        <w:spacing w:beforeLines="50" w:before="120" w:afterLines="50" w:after="120" w:line="360" w:lineRule="auto"/>
        <w:ind w:firstLineChars="200" w:firstLine="480"/>
        <w:jc w:val="both"/>
        <w:rPr>
          <w:bCs/>
        </w:rPr>
      </w:pPr>
      <w:r>
        <w:rPr>
          <w:bCs/>
        </w:rPr>
        <w:t>3、</w:t>
      </w:r>
      <w:r w:rsidR="008D76D6">
        <w:rPr>
          <w:bCs/>
        </w:rPr>
        <w:t>发行人已建立完善的法人治理结构及内部控制管理机构</w:t>
      </w:r>
    </w:p>
    <w:p w14:paraId="55437FBD" w14:textId="77777777" w:rsidR="008D76D6" w:rsidRDefault="008D76D6">
      <w:pPr>
        <w:pStyle w:val="aff0"/>
        <w:widowControl w:val="0"/>
        <w:spacing w:beforeLines="50" w:before="120" w:afterLines="50" w:after="120" w:line="360" w:lineRule="auto"/>
        <w:ind w:firstLineChars="200" w:firstLine="480"/>
        <w:rPr>
          <w:rFonts w:ascii="Times New Roman" w:hAnsi="Times New Roman" w:hint="default"/>
          <w:szCs w:val="24"/>
        </w:rPr>
      </w:pPr>
      <w:r>
        <w:rPr>
          <w:rFonts w:ascii="Times New Roman" w:hAnsi="Times New Roman" w:hint="default"/>
          <w:bCs/>
        </w:rPr>
        <w:t>截至本补充法律意见书出具之日，</w:t>
      </w:r>
      <w:r>
        <w:rPr>
          <w:rFonts w:ascii="Times New Roman" w:hAnsi="Times New Roman"/>
          <w:szCs w:val="24"/>
        </w:rPr>
        <w:t>发行人</w:t>
      </w:r>
      <w:r>
        <w:rPr>
          <w:rFonts w:ascii="Times New Roman" w:hAnsi="Times New Roman" w:hint="default"/>
          <w:szCs w:val="24"/>
        </w:rPr>
        <w:t>已建立法人治理结构及内部控制管理机构，并制定有效管控模式保障内控有效执行</w:t>
      </w:r>
      <w:r>
        <w:rPr>
          <w:rFonts w:ascii="Times New Roman" w:hAnsi="Times New Roman"/>
          <w:szCs w:val="24"/>
        </w:rPr>
        <w:t>，</w:t>
      </w:r>
      <w:r>
        <w:rPr>
          <w:rFonts w:ascii="Times New Roman" w:hAnsi="Times New Roman" w:hint="default"/>
          <w:szCs w:val="24"/>
        </w:rPr>
        <w:t>公司按照《公司法》</w:t>
      </w:r>
      <w:r>
        <w:rPr>
          <w:rFonts w:ascii="Times New Roman" w:hAnsi="Times New Roman"/>
          <w:szCs w:val="24"/>
        </w:rPr>
        <w:t>《公司章程》</w:t>
      </w:r>
      <w:r>
        <w:rPr>
          <w:rFonts w:ascii="Times New Roman" w:hAnsi="Times New Roman" w:hint="default"/>
          <w:szCs w:val="24"/>
        </w:rPr>
        <w:t>的规定，设置股东大会、董事会、董事会下属专门委员会、监事会等法人治理机构，并成立</w:t>
      </w:r>
      <w:r>
        <w:rPr>
          <w:rFonts w:ascii="Times New Roman" w:hAnsi="Times New Roman"/>
          <w:szCs w:val="24"/>
        </w:rPr>
        <w:t>董事会办公室</w:t>
      </w:r>
      <w:r>
        <w:rPr>
          <w:rFonts w:ascii="Times New Roman" w:hAnsi="Times New Roman" w:hint="default"/>
          <w:szCs w:val="24"/>
        </w:rPr>
        <w:t>负责处理董事会日常事务。</w:t>
      </w:r>
    </w:p>
    <w:p w14:paraId="19885B91" w14:textId="77777777" w:rsidR="008D76D6" w:rsidRDefault="00291796">
      <w:pPr>
        <w:pStyle w:val="aff0"/>
        <w:widowControl w:val="0"/>
        <w:spacing w:beforeLines="50" w:before="120" w:afterLines="50" w:after="120" w:line="360" w:lineRule="auto"/>
        <w:ind w:firstLineChars="200" w:firstLine="480"/>
        <w:rPr>
          <w:rFonts w:ascii="Times New Roman" w:hAnsi="Times New Roman"/>
          <w:szCs w:val="24"/>
        </w:rPr>
      </w:pPr>
      <w:r>
        <w:rPr>
          <w:rFonts w:ascii="Times New Roman" w:hAnsi="Times New Roman"/>
          <w:szCs w:val="24"/>
        </w:rPr>
        <w:t>4</w:t>
      </w:r>
      <w:r>
        <w:rPr>
          <w:rFonts w:ascii="Times New Roman" w:hAnsi="Times New Roman"/>
          <w:szCs w:val="24"/>
        </w:rPr>
        <w:t>、</w:t>
      </w:r>
      <w:r w:rsidR="008D76D6">
        <w:rPr>
          <w:rFonts w:ascii="Times New Roman" w:hAnsi="Times New Roman"/>
          <w:szCs w:val="24"/>
        </w:rPr>
        <w:t>和</w:t>
      </w:r>
      <w:r w:rsidR="008D76D6">
        <w:rPr>
          <w:rFonts w:cs="宋体"/>
          <w:bCs/>
          <w:szCs w:val="24"/>
        </w:rPr>
        <w:t>信事务所已出具《内部控制审计报告》</w:t>
      </w:r>
    </w:p>
    <w:p w14:paraId="1F2D7E5A" w14:textId="77777777" w:rsidR="008D76D6" w:rsidRDefault="008D76D6">
      <w:pPr>
        <w:autoSpaceDE w:val="0"/>
        <w:autoSpaceDN w:val="0"/>
        <w:spacing w:before="120" w:after="120"/>
        <w:ind w:firstLine="480"/>
        <w:rPr>
          <w:rFonts w:ascii="宋体" w:hAnsi="宋体" w:cs="宋体"/>
          <w:bCs/>
          <w:kern w:val="0"/>
          <w:szCs w:val="24"/>
        </w:rPr>
      </w:pPr>
      <w:r>
        <w:rPr>
          <w:rFonts w:ascii="Times New Roman" w:hAnsi="Times New Roman"/>
          <w:bCs/>
          <w:kern w:val="0"/>
          <w:szCs w:val="24"/>
        </w:rPr>
        <w:t>2023</w:t>
      </w:r>
      <w:r>
        <w:rPr>
          <w:rFonts w:ascii="宋体" w:hAnsi="宋体" w:cs="宋体" w:hint="eastAsia"/>
          <w:bCs/>
          <w:kern w:val="0"/>
          <w:szCs w:val="24"/>
        </w:rPr>
        <w:t>年</w:t>
      </w:r>
      <w:r>
        <w:rPr>
          <w:rFonts w:ascii="Times New Roman" w:hAnsi="Times New Roman"/>
          <w:bCs/>
          <w:kern w:val="0"/>
          <w:szCs w:val="24"/>
        </w:rPr>
        <w:t>3</w:t>
      </w:r>
      <w:r>
        <w:rPr>
          <w:rFonts w:ascii="宋体" w:hAnsi="宋体" w:cs="宋体" w:hint="eastAsia"/>
          <w:bCs/>
          <w:kern w:val="0"/>
          <w:szCs w:val="24"/>
        </w:rPr>
        <w:t>月</w:t>
      </w:r>
      <w:r>
        <w:rPr>
          <w:rFonts w:ascii="Times New Roman" w:hAnsi="Times New Roman"/>
          <w:bCs/>
          <w:kern w:val="0"/>
          <w:szCs w:val="24"/>
        </w:rPr>
        <w:t>20</w:t>
      </w:r>
      <w:r>
        <w:rPr>
          <w:rFonts w:ascii="宋体" w:hAnsi="宋体" w:cs="宋体" w:hint="eastAsia"/>
          <w:bCs/>
          <w:kern w:val="0"/>
          <w:szCs w:val="24"/>
        </w:rPr>
        <w:t>日，和信事务所出具《内部控制审计报告》，确认发行人于</w:t>
      </w:r>
      <w:r>
        <w:rPr>
          <w:rFonts w:ascii="Times New Roman" w:hAnsi="Times New Roman"/>
          <w:bCs/>
          <w:kern w:val="0"/>
          <w:szCs w:val="24"/>
        </w:rPr>
        <w:t>2022</w:t>
      </w:r>
      <w:r>
        <w:rPr>
          <w:rFonts w:ascii="宋体" w:hAnsi="宋体" w:cs="宋体" w:hint="eastAsia"/>
          <w:bCs/>
          <w:kern w:val="0"/>
          <w:szCs w:val="24"/>
        </w:rPr>
        <w:t>年</w:t>
      </w:r>
      <w:r>
        <w:rPr>
          <w:rFonts w:ascii="Times New Roman" w:hAnsi="Times New Roman"/>
          <w:bCs/>
          <w:kern w:val="0"/>
          <w:szCs w:val="24"/>
        </w:rPr>
        <w:t>12</w:t>
      </w:r>
      <w:r>
        <w:rPr>
          <w:rFonts w:ascii="宋体" w:hAnsi="宋体" w:cs="宋体" w:hint="eastAsia"/>
          <w:bCs/>
          <w:kern w:val="0"/>
          <w:szCs w:val="24"/>
        </w:rPr>
        <w:t>月</w:t>
      </w:r>
      <w:r>
        <w:rPr>
          <w:rFonts w:ascii="Times New Roman" w:hAnsi="Times New Roman"/>
          <w:bCs/>
          <w:kern w:val="0"/>
          <w:szCs w:val="24"/>
        </w:rPr>
        <w:t>31</w:t>
      </w:r>
      <w:r>
        <w:rPr>
          <w:rFonts w:ascii="宋体" w:hAnsi="宋体" w:cs="宋体" w:hint="eastAsia"/>
          <w:bCs/>
          <w:kern w:val="0"/>
          <w:szCs w:val="24"/>
        </w:rPr>
        <w:t>日按照《企业内部控制基本规范》和相关规定在所有重大方面保持了有效的财务报告内部控制。</w:t>
      </w:r>
    </w:p>
    <w:p w14:paraId="2F5510C6" w14:textId="77777777" w:rsidR="008D76D6" w:rsidRPr="00B434D2" w:rsidRDefault="00291796" w:rsidP="00B434D2">
      <w:pPr>
        <w:pStyle w:val="004"/>
        <w:spacing w:before="120" w:after="120"/>
        <w:ind w:firstLine="482"/>
      </w:pPr>
      <w:r w:rsidRPr="00B434D2">
        <w:rPr>
          <w:rFonts w:hint="eastAsia"/>
        </w:rPr>
        <w:t>（二）</w:t>
      </w:r>
      <w:r w:rsidR="008D76D6" w:rsidRPr="00B434D2">
        <w:t>相关内部控制缺陷（如有）的风险是否已充分披露。</w:t>
      </w:r>
    </w:p>
    <w:p w14:paraId="6D7139BE" w14:textId="77777777" w:rsidR="008D76D6" w:rsidRDefault="008D76D6">
      <w:pPr>
        <w:autoSpaceDE w:val="0"/>
        <w:autoSpaceDN w:val="0"/>
        <w:spacing w:before="120" w:after="120"/>
        <w:ind w:firstLine="480"/>
        <w:rPr>
          <w:rFonts w:ascii="宋体" w:hAnsi="宋体" w:cs="宋体"/>
          <w:bCs/>
          <w:kern w:val="0"/>
          <w:szCs w:val="24"/>
        </w:rPr>
      </w:pPr>
      <w:r>
        <w:rPr>
          <w:rFonts w:ascii="宋体" w:hAnsi="宋体" w:cs="宋体" w:hint="eastAsia"/>
          <w:bCs/>
          <w:kern w:val="0"/>
          <w:szCs w:val="24"/>
        </w:rPr>
        <w:t>经核查，发行人已在本次发行的《募集说明书》“第三节 风险因素”之“三、其他风险”中披露风险如下：</w:t>
      </w:r>
    </w:p>
    <w:p w14:paraId="2BC1289C" w14:textId="77777777" w:rsidR="008D76D6" w:rsidRDefault="008D76D6">
      <w:pPr>
        <w:autoSpaceDE w:val="0"/>
        <w:autoSpaceDN w:val="0"/>
        <w:spacing w:before="120" w:after="120"/>
        <w:ind w:firstLine="480"/>
        <w:rPr>
          <w:rFonts w:ascii="宋体" w:hAnsi="宋体" w:cs="宋体" w:hint="eastAsia"/>
          <w:bCs/>
          <w:kern w:val="0"/>
          <w:szCs w:val="24"/>
        </w:rPr>
      </w:pPr>
      <w:r>
        <w:rPr>
          <w:rFonts w:ascii="宋体" w:hAnsi="宋体" w:cs="宋体" w:hint="eastAsia"/>
          <w:bCs/>
          <w:kern w:val="0"/>
          <w:szCs w:val="24"/>
        </w:rPr>
        <w:t>“（五）借款及担保事项风险 报告期内，公司子公司曾存在报告期前公章被违规使用导致公司被起诉承担还款责任的情形。考虑到此类事项一定程度上存在不确定性，未来阶段如相关借款无法顺利执行回款，则公司可能面临作为担保人承担连带责任或作为共同借款人承担还款责任的风险，相关资产可能面临被查封、冻结或被强制执行的风险。”</w:t>
      </w:r>
    </w:p>
    <w:p w14:paraId="2C3FA271" w14:textId="77777777" w:rsidR="008D76D6" w:rsidRDefault="008D76D6">
      <w:pPr>
        <w:widowControl/>
        <w:autoSpaceDE w:val="0"/>
        <w:autoSpaceDN w:val="0"/>
        <w:adjustRightInd w:val="0"/>
        <w:spacing w:before="120" w:afterLines="0" w:after="120"/>
        <w:ind w:firstLineChars="0" w:firstLine="480"/>
        <w:rPr>
          <w:rFonts w:ascii="Times New Roman" w:hAnsi="Times New Roman"/>
          <w:color w:val="000000"/>
          <w:szCs w:val="32"/>
        </w:rPr>
      </w:pPr>
      <w:r>
        <w:rPr>
          <w:rFonts w:ascii="Times New Roman" w:hAnsi="Times New Roman" w:hint="eastAsia"/>
          <w:color w:val="000000"/>
          <w:szCs w:val="32"/>
        </w:rPr>
        <w:t>综上所述，本所律师认为，截至本补充法律意见书出具之日，</w:t>
      </w:r>
      <w:r>
        <w:rPr>
          <w:rFonts w:ascii="Times New Roman" w:hAnsi="Times New Roman"/>
          <w:color w:val="000000"/>
          <w:szCs w:val="32"/>
        </w:rPr>
        <w:t>发行人及子公司内部控制健全</w:t>
      </w:r>
      <w:r>
        <w:rPr>
          <w:rFonts w:ascii="Times New Roman" w:hAnsi="Times New Roman" w:hint="eastAsia"/>
          <w:color w:val="000000"/>
          <w:szCs w:val="32"/>
        </w:rPr>
        <w:t>且已得到</w:t>
      </w:r>
      <w:r>
        <w:rPr>
          <w:rFonts w:ascii="Times New Roman" w:hAnsi="Times New Roman"/>
          <w:color w:val="000000"/>
          <w:szCs w:val="32"/>
        </w:rPr>
        <w:t>有效执行，相关内部控制缺陷（如有）的风险已充分披露。</w:t>
      </w:r>
    </w:p>
    <w:p w14:paraId="2047A49E" w14:textId="77777777" w:rsidR="008D76D6" w:rsidRPr="00B434D2" w:rsidRDefault="00291796" w:rsidP="00B434D2">
      <w:pPr>
        <w:pStyle w:val="003"/>
        <w:spacing w:before="120" w:after="120"/>
        <w:ind w:firstLine="482"/>
      </w:pPr>
      <w:r w:rsidRPr="00B434D2">
        <w:rPr>
          <w:rFonts w:hint="eastAsia"/>
        </w:rPr>
        <w:t>五</w:t>
      </w:r>
      <w:r w:rsidR="008D76D6" w:rsidRPr="00B434D2">
        <w:rPr>
          <w:rFonts w:hint="eastAsia"/>
        </w:rPr>
        <w:t>、核查程序及核查意见</w:t>
      </w:r>
    </w:p>
    <w:p w14:paraId="7782F386" w14:textId="77777777" w:rsidR="008D76D6" w:rsidRPr="00B434D2" w:rsidRDefault="008D76D6" w:rsidP="00B434D2">
      <w:pPr>
        <w:pStyle w:val="004"/>
        <w:spacing w:before="120" w:after="120"/>
        <w:ind w:firstLine="482"/>
      </w:pPr>
      <w:r w:rsidRPr="00B434D2">
        <w:rPr>
          <w:rFonts w:hint="eastAsia"/>
        </w:rPr>
        <w:t>（一）核查程序</w:t>
      </w:r>
    </w:p>
    <w:p w14:paraId="75C5495F" w14:textId="77777777" w:rsidR="008D76D6" w:rsidRDefault="008D76D6">
      <w:pPr>
        <w:spacing w:before="120" w:afterLines="0"/>
        <w:ind w:firstLine="480"/>
        <w:rPr>
          <w:rFonts w:ascii="宋体" w:hAnsi="宋体" w:cs="黑体"/>
          <w:bCs/>
        </w:rPr>
      </w:pPr>
      <w:r>
        <w:rPr>
          <w:rFonts w:ascii="宋体" w:hAnsi="宋体" w:cs="黑体" w:hint="eastAsia"/>
          <w:bCs/>
        </w:rPr>
        <w:t>针对上述问题，本所律师履行了以下核查程序：</w:t>
      </w:r>
    </w:p>
    <w:p w14:paraId="2C9CBEB8" w14:textId="77777777" w:rsidR="008D76D6" w:rsidRDefault="008D76D6">
      <w:pPr>
        <w:topLinePunct/>
        <w:spacing w:before="120" w:after="120"/>
        <w:ind w:firstLine="476"/>
        <w:rPr>
          <w:rFonts w:ascii="宋体" w:hAnsi="宋体"/>
          <w:spacing w:val="-1"/>
          <w:szCs w:val="24"/>
        </w:rPr>
      </w:pPr>
      <w:r>
        <w:rPr>
          <w:rFonts w:ascii="Times New Roman" w:hAnsi="Times New Roman"/>
          <w:spacing w:val="-1"/>
          <w:szCs w:val="24"/>
        </w:rPr>
        <w:t>1</w:t>
      </w:r>
      <w:r>
        <w:rPr>
          <w:rFonts w:ascii="Times New Roman" w:hAnsi="Times New Roman"/>
          <w:spacing w:val="-1"/>
          <w:szCs w:val="24"/>
        </w:rPr>
        <w:t>、</w:t>
      </w:r>
      <w:r>
        <w:rPr>
          <w:rFonts w:ascii="宋体" w:hAnsi="宋体" w:hint="eastAsia"/>
          <w:spacing w:val="-1"/>
          <w:szCs w:val="24"/>
        </w:rPr>
        <w:t xml:space="preserve"> 取得并审阅莱州伟隆对外担保及借款案件相关的诉讼文件并访谈承办人员，了解相关诉讼案件进展情况；</w:t>
      </w:r>
    </w:p>
    <w:p w14:paraId="144D6067" w14:textId="77777777" w:rsidR="008D76D6" w:rsidRDefault="008D76D6">
      <w:pPr>
        <w:topLinePunct/>
        <w:spacing w:before="120" w:after="120"/>
        <w:ind w:firstLine="476"/>
        <w:rPr>
          <w:rFonts w:ascii="Times New Roman" w:hAnsi="Times New Roman"/>
          <w:color w:val="000000"/>
          <w:szCs w:val="32"/>
        </w:rPr>
      </w:pPr>
      <w:r>
        <w:rPr>
          <w:rFonts w:ascii="Times New Roman" w:hAnsi="Times New Roman"/>
          <w:spacing w:val="-1"/>
          <w:szCs w:val="24"/>
        </w:rPr>
        <w:t>2</w:t>
      </w:r>
      <w:r>
        <w:rPr>
          <w:rFonts w:ascii="Times New Roman" w:hAnsi="Times New Roman"/>
          <w:spacing w:val="-1"/>
          <w:szCs w:val="24"/>
        </w:rPr>
        <w:t>、</w:t>
      </w:r>
      <w:r>
        <w:rPr>
          <w:rFonts w:ascii="Times New Roman" w:hAnsi="Times New Roman" w:hint="eastAsia"/>
          <w:spacing w:val="-1"/>
          <w:szCs w:val="24"/>
        </w:rPr>
        <w:t>取得并审阅莱州伟隆对外担保及借款案件相关的支付凭证并访谈范庆丰，了解</w:t>
      </w:r>
      <w:r>
        <w:rPr>
          <w:rFonts w:ascii="Times New Roman" w:hAnsi="Times New Roman" w:hint="eastAsia"/>
          <w:color w:val="000000"/>
          <w:szCs w:val="32"/>
        </w:rPr>
        <w:t>莱州伟隆就相关借款、担保履行相应责任的具体情况；</w:t>
      </w:r>
    </w:p>
    <w:p w14:paraId="777814CC" w14:textId="77777777" w:rsidR="008D76D6" w:rsidRDefault="008D76D6">
      <w:pPr>
        <w:topLinePunct/>
        <w:spacing w:before="120" w:after="120"/>
        <w:ind w:firstLine="480"/>
        <w:rPr>
          <w:rFonts w:ascii="Times New Roman" w:hAnsi="Times New Roman"/>
          <w:color w:val="000000"/>
          <w:szCs w:val="32"/>
        </w:rPr>
      </w:pPr>
      <w:r>
        <w:rPr>
          <w:rFonts w:ascii="Times New Roman" w:hAnsi="Times New Roman" w:hint="eastAsia"/>
          <w:color w:val="000000"/>
          <w:szCs w:val="32"/>
        </w:rPr>
        <w:t>3</w:t>
      </w:r>
      <w:r>
        <w:rPr>
          <w:rFonts w:ascii="Times New Roman" w:hAnsi="Times New Roman" w:hint="eastAsia"/>
          <w:color w:val="000000"/>
          <w:szCs w:val="32"/>
        </w:rPr>
        <w:t>、取得并审阅了《募集说明书》及范庆伟出具的承诺函，了解发行人信息披露情况；</w:t>
      </w:r>
    </w:p>
    <w:p w14:paraId="54C2DDF4" w14:textId="77777777" w:rsidR="008D76D6" w:rsidRDefault="008D76D6">
      <w:pPr>
        <w:topLinePunct/>
        <w:spacing w:before="120" w:after="120"/>
        <w:ind w:firstLine="480"/>
        <w:rPr>
          <w:rFonts w:ascii="Times New Roman" w:hAnsi="Times New Roman"/>
          <w:color w:val="000000"/>
          <w:szCs w:val="32"/>
        </w:rPr>
      </w:pPr>
      <w:r>
        <w:rPr>
          <w:rFonts w:ascii="Times New Roman" w:hAnsi="Times New Roman" w:hint="eastAsia"/>
          <w:color w:val="000000"/>
          <w:szCs w:val="32"/>
        </w:rPr>
        <w:t>4</w:t>
      </w:r>
      <w:r>
        <w:rPr>
          <w:rFonts w:ascii="Times New Roman" w:hAnsi="Times New Roman" w:hint="eastAsia"/>
          <w:color w:val="000000"/>
          <w:szCs w:val="32"/>
        </w:rPr>
        <w:t>、取得并审阅了发行人就莱州伟隆对外借款及担保事项的整改报告，了解发行人的整改情况；</w:t>
      </w:r>
    </w:p>
    <w:p w14:paraId="52C9BF9E" w14:textId="77777777" w:rsidR="008D76D6" w:rsidRDefault="008D76D6">
      <w:pPr>
        <w:topLinePunct/>
        <w:spacing w:before="120" w:after="120"/>
        <w:ind w:firstLine="480"/>
        <w:rPr>
          <w:rFonts w:ascii="Times New Roman" w:hAnsi="Times New Roman" w:hint="eastAsia"/>
          <w:color w:val="000000"/>
          <w:szCs w:val="32"/>
        </w:rPr>
      </w:pPr>
      <w:r>
        <w:rPr>
          <w:rFonts w:ascii="Times New Roman" w:hAnsi="Times New Roman" w:hint="eastAsia"/>
          <w:color w:val="000000"/>
          <w:szCs w:val="32"/>
        </w:rPr>
        <w:t>5</w:t>
      </w:r>
      <w:r>
        <w:rPr>
          <w:rFonts w:ascii="Times New Roman" w:hAnsi="Times New Roman" w:hint="eastAsia"/>
          <w:color w:val="000000"/>
          <w:szCs w:val="32"/>
        </w:rPr>
        <w:t>、取得并审阅和信事务所出具的</w:t>
      </w:r>
      <w:r>
        <w:rPr>
          <w:rFonts w:ascii="宋体" w:hAnsi="宋体" w:cs="宋体" w:hint="eastAsia"/>
          <w:bCs/>
          <w:kern w:val="0"/>
          <w:szCs w:val="24"/>
        </w:rPr>
        <w:t>《内部控制审计报告》，了解发行人的内部控制的执行情况；</w:t>
      </w:r>
    </w:p>
    <w:p w14:paraId="20C8F268" w14:textId="77777777" w:rsidR="008D76D6" w:rsidRDefault="008D76D6">
      <w:pPr>
        <w:topLinePunct/>
        <w:spacing w:before="120" w:after="120"/>
        <w:ind w:firstLine="480"/>
        <w:rPr>
          <w:rFonts w:ascii="Times New Roman" w:hAnsi="Times New Roman"/>
          <w:color w:val="000000"/>
          <w:szCs w:val="32"/>
        </w:rPr>
      </w:pPr>
      <w:r>
        <w:rPr>
          <w:rFonts w:ascii="Times New Roman" w:hAnsi="Times New Roman"/>
          <w:color w:val="000000"/>
          <w:szCs w:val="32"/>
        </w:rPr>
        <w:t>6</w:t>
      </w:r>
      <w:r>
        <w:rPr>
          <w:rFonts w:ascii="Times New Roman" w:hAnsi="Times New Roman" w:hint="eastAsia"/>
          <w:color w:val="000000"/>
          <w:szCs w:val="32"/>
        </w:rPr>
        <w:t>、访谈公司相关负责人员，了解公司整改情况及是否存在其他违规担保及借款事项。</w:t>
      </w:r>
    </w:p>
    <w:p w14:paraId="580849BC" w14:textId="77777777" w:rsidR="008D76D6" w:rsidRPr="00B434D2" w:rsidRDefault="008D76D6" w:rsidP="00B434D2">
      <w:pPr>
        <w:pStyle w:val="004"/>
        <w:spacing w:before="120" w:after="120"/>
        <w:ind w:firstLine="482"/>
      </w:pPr>
      <w:r w:rsidRPr="00B434D2">
        <w:rPr>
          <w:rFonts w:hint="eastAsia"/>
        </w:rPr>
        <w:t>（二）核查意见</w:t>
      </w:r>
    </w:p>
    <w:p w14:paraId="510195DA" w14:textId="77777777" w:rsidR="008D76D6" w:rsidRDefault="008D76D6">
      <w:pPr>
        <w:spacing w:before="120" w:afterLines="0"/>
        <w:ind w:firstLine="480"/>
        <w:rPr>
          <w:rFonts w:ascii="宋体" w:hAnsi="宋体" w:cs="黑体" w:hint="eastAsia"/>
          <w:bCs/>
        </w:rPr>
      </w:pPr>
      <w:r>
        <w:rPr>
          <w:rFonts w:ascii="宋体" w:hAnsi="宋体" w:cs="黑体" w:hint="eastAsia"/>
          <w:bCs/>
        </w:rPr>
        <w:t>经核查，本所律师认为：</w:t>
      </w:r>
    </w:p>
    <w:p w14:paraId="44DE9CE5" w14:textId="77777777" w:rsidR="008D76D6" w:rsidRDefault="008D76D6">
      <w:pPr>
        <w:widowControl/>
        <w:autoSpaceDE w:val="0"/>
        <w:autoSpaceDN w:val="0"/>
        <w:adjustRightInd w:val="0"/>
        <w:spacing w:before="120" w:afterLines="0" w:after="120"/>
        <w:ind w:firstLineChars="0" w:firstLine="480"/>
      </w:pPr>
      <w:r>
        <w:rPr>
          <w:rFonts w:ascii="Times New Roman" w:hAnsi="Times New Roman"/>
          <w:kern w:val="0"/>
          <w:szCs w:val="24"/>
          <w:lang w:bidi="en-US"/>
        </w:rPr>
        <w:t>1</w:t>
      </w:r>
      <w:r>
        <w:rPr>
          <w:rFonts w:ascii="Times New Roman" w:hAnsi="Times New Roman"/>
          <w:kern w:val="0"/>
          <w:szCs w:val="24"/>
          <w:lang w:bidi="en-US"/>
        </w:rPr>
        <w:t>、</w:t>
      </w:r>
      <w:r>
        <w:rPr>
          <w:rFonts w:hint="eastAsia"/>
        </w:rPr>
        <w:t>截至本补充法律意见书出具之日，相关在审案件尚在审理过程中，对发行人及子公司的影响较小；</w:t>
      </w:r>
    </w:p>
    <w:p w14:paraId="2B35C8B9" w14:textId="77777777" w:rsidR="008D76D6" w:rsidRDefault="008D76D6">
      <w:pPr>
        <w:widowControl/>
        <w:autoSpaceDE w:val="0"/>
        <w:autoSpaceDN w:val="0"/>
        <w:spacing w:before="120" w:after="120"/>
        <w:ind w:firstLine="480"/>
        <w:rPr>
          <w:rFonts w:ascii="宋体" w:hAnsi="宋体" w:cs="宋体"/>
          <w:kern w:val="0"/>
          <w:szCs w:val="24"/>
        </w:rPr>
      </w:pPr>
      <w:r>
        <w:rPr>
          <w:rFonts w:ascii="Times New Roman" w:hAnsi="Times New Roman"/>
        </w:rPr>
        <w:t>2</w:t>
      </w:r>
      <w:r>
        <w:rPr>
          <w:rFonts w:ascii="Times New Roman" w:hAnsi="Times New Roman"/>
        </w:rPr>
        <w:t>、</w:t>
      </w:r>
      <w:r>
        <w:rPr>
          <w:rFonts w:ascii="Times New Roman" w:hAnsi="Times New Roman" w:hint="eastAsia"/>
        </w:rPr>
        <w:t>截至本补充法律意见书出具之日，发行人及子公司不存在违规对外担保及借款情况，</w:t>
      </w:r>
      <w:r>
        <w:rPr>
          <w:rFonts w:ascii="宋体" w:hAnsi="宋体" w:hint="eastAsia"/>
          <w:szCs w:val="24"/>
        </w:rPr>
        <w:t>发行人及子公司因</w:t>
      </w:r>
      <w:r>
        <w:rPr>
          <w:rFonts w:ascii="Times New Roman" w:hAnsi="Times New Roman" w:hint="eastAsia"/>
          <w:kern w:val="0"/>
          <w:szCs w:val="24"/>
        </w:rPr>
        <w:t>范庆丰私用莱州伟隆公章相关事项</w:t>
      </w:r>
      <w:r>
        <w:rPr>
          <w:rFonts w:ascii="Times New Roman" w:hAnsi="Times New Roman" w:hint="eastAsia"/>
          <w:color w:val="000000"/>
          <w:szCs w:val="32"/>
        </w:rPr>
        <w:t>后续涉及违规处分或被采取相关措施的风险较小；</w:t>
      </w:r>
    </w:p>
    <w:p w14:paraId="49621847" w14:textId="77777777" w:rsidR="008D76D6" w:rsidRDefault="008D76D6">
      <w:pPr>
        <w:widowControl/>
        <w:autoSpaceDE w:val="0"/>
        <w:autoSpaceDN w:val="0"/>
        <w:adjustRightInd w:val="0"/>
        <w:spacing w:before="120" w:after="120"/>
        <w:ind w:firstLine="480"/>
        <w:rPr>
          <w:rFonts w:ascii="Times New Roman" w:hAnsi="Times New Roman" w:hint="eastAsia"/>
          <w:bCs/>
          <w:szCs w:val="24"/>
        </w:rPr>
      </w:pPr>
      <w:r>
        <w:rPr>
          <w:rFonts w:ascii="Times New Roman" w:hAnsi="Times New Roman" w:hint="eastAsia"/>
          <w:kern w:val="0"/>
          <w:szCs w:val="24"/>
          <w:lang w:bidi="en-US"/>
        </w:rPr>
        <w:t>3</w:t>
      </w:r>
      <w:r>
        <w:rPr>
          <w:rFonts w:ascii="Times New Roman" w:hAnsi="Times New Roman" w:hint="eastAsia"/>
          <w:kern w:val="0"/>
          <w:szCs w:val="24"/>
          <w:lang w:bidi="en-US"/>
        </w:rPr>
        <w:t>、</w:t>
      </w:r>
      <w:r>
        <w:rPr>
          <w:rFonts w:ascii="Times New Roman" w:hAnsi="Times New Roman"/>
          <w:color w:val="000000"/>
          <w:szCs w:val="32"/>
        </w:rPr>
        <w:t>发行人已就范庆伟关于莱州伟隆的承诺履行信息披露义务，承诺内容符合可行性、明确性要求，相关承诺</w:t>
      </w:r>
      <w:r>
        <w:rPr>
          <w:rFonts w:ascii="Times New Roman" w:hAnsi="Times New Roman" w:hint="eastAsia"/>
          <w:color w:val="000000"/>
          <w:szCs w:val="32"/>
        </w:rPr>
        <w:t>已得到切实履行</w:t>
      </w:r>
      <w:r>
        <w:rPr>
          <w:rFonts w:ascii="Times New Roman" w:hAnsi="Times New Roman"/>
          <w:color w:val="000000"/>
          <w:szCs w:val="32"/>
        </w:rPr>
        <w:t>，</w:t>
      </w:r>
      <w:r>
        <w:rPr>
          <w:rFonts w:ascii="Times New Roman" w:hAnsi="Times New Roman" w:hint="eastAsia"/>
          <w:bCs/>
          <w:szCs w:val="24"/>
        </w:rPr>
        <w:t>范庆伟及其关联方在莱州伟隆履行支付义务与范庆伟支付莱州伟隆款项的间隔期间内不构成对莱州伟隆的资金占用，在莱州伟隆承担法院生效判决确认的履行义务后，范庆伟已及时向莱州伟隆支付相应款项，不存在违反承诺的情况。</w:t>
      </w:r>
    </w:p>
    <w:p w14:paraId="534A490A" w14:textId="77777777" w:rsidR="008D76D6" w:rsidRDefault="008D76D6">
      <w:pPr>
        <w:autoSpaceDE w:val="0"/>
        <w:autoSpaceDN w:val="0"/>
        <w:adjustRightInd w:val="0"/>
        <w:spacing w:before="120" w:afterLines="0" w:after="120"/>
        <w:ind w:firstLineChars="0" w:firstLine="482"/>
        <w:rPr>
          <w:rFonts w:ascii="Times New Roman" w:hAnsi="Times New Roman"/>
          <w:color w:val="000000"/>
          <w:szCs w:val="32"/>
        </w:rPr>
      </w:pPr>
      <w:r>
        <w:rPr>
          <w:rFonts w:ascii="Times New Roman" w:hAnsi="Times New Roman" w:hint="eastAsia"/>
          <w:kern w:val="0"/>
          <w:szCs w:val="24"/>
          <w:lang w:bidi="en-US"/>
        </w:rPr>
        <w:t>4</w:t>
      </w:r>
      <w:r>
        <w:rPr>
          <w:rFonts w:ascii="Times New Roman" w:hAnsi="Times New Roman" w:hint="eastAsia"/>
          <w:kern w:val="0"/>
          <w:szCs w:val="24"/>
          <w:lang w:bidi="en-US"/>
        </w:rPr>
        <w:t>、</w:t>
      </w:r>
      <w:r>
        <w:rPr>
          <w:rFonts w:ascii="Times New Roman" w:hAnsi="Times New Roman" w:hint="eastAsia"/>
          <w:color w:val="000000"/>
          <w:szCs w:val="32"/>
        </w:rPr>
        <w:t>截至本补充法律意见书出具之日，</w:t>
      </w:r>
      <w:r>
        <w:rPr>
          <w:rFonts w:ascii="Times New Roman" w:hAnsi="Times New Roman"/>
          <w:color w:val="000000"/>
          <w:szCs w:val="32"/>
        </w:rPr>
        <w:t>发行人及子公司内部控制健全</w:t>
      </w:r>
      <w:r>
        <w:rPr>
          <w:rFonts w:ascii="Times New Roman" w:hAnsi="Times New Roman" w:hint="eastAsia"/>
          <w:color w:val="000000"/>
          <w:szCs w:val="32"/>
        </w:rPr>
        <w:t>且已得到</w:t>
      </w:r>
      <w:r>
        <w:rPr>
          <w:rFonts w:ascii="Times New Roman" w:hAnsi="Times New Roman"/>
          <w:color w:val="000000"/>
          <w:szCs w:val="32"/>
        </w:rPr>
        <w:t>有效执行，相关内部控制缺陷（如有）的风险已充分披露。</w:t>
      </w:r>
    </w:p>
    <w:p w14:paraId="63E0D807" w14:textId="77777777" w:rsidR="008D76D6" w:rsidRDefault="008D76D6">
      <w:pPr>
        <w:widowControl/>
        <w:autoSpaceDE w:val="0"/>
        <w:autoSpaceDN w:val="0"/>
        <w:adjustRightInd w:val="0"/>
        <w:spacing w:before="120" w:afterLines="0" w:after="120"/>
        <w:ind w:firstLineChars="0" w:firstLine="480"/>
        <w:rPr>
          <w:rFonts w:ascii="Times New Roman" w:hAnsi="Times New Roman" w:cs="楷体_GB2312" w:hint="eastAsia"/>
          <w:kern w:val="0"/>
          <w:szCs w:val="24"/>
          <w:lang w:bidi="en-US"/>
        </w:rPr>
      </w:pPr>
      <w:r>
        <w:rPr>
          <w:rFonts w:ascii="Times New Roman" w:hAnsi="Times New Roman" w:cs="楷体_GB2312" w:hint="eastAsia"/>
          <w:kern w:val="0"/>
          <w:szCs w:val="24"/>
          <w:lang w:bidi="en-US"/>
        </w:rPr>
        <w:t>本律师工作报告一式肆份，由本所经办律师签字并加盖本所公章后生效。</w:t>
      </w:r>
    </w:p>
    <w:p w14:paraId="43CC64C0" w14:textId="77777777" w:rsidR="008D76D6" w:rsidRDefault="008D76D6">
      <w:pPr>
        <w:autoSpaceDE w:val="0"/>
        <w:autoSpaceDN w:val="0"/>
        <w:spacing w:before="120" w:afterLines="0" w:after="0"/>
        <w:ind w:firstLine="480"/>
        <w:rPr>
          <w:rFonts w:ascii="Times New Roman" w:hAnsi="Times New Roman"/>
        </w:rPr>
      </w:pPr>
    </w:p>
    <w:p w14:paraId="1341FC49" w14:textId="77777777" w:rsidR="008D76D6" w:rsidRDefault="008D76D6">
      <w:pPr>
        <w:autoSpaceDE w:val="0"/>
        <w:autoSpaceDN w:val="0"/>
        <w:spacing w:before="120" w:afterLines="0" w:after="0"/>
        <w:ind w:firstLineChars="83" w:firstLine="199"/>
        <w:rPr>
          <w:rFonts w:ascii="Times New Roman" w:hAnsi="Times New Roman" w:hint="eastAsia"/>
        </w:rPr>
        <w:sectPr w:rsidR="008D76D6" w:rsidSect="00D170C8">
          <w:headerReference w:type="default" r:id="rId18"/>
          <w:pgSz w:w="11906" w:h="16838"/>
          <w:pgMar w:top="1797" w:right="1440" w:bottom="1797" w:left="1440" w:header="851" w:footer="567" w:gutter="0"/>
          <w:cols w:space="720"/>
          <w:docGrid w:linePitch="326"/>
        </w:sectPr>
      </w:pPr>
    </w:p>
    <w:p w14:paraId="65782A86" w14:textId="34DD51A0" w:rsidR="008D76D6" w:rsidRDefault="00B42FC7">
      <w:pPr>
        <w:spacing w:before="120" w:after="120"/>
        <w:ind w:rightChars="-19" w:right="-46" w:firstLineChars="0" w:firstLine="0"/>
        <w:rPr>
          <w:rFonts w:ascii="Times New Roman" w:hAnsi="Times New Roman"/>
        </w:rPr>
      </w:pPr>
      <w:r>
        <w:rPr>
          <w:noProof/>
        </w:rPr>
        <w:drawing>
          <wp:anchor distT="0" distB="0" distL="114300" distR="114300" simplePos="0" relativeHeight="251658240" behindDoc="0" locked="0" layoutInCell="0" allowOverlap="1" wp14:anchorId="34124F64" wp14:editId="37B4F9BB">
            <wp:simplePos x="0" y="0"/>
            <wp:positionH relativeFrom="page">
              <wp:posOffset>2540</wp:posOffset>
            </wp:positionH>
            <wp:positionV relativeFrom="page">
              <wp:posOffset>1174115</wp:posOffset>
            </wp:positionV>
            <wp:extent cx="7554595" cy="7465695"/>
            <wp:effectExtent l="0" t="0" r="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t="10719" b="19456"/>
                    <a:stretch>
                      <a:fillRect/>
                    </a:stretch>
                  </pic:blipFill>
                  <pic:spPr bwMode="auto">
                    <a:xfrm>
                      <a:off x="0" y="0"/>
                      <a:ext cx="7554595" cy="746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8D76D6">
        <w:rPr>
          <w:rFonts w:ascii="Times New Roman" w:hAnsi="Times New Roman" w:hint="eastAsia"/>
        </w:rPr>
        <w:t>（本页无正文，为《北京德和衡律师事务所关于青岛伟隆阀门股份有限公司向不特定对象发行可转换公司债券的补充法律意见书（一）》之签署页）</w:t>
      </w:r>
    </w:p>
    <w:p w14:paraId="4E0444C0" w14:textId="77777777" w:rsidR="008D76D6" w:rsidRDefault="008D76D6">
      <w:pPr>
        <w:spacing w:before="120" w:after="120"/>
        <w:ind w:firstLineChars="0" w:firstLine="0"/>
        <w:rPr>
          <w:rFonts w:ascii="Times New Roman" w:hAnsi="Times New Roman" w:hint="eastAsia"/>
        </w:rPr>
      </w:pPr>
    </w:p>
    <w:p w14:paraId="14CE4D13" w14:textId="77777777" w:rsidR="008D76D6" w:rsidRDefault="008D76D6">
      <w:pPr>
        <w:spacing w:before="120" w:after="120"/>
        <w:ind w:firstLineChars="0" w:firstLine="0"/>
        <w:rPr>
          <w:rFonts w:ascii="Times New Roman" w:hAnsi="Times New Roman" w:hint="eastAsia"/>
        </w:rPr>
      </w:pPr>
    </w:p>
    <w:p w14:paraId="496F84C7" w14:textId="77777777" w:rsidR="008D76D6" w:rsidRDefault="008D76D6">
      <w:pPr>
        <w:spacing w:before="120" w:after="120"/>
        <w:ind w:firstLineChars="0" w:firstLine="0"/>
        <w:rPr>
          <w:rFonts w:ascii="Times New Roman" w:hAnsi="Times New Roman"/>
        </w:rPr>
      </w:pPr>
      <w:r>
        <w:rPr>
          <w:rFonts w:ascii="Times New Roman" w:hAnsi="Times New Roman" w:hint="eastAsia"/>
        </w:rPr>
        <w:t>北京德和衡律师事务所</w:t>
      </w:r>
    </w:p>
    <w:p w14:paraId="5645ACF2" w14:textId="77777777" w:rsidR="008D76D6" w:rsidRDefault="008D76D6">
      <w:pPr>
        <w:spacing w:before="120" w:after="120"/>
        <w:ind w:firstLine="480"/>
        <w:rPr>
          <w:rFonts w:ascii="Times New Roman" w:hAnsi="Times New Roman" w:hint="eastAsia"/>
        </w:rPr>
      </w:pPr>
    </w:p>
    <w:p w14:paraId="4A0893E9" w14:textId="77777777" w:rsidR="008D76D6" w:rsidRDefault="008D76D6">
      <w:pPr>
        <w:spacing w:before="120" w:after="120"/>
        <w:ind w:firstLine="480"/>
        <w:rPr>
          <w:rFonts w:ascii="Times New Roman" w:hAnsi="Times New Roman" w:hint="eastAsia"/>
        </w:rPr>
      </w:pPr>
    </w:p>
    <w:p w14:paraId="461F1CDF" w14:textId="77777777" w:rsidR="008D76D6" w:rsidRDefault="008D76D6">
      <w:pPr>
        <w:spacing w:before="120" w:after="120"/>
        <w:ind w:firstLine="480"/>
        <w:rPr>
          <w:rFonts w:ascii="Times New Roman" w:hAnsi="Times New Roman" w:cs="宋体" w:hint="eastAsia"/>
          <w:kern w:val="0"/>
          <w:szCs w:val="24"/>
        </w:rPr>
      </w:pPr>
    </w:p>
    <w:p w14:paraId="32A37EF0" w14:textId="77777777" w:rsidR="008D76D6" w:rsidRDefault="008D76D6">
      <w:pPr>
        <w:spacing w:before="120" w:after="120"/>
        <w:ind w:firstLineChars="0" w:firstLine="0"/>
        <w:rPr>
          <w:rFonts w:ascii="Times New Roman" w:hAnsi="Times New Roman" w:cs="宋体" w:hint="eastAsia"/>
          <w:kern w:val="0"/>
          <w:szCs w:val="24"/>
          <w:u w:val="single"/>
        </w:rPr>
      </w:pPr>
      <w:r>
        <w:rPr>
          <w:rFonts w:ascii="Times New Roman" w:hAnsi="Times New Roman" w:cs="宋体" w:hint="eastAsia"/>
          <w:kern w:val="0"/>
          <w:szCs w:val="24"/>
        </w:rPr>
        <w:t>负责人：刘克江</w:t>
      </w:r>
      <w:r>
        <w:rPr>
          <w:rFonts w:ascii="Times New Roman" w:hAnsi="Times New Roman" w:cs="宋体" w:hint="eastAsia"/>
          <w:kern w:val="0"/>
          <w:szCs w:val="24"/>
          <w:u w:val="single"/>
        </w:rPr>
        <w:t xml:space="preserve">              </w:t>
      </w:r>
      <w:r>
        <w:rPr>
          <w:rFonts w:ascii="Times New Roman" w:hAnsi="Times New Roman" w:cs="宋体" w:hint="eastAsia"/>
          <w:kern w:val="0"/>
          <w:szCs w:val="24"/>
        </w:rPr>
        <w:t xml:space="preserve">              </w:t>
      </w:r>
      <w:r>
        <w:rPr>
          <w:rFonts w:ascii="Times New Roman" w:hAnsi="Times New Roman" w:cs="宋体" w:hint="eastAsia"/>
          <w:kern w:val="0"/>
          <w:szCs w:val="24"/>
        </w:rPr>
        <w:t>经办律师：张明波</w:t>
      </w:r>
      <w:r>
        <w:rPr>
          <w:rFonts w:ascii="Times New Roman" w:hAnsi="Times New Roman" w:cs="宋体" w:hint="eastAsia"/>
          <w:kern w:val="0"/>
          <w:szCs w:val="24"/>
          <w:u w:val="single"/>
        </w:rPr>
        <w:t xml:space="preserve">                 </w:t>
      </w:r>
    </w:p>
    <w:p w14:paraId="4549948E" w14:textId="77777777" w:rsidR="008D76D6" w:rsidRDefault="008D76D6">
      <w:pPr>
        <w:spacing w:before="120" w:after="120"/>
        <w:ind w:firstLineChars="2250" w:firstLine="5400"/>
        <w:rPr>
          <w:rFonts w:ascii="Times New Roman" w:hAnsi="Times New Roman" w:cs="宋体"/>
          <w:kern w:val="0"/>
          <w:szCs w:val="24"/>
        </w:rPr>
      </w:pPr>
    </w:p>
    <w:p w14:paraId="32D4DD7C" w14:textId="77777777" w:rsidR="008D76D6" w:rsidRDefault="008D76D6">
      <w:pPr>
        <w:spacing w:before="120" w:after="120"/>
        <w:ind w:firstLineChars="2250" w:firstLine="5400"/>
        <w:rPr>
          <w:rFonts w:ascii="Times New Roman" w:hAnsi="Times New Roman"/>
        </w:rPr>
      </w:pPr>
      <w:r>
        <w:rPr>
          <w:rFonts w:ascii="Times New Roman" w:hAnsi="Times New Roman" w:cs="宋体" w:hint="eastAsia"/>
          <w:kern w:val="0"/>
          <w:szCs w:val="24"/>
        </w:rPr>
        <w:t xml:space="preserve">       </w:t>
      </w:r>
      <w:r>
        <w:rPr>
          <w:rFonts w:ascii="Times New Roman" w:hAnsi="Times New Roman" w:cs="宋体" w:hint="eastAsia"/>
          <w:kern w:val="0"/>
          <w:szCs w:val="24"/>
          <w:lang w:eastAsia="zh-Hans"/>
        </w:rPr>
        <w:t>马龙飞</w:t>
      </w:r>
      <w:r>
        <w:rPr>
          <w:rFonts w:ascii="Times New Roman" w:hAnsi="Times New Roman" w:cs="宋体" w:hint="eastAsia"/>
          <w:kern w:val="0"/>
          <w:szCs w:val="24"/>
          <w:u w:val="single"/>
        </w:rPr>
        <w:t xml:space="preserve">                   </w:t>
      </w:r>
    </w:p>
    <w:p w14:paraId="2B41A5FB" w14:textId="77777777" w:rsidR="008D76D6" w:rsidRDefault="008D76D6">
      <w:pPr>
        <w:spacing w:before="120" w:after="120"/>
        <w:ind w:firstLineChars="2450" w:firstLine="5880"/>
        <w:jc w:val="right"/>
        <w:rPr>
          <w:rFonts w:ascii="Times New Roman" w:hAnsi="Times New Roman" w:hint="eastAsia"/>
        </w:rPr>
      </w:pPr>
    </w:p>
    <w:p w14:paraId="1089500C" w14:textId="77777777" w:rsidR="008D76D6" w:rsidRDefault="008D76D6">
      <w:pPr>
        <w:spacing w:before="120" w:after="120"/>
        <w:ind w:firstLineChars="2450" w:firstLine="5880"/>
        <w:jc w:val="right"/>
        <w:rPr>
          <w:rFonts w:ascii="Times New Roman" w:hAnsi="Times New Roman"/>
        </w:rPr>
      </w:pPr>
      <w:r>
        <w:rPr>
          <w:rFonts w:ascii="Times New Roman" w:hAnsi="Times New Roman" w:hint="eastAsia"/>
        </w:rPr>
        <w:t xml:space="preserve"> </w:t>
      </w: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p>
    <w:p w14:paraId="7ED0A93B" w14:textId="77777777" w:rsidR="008D76D6" w:rsidRDefault="008D76D6">
      <w:pPr>
        <w:spacing w:before="120" w:after="120"/>
        <w:ind w:firstLine="480"/>
        <w:rPr>
          <w:rFonts w:ascii="Times New Roman" w:hAnsi="Times New Roman"/>
        </w:rPr>
      </w:pPr>
    </w:p>
    <w:p w14:paraId="25F94A93" w14:textId="77777777" w:rsidR="00D86A83" w:rsidRDefault="00D86A83">
      <w:pPr>
        <w:spacing w:before="120" w:after="120"/>
        <w:ind w:firstLineChars="0" w:firstLine="0"/>
        <w:rPr>
          <w:rFonts w:ascii="Times New Roman" w:hAnsi="Times New Roman"/>
        </w:rPr>
      </w:pPr>
    </w:p>
    <w:sectPr w:rsidR="00D86A83">
      <w:pgSz w:w="11906" w:h="16838"/>
      <w:pgMar w:top="1797" w:right="1440" w:bottom="1797" w:left="1440" w:header="851"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20EC" w14:textId="77777777" w:rsidR="00C72D14" w:rsidRDefault="00C72D14">
      <w:pPr>
        <w:spacing w:before="120" w:after="120" w:line="240" w:lineRule="auto"/>
        <w:ind w:firstLine="480"/>
      </w:pPr>
      <w:r>
        <w:separator/>
      </w:r>
    </w:p>
  </w:endnote>
  <w:endnote w:type="continuationSeparator" w:id="0">
    <w:p w14:paraId="0703C06C" w14:textId="77777777" w:rsidR="00C72D14" w:rsidRDefault="00C72D14">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A6A7" w14:textId="77777777" w:rsidR="008D76D6" w:rsidRDefault="008D76D6">
    <w:pPr>
      <w:pStyle w:val="af7"/>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C0A4" w14:textId="77777777" w:rsidR="008D76D6" w:rsidRDefault="008D76D6">
    <w:pPr>
      <w:pStyle w:val="af7"/>
      <w:spacing w:before="120" w:after="120"/>
      <w:ind w:firstLine="360"/>
      <w:jc w:val="center"/>
    </w:pPr>
    <w:r>
      <w:fldChar w:fldCharType="begin"/>
    </w:r>
    <w:r>
      <w:instrText>PAGE   \* MERGEFORMAT</w:instrText>
    </w:r>
    <w:r>
      <w:fldChar w:fldCharType="separate"/>
    </w:r>
    <w:r w:rsidR="008C1497" w:rsidRPr="008C1497">
      <w:rPr>
        <w:noProof/>
        <w:lang w:val="zh-CN" w:eastAsia="zh-CN"/>
      </w:rPr>
      <w:t>1</w:t>
    </w:r>
    <w:r>
      <w:fldChar w:fldCharType="end"/>
    </w:r>
  </w:p>
  <w:p w14:paraId="1932410D" w14:textId="77777777" w:rsidR="008D76D6" w:rsidRDefault="008D76D6">
    <w:pPr>
      <w:tabs>
        <w:tab w:val="right" w:pos="9026"/>
      </w:tabs>
      <w:snapToGrid w:val="0"/>
      <w:spacing w:beforeLines="0" w:before="120" w:afterLines="0" w:after="120" w:line="276" w:lineRule="auto"/>
      <w:ind w:right="-46" w:firstLineChars="0" w:firstLine="360"/>
      <w:jc w:val="right"/>
      <w:rPr>
        <w:rFonts w:ascii="Times New Roman" w:hAnsi="Times New Roman"/>
        <w:sz w:val="18"/>
        <w:szCs w:val="18"/>
      </w:rPr>
    </w:pPr>
    <w:bookmarkStart w:id="0" w:name="_Hlk130853969"/>
    <w:r>
      <w:rPr>
        <w:rFonts w:ascii="Times New Roman" w:hAnsi="Times New Roman" w:hint="eastAsia"/>
        <w:sz w:val="18"/>
        <w:szCs w:val="18"/>
      </w:rPr>
      <w:t>中国</w:t>
    </w:r>
    <w:r>
      <w:rPr>
        <w:rFonts w:ascii="Times New Roman" w:hAnsi="Times New Roman"/>
        <w:sz w:val="18"/>
        <w:szCs w:val="18"/>
      </w:rPr>
      <w:t xml:space="preserve"> </w:t>
    </w:r>
    <w:r>
      <w:rPr>
        <w:rFonts w:ascii="Times New Roman" w:hAnsi="Times New Roman" w:hint="eastAsia"/>
        <w:sz w:val="18"/>
        <w:szCs w:val="18"/>
      </w:rPr>
      <w:t>北京市朝阳区建国门外大街</w:t>
    </w:r>
    <w:r>
      <w:rPr>
        <w:rFonts w:ascii="Times New Roman" w:hAnsi="Times New Roman"/>
        <w:sz w:val="18"/>
        <w:szCs w:val="18"/>
      </w:rPr>
      <w:t xml:space="preserve"> 2 </w:t>
    </w:r>
    <w:r>
      <w:rPr>
        <w:rFonts w:ascii="Times New Roman" w:hAnsi="Times New Roman" w:hint="eastAsia"/>
        <w:sz w:val="18"/>
        <w:szCs w:val="18"/>
      </w:rPr>
      <w:t>号银泰中心</w:t>
    </w:r>
    <w:r>
      <w:rPr>
        <w:rFonts w:ascii="Times New Roman" w:hAnsi="Times New Roman"/>
        <w:sz w:val="18"/>
        <w:szCs w:val="18"/>
      </w:rPr>
      <w:t xml:space="preserve"> C </w:t>
    </w:r>
    <w:r>
      <w:rPr>
        <w:rFonts w:ascii="Times New Roman" w:hAnsi="Times New Roman" w:hint="eastAsia"/>
        <w:sz w:val="18"/>
        <w:szCs w:val="18"/>
      </w:rPr>
      <w:t>座</w:t>
    </w:r>
    <w:r>
      <w:rPr>
        <w:rFonts w:ascii="Times New Roman" w:hAnsi="Times New Roman"/>
        <w:sz w:val="18"/>
        <w:szCs w:val="18"/>
      </w:rPr>
      <w:t xml:space="preserve"> 11</w:t>
    </w:r>
    <w:r>
      <w:rPr>
        <w:rFonts w:ascii="Times New Roman" w:hAnsi="Times New Roman" w:hint="eastAsia"/>
        <w:sz w:val="18"/>
        <w:szCs w:val="18"/>
      </w:rPr>
      <w:t>、</w:t>
    </w:r>
    <w:r>
      <w:rPr>
        <w:rFonts w:ascii="Times New Roman" w:hAnsi="Times New Roman"/>
        <w:sz w:val="18"/>
        <w:szCs w:val="18"/>
      </w:rPr>
      <w:t xml:space="preserve">12 </w:t>
    </w:r>
    <w:r>
      <w:rPr>
        <w:rFonts w:ascii="Times New Roman" w:hAnsi="Times New Roman" w:hint="eastAsia"/>
        <w:sz w:val="18"/>
        <w:szCs w:val="18"/>
      </w:rPr>
      <w:t>层</w:t>
    </w:r>
    <w:r>
      <w:rPr>
        <w:rFonts w:ascii="Times New Roman" w:hAnsi="Times New Roman"/>
        <w:sz w:val="18"/>
        <w:szCs w:val="18"/>
      </w:rPr>
      <w:t xml:space="preserve"> </w:t>
    </w:r>
  </w:p>
  <w:p w14:paraId="37F651A9" w14:textId="77777777" w:rsidR="008D76D6" w:rsidRDefault="008D76D6">
    <w:pPr>
      <w:tabs>
        <w:tab w:val="center" w:pos="4513"/>
        <w:tab w:val="right" w:pos="9026"/>
      </w:tabs>
      <w:snapToGrid w:val="0"/>
      <w:spacing w:beforeLines="0" w:before="0" w:afterLines="0" w:after="0" w:line="276" w:lineRule="auto"/>
      <w:ind w:firstLine="360"/>
      <w:jc w:val="right"/>
      <w:rPr>
        <w:rFonts w:ascii="Times New Roman" w:hAnsi="Times New Roman"/>
        <w:sz w:val="18"/>
        <w:szCs w:val="18"/>
      </w:rPr>
    </w:pPr>
    <w:r>
      <w:rPr>
        <w:rFonts w:ascii="Times New Roman" w:hAnsi="Times New Roman"/>
        <w:sz w:val="18"/>
        <w:szCs w:val="18"/>
      </w:rPr>
      <w:t>Tel</w:t>
    </w:r>
    <w:r>
      <w:rPr>
        <w:rFonts w:ascii="Times New Roman" w:hAnsi="Times New Roman" w:hint="eastAsia"/>
        <w:sz w:val="18"/>
        <w:szCs w:val="18"/>
      </w:rPr>
      <w:t>：</w:t>
    </w:r>
    <w:r>
      <w:rPr>
        <w:rFonts w:ascii="Times New Roman" w:hAnsi="Times New Roman"/>
        <w:sz w:val="18"/>
        <w:szCs w:val="18"/>
      </w:rPr>
      <w:t xml:space="preserve">(+86 10) 8521-9100/9111/9222                      </w:t>
    </w:r>
    <w:r>
      <w:rPr>
        <w:rFonts w:ascii="Times New Roman" w:hAnsi="Times New Roman" w:hint="eastAsia"/>
        <w:sz w:val="18"/>
        <w:szCs w:val="18"/>
      </w:rPr>
      <w:t>邮编：</w:t>
    </w:r>
    <w:r>
      <w:rPr>
        <w:rFonts w:ascii="Times New Roman" w:hAnsi="Times New Roman"/>
        <w:sz w:val="18"/>
        <w:szCs w:val="18"/>
      </w:rPr>
      <w:t>100022</w:t>
    </w:r>
  </w:p>
  <w:p w14:paraId="7FA7943C" w14:textId="77777777" w:rsidR="008D76D6" w:rsidRDefault="008D76D6">
    <w:pPr>
      <w:tabs>
        <w:tab w:val="center" w:pos="4513"/>
        <w:tab w:val="right" w:pos="9026"/>
      </w:tabs>
      <w:snapToGrid w:val="0"/>
      <w:spacing w:beforeLines="0" w:before="120" w:afterLines="0" w:after="120" w:line="276" w:lineRule="auto"/>
      <w:ind w:firstLine="360"/>
      <w:jc w:val="right"/>
      <w:rPr>
        <w:rFonts w:ascii="Times New Roman" w:hAnsi="Times New Roman"/>
        <w:sz w:val="18"/>
        <w:szCs w:val="18"/>
      </w:rPr>
    </w:pPr>
    <w:r>
      <w:rPr>
        <w:rFonts w:ascii="Times New Roman" w:hAnsi="Times New Roman"/>
        <w:sz w:val="18"/>
        <w:szCs w:val="18"/>
      </w:rPr>
      <w:t>www.deheheng.com</w:t>
    </w:r>
    <w:bookmarkEnd w:id="0"/>
  </w:p>
  <w:p w14:paraId="5AEECBD0" w14:textId="77777777" w:rsidR="008D76D6" w:rsidRDefault="008D76D6" w:rsidP="00127B2A">
    <w:pPr>
      <w:pStyle w:val="af7"/>
      <w:spacing w:before="120" w:after="120"/>
      <w:ind w:firstLineChars="11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8672" w14:textId="77777777" w:rsidR="008D76D6" w:rsidRDefault="008D76D6">
    <w:pPr>
      <w:pStyle w:val="af7"/>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6902E" w14:textId="77777777" w:rsidR="00C72D14" w:rsidRDefault="00C72D14">
      <w:pPr>
        <w:spacing w:before="120" w:after="120" w:line="240" w:lineRule="auto"/>
        <w:ind w:firstLine="480"/>
      </w:pPr>
      <w:r>
        <w:separator/>
      </w:r>
    </w:p>
  </w:footnote>
  <w:footnote w:type="continuationSeparator" w:id="0">
    <w:p w14:paraId="4A5BB901" w14:textId="77777777" w:rsidR="00C72D14" w:rsidRDefault="00C72D14">
      <w:pPr>
        <w:spacing w:before="120" w:after="12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B14C" w14:textId="77777777" w:rsidR="008D76D6" w:rsidRDefault="008D76D6">
    <w:pPr>
      <w:pStyle w:val="af9"/>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0603" w14:textId="4960EE6F" w:rsidR="008D76D6" w:rsidRDefault="00B42FC7">
    <w:pPr>
      <w:spacing w:before="120" w:after="120"/>
      <w:ind w:firstLine="480"/>
    </w:pPr>
    <w:r>
      <w:rPr>
        <w:noProof/>
        <w:lang w:val="en-US" w:eastAsia="zh-CN"/>
      </w:rPr>
      <w:drawing>
        <wp:anchor distT="0" distB="0" distL="114300" distR="114300" simplePos="0" relativeHeight="251656704" behindDoc="1" locked="0" layoutInCell="1" allowOverlap="1" wp14:anchorId="280AEBED" wp14:editId="7B88C7AB">
          <wp:simplePos x="0" y="0"/>
          <wp:positionH relativeFrom="column">
            <wp:posOffset>-900430</wp:posOffset>
          </wp:positionH>
          <wp:positionV relativeFrom="paragraph">
            <wp:posOffset>-610235</wp:posOffset>
          </wp:positionV>
          <wp:extent cx="7559675" cy="1085850"/>
          <wp:effectExtent l="0" t="0" r="0" b="0"/>
          <wp:wrapNone/>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CE4B" w14:textId="77777777" w:rsidR="008D76D6" w:rsidRDefault="008D76D6">
    <w:pPr>
      <w:pStyle w:val="af9"/>
      <w:spacing w:before="120" w:after="120"/>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D44A" w14:textId="308BECBA" w:rsidR="008D76D6" w:rsidRDefault="00B42FC7">
    <w:pPr>
      <w:spacing w:before="120" w:after="120"/>
      <w:ind w:firstLine="480"/>
    </w:pPr>
    <w:r>
      <w:rPr>
        <w:noProof/>
        <w:lang w:val="en-US" w:eastAsia="zh-CN"/>
      </w:rPr>
      <w:drawing>
        <wp:anchor distT="0" distB="0" distL="114300" distR="114300" simplePos="0" relativeHeight="251657728" behindDoc="1" locked="0" layoutInCell="1" allowOverlap="1" wp14:anchorId="4609B66B" wp14:editId="50ED0955">
          <wp:simplePos x="0" y="0"/>
          <wp:positionH relativeFrom="column">
            <wp:posOffset>-1136650</wp:posOffset>
          </wp:positionH>
          <wp:positionV relativeFrom="paragraph">
            <wp:posOffset>-610235</wp:posOffset>
          </wp:positionV>
          <wp:extent cx="10676255" cy="1085850"/>
          <wp:effectExtent l="0" t="0" r="0" b="0"/>
          <wp:wrapNone/>
          <wp:docPr id="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625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B7CA" w14:textId="6DD5B568" w:rsidR="008D76D6" w:rsidRDefault="00B42FC7">
    <w:pPr>
      <w:spacing w:before="120" w:after="120"/>
      <w:ind w:firstLine="480"/>
    </w:pPr>
    <w:r>
      <w:rPr>
        <w:noProof/>
        <w:lang w:val="en-US" w:eastAsia="zh-CN"/>
      </w:rPr>
      <w:drawing>
        <wp:anchor distT="0" distB="0" distL="114300" distR="114300" simplePos="0" relativeHeight="251658752" behindDoc="1" locked="0" layoutInCell="1" allowOverlap="1" wp14:anchorId="7DA8001B" wp14:editId="580FB669">
          <wp:simplePos x="0" y="0"/>
          <wp:positionH relativeFrom="column">
            <wp:posOffset>-900430</wp:posOffset>
          </wp:positionH>
          <wp:positionV relativeFrom="paragraph">
            <wp:posOffset>-610235</wp:posOffset>
          </wp:positionV>
          <wp:extent cx="7559675" cy="1085850"/>
          <wp:effectExtent l="0" t="0" r="0" b="0"/>
          <wp:wrapNone/>
          <wp:docPr id="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EwNTM5NzYwMDRjMzkwZTVkZjY2ODkwMGIxNGU0OTUifQ=="/>
  </w:docVars>
  <w:rsids>
    <w:rsidRoot w:val="001D1F90"/>
    <w:rsid w:val="00000138"/>
    <w:rsid w:val="000006A7"/>
    <w:rsid w:val="000007BB"/>
    <w:rsid w:val="0000081A"/>
    <w:rsid w:val="00000EA8"/>
    <w:rsid w:val="000013A8"/>
    <w:rsid w:val="00001513"/>
    <w:rsid w:val="0000171E"/>
    <w:rsid w:val="000023EA"/>
    <w:rsid w:val="000027BD"/>
    <w:rsid w:val="00002A1F"/>
    <w:rsid w:val="00002BB0"/>
    <w:rsid w:val="00002D3F"/>
    <w:rsid w:val="0000304B"/>
    <w:rsid w:val="00003833"/>
    <w:rsid w:val="00003D16"/>
    <w:rsid w:val="00003DDC"/>
    <w:rsid w:val="00003FEB"/>
    <w:rsid w:val="000040F8"/>
    <w:rsid w:val="000046A9"/>
    <w:rsid w:val="0000492C"/>
    <w:rsid w:val="000052C1"/>
    <w:rsid w:val="00005687"/>
    <w:rsid w:val="000056E4"/>
    <w:rsid w:val="00005C37"/>
    <w:rsid w:val="00005CD6"/>
    <w:rsid w:val="00005E94"/>
    <w:rsid w:val="0000615A"/>
    <w:rsid w:val="000069DB"/>
    <w:rsid w:val="00006BAA"/>
    <w:rsid w:val="00006C72"/>
    <w:rsid w:val="00006E4C"/>
    <w:rsid w:val="000073C7"/>
    <w:rsid w:val="000073FE"/>
    <w:rsid w:val="00007B4D"/>
    <w:rsid w:val="00007B7D"/>
    <w:rsid w:val="000104DA"/>
    <w:rsid w:val="00010878"/>
    <w:rsid w:val="00010C32"/>
    <w:rsid w:val="00010D00"/>
    <w:rsid w:val="00011190"/>
    <w:rsid w:val="000111F2"/>
    <w:rsid w:val="0001143F"/>
    <w:rsid w:val="00011A89"/>
    <w:rsid w:val="00011CAE"/>
    <w:rsid w:val="0001206A"/>
    <w:rsid w:val="000121DA"/>
    <w:rsid w:val="000121E5"/>
    <w:rsid w:val="00012525"/>
    <w:rsid w:val="00012863"/>
    <w:rsid w:val="00012EC8"/>
    <w:rsid w:val="000132EA"/>
    <w:rsid w:val="00013509"/>
    <w:rsid w:val="000136EB"/>
    <w:rsid w:val="00013772"/>
    <w:rsid w:val="000139FE"/>
    <w:rsid w:val="00013D72"/>
    <w:rsid w:val="00013DFF"/>
    <w:rsid w:val="0001472D"/>
    <w:rsid w:val="000149DC"/>
    <w:rsid w:val="00014E4D"/>
    <w:rsid w:val="000152B5"/>
    <w:rsid w:val="00015B34"/>
    <w:rsid w:val="00015C28"/>
    <w:rsid w:val="00015C2B"/>
    <w:rsid w:val="00015EA1"/>
    <w:rsid w:val="00016549"/>
    <w:rsid w:val="00016AE5"/>
    <w:rsid w:val="00017A96"/>
    <w:rsid w:val="00017B33"/>
    <w:rsid w:val="00020256"/>
    <w:rsid w:val="00020284"/>
    <w:rsid w:val="00020516"/>
    <w:rsid w:val="000207EB"/>
    <w:rsid w:val="00020A7A"/>
    <w:rsid w:val="00020A8F"/>
    <w:rsid w:val="00020DC7"/>
    <w:rsid w:val="00020E88"/>
    <w:rsid w:val="00021235"/>
    <w:rsid w:val="000217A3"/>
    <w:rsid w:val="00021B38"/>
    <w:rsid w:val="00022315"/>
    <w:rsid w:val="00022C62"/>
    <w:rsid w:val="00022EBA"/>
    <w:rsid w:val="00022F7A"/>
    <w:rsid w:val="00022FB5"/>
    <w:rsid w:val="000237E4"/>
    <w:rsid w:val="00023A32"/>
    <w:rsid w:val="00023A9B"/>
    <w:rsid w:val="00023CC7"/>
    <w:rsid w:val="00023DE6"/>
    <w:rsid w:val="00023DF9"/>
    <w:rsid w:val="00024263"/>
    <w:rsid w:val="00024459"/>
    <w:rsid w:val="00024F7F"/>
    <w:rsid w:val="00025188"/>
    <w:rsid w:val="000258D2"/>
    <w:rsid w:val="00025A25"/>
    <w:rsid w:val="00025FD6"/>
    <w:rsid w:val="0002602F"/>
    <w:rsid w:val="000264A5"/>
    <w:rsid w:val="0002697E"/>
    <w:rsid w:val="00026F20"/>
    <w:rsid w:val="00027546"/>
    <w:rsid w:val="0002758E"/>
    <w:rsid w:val="0002769D"/>
    <w:rsid w:val="000276CF"/>
    <w:rsid w:val="00027964"/>
    <w:rsid w:val="00027CE7"/>
    <w:rsid w:val="00027E14"/>
    <w:rsid w:val="00027EC4"/>
    <w:rsid w:val="00027F20"/>
    <w:rsid w:val="000302EC"/>
    <w:rsid w:val="00030319"/>
    <w:rsid w:val="000304A2"/>
    <w:rsid w:val="000309C2"/>
    <w:rsid w:val="00030F20"/>
    <w:rsid w:val="0003120D"/>
    <w:rsid w:val="000312FC"/>
    <w:rsid w:val="00031760"/>
    <w:rsid w:val="00031963"/>
    <w:rsid w:val="00031CF7"/>
    <w:rsid w:val="000320C4"/>
    <w:rsid w:val="000321D4"/>
    <w:rsid w:val="00032289"/>
    <w:rsid w:val="000322F7"/>
    <w:rsid w:val="00032304"/>
    <w:rsid w:val="0003244E"/>
    <w:rsid w:val="000329A6"/>
    <w:rsid w:val="00032B25"/>
    <w:rsid w:val="00032E9F"/>
    <w:rsid w:val="0003301F"/>
    <w:rsid w:val="00033833"/>
    <w:rsid w:val="00033852"/>
    <w:rsid w:val="0003388E"/>
    <w:rsid w:val="0003410B"/>
    <w:rsid w:val="00034163"/>
    <w:rsid w:val="00034C21"/>
    <w:rsid w:val="00034CB0"/>
    <w:rsid w:val="00035688"/>
    <w:rsid w:val="00035D87"/>
    <w:rsid w:val="00035F21"/>
    <w:rsid w:val="00036022"/>
    <w:rsid w:val="000361FB"/>
    <w:rsid w:val="0003661A"/>
    <w:rsid w:val="00037063"/>
    <w:rsid w:val="0003720B"/>
    <w:rsid w:val="000373CE"/>
    <w:rsid w:val="000377C6"/>
    <w:rsid w:val="00037BEF"/>
    <w:rsid w:val="00040001"/>
    <w:rsid w:val="0004043E"/>
    <w:rsid w:val="000409E1"/>
    <w:rsid w:val="000410CC"/>
    <w:rsid w:val="000411FE"/>
    <w:rsid w:val="0004123F"/>
    <w:rsid w:val="000412D7"/>
    <w:rsid w:val="000417B7"/>
    <w:rsid w:val="000418CA"/>
    <w:rsid w:val="000420B1"/>
    <w:rsid w:val="0004218B"/>
    <w:rsid w:val="00042410"/>
    <w:rsid w:val="0004244B"/>
    <w:rsid w:val="00042A7C"/>
    <w:rsid w:val="00042C48"/>
    <w:rsid w:val="00043121"/>
    <w:rsid w:val="00043261"/>
    <w:rsid w:val="00043274"/>
    <w:rsid w:val="0004338C"/>
    <w:rsid w:val="000434A2"/>
    <w:rsid w:val="0004363B"/>
    <w:rsid w:val="000438F3"/>
    <w:rsid w:val="00043F04"/>
    <w:rsid w:val="00044508"/>
    <w:rsid w:val="000453F0"/>
    <w:rsid w:val="00045914"/>
    <w:rsid w:val="000459CC"/>
    <w:rsid w:val="00045A0A"/>
    <w:rsid w:val="00045B49"/>
    <w:rsid w:val="000460A0"/>
    <w:rsid w:val="000463AE"/>
    <w:rsid w:val="00046708"/>
    <w:rsid w:val="000469C0"/>
    <w:rsid w:val="00046B8B"/>
    <w:rsid w:val="00046D8B"/>
    <w:rsid w:val="0004733E"/>
    <w:rsid w:val="00047E2E"/>
    <w:rsid w:val="00047EAD"/>
    <w:rsid w:val="0005003D"/>
    <w:rsid w:val="000500B6"/>
    <w:rsid w:val="000501BA"/>
    <w:rsid w:val="0005056E"/>
    <w:rsid w:val="000505BE"/>
    <w:rsid w:val="00050937"/>
    <w:rsid w:val="00050985"/>
    <w:rsid w:val="00050BB8"/>
    <w:rsid w:val="00050EDC"/>
    <w:rsid w:val="00050FF5"/>
    <w:rsid w:val="000514E6"/>
    <w:rsid w:val="000517CE"/>
    <w:rsid w:val="00051CFB"/>
    <w:rsid w:val="00051D84"/>
    <w:rsid w:val="000522A6"/>
    <w:rsid w:val="000523E2"/>
    <w:rsid w:val="0005297D"/>
    <w:rsid w:val="00052DEB"/>
    <w:rsid w:val="0005360E"/>
    <w:rsid w:val="00053D09"/>
    <w:rsid w:val="00053EA8"/>
    <w:rsid w:val="0005408A"/>
    <w:rsid w:val="00054904"/>
    <w:rsid w:val="00054AC4"/>
    <w:rsid w:val="00054B88"/>
    <w:rsid w:val="00054CE5"/>
    <w:rsid w:val="00054FF4"/>
    <w:rsid w:val="0005523C"/>
    <w:rsid w:val="000558F2"/>
    <w:rsid w:val="00055F6F"/>
    <w:rsid w:val="0005653E"/>
    <w:rsid w:val="00056940"/>
    <w:rsid w:val="00056983"/>
    <w:rsid w:val="00056EE8"/>
    <w:rsid w:val="0005735B"/>
    <w:rsid w:val="00057AB4"/>
    <w:rsid w:val="0006002B"/>
    <w:rsid w:val="00060225"/>
    <w:rsid w:val="00060330"/>
    <w:rsid w:val="000610CC"/>
    <w:rsid w:val="0006111A"/>
    <w:rsid w:val="000619A8"/>
    <w:rsid w:val="00061B97"/>
    <w:rsid w:val="00061E04"/>
    <w:rsid w:val="00061FAF"/>
    <w:rsid w:val="00062731"/>
    <w:rsid w:val="00062962"/>
    <w:rsid w:val="00062D8D"/>
    <w:rsid w:val="00062E49"/>
    <w:rsid w:val="0006385D"/>
    <w:rsid w:val="00063CB4"/>
    <w:rsid w:val="00063DDA"/>
    <w:rsid w:val="00063ED8"/>
    <w:rsid w:val="000641D0"/>
    <w:rsid w:val="00064382"/>
    <w:rsid w:val="0006438D"/>
    <w:rsid w:val="000647BE"/>
    <w:rsid w:val="00064989"/>
    <w:rsid w:val="00064B72"/>
    <w:rsid w:val="0006532A"/>
    <w:rsid w:val="00065A56"/>
    <w:rsid w:val="00065BF2"/>
    <w:rsid w:val="00065DE1"/>
    <w:rsid w:val="00065E5D"/>
    <w:rsid w:val="00065E6D"/>
    <w:rsid w:val="000666B9"/>
    <w:rsid w:val="00066DC5"/>
    <w:rsid w:val="00066FB1"/>
    <w:rsid w:val="0006755D"/>
    <w:rsid w:val="00067869"/>
    <w:rsid w:val="000678EE"/>
    <w:rsid w:val="00067988"/>
    <w:rsid w:val="000702A6"/>
    <w:rsid w:val="000708AF"/>
    <w:rsid w:val="00070ED3"/>
    <w:rsid w:val="00071023"/>
    <w:rsid w:val="000714F8"/>
    <w:rsid w:val="000716F1"/>
    <w:rsid w:val="000717E3"/>
    <w:rsid w:val="000719D6"/>
    <w:rsid w:val="000719E0"/>
    <w:rsid w:val="00071C3D"/>
    <w:rsid w:val="00071E68"/>
    <w:rsid w:val="0007245B"/>
    <w:rsid w:val="00072831"/>
    <w:rsid w:val="00072886"/>
    <w:rsid w:val="00072CEB"/>
    <w:rsid w:val="00072D83"/>
    <w:rsid w:val="00072F12"/>
    <w:rsid w:val="000730F0"/>
    <w:rsid w:val="000731D0"/>
    <w:rsid w:val="0007341F"/>
    <w:rsid w:val="00073A9F"/>
    <w:rsid w:val="00074009"/>
    <w:rsid w:val="0007436D"/>
    <w:rsid w:val="000749C8"/>
    <w:rsid w:val="00074C84"/>
    <w:rsid w:val="00074F89"/>
    <w:rsid w:val="00075215"/>
    <w:rsid w:val="00075308"/>
    <w:rsid w:val="000753A3"/>
    <w:rsid w:val="000756C8"/>
    <w:rsid w:val="00075B3F"/>
    <w:rsid w:val="00075B53"/>
    <w:rsid w:val="00075C07"/>
    <w:rsid w:val="000766A1"/>
    <w:rsid w:val="00076E43"/>
    <w:rsid w:val="0007712F"/>
    <w:rsid w:val="000774C0"/>
    <w:rsid w:val="00077547"/>
    <w:rsid w:val="00077877"/>
    <w:rsid w:val="00077B09"/>
    <w:rsid w:val="000802C7"/>
    <w:rsid w:val="00080977"/>
    <w:rsid w:val="00080CF3"/>
    <w:rsid w:val="00081094"/>
    <w:rsid w:val="00081726"/>
    <w:rsid w:val="00081AAB"/>
    <w:rsid w:val="00082019"/>
    <w:rsid w:val="00082863"/>
    <w:rsid w:val="000829D5"/>
    <w:rsid w:val="000829F6"/>
    <w:rsid w:val="00082B24"/>
    <w:rsid w:val="00082DC5"/>
    <w:rsid w:val="000847D2"/>
    <w:rsid w:val="00084D71"/>
    <w:rsid w:val="00084E59"/>
    <w:rsid w:val="00084F6C"/>
    <w:rsid w:val="000850EC"/>
    <w:rsid w:val="00085180"/>
    <w:rsid w:val="000852EF"/>
    <w:rsid w:val="000856B5"/>
    <w:rsid w:val="000856BB"/>
    <w:rsid w:val="00085939"/>
    <w:rsid w:val="00085E00"/>
    <w:rsid w:val="00086504"/>
    <w:rsid w:val="00086F41"/>
    <w:rsid w:val="000877E0"/>
    <w:rsid w:val="00087DA4"/>
    <w:rsid w:val="00090297"/>
    <w:rsid w:val="00090624"/>
    <w:rsid w:val="00090C92"/>
    <w:rsid w:val="00090D71"/>
    <w:rsid w:val="00090E61"/>
    <w:rsid w:val="0009103F"/>
    <w:rsid w:val="00091166"/>
    <w:rsid w:val="00091459"/>
    <w:rsid w:val="000914EE"/>
    <w:rsid w:val="00091544"/>
    <w:rsid w:val="000919C5"/>
    <w:rsid w:val="00091B58"/>
    <w:rsid w:val="00091FA9"/>
    <w:rsid w:val="00092006"/>
    <w:rsid w:val="00092524"/>
    <w:rsid w:val="00092756"/>
    <w:rsid w:val="00093297"/>
    <w:rsid w:val="000932EF"/>
    <w:rsid w:val="00093496"/>
    <w:rsid w:val="0009363A"/>
    <w:rsid w:val="00093813"/>
    <w:rsid w:val="000938CD"/>
    <w:rsid w:val="000941B7"/>
    <w:rsid w:val="000942C0"/>
    <w:rsid w:val="00094350"/>
    <w:rsid w:val="00095187"/>
    <w:rsid w:val="000951D6"/>
    <w:rsid w:val="0009531F"/>
    <w:rsid w:val="000953D7"/>
    <w:rsid w:val="000956AB"/>
    <w:rsid w:val="00095EA1"/>
    <w:rsid w:val="00095FBA"/>
    <w:rsid w:val="000965F9"/>
    <w:rsid w:val="0009672B"/>
    <w:rsid w:val="000975BD"/>
    <w:rsid w:val="00097DA5"/>
    <w:rsid w:val="00097FB0"/>
    <w:rsid w:val="000A019E"/>
    <w:rsid w:val="000A02D9"/>
    <w:rsid w:val="000A068E"/>
    <w:rsid w:val="000A08FA"/>
    <w:rsid w:val="000A0C94"/>
    <w:rsid w:val="000A0E49"/>
    <w:rsid w:val="000A1316"/>
    <w:rsid w:val="000A14A7"/>
    <w:rsid w:val="000A16FB"/>
    <w:rsid w:val="000A1BE6"/>
    <w:rsid w:val="000A2542"/>
    <w:rsid w:val="000A275C"/>
    <w:rsid w:val="000A32DD"/>
    <w:rsid w:val="000A33E6"/>
    <w:rsid w:val="000A3608"/>
    <w:rsid w:val="000A3A3A"/>
    <w:rsid w:val="000A3DA0"/>
    <w:rsid w:val="000A3DDA"/>
    <w:rsid w:val="000A4029"/>
    <w:rsid w:val="000A4113"/>
    <w:rsid w:val="000A414F"/>
    <w:rsid w:val="000A42C5"/>
    <w:rsid w:val="000A4467"/>
    <w:rsid w:val="000A46B9"/>
    <w:rsid w:val="000A478E"/>
    <w:rsid w:val="000A4DB9"/>
    <w:rsid w:val="000A4F7E"/>
    <w:rsid w:val="000A5541"/>
    <w:rsid w:val="000A5A62"/>
    <w:rsid w:val="000A5A6B"/>
    <w:rsid w:val="000A5BC9"/>
    <w:rsid w:val="000A5F09"/>
    <w:rsid w:val="000A6261"/>
    <w:rsid w:val="000A639D"/>
    <w:rsid w:val="000A668C"/>
    <w:rsid w:val="000A7709"/>
    <w:rsid w:val="000A780E"/>
    <w:rsid w:val="000B01A9"/>
    <w:rsid w:val="000B0901"/>
    <w:rsid w:val="000B0B2B"/>
    <w:rsid w:val="000B0C2E"/>
    <w:rsid w:val="000B10CC"/>
    <w:rsid w:val="000B12F2"/>
    <w:rsid w:val="000B172C"/>
    <w:rsid w:val="000B176A"/>
    <w:rsid w:val="000B1F51"/>
    <w:rsid w:val="000B216A"/>
    <w:rsid w:val="000B2276"/>
    <w:rsid w:val="000B24A5"/>
    <w:rsid w:val="000B268A"/>
    <w:rsid w:val="000B2727"/>
    <w:rsid w:val="000B2779"/>
    <w:rsid w:val="000B2820"/>
    <w:rsid w:val="000B353F"/>
    <w:rsid w:val="000B35AD"/>
    <w:rsid w:val="000B3A72"/>
    <w:rsid w:val="000B3E0B"/>
    <w:rsid w:val="000B42D8"/>
    <w:rsid w:val="000B43B8"/>
    <w:rsid w:val="000B458E"/>
    <w:rsid w:val="000B46BD"/>
    <w:rsid w:val="000B4996"/>
    <w:rsid w:val="000B4BCE"/>
    <w:rsid w:val="000B4ED7"/>
    <w:rsid w:val="000B58A1"/>
    <w:rsid w:val="000B5ACA"/>
    <w:rsid w:val="000B5E65"/>
    <w:rsid w:val="000B6318"/>
    <w:rsid w:val="000B64E7"/>
    <w:rsid w:val="000B6765"/>
    <w:rsid w:val="000B6BF9"/>
    <w:rsid w:val="000B6DD7"/>
    <w:rsid w:val="000B750D"/>
    <w:rsid w:val="000B7897"/>
    <w:rsid w:val="000B7A4F"/>
    <w:rsid w:val="000C0194"/>
    <w:rsid w:val="000C0402"/>
    <w:rsid w:val="000C04B3"/>
    <w:rsid w:val="000C068D"/>
    <w:rsid w:val="000C0809"/>
    <w:rsid w:val="000C0955"/>
    <w:rsid w:val="000C0AF8"/>
    <w:rsid w:val="000C0E01"/>
    <w:rsid w:val="000C0EC4"/>
    <w:rsid w:val="000C0F7E"/>
    <w:rsid w:val="000C1168"/>
    <w:rsid w:val="000C13BD"/>
    <w:rsid w:val="000C142A"/>
    <w:rsid w:val="000C1D30"/>
    <w:rsid w:val="000C2192"/>
    <w:rsid w:val="000C23EF"/>
    <w:rsid w:val="000C2443"/>
    <w:rsid w:val="000C24B7"/>
    <w:rsid w:val="000C2B60"/>
    <w:rsid w:val="000C2DBB"/>
    <w:rsid w:val="000C32C8"/>
    <w:rsid w:val="000C3422"/>
    <w:rsid w:val="000C3574"/>
    <w:rsid w:val="000C3F1F"/>
    <w:rsid w:val="000C420D"/>
    <w:rsid w:val="000C462C"/>
    <w:rsid w:val="000C47D4"/>
    <w:rsid w:val="000C4869"/>
    <w:rsid w:val="000C48A9"/>
    <w:rsid w:val="000C4B79"/>
    <w:rsid w:val="000C4C14"/>
    <w:rsid w:val="000C5049"/>
    <w:rsid w:val="000C5376"/>
    <w:rsid w:val="000C55D8"/>
    <w:rsid w:val="000C55DA"/>
    <w:rsid w:val="000C562E"/>
    <w:rsid w:val="000C569B"/>
    <w:rsid w:val="000C56DE"/>
    <w:rsid w:val="000C57FD"/>
    <w:rsid w:val="000C59C0"/>
    <w:rsid w:val="000C5E4C"/>
    <w:rsid w:val="000C66E2"/>
    <w:rsid w:val="000C6722"/>
    <w:rsid w:val="000C6C3A"/>
    <w:rsid w:val="000C6C5E"/>
    <w:rsid w:val="000C6C82"/>
    <w:rsid w:val="000C6FAC"/>
    <w:rsid w:val="000C70B0"/>
    <w:rsid w:val="000C73F9"/>
    <w:rsid w:val="000C7949"/>
    <w:rsid w:val="000C7D2D"/>
    <w:rsid w:val="000C7E9D"/>
    <w:rsid w:val="000C7EDB"/>
    <w:rsid w:val="000D05B3"/>
    <w:rsid w:val="000D0D0C"/>
    <w:rsid w:val="000D0D85"/>
    <w:rsid w:val="000D0D98"/>
    <w:rsid w:val="000D1535"/>
    <w:rsid w:val="000D1E37"/>
    <w:rsid w:val="000D20DB"/>
    <w:rsid w:val="000D20E8"/>
    <w:rsid w:val="000D220A"/>
    <w:rsid w:val="000D245C"/>
    <w:rsid w:val="000D2713"/>
    <w:rsid w:val="000D2B0E"/>
    <w:rsid w:val="000D2D7B"/>
    <w:rsid w:val="000D2DD5"/>
    <w:rsid w:val="000D2F32"/>
    <w:rsid w:val="000D302F"/>
    <w:rsid w:val="000D341C"/>
    <w:rsid w:val="000D3CFC"/>
    <w:rsid w:val="000D3EF1"/>
    <w:rsid w:val="000D3EF7"/>
    <w:rsid w:val="000D3FE5"/>
    <w:rsid w:val="000D4381"/>
    <w:rsid w:val="000D447C"/>
    <w:rsid w:val="000D4743"/>
    <w:rsid w:val="000D493C"/>
    <w:rsid w:val="000D4E83"/>
    <w:rsid w:val="000D4E8C"/>
    <w:rsid w:val="000D5377"/>
    <w:rsid w:val="000D5567"/>
    <w:rsid w:val="000D576B"/>
    <w:rsid w:val="000D5777"/>
    <w:rsid w:val="000D5830"/>
    <w:rsid w:val="000D5BBD"/>
    <w:rsid w:val="000D61DC"/>
    <w:rsid w:val="000D665B"/>
    <w:rsid w:val="000D67D4"/>
    <w:rsid w:val="000D697E"/>
    <w:rsid w:val="000D6A65"/>
    <w:rsid w:val="000D6EDF"/>
    <w:rsid w:val="000D73D5"/>
    <w:rsid w:val="000D73DD"/>
    <w:rsid w:val="000D7F7D"/>
    <w:rsid w:val="000E0192"/>
    <w:rsid w:val="000E0638"/>
    <w:rsid w:val="000E10F5"/>
    <w:rsid w:val="000E12FB"/>
    <w:rsid w:val="000E1415"/>
    <w:rsid w:val="000E1501"/>
    <w:rsid w:val="000E16A9"/>
    <w:rsid w:val="000E178A"/>
    <w:rsid w:val="000E19F2"/>
    <w:rsid w:val="000E1E73"/>
    <w:rsid w:val="000E20EF"/>
    <w:rsid w:val="000E2317"/>
    <w:rsid w:val="000E2334"/>
    <w:rsid w:val="000E23EC"/>
    <w:rsid w:val="000E26B6"/>
    <w:rsid w:val="000E26FD"/>
    <w:rsid w:val="000E313C"/>
    <w:rsid w:val="000E35C8"/>
    <w:rsid w:val="000E3F58"/>
    <w:rsid w:val="000E50BB"/>
    <w:rsid w:val="000E53A8"/>
    <w:rsid w:val="000E6207"/>
    <w:rsid w:val="000E6236"/>
    <w:rsid w:val="000E65AE"/>
    <w:rsid w:val="000E6CC9"/>
    <w:rsid w:val="000E6DAD"/>
    <w:rsid w:val="000E7A19"/>
    <w:rsid w:val="000E7D2F"/>
    <w:rsid w:val="000E7E40"/>
    <w:rsid w:val="000E7E64"/>
    <w:rsid w:val="000E7FD1"/>
    <w:rsid w:val="000F00BD"/>
    <w:rsid w:val="000F0728"/>
    <w:rsid w:val="000F0A65"/>
    <w:rsid w:val="000F0ABF"/>
    <w:rsid w:val="000F0AC7"/>
    <w:rsid w:val="000F0DAB"/>
    <w:rsid w:val="000F1173"/>
    <w:rsid w:val="000F1730"/>
    <w:rsid w:val="000F19C7"/>
    <w:rsid w:val="000F19D7"/>
    <w:rsid w:val="000F1A15"/>
    <w:rsid w:val="000F1F8E"/>
    <w:rsid w:val="000F205E"/>
    <w:rsid w:val="000F219A"/>
    <w:rsid w:val="000F232D"/>
    <w:rsid w:val="000F2339"/>
    <w:rsid w:val="000F23CB"/>
    <w:rsid w:val="000F2486"/>
    <w:rsid w:val="000F2A6F"/>
    <w:rsid w:val="000F2E14"/>
    <w:rsid w:val="000F2F7F"/>
    <w:rsid w:val="000F308E"/>
    <w:rsid w:val="000F314A"/>
    <w:rsid w:val="000F397D"/>
    <w:rsid w:val="000F3B32"/>
    <w:rsid w:val="000F3E0A"/>
    <w:rsid w:val="000F3E89"/>
    <w:rsid w:val="000F4038"/>
    <w:rsid w:val="000F45BA"/>
    <w:rsid w:val="000F47F6"/>
    <w:rsid w:val="000F4949"/>
    <w:rsid w:val="000F49C9"/>
    <w:rsid w:val="000F4DB8"/>
    <w:rsid w:val="000F4F3D"/>
    <w:rsid w:val="000F4FB4"/>
    <w:rsid w:val="000F515E"/>
    <w:rsid w:val="000F523A"/>
    <w:rsid w:val="000F531B"/>
    <w:rsid w:val="000F5587"/>
    <w:rsid w:val="000F596F"/>
    <w:rsid w:val="000F5E33"/>
    <w:rsid w:val="000F64AF"/>
    <w:rsid w:val="000F64D4"/>
    <w:rsid w:val="000F6A2A"/>
    <w:rsid w:val="000F6B43"/>
    <w:rsid w:val="000F6DB8"/>
    <w:rsid w:val="000F6DDC"/>
    <w:rsid w:val="000F6E43"/>
    <w:rsid w:val="000F6F13"/>
    <w:rsid w:val="000F6F86"/>
    <w:rsid w:val="000F7196"/>
    <w:rsid w:val="000F74FB"/>
    <w:rsid w:val="000F7B30"/>
    <w:rsid w:val="00100419"/>
    <w:rsid w:val="001004EE"/>
    <w:rsid w:val="0010079C"/>
    <w:rsid w:val="001007A4"/>
    <w:rsid w:val="00100EA6"/>
    <w:rsid w:val="0010152D"/>
    <w:rsid w:val="00101A42"/>
    <w:rsid w:val="00101BFD"/>
    <w:rsid w:val="00101DF0"/>
    <w:rsid w:val="001021FB"/>
    <w:rsid w:val="0010220A"/>
    <w:rsid w:val="00102451"/>
    <w:rsid w:val="001027B9"/>
    <w:rsid w:val="00102DE5"/>
    <w:rsid w:val="00103140"/>
    <w:rsid w:val="0010327F"/>
    <w:rsid w:val="001032E2"/>
    <w:rsid w:val="0010379F"/>
    <w:rsid w:val="00103C4A"/>
    <w:rsid w:val="00103ED2"/>
    <w:rsid w:val="0010430F"/>
    <w:rsid w:val="001047A6"/>
    <w:rsid w:val="00104D97"/>
    <w:rsid w:val="001055C2"/>
    <w:rsid w:val="001057FE"/>
    <w:rsid w:val="00105B79"/>
    <w:rsid w:val="00105DEA"/>
    <w:rsid w:val="00106043"/>
    <w:rsid w:val="00106DA2"/>
    <w:rsid w:val="0010707E"/>
    <w:rsid w:val="00107249"/>
    <w:rsid w:val="001074FA"/>
    <w:rsid w:val="001075C1"/>
    <w:rsid w:val="00107779"/>
    <w:rsid w:val="00107976"/>
    <w:rsid w:val="00107B6F"/>
    <w:rsid w:val="00107C59"/>
    <w:rsid w:val="00110AB6"/>
    <w:rsid w:val="00110C8B"/>
    <w:rsid w:val="00110F3C"/>
    <w:rsid w:val="00110F4E"/>
    <w:rsid w:val="00110FC4"/>
    <w:rsid w:val="001120E2"/>
    <w:rsid w:val="0011221F"/>
    <w:rsid w:val="001125E8"/>
    <w:rsid w:val="00112902"/>
    <w:rsid w:val="001129A2"/>
    <w:rsid w:val="00112A28"/>
    <w:rsid w:val="00112AAA"/>
    <w:rsid w:val="00113256"/>
    <w:rsid w:val="00113415"/>
    <w:rsid w:val="0011361B"/>
    <w:rsid w:val="00113C1A"/>
    <w:rsid w:val="00113E83"/>
    <w:rsid w:val="0011415F"/>
    <w:rsid w:val="00114668"/>
    <w:rsid w:val="00114737"/>
    <w:rsid w:val="00114925"/>
    <w:rsid w:val="00114ACB"/>
    <w:rsid w:val="00114B9B"/>
    <w:rsid w:val="00114BE2"/>
    <w:rsid w:val="00115075"/>
    <w:rsid w:val="00115451"/>
    <w:rsid w:val="00115677"/>
    <w:rsid w:val="00115A10"/>
    <w:rsid w:val="0011624B"/>
    <w:rsid w:val="001162A2"/>
    <w:rsid w:val="00116C01"/>
    <w:rsid w:val="00117804"/>
    <w:rsid w:val="0011793D"/>
    <w:rsid w:val="001179F2"/>
    <w:rsid w:val="00117B6E"/>
    <w:rsid w:val="00117DCD"/>
    <w:rsid w:val="0012054A"/>
    <w:rsid w:val="0012060D"/>
    <w:rsid w:val="00120788"/>
    <w:rsid w:val="00120AF6"/>
    <w:rsid w:val="00120D08"/>
    <w:rsid w:val="00120D2E"/>
    <w:rsid w:val="00120ECD"/>
    <w:rsid w:val="00120F9F"/>
    <w:rsid w:val="00121194"/>
    <w:rsid w:val="0012195A"/>
    <w:rsid w:val="00121992"/>
    <w:rsid w:val="00121B4A"/>
    <w:rsid w:val="00121B53"/>
    <w:rsid w:val="00121C25"/>
    <w:rsid w:val="001220F2"/>
    <w:rsid w:val="001221A7"/>
    <w:rsid w:val="001222F3"/>
    <w:rsid w:val="001227F7"/>
    <w:rsid w:val="00122AB6"/>
    <w:rsid w:val="00122CAC"/>
    <w:rsid w:val="00122DDD"/>
    <w:rsid w:val="00122EC6"/>
    <w:rsid w:val="001233F5"/>
    <w:rsid w:val="00124A64"/>
    <w:rsid w:val="00124BBB"/>
    <w:rsid w:val="00124D14"/>
    <w:rsid w:val="00124E1D"/>
    <w:rsid w:val="00125023"/>
    <w:rsid w:val="001251A3"/>
    <w:rsid w:val="0012538F"/>
    <w:rsid w:val="0012540F"/>
    <w:rsid w:val="0012551F"/>
    <w:rsid w:val="00125603"/>
    <w:rsid w:val="00125E2F"/>
    <w:rsid w:val="0012601C"/>
    <w:rsid w:val="001263FD"/>
    <w:rsid w:val="0012643A"/>
    <w:rsid w:val="001265FB"/>
    <w:rsid w:val="0012679B"/>
    <w:rsid w:val="00126B87"/>
    <w:rsid w:val="00126D26"/>
    <w:rsid w:val="0012704B"/>
    <w:rsid w:val="001273FB"/>
    <w:rsid w:val="00127B2A"/>
    <w:rsid w:val="00127E99"/>
    <w:rsid w:val="00130801"/>
    <w:rsid w:val="0013091A"/>
    <w:rsid w:val="00130B90"/>
    <w:rsid w:val="00130F6C"/>
    <w:rsid w:val="00131373"/>
    <w:rsid w:val="001319BC"/>
    <w:rsid w:val="00131CE5"/>
    <w:rsid w:val="001320BC"/>
    <w:rsid w:val="001321C4"/>
    <w:rsid w:val="00132246"/>
    <w:rsid w:val="00132253"/>
    <w:rsid w:val="001327C4"/>
    <w:rsid w:val="00132E55"/>
    <w:rsid w:val="0013309F"/>
    <w:rsid w:val="001331B6"/>
    <w:rsid w:val="001338DE"/>
    <w:rsid w:val="00133DB3"/>
    <w:rsid w:val="001342D0"/>
    <w:rsid w:val="00134920"/>
    <w:rsid w:val="00134DDE"/>
    <w:rsid w:val="00134DFD"/>
    <w:rsid w:val="00135334"/>
    <w:rsid w:val="0013563D"/>
    <w:rsid w:val="001359DC"/>
    <w:rsid w:val="001359F3"/>
    <w:rsid w:val="00135CD6"/>
    <w:rsid w:val="001364BD"/>
    <w:rsid w:val="00136ADA"/>
    <w:rsid w:val="00136C35"/>
    <w:rsid w:val="00136EBB"/>
    <w:rsid w:val="0013762E"/>
    <w:rsid w:val="00137AE1"/>
    <w:rsid w:val="00137DAE"/>
    <w:rsid w:val="00140B56"/>
    <w:rsid w:val="0014163B"/>
    <w:rsid w:val="00142084"/>
    <w:rsid w:val="001423AC"/>
    <w:rsid w:val="0014253A"/>
    <w:rsid w:val="00142564"/>
    <w:rsid w:val="00142853"/>
    <w:rsid w:val="00142994"/>
    <w:rsid w:val="00142A03"/>
    <w:rsid w:val="00142BF5"/>
    <w:rsid w:val="00142FAB"/>
    <w:rsid w:val="00142FAF"/>
    <w:rsid w:val="0014306E"/>
    <w:rsid w:val="001430C9"/>
    <w:rsid w:val="001431E0"/>
    <w:rsid w:val="00143433"/>
    <w:rsid w:val="001434B7"/>
    <w:rsid w:val="00143991"/>
    <w:rsid w:val="001439B4"/>
    <w:rsid w:val="00144641"/>
    <w:rsid w:val="00144777"/>
    <w:rsid w:val="00144B21"/>
    <w:rsid w:val="001450E5"/>
    <w:rsid w:val="001454DC"/>
    <w:rsid w:val="0014566B"/>
    <w:rsid w:val="001458A9"/>
    <w:rsid w:val="00145E66"/>
    <w:rsid w:val="00145EBD"/>
    <w:rsid w:val="00145ED0"/>
    <w:rsid w:val="0014632D"/>
    <w:rsid w:val="00146752"/>
    <w:rsid w:val="00146983"/>
    <w:rsid w:val="00146B28"/>
    <w:rsid w:val="00146BF9"/>
    <w:rsid w:val="00146CF8"/>
    <w:rsid w:val="00146D00"/>
    <w:rsid w:val="00146D12"/>
    <w:rsid w:val="00146E98"/>
    <w:rsid w:val="001471C9"/>
    <w:rsid w:val="001472DA"/>
    <w:rsid w:val="001472E6"/>
    <w:rsid w:val="0014780D"/>
    <w:rsid w:val="00147874"/>
    <w:rsid w:val="00147B67"/>
    <w:rsid w:val="00147B84"/>
    <w:rsid w:val="00147D94"/>
    <w:rsid w:val="001503DB"/>
    <w:rsid w:val="00150589"/>
    <w:rsid w:val="00150828"/>
    <w:rsid w:val="001508A7"/>
    <w:rsid w:val="00150975"/>
    <w:rsid w:val="00150AF6"/>
    <w:rsid w:val="00151284"/>
    <w:rsid w:val="00151799"/>
    <w:rsid w:val="00151A45"/>
    <w:rsid w:val="001522F9"/>
    <w:rsid w:val="00152823"/>
    <w:rsid w:val="00152ABA"/>
    <w:rsid w:val="0015318E"/>
    <w:rsid w:val="00153312"/>
    <w:rsid w:val="001534FF"/>
    <w:rsid w:val="00154025"/>
    <w:rsid w:val="00154552"/>
    <w:rsid w:val="00154615"/>
    <w:rsid w:val="00154911"/>
    <w:rsid w:val="00154A6E"/>
    <w:rsid w:val="00154BDC"/>
    <w:rsid w:val="00154D73"/>
    <w:rsid w:val="00154E16"/>
    <w:rsid w:val="0015504E"/>
    <w:rsid w:val="0015525B"/>
    <w:rsid w:val="00155D77"/>
    <w:rsid w:val="00155F4E"/>
    <w:rsid w:val="001561BF"/>
    <w:rsid w:val="001561F0"/>
    <w:rsid w:val="001568E0"/>
    <w:rsid w:val="00156B2D"/>
    <w:rsid w:val="00156CC1"/>
    <w:rsid w:val="00157210"/>
    <w:rsid w:val="00157481"/>
    <w:rsid w:val="00157B4E"/>
    <w:rsid w:val="00157F03"/>
    <w:rsid w:val="00160105"/>
    <w:rsid w:val="001602A1"/>
    <w:rsid w:val="001602B5"/>
    <w:rsid w:val="00160806"/>
    <w:rsid w:val="00160A14"/>
    <w:rsid w:val="00160BAA"/>
    <w:rsid w:val="001610FC"/>
    <w:rsid w:val="00161760"/>
    <w:rsid w:val="00161813"/>
    <w:rsid w:val="001618A0"/>
    <w:rsid w:val="00161CAC"/>
    <w:rsid w:val="00161D1A"/>
    <w:rsid w:val="00161E6A"/>
    <w:rsid w:val="00161EF4"/>
    <w:rsid w:val="00161F33"/>
    <w:rsid w:val="0016245B"/>
    <w:rsid w:val="00162512"/>
    <w:rsid w:val="001629D3"/>
    <w:rsid w:val="00162F7C"/>
    <w:rsid w:val="00163156"/>
    <w:rsid w:val="001635D3"/>
    <w:rsid w:val="001638B2"/>
    <w:rsid w:val="00163F08"/>
    <w:rsid w:val="00163F47"/>
    <w:rsid w:val="001643B0"/>
    <w:rsid w:val="001645D0"/>
    <w:rsid w:val="00164805"/>
    <w:rsid w:val="00164834"/>
    <w:rsid w:val="001648B9"/>
    <w:rsid w:val="0016494C"/>
    <w:rsid w:val="00164E4E"/>
    <w:rsid w:val="001650E5"/>
    <w:rsid w:val="00165D02"/>
    <w:rsid w:val="00165D17"/>
    <w:rsid w:val="00166281"/>
    <w:rsid w:val="0016629A"/>
    <w:rsid w:val="001664F1"/>
    <w:rsid w:val="00166CBD"/>
    <w:rsid w:val="00166CCC"/>
    <w:rsid w:val="001670BA"/>
    <w:rsid w:val="0016732E"/>
    <w:rsid w:val="001674AE"/>
    <w:rsid w:val="00167D77"/>
    <w:rsid w:val="001703A6"/>
    <w:rsid w:val="00170AC5"/>
    <w:rsid w:val="00170E82"/>
    <w:rsid w:val="001710A4"/>
    <w:rsid w:val="001715A5"/>
    <w:rsid w:val="001716FA"/>
    <w:rsid w:val="001717D6"/>
    <w:rsid w:val="00171998"/>
    <w:rsid w:val="0017231A"/>
    <w:rsid w:val="0017231E"/>
    <w:rsid w:val="00172369"/>
    <w:rsid w:val="00172641"/>
    <w:rsid w:val="00172818"/>
    <w:rsid w:val="00172B7B"/>
    <w:rsid w:val="00172C0C"/>
    <w:rsid w:val="001731C0"/>
    <w:rsid w:val="001738A3"/>
    <w:rsid w:val="00173B0B"/>
    <w:rsid w:val="00173D2D"/>
    <w:rsid w:val="00173DE3"/>
    <w:rsid w:val="00173FDF"/>
    <w:rsid w:val="00175258"/>
    <w:rsid w:val="001753B4"/>
    <w:rsid w:val="00175541"/>
    <w:rsid w:val="00175646"/>
    <w:rsid w:val="00175894"/>
    <w:rsid w:val="001760C3"/>
    <w:rsid w:val="0017622F"/>
    <w:rsid w:val="00176475"/>
    <w:rsid w:val="00176C30"/>
    <w:rsid w:val="001773C7"/>
    <w:rsid w:val="0017752E"/>
    <w:rsid w:val="0017753F"/>
    <w:rsid w:val="00177789"/>
    <w:rsid w:val="001778B5"/>
    <w:rsid w:val="00177AD4"/>
    <w:rsid w:val="00177F60"/>
    <w:rsid w:val="00180B14"/>
    <w:rsid w:val="00180C50"/>
    <w:rsid w:val="0018103E"/>
    <w:rsid w:val="001819DA"/>
    <w:rsid w:val="00181D7C"/>
    <w:rsid w:val="00181DE1"/>
    <w:rsid w:val="001824E1"/>
    <w:rsid w:val="00182C6B"/>
    <w:rsid w:val="00182CE1"/>
    <w:rsid w:val="00183001"/>
    <w:rsid w:val="001830BA"/>
    <w:rsid w:val="001835CA"/>
    <w:rsid w:val="00183766"/>
    <w:rsid w:val="0018393B"/>
    <w:rsid w:val="00183974"/>
    <w:rsid w:val="00183CE0"/>
    <w:rsid w:val="00184A3B"/>
    <w:rsid w:val="00184C54"/>
    <w:rsid w:val="00184C5C"/>
    <w:rsid w:val="0018522F"/>
    <w:rsid w:val="001852A5"/>
    <w:rsid w:val="00185F72"/>
    <w:rsid w:val="001862B4"/>
    <w:rsid w:val="00186535"/>
    <w:rsid w:val="0018693F"/>
    <w:rsid w:val="00186A05"/>
    <w:rsid w:val="00186A96"/>
    <w:rsid w:val="00186CA5"/>
    <w:rsid w:val="00186D33"/>
    <w:rsid w:val="00187188"/>
    <w:rsid w:val="001871F9"/>
    <w:rsid w:val="00187A31"/>
    <w:rsid w:val="00187B2F"/>
    <w:rsid w:val="00187FBB"/>
    <w:rsid w:val="001904A5"/>
    <w:rsid w:val="00190670"/>
    <w:rsid w:val="0019179A"/>
    <w:rsid w:val="00191BA9"/>
    <w:rsid w:val="00191EDA"/>
    <w:rsid w:val="0019203A"/>
    <w:rsid w:val="00192295"/>
    <w:rsid w:val="001922E6"/>
    <w:rsid w:val="00192395"/>
    <w:rsid w:val="0019254A"/>
    <w:rsid w:val="00192604"/>
    <w:rsid w:val="00192665"/>
    <w:rsid w:val="0019271D"/>
    <w:rsid w:val="00192A9E"/>
    <w:rsid w:val="00192B12"/>
    <w:rsid w:val="00192CB6"/>
    <w:rsid w:val="00192E0A"/>
    <w:rsid w:val="001930EE"/>
    <w:rsid w:val="00193245"/>
    <w:rsid w:val="001932C0"/>
    <w:rsid w:val="00193330"/>
    <w:rsid w:val="00193631"/>
    <w:rsid w:val="0019363F"/>
    <w:rsid w:val="00193776"/>
    <w:rsid w:val="00193C8E"/>
    <w:rsid w:val="0019412F"/>
    <w:rsid w:val="001947E7"/>
    <w:rsid w:val="0019496B"/>
    <w:rsid w:val="00194D14"/>
    <w:rsid w:val="00194D7D"/>
    <w:rsid w:val="00194EF9"/>
    <w:rsid w:val="00194F23"/>
    <w:rsid w:val="00195542"/>
    <w:rsid w:val="00195EE6"/>
    <w:rsid w:val="00196216"/>
    <w:rsid w:val="0019640A"/>
    <w:rsid w:val="00196F25"/>
    <w:rsid w:val="00196FC8"/>
    <w:rsid w:val="00197058"/>
    <w:rsid w:val="0019753F"/>
    <w:rsid w:val="00197BC1"/>
    <w:rsid w:val="00197EA8"/>
    <w:rsid w:val="001A04F8"/>
    <w:rsid w:val="001A05D8"/>
    <w:rsid w:val="001A05E5"/>
    <w:rsid w:val="001A06B8"/>
    <w:rsid w:val="001A0E19"/>
    <w:rsid w:val="001A10FE"/>
    <w:rsid w:val="001A1545"/>
    <w:rsid w:val="001A17C3"/>
    <w:rsid w:val="001A1CF4"/>
    <w:rsid w:val="001A1D1D"/>
    <w:rsid w:val="001A279E"/>
    <w:rsid w:val="001A290C"/>
    <w:rsid w:val="001A2EE6"/>
    <w:rsid w:val="001A31B1"/>
    <w:rsid w:val="001A366D"/>
    <w:rsid w:val="001A374D"/>
    <w:rsid w:val="001A3FEC"/>
    <w:rsid w:val="001A4158"/>
    <w:rsid w:val="001A42BF"/>
    <w:rsid w:val="001A45D0"/>
    <w:rsid w:val="001A4C91"/>
    <w:rsid w:val="001A4E6C"/>
    <w:rsid w:val="001A54AD"/>
    <w:rsid w:val="001A5719"/>
    <w:rsid w:val="001A5B4B"/>
    <w:rsid w:val="001A5CC3"/>
    <w:rsid w:val="001A6229"/>
    <w:rsid w:val="001A6345"/>
    <w:rsid w:val="001A654C"/>
    <w:rsid w:val="001A6A64"/>
    <w:rsid w:val="001A7435"/>
    <w:rsid w:val="001A7B8F"/>
    <w:rsid w:val="001A7EDE"/>
    <w:rsid w:val="001B0332"/>
    <w:rsid w:val="001B0400"/>
    <w:rsid w:val="001B0938"/>
    <w:rsid w:val="001B0A00"/>
    <w:rsid w:val="001B0A0A"/>
    <w:rsid w:val="001B0D0B"/>
    <w:rsid w:val="001B10A8"/>
    <w:rsid w:val="001B1236"/>
    <w:rsid w:val="001B1B4F"/>
    <w:rsid w:val="001B1DB5"/>
    <w:rsid w:val="001B1DD0"/>
    <w:rsid w:val="001B1E28"/>
    <w:rsid w:val="001B1E4F"/>
    <w:rsid w:val="001B2198"/>
    <w:rsid w:val="001B2284"/>
    <w:rsid w:val="001B2694"/>
    <w:rsid w:val="001B26CD"/>
    <w:rsid w:val="001B2A97"/>
    <w:rsid w:val="001B3084"/>
    <w:rsid w:val="001B30DB"/>
    <w:rsid w:val="001B37B8"/>
    <w:rsid w:val="001B37E6"/>
    <w:rsid w:val="001B3ED8"/>
    <w:rsid w:val="001B3EE4"/>
    <w:rsid w:val="001B4172"/>
    <w:rsid w:val="001B44A4"/>
    <w:rsid w:val="001B4752"/>
    <w:rsid w:val="001B4C32"/>
    <w:rsid w:val="001B4C5E"/>
    <w:rsid w:val="001B4DA0"/>
    <w:rsid w:val="001B50A8"/>
    <w:rsid w:val="001B5147"/>
    <w:rsid w:val="001B531C"/>
    <w:rsid w:val="001B5B44"/>
    <w:rsid w:val="001B62EB"/>
    <w:rsid w:val="001B65C9"/>
    <w:rsid w:val="001B68A0"/>
    <w:rsid w:val="001B7220"/>
    <w:rsid w:val="001B7712"/>
    <w:rsid w:val="001B78D7"/>
    <w:rsid w:val="001B7A73"/>
    <w:rsid w:val="001B7B96"/>
    <w:rsid w:val="001B7D41"/>
    <w:rsid w:val="001B7EB9"/>
    <w:rsid w:val="001B7FF0"/>
    <w:rsid w:val="001C03F4"/>
    <w:rsid w:val="001C0A7B"/>
    <w:rsid w:val="001C0AB4"/>
    <w:rsid w:val="001C0BEC"/>
    <w:rsid w:val="001C12DD"/>
    <w:rsid w:val="001C14AB"/>
    <w:rsid w:val="001C1660"/>
    <w:rsid w:val="001C19C0"/>
    <w:rsid w:val="001C21D3"/>
    <w:rsid w:val="001C23B7"/>
    <w:rsid w:val="001C2EFB"/>
    <w:rsid w:val="001C2F0F"/>
    <w:rsid w:val="001C2F26"/>
    <w:rsid w:val="001C3161"/>
    <w:rsid w:val="001C384F"/>
    <w:rsid w:val="001C3A57"/>
    <w:rsid w:val="001C491B"/>
    <w:rsid w:val="001C5323"/>
    <w:rsid w:val="001C55B3"/>
    <w:rsid w:val="001C5765"/>
    <w:rsid w:val="001C629C"/>
    <w:rsid w:val="001C6585"/>
    <w:rsid w:val="001C658B"/>
    <w:rsid w:val="001C6773"/>
    <w:rsid w:val="001C687C"/>
    <w:rsid w:val="001C68AC"/>
    <w:rsid w:val="001C6D9F"/>
    <w:rsid w:val="001C6DDD"/>
    <w:rsid w:val="001C6EB5"/>
    <w:rsid w:val="001C7084"/>
    <w:rsid w:val="001C709B"/>
    <w:rsid w:val="001C72F0"/>
    <w:rsid w:val="001C79B8"/>
    <w:rsid w:val="001C7CF9"/>
    <w:rsid w:val="001D01C8"/>
    <w:rsid w:val="001D027C"/>
    <w:rsid w:val="001D0722"/>
    <w:rsid w:val="001D0AE3"/>
    <w:rsid w:val="001D13D1"/>
    <w:rsid w:val="001D13E7"/>
    <w:rsid w:val="001D1593"/>
    <w:rsid w:val="001D180A"/>
    <w:rsid w:val="001D19E4"/>
    <w:rsid w:val="001D1B73"/>
    <w:rsid w:val="001D1D29"/>
    <w:rsid w:val="001D1F90"/>
    <w:rsid w:val="001D2066"/>
    <w:rsid w:val="001D2926"/>
    <w:rsid w:val="001D2932"/>
    <w:rsid w:val="001D2C61"/>
    <w:rsid w:val="001D2F2D"/>
    <w:rsid w:val="001D35F7"/>
    <w:rsid w:val="001D37F5"/>
    <w:rsid w:val="001D39BD"/>
    <w:rsid w:val="001D3A9A"/>
    <w:rsid w:val="001D3C30"/>
    <w:rsid w:val="001D4588"/>
    <w:rsid w:val="001D4DAB"/>
    <w:rsid w:val="001D5802"/>
    <w:rsid w:val="001D5984"/>
    <w:rsid w:val="001D59D9"/>
    <w:rsid w:val="001D5CB5"/>
    <w:rsid w:val="001D6440"/>
    <w:rsid w:val="001D6631"/>
    <w:rsid w:val="001D69C6"/>
    <w:rsid w:val="001D6CBC"/>
    <w:rsid w:val="001D6D64"/>
    <w:rsid w:val="001D7230"/>
    <w:rsid w:val="001D7333"/>
    <w:rsid w:val="001E0420"/>
    <w:rsid w:val="001E07DD"/>
    <w:rsid w:val="001E0F16"/>
    <w:rsid w:val="001E10AE"/>
    <w:rsid w:val="001E145A"/>
    <w:rsid w:val="001E17DE"/>
    <w:rsid w:val="001E19C0"/>
    <w:rsid w:val="001E21FE"/>
    <w:rsid w:val="001E222D"/>
    <w:rsid w:val="001E24E9"/>
    <w:rsid w:val="001E24FD"/>
    <w:rsid w:val="001E2974"/>
    <w:rsid w:val="001E2A05"/>
    <w:rsid w:val="001E2AFA"/>
    <w:rsid w:val="001E2F52"/>
    <w:rsid w:val="001E30F4"/>
    <w:rsid w:val="001E320E"/>
    <w:rsid w:val="001E3B53"/>
    <w:rsid w:val="001E3F18"/>
    <w:rsid w:val="001E45FA"/>
    <w:rsid w:val="001E4AB2"/>
    <w:rsid w:val="001E4E39"/>
    <w:rsid w:val="001E5111"/>
    <w:rsid w:val="001E51B7"/>
    <w:rsid w:val="001E54FF"/>
    <w:rsid w:val="001E57A7"/>
    <w:rsid w:val="001E5A75"/>
    <w:rsid w:val="001E5C6F"/>
    <w:rsid w:val="001E61BE"/>
    <w:rsid w:val="001E67E1"/>
    <w:rsid w:val="001E69F1"/>
    <w:rsid w:val="001E6A58"/>
    <w:rsid w:val="001E6DF7"/>
    <w:rsid w:val="001E6F11"/>
    <w:rsid w:val="001E7080"/>
    <w:rsid w:val="001E7256"/>
    <w:rsid w:val="001E734B"/>
    <w:rsid w:val="001E7363"/>
    <w:rsid w:val="001E7398"/>
    <w:rsid w:val="001E7702"/>
    <w:rsid w:val="001E7A82"/>
    <w:rsid w:val="001E7E6E"/>
    <w:rsid w:val="001F0079"/>
    <w:rsid w:val="001F00E4"/>
    <w:rsid w:val="001F059E"/>
    <w:rsid w:val="001F0787"/>
    <w:rsid w:val="001F0AF2"/>
    <w:rsid w:val="001F0FFB"/>
    <w:rsid w:val="001F102D"/>
    <w:rsid w:val="001F1074"/>
    <w:rsid w:val="001F15AC"/>
    <w:rsid w:val="001F174E"/>
    <w:rsid w:val="001F1DA2"/>
    <w:rsid w:val="001F1E1E"/>
    <w:rsid w:val="001F227F"/>
    <w:rsid w:val="001F2563"/>
    <w:rsid w:val="001F28B0"/>
    <w:rsid w:val="001F2AEC"/>
    <w:rsid w:val="001F2EA4"/>
    <w:rsid w:val="001F35A2"/>
    <w:rsid w:val="001F4206"/>
    <w:rsid w:val="001F4227"/>
    <w:rsid w:val="001F4F7E"/>
    <w:rsid w:val="001F4FD3"/>
    <w:rsid w:val="001F50F0"/>
    <w:rsid w:val="001F5136"/>
    <w:rsid w:val="001F53CA"/>
    <w:rsid w:val="001F5420"/>
    <w:rsid w:val="001F58D9"/>
    <w:rsid w:val="001F5A20"/>
    <w:rsid w:val="001F5CE6"/>
    <w:rsid w:val="001F65B5"/>
    <w:rsid w:val="001F6C64"/>
    <w:rsid w:val="001F6D16"/>
    <w:rsid w:val="001F6DDD"/>
    <w:rsid w:val="001F70D7"/>
    <w:rsid w:val="001F722F"/>
    <w:rsid w:val="001F7295"/>
    <w:rsid w:val="001F7588"/>
    <w:rsid w:val="001F7850"/>
    <w:rsid w:val="001F78E3"/>
    <w:rsid w:val="001F7929"/>
    <w:rsid w:val="001F7A7D"/>
    <w:rsid w:val="00200491"/>
    <w:rsid w:val="00200607"/>
    <w:rsid w:val="00200824"/>
    <w:rsid w:val="00200CD5"/>
    <w:rsid w:val="00201504"/>
    <w:rsid w:val="00201FCC"/>
    <w:rsid w:val="00202098"/>
    <w:rsid w:val="002026F6"/>
    <w:rsid w:val="00202730"/>
    <w:rsid w:val="002028AC"/>
    <w:rsid w:val="00202E0D"/>
    <w:rsid w:val="00202E37"/>
    <w:rsid w:val="00202EF0"/>
    <w:rsid w:val="0020314E"/>
    <w:rsid w:val="002033B3"/>
    <w:rsid w:val="00203504"/>
    <w:rsid w:val="002035D4"/>
    <w:rsid w:val="002036EC"/>
    <w:rsid w:val="00203708"/>
    <w:rsid w:val="00203842"/>
    <w:rsid w:val="00203FD7"/>
    <w:rsid w:val="00204552"/>
    <w:rsid w:val="0020489C"/>
    <w:rsid w:val="00204AE0"/>
    <w:rsid w:val="002051CE"/>
    <w:rsid w:val="002052E3"/>
    <w:rsid w:val="0020665C"/>
    <w:rsid w:val="0020731A"/>
    <w:rsid w:val="002074C7"/>
    <w:rsid w:val="00207536"/>
    <w:rsid w:val="002077BA"/>
    <w:rsid w:val="00207AAF"/>
    <w:rsid w:val="00207FC7"/>
    <w:rsid w:val="00210DEE"/>
    <w:rsid w:val="00211166"/>
    <w:rsid w:val="00211280"/>
    <w:rsid w:val="00211511"/>
    <w:rsid w:val="0021219D"/>
    <w:rsid w:val="002122DE"/>
    <w:rsid w:val="00212CB9"/>
    <w:rsid w:val="002130D2"/>
    <w:rsid w:val="002134EB"/>
    <w:rsid w:val="00213AB0"/>
    <w:rsid w:val="00213FD4"/>
    <w:rsid w:val="0021502E"/>
    <w:rsid w:val="00215459"/>
    <w:rsid w:val="00215947"/>
    <w:rsid w:val="002159D7"/>
    <w:rsid w:val="00215A49"/>
    <w:rsid w:val="00215C2E"/>
    <w:rsid w:val="002161D0"/>
    <w:rsid w:val="00216268"/>
    <w:rsid w:val="00216574"/>
    <w:rsid w:val="002165DF"/>
    <w:rsid w:val="00216698"/>
    <w:rsid w:val="00216910"/>
    <w:rsid w:val="002169AE"/>
    <w:rsid w:val="00216C10"/>
    <w:rsid w:val="002173F6"/>
    <w:rsid w:val="00217DBD"/>
    <w:rsid w:val="00217F16"/>
    <w:rsid w:val="002201F8"/>
    <w:rsid w:val="0022061E"/>
    <w:rsid w:val="0022078B"/>
    <w:rsid w:val="00221022"/>
    <w:rsid w:val="002210FA"/>
    <w:rsid w:val="002211C5"/>
    <w:rsid w:val="00221633"/>
    <w:rsid w:val="00221684"/>
    <w:rsid w:val="002216AA"/>
    <w:rsid w:val="0022202E"/>
    <w:rsid w:val="00222450"/>
    <w:rsid w:val="00222678"/>
    <w:rsid w:val="002229EC"/>
    <w:rsid w:val="00222BC9"/>
    <w:rsid w:val="00222EB4"/>
    <w:rsid w:val="00223081"/>
    <w:rsid w:val="0022316E"/>
    <w:rsid w:val="00223470"/>
    <w:rsid w:val="00223724"/>
    <w:rsid w:val="00223DB7"/>
    <w:rsid w:val="00224029"/>
    <w:rsid w:val="0022541B"/>
    <w:rsid w:val="00225588"/>
    <w:rsid w:val="002256CF"/>
    <w:rsid w:val="002258DA"/>
    <w:rsid w:val="00225D1F"/>
    <w:rsid w:val="0022636F"/>
    <w:rsid w:val="002264CB"/>
    <w:rsid w:val="002266DB"/>
    <w:rsid w:val="00226C9E"/>
    <w:rsid w:val="00226DC3"/>
    <w:rsid w:val="00226E91"/>
    <w:rsid w:val="00227AA9"/>
    <w:rsid w:val="00227CF7"/>
    <w:rsid w:val="00227FE7"/>
    <w:rsid w:val="00230062"/>
    <w:rsid w:val="00230498"/>
    <w:rsid w:val="002306FA"/>
    <w:rsid w:val="00230744"/>
    <w:rsid w:val="00230896"/>
    <w:rsid w:val="00230B9D"/>
    <w:rsid w:val="0023124F"/>
    <w:rsid w:val="002312CA"/>
    <w:rsid w:val="002313D2"/>
    <w:rsid w:val="00231457"/>
    <w:rsid w:val="00231585"/>
    <w:rsid w:val="0023214F"/>
    <w:rsid w:val="00232278"/>
    <w:rsid w:val="00232649"/>
    <w:rsid w:val="0023273A"/>
    <w:rsid w:val="002328E9"/>
    <w:rsid w:val="00233042"/>
    <w:rsid w:val="00233154"/>
    <w:rsid w:val="002333D9"/>
    <w:rsid w:val="0023349B"/>
    <w:rsid w:val="0023351E"/>
    <w:rsid w:val="002337D5"/>
    <w:rsid w:val="00233A6A"/>
    <w:rsid w:val="00233B3F"/>
    <w:rsid w:val="00233DFB"/>
    <w:rsid w:val="00233FED"/>
    <w:rsid w:val="002344BC"/>
    <w:rsid w:val="00234999"/>
    <w:rsid w:val="00234E11"/>
    <w:rsid w:val="002351B4"/>
    <w:rsid w:val="002358C7"/>
    <w:rsid w:val="00235992"/>
    <w:rsid w:val="00236383"/>
    <w:rsid w:val="00236A11"/>
    <w:rsid w:val="00236BF4"/>
    <w:rsid w:val="00237064"/>
    <w:rsid w:val="00237274"/>
    <w:rsid w:val="00237700"/>
    <w:rsid w:val="002377F9"/>
    <w:rsid w:val="0023785B"/>
    <w:rsid w:val="002379F7"/>
    <w:rsid w:val="00237F59"/>
    <w:rsid w:val="00237FDE"/>
    <w:rsid w:val="00240213"/>
    <w:rsid w:val="002406CD"/>
    <w:rsid w:val="002409BF"/>
    <w:rsid w:val="00240BF3"/>
    <w:rsid w:val="00240E13"/>
    <w:rsid w:val="0024123B"/>
    <w:rsid w:val="002419B8"/>
    <w:rsid w:val="00241A0D"/>
    <w:rsid w:val="00241CAB"/>
    <w:rsid w:val="00241FB2"/>
    <w:rsid w:val="0024231C"/>
    <w:rsid w:val="0024266E"/>
    <w:rsid w:val="0024268F"/>
    <w:rsid w:val="00242AFB"/>
    <w:rsid w:val="00242D10"/>
    <w:rsid w:val="002437D9"/>
    <w:rsid w:val="00243821"/>
    <w:rsid w:val="00243D46"/>
    <w:rsid w:val="00243DA7"/>
    <w:rsid w:val="0024407E"/>
    <w:rsid w:val="00244800"/>
    <w:rsid w:val="00244BD7"/>
    <w:rsid w:val="00244EFB"/>
    <w:rsid w:val="00244F84"/>
    <w:rsid w:val="0024500A"/>
    <w:rsid w:val="0024620A"/>
    <w:rsid w:val="0024658B"/>
    <w:rsid w:val="00246623"/>
    <w:rsid w:val="00246DB5"/>
    <w:rsid w:val="0024758B"/>
    <w:rsid w:val="00247AC2"/>
    <w:rsid w:val="00247F77"/>
    <w:rsid w:val="002504ED"/>
    <w:rsid w:val="00250641"/>
    <w:rsid w:val="00250738"/>
    <w:rsid w:val="00250B02"/>
    <w:rsid w:val="00250B2A"/>
    <w:rsid w:val="00250CA9"/>
    <w:rsid w:val="002513F0"/>
    <w:rsid w:val="00251421"/>
    <w:rsid w:val="00251778"/>
    <w:rsid w:val="00251A99"/>
    <w:rsid w:val="00251BD8"/>
    <w:rsid w:val="00251CDB"/>
    <w:rsid w:val="00251EC5"/>
    <w:rsid w:val="0025220A"/>
    <w:rsid w:val="002522F2"/>
    <w:rsid w:val="0025251F"/>
    <w:rsid w:val="00252602"/>
    <w:rsid w:val="00252709"/>
    <w:rsid w:val="002529F7"/>
    <w:rsid w:val="00253482"/>
    <w:rsid w:val="002534EC"/>
    <w:rsid w:val="00253738"/>
    <w:rsid w:val="002537E1"/>
    <w:rsid w:val="002539CF"/>
    <w:rsid w:val="00253CD5"/>
    <w:rsid w:val="00253DEB"/>
    <w:rsid w:val="00254172"/>
    <w:rsid w:val="00254223"/>
    <w:rsid w:val="002542B3"/>
    <w:rsid w:val="0025465D"/>
    <w:rsid w:val="0025481A"/>
    <w:rsid w:val="002548CC"/>
    <w:rsid w:val="00254C71"/>
    <w:rsid w:val="00254FE7"/>
    <w:rsid w:val="002558EB"/>
    <w:rsid w:val="00255A33"/>
    <w:rsid w:val="00255DEF"/>
    <w:rsid w:val="00255E24"/>
    <w:rsid w:val="00256351"/>
    <w:rsid w:val="00256498"/>
    <w:rsid w:val="0025662C"/>
    <w:rsid w:val="00256B39"/>
    <w:rsid w:val="00257740"/>
    <w:rsid w:val="00257E22"/>
    <w:rsid w:val="00257E90"/>
    <w:rsid w:val="00260678"/>
    <w:rsid w:val="00260903"/>
    <w:rsid w:val="002609A1"/>
    <w:rsid w:val="00260A20"/>
    <w:rsid w:val="00260C50"/>
    <w:rsid w:val="00260F26"/>
    <w:rsid w:val="00261110"/>
    <w:rsid w:val="0026114E"/>
    <w:rsid w:val="00261201"/>
    <w:rsid w:val="002614E2"/>
    <w:rsid w:val="0026172C"/>
    <w:rsid w:val="002619FD"/>
    <w:rsid w:val="00261B29"/>
    <w:rsid w:val="00261D5C"/>
    <w:rsid w:val="00261DFF"/>
    <w:rsid w:val="00261E01"/>
    <w:rsid w:val="0026208F"/>
    <w:rsid w:val="00262254"/>
    <w:rsid w:val="0026237B"/>
    <w:rsid w:val="002624C2"/>
    <w:rsid w:val="00262977"/>
    <w:rsid w:val="00262CDA"/>
    <w:rsid w:val="00262CF3"/>
    <w:rsid w:val="00262DFA"/>
    <w:rsid w:val="002631CC"/>
    <w:rsid w:val="00263353"/>
    <w:rsid w:val="00263819"/>
    <w:rsid w:val="00263822"/>
    <w:rsid w:val="00263827"/>
    <w:rsid w:val="00263D57"/>
    <w:rsid w:val="00263DBB"/>
    <w:rsid w:val="0026413D"/>
    <w:rsid w:val="002647CC"/>
    <w:rsid w:val="00264C33"/>
    <w:rsid w:val="00264E05"/>
    <w:rsid w:val="00264F1D"/>
    <w:rsid w:val="002653A9"/>
    <w:rsid w:val="002654EB"/>
    <w:rsid w:val="00265540"/>
    <w:rsid w:val="00265CDE"/>
    <w:rsid w:val="00266017"/>
    <w:rsid w:val="00266A0B"/>
    <w:rsid w:val="00266F64"/>
    <w:rsid w:val="0026733A"/>
    <w:rsid w:val="00267365"/>
    <w:rsid w:val="00267DB4"/>
    <w:rsid w:val="00267E80"/>
    <w:rsid w:val="00267F8A"/>
    <w:rsid w:val="00270005"/>
    <w:rsid w:val="00270280"/>
    <w:rsid w:val="00270869"/>
    <w:rsid w:val="00270DC6"/>
    <w:rsid w:val="002716D4"/>
    <w:rsid w:val="002716F7"/>
    <w:rsid w:val="0027175F"/>
    <w:rsid w:val="00271E05"/>
    <w:rsid w:val="002720FF"/>
    <w:rsid w:val="0027266F"/>
    <w:rsid w:val="00272673"/>
    <w:rsid w:val="00272839"/>
    <w:rsid w:val="00272A41"/>
    <w:rsid w:val="00272B1F"/>
    <w:rsid w:val="00272F26"/>
    <w:rsid w:val="00273444"/>
    <w:rsid w:val="0027361B"/>
    <w:rsid w:val="00273E1B"/>
    <w:rsid w:val="00274002"/>
    <w:rsid w:val="00274171"/>
    <w:rsid w:val="00274828"/>
    <w:rsid w:val="00274C17"/>
    <w:rsid w:val="00274C6C"/>
    <w:rsid w:val="00274CE7"/>
    <w:rsid w:val="00274EFB"/>
    <w:rsid w:val="00275144"/>
    <w:rsid w:val="0027516E"/>
    <w:rsid w:val="00275411"/>
    <w:rsid w:val="00275F81"/>
    <w:rsid w:val="00276015"/>
    <w:rsid w:val="0027613F"/>
    <w:rsid w:val="00276149"/>
    <w:rsid w:val="00276462"/>
    <w:rsid w:val="00276763"/>
    <w:rsid w:val="00276A2B"/>
    <w:rsid w:val="00276B9A"/>
    <w:rsid w:val="00276C22"/>
    <w:rsid w:val="00276C2E"/>
    <w:rsid w:val="00276CAA"/>
    <w:rsid w:val="00276D6F"/>
    <w:rsid w:val="00276E84"/>
    <w:rsid w:val="00276F5D"/>
    <w:rsid w:val="00277893"/>
    <w:rsid w:val="00277A12"/>
    <w:rsid w:val="00277AC9"/>
    <w:rsid w:val="00277F3F"/>
    <w:rsid w:val="00280A5F"/>
    <w:rsid w:val="00280B0C"/>
    <w:rsid w:val="00280C6D"/>
    <w:rsid w:val="00280F4F"/>
    <w:rsid w:val="00280FB1"/>
    <w:rsid w:val="00281065"/>
    <w:rsid w:val="0028165C"/>
    <w:rsid w:val="00281B09"/>
    <w:rsid w:val="002820B9"/>
    <w:rsid w:val="00282344"/>
    <w:rsid w:val="0028290E"/>
    <w:rsid w:val="00282AB5"/>
    <w:rsid w:val="00282BA9"/>
    <w:rsid w:val="00282EE4"/>
    <w:rsid w:val="00283360"/>
    <w:rsid w:val="00283664"/>
    <w:rsid w:val="00283AAB"/>
    <w:rsid w:val="00283D18"/>
    <w:rsid w:val="00283DBF"/>
    <w:rsid w:val="00283E78"/>
    <w:rsid w:val="002849FD"/>
    <w:rsid w:val="00284B30"/>
    <w:rsid w:val="00284C45"/>
    <w:rsid w:val="002851E7"/>
    <w:rsid w:val="0028532A"/>
    <w:rsid w:val="002856F4"/>
    <w:rsid w:val="00285A29"/>
    <w:rsid w:val="00285E38"/>
    <w:rsid w:val="00286041"/>
    <w:rsid w:val="0028689F"/>
    <w:rsid w:val="002869B2"/>
    <w:rsid w:val="00286A47"/>
    <w:rsid w:val="00286D92"/>
    <w:rsid w:val="00286E53"/>
    <w:rsid w:val="00287732"/>
    <w:rsid w:val="00287882"/>
    <w:rsid w:val="00287920"/>
    <w:rsid w:val="00287E1B"/>
    <w:rsid w:val="0029012B"/>
    <w:rsid w:val="00290745"/>
    <w:rsid w:val="0029082B"/>
    <w:rsid w:val="002909CD"/>
    <w:rsid w:val="00290ABC"/>
    <w:rsid w:val="00290EAE"/>
    <w:rsid w:val="00291796"/>
    <w:rsid w:val="00291AAB"/>
    <w:rsid w:val="00291ABD"/>
    <w:rsid w:val="002922AB"/>
    <w:rsid w:val="00292A68"/>
    <w:rsid w:val="00292C6A"/>
    <w:rsid w:val="00292CB8"/>
    <w:rsid w:val="00292DC8"/>
    <w:rsid w:val="00292FC2"/>
    <w:rsid w:val="00293162"/>
    <w:rsid w:val="0029319C"/>
    <w:rsid w:val="00293739"/>
    <w:rsid w:val="002938CA"/>
    <w:rsid w:val="00293A83"/>
    <w:rsid w:val="00293C00"/>
    <w:rsid w:val="00293FD6"/>
    <w:rsid w:val="002940A0"/>
    <w:rsid w:val="002940C5"/>
    <w:rsid w:val="002942B7"/>
    <w:rsid w:val="0029455D"/>
    <w:rsid w:val="002952B6"/>
    <w:rsid w:val="00295332"/>
    <w:rsid w:val="0029551B"/>
    <w:rsid w:val="0029579E"/>
    <w:rsid w:val="0029591F"/>
    <w:rsid w:val="00295E36"/>
    <w:rsid w:val="002964A6"/>
    <w:rsid w:val="0029688C"/>
    <w:rsid w:val="00296941"/>
    <w:rsid w:val="002969B3"/>
    <w:rsid w:val="00296E62"/>
    <w:rsid w:val="002972F1"/>
    <w:rsid w:val="002976A4"/>
    <w:rsid w:val="00297903"/>
    <w:rsid w:val="00297CD2"/>
    <w:rsid w:val="00297F4D"/>
    <w:rsid w:val="002A03A7"/>
    <w:rsid w:val="002A0408"/>
    <w:rsid w:val="002A04B2"/>
    <w:rsid w:val="002A062C"/>
    <w:rsid w:val="002A09E7"/>
    <w:rsid w:val="002A13BA"/>
    <w:rsid w:val="002A1452"/>
    <w:rsid w:val="002A1BC0"/>
    <w:rsid w:val="002A1BC7"/>
    <w:rsid w:val="002A1DC4"/>
    <w:rsid w:val="002A242C"/>
    <w:rsid w:val="002A2A7A"/>
    <w:rsid w:val="002A2CC2"/>
    <w:rsid w:val="002A2E48"/>
    <w:rsid w:val="002A338C"/>
    <w:rsid w:val="002A35E0"/>
    <w:rsid w:val="002A3776"/>
    <w:rsid w:val="002A37BF"/>
    <w:rsid w:val="002A3B2B"/>
    <w:rsid w:val="002A3E51"/>
    <w:rsid w:val="002A4CE8"/>
    <w:rsid w:val="002A5130"/>
    <w:rsid w:val="002A5284"/>
    <w:rsid w:val="002A52A3"/>
    <w:rsid w:val="002A5674"/>
    <w:rsid w:val="002A57CE"/>
    <w:rsid w:val="002A5ABA"/>
    <w:rsid w:val="002A613C"/>
    <w:rsid w:val="002A65FA"/>
    <w:rsid w:val="002A6AFC"/>
    <w:rsid w:val="002A6BCA"/>
    <w:rsid w:val="002A7085"/>
    <w:rsid w:val="002A72D6"/>
    <w:rsid w:val="002A7433"/>
    <w:rsid w:val="002A7463"/>
    <w:rsid w:val="002A7655"/>
    <w:rsid w:val="002A7D7A"/>
    <w:rsid w:val="002A7EC4"/>
    <w:rsid w:val="002B02C5"/>
    <w:rsid w:val="002B09DC"/>
    <w:rsid w:val="002B0FB5"/>
    <w:rsid w:val="002B103C"/>
    <w:rsid w:val="002B144B"/>
    <w:rsid w:val="002B150E"/>
    <w:rsid w:val="002B16ED"/>
    <w:rsid w:val="002B1D54"/>
    <w:rsid w:val="002B1E9E"/>
    <w:rsid w:val="002B216E"/>
    <w:rsid w:val="002B24AC"/>
    <w:rsid w:val="002B24D0"/>
    <w:rsid w:val="002B29E2"/>
    <w:rsid w:val="002B2A2C"/>
    <w:rsid w:val="002B2B3C"/>
    <w:rsid w:val="002B3282"/>
    <w:rsid w:val="002B3D35"/>
    <w:rsid w:val="002B3F87"/>
    <w:rsid w:val="002B407A"/>
    <w:rsid w:val="002B4139"/>
    <w:rsid w:val="002B4359"/>
    <w:rsid w:val="002B46CB"/>
    <w:rsid w:val="002B4ED0"/>
    <w:rsid w:val="002B55A8"/>
    <w:rsid w:val="002B5653"/>
    <w:rsid w:val="002B5E06"/>
    <w:rsid w:val="002B658D"/>
    <w:rsid w:val="002B6BDD"/>
    <w:rsid w:val="002B6CA7"/>
    <w:rsid w:val="002B6F0C"/>
    <w:rsid w:val="002B70B9"/>
    <w:rsid w:val="002B717B"/>
    <w:rsid w:val="002B717E"/>
    <w:rsid w:val="002B71FF"/>
    <w:rsid w:val="002B7277"/>
    <w:rsid w:val="002B7B0A"/>
    <w:rsid w:val="002B7B92"/>
    <w:rsid w:val="002C08EC"/>
    <w:rsid w:val="002C0A24"/>
    <w:rsid w:val="002C12C6"/>
    <w:rsid w:val="002C1398"/>
    <w:rsid w:val="002C1748"/>
    <w:rsid w:val="002C1BB2"/>
    <w:rsid w:val="002C2566"/>
    <w:rsid w:val="002C259E"/>
    <w:rsid w:val="002C2DD4"/>
    <w:rsid w:val="002C334B"/>
    <w:rsid w:val="002C3939"/>
    <w:rsid w:val="002C4CE6"/>
    <w:rsid w:val="002C5303"/>
    <w:rsid w:val="002C55EE"/>
    <w:rsid w:val="002C5D6B"/>
    <w:rsid w:val="002C60CB"/>
    <w:rsid w:val="002C6617"/>
    <w:rsid w:val="002C66FC"/>
    <w:rsid w:val="002C6A7B"/>
    <w:rsid w:val="002C6F4C"/>
    <w:rsid w:val="002C72F0"/>
    <w:rsid w:val="002C74B3"/>
    <w:rsid w:val="002C75EE"/>
    <w:rsid w:val="002C7AD0"/>
    <w:rsid w:val="002C7C65"/>
    <w:rsid w:val="002D00E1"/>
    <w:rsid w:val="002D034E"/>
    <w:rsid w:val="002D078D"/>
    <w:rsid w:val="002D07F3"/>
    <w:rsid w:val="002D09CF"/>
    <w:rsid w:val="002D0CE6"/>
    <w:rsid w:val="002D11E9"/>
    <w:rsid w:val="002D129B"/>
    <w:rsid w:val="002D1551"/>
    <w:rsid w:val="002D16A5"/>
    <w:rsid w:val="002D19E6"/>
    <w:rsid w:val="002D1A7A"/>
    <w:rsid w:val="002D27BC"/>
    <w:rsid w:val="002D2C30"/>
    <w:rsid w:val="002D2CEB"/>
    <w:rsid w:val="002D382A"/>
    <w:rsid w:val="002D3978"/>
    <w:rsid w:val="002D3ED7"/>
    <w:rsid w:val="002D402D"/>
    <w:rsid w:val="002D40B4"/>
    <w:rsid w:val="002D4238"/>
    <w:rsid w:val="002D4879"/>
    <w:rsid w:val="002D496E"/>
    <w:rsid w:val="002D4B08"/>
    <w:rsid w:val="002D4DEC"/>
    <w:rsid w:val="002D4F83"/>
    <w:rsid w:val="002D541C"/>
    <w:rsid w:val="002D5C92"/>
    <w:rsid w:val="002D5E08"/>
    <w:rsid w:val="002D5EE2"/>
    <w:rsid w:val="002D64AB"/>
    <w:rsid w:val="002D6913"/>
    <w:rsid w:val="002D6DD4"/>
    <w:rsid w:val="002D6FF1"/>
    <w:rsid w:val="002D7236"/>
    <w:rsid w:val="002D73FF"/>
    <w:rsid w:val="002D7759"/>
    <w:rsid w:val="002D79FE"/>
    <w:rsid w:val="002D7EC8"/>
    <w:rsid w:val="002D7FF1"/>
    <w:rsid w:val="002E077B"/>
    <w:rsid w:val="002E0836"/>
    <w:rsid w:val="002E097F"/>
    <w:rsid w:val="002E1009"/>
    <w:rsid w:val="002E1021"/>
    <w:rsid w:val="002E106B"/>
    <w:rsid w:val="002E1249"/>
    <w:rsid w:val="002E1269"/>
    <w:rsid w:val="002E12E8"/>
    <w:rsid w:val="002E14CA"/>
    <w:rsid w:val="002E1981"/>
    <w:rsid w:val="002E1ACD"/>
    <w:rsid w:val="002E1DC5"/>
    <w:rsid w:val="002E22AA"/>
    <w:rsid w:val="002E27E1"/>
    <w:rsid w:val="002E2880"/>
    <w:rsid w:val="002E3019"/>
    <w:rsid w:val="002E38BE"/>
    <w:rsid w:val="002E4470"/>
    <w:rsid w:val="002E46A5"/>
    <w:rsid w:val="002E490C"/>
    <w:rsid w:val="002E496C"/>
    <w:rsid w:val="002E4E3E"/>
    <w:rsid w:val="002E5068"/>
    <w:rsid w:val="002E51A1"/>
    <w:rsid w:val="002E5395"/>
    <w:rsid w:val="002E55A6"/>
    <w:rsid w:val="002E58B6"/>
    <w:rsid w:val="002E59E1"/>
    <w:rsid w:val="002E5D73"/>
    <w:rsid w:val="002E600B"/>
    <w:rsid w:val="002E66EC"/>
    <w:rsid w:val="002E6E47"/>
    <w:rsid w:val="002E719F"/>
    <w:rsid w:val="002E7BB4"/>
    <w:rsid w:val="002E7D0C"/>
    <w:rsid w:val="002E7E9A"/>
    <w:rsid w:val="002F035F"/>
    <w:rsid w:val="002F1CEF"/>
    <w:rsid w:val="002F1D18"/>
    <w:rsid w:val="002F1F65"/>
    <w:rsid w:val="002F21C2"/>
    <w:rsid w:val="002F21DE"/>
    <w:rsid w:val="002F2226"/>
    <w:rsid w:val="002F225E"/>
    <w:rsid w:val="002F2515"/>
    <w:rsid w:val="002F28E4"/>
    <w:rsid w:val="002F29C2"/>
    <w:rsid w:val="002F2AAA"/>
    <w:rsid w:val="002F2BD1"/>
    <w:rsid w:val="002F30F3"/>
    <w:rsid w:val="002F3601"/>
    <w:rsid w:val="002F36B7"/>
    <w:rsid w:val="002F38E8"/>
    <w:rsid w:val="002F3990"/>
    <w:rsid w:val="002F3C2B"/>
    <w:rsid w:val="002F3F58"/>
    <w:rsid w:val="002F45A8"/>
    <w:rsid w:val="002F47D3"/>
    <w:rsid w:val="002F4855"/>
    <w:rsid w:val="002F4D90"/>
    <w:rsid w:val="002F4F27"/>
    <w:rsid w:val="002F50F9"/>
    <w:rsid w:val="002F5589"/>
    <w:rsid w:val="002F55D1"/>
    <w:rsid w:val="002F5735"/>
    <w:rsid w:val="002F5B3D"/>
    <w:rsid w:val="002F5CFE"/>
    <w:rsid w:val="002F5EE7"/>
    <w:rsid w:val="002F619C"/>
    <w:rsid w:val="002F631A"/>
    <w:rsid w:val="002F70C6"/>
    <w:rsid w:val="002F717C"/>
    <w:rsid w:val="002F757A"/>
    <w:rsid w:val="002F7619"/>
    <w:rsid w:val="002F7738"/>
    <w:rsid w:val="002F7799"/>
    <w:rsid w:val="002F7A0C"/>
    <w:rsid w:val="002F7ADE"/>
    <w:rsid w:val="003001AB"/>
    <w:rsid w:val="00300565"/>
    <w:rsid w:val="003005B5"/>
    <w:rsid w:val="0030091C"/>
    <w:rsid w:val="00300A9A"/>
    <w:rsid w:val="00300ACF"/>
    <w:rsid w:val="003011ED"/>
    <w:rsid w:val="00301824"/>
    <w:rsid w:val="0030263E"/>
    <w:rsid w:val="003028B9"/>
    <w:rsid w:val="00302E20"/>
    <w:rsid w:val="003031E6"/>
    <w:rsid w:val="00303636"/>
    <w:rsid w:val="00303905"/>
    <w:rsid w:val="00303AD5"/>
    <w:rsid w:val="00304134"/>
    <w:rsid w:val="00304188"/>
    <w:rsid w:val="0030437C"/>
    <w:rsid w:val="00304B5A"/>
    <w:rsid w:val="00304EAF"/>
    <w:rsid w:val="0030510E"/>
    <w:rsid w:val="0030558B"/>
    <w:rsid w:val="003056AC"/>
    <w:rsid w:val="00305C21"/>
    <w:rsid w:val="00305DE4"/>
    <w:rsid w:val="00306093"/>
    <w:rsid w:val="0030680F"/>
    <w:rsid w:val="003068E9"/>
    <w:rsid w:val="0030705F"/>
    <w:rsid w:val="00307B6B"/>
    <w:rsid w:val="00307BB2"/>
    <w:rsid w:val="00307D75"/>
    <w:rsid w:val="00310048"/>
    <w:rsid w:val="003102E8"/>
    <w:rsid w:val="003105F5"/>
    <w:rsid w:val="00310D27"/>
    <w:rsid w:val="00312201"/>
    <w:rsid w:val="00312538"/>
    <w:rsid w:val="003129AA"/>
    <w:rsid w:val="00312AE5"/>
    <w:rsid w:val="00312BE6"/>
    <w:rsid w:val="00313386"/>
    <w:rsid w:val="00313962"/>
    <w:rsid w:val="00313A8E"/>
    <w:rsid w:val="00313B64"/>
    <w:rsid w:val="0031482E"/>
    <w:rsid w:val="00314997"/>
    <w:rsid w:val="00314ADD"/>
    <w:rsid w:val="00314D70"/>
    <w:rsid w:val="003153E9"/>
    <w:rsid w:val="0031542E"/>
    <w:rsid w:val="00315824"/>
    <w:rsid w:val="00315C64"/>
    <w:rsid w:val="00316004"/>
    <w:rsid w:val="00316099"/>
    <w:rsid w:val="00316164"/>
    <w:rsid w:val="003162E6"/>
    <w:rsid w:val="0031634C"/>
    <w:rsid w:val="003163E1"/>
    <w:rsid w:val="003166B8"/>
    <w:rsid w:val="003169D0"/>
    <w:rsid w:val="003173FE"/>
    <w:rsid w:val="003174F8"/>
    <w:rsid w:val="003175DA"/>
    <w:rsid w:val="0031769F"/>
    <w:rsid w:val="003179DD"/>
    <w:rsid w:val="00317A49"/>
    <w:rsid w:val="00317A4D"/>
    <w:rsid w:val="003200FA"/>
    <w:rsid w:val="00320134"/>
    <w:rsid w:val="0032015A"/>
    <w:rsid w:val="003208F3"/>
    <w:rsid w:val="00320994"/>
    <w:rsid w:val="00320C34"/>
    <w:rsid w:val="00320E6F"/>
    <w:rsid w:val="003211E3"/>
    <w:rsid w:val="0032161D"/>
    <w:rsid w:val="00321638"/>
    <w:rsid w:val="003216A9"/>
    <w:rsid w:val="00321949"/>
    <w:rsid w:val="003220E5"/>
    <w:rsid w:val="0032224B"/>
    <w:rsid w:val="003223BE"/>
    <w:rsid w:val="00322403"/>
    <w:rsid w:val="00322911"/>
    <w:rsid w:val="00322A5C"/>
    <w:rsid w:val="003232BB"/>
    <w:rsid w:val="003234EA"/>
    <w:rsid w:val="00323548"/>
    <w:rsid w:val="003235F5"/>
    <w:rsid w:val="003236EF"/>
    <w:rsid w:val="00323FF1"/>
    <w:rsid w:val="00324040"/>
    <w:rsid w:val="00324BDA"/>
    <w:rsid w:val="00325342"/>
    <w:rsid w:val="0032569D"/>
    <w:rsid w:val="00325A0C"/>
    <w:rsid w:val="0032661C"/>
    <w:rsid w:val="0032662A"/>
    <w:rsid w:val="0032665C"/>
    <w:rsid w:val="00326A4E"/>
    <w:rsid w:val="00326A72"/>
    <w:rsid w:val="00327322"/>
    <w:rsid w:val="003275EE"/>
    <w:rsid w:val="00327739"/>
    <w:rsid w:val="00327813"/>
    <w:rsid w:val="0032787B"/>
    <w:rsid w:val="003278B1"/>
    <w:rsid w:val="00330035"/>
    <w:rsid w:val="00331353"/>
    <w:rsid w:val="003313AB"/>
    <w:rsid w:val="00331494"/>
    <w:rsid w:val="00331668"/>
    <w:rsid w:val="00331CA0"/>
    <w:rsid w:val="00331CED"/>
    <w:rsid w:val="00332620"/>
    <w:rsid w:val="003327C5"/>
    <w:rsid w:val="00332854"/>
    <w:rsid w:val="00332AC3"/>
    <w:rsid w:val="00332DDD"/>
    <w:rsid w:val="00332F06"/>
    <w:rsid w:val="00332FF4"/>
    <w:rsid w:val="00333296"/>
    <w:rsid w:val="003339CD"/>
    <w:rsid w:val="00333F4C"/>
    <w:rsid w:val="0033405E"/>
    <w:rsid w:val="003341DB"/>
    <w:rsid w:val="003343D9"/>
    <w:rsid w:val="00334447"/>
    <w:rsid w:val="00334630"/>
    <w:rsid w:val="0033473D"/>
    <w:rsid w:val="00334863"/>
    <w:rsid w:val="003351E5"/>
    <w:rsid w:val="00335298"/>
    <w:rsid w:val="0033567E"/>
    <w:rsid w:val="00336013"/>
    <w:rsid w:val="00336025"/>
    <w:rsid w:val="00336142"/>
    <w:rsid w:val="00336416"/>
    <w:rsid w:val="003365F6"/>
    <w:rsid w:val="00336A57"/>
    <w:rsid w:val="00336E08"/>
    <w:rsid w:val="00337057"/>
    <w:rsid w:val="003371B8"/>
    <w:rsid w:val="00337278"/>
    <w:rsid w:val="003375C3"/>
    <w:rsid w:val="00337F18"/>
    <w:rsid w:val="00340602"/>
    <w:rsid w:val="0034092C"/>
    <w:rsid w:val="00340ABA"/>
    <w:rsid w:val="00340B03"/>
    <w:rsid w:val="00340F96"/>
    <w:rsid w:val="0034120D"/>
    <w:rsid w:val="003416A0"/>
    <w:rsid w:val="0034198C"/>
    <w:rsid w:val="00341B6D"/>
    <w:rsid w:val="00341C08"/>
    <w:rsid w:val="00341E62"/>
    <w:rsid w:val="003421B2"/>
    <w:rsid w:val="003421C9"/>
    <w:rsid w:val="00342A79"/>
    <w:rsid w:val="00342C45"/>
    <w:rsid w:val="00342F9F"/>
    <w:rsid w:val="003431FF"/>
    <w:rsid w:val="003436F3"/>
    <w:rsid w:val="003438DE"/>
    <w:rsid w:val="00343A6F"/>
    <w:rsid w:val="003441BD"/>
    <w:rsid w:val="00344489"/>
    <w:rsid w:val="0034493F"/>
    <w:rsid w:val="00345417"/>
    <w:rsid w:val="0034543C"/>
    <w:rsid w:val="00345774"/>
    <w:rsid w:val="00345CFF"/>
    <w:rsid w:val="00346646"/>
    <w:rsid w:val="0034692E"/>
    <w:rsid w:val="00346AC4"/>
    <w:rsid w:val="00346B13"/>
    <w:rsid w:val="00346D8A"/>
    <w:rsid w:val="00346EE0"/>
    <w:rsid w:val="00347CB0"/>
    <w:rsid w:val="00347DAE"/>
    <w:rsid w:val="00347FA1"/>
    <w:rsid w:val="0035013A"/>
    <w:rsid w:val="003503DB"/>
    <w:rsid w:val="00351792"/>
    <w:rsid w:val="003518E7"/>
    <w:rsid w:val="0035194E"/>
    <w:rsid w:val="00351DAD"/>
    <w:rsid w:val="00351ED7"/>
    <w:rsid w:val="00352134"/>
    <w:rsid w:val="0035254B"/>
    <w:rsid w:val="00352D53"/>
    <w:rsid w:val="003530D6"/>
    <w:rsid w:val="003533EE"/>
    <w:rsid w:val="00353D95"/>
    <w:rsid w:val="003549DE"/>
    <w:rsid w:val="00354A27"/>
    <w:rsid w:val="00354D6F"/>
    <w:rsid w:val="00354D80"/>
    <w:rsid w:val="00355634"/>
    <w:rsid w:val="00355A61"/>
    <w:rsid w:val="00355BE7"/>
    <w:rsid w:val="00355FD1"/>
    <w:rsid w:val="0035644A"/>
    <w:rsid w:val="00356586"/>
    <w:rsid w:val="0035667E"/>
    <w:rsid w:val="00357061"/>
    <w:rsid w:val="00357700"/>
    <w:rsid w:val="003577C9"/>
    <w:rsid w:val="0035789E"/>
    <w:rsid w:val="003602DB"/>
    <w:rsid w:val="00360DC0"/>
    <w:rsid w:val="00360DD6"/>
    <w:rsid w:val="00361221"/>
    <w:rsid w:val="00361234"/>
    <w:rsid w:val="00361AE3"/>
    <w:rsid w:val="00361EEE"/>
    <w:rsid w:val="00362052"/>
    <w:rsid w:val="0036238D"/>
    <w:rsid w:val="00362432"/>
    <w:rsid w:val="003626CA"/>
    <w:rsid w:val="0036296B"/>
    <w:rsid w:val="003629A3"/>
    <w:rsid w:val="00362DAB"/>
    <w:rsid w:val="00362FC9"/>
    <w:rsid w:val="00363284"/>
    <w:rsid w:val="003636C8"/>
    <w:rsid w:val="003636F0"/>
    <w:rsid w:val="0036383A"/>
    <w:rsid w:val="00363A5E"/>
    <w:rsid w:val="003643D5"/>
    <w:rsid w:val="003646DC"/>
    <w:rsid w:val="00364E2D"/>
    <w:rsid w:val="00364F93"/>
    <w:rsid w:val="00365057"/>
    <w:rsid w:val="0036541D"/>
    <w:rsid w:val="0036552D"/>
    <w:rsid w:val="0036584A"/>
    <w:rsid w:val="0036588E"/>
    <w:rsid w:val="00365D07"/>
    <w:rsid w:val="00365FE8"/>
    <w:rsid w:val="00366C37"/>
    <w:rsid w:val="00366D29"/>
    <w:rsid w:val="00367189"/>
    <w:rsid w:val="00367AB5"/>
    <w:rsid w:val="00367BD2"/>
    <w:rsid w:val="003702F8"/>
    <w:rsid w:val="0037059F"/>
    <w:rsid w:val="00370840"/>
    <w:rsid w:val="003708B2"/>
    <w:rsid w:val="00370B7F"/>
    <w:rsid w:val="00370E37"/>
    <w:rsid w:val="0037133E"/>
    <w:rsid w:val="003716DB"/>
    <w:rsid w:val="0037182E"/>
    <w:rsid w:val="00371D3C"/>
    <w:rsid w:val="00371EDC"/>
    <w:rsid w:val="00371FD6"/>
    <w:rsid w:val="0037203F"/>
    <w:rsid w:val="0037249F"/>
    <w:rsid w:val="00372617"/>
    <w:rsid w:val="00372637"/>
    <w:rsid w:val="00372AB3"/>
    <w:rsid w:val="00372B3B"/>
    <w:rsid w:val="00372E87"/>
    <w:rsid w:val="003730A4"/>
    <w:rsid w:val="003732A2"/>
    <w:rsid w:val="003735DC"/>
    <w:rsid w:val="0037360A"/>
    <w:rsid w:val="00373A74"/>
    <w:rsid w:val="00373FB8"/>
    <w:rsid w:val="00374156"/>
    <w:rsid w:val="00374292"/>
    <w:rsid w:val="00374566"/>
    <w:rsid w:val="00374F80"/>
    <w:rsid w:val="00375065"/>
    <w:rsid w:val="00375147"/>
    <w:rsid w:val="003751B7"/>
    <w:rsid w:val="0037585D"/>
    <w:rsid w:val="00375D08"/>
    <w:rsid w:val="00375FEF"/>
    <w:rsid w:val="00375FF8"/>
    <w:rsid w:val="00376112"/>
    <w:rsid w:val="00376684"/>
    <w:rsid w:val="00376E67"/>
    <w:rsid w:val="00376E97"/>
    <w:rsid w:val="00377437"/>
    <w:rsid w:val="00380760"/>
    <w:rsid w:val="00380B16"/>
    <w:rsid w:val="00380C8B"/>
    <w:rsid w:val="00380C90"/>
    <w:rsid w:val="00380E1B"/>
    <w:rsid w:val="003813F0"/>
    <w:rsid w:val="00381613"/>
    <w:rsid w:val="00381777"/>
    <w:rsid w:val="00381CBC"/>
    <w:rsid w:val="00381D43"/>
    <w:rsid w:val="00381F65"/>
    <w:rsid w:val="00381F67"/>
    <w:rsid w:val="00382677"/>
    <w:rsid w:val="00382F0E"/>
    <w:rsid w:val="00384061"/>
    <w:rsid w:val="00384227"/>
    <w:rsid w:val="00384266"/>
    <w:rsid w:val="0038432D"/>
    <w:rsid w:val="003843CE"/>
    <w:rsid w:val="00384D3C"/>
    <w:rsid w:val="0038533E"/>
    <w:rsid w:val="003853C7"/>
    <w:rsid w:val="0038575A"/>
    <w:rsid w:val="00385833"/>
    <w:rsid w:val="003867AC"/>
    <w:rsid w:val="0038758E"/>
    <w:rsid w:val="00387A75"/>
    <w:rsid w:val="00387AA7"/>
    <w:rsid w:val="00387AC1"/>
    <w:rsid w:val="00387C92"/>
    <w:rsid w:val="00387F68"/>
    <w:rsid w:val="00390014"/>
    <w:rsid w:val="0039037D"/>
    <w:rsid w:val="003905D0"/>
    <w:rsid w:val="003908AA"/>
    <w:rsid w:val="0039097D"/>
    <w:rsid w:val="00390B14"/>
    <w:rsid w:val="00390BA2"/>
    <w:rsid w:val="00390EF3"/>
    <w:rsid w:val="00391007"/>
    <w:rsid w:val="0039128A"/>
    <w:rsid w:val="0039198E"/>
    <w:rsid w:val="00391E71"/>
    <w:rsid w:val="0039216B"/>
    <w:rsid w:val="00392614"/>
    <w:rsid w:val="0039348F"/>
    <w:rsid w:val="003937D9"/>
    <w:rsid w:val="0039408B"/>
    <w:rsid w:val="003940B5"/>
    <w:rsid w:val="003944E3"/>
    <w:rsid w:val="00394B8A"/>
    <w:rsid w:val="00394D0B"/>
    <w:rsid w:val="0039506C"/>
    <w:rsid w:val="00395159"/>
    <w:rsid w:val="003958FB"/>
    <w:rsid w:val="00395B19"/>
    <w:rsid w:val="00396446"/>
    <w:rsid w:val="0039644D"/>
    <w:rsid w:val="00396639"/>
    <w:rsid w:val="00396D40"/>
    <w:rsid w:val="00396FF7"/>
    <w:rsid w:val="0039741F"/>
    <w:rsid w:val="00397585"/>
    <w:rsid w:val="00397A17"/>
    <w:rsid w:val="00397B07"/>
    <w:rsid w:val="00397C58"/>
    <w:rsid w:val="00397D9B"/>
    <w:rsid w:val="003A04C5"/>
    <w:rsid w:val="003A0543"/>
    <w:rsid w:val="003A0796"/>
    <w:rsid w:val="003A082A"/>
    <w:rsid w:val="003A0C61"/>
    <w:rsid w:val="003A1BFA"/>
    <w:rsid w:val="003A1CE4"/>
    <w:rsid w:val="003A207D"/>
    <w:rsid w:val="003A22F1"/>
    <w:rsid w:val="003A29B4"/>
    <w:rsid w:val="003A3042"/>
    <w:rsid w:val="003A34CF"/>
    <w:rsid w:val="003A353A"/>
    <w:rsid w:val="003A3BAC"/>
    <w:rsid w:val="003A3E49"/>
    <w:rsid w:val="003A3F31"/>
    <w:rsid w:val="003A4192"/>
    <w:rsid w:val="003A41E7"/>
    <w:rsid w:val="003A42FC"/>
    <w:rsid w:val="003A4449"/>
    <w:rsid w:val="003A4B07"/>
    <w:rsid w:val="003A518D"/>
    <w:rsid w:val="003A528A"/>
    <w:rsid w:val="003A5815"/>
    <w:rsid w:val="003A5A10"/>
    <w:rsid w:val="003A63AA"/>
    <w:rsid w:val="003A68B6"/>
    <w:rsid w:val="003A70EF"/>
    <w:rsid w:val="003A757C"/>
    <w:rsid w:val="003A75E4"/>
    <w:rsid w:val="003A79C5"/>
    <w:rsid w:val="003A7BEE"/>
    <w:rsid w:val="003A7D81"/>
    <w:rsid w:val="003A7E10"/>
    <w:rsid w:val="003B073F"/>
    <w:rsid w:val="003B0985"/>
    <w:rsid w:val="003B0A74"/>
    <w:rsid w:val="003B0DD3"/>
    <w:rsid w:val="003B12EC"/>
    <w:rsid w:val="003B13E5"/>
    <w:rsid w:val="003B14D3"/>
    <w:rsid w:val="003B1571"/>
    <w:rsid w:val="003B2C83"/>
    <w:rsid w:val="003B2D54"/>
    <w:rsid w:val="003B2EFE"/>
    <w:rsid w:val="003B304E"/>
    <w:rsid w:val="003B3B7B"/>
    <w:rsid w:val="003B3BD5"/>
    <w:rsid w:val="003B3F61"/>
    <w:rsid w:val="003B4146"/>
    <w:rsid w:val="003B422C"/>
    <w:rsid w:val="003B45FF"/>
    <w:rsid w:val="003B4B28"/>
    <w:rsid w:val="003B4B83"/>
    <w:rsid w:val="003B535A"/>
    <w:rsid w:val="003B558D"/>
    <w:rsid w:val="003B57CA"/>
    <w:rsid w:val="003B597F"/>
    <w:rsid w:val="003B662F"/>
    <w:rsid w:val="003B6708"/>
    <w:rsid w:val="003B67C1"/>
    <w:rsid w:val="003B6AF3"/>
    <w:rsid w:val="003B6E18"/>
    <w:rsid w:val="003B6EAF"/>
    <w:rsid w:val="003B71A2"/>
    <w:rsid w:val="003B720A"/>
    <w:rsid w:val="003B738D"/>
    <w:rsid w:val="003B7BB7"/>
    <w:rsid w:val="003B7BC5"/>
    <w:rsid w:val="003B7E74"/>
    <w:rsid w:val="003C02AC"/>
    <w:rsid w:val="003C0345"/>
    <w:rsid w:val="003C051B"/>
    <w:rsid w:val="003C1684"/>
    <w:rsid w:val="003C1AF5"/>
    <w:rsid w:val="003C1C15"/>
    <w:rsid w:val="003C1F66"/>
    <w:rsid w:val="003C2254"/>
    <w:rsid w:val="003C246D"/>
    <w:rsid w:val="003C24A2"/>
    <w:rsid w:val="003C255A"/>
    <w:rsid w:val="003C2CC5"/>
    <w:rsid w:val="003C3067"/>
    <w:rsid w:val="003C36C0"/>
    <w:rsid w:val="003C44C8"/>
    <w:rsid w:val="003C4AB9"/>
    <w:rsid w:val="003C5484"/>
    <w:rsid w:val="003C5591"/>
    <w:rsid w:val="003C596B"/>
    <w:rsid w:val="003C5E55"/>
    <w:rsid w:val="003C604E"/>
    <w:rsid w:val="003C697D"/>
    <w:rsid w:val="003C7087"/>
    <w:rsid w:val="003C745D"/>
    <w:rsid w:val="003C76F0"/>
    <w:rsid w:val="003C7791"/>
    <w:rsid w:val="003C7D8D"/>
    <w:rsid w:val="003C7FA6"/>
    <w:rsid w:val="003D02B6"/>
    <w:rsid w:val="003D03BC"/>
    <w:rsid w:val="003D05EC"/>
    <w:rsid w:val="003D0752"/>
    <w:rsid w:val="003D0952"/>
    <w:rsid w:val="003D0993"/>
    <w:rsid w:val="003D0AAF"/>
    <w:rsid w:val="003D0B64"/>
    <w:rsid w:val="003D0E4A"/>
    <w:rsid w:val="003D10C9"/>
    <w:rsid w:val="003D1699"/>
    <w:rsid w:val="003D17DB"/>
    <w:rsid w:val="003D1BFC"/>
    <w:rsid w:val="003D1C2A"/>
    <w:rsid w:val="003D20F2"/>
    <w:rsid w:val="003D23DD"/>
    <w:rsid w:val="003D2464"/>
    <w:rsid w:val="003D2546"/>
    <w:rsid w:val="003D298F"/>
    <w:rsid w:val="003D29ED"/>
    <w:rsid w:val="003D2CFD"/>
    <w:rsid w:val="003D342C"/>
    <w:rsid w:val="003D35C6"/>
    <w:rsid w:val="003D36C7"/>
    <w:rsid w:val="003D382C"/>
    <w:rsid w:val="003D3CBC"/>
    <w:rsid w:val="003D3D67"/>
    <w:rsid w:val="003D40D2"/>
    <w:rsid w:val="003D43B0"/>
    <w:rsid w:val="003D4C7C"/>
    <w:rsid w:val="003D50FC"/>
    <w:rsid w:val="003D51A1"/>
    <w:rsid w:val="003D5502"/>
    <w:rsid w:val="003D59B9"/>
    <w:rsid w:val="003D6116"/>
    <w:rsid w:val="003D63F7"/>
    <w:rsid w:val="003D6617"/>
    <w:rsid w:val="003D6CD9"/>
    <w:rsid w:val="003D6E7C"/>
    <w:rsid w:val="003D73ED"/>
    <w:rsid w:val="003D7620"/>
    <w:rsid w:val="003D7628"/>
    <w:rsid w:val="003D78E2"/>
    <w:rsid w:val="003D7B76"/>
    <w:rsid w:val="003D7CEB"/>
    <w:rsid w:val="003D7D7F"/>
    <w:rsid w:val="003E0448"/>
    <w:rsid w:val="003E06DE"/>
    <w:rsid w:val="003E0923"/>
    <w:rsid w:val="003E099C"/>
    <w:rsid w:val="003E0C78"/>
    <w:rsid w:val="003E0F9C"/>
    <w:rsid w:val="003E1734"/>
    <w:rsid w:val="003E19EC"/>
    <w:rsid w:val="003E1A47"/>
    <w:rsid w:val="003E1C98"/>
    <w:rsid w:val="003E1D71"/>
    <w:rsid w:val="003E1E42"/>
    <w:rsid w:val="003E1FBE"/>
    <w:rsid w:val="003E2372"/>
    <w:rsid w:val="003E24F9"/>
    <w:rsid w:val="003E2BBA"/>
    <w:rsid w:val="003E2C3C"/>
    <w:rsid w:val="003E2EB8"/>
    <w:rsid w:val="003E362A"/>
    <w:rsid w:val="003E3B44"/>
    <w:rsid w:val="003E3B88"/>
    <w:rsid w:val="003E3EE6"/>
    <w:rsid w:val="003E450F"/>
    <w:rsid w:val="003E471D"/>
    <w:rsid w:val="003E4C4C"/>
    <w:rsid w:val="003E55DF"/>
    <w:rsid w:val="003E59DC"/>
    <w:rsid w:val="003E5D0C"/>
    <w:rsid w:val="003E5E89"/>
    <w:rsid w:val="003E60C9"/>
    <w:rsid w:val="003E61ED"/>
    <w:rsid w:val="003E667E"/>
    <w:rsid w:val="003E69CB"/>
    <w:rsid w:val="003E6F40"/>
    <w:rsid w:val="003E7621"/>
    <w:rsid w:val="003E7717"/>
    <w:rsid w:val="003E7D7D"/>
    <w:rsid w:val="003E7EF9"/>
    <w:rsid w:val="003F0565"/>
    <w:rsid w:val="003F0685"/>
    <w:rsid w:val="003F07F0"/>
    <w:rsid w:val="003F0956"/>
    <w:rsid w:val="003F0B96"/>
    <w:rsid w:val="003F0D16"/>
    <w:rsid w:val="003F0D2E"/>
    <w:rsid w:val="003F131C"/>
    <w:rsid w:val="003F17EF"/>
    <w:rsid w:val="003F1922"/>
    <w:rsid w:val="003F1CD2"/>
    <w:rsid w:val="003F2124"/>
    <w:rsid w:val="003F2399"/>
    <w:rsid w:val="003F2536"/>
    <w:rsid w:val="003F2835"/>
    <w:rsid w:val="003F3136"/>
    <w:rsid w:val="003F3283"/>
    <w:rsid w:val="003F5268"/>
    <w:rsid w:val="003F526B"/>
    <w:rsid w:val="003F5694"/>
    <w:rsid w:val="003F57CD"/>
    <w:rsid w:val="003F59EB"/>
    <w:rsid w:val="003F6393"/>
    <w:rsid w:val="003F65B4"/>
    <w:rsid w:val="003F6B1E"/>
    <w:rsid w:val="003F6F21"/>
    <w:rsid w:val="003F76B3"/>
    <w:rsid w:val="003F77D1"/>
    <w:rsid w:val="003F799D"/>
    <w:rsid w:val="003F7AAB"/>
    <w:rsid w:val="003F7CEE"/>
    <w:rsid w:val="003F7EAF"/>
    <w:rsid w:val="004004EA"/>
    <w:rsid w:val="00400596"/>
    <w:rsid w:val="004009FD"/>
    <w:rsid w:val="00400A7D"/>
    <w:rsid w:val="00400C29"/>
    <w:rsid w:val="00401306"/>
    <w:rsid w:val="00401317"/>
    <w:rsid w:val="004013E3"/>
    <w:rsid w:val="004014B1"/>
    <w:rsid w:val="00401E4B"/>
    <w:rsid w:val="00402515"/>
    <w:rsid w:val="004027B2"/>
    <w:rsid w:val="004027D0"/>
    <w:rsid w:val="0040281C"/>
    <w:rsid w:val="00402B54"/>
    <w:rsid w:val="00402BDD"/>
    <w:rsid w:val="00402C2C"/>
    <w:rsid w:val="00403412"/>
    <w:rsid w:val="0040382F"/>
    <w:rsid w:val="00403E26"/>
    <w:rsid w:val="0040457A"/>
    <w:rsid w:val="00404770"/>
    <w:rsid w:val="00404809"/>
    <w:rsid w:val="004049AD"/>
    <w:rsid w:val="00405275"/>
    <w:rsid w:val="00405333"/>
    <w:rsid w:val="0040537A"/>
    <w:rsid w:val="00405649"/>
    <w:rsid w:val="004056B1"/>
    <w:rsid w:val="00405AE7"/>
    <w:rsid w:val="00405CF4"/>
    <w:rsid w:val="00405D7E"/>
    <w:rsid w:val="00406264"/>
    <w:rsid w:val="0040628D"/>
    <w:rsid w:val="00406D00"/>
    <w:rsid w:val="00407118"/>
    <w:rsid w:val="00407955"/>
    <w:rsid w:val="00407C39"/>
    <w:rsid w:val="00407C95"/>
    <w:rsid w:val="00407EA3"/>
    <w:rsid w:val="004101EC"/>
    <w:rsid w:val="0041054E"/>
    <w:rsid w:val="00410882"/>
    <w:rsid w:val="00410888"/>
    <w:rsid w:val="004109B2"/>
    <w:rsid w:val="00410C48"/>
    <w:rsid w:val="00411075"/>
    <w:rsid w:val="00411176"/>
    <w:rsid w:val="004114A3"/>
    <w:rsid w:val="004114C1"/>
    <w:rsid w:val="004121AA"/>
    <w:rsid w:val="0041222F"/>
    <w:rsid w:val="00412389"/>
    <w:rsid w:val="004124DD"/>
    <w:rsid w:val="00412721"/>
    <w:rsid w:val="00412A0B"/>
    <w:rsid w:val="00412A81"/>
    <w:rsid w:val="00412D6D"/>
    <w:rsid w:val="00412DF1"/>
    <w:rsid w:val="00412E25"/>
    <w:rsid w:val="004133B2"/>
    <w:rsid w:val="0041369A"/>
    <w:rsid w:val="004137BD"/>
    <w:rsid w:val="0041393C"/>
    <w:rsid w:val="00414019"/>
    <w:rsid w:val="0041467A"/>
    <w:rsid w:val="00415388"/>
    <w:rsid w:val="004153EA"/>
    <w:rsid w:val="00415B6F"/>
    <w:rsid w:val="00415EBE"/>
    <w:rsid w:val="00416248"/>
    <w:rsid w:val="004164AA"/>
    <w:rsid w:val="0041675E"/>
    <w:rsid w:val="00416895"/>
    <w:rsid w:val="004169BA"/>
    <w:rsid w:val="004173D8"/>
    <w:rsid w:val="00417799"/>
    <w:rsid w:val="00417C18"/>
    <w:rsid w:val="00417E03"/>
    <w:rsid w:val="004204AB"/>
    <w:rsid w:val="004208CE"/>
    <w:rsid w:val="004208EB"/>
    <w:rsid w:val="00420B87"/>
    <w:rsid w:val="00420E10"/>
    <w:rsid w:val="00420F99"/>
    <w:rsid w:val="004217A2"/>
    <w:rsid w:val="00421B78"/>
    <w:rsid w:val="00421CE1"/>
    <w:rsid w:val="00421D19"/>
    <w:rsid w:val="00421D2A"/>
    <w:rsid w:val="00421DB3"/>
    <w:rsid w:val="0042241B"/>
    <w:rsid w:val="004225F8"/>
    <w:rsid w:val="00422669"/>
    <w:rsid w:val="004226B5"/>
    <w:rsid w:val="00422A3E"/>
    <w:rsid w:val="004230AB"/>
    <w:rsid w:val="00423A12"/>
    <w:rsid w:val="00423C3D"/>
    <w:rsid w:val="0042419B"/>
    <w:rsid w:val="0042475E"/>
    <w:rsid w:val="00424E33"/>
    <w:rsid w:val="00425124"/>
    <w:rsid w:val="0042554F"/>
    <w:rsid w:val="00425D8C"/>
    <w:rsid w:val="00425DE4"/>
    <w:rsid w:val="00425E1D"/>
    <w:rsid w:val="004262F0"/>
    <w:rsid w:val="00426801"/>
    <w:rsid w:val="00427612"/>
    <w:rsid w:val="004278C2"/>
    <w:rsid w:val="004300C2"/>
    <w:rsid w:val="00430469"/>
    <w:rsid w:val="0043067E"/>
    <w:rsid w:val="0043095B"/>
    <w:rsid w:val="00430EFD"/>
    <w:rsid w:val="00431152"/>
    <w:rsid w:val="004319AA"/>
    <w:rsid w:val="00431C8E"/>
    <w:rsid w:val="004320B8"/>
    <w:rsid w:val="004321EB"/>
    <w:rsid w:val="0043276B"/>
    <w:rsid w:val="00432F90"/>
    <w:rsid w:val="004330A0"/>
    <w:rsid w:val="00433207"/>
    <w:rsid w:val="004335C8"/>
    <w:rsid w:val="004339DF"/>
    <w:rsid w:val="00433F4E"/>
    <w:rsid w:val="0043448B"/>
    <w:rsid w:val="00434659"/>
    <w:rsid w:val="00434FCF"/>
    <w:rsid w:val="0043541C"/>
    <w:rsid w:val="00435C62"/>
    <w:rsid w:val="00435D3F"/>
    <w:rsid w:val="00435F80"/>
    <w:rsid w:val="004360E8"/>
    <w:rsid w:val="004374F7"/>
    <w:rsid w:val="0043753B"/>
    <w:rsid w:val="00437769"/>
    <w:rsid w:val="00437E27"/>
    <w:rsid w:val="00440691"/>
    <w:rsid w:val="00440A3E"/>
    <w:rsid w:val="00440CD0"/>
    <w:rsid w:val="00440E97"/>
    <w:rsid w:val="004416BE"/>
    <w:rsid w:val="00441E99"/>
    <w:rsid w:val="0044218C"/>
    <w:rsid w:val="004425AF"/>
    <w:rsid w:val="0044279E"/>
    <w:rsid w:val="00442A42"/>
    <w:rsid w:val="00442A5C"/>
    <w:rsid w:val="00442F3E"/>
    <w:rsid w:val="004434BB"/>
    <w:rsid w:val="00443E21"/>
    <w:rsid w:val="0044438F"/>
    <w:rsid w:val="00444E1D"/>
    <w:rsid w:val="004452AB"/>
    <w:rsid w:val="004455BF"/>
    <w:rsid w:val="004456D9"/>
    <w:rsid w:val="0044601F"/>
    <w:rsid w:val="00446097"/>
    <w:rsid w:val="004470F3"/>
    <w:rsid w:val="00447208"/>
    <w:rsid w:val="00447238"/>
    <w:rsid w:val="0044748F"/>
    <w:rsid w:val="004475C6"/>
    <w:rsid w:val="0044765B"/>
    <w:rsid w:val="00447FFA"/>
    <w:rsid w:val="004500B8"/>
    <w:rsid w:val="004503DB"/>
    <w:rsid w:val="00450CF2"/>
    <w:rsid w:val="00450F7A"/>
    <w:rsid w:val="004511B4"/>
    <w:rsid w:val="004514D7"/>
    <w:rsid w:val="0045197E"/>
    <w:rsid w:val="0045219A"/>
    <w:rsid w:val="00452257"/>
    <w:rsid w:val="004522F5"/>
    <w:rsid w:val="0045245A"/>
    <w:rsid w:val="00452978"/>
    <w:rsid w:val="004529B9"/>
    <w:rsid w:val="004536D6"/>
    <w:rsid w:val="004538AA"/>
    <w:rsid w:val="00453DAB"/>
    <w:rsid w:val="00454241"/>
    <w:rsid w:val="00454299"/>
    <w:rsid w:val="00454506"/>
    <w:rsid w:val="0045474D"/>
    <w:rsid w:val="00454820"/>
    <w:rsid w:val="00454849"/>
    <w:rsid w:val="00454911"/>
    <w:rsid w:val="00454EC5"/>
    <w:rsid w:val="0045511E"/>
    <w:rsid w:val="00455181"/>
    <w:rsid w:val="00455D63"/>
    <w:rsid w:val="00456041"/>
    <w:rsid w:val="004562AF"/>
    <w:rsid w:val="0045655E"/>
    <w:rsid w:val="00456C18"/>
    <w:rsid w:val="00457878"/>
    <w:rsid w:val="00457893"/>
    <w:rsid w:val="00460285"/>
    <w:rsid w:val="00460993"/>
    <w:rsid w:val="00460CC0"/>
    <w:rsid w:val="00460FF6"/>
    <w:rsid w:val="004616F5"/>
    <w:rsid w:val="004620AD"/>
    <w:rsid w:val="004621B9"/>
    <w:rsid w:val="004633D5"/>
    <w:rsid w:val="004636B5"/>
    <w:rsid w:val="00463988"/>
    <w:rsid w:val="00463A25"/>
    <w:rsid w:val="00463B48"/>
    <w:rsid w:val="0046435E"/>
    <w:rsid w:val="00464360"/>
    <w:rsid w:val="0046486B"/>
    <w:rsid w:val="0046491D"/>
    <w:rsid w:val="00464BEF"/>
    <w:rsid w:val="00464C0F"/>
    <w:rsid w:val="00464C28"/>
    <w:rsid w:val="00464E48"/>
    <w:rsid w:val="00465083"/>
    <w:rsid w:val="0046536E"/>
    <w:rsid w:val="0046559B"/>
    <w:rsid w:val="004656A3"/>
    <w:rsid w:val="00465B8B"/>
    <w:rsid w:val="00465DCC"/>
    <w:rsid w:val="00465FD4"/>
    <w:rsid w:val="004664C4"/>
    <w:rsid w:val="004664D1"/>
    <w:rsid w:val="004665E9"/>
    <w:rsid w:val="00466B87"/>
    <w:rsid w:val="00467746"/>
    <w:rsid w:val="00467904"/>
    <w:rsid w:val="00467A60"/>
    <w:rsid w:val="00467E08"/>
    <w:rsid w:val="00467FE1"/>
    <w:rsid w:val="00470188"/>
    <w:rsid w:val="004703D2"/>
    <w:rsid w:val="004704E1"/>
    <w:rsid w:val="0047078F"/>
    <w:rsid w:val="00470C00"/>
    <w:rsid w:val="00470EFE"/>
    <w:rsid w:val="00471040"/>
    <w:rsid w:val="00471084"/>
    <w:rsid w:val="004711A4"/>
    <w:rsid w:val="00471329"/>
    <w:rsid w:val="00471685"/>
    <w:rsid w:val="004716B8"/>
    <w:rsid w:val="004716D1"/>
    <w:rsid w:val="0047176A"/>
    <w:rsid w:val="0047186C"/>
    <w:rsid w:val="00471DF1"/>
    <w:rsid w:val="00472612"/>
    <w:rsid w:val="0047276D"/>
    <w:rsid w:val="00473366"/>
    <w:rsid w:val="004734D5"/>
    <w:rsid w:val="00473A05"/>
    <w:rsid w:val="00473E23"/>
    <w:rsid w:val="00473F25"/>
    <w:rsid w:val="00474132"/>
    <w:rsid w:val="00474405"/>
    <w:rsid w:val="00474675"/>
    <w:rsid w:val="00474923"/>
    <w:rsid w:val="00474972"/>
    <w:rsid w:val="00474A07"/>
    <w:rsid w:val="00474F0A"/>
    <w:rsid w:val="00474FF1"/>
    <w:rsid w:val="004751B1"/>
    <w:rsid w:val="004758A3"/>
    <w:rsid w:val="00475A28"/>
    <w:rsid w:val="00475D27"/>
    <w:rsid w:val="00476547"/>
    <w:rsid w:val="00476EFA"/>
    <w:rsid w:val="004772F2"/>
    <w:rsid w:val="00477EE9"/>
    <w:rsid w:val="00477F68"/>
    <w:rsid w:val="004803E2"/>
    <w:rsid w:val="004806B9"/>
    <w:rsid w:val="00480BF0"/>
    <w:rsid w:val="00481326"/>
    <w:rsid w:val="00481EEC"/>
    <w:rsid w:val="00481F41"/>
    <w:rsid w:val="004828D8"/>
    <w:rsid w:val="00482903"/>
    <w:rsid w:val="00482CCA"/>
    <w:rsid w:val="00482D07"/>
    <w:rsid w:val="00482F54"/>
    <w:rsid w:val="004830E4"/>
    <w:rsid w:val="00483351"/>
    <w:rsid w:val="00483D22"/>
    <w:rsid w:val="00483D91"/>
    <w:rsid w:val="00484515"/>
    <w:rsid w:val="00484B5E"/>
    <w:rsid w:val="00484F47"/>
    <w:rsid w:val="004854C7"/>
    <w:rsid w:val="00485590"/>
    <w:rsid w:val="00485697"/>
    <w:rsid w:val="0048597D"/>
    <w:rsid w:val="00485A2A"/>
    <w:rsid w:val="00485A80"/>
    <w:rsid w:val="00485AE4"/>
    <w:rsid w:val="00485B38"/>
    <w:rsid w:val="00486717"/>
    <w:rsid w:val="00486850"/>
    <w:rsid w:val="00486BB0"/>
    <w:rsid w:val="00486ECD"/>
    <w:rsid w:val="00486EE5"/>
    <w:rsid w:val="00486F32"/>
    <w:rsid w:val="00486F58"/>
    <w:rsid w:val="00487491"/>
    <w:rsid w:val="004874A5"/>
    <w:rsid w:val="004877B7"/>
    <w:rsid w:val="00490814"/>
    <w:rsid w:val="00490883"/>
    <w:rsid w:val="00491305"/>
    <w:rsid w:val="004915CD"/>
    <w:rsid w:val="00491741"/>
    <w:rsid w:val="004918C1"/>
    <w:rsid w:val="00491A62"/>
    <w:rsid w:val="00491C0B"/>
    <w:rsid w:val="004920B6"/>
    <w:rsid w:val="0049220F"/>
    <w:rsid w:val="004923CD"/>
    <w:rsid w:val="00492413"/>
    <w:rsid w:val="004924C4"/>
    <w:rsid w:val="00492664"/>
    <w:rsid w:val="00492965"/>
    <w:rsid w:val="00492ABC"/>
    <w:rsid w:val="00492BFF"/>
    <w:rsid w:val="00493022"/>
    <w:rsid w:val="00493489"/>
    <w:rsid w:val="0049364F"/>
    <w:rsid w:val="00493D95"/>
    <w:rsid w:val="004942CC"/>
    <w:rsid w:val="004942E0"/>
    <w:rsid w:val="004948F8"/>
    <w:rsid w:val="00494978"/>
    <w:rsid w:val="00494982"/>
    <w:rsid w:val="00494ADD"/>
    <w:rsid w:val="0049589F"/>
    <w:rsid w:val="0049593C"/>
    <w:rsid w:val="00495DD6"/>
    <w:rsid w:val="004965A9"/>
    <w:rsid w:val="00496678"/>
    <w:rsid w:val="0049679A"/>
    <w:rsid w:val="004971DA"/>
    <w:rsid w:val="00497455"/>
    <w:rsid w:val="004979CD"/>
    <w:rsid w:val="00497AC4"/>
    <w:rsid w:val="00497C05"/>
    <w:rsid w:val="00497CDE"/>
    <w:rsid w:val="004A00DA"/>
    <w:rsid w:val="004A01FE"/>
    <w:rsid w:val="004A0635"/>
    <w:rsid w:val="004A15C1"/>
    <w:rsid w:val="004A16FE"/>
    <w:rsid w:val="004A1806"/>
    <w:rsid w:val="004A187D"/>
    <w:rsid w:val="004A1CEB"/>
    <w:rsid w:val="004A1F1B"/>
    <w:rsid w:val="004A20EE"/>
    <w:rsid w:val="004A22B9"/>
    <w:rsid w:val="004A25B4"/>
    <w:rsid w:val="004A2D9A"/>
    <w:rsid w:val="004A2EC5"/>
    <w:rsid w:val="004A308B"/>
    <w:rsid w:val="004A3155"/>
    <w:rsid w:val="004A3546"/>
    <w:rsid w:val="004A39B5"/>
    <w:rsid w:val="004A4243"/>
    <w:rsid w:val="004A42E4"/>
    <w:rsid w:val="004A4429"/>
    <w:rsid w:val="004A46BF"/>
    <w:rsid w:val="004A46E8"/>
    <w:rsid w:val="004A470D"/>
    <w:rsid w:val="004A497E"/>
    <w:rsid w:val="004A4F94"/>
    <w:rsid w:val="004A5087"/>
    <w:rsid w:val="004A51F9"/>
    <w:rsid w:val="004A5328"/>
    <w:rsid w:val="004A570C"/>
    <w:rsid w:val="004A5945"/>
    <w:rsid w:val="004A5A91"/>
    <w:rsid w:val="004A5DE0"/>
    <w:rsid w:val="004A5F2A"/>
    <w:rsid w:val="004A6685"/>
    <w:rsid w:val="004A6860"/>
    <w:rsid w:val="004A70E5"/>
    <w:rsid w:val="004B031C"/>
    <w:rsid w:val="004B0582"/>
    <w:rsid w:val="004B05B1"/>
    <w:rsid w:val="004B0B0A"/>
    <w:rsid w:val="004B0D9E"/>
    <w:rsid w:val="004B0F7B"/>
    <w:rsid w:val="004B1381"/>
    <w:rsid w:val="004B18C9"/>
    <w:rsid w:val="004B18CA"/>
    <w:rsid w:val="004B1DD4"/>
    <w:rsid w:val="004B2285"/>
    <w:rsid w:val="004B22BD"/>
    <w:rsid w:val="004B29FE"/>
    <w:rsid w:val="004B2BB4"/>
    <w:rsid w:val="004B2E7E"/>
    <w:rsid w:val="004B3229"/>
    <w:rsid w:val="004B32BB"/>
    <w:rsid w:val="004B32EF"/>
    <w:rsid w:val="004B33FD"/>
    <w:rsid w:val="004B3648"/>
    <w:rsid w:val="004B3911"/>
    <w:rsid w:val="004B4089"/>
    <w:rsid w:val="004B4A77"/>
    <w:rsid w:val="004B4CFA"/>
    <w:rsid w:val="004B5275"/>
    <w:rsid w:val="004B5376"/>
    <w:rsid w:val="004B56EB"/>
    <w:rsid w:val="004B5AB9"/>
    <w:rsid w:val="004B5E20"/>
    <w:rsid w:val="004B5EFC"/>
    <w:rsid w:val="004B5F7D"/>
    <w:rsid w:val="004B60CF"/>
    <w:rsid w:val="004B648E"/>
    <w:rsid w:val="004B66EF"/>
    <w:rsid w:val="004B68CA"/>
    <w:rsid w:val="004B6C37"/>
    <w:rsid w:val="004B74EE"/>
    <w:rsid w:val="004B798E"/>
    <w:rsid w:val="004B7E49"/>
    <w:rsid w:val="004C038E"/>
    <w:rsid w:val="004C047E"/>
    <w:rsid w:val="004C0510"/>
    <w:rsid w:val="004C0525"/>
    <w:rsid w:val="004C0AC8"/>
    <w:rsid w:val="004C0C43"/>
    <w:rsid w:val="004C0E52"/>
    <w:rsid w:val="004C0ECA"/>
    <w:rsid w:val="004C117E"/>
    <w:rsid w:val="004C12E9"/>
    <w:rsid w:val="004C1857"/>
    <w:rsid w:val="004C19FE"/>
    <w:rsid w:val="004C1C67"/>
    <w:rsid w:val="004C1CBD"/>
    <w:rsid w:val="004C22FB"/>
    <w:rsid w:val="004C2541"/>
    <w:rsid w:val="004C2574"/>
    <w:rsid w:val="004C2BCD"/>
    <w:rsid w:val="004C2E29"/>
    <w:rsid w:val="004C2EE3"/>
    <w:rsid w:val="004C2FAE"/>
    <w:rsid w:val="004C3604"/>
    <w:rsid w:val="004C36DF"/>
    <w:rsid w:val="004C37F6"/>
    <w:rsid w:val="004C394E"/>
    <w:rsid w:val="004C3E20"/>
    <w:rsid w:val="004C4542"/>
    <w:rsid w:val="004C4548"/>
    <w:rsid w:val="004C46BC"/>
    <w:rsid w:val="004C4C7F"/>
    <w:rsid w:val="004C5967"/>
    <w:rsid w:val="004C5DD4"/>
    <w:rsid w:val="004C6208"/>
    <w:rsid w:val="004C6474"/>
    <w:rsid w:val="004C6560"/>
    <w:rsid w:val="004C6707"/>
    <w:rsid w:val="004C67D5"/>
    <w:rsid w:val="004C6AC8"/>
    <w:rsid w:val="004C735F"/>
    <w:rsid w:val="004C7701"/>
    <w:rsid w:val="004C7937"/>
    <w:rsid w:val="004D0A29"/>
    <w:rsid w:val="004D0B33"/>
    <w:rsid w:val="004D0D31"/>
    <w:rsid w:val="004D0F0E"/>
    <w:rsid w:val="004D0FC7"/>
    <w:rsid w:val="004D1577"/>
    <w:rsid w:val="004D1FFE"/>
    <w:rsid w:val="004D22D0"/>
    <w:rsid w:val="004D2880"/>
    <w:rsid w:val="004D2972"/>
    <w:rsid w:val="004D2DC5"/>
    <w:rsid w:val="004D2E7B"/>
    <w:rsid w:val="004D32FF"/>
    <w:rsid w:val="004D3B2F"/>
    <w:rsid w:val="004D4046"/>
    <w:rsid w:val="004D45D7"/>
    <w:rsid w:val="004D4B44"/>
    <w:rsid w:val="004D4DA5"/>
    <w:rsid w:val="004D50F8"/>
    <w:rsid w:val="004D51BA"/>
    <w:rsid w:val="004D550F"/>
    <w:rsid w:val="004D650C"/>
    <w:rsid w:val="004D67AE"/>
    <w:rsid w:val="004D69BC"/>
    <w:rsid w:val="004D6B65"/>
    <w:rsid w:val="004D6BC0"/>
    <w:rsid w:val="004D6EFC"/>
    <w:rsid w:val="004D7164"/>
    <w:rsid w:val="004D74BD"/>
    <w:rsid w:val="004D75BF"/>
    <w:rsid w:val="004D76B7"/>
    <w:rsid w:val="004D7D3A"/>
    <w:rsid w:val="004D7F5E"/>
    <w:rsid w:val="004E0636"/>
    <w:rsid w:val="004E070E"/>
    <w:rsid w:val="004E0761"/>
    <w:rsid w:val="004E09DD"/>
    <w:rsid w:val="004E0A45"/>
    <w:rsid w:val="004E0BE2"/>
    <w:rsid w:val="004E0CC4"/>
    <w:rsid w:val="004E0F83"/>
    <w:rsid w:val="004E1DC6"/>
    <w:rsid w:val="004E21C1"/>
    <w:rsid w:val="004E2C27"/>
    <w:rsid w:val="004E3263"/>
    <w:rsid w:val="004E33B9"/>
    <w:rsid w:val="004E3E13"/>
    <w:rsid w:val="004E3FF7"/>
    <w:rsid w:val="004E41B0"/>
    <w:rsid w:val="004E425B"/>
    <w:rsid w:val="004E48A2"/>
    <w:rsid w:val="004E50E2"/>
    <w:rsid w:val="004E52C3"/>
    <w:rsid w:val="004E5605"/>
    <w:rsid w:val="004E60E4"/>
    <w:rsid w:val="004E62A9"/>
    <w:rsid w:val="004E64C7"/>
    <w:rsid w:val="004E6ADB"/>
    <w:rsid w:val="004E70A9"/>
    <w:rsid w:val="004E70EC"/>
    <w:rsid w:val="004E7183"/>
    <w:rsid w:val="004E75A6"/>
    <w:rsid w:val="004E79C0"/>
    <w:rsid w:val="004E7B13"/>
    <w:rsid w:val="004E7B54"/>
    <w:rsid w:val="004E7ED8"/>
    <w:rsid w:val="004F0364"/>
    <w:rsid w:val="004F0C5C"/>
    <w:rsid w:val="004F0ED4"/>
    <w:rsid w:val="004F0FC5"/>
    <w:rsid w:val="004F1196"/>
    <w:rsid w:val="004F1267"/>
    <w:rsid w:val="004F1709"/>
    <w:rsid w:val="004F170C"/>
    <w:rsid w:val="004F1A21"/>
    <w:rsid w:val="004F1D11"/>
    <w:rsid w:val="004F20AD"/>
    <w:rsid w:val="004F279D"/>
    <w:rsid w:val="004F2E58"/>
    <w:rsid w:val="004F3031"/>
    <w:rsid w:val="004F3184"/>
    <w:rsid w:val="004F3AB2"/>
    <w:rsid w:val="004F3B08"/>
    <w:rsid w:val="004F3D3C"/>
    <w:rsid w:val="004F4374"/>
    <w:rsid w:val="004F45BC"/>
    <w:rsid w:val="004F4619"/>
    <w:rsid w:val="004F469F"/>
    <w:rsid w:val="004F4743"/>
    <w:rsid w:val="004F4BF5"/>
    <w:rsid w:val="004F4E06"/>
    <w:rsid w:val="004F4E3A"/>
    <w:rsid w:val="004F50E9"/>
    <w:rsid w:val="004F51D0"/>
    <w:rsid w:val="004F5736"/>
    <w:rsid w:val="004F5A5C"/>
    <w:rsid w:val="004F5DA3"/>
    <w:rsid w:val="004F5FF6"/>
    <w:rsid w:val="004F6EA2"/>
    <w:rsid w:val="004F6F00"/>
    <w:rsid w:val="004F71C9"/>
    <w:rsid w:val="004F7274"/>
    <w:rsid w:val="004F790B"/>
    <w:rsid w:val="004F7ED4"/>
    <w:rsid w:val="005008C8"/>
    <w:rsid w:val="00500F3B"/>
    <w:rsid w:val="0050110F"/>
    <w:rsid w:val="00501387"/>
    <w:rsid w:val="00501A69"/>
    <w:rsid w:val="00501C09"/>
    <w:rsid w:val="00501DD2"/>
    <w:rsid w:val="005021E9"/>
    <w:rsid w:val="005026A8"/>
    <w:rsid w:val="005027C0"/>
    <w:rsid w:val="005027E7"/>
    <w:rsid w:val="00502A05"/>
    <w:rsid w:val="00502C84"/>
    <w:rsid w:val="00503230"/>
    <w:rsid w:val="005032CF"/>
    <w:rsid w:val="005039DF"/>
    <w:rsid w:val="00503CC0"/>
    <w:rsid w:val="0050406D"/>
    <w:rsid w:val="005045F7"/>
    <w:rsid w:val="0050478A"/>
    <w:rsid w:val="00504931"/>
    <w:rsid w:val="00504A90"/>
    <w:rsid w:val="00504E51"/>
    <w:rsid w:val="00504ECE"/>
    <w:rsid w:val="00504F96"/>
    <w:rsid w:val="005052AD"/>
    <w:rsid w:val="0050575C"/>
    <w:rsid w:val="00505F45"/>
    <w:rsid w:val="00506425"/>
    <w:rsid w:val="0050690E"/>
    <w:rsid w:val="00506CFD"/>
    <w:rsid w:val="005070CC"/>
    <w:rsid w:val="0050717D"/>
    <w:rsid w:val="0050718B"/>
    <w:rsid w:val="0050738B"/>
    <w:rsid w:val="0050748C"/>
    <w:rsid w:val="0050797D"/>
    <w:rsid w:val="00507ADD"/>
    <w:rsid w:val="00507EE2"/>
    <w:rsid w:val="00510052"/>
    <w:rsid w:val="00510482"/>
    <w:rsid w:val="0051062A"/>
    <w:rsid w:val="00510AFF"/>
    <w:rsid w:val="00511474"/>
    <w:rsid w:val="0051169C"/>
    <w:rsid w:val="00511EB8"/>
    <w:rsid w:val="0051202F"/>
    <w:rsid w:val="005120DD"/>
    <w:rsid w:val="00512192"/>
    <w:rsid w:val="00512808"/>
    <w:rsid w:val="00512C9A"/>
    <w:rsid w:val="0051343B"/>
    <w:rsid w:val="005134C8"/>
    <w:rsid w:val="0051370F"/>
    <w:rsid w:val="00513AE7"/>
    <w:rsid w:val="00513B6B"/>
    <w:rsid w:val="00513F43"/>
    <w:rsid w:val="005140E2"/>
    <w:rsid w:val="0051437A"/>
    <w:rsid w:val="00514430"/>
    <w:rsid w:val="00514542"/>
    <w:rsid w:val="005148DA"/>
    <w:rsid w:val="00514987"/>
    <w:rsid w:val="00514D9F"/>
    <w:rsid w:val="00514FF5"/>
    <w:rsid w:val="0051513F"/>
    <w:rsid w:val="005151C3"/>
    <w:rsid w:val="005152C5"/>
    <w:rsid w:val="005156CE"/>
    <w:rsid w:val="00515DBC"/>
    <w:rsid w:val="00515E0F"/>
    <w:rsid w:val="0051662C"/>
    <w:rsid w:val="00516CF9"/>
    <w:rsid w:val="00516F08"/>
    <w:rsid w:val="00516F1A"/>
    <w:rsid w:val="005171E5"/>
    <w:rsid w:val="00517D4F"/>
    <w:rsid w:val="00520CE4"/>
    <w:rsid w:val="00520D93"/>
    <w:rsid w:val="00520EDB"/>
    <w:rsid w:val="005210F4"/>
    <w:rsid w:val="005212DA"/>
    <w:rsid w:val="00521630"/>
    <w:rsid w:val="0052170B"/>
    <w:rsid w:val="00521EE2"/>
    <w:rsid w:val="00521EE9"/>
    <w:rsid w:val="005223D4"/>
    <w:rsid w:val="005229E5"/>
    <w:rsid w:val="00522C56"/>
    <w:rsid w:val="00522FD3"/>
    <w:rsid w:val="00523045"/>
    <w:rsid w:val="00523201"/>
    <w:rsid w:val="00523598"/>
    <w:rsid w:val="00524033"/>
    <w:rsid w:val="005241E7"/>
    <w:rsid w:val="00524E4C"/>
    <w:rsid w:val="00525601"/>
    <w:rsid w:val="0052565F"/>
    <w:rsid w:val="005258A0"/>
    <w:rsid w:val="00525B9C"/>
    <w:rsid w:val="00525BAD"/>
    <w:rsid w:val="005263B7"/>
    <w:rsid w:val="00526479"/>
    <w:rsid w:val="005269D0"/>
    <w:rsid w:val="00526A9C"/>
    <w:rsid w:val="00526F17"/>
    <w:rsid w:val="00527122"/>
    <w:rsid w:val="0052722E"/>
    <w:rsid w:val="005277C8"/>
    <w:rsid w:val="00530104"/>
    <w:rsid w:val="0053062A"/>
    <w:rsid w:val="0053096B"/>
    <w:rsid w:val="00530C6E"/>
    <w:rsid w:val="00530DE4"/>
    <w:rsid w:val="00530EBD"/>
    <w:rsid w:val="0053116A"/>
    <w:rsid w:val="005311FF"/>
    <w:rsid w:val="0053194B"/>
    <w:rsid w:val="00532061"/>
    <w:rsid w:val="005323A2"/>
    <w:rsid w:val="00532441"/>
    <w:rsid w:val="005324CA"/>
    <w:rsid w:val="00532C61"/>
    <w:rsid w:val="00533085"/>
    <w:rsid w:val="0053387B"/>
    <w:rsid w:val="005338FA"/>
    <w:rsid w:val="00533906"/>
    <w:rsid w:val="00533AA2"/>
    <w:rsid w:val="00534187"/>
    <w:rsid w:val="00534756"/>
    <w:rsid w:val="0053485A"/>
    <w:rsid w:val="005348CF"/>
    <w:rsid w:val="005349E6"/>
    <w:rsid w:val="005351E8"/>
    <w:rsid w:val="00535301"/>
    <w:rsid w:val="005353FD"/>
    <w:rsid w:val="0053575E"/>
    <w:rsid w:val="0053581E"/>
    <w:rsid w:val="00535D88"/>
    <w:rsid w:val="00536041"/>
    <w:rsid w:val="005361B9"/>
    <w:rsid w:val="00536ACC"/>
    <w:rsid w:val="00536AEB"/>
    <w:rsid w:val="00537714"/>
    <w:rsid w:val="005377F1"/>
    <w:rsid w:val="00537C63"/>
    <w:rsid w:val="00537DBD"/>
    <w:rsid w:val="005402D2"/>
    <w:rsid w:val="005406BC"/>
    <w:rsid w:val="00540BF0"/>
    <w:rsid w:val="0054103E"/>
    <w:rsid w:val="005413E5"/>
    <w:rsid w:val="00541647"/>
    <w:rsid w:val="00541836"/>
    <w:rsid w:val="0054191A"/>
    <w:rsid w:val="00541948"/>
    <w:rsid w:val="00541C96"/>
    <w:rsid w:val="005422A2"/>
    <w:rsid w:val="00542C05"/>
    <w:rsid w:val="00542CF9"/>
    <w:rsid w:val="00542D0C"/>
    <w:rsid w:val="00542E69"/>
    <w:rsid w:val="00542FDE"/>
    <w:rsid w:val="005432E0"/>
    <w:rsid w:val="00543462"/>
    <w:rsid w:val="005435FA"/>
    <w:rsid w:val="00543AA4"/>
    <w:rsid w:val="00543B8A"/>
    <w:rsid w:val="00544168"/>
    <w:rsid w:val="005442C5"/>
    <w:rsid w:val="005445DF"/>
    <w:rsid w:val="005447AA"/>
    <w:rsid w:val="00545451"/>
    <w:rsid w:val="00545B9A"/>
    <w:rsid w:val="00546131"/>
    <w:rsid w:val="005461FD"/>
    <w:rsid w:val="00546421"/>
    <w:rsid w:val="005464CA"/>
    <w:rsid w:val="00546884"/>
    <w:rsid w:val="005473A7"/>
    <w:rsid w:val="005474AB"/>
    <w:rsid w:val="00547522"/>
    <w:rsid w:val="005477D2"/>
    <w:rsid w:val="0054782F"/>
    <w:rsid w:val="00547903"/>
    <w:rsid w:val="005501D7"/>
    <w:rsid w:val="00550479"/>
    <w:rsid w:val="005504E5"/>
    <w:rsid w:val="00551E16"/>
    <w:rsid w:val="00551E40"/>
    <w:rsid w:val="00551E50"/>
    <w:rsid w:val="00552068"/>
    <w:rsid w:val="00552375"/>
    <w:rsid w:val="005524B4"/>
    <w:rsid w:val="00552629"/>
    <w:rsid w:val="0055299E"/>
    <w:rsid w:val="00552A3F"/>
    <w:rsid w:val="00552A58"/>
    <w:rsid w:val="00552C11"/>
    <w:rsid w:val="00552F96"/>
    <w:rsid w:val="00553630"/>
    <w:rsid w:val="0055395D"/>
    <w:rsid w:val="00553ABE"/>
    <w:rsid w:val="00553E62"/>
    <w:rsid w:val="00553FB3"/>
    <w:rsid w:val="0055423C"/>
    <w:rsid w:val="005545E5"/>
    <w:rsid w:val="0055485A"/>
    <w:rsid w:val="00554885"/>
    <w:rsid w:val="00554ADE"/>
    <w:rsid w:val="00554E0D"/>
    <w:rsid w:val="00554EB8"/>
    <w:rsid w:val="00555207"/>
    <w:rsid w:val="005555A9"/>
    <w:rsid w:val="00555634"/>
    <w:rsid w:val="0055598B"/>
    <w:rsid w:val="005559F0"/>
    <w:rsid w:val="00555C67"/>
    <w:rsid w:val="0055617B"/>
    <w:rsid w:val="005561FA"/>
    <w:rsid w:val="00556287"/>
    <w:rsid w:val="005563E1"/>
    <w:rsid w:val="00556C2C"/>
    <w:rsid w:val="00556E2F"/>
    <w:rsid w:val="00556EAC"/>
    <w:rsid w:val="00556EF0"/>
    <w:rsid w:val="0055743F"/>
    <w:rsid w:val="005574A4"/>
    <w:rsid w:val="005577F6"/>
    <w:rsid w:val="005579A3"/>
    <w:rsid w:val="00557BE0"/>
    <w:rsid w:val="00557E17"/>
    <w:rsid w:val="00557F34"/>
    <w:rsid w:val="005600FC"/>
    <w:rsid w:val="0056014F"/>
    <w:rsid w:val="005602EC"/>
    <w:rsid w:val="00560783"/>
    <w:rsid w:val="0056115B"/>
    <w:rsid w:val="00561847"/>
    <w:rsid w:val="00561CB3"/>
    <w:rsid w:val="00561DA2"/>
    <w:rsid w:val="00561F45"/>
    <w:rsid w:val="0056204B"/>
    <w:rsid w:val="005620A6"/>
    <w:rsid w:val="00562290"/>
    <w:rsid w:val="005623F0"/>
    <w:rsid w:val="00562A2B"/>
    <w:rsid w:val="00562C7C"/>
    <w:rsid w:val="00562FCF"/>
    <w:rsid w:val="00563153"/>
    <w:rsid w:val="0056393F"/>
    <w:rsid w:val="00563A48"/>
    <w:rsid w:val="00563CA6"/>
    <w:rsid w:val="00563E9E"/>
    <w:rsid w:val="00563F00"/>
    <w:rsid w:val="005640B8"/>
    <w:rsid w:val="005640ED"/>
    <w:rsid w:val="00564438"/>
    <w:rsid w:val="00564C77"/>
    <w:rsid w:val="00564D15"/>
    <w:rsid w:val="00564DBB"/>
    <w:rsid w:val="00564FBA"/>
    <w:rsid w:val="00565179"/>
    <w:rsid w:val="0056586C"/>
    <w:rsid w:val="005659A0"/>
    <w:rsid w:val="00565D6C"/>
    <w:rsid w:val="00565E35"/>
    <w:rsid w:val="0056605E"/>
    <w:rsid w:val="00566225"/>
    <w:rsid w:val="005663B0"/>
    <w:rsid w:val="005668AC"/>
    <w:rsid w:val="00566C51"/>
    <w:rsid w:val="005672B5"/>
    <w:rsid w:val="00567313"/>
    <w:rsid w:val="0056742A"/>
    <w:rsid w:val="005708D3"/>
    <w:rsid w:val="005708E9"/>
    <w:rsid w:val="00570BF7"/>
    <w:rsid w:val="00570CBC"/>
    <w:rsid w:val="00571036"/>
    <w:rsid w:val="005710A1"/>
    <w:rsid w:val="0057180C"/>
    <w:rsid w:val="00571940"/>
    <w:rsid w:val="00571A16"/>
    <w:rsid w:val="00571C61"/>
    <w:rsid w:val="0057200E"/>
    <w:rsid w:val="0057221B"/>
    <w:rsid w:val="00572828"/>
    <w:rsid w:val="00572B93"/>
    <w:rsid w:val="00572EEF"/>
    <w:rsid w:val="0057301D"/>
    <w:rsid w:val="005738C9"/>
    <w:rsid w:val="00574F48"/>
    <w:rsid w:val="00575ABA"/>
    <w:rsid w:val="00575B83"/>
    <w:rsid w:val="00576B6B"/>
    <w:rsid w:val="00576C8F"/>
    <w:rsid w:val="00577070"/>
    <w:rsid w:val="00577123"/>
    <w:rsid w:val="005771C9"/>
    <w:rsid w:val="005773F0"/>
    <w:rsid w:val="0057753F"/>
    <w:rsid w:val="00577965"/>
    <w:rsid w:val="005779E9"/>
    <w:rsid w:val="00577A9A"/>
    <w:rsid w:val="00577E8E"/>
    <w:rsid w:val="00580260"/>
    <w:rsid w:val="00580BEC"/>
    <w:rsid w:val="00580C6B"/>
    <w:rsid w:val="00580E7C"/>
    <w:rsid w:val="00581261"/>
    <w:rsid w:val="00581B0D"/>
    <w:rsid w:val="00581F77"/>
    <w:rsid w:val="005825C9"/>
    <w:rsid w:val="005827A8"/>
    <w:rsid w:val="00582811"/>
    <w:rsid w:val="00582E62"/>
    <w:rsid w:val="00583007"/>
    <w:rsid w:val="005834C7"/>
    <w:rsid w:val="00583577"/>
    <w:rsid w:val="00583706"/>
    <w:rsid w:val="00583728"/>
    <w:rsid w:val="00583897"/>
    <w:rsid w:val="00583CE8"/>
    <w:rsid w:val="0058411F"/>
    <w:rsid w:val="00584543"/>
    <w:rsid w:val="00584946"/>
    <w:rsid w:val="00584C90"/>
    <w:rsid w:val="00584D0B"/>
    <w:rsid w:val="00584E4C"/>
    <w:rsid w:val="0058510E"/>
    <w:rsid w:val="005852F3"/>
    <w:rsid w:val="00585358"/>
    <w:rsid w:val="00585668"/>
    <w:rsid w:val="00585F03"/>
    <w:rsid w:val="00585F1E"/>
    <w:rsid w:val="005861BA"/>
    <w:rsid w:val="00586290"/>
    <w:rsid w:val="0058643C"/>
    <w:rsid w:val="0058654C"/>
    <w:rsid w:val="00586648"/>
    <w:rsid w:val="0058689E"/>
    <w:rsid w:val="0058696D"/>
    <w:rsid w:val="00586999"/>
    <w:rsid w:val="00586D2B"/>
    <w:rsid w:val="005875E1"/>
    <w:rsid w:val="00587E0A"/>
    <w:rsid w:val="00587F8E"/>
    <w:rsid w:val="00590C8A"/>
    <w:rsid w:val="005913A5"/>
    <w:rsid w:val="0059170D"/>
    <w:rsid w:val="00591930"/>
    <w:rsid w:val="00591E65"/>
    <w:rsid w:val="00591EE7"/>
    <w:rsid w:val="005921A6"/>
    <w:rsid w:val="00592374"/>
    <w:rsid w:val="0059252C"/>
    <w:rsid w:val="00592718"/>
    <w:rsid w:val="005928CB"/>
    <w:rsid w:val="00592A43"/>
    <w:rsid w:val="00592CFF"/>
    <w:rsid w:val="00592D4C"/>
    <w:rsid w:val="00592F52"/>
    <w:rsid w:val="005932AB"/>
    <w:rsid w:val="0059342D"/>
    <w:rsid w:val="00593913"/>
    <w:rsid w:val="00593B11"/>
    <w:rsid w:val="00593B8E"/>
    <w:rsid w:val="00593BC5"/>
    <w:rsid w:val="00593F81"/>
    <w:rsid w:val="005947CB"/>
    <w:rsid w:val="005947F2"/>
    <w:rsid w:val="0059480D"/>
    <w:rsid w:val="00594B17"/>
    <w:rsid w:val="00594FD6"/>
    <w:rsid w:val="005951A5"/>
    <w:rsid w:val="00595C87"/>
    <w:rsid w:val="0059605A"/>
    <w:rsid w:val="00596115"/>
    <w:rsid w:val="00596716"/>
    <w:rsid w:val="00596A7E"/>
    <w:rsid w:val="00596B62"/>
    <w:rsid w:val="00596D6B"/>
    <w:rsid w:val="005973E2"/>
    <w:rsid w:val="0059782F"/>
    <w:rsid w:val="005A07F6"/>
    <w:rsid w:val="005A0C86"/>
    <w:rsid w:val="005A0DB2"/>
    <w:rsid w:val="005A178C"/>
    <w:rsid w:val="005A17B6"/>
    <w:rsid w:val="005A17B7"/>
    <w:rsid w:val="005A1A62"/>
    <w:rsid w:val="005A1C58"/>
    <w:rsid w:val="005A1EE8"/>
    <w:rsid w:val="005A2009"/>
    <w:rsid w:val="005A2287"/>
    <w:rsid w:val="005A22D5"/>
    <w:rsid w:val="005A2483"/>
    <w:rsid w:val="005A2621"/>
    <w:rsid w:val="005A2B73"/>
    <w:rsid w:val="005A30E4"/>
    <w:rsid w:val="005A32CB"/>
    <w:rsid w:val="005A35A3"/>
    <w:rsid w:val="005A370D"/>
    <w:rsid w:val="005A374F"/>
    <w:rsid w:val="005A3AEC"/>
    <w:rsid w:val="005A4736"/>
    <w:rsid w:val="005A4743"/>
    <w:rsid w:val="005A47F3"/>
    <w:rsid w:val="005A4ECA"/>
    <w:rsid w:val="005A4F99"/>
    <w:rsid w:val="005A562A"/>
    <w:rsid w:val="005A56B2"/>
    <w:rsid w:val="005A599C"/>
    <w:rsid w:val="005A61DF"/>
    <w:rsid w:val="005A63E5"/>
    <w:rsid w:val="005A6BFD"/>
    <w:rsid w:val="005A6C1D"/>
    <w:rsid w:val="005A6CFB"/>
    <w:rsid w:val="005A75D6"/>
    <w:rsid w:val="005A78B4"/>
    <w:rsid w:val="005A7FD1"/>
    <w:rsid w:val="005B1DCF"/>
    <w:rsid w:val="005B1DDB"/>
    <w:rsid w:val="005B1E44"/>
    <w:rsid w:val="005B2439"/>
    <w:rsid w:val="005B26C5"/>
    <w:rsid w:val="005B2FAA"/>
    <w:rsid w:val="005B33B1"/>
    <w:rsid w:val="005B3BAE"/>
    <w:rsid w:val="005B3CB1"/>
    <w:rsid w:val="005B41E5"/>
    <w:rsid w:val="005B44A2"/>
    <w:rsid w:val="005B55C9"/>
    <w:rsid w:val="005B563E"/>
    <w:rsid w:val="005B59F0"/>
    <w:rsid w:val="005B629C"/>
    <w:rsid w:val="005B6514"/>
    <w:rsid w:val="005B67F1"/>
    <w:rsid w:val="005B6A9B"/>
    <w:rsid w:val="005B6E1D"/>
    <w:rsid w:val="005B7479"/>
    <w:rsid w:val="005B7D59"/>
    <w:rsid w:val="005B7E35"/>
    <w:rsid w:val="005B7E79"/>
    <w:rsid w:val="005B7EF3"/>
    <w:rsid w:val="005B7F75"/>
    <w:rsid w:val="005C00CA"/>
    <w:rsid w:val="005C04B4"/>
    <w:rsid w:val="005C0CDE"/>
    <w:rsid w:val="005C0D29"/>
    <w:rsid w:val="005C1004"/>
    <w:rsid w:val="005C1166"/>
    <w:rsid w:val="005C1A9D"/>
    <w:rsid w:val="005C1B80"/>
    <w:rsid w:val="005C20B7"/>
    <w:rsid w:val="005C2197"/>
    <w:rsid w:val="005C22A2"/>
    <w:rsid w:val="005C2516"/>
    <w:rsid w:val="005C2651"/>
    <w:rsid w:val="005C2BE3"/>
    <w:rsid w:val="005C2C2D"/>
    <w:rsid w:val="005C2C39"/>
    <w:rsid w:val="005C321E"/>
    <w:rsid w:val="005C3508"/>
    <w:rsid w:val="005C3BDF"/>
    <w:rsid w:val="005C42E8"/>
    <w:rsid w:val="005C48E2"/>
    <w:rsid w:val="005C4A49"/>
    <w:rsid w:val="005C4C46"/>
    <w:rsid w:val="005C4DB1"/>
    <w:rsid w:val="005C5068"/>
    <w:rsid w:val="005C51A7"/>
    <w:rsid w:val="005C5604"/>
    <w:rsid w:val="005C5FD7"/>
    <w:rsid w:val="005C60FB"/>
    <w:rsid w:val="005C6183"/>
    <w:rsid w:val="005C67B7"/>
    <w:rsid w:val="005C68EE"/>
    <w:rsid w:val="005C7090"/>
    <w:rsid w:val="005C71E7"/>
    <w:rsid w:val="005C737D"/>
    <w:rsid w:val="005C7828"/>
    <w:rsid w:val="005C787B"/>
    <w:rsid w:val="005C7A36"/>
    <w:rsid w:val="005C7D26"/>
    <w:rsid w:val="005C7D30"/>
    <w:rsid w:val="005D04BF"/>
    <w:rsid w:val="005D04DA"/>
    <w:rsid w:val="005D061F"/>
    <w:rsid w:val="005D0809"/>
    <w:rsid w:val="005D0F5F"/>
    <w:rsid w:val="005D1379"/>
    <w:rsid w:val="005D1584"/>
    <w:rsid w:val="005D1691"/>
    <w:rsid w:val="005D16B7"/>
    <w:rsid w:val="005D1A78"/>
    <w:rsid w:val="005D25F2"/>
    <w:rsid w:val="005D281E"/>
    <w:rsid w:val="005D31FE"/>
    <w:rsid w:val="005D3A0E"/>
    <w:rsid w:val="005D3A89"/>
    <w:rsid w:val="005D3D7E"/>
    <w:rsid w:val="005D3DB6"/>
    <w:rsid w:val="005D42F6"/>
    <w:rsid w:val="005D4313"/>
    <w:rsid w:val="005D4C10"/>
    <w:rsid w:val="005D4D94"/>
    <w:rsid w:val="005D508D"/>
    <w:rsid w:val="005D58FF"/>
    <w:rsid w:val="005D59F3"/>
    <w:rsid w:val="005D5B71"/>
    <w:rsid w:val="005D6361"/>
    <w:rsid w:val="005D6CAE"/>
    <w:rsid w:val="005D7242"/>
    <w:rsid w:val="005D74DF"/>
    <w:rsid w:val="005D77C9"/>
    <w:rsid w:val="005D7B10"/>
    <w:rsid w:val="005D7B77"/>
    <w:rsid w:val="005E01AD"/>
    <w:rsid w:val="005E0475"/>
    <w:rsid w:val="005E0599"/>
    <w:rsid w:val="005E0FBE"/>
    <w:rsid w:val="005E1715"/>
    <w:rsid w:val="005E177A"/>
    <w:rsid w:val="005E1D16"/>
    <w:rsid w:val="005E1E7E"/>
    <w:rsid w:val="005E1E96"/>
    <w:rsid w:val="005E2675"/>
    <w:rsid w:val="005E3459"/>
    <w:rsid w:val="005E3600"/>
    <w:rsid w:val="005E37C5"/>
    <w:rsid w:val="005E38F0"/>
    <w:rsid w:val="005E3BF5"/>
    <w:rsid w:val="005E3FDC"/>
    <w:rsid w:val="005E402C"/>
    <w:rsid w:val="005E456E"/>
    <w:rsid w:val="005E458B"/>
    <w:rsid w:val="005E4EFD"/>
    <w:rsid w:val="005E55A9"/>
    <w:rsid w:val="005E59A4"/>
    <w:rsid w:val="005E6C17"/>
    <w:rsid w:val="005E711E"/>
    <w:rsid w:val="005E747B"/>
    <w:rsid w:val="005E759B"/>
    <w:rsid w:val="005E768A"/>
    <w:rsid w:val="005E7BE8"/>
    <w:rsid w:val="005E7C25"/>
    <w:rsid w:val="005E7D3A"/>
    <w:rsid w:val="005E7E8B"/>
    <w:rsid w:val="005EDDF5"/>
    <w:rsid w:val="005F0367"/>
    <w:rsid w:val="005F0424"/>
    <w:rsid w:val="005F08A1"/>
    <w:rsid w:val="005F0AA4"/>
    <w:rsid w:val="005F0C17"/>
    <w:rsid w:val="005F0D70"/>
    <w:rsid w:val="005F0E9A"/>
    <w:rsid w:val="005F111D"/>
    <w:rsid w:val="005F13F3"/>
    <w:rsid w:val="005F14D4"/>
    <w:rsid w:val="005F16B1"/>
    <w:rsid w:val="005F1715"/>
    <w:rsid w:val="005F19F8"/>
    <w:rsid w:val="005F1A06"/>
    <w:rsid w:val="005F216C"/>
    <w:rsid w:val="005F23BF"/>
    <w:rsid w:val="005F27D9"/>
    <w:rsid w:val="005F310A"/>
    <w:rsid w:val="005F3187"/>
    <w:rsid w:val="005F31FE"/>
    <w:rsid w:val="005F3486"/>
    <w:rsid w:val="005F396C"/>
    <w:rsid w:val="005F3A2F"/>
    <w:rsid w:val="005F3AD2"/>
    <w:rsid w:val="005F473F"/>
    <w:rsid w:val="005F5187"/>
    <w:rsid w:val="005F51D6"/>
    <w:rsid w:val="005F522A"/>
    <w:rsid w:val="005F58B3"/>
    <w:rsid w:val="005F5908"/>
    <w:rsid w:val="005F5CBE"/>
    <w:rsid w:val="005F5CD6"/>
    <w:rsid w:val="005F5CEB"/>
    <w:rsid w:val="005F5D89"/>
    <w:rsid w:val="005F6047"/>
    <w:rsid w:val="005F6056"/>
    <w:rsid w:val="005F6535"/>
    <w:rsid w:val="005F6B82"/>
    <w:rsid w:val="005F6D03"/>
    <w:rsid w:val="005F7255"/>
    <w:rsid w:val="005F76B5"/>
    <w:rsid w:val="005F7A5E"/>
    <w:rsid w:val="006002E0"/>
    <w:rsid w:val="00600730"/>
    <w:rsid w:val="00600925"/>
    <w:rsid w:val="00600D2E"/>
    <w:rsid w:val="00600F97"/>
    <w:rsid w:val="00601921"/>
    <w:rsid w:val="00601B07"/>
    <w:rsid w:val="00601E2A"/>
    <w:rsid w:val="00602190"/>
    <w:rsid w:val="00602B02"/>
    <w:rsid w:val="00602F83"/>
    <w:rsid w:val="0060314B"/>
    <w:rsid w:val="00603201"/>
    <w:rsid w:val="00603298"/>
    <w:rsid w:val="006032A5"/>
    <w:rsid w:val="006037D7"/>
    <w:rsid w:val="00603D02"/>
    <w:rsid w:val="0060431A"/>
    <w:rsid w:val="00604563"/>
    <w:rsid w:val="00604A82"/>
    <w:rsid w:val="00605BB9"/>
    <w:rsid w:val="006062DF"/>
    <w:rsid w:val="00606314"/>
    <w:rsid w:val="0060643F"/>
    <w:rsid w:val="0060648E"/>
    <w:rsid w:val="00606C2E"/>
    <w:rsid w:val="00606C8B"/>
    <w:rsid w:val="00606F88"/>
    <w:rsid w:val="00606FA1"/>
    <w:rsid w:val="0060702D"/>
    <w:rsid w:val="006071D8"/>
    <w:rsid w:val="0060750A"/>
    <w:rsid w:val="00607529"/>
    <w:rsid w:val="006078DC"/>
    <w:rsid w:val="0060795C"/>
    <w:rsid w:val="006079E5"/>
    <w:rsid w:val="00607C96"/>
    <w:rsid w:val="006101C6"/>
    <w:rsid w:val="006103A6"/>
    <w:rsid w:val="00610505"/>
    <w:rsid w:val="00610866"/>
    <w:rsid w:val="00610B17"/>
    <w:rsid w:val="0061102D"/>
    <w:rsid w:val="00611772"/>
    <w:rsid w:val="00611812"/>
    <w:rsid w:val="00611E89"/>
    <w:rsid w:val="00612023"/>
    <w:rsid w:val="006131DC"/>
    <w:rsid w:val="00613A2A"/>
    <w:rsid w:val="00613A4E"/>
    <w:rsid w:val="00613C7A"/>
    <w:rsid w:val="00614599"/>
    <w:rsid w:val="0061468F"/>
    <w:rsid w:val="00614A41"/>
    <w:rsid w:val="00614AF3"/>
    <w:rsid w:val="00614B68"/>
    <w:rsid w:val="00614B80"/>
    <w:rsid w:val="00614E5F"/>
    <w:rsid w:val="00614F2E"/>
    <w:rsid w:val="006152CB"/>
    <w:rsid w:val="0061535C"/>
    <w:rsid w:val="00615607"/>
    <w:rsid w:val="00615B10"/>
    <w:rsid w:val="00615C49"/>
    <w:rsid w:val="00615EA3"/>
    <w:rsid w:val="006161D3"/>
    <w:rsid w:val="006165A3"/>
    <w:rsid w:val="00616883"/>
    <w:rsid w:val="00616A12"/>
    <w:rsid w:val="00616C3F"/>
    <w:rsid w:val="00616FE6"/>
    <w:rsid w:val="0061713F"/>
    <w:rsid w:val="0061756F"/>
    <w:rsid w:val="006201A0"/>
    <w:rsid w:val="0062095F"/>
    <w:rsid w:val="0062122D"/>
    <w:rsid w:val="006213D3"/>
    <w:rsid w:val="00621D09"/>
    <w:rsid w:val="00621FAC"/>
    <w:rsid w:val="0062268C"/>
    <w:rsid w:val="00622796"/>
    <w:rsid w:val="006228BC"/>
    <w:rsid w:val="00622934"/>
    <w:rsid w:val="006229AA"/>
    <w:rsid w:val="00622B52"/>
    <w:rsid w:val="00622C38"/>
    <w:rsid w:val="0062312E"/>
    <w:rsid w:val="00623142"/>
    <w:rsid w:val="006233AE"/>
    <w:rsid w:val="0062387E"/>
    <w:rsid w:val="00623D1F"/>
    <w:rsid w:val="00623E28"/>
    <w:rsid w:val="00624533"/>
    <w:rsid w:val="0062465D"/>
    <w:rsid w:val="00624906"/>
    <w:rsid w:val="0062490A"/>
    <w:rsid w:val="0062492E"/>
    <w:rsid w:val="006249F1"/>
    <w:rsid w:val="00624C7F"/>
    <w:rsid w:val="00624D96"/>
    <w:rsid w:val="00624DEA"/>
    <w:rsid w:val="00624EB9"/>
    <w:rsid w:val="00624FC4"/>
    <w:rsid w:val="00625106"/>
    <w:rsid w:val="006255D8"/>
    <w:rsid w:val="00625B70"/>
    <w:rsid w:val="00625E45"/>
    <w:rsid w:val="0062647A"/>
    <w:rsid w:val="006264E3"/>
    <w:rsid w:val="006266A6"/>
    <w:rsid w:val="006266EE"/>
    <w:rsid w:val="00626DAD"/>
    <w:rsid w:val="00627329"/>
    <w:rsid w:val="006273C3"/>
    <w:rsid w:val="006276D2"/>
    <w:rsid w:val="00627ADE"/>
    <w:rsid w:val="00627F83"/>
    <w:rsid w:val="00630076"/>
    <w:rsid w:val="00630440"/>
    <w:rsid w:val="00630647"/>
    <w:rsid w:val="006308A3"/>
    <w:rsid w:val="006311D4"/>
    <w:rsid w:val="00631229"/>
    <w:rsid w:val="006316B3"/>
    <w:rsid w:val="00631A43"/>
    <w:rsid w:val="00631B18"/>
    <w:rsid w:val="006325E2"/>
    <w:rsid w:val="00632849"/>
    <w:rsid w:val="00632AFA"/>
    <w:rsid w:val="00632B25"/>
    <w:rsid w:val="00632CBF"/>
    <w:rsid w:val="00632E10"/>
    <w:rsid w:val="00633822"/>
    <w:rsid w:val="00633B74"/>
    <w:rsid w:val="0063428B"/>
    <w:rsid w:val="006342E0"/>
    <w:rsid w:val="006347CF"/>
    <w:rsid w:val="00634970"/>
    <w:rsid w:val="00634C2A"/>
    <w:rsid w:val="00635A65"/>
    <w:rsid w:val="00635CA5"/>
    <w:rsid w:val="00635EC4"/>
    <w:rsid w:val="00636610"/>
    <w:rsid w:val="006369C9"/>
    <w:rsid w:val="00636D1E"/>
    <w:rsid w:val="00636EC2"/>
    <w:rsid w:val="00636FEB"/>
    <w:rsid w:val="006370ED"/>
    <w:rsid w:val="00637315"/>
    <w:rsid w:val="0063736D"/>
    <w:rsid w:val="00637580"/>
    <w:rsid w:val="006375EE"/>
    <w:rsid w:val="00637886"/>
    <w:rsid w:val="00637D84"/>
    <w:rsid w:val="00637D89"/>
    <w:rsid w:val="006400DE"/>
    <w:rsid w:val="00640CB9"/>
    <w:rsid w:val="006410A9"/>
    <w:rsid w:val="0064112F"/>
    <w:rsid w:val="006413C8"/>
    <w:rsid w:val="00641ABF"/>
    <w:rsid w:val="00641D4E"/>
    <w:rsid w:val="00641DBD"/>
    <w:rsid w:val="00642088"/>
    <w:rsid w:val="0064226A"/>
    <w:rsid w:val="006423ED"/>
    <w:rsid w:val="006423FA"/>
    <w:rsid w:val="0064268B"/>
    <w:rsid w:val="00643240"/>
    <w:rsid w:val="0064335B"/>
    <w:rsid w:val="00643669"/>
    <w:rsid w:val="0064383F"/>
    <w:rsid w:val="00643D8A"/>
    <w:rsid w:val="00644249"/>
    <w:rsid w:val="00644BC5"/>
    <w:rsid w:val="00644EB0"/>
    <w:rsid w:val="00644F6B"/>
    <w:rsid w:val="00644FE7"/>
    <w:rsid w:val="00645064"/>
    <w:rsid w:val="00645080"/>
    <w:rsid w:val="0064519A"/>
    <w:rsid w:val="00645686"/>
    <w:rsid w:val="00645831"/>
    <w:rsid w:val="00645C8A"/>
    <w:rsid w:val="0064614D"/>
    <w:rsid w:val="006462AC"/>
    <w:rsid w:val="0064645A"/>
    <w:rsid w:val="00646978"/>
    <w:rsid w:val="006469F8"/>
    <w:rsid w:val="00646C82"/>
    <w:rsid w:val="00646DB3"/>
    <w:rsid w:val="00646FCF"/>
    <w:rsid w:val="0064708A"/>
    <w:rsid w:val="006470E7"/>
    <w:rsid w:val="00647631"/>
    <w:rsid w:val="006476E2"/>
    <w:rsid w:val="00647826"/>
    <w:rsid w:val="0064791A"/>
    <w:rsid w:val="00647B9B"/>
    <w:rsid w:val="00647CC0"/>
    <w:rsid w:val="00647E77"/>
    <w:rsid w:val="00650495"/>
    <w:rsid w:val="006508CB"/>
    <w:rsid w:val="00650A62"/>
    <w:rsid w:val="00650D56"/>
    <w:rsid w:val="0065112D"/>
    <w:rsid w:val="006512BC"/>
    <w:rsid w:val="0065132D"/>
    <w:rsid w:val="006518BD"/>
    <w:rsid w:val="0065194E"/>
    <w:rsid w:val="00651BAD"/>
    <w:rsid w:val="00651E35"/>
    <w:rsid w:val="006522C2"/>
    <w:rsid w:val="006528CA"/>
    <w:rsid w:val="00652C76"/>
    <w:rsid w:val="00652F42"/>
    <w:rsid w:val="00652FA6"/>
    <w:rsid w:val="0065364E"/>
    <w:rsid w:val="006542DA"/>
    <w:rsid w:val="00654749"/>
    <w:rsid w:val="00654A8A"/>
    <w:rsid w:val="00654AD5"/>
    <w:rsid w:val="00654ED9"/>
    <w:rsid w:val="00654FE9"/>
    <w:rsid w:val="00655361"/>
    <w:rsid w:val="0065554F"/>
    <w:rsid w:val="00655600"/>
    <w:rsid w:val="00655681"/>
    <w:rsid w:val="00655765"/>
    <w:rsid w:val="00655971"/>
    <w:rsid w:val="00655D9A"/>
    <w:rsid w:val="00655E5E"/>
    <w:rsid w:val="0065692C"/>
    <w:rsid w:val="00656B7A"/>
    <w:rsid w:val="0065766F"/>
    <w:rsid w:val="006576DD"/>
    <w:rsid w:val="0065777F"/>
    <w:rsid w:val="00657B5D"/>
    <w:rsid w:val="006603C0"/>
    <w:rsid w:val="00660679"/>
    <w:rsid w:val="00660B91"/>
    <w:rsid w:val="00660E6C"/>
    <w:rsid w:val="00661841"/>
    <w:rsid w:val="00661A2B"/>
    <w:rsid w:val="00661BDD"/>
    <w:rsid w:val="00661D52"/>
    <w:rsid w:val="00661E6B"/>
    <w:rsid w:val="006620C4"/>
    <w:rsid w:val="006620CA"/>
    <w:rsid w:val="006625CF"/>
    <w:rsid w:val="00662A6D"/>
    <w:rsid w:val="00663116"/>
    <w:rsid w:val="00663302"/>
    <w:rsid w:val="00663475"/>
    <w:rsid w:val="006636DD"/>
    <w:rsid w:val="00663948"/>
    <w:rsid w:val="00663D79"/>
    <w:rsid w:val="00663F92"/>
    <w:rsid w:val="00663FD4"/>
    <w:rsid w:val="00664326"/>
    <w:rsid w:val="00664596"/>
    <w:rsid w:val="006645D0"/>
    <w:rsid w:val="00664663"/>
    <w:rsid w:val="006648A5"/>
    <w:rsid w:val="006652DA"/>
    <w:rsid w:val="00665585"/>
    <w:rsid w:val="0066589A"/>
    <w:rsid w:val="006659AF"/>
    <w:rsid w:val="00666127"/>
    <w:rsid w:val="006661F7"/>
    <w:rsid w:val="006667FB"/>
    <w:rsid w:val="006669EA"/>
    <w:rsid w:val="00666EA0"/>
    <w:rsid w:val="00667159"/>
    <w:rsid w:val="006671E9"/>
    <w:rsid w:val="006673A5"/>
    <w:rsid w:val="006673C0"/>
    <w:rsid w:val="006674A7"/>
    <w:rsid w:val="006677AA"/>
    <w:rsid w:val="00667F19"/>
    <w:rsid w:val="00667F1D"/>
    <w:rsid w:val="00667F71"/>
    <w:rsid w:val="0067012B"/>
    <w:rsid w:val="0067026C"/>
    <w:rsid w:val="0067077B"/>
    <w:rsid w:val="006707D6"/>
    <w:rsid w:val="00670A3B"/>
    <w:rsid w:val="00670BCA"/>
    <w:rsid w:val="00670FAC"/>
    <w:rsid w:val="00670FCA"/>
    <w:rsid w:val="00671247"/>
    <w:rsid w:val="006713F7"/>
    <w:rsid w:val="00671B9B"/>
    <w:rsid w:val="00672286"/>
    <w:rsid w:val="006727AD"/>
    <w:rsid w:val="006728D7"/>
    <w:rsid w:val="006729EE"/>
    <w:rsid w:val="00672A63"/>
    <w:rsid w:val="00672D26"/>
    <w:rsid w:val="006735AB"/>
    <w:rsid w:val="0067383A"/>
    <w:rsid w:val="00673993"/>
    <w:rsid w:val="00673CBF"/>
    <w:rsid w:val="00673D3F"/>
    <w:rsid w:val="006745DA"/>
    <w:rsid w:val="00675996"/>
    <w:rsid w:val="00676228"/>
    <w:rsid w:val="00676341"/>
    <w:rsid w:val="00676421"/>
    <w:rsid w:val="00676699"/>
    <w:rsid w:val="00676D18"/>
    <w:rsid w:val="00676F52"/>
    <w:rsid w:val="006770AC"/>
    <w:rsid w:val="006772E5"/>
    <w:rsid w:val="006777C2"/>
    <w:rsid w:val="006779A4"/>
    <w:rsid w:val="00677AF3"/>
    <w:rsid w:val="00677EBD"/>
    <w:rsid w:val="00677EC0"/>
    <w:rsid w:val="00680103"/>
    <w:rsid w:val="00680136"/>
    <w:rsid w:val="006802E6"/>
    <w:rsid w:val="006803A0"/>
    <w:rsid w:val="0068061C"/>
    <w:rsid w:val="00680767"/>
    <w:rsid w:val="00681035"/>
    <w:rsid w:val="00681158"/>
    <w:rsid w:val="006811B3"/>
    <w:rsid w:val="006811C6"/>
    <w:rsid w:val="00681407"/>
    <w:rsid w:val="0068160C"/>
    <w:rsid w:val="00681D9C"/>
    <w:rsid w:val="00681DA1"/>
    <w:rsid w:val="00681F9C"/>
    <w:rsid w:val="00682959"/>
    <w:rsid w:val="00683420"/>
    <w:rsid w:val="006835B6"/>
    <w:rsid w:val="00683725"/>
    <w:rsid w:val="00683862"/>
    <w:rsid w:val="00683AE8"/>
    <w:rsid w:val="00683B44"/>
    <w:rsid w:val="00683DEA"/>
    <w:rsid w:val="0068406C"/>
    <w:rsid w:val="006841D2"/>
    <w:rsid w:val="006843C3"/>
    <w:rsid w:val="00684836"/>
    <w:rsid w:val="00684897"/>
    <w:rsid w:val="00685456"/>
    <w:rsid w:val="00685559"/>
    <w:rsid w:val="006856DE"/>
    <w:rsid w:val="00685C4F"/>
    <w:rsid w:val="00685E8E"/>
    <w:rsid w:val="006861D6"/>
    <w:rsid w:val="0068626A"/>
    <w:rsid w:val="006868AC"/>
    <w:rsid w:val="00686E25"/>
    <w:rsid w:val="00686E9D"/>
    <w:rsid w:val="006873DC"/>
    <w:rsid w:val="0068747D"/>
    <w:rsid w:val="00687AAC"/>
    <w:rsid w:val="00687C5C"/>
    <w:rsid w:val="00687DC9"/>
    <w:rsid w:val="00690038"/>
    <w:rsid w:val="00690A0D"/>
    <w:rsid w:val="00690B19"/>
    <w:rsid w:val="00690F84"/>
    <w:rsid w:val="00691006"/>
    <w:rsid w:val="00691093"/>
    <w:rsid w:val="00691994"/>
    <w:rsid w:val="00691B78"/>
    <w:rsid w:val="00691BAC"/>
    <w:rsid w:val="00691D3A"/>
    <w:rsid w:val="00692414"/>
    <w:rsid w:val="0069285A"/>
    <w:rsid w:val="0069295E"/>
    <w:rsid w:val="00692BE1"/>
    <w:rsid w:val="00692D16"/>
    <w:rsid w:val="00692D55"/>
    <w:rsid w:val="00692E76"/>
    <w:rsid w:val="006930E6"/>
    <w:rsid w:val="006931A6"/>
    <w:rsid w:val="00693373"/>
    <w:rsid w:val="0069388C"/>
    <w:rsid w:val="00693994"/>
    <w:rsid w:val="00693A88"/>
    <w:rsid w:val="00693B74"/>
    <w:rsid w:val="00693CAB"/>
    <w:rsid w:val="00693E90"/>
    <w:rsid w:val="006944AC"/>
    <w:rsid w:val="00694562"/>
    <w:rsid w:val="0069465B"/>
    <w:rsid w:val="0069476F"/>
    <w:rsid w:val="00694957"/>
    <w:rsid w:val="00694F4E"/>
    <w:rsid w:val="006950D8"/>
    <w:rsid w:val="00695869"/>
    <w:rsid w:val="00695E30"/>
    <w:rsid w:val="00696150"/>
    <w:rsid w:val="00696A72"/>
    <w:rsid w:val="00696EEA"/>
    <w:rsid w:val="00697179"/>
    <w:rsid w:val="0069719F"/>
    <w:rsid w:val="00697215"/>
    <w:rsid w:val="006972BC"/>
    <w:rsid w:val="006973FF"/>
    <w:rsid w:val="00697615"/>
    <w:rsid w:val="0069795A"/>
    <w:rsid w:val="00697E32"/>
    <w:rsid w:val="006A0151"/>
    <w:rsid w:val="006A05D6"/>
    <w:rsid w:val="006A1127"/>
    <w:rsid w:val="006A117A"/>
    <w:rsid w:val="006A13A8"/>
    <w:rsid w:val="006A17CF"/>
    <w:rsid w:val="006A186A"/>
    <w:rsid w:val="006A1BA7"/>
    <w:rsid w:val="006A1DCD"/>
    <w:rsid w:val="006A201E"/>
    <w:rsid w:val="006A264C"/>
    <w:rsid w:val="006A274B"/>
    <w:rsid w:val="006A2AF9"/>
    <w:rsid w:val="006A300D"/>
    <w:rsid w:val="006A3651"/>
    <w:rsid w:val="006A39BB"/>
    <w:rsid w:val="006A3A9A"/>
    <w:rsid w:val="006A3AE6"/>
    <w:rsid w:val="006A3B46"/>
    <w:rsid w:val="006A3C5B"/>
    <w:rsid w:val="006A3E37"/>
    <w:rsid w:val="006A4102"/>
    <w:rsid w:val="006A42D8"/>
    <w:rsid w:val="006A44A4"/>
    <w:rsid w:val="006A4903"/>
    <w:rsid w:val="006A49B8"/>
    <w:rsid w:val="006A4F69"/>
    <w:rsid w:val="006A5605"/>
    <w:rsid w:val="006A5A44"/>
    <w:rsid w:val="006A61BA"/>
    <w:rsid w:val="006A65E5"/>
    <w:rsid w:val="006A6761"/>
    <w:rsid w:val="006A7171"/>
    <w:rsid w:val="006B0070"/>
    <w:rsid w:val="006B056D"/>
    <w:rsid w:val="006B0AE7"/>
    <w:rsid w:val="006B0DEF"/>
    <w:rsid w:val="006B0EAF"/>
    <w:rsid w:val="006B0FFB"/>
    <w:rsid w:val="006B1083"/>
    <w:rsid w:val="006B12A7"/>
    <w:rsid w:val="006B13CE"/>
    <w:rsid w:val="006B1726"/>
    <w:rsid w:val="006B1780"/>
    <w:rsid w:val="006B18AC"/>
    <w:rsid w:val="006B1B30"/>
    <w:rsid w:val="006B1B92"/>
    <w:rsid w:val="006B1C22"/>
    <w:rsid w:val="006B1D2E"/>
    <w:rsid w:val="006B2037"/>
    <w:rsid w:val="006B2186"/>
    <w:rsid w:val="006B21B0"/>
    <w:rsid w:val="006B2848"/>
    <w:rsid w:val="006B379B"/>
    <w:rsid w:val="006B39A1"/>
    <w:rsid w:val="006B3FA6"/>
    <w:rsid w:val="006B40C9"/>
    <w:rsid w:val="006B4162"/>
    <w:rsid w:val="006B434B"/>
    <w:rsid w:val="006B43E5"/>
    <w:rsid w:val="006B4680"/>
    <w:rsid w:val="006B472F"/>
    <w:rsid w:val="006B4A4B"/>
    <w:rsid w:val="006B4C54"/>
    <w:rsid w:val="006B4F24"/>
    <w:rsid w:val="006B5EBA"/>
    <w:rsid w:val="006B6005"/>
    <w:rsid w:val="006B6794"/>
    <w:rsid w:val="006B6AEF"/>
    <w:rsid w:val="006B6B19"/>
    <w:rsid w:val="006B710E"/>
    <w:rsid w:val="006B7D3C"/>
    <w:rsid w:val="006B7E5C"/>
    <w:rsid w:val="006C0E3A"/>
    <w:rsid w:val="006C0EB0"/>
    <w:rsid w:val="006C13DC"/>
    <w:rsid w:val="006C16D9"/>
    <w:rsid w:val="006C1823"/>
    <w:rsid w:val="006C1BA1"/>
    <w:rsid w:val="006C1EAB"/>
    <w:rsid w:val="006C1F4A"/>
    <w:rsid w:val="006C21A1"/>
    <w:rsid w:val="006C22A4"/>
    <w:rsid w:val="006C26D5"/>
    <w:rsid w:val="006C29DF"/>
    <w:rsid w:val="006C2F11"/>
    <w:rsid w:val="006C345A"/>
    <w:rsid w:val="006C474E"/>
    <w:rsid w:val="006C4829"/>
    <w:rsid w:val="006C4920"/>
    <w:rsid w:val="006C5296"/>
    <w:rsid w:val="006C56E3"/>
    <w:rsid w:val="006C58E3"/>
    <w:rsid w:val="006C5CA4"/>
    <w:rsid w:val="006C5E06"/>
    <w:rsid w:val="006C62F7"/>
    <w:rsid w:val="006C72C2"/>
    <w:rsid w:val="006C7448"/>
    <w:rsid w:val="006C7D49"/>
    <w:rsid w:val="006C7DAE"/>
    <w:rsid w:val="006C7F13"/>
    <w:rsid w:val="006D016F"/>
    <w:rsid w:val="006D0413"/>
    <w:rsid w:val="006D0585"/>
    <w:rsid w:val="006D08D2"/>
    <w:rsid w:val="006D0A5C"/>
    <w:rsid w:val="006D145A"/>
    <w:rsid w:val="006D16B3"/>
    <w:rsid w:val="006D1784"/>
    <w:rsid w:val="006D19E1"/>
    <w:rsid w:val="006D2070"/>
    <w:rsid w:val="006D20CA"/>
    <w:rsid w:val="006D28D5"/>
    <w:rsid w:val="006D2DCD"/>
    <w:rsid w:val="006D3195"/>
    <w:rsid w:val="006D364C"/>
    <w:rsid w:val="006D3725"/>
    <w:rsid w:val="006D3AD7"/>
    <w:rsid w:val="006D3C9C"/>
    <w:rsid w:val="006D3CAA"/>
    <w:rsid w:val="006D3CE8"/>
    <w:rsid w:val="006D3CFF"/>
    <w:rsid w:val="006D3DA1"/>
    <w:rsid w:val="006D3E9D"/>
    <w:rsid w:val="006D3FF4"/>
    <w:rsid w:val="006D447B"/>
    <w:rsid w:val="006D488E"/>
    <w:rsid w:val="006D492E"/>
    <w:rsid w:val="006D4955"/>
    <w:rsid w:val="006D4A00"/>
    <w:rsid w:val="006D501C"/>
    <w:rsid w:val="006D585C"/>
    <w:rsid w:val="006D5D2C"/>
    <w:rsid w:val="006D6145"/>
    <w:rsid w:val="006D6485"/>
    <w:rsid w:val="006D7232"/>
    <w:rsid w:val="006D73D9"/>
    <w:rsid w:val="006D753D"/>
    <w:rsid w:val="006D794D"/>
    <w:rsid w:val="006D7A83"/>
    <w:rsid w:val="006E0502"/>
    <w:rsid w:val="006E0F94"/>
    <w:rsid w:val="006E0FD6"/>
    <w:rsid w:val="006E1252"/>
    <w:rsid w:val="006E1919"/>
    <w:rsid w:val="006E2197"/>
    <w:rsid w:val="006E2385"/>
    <w:rsid w:val="006E2397"/>
    <w:rsid w:val="006E24C2"/>
    <w:rsid w:val="006E3373"/>
    <w:rsid w:val="006E34B5"/>
    <w:rsid w:val="006E357C"/>
    <w:rsid w:val="006E3962"/>
    <w:rsid w:val="006E39EB"/>
    <w:rsid w:val="006E3AE9"/>
    <w:rsid w:val="006E4451"/>
    <w:rsid w:val="006E44A6"/>
    <w:rsid w:val="006E4E38"/>
    <w:rsid w:val="006E5022"/>
    <w:rsid w:val="006E50B4"/>
    <w:rsid w:val="006E51C0"/>
    <w:rsid w:val="006E53FF"/>
    <w:rsid w:val="006E5CD0"/>
    <w:rsid w:val="006E5EF7"/>
    <w:rsid w:val="006E6015"/>
    <w:rsid w:val="006E6535"/>
    <w:rsid w:val="006E726C"/>
    <w:rsid w:val="006F03BB"/>
    <w:rsid w:val="006F044C"/>
    <w:rsid w:val="006F0878"/>
    <w:rsid w:val="006F0BA4"/>
    <w:rsid w:val="006F0CFD"/>
    <w:rsid w:val="006F108D"/>
    <w:rsid w:val="006F1176"/>
    <w:rsid w:val="006F1231"/>
    <w:rsid w:val="006F1702"/>
    <w:rsid w:val="006F19A6"/>
    <w:rsid w:val="006F1E61"/>
    <w:rsid w:val="006F259F"/>
    <w:rsid w:val="006F3C23"/>
    <w:rsid w:val="006F3F5E"/>
    <w:rsid w:val="006F3F61"/>
    <w:rsid w:val="006F453B"/>
    <w:rsid w:val="006F4777"/>
    <w:rsid w:val="006F4E90"/>
    <w:rsid w:val="006F543C"/>
    <w:rsid w:val="006F5A0C"/>
    <w:rsid w:val="006F5B3F"/>
    <w:rsid w:val="006F5B49"/>
    <w:rsid w:val="006F627D"/>
    <w:rsid w:val="006F62F7"/>
    <w:rsid w:val="006F6463"/>
    <w:rsid w:val="006F648A"/>
    <w:rsid w:val="006F65EC"/>
    <w:rsid w:val="006F6B4E"/>
    <w:rsid w:val="006F7179"/>
    <w:rsid w:val="006F7398"/>
    <w:rsid w:val="006F7417"/>
    <w:rsid w:val="006F7B19"/>
    <w:rsid w:val="006F7DFD"/>
    <w:rsid w:val="007004A0"/>
    <w:rsid w:val="007008EC"/>
    <w:rsid w:val="00700A0B"/>
    <w:rsid w:val="00700BC3"/>
    <w:rsid w:val="0070174E"/>
    <w:rsid w:val="007020BE"/>
    <w:rsid w:val="00702345"/>
    <w:rsid w:val="00702487"/>
    <w:rsid w:val="00702704"/>
    <w:rsid w:val="00702852"/>
    <w:rsid w:val="00703230"/>
    <w:rsid w:val="00703499"/>
    <w:rsid w:val="00703F54"/>
    <w:rsid w:val="007049F9"/>
    <w:rsid w:val="00704BA1"/>
    <w:rsid w:val="00704DCE"/>
    <w:rsid w:val="007051DE"/>
    <w:rsid w:val="00705C52"/>
    <w:rsid w:val="00706416"/>
    <w:rsid w:val="007065F2"/>
    <w:rsid w:val="00706673"/>
    <w:rsid w:val="007066C8"/>
    <w:rsid w:val="007068A2"/>
    <w:rsid w:val="00706D4A"/>
    <w:rsid w:val="00706EA3"/>
    <w:rsid w:val="00706ECE"/>
    <w:rsid w:val="00707330"/>
    <w:rsid w:val="00707BBC"/>
    <w:rsid w:val="00707C4E"/>
    <w:rsid w:val="00707E02"/>
    <w:rsid w:val="00707EE2"/>
    <w:rsid w:val="007105EC"/>
    <w:rsid w:val="007106B9"/>
    <w:rsid w:val="0071084F"/>
    <w:rsid w:val="007109A2"/>
    <w:rsid w:val="00710C26"/>
    <w:rsid w:val="0071116F"/>
    <w:rsid w:val="0071132A"/>
    <w:rsid w:val="0071188C"/>
    <w:rsid w:val="00711CC3"/>
    <w:rsid w:val="007120D9"/>
    <w:rsid w:val="0071293A"/>
    <w:rsid w:val="00713823"/>
    <w:rsid w:val="00713A8C"/>
    <w:rsid w:val="00714061"/>
    <w:rsid w:val="00714B86"/>
    <w:rsid w:val="00714BFA"/>
    <w:rsid w:val="00714CEF"/>
    <w:rsid w:val="007154C0"/>
    <w:rsid w:val="0071566C"/>
    <w:rsid w:val="00715A14"/>
    <w:rsid w:val="00716551"/>
    <w:rsid w:val="00716636"/>
    <w:rsid w:val="0071663E"/>
    <w:rsid w:val="0071667D"/>
    <w:rsid w:val="007167AE"/>
    <w:rsid w:val="00716A56"/>
    <w:rsid w:val="00716AEE"/>
    <w:rsid w:val="00716CFA"/>
    <w:rsid w:val="007172B0"/>
    <w:rsid w:val="007175BE"/>
    <w:rsid w:val="0071794C"/>
    <w:rsid w:val="00720170"/>
    <w:rsid w:val="007204E1"/>
    <w:rsid w:val="00720830"/>
    <w:rsid w:val="007208FE"/>
    <w:rsid w:val="00720B80"/>
    <w:rsid w:val="00720D5A"/>
    <w:rsid w:val="007217C8"/>
    <w:rsid w:val="00721D53"/>
    <w:rsid w:val="00721E71"/>
    <w:rsid w:val="007221F6"/>
    <w:rsid w:val="00722715"/>
    <w:rsid w:val="00722C11"/>
    <w:rsid w:val="00722C65"/>
    <w:rsid w:val="007231CA"/>
    <w:rsid w:val="0072336D"/>
    <w:rsid w:val="00723501"/>
    <w:rsid w:val="0072352E"/>
    <w:rsid w:val="00723569"/>
    <w:rsid w:val="007235BD"/>
    <w:rsid w:val="00723847"/>
    <w:rsid w:val="007239F3"/>
    <w:rsid w:val="00723C6E"/>
    <w:rsid w:val="00723FE2"/>
    <w:rsid w:val="007249F4"/>
    <w:rsid w:val="0072509D"/>
    <w:rsid w:val="00725375"/>
    <w:rsid w:val="00726717"/>
    <w:rsid w:val="00726B3F"/>
    <w:rsid w:val="00726FDB"/>
    <w:rsid w:val="007272A5"/>
    <w:rsid w:val="00727434"/>
    <w:rsid w:val="0072748B"/>
    <w:rsid w:val="00727695"/>
    <w:rsid w:val="00727826"/>
    <w:rsid w:val="0072783E"/>
    <w:rsid w:val="00727C93"/>
    <w:rsid w:val="007300BF"/>
    <w:rsid w:val="007304BD"/>
    <w:rsid w:val="00730637"/>
    <w:rsid w:val="00730B97"/>
    <w:rsid w:val="0073115B"/>
    <w:rsid w:val="00731968"/>
    <w:rsid w:val="00731AB5"/>
    <w:rsid w:val="00731FA0"/>
    <w:rsid w:val="00732045"/>
    <w:rsid w:val="00732094"/>
    <w:rsid w:val="007320E2"/>
    <w:rsid w:val="007322F6"/>
    <w:rsid w:val="00732A0E"/>
    <w:rsid w:val="00732B03"/>
    <w:rsid w:val="00732B46"/>
    <w:rsid w:val="007331CD"/>
    <w:rsid w:val="007337E3"/>
    <w:rsid w:val="00733D4A"/>
    <w:rsid w:val="00733F93"/>
    <w:rsid w:val="0073414B"/>
    <w:rsid w:val="007346BA"/>
    <w:rsid w:val="007349CA"/>
    <w:rsid w:val="007350D9"/>
    <w:rsid w:val="007353DA"/>
    <w:rsid w:val="00735975"/>
    <w:rsid w:val="00736199"/>
    <w:rsid w:val="00736793"/>
    <w:rsid w:val="00736E40"/>
    <w:rsid w:val="007373A3"/>
    <w:rsid w:val="007374CF"/>
    <w:rsid w:val="00737899"/>
    <w:rsid w:val="007401B0"/>
    <w:rsid w:val="0074056E"/>
    <w:rsid w:val="007406D5"/>
    <w:rsid w:val="00740705"/>
    <w:rsid w:val="00740F7B"/>
    <w:rsid w:val="00741131"/>
    <w:rsid w:val="00741E04"/>
    <w:rsid w:val="00741FDB"/>
    <w:rsid w:val="0074207C"/>
    <w:rsid w:val="00742396"/>
    <w:rsid w:val="0074248D"/>
    <w:rsid w:val="00742570"/>
    <w:rsid w:val="0074283B"/>
    <w:rsid w:val="0074288E"/>
    <w:rsid w:val="00742B36"/>
    <w:rsid w:val="00742CD6"/>
    <w:rsid w:val="007432E7"/>
    <w:rsid w:val="007435D1"/>
    <w:rsid w:val="007436FA"/>
    <w:rsid w:val="0074378C"/>
    <w:rsid w:val="00743A7F"/>
    <w:rsid w:val="00743C4D"/>
    <w:rsid w:val="00743D5C"/>
    <w:rsid w:val="00743E26"/>
    <w:rsid w:val="00743F16"/>
    <w:rsid w:val="00743F77"/>
    <w:rsid w:val="00744E8E"/>
    <w:rsid w:val="00744FFE"/>
    <w:rsid w:val="00745097"/>
    <w:rsid w:val="007452BF"/>
    <w:rsid w:val="00745A26"/>
    <w:rsid w:val="00745A6C"/>
    <w:rsid w:val="00745B40"/>
    <w:rsid w:val="00745FEB"/>
    <w:rsid w:val="00746730"/>
    <w:rsid w:val="00746EED"/>
    <w:rsid w:val="00746FA0"/>
    <w:rsid w:val="007475DF"/>
    <w:rsid w:val="00747AA3"/>
    <w:rsid w:val="00747C04"/>
    <w:rsid w:val="0075026E"/>
    <w:rsid w:val="007503E9"/>
    <w:rsid w:val="007504CD"/>
    <w:rsid w:val="0075051B"/>
    <w:rsid w:val="00750576"/>
    <w:rsid w:val="00750690"/>
    <w:rsid w:val="007508B3"/>
    <w:rsid w:val="00750CBC"/>
    <w:rsid w:val="00750F69"/>
    <w:rsid w:val="00750FF0"/>
    <w:rsid w:val="00751098"/>
    <w:rsid w:val="007510BA"/>
    <w:rsid w:val="007512CB"/>
    <w:rsid w:val="007513D8"/>
    <w:rsid w:val="00751E75"/>
    <w:rsid w:val="007525B5"/>
    <w:rsid w:val="00752C25"/>
    <w:rsid w:val="00752E9D"/>
    <w:rsid w:val="007530FD"/>
    <w:rsid w:val="0075356B"/>
    <w:rsid w:val="007535F8"/>
    <w:rsid w:val="0075388C"/>
    <w:rsid w:val="00753C39"/>
    <w:rsid w:val="00753EC3"/>
    <w:rsid w:val="007543A5"/>
    <w:rsid w:val="00754585"/>
    <w:rsid w:val="0075458B"/>
    <w:rsid w:val="00754703"/>
    <w:rsid w:val="007547A8"/>
    <w:rsid w:val="00754B0E"/>
    <w:rsid w:val="00754BD1"/>
    <w:rsid w:val="00754CD8"/>
    <w:rsid w:val="007551CC"/>
    <w:rsid w:val="0075536A"/>
    <w:rsid w:val="007558F6"/>
    <w:rsid w:val="0075614A"/>
    <w:rsid w:val="00756562"/>
    <w:rsid w:val="00756630"/>
    <w:rsid w:val="00756791"/>
    <w:rsid w:val="00756A0D"/>
    <w:rsid w:val="00756BEC"/>
    <w:rsid w:val="007575D1"/>
    <w:rsid w:val="007577BC"/>
    <w:rsid w:val="00757A7B"/>
    <w:rsid w:val="00757E8A"/>
    <w:rsid w:val="00757EFB"/>
    <w:rsid w:val="00760295"/>
    <w:rsid w:val="00760345"/>
    <w:rsid w:val="007608E2"/>
    <w:rsid w:val="00760A38"/>
    <w:rsid w:val="007610FC"/>
    <w:rsid w:val="007612F1"/>
    <w:rsid w:val="0076160C"/>
    <w:rsid w:val="0076179F"/>
    <w:rsid w:val="00761DCB"/>
    <w:rsid w:val="007633CE"/>
    <w:rsid w:val="00763824"/>
    <w:rsid w:val="00764054"/>
    <w:rsid w:val="007641FE"/>
    <w:rsid w:val="00764AAC"/>
    <w:rsid w:val="00764BFF"/>
    <w:rsid w:val="00764C42"/>
    <w:rsid w:val="00764CDA"/>
    <w:rsid w:val="00764E18"/>
    <w:rsid w:val="0076565B"/>
    <w:rsid w:val="00765B8B"/>
    <w:rsid w:val="00765D31"/>
    <w:rsid w:val="00765EC7"/>
    <w:rsid w:val="00765FFF"/>
    <w:rsid w:val="00766095"/>
    <w:rsid w:val="007663A1"/>
    <w:rsid w:val="00766903"/>
    <w:rsid w:val="00766E5C"/>
    <w:rsid w:val="00766F8B"/>
    <w:rsid w:val="007678CB"/>
    <w:rsid w:val="00767BFD"/>
    <w:rsid w:val="00770007"/>
    <w:rsid w:val="0077008B"/>
    <w:rsid w:val="00770724"/>
    <w:rsid w:val="00770C9E"/>
    <w:rsid w:val="00770D0F"/>
    <w:rsid w:val="00770D2A"/>
    <w:rsid w:val="00771085"/>
    <w:rsid w:val="00771140"/>
    <w:rsid w:val="007714F6"/>
    <w:rsid w:val="0077183C"/>
    <w:rsid w:val="00771E49"/>
    <w:rsid w:val="00771F1E"/>
    <w:rsid w:val="00771FCE"/>
    <w:rsid w:val="007722ED"/>
    <w:rsid w:val="007728CB"/>
    <w:rsid w:val="00772BF1"/>
    <w:rsid w:val="00772F3B"/>
    <w:rsid w:val="00772F6E"/>
    <w:rsid w:val="007734C9"/>
    <w:rsid w:val="007735E2"/>
    <w:rsid w:val="00773617"/>
    <w:rsid w:val="00773874"/>
    <w:rsid w:val="00773934"/>
    <w:rsid w:val="0077395D"/>
    <w:rsid w:val="00773B43"/>
    <w:rsid w:val="00773BC2"/>
    <w:rsid w:val="007747E7"/>
    <w:rsid w:val="007748DD"/>
    <w:rsid w:val="00774B31"/>
    <w:rsid w:val="00774D63"/>
    <w:rsid w:val="00774ED8"/>
    <w:rsid w:val="0077527A"/>
    <w:rsid w:val="007759BF"/>
    <w:rsid w:val="007762C0"/>
    <w:rsid w:val="007763D7"/>
    <w:rsid w:val="007767AC"/>
    <w:rsid w:val="007768C6"/>
    <w:rsid w:val="00776BDE"/>
    <w:rsid w:val="00776C7D"/>
    <w:rsid w:val="00776D74"/>
    <w:rsid w:val="007772FA"/>
    <w:rsid w:val="00777463"/>
    <w:rsid w:val="00777C08"/>
    <w:rsid w:val="00777D09"/>
    <w:rsid w:val="0078018F"/>
    <w:rsid w:val="00780687"/>
    <w:rsid w:val="007807B3"/>
    <w:rsid w:val="0078085B"/>
    <w:rsid w:val="00780C49"/>
    <w:rsid w:val="00780E03"/>
    <w:rsid w:val="00781029"/>
    <w:rsid w:val="0078187A"/>
    <w:rsid w:val="00781B12"/>
    <w:rsid w:val="00781F34"/>
    <w:rsid w:val="00782060"/>
    <w:rsid w:val="00782B89"/>
    <w:rsid w:val="00782CA0"/>
    <w:rsid w:val="00782D22"/>
    <w:rsid w:val="00783014"/>
    <w:rsid w:val="00783393"/>
    <w:rsid w:val="007834EA"/>
    <w:rsid w:val="00783700"/>
    <w:rsid w:val="00783AE4"/>
    <w:rsid w:val="00783F5E"/>
    <w:rsid w:val="00784379"/>
    <w:rsid w:val="007848E1"/>
    <w:rsid w:val="00784A17"/>
    <w:rsid w:val="00784BF7"/>
    <w:rsid w:val="0078525C"/>
    <w:rsid w:val="007853E2"/>
    <w:rsid w:val="007859F2"/>
    <w:rsid w:val="00785A11"/>
    <w:rsid w:val="00785C3C"/>
    <w:rsid w:val="00785DE2"/>
    <w:rsid w:val="00785E18"/>
    <w:rsid w:val="007869FF"/>
    <w:rsid w:val="00786CE8"/>
    <w:rsid w:val="00786D51"/>
    <w:rsid w:val="00786FF8"/>
    <w:rsid w:val="007873BB"/>
    <w:rsid w:val="0078748A"/>
    <w:rsid w:val="00787799"/>
    <w:rsid w:val="00787BFD"/>
    <w:rsid w:val="00790068"/>
    <w:rsid w:val="0079059D"/>
    <w:rsid w:val="00790641"/>
    <w:rsid w:val="00790BF4"/>
    <w:rsid w:val="007914CA"/>
    <w:rsid w:val="007914D3"/>
    <w:rsid w:val="00791659"/>
    <w:rsid w:val="00792214"/>
    <w:rsid w:val="00792641"/>
    <w:rsid w:val="00792972"/>
    <w:rsid w:val="00792BCE"/>
    <w:rsid w:val="00792CC6"/>
    <w:rsid w:val="00792E98"/>
    <w:rsid w:val="00793960"/>
    <w:rsid w:val="00793D22"/>
    <w:rsid w:val="00794360"/>
    <w:rsid w:val="00794FCB"/>
    <w:rsid w:val="007954F6"/>
    <w:rsid w:val="00795687"/>
    <w:rsid w:val="00795A8B"/>
    <w:rsid w:val="00795B31"/>
    <w:rsid w:val="00795D9A"/>
    <w:rsid w:val="00796408"/>
    <w:rsid w:val="0079679A"/>
    <w:rsid w:val="007967E6"/>
    <w:rsid w:val="007968F5"/>
    <w:rsid w:val="00796BB3"/>
    <w:rsid w:val="00796DCB"/>
    <w:rsid w:val="00797109"/>
    <w:rsid w:val="00797166"/>
    <w:rsid w:val="007972A6"/>
    <w:rsid w:val="00797B3A"/>
    <w:rsid w:val="00797F87"/>
    <w:rsid w:val="007A03EF"/>
    <w:rsid w:val="007A051F"/>
    <w:rsid w:val="007A068A"/>
    <w:rsid w:val="007A0E60"/>
    <w:rsid w:val="007A0F66"/>
    <w:rsid w:val="007A14BC"/>
    <w:rsid w:val="007A14D7"/>
    <w:rsid w:val="007A1912"/>
    <w:rsid w:val="007A19A7"/>
    <w:rsid w:val="007A1CB0"/>
    <w:rsid w:val="007A1D48"/>
    <w:rsid w:val="007A278D"/>
    <w:rsid w:val="007A296C"/>
    <w:rsid w:val="007A2B8F"/>
    <w:rsid w:val="007A2F40"/>
    <w:rsid w:val="007A30EB"/>
    <w:rsid w:val="007A32FE"/>
    <w:rsid w:val="007A355B"/>
    <w:rsid w:val="007A35B1"/>
    <w:rsid w:val="007A36BB"/>
    <w:rsid w:val="007A3713"/>
    <w:rsid w:val="007A390B"/>
    <w:rsid w:val="007A3F90"/>
    <w:rsid w:val="007A4500"/>
    <w:rsid w:val="007A4550"/>
    <w:rsid w:val="007A4A84"/>
    <w:rsid w:val="007A4C22"/>
    <w:rsid w:val="007A5597"/>
    <w:rsid w:val="007A57E6"/>
    <w:rsid w:val="007A6035"/>
    <w:rsid w:val="007A6327"/>
    <w:rsid w:val="007A6384"/>
    <w:rsid w:val="007A63AD"/>
    <w:rsid w:val="007A681C"/>
    <w:rsid w:val="007A6F01"/>
    <w:rsid w:val="007A6FE8"/>
    <w:rsid w:val="007A704F"/>
    <w:rsid w:val="007A761E"/>
    <w:rsid w:val="007A780E"/>
    <w:rsid w:val="007A7C27"/>
    <w:rsid w:val="007A7C33"/>
    <w:rsid w:val="007B0B2B"/>
    <w:rsid w:val="007B1157"/>
    <w:rsid w:val="007B18AF"/>
    <w:rsid w:val="007B2580"/>
    <w:rsid w:val="007B267F"/>
    <w:rsid w:val="007B2845"/>
    <w:rsid w:val="007B285C"/>
    <w:rsid w:val="007B299B"/>
    <w:rsid w:val="007B2A24"/>
    <w:rsid w:val="007B2B53"/>
    <w:rsid w:val="007B3297"/>
    <w:rsid w:val="007B3A84"/>
    <w:rsid w:val="007B3BC0"/>
    <w:rsid w:val="007B3E9D"/>
    <w:rsid w:val="007B4A39"/>
    <w:rsid w:val="007B4BD4"/>
    <w:rsid w:val="007B54E6"/>
    <w:rsid w:val="007B5693"/>
    <w:rsid w:val="007B5ABD"/>
    <w:rsid w:val="007B5BCE"/>
    <w:rsid w:val="007B5EC7"/>
    <w:rsid w:val="007B61D7"/>
    <w:rsid w:val="007B6421"/>
    <w:rsid w:val="007B69E9"/>
    <w:rsid w:val="007B6C8F"/>
    <w:rsid w:val="007B6CA2"/>
    <w:rsid w:val="007B7237"/>
    <w:rsid w:val="007B76F0"/>
    <w:rsid w:val="007B7A87"/>
    <w:rsid w:val="007B7EFE"/>
    <w:rsid w:val="007C0379"/>
    <w:rsid w:val="007C05BF"/>
    <w:rsid w:val="007C0684"/>
    <w:rsid w:val="007C071A"/>
    <w:rsid w:val="007C0913"/>
    <w:rsid w:val="007C0C13"/>
    <w:rsid w:val="007C0DE6"/>
    <w:rsid w:val="007C0F40"/>
    <w:rsid w:val="007C0FEB"/>
    <w:rsid w:val="007C11D9"/>
    <w:rsid w:val="007C1891"/>
    <w:rsid w:val="007C1ED6"/>
    <w:rsid w:val="007C23A1"/>
    <w:rsid w:val="007C2826"/>
    <w:rsid w:val="007C282D"/>
    <w:rsid w:val="007C2D61"/>
    <w:rsid w:val="007C300B"/>
    <w:rsid w:val="007C31F5"/>
    <w:rsid w:val="007C37E5"/>
    <w:rsid w:val="007C3A25"/>
    <w:rsid w:val="007C3D0F"/>
    <w:rsid w:val="007C3DF1"/>
    <w:rsid w:val="007C449D"/>
    <w:rsid w:val="007C461E"/>
    <w:rsid w:val="007C4897"/>
    <w:rsid w:val="007C53E6"/>
    <w:rsid w:val="007C5454"/>
    <w:rsid w:val="007C5461"/>
    <w:rsid w:val="007C5A10"/>
    <w:rsid w:val="007C6054"/>
    <w:rsid w:val="007C61C7"/>
    <w:rsid w:val="007C63FF"/>
    <w:rsid w:val="007C6899"/>
    <w:rsid w:val="007C6B9F"/>
    <w:rsid w:val="007C7019"/>
    <w:rsid w:val="007C7064"/>
    <w:rsid w:val="007C7A7E"/>
    <w:rsid w:val="007C7DB6"/>
    <w:rsid w:val="007D01C4"/>
    <w:rsid w:val="007D04A2"/>
    <w:rsid w:val="007D04D3"/>
    <w:rsid w:val="007D05E6"/>
    <w:rsid w:val="007D07BA"/>
    <w:rsid w:val="007D0994"/>
    <w:rsid w:val="007D1666"/>
    <w:rsid w:val="007D1979"/>
    <w:rsid w:val="007D25B7"/>
    <w:rsid w:val="007D26A3"/>
    <w:rsid w:val="007D2C99"/>
    <w:rsid w:val="007D2FE8"/>
    <w:rsid w:val="007D30E6"/>
    <w:rsid w:val="007D341B"/>
    <w:rsid w:val="007D357B"/>
    <w:rsid w:val="007D3695"/>
    <w:rsid w:val="007D3B6D"/>
    <w:rsid w:val="007D3B73"/>
    <w:rsid w:val="007D4139"/>
    <w:rsid w:val="007D418E"/>
    <w:rsid w:val="007D450E"/>
    <w:rsid w:val="007D482E"/>
    <w:rsid w:val="007D4C16"/>
    <w:rsid w:val="007D4E00"/>
    <w:rsid w:val="007D51D4"/>
    <w:rsid w:val="007D54DB"/>
    <w:rsid w:val="007D5E1D"/>
    <w:rsid w:val="007D5E86"/>
    <w:rsid w:val="007D64C1"/>
    <w:rsid w:val="007D65AA"/>
    <w:rsid w:val="007D6600"/>
    <w:rsid w:val="007D673E"/>
    <w:rsid w:val="007D7876"/>
    <w:rsid w:val="007D7B37"/>
    <w:rsid w:val="007D7E63"/>
    <w:rsid w:val="007E0291"/>
    <w:rsid w:val="007E0532"/>
    <w:rsid w:val="007E05DA"/>
    <w:rsid w:val="007E0E24"/>
    <w:rsid w:val="007E1223"/>
    <w:rsid w:val="007E1354"/>
    <w:rsid w:val="007E13C7"/>
    <w:rsid w:val="007E171C"/>
    <w:rsid w:val="007E1AF9"/>
    <w:rsid w:val="007E21D7"/>
    <w:rsid w:val="007E29F3"/>
    <w:rsid w:val="007E2A51"/>
    <w:rsid w:val="007E2A92"/>
    <w:rsid w:val="007E2FE3"/>
    <w:rsid w:val="007E32D8"/>
    <w:rsid w:val="007E3CFC"/>
    <w:rsid w:val="007E44B0"/>
    <w:rsid w:val="007E4A7A"/>
    <w:rsid w:val="007E5145"/>
    <w:rsid w:val="007E5318"/>
    <w:rsid w:val="007E5344"/>
    <w:rsid w:val="007E5C34"/>
    <w:rsid w:val="007E5D0D"/>
    <w:rsid w:val="007E6958"/>
    <w:rsid w:val="007E6A74"/>
    <w:rsid w:val="007E7012"/>
    <w:rsid w:val="007E7486"/>
    <w:rsid w:val="007E7965"/>
    <w:rsid w:val="007E7D0C"/>
    <w:rsid w:val="007E7F06"/>
    <w:rsid w:val="007F0017"/>
    <w:rsid w:val="007F003C"/>
    <w:rsid w:val="007F0094"/>
    <w:rsid w:val="007F00E2"/>
    <w:rsid w:val="007F01EF"/>
    <w:rsid w:val="007F0265"/>
    <w:rsid w:val="007F0856"/>
    <w:rsid w:val="007F0860"/>
    <w:rsid w:val="007F09B1"/>
    <w:rsid w:val="007F17AC"/>
    <w:rsid w:val="007F19F7"/>
    <w:rsid w:val="007F1A8B"/>
    <w:rsid w:val="007F1B25"/>
    <w:rsid w:val="007F1C24"/>
    <w:rsid w:val="007F219D"/>
    <w:rsid w:val="007F265D"/>
    <w:rsid w:val="007F27F3"/>
    <w:rsid w:val="007F2A29"/>
    <w:rsid w:val="007F3951"/>
    <w:rsid w:val="007F3BCD"/>
    <w:rsid w:val="007F3C3A"/>
    <w:rsid w:val="007F3D42"/>
    <w:rsid w:val="007F3DE8"/>
    <w:rsid w:val="007F47BA"/>
    <w:rsid w:val="007F4ED1"/>
    <w:rsid w:val="007F4FAD"/>
    <w:rsid w:val="007F52A7"/>
    <w:rsid w:val="007F585D"/>
    <w:rsid w:val="007F5AD3"/>
    <w:rsid w:val="007F5AFF"/>
    <w:rsid w:val="007F5D92"/>
    <w:rsid w:val="007F5DA4"/>
    <w:rsid w:val="007F6022"/>
    <w:rsid w:val="007F6096"/>
    <w:rsid w:val="007F6101"/>
    <w:rsid w:val="007F6222"/>
    <w:rsid w:val="007F66A1"/>
    <w:rsid w:val="007F69D5"/>
    <w:rsid w:val="007F6A60"/>
    <w:rsid w:val="007F7210"/>
    <w:rsid w:val="007F74BB"/>
    <w:rsid w:val="007F78C1"/>
    <w:rsid w:val="007F78CA"/>
    <w:rsid w:val="007F7A2B"/>
    <w:rsid w:val="007F7B82"/>
    <w:rsid w:val="007F7BD4"/>
    <w:rsid w:val="0080017A"/>
    <w:rsid w:val="0080046E"/>
    <w:rsid w:val="008004D8"/>
    <w:rsid w:val="00800C54"/>
    <w:rsid w:val="00800E1C"/>
    <w:rsid w:val="00800F99"/>
    <w:rsid w:val="00801200"/>
    <w:rsid w:val="00801526"/>
    <w:rsid w:val="008015FF"/>
    <w:rsid w:val="00801774"/>
    <w:rsid w:val="008019FC"/>
    <w:rsid w:val="00801AE2"/>
    <w:rsid w:val="00801BF5"/>
    <w:rsid w:val="00801C2A"/>
    <w:rsid w:val="00802486"/>
    <w:rsid w:val="00802B1C"/>
    <w:rsid w:val="00802B37"/>
    <w:rsid w:val="00802E01"/>
    <w:rsid w:val="008031B8"/>
    <w:rsid w:val="008033E5"/>
    <w:rsid w:val="008033F0"/>
    <w:rsid w:val="008033F7"/>
    <w:rsid w:val="00803483"/>
    <w:rsid w:val="00803A2E"/>
    <w:rsid w:val="00803F7D"/>
    <w:rsid w:val="00803F8A"/>
    <w:rsid w:val="00804C24"/>
    <w:rsid w:val="00804E59"/>
    <w:rsid w:val="0080518F"/>
    <w:rsid w:val="0080519A"/>
    <w:rsid w:val="008058B5"/>
    <w:rsid w:val="0080598C"/>
    <w:rsid w:val="00805A2B"/>
    <w:rsid w:val="00805BD8"/>
    <w:rsid w:val="00805C6A"/>
    <w:rsid w:val="00806706"/>
    <w:rsid w:val="00806724"/>
    <w:rsid w:val="0080678C"/>
    <w:rsid w:val="0080680A"/>
    <w:rsid w:val="00806903"/>
    <w:rsid w:val="008069EF"/>
    <w:rsid w:val="00806ACE"/>
    <w:rsid w:val="00806B92"/>
    <w:rsid w:val="00806D68"/>
    <w:rsid w:val="00806F19"/>
    <w:rsid w:val="0080701B"/>
    <w:rsid w:val="008076A3"/>
    <w:rsid w:val="00807B15"/>
    <w:rsid w:val="00807FBD"/>
    <w:rsid w:val="00807FC1"/>
    <w:rsid w:val="0081025A"/>
    <w:rsid w:val="008102C4"/>
    <w:rsid w:val="00810347"/>
    <w:rsid w:val="0081081E"/>
    <w:rsid w:val="00810D89"/>
    <w:rsid w:val="0081113C"/>
    <w:rsid w:val="008111B1"/>
    <w:rsid w:val="00811686"/>
    <w:rsid w:val="00811DF2"/>
    <w:rsid w:val="00811F34"/>
    <w:rsid w:val="00812168"/>
    <w:rsid w:val="00812525"/>
    <w:rsid w:val="00813191"/>
    <w:rsid w:val="00813342"/>
    <w:rsid w:val="00813433"/>
    <w:rsid w:val="00813595"/>
    <w:rsid w:val="008136D6"/>
    <w:rsid w:val="008138FD"/>
    <w:rsid w:val="00813AD0"/>
    <w:rsid w:val="00813BD2"/>
    <w:rsid w:val="00813F70"/>
    <w:rsid w:val="008143B9"/>
    <w:rsid w:val="0081446C"/>
    <w:rsid w:val="00814859"/>
    <w:rsid w:val="008148D2"/>
    <w:rsid w:val="00815148"/>
    <w:rsid w:val="00815FAF"/>
    <w:rsid w:val="0081626A"/>
    <w:rsid w:val="008162B2"/>
    <w:rsid w:val="00816418"/>
    <w:rsid w:val="00816876"/>
    <w:rsid w:val="00816901"/>
    <w:rsid w:val="0081690A"/>
    <w:rsid w:val="008169E2"/>
    <w:rsid w:val="00816D25"/>
    <w:rsid w:val="00817641"/>
    <w:rsid w:val="008176E0"/>
    <w:rsid w:val="00817952"/>
    <w:rsid w:val="00817B28"/>
    <w:rsid w:val="00817F19"/>
    <w:rsid w:val="00820D2C"/>
    <w:rsid w:val="0082115A"/>
    <w:rsid w:val="00821D2F"/>
    <w:rsid w:val="00821E0C"/>
    <w:rsid w:val="008223F6"/>
    <w:rsid w:val="00822C3D"/>
    <w:rsid w:val="008231C1"/>
    <w:rsid w:val="0082383A"/>
    <w:rsid w:val="008239A6"/>
    <w:rsid w:val="008239D9"/>
    <w:rsid w:val="008247D7"/>
    <w:rsid w:val="00824CD4"/>
    <w:rsid w:val="00824D79"/>
    <w:rsid w:val="00824E8B"/>
    <w:rsid w:val="00824EB8"/>
    <w:rsid w:val="0082526E"/>
    <w:rsid w:val="008252F0"/>
    <w:rsid w:val="008254DA"/>
    <w:rsid w:val="00825AC7"/>
    <w:rsid w:val="00825B3D"/>
    <w:rsid w:val="00825DBF"/>
    <w:rsid w:val="00825EC8"/>
    <w:rsid w:val="00825EFD"/>
    <w:rsid w:val="008263E7"/>
    <w:rsid w:val="008263EC"/>
    <w:rsid w:val="0082686B"/>
    <w:rsid w:val="00826A52"/>
    <w:rsid w:val="00826B3B"/>
    <w:rsid w:val="00826BEE"/>
    <w:rsid w:val="00826CD5"/>
    <w:rsid w:val="00827041"/>
    <w:rsid w:val="00827419"/>
    <w:rsid w:val="00827658"/>
    <w:rsid w:val="008277D0"/>
    <w:rsid w:val="0082788D"/>
    <w:rsid w:val="00827C78"/>
    <w:rsid w:val="00827E61"/>
    <w:rsid w:val="0083025E"/>
    <w:rsid w:val="00830481"/>
    <w:rsid w:val="00830914"/>
    <w:rsid w:val="00830920"/>
    <w:rsid w:val="008312FE"/>
    <w:rsid w:val="00831333"/>
    <w:rsid w:val="00831959"/>
    <w:rsid w:val="008319F0"/>
    <w:rsid w:val="00832786"/>
    <w:rsid w:val="00832A5D"/>
    <w:rsid w:val="00832F70"/>
    <w:rsid w:val="0083349E"/>
    <w:rsid w:val="0083371E"/>
    <w:rsid w:val="00833800"/>
    <w:rsid w:val="00833ABF"/>
    <w:rsid w:val="00833AE8"/>
    <w:rsid w:val="00834294"/>
    <w:rsid w:val="0083429B"/>
    <w:rsid w:val="0083442A"/>
    <w:rsid w:val="00834B36"/>
    <w:rsid w:val="00834B47"/>
    <w:rsid w:val="00834B50"/>
    <w:rsid w:val="00835107"/>
    <w:rsid w:val="008355A8"/>
    <w:rsid w:val="00835A9C"/>
    <w:rsid w:val="00835CCF"/>
    <w:rsid w:val="00835F5E"/>
    <w:rsid w:val="00835F9C"/>
    <w:rsid w:val="00836553"/>
    <w:rsid w:val="0083655F"/>
    <w:rsid w:val="00836A93"/>
    <w:rsid w:val="00836E3A"/>
    <w:rsid w:val="00836EAC"/>
    <w:rsid w:val="00837014"/>
    <w:rsid w:val="00837191"/>
    <w:rsid w:val="00837463"/>
    <w:rsid w:val="00837960"/>
    <w:rsid w:val="00837D74"/>
    <w:rsid w:val="00837E45"/>
    <w:rsid w:val="00837F09"/>
    <w:rsid w:val="00837FC4"/>
    <w:rsid w:val="00840971"/>
    <w:rsid w:val="00840ADB"/>
    <w:rsid w:val="00841077"/>
    <w:rsid w:val="00841D0E"/>
    <w:rsid w:val="00841D6B"/>
    <w:rsid w:val="00842153"/>
    <w:rsid w:val="00842381"/>
    <w:rsid w:val="008428BE"/>
    <w:rsid w:val="0084307B"/>
    <w:rsid w:val="00843498"/>
    <w:rsid w:val="00843AE0"/>
    <w:rsid w:val="00843B33"/>
    <w:rsid w:val="00843C5D"/>
    <w:rsid w:val="00843CBA"/>
    <w:rsid w:val="00843EB0"/>
    <w:rsid w:val="008442F6"/>
    <w:rsid w:val="0084459C"/>
    <w:rsid w:val="00844C24"/>
    <w:rsid w:val="00844E30"/>
    <w:rsid w:val="0084594B"/>
    <w:rsid w:val="00845A82"/>
    <w:rsid w:val="00845BCB"/>
    <w:rsid w:val="00846308"/>
    <w:rsid w:val="008464EF"/>
    <w:rsid w:val="00846653"/>
    <w:rsid w:val="00846C78"/>
    <w:rsid w:val="00847431"/>
    <w:rsid w:val="00847C92"/>
    <w:rsid w:val="00847E81"/>
    <w:rsid w:val="0085067E"/>
    <w:rsid w:val="00850D5C"/>
    <w:rsid w:val="00850F8D"/>
    <w:rsid w:val="00851C41"/>
    <w:rsid w:val="00852237"/>
    <w:rsid w:val="00852877"/>
    <w:rsid w:val="00852B61"/>
    <w:rsid w:val="00852C3A"/>
    <w:rsid w:val="00852FBB"/>
    <w:rsid w:val="0085313A"/>
    <w:rsid w:val="00853434"/>
    <w:rsid w:val="00853B09"/>
    <w:rsid w:val="00853D3B"/>
    <w:rsid w:val="0085439C"/>
    <w:rsid w:val="008543CE"/>
    <w:rsid w:val="008545D3"/>
    <w:rsid w:val="00854703"/>
    <w:rsid w:val="00854ADD"/>
    <w:rsid w:val="00854FCC"/>
    <w:rsid w:val="00855A0E"/>
    <w:rsid w:val="008561A4"/>
    <w:rsid w:val="00856308"/>
    <w:rsid w:val="00856442"/>
    <w:rsid w:val="00856A28"/>
    <w:rsid w:val="008572AC"/>
    <w:rsid w:val="008573D5"/>
    <w:rsid w:val="00857C7A"/>
    <w:rsid w:val="00857E71"/>
    <w:rsid w:val="00860141"/>
    <w:rsid w:val="00860692"/>
    <w:rsid w:val="00860848"/>
    <w:rsid w:val="0086085C"/>
    <w:rsid w:val="00860C13"/>
    <w:rsid w:val="00860C6A"/>
    <w:rsid w:val="00860F2D"/>
    <w:rsid w:val="008618EC"/>
    <w:rsid w:val="0086191B"/>
    <w:rsid w:val="008619DB"/>
    <w:rsid w:val="00861DFB"/>
    <w:rsid w:val="008621C0"/>
    <w:rsid w:val="0086288F"/>
    <w:rsid w:val="00862ADE"/>
    <w:rsid w:val="00862D7A"/>
    <w:rsid w:val="0086326A"/>
    <w:rsid w:val="008634F8"/>
    <w:rsid w:val="0086357F"/>
    <w:rsid w:val="00863AE6"/>
    <w:rsid w:val="00863BFD"/>
    <w:rsid w:val="00863E3C"/>
    <w:rsid w:val="008640C4"/>
    <w:rsid w:val="0086463E"/>
    <w:rsid w:val="008648FD"/>
    <w:rsid w:val="00864D8B"/>
    <w:rsid w:val="00864FB9"/>
    <w:rsid w:val="008655B6"/>
    <w:rsid w:val="00865885"/>
    <w:rsid w:val="00865A31"/>
    <w:rsid w:val="00866365"/>
    <w:rsid w:val="008663DB"/>
    <w:rsid w:val="00866C3B"/>
    <w:rsid w:val="00866EB5"/>
    <w:rsid w:val="00866F19"/>
    <w:rsid w:val="00866FA1"/>
    <w:rsid w:val="008670FB"/>
    <w:rsid w:val="0086712D"/>
    <w:rsid w:val="0086745A"/>
    <w:rsid w:val="00867B4B"/>
    <w:rsid w:val="00870220"/>
    <w:rsid w:val="00870A34"/>
    <w:rsid w:val="00870F76"/>
    <w:rsid w:val="00870FB1"/>
    <w:rsid w:val="0087113F"/>
    <w:rsid w:val="0087185E"/>
    <w:rsid w:val="008718C6"/>
    <w:rsid w:val="00871921"/>
    <w:rsid w:val="00871B75"/>
    <w:rsid w:val="00871EE9"/>
    <w:rsid w:val="00871F82"/>
    <w:rsid w:val="0087203B"/>
    <w:rsid w:val="0087225B"/>
    <w:rsid w:val="008728A6"/>
    <w:rsid w:val="008728C0"/>
    <w:rsid w:val="0087304A"/>
    <w:rsid w:val="00873069"/>
    <w:rsid w:val="008735AA"/>
    <w:rsid w:val="00873641"/>
    <w:rsid w:val="00873C96"/>
    <w:rsid w:val="00874253"/>
    <w:rsid w:val="008743FD"/>
    <w:rsid w:val="008745E4"/>
    <w:rsid w:val="00874E99"/>
    <w:rsid w:val="008752AA"/>
    <w:rsid w:val="0087545E"/>
    <w:rsid w:val="0087558E"/>
    <w:rsid w:val="00875941"/>
    <w:rsid w:val="00876203"/>
    <w:rsid w:val="00876C67"/>
    <w:rsid w:val="00876CC7"/>
    <w:rsid w:val="00876D51"/>
    <w:rsid w:val="00876DC4"/>
    <w:rsid w:val="00876F0E"/>
    <w:rsid w:val="0087715B"/>
    <w:rsid w:val="008772FE"/>
    <w:rsid w:val="00877526"/>
    <w:rsid w:val="0087778C"/>
    <w:rsid w:val="0087799F"/>
    <w:rsid w:val="00880C97"/>
    <w:rsid w:val="00880DED"/>
    <w:rsid w:val="00880F7C"/>
    <w:rsid w:val="008812BD"/>
    <w:rsid w:val="00881594"/>
    <w:rsid w:val="00881608"/>
    <w:rsid w:val="00881C10"/>
    <w:rsid w:val="00881D90"/>
    <w:rsid w:val="008820A1"/>
    <w:rsid w:val="0088220E"/>
    <w:rsid w:val="00882269"/>
    <w:rsid w:val="008823E0"/>
    <w:rsid w:val="00882593"/>
    <w:rsid w:val="008829CB"/>
    <w:rsid w:val="00882B72"/>
    <w:rsid w:val="00882D59"/>
    <w:rsid w:val="00882E92"/>
    <w:rsid w:val="00883552"/>
    <w:rsid w:val="00883A26"/>
    <w:rsid w:val="00883CD3"/>
    <w:rsid w:val="00884056"/>
    <w:rsid w:val="0088411A"/>
    <w:rsid w:val="00884198"/>
    <w:rsid w:val="008841DF"/>
    <w:rsid w:val="008843B8"/>
    <w:rsid w:val="008847E4"/>
    <w:rsid w:val="00884FAE"/>
    <w:rsid w:val="00885114"/>
    <w:rsid w:val="008851EE"/>
    <w:rsid w:val="00885259"/>
    <w:rsid w:val="0088569F"/>
    <w:rsid w:val="008858CD"/>
    <w:rsid w:val="00885D7B"/>
    <w:rsid w:val="008860DD"/>
    <w:rsid w:val="008862B7"/>
    <w:rsid w:val="00886667"/>
    <w:rsid w:val="0088688F"/>
    <w:rsid w:val="00886B13"/>
    <w:rsid w:val="00886CB6"/>
    <w:rsid w:val="00886CBC"/>
    <w:rsid w:val="00886F4C"/>
    <w:rsid w:val="00887564"/>
    <w:rsid w:val="00887D9B"/>
    <w:rsid w:val="0089004B"/>
    <w:rsid w:val="008901CC"/>
    <w:rsid w:val="008904E0"/>
    <w:rsid w:val="008905E8"/>
    <w:rsid w:val="00890856"/>
    <w:rsid w:val="00890BED"/>
    <w:rsid w:val="00890E8C"/>
    <w:rsid w:val="00891310"/>
    <w:rsid w:val="0089194F"/>
    <w:rsid w:val="00891BB1"/>
    <w:rsid w:val="00891CD5"/>
    <w:rsid w:val="00891DF0"/>
    <w:rsid w:val="00892508"/>
    <w:rsid w:val="008927C6"/>
    <w:rsid w:val="0089282C"/>
    <w:rsid w:val="00892B35"/>
    <w:rsid w:val="00892D45"/>
    <w:rsid w:val="00892E17"/>
    <w:rsid w:val="00892F4D"/>
    <w:rsid w:val="00893CB1"/>
    <w:rsid w:val="0089415E"/>
    <w:rsid w:val="008942C1"/>
    <w:rsid w:val="00894693"/>
    <w:rsid w:val="00894B9B"/>
    <w:rsid w:val="00894E0A"/>
    <w:rsid w:val="00895138"/>
    <w:rsid w:val="00895390"/>
    <w:rsid w:val="008954FA"/>
    <w:rsid w:val="008957E4"/>
    <w:rsid w:val="0089586D"/>
    <w:rsid w:val="008958DE"/>
    <w:rsid w:val="0089628C"/>
    <w:rsid w:val="0089629E"/>
    <w:rsid w:val="008963E1"/>
    <w:rsid w:val="0089660B"/>
    <w:rsid w:val="008A0CBD"/>
    <w:rsid w:val="008A12E1"/>
    <w:rsid w:val="008A16CE"/>
    <w:rsid w:val="008A2167"/>
    <w:rsid w:val="008A2288"/>
    <w:rsid w:val="008A22EA"/>
    <w:rsid w:val="008A23AE"/>
    <w:rsid w:val="008A29B2"/>
    <w:rsid w:val="008A2C4A"/>
    <w:rsid w:val="008A321E"/>
    <w:rsid w:val="008A32F1"/>
    <w:rsid w:val="008A33BB"/>
    <w:rsid w:val="008A38DE"/>
    <w:rsid w:val="008A3A01"/>
    <w:rsid w:val="008A3C72"/>
    <w:rsid w:val="008A40F6"/>
    <w:rsid w:val="008A4684"/>
    <w:rsid w:val="008A46C6"/>
    <w:rsid w:val="008A55E3"/>
    <w:rsid w:val="008A5750"/>
    <w:rsid w:val="008A57F5"/>
    <w:rsid w:val="008A58EB"/>
    <w:rsid w:val="008A5F6A"/>
    <w:rsid w:val="008A6241"/>
    <w:rsid w:val="008A655F"/>
    <w:rsid w:val="008A6E4D"/>
    <w:rsid w:val="008A6EE3"/>
    <w:rsid w:val="008A6FA2"/>
    <w:rsid w:val="008A73C7"/>
    <w:rsid w:val="008A75DF"/>
    <w:rsid w:val="008A75F6"/>
    <w:rsid w:val="008A7C5F"/>
    <w:rsid w:val="008A7F47"/>
    <w:rsid w:val="008B00BE"/>
    <w:rsid w:val="008B02C1"/>
    <w:rsid w:val="008B041B"/>
    <w:rsid w:val="008B0878"/>
    <w:rsid w:val="008B097F"/>
    <w:rsid w:val="008B0A1B"/>
    <w:rsid w:val="008B0B7F"/>
    <w:rsid w:val="008B0B90"/>
    <w:rsid w:val="008B0DEE"/>
    <w:rsid w:val="008B0F1C"/>
    <w:rsid w:val="008B11A6"/>
    <w:rsid w:val="008B13B0"/>
    <w:rsid w:val="008B143C"/>
    <w:rsid w:val="008B1465"/>
    <w:rsid w:val="008B15AE"/>
    <w:rsid w:val="008B1826"/>
    <w:rsid w:val="008B1849"/>
    <w:rsid w:val="008B1A19"/>
    <w:rsid w:val="008B1BF1"/>
    <w:rsid w:val="008B1F57"/>
    <w:rsid w:val="008B1FC6"/>
    <w:rsid w:val="008B2339"/>
    <w:rsid w:val="008B246A"/>
    <w:rsid w:val="008B2904"/>
    <w:rsid w:val="008B3500"/>
    <w:rsid w:val="008B3B26"/>
    <w:rsid w:val="008B464A"/>
    <w:rsid w:val="008B5095"/>
    <w:rsid w:val="008B50EA"/>
    <w:rsid w:val="008B5471"/>
    <w:rsid w:val="008B5593"/>
    <w:rsid w:val="008B59F4"/>
    <w:rsid w:val="008B5B5C"/>
    <w:rsid w:val="008B5E54"/>
    <w:rsid w:val="008B6682"/>
    <w:rsid w:val="008B66A9"/>
    <w:rsid w:val="008B69CF"/>
    <w:rsid w:val="008B6A5D"/>
    <w:rsid w:val="008B6C46"/>
    <w:rsid w:val="008B714A"/>
    <w:rsid w:val="008B73F5"/>
    <w:rsid w:val="008B75BF"/>
    <w:rsid w:val="008B771B"/>
    <w:rsid w:val="008B77C6"/>
    <w:rsid w:val="008B7A52"/>
    <w:rsid w:val="008B7CD3"/>
    <w:rsid w:val="008B7CFF"/>
    <w:rsid w:val="008C02C6"/>
    <w:rsid w:val="008C0430"/>
    <w:rsid w:val="008C06C0"/>
    <w:rsid w:val="008C0966"/>
    <w:rsid w:val="008C09BC"/>
    <w:rsid w:val="008C0A8E"/>
    <w:rsid w:val="008C0D30"/>
    <w:rsid w:val="008C0DF2"/>
    <w:rsid w:val="008C0EE9"/>
    <w:rsid w:val="008C1497"/>
    <w:rsid w:val="008C16F6"/>
    <w:rsid w:val="008C1840"/>
    <w:rsid w:val="008C1844"/>
    <w:rsid w:val="008C1964"/>
    <w:rsid w:val="008C1E84"/>
    <w:rsid w:val="008C1EE1"/>
    <w:rsid w:val="008C1F6D"/>
    <w:rsid w:val="008C2305"/>
    <w:rsid w:val="008C2648"/>
    <w:rsid w:val="008C28BA"/>
    <w:rsid w:val="008C2D3C"/>
    <w:rsid w:val="008C2DE4"/>
    <w:rsid w:val="008C2EBD"/>
    <w:rsid w:val="008C31AC"/>
    <w:rsid w:val="008C323F"/>
    <w:rsid w:val="008C34A3"/>
    <w:rsid w:val="008C3CAD"/>
    <w:rsid w:val="008C4241"/>
    <w:rsid w:val="008C46A2"/>
    <w:rsid w:val="008C4803"/>
    <w:rsid w:val="008C4965"/>
    <w:rsid w:val="008C4C33"/>
    <w:rsid w:val="008C4EDC"/>
    <w:rsid w:val="008C55B7"/>
    <w:rsid w:val="008C56FD"/>
    <w:rsid w:val="008C67E6"/>
    <w:rsid w:val="008C6AA6"/>
    <w:rsid w:val="008C6BC9"/>
    <w:rsid w:val="008C6ED5"/>
    <w:rsid w:val="008C6F6F"/>
    <w:rsid w:val="008C7030"/>
    <w:rsid w:val="008C710B"/>
    <w:rsid w:val="008C714C"/>
    <w:rsid w:val="008C71BA"/>
    <w:rsid w:val="008C7589"/>
    <w:rsid w:val="008C7932"/>
    <w:rsid w:val="008C7D26"/>
    <w:rsid w:val="008C7EB3"/>
    <w:rsid w:val="008D0197"/>
    <w:rsid w:val="008D0326"/>
    <w:rsid w:val="008D04BE"/>
    <w:rsid w:val="008D08EF"/>
    <w:rsid w:val="008D0D79"/>
    <w:rsid w:val="008D10AF"/>
    <w:rsid w:val="008D1176"/>
    <w:rsid w:val="008D11DB"/>
    <w:rsid w:val="008D12C5"/>
    <w:rsid w:val="008D12ED"/>
    <w:rsid w:val="008D1874"/>
    <w:rsid w:val="008D19CB"/>
    <w:rsid w:val="008D200E"/>
    <w:rsid w:val="008D2108"/>
    <w:rsid w:val="008D2237"/>
    <w:rsid w:val="008D2285"/>
    <w:rsid w:val="008D2427"/>
    <w:rsid w:val="008D264B"/>
    <w:rsid w:val="008D296A"/>
    <w:rsid w:val="008D2C0F"/>
    <w:rsid w:val="008D306B"/>
    <w:rsid w:val="008D3AC8"/>
    <w:rsid w:val="008D3B85"/>
    <w:rsid w:val="008D3D13"/>
    <w:rsid w:val="008D3D8D"/>
    <w:rsid w:val="008D4009"/>
    <w:rsid w:val="008D404D"/>
    <w:rsid w:val="008D42F2"/>
    <w:rsid w:val="008D458D"/>
    <w:rsid w:val="008D489A"/>
    <w:rsid w:val="008D4C88"/>
    <w:rsid w:val="008D52C4"/>
    <w:rsid w:val="008D563C"/>
    <w:rsid w:val="008D5864"/>
    <w:rsid w:val="008D5908"/>
    <w:rsid w:val="008D5A1B"/>
    <w:rsid w:val="008D5E6A"/>
    <w:rsid w:val="008D5ED6"/>
    <w:rsid w:val="008D5F27"/>
    <w:rsid w:val="008D620E"/>
    <w:rsid w:val="008D666E"/>
    <w:rsid w:val="008D69AA"/>
    <w:rsid w:val="008D6C16"/>
    <w:rsid w:val="008D6C17"/>
    <w:rsid w:val="008D6D9B"/>
    <w:rsid w:val="008D7047"/>
    <w:rsid w:val="008D712B"/>
    <w:rsid w:val="008D76D6"/>
    <w:rsid w:val="008D78E3"/>
    <w:rsid w:val="008D7D5E"/>
    <w:rsid w:val="008D7DCD"/>
    <w:rsid w:val="008D7E9B"/>
    <w:rsid w:val="008E049E"/>
    <w:rsid w:val="008E157D"/>
    <w:rsid w:val="008E1BF7"/>
    <w:rsid w:val="008E1E08"/>
    <w:rsid w:val="008E220C"/>
    <w:rsid w:val="008E268A"/>
    <w:rsid w:val="008E2875"/>
    <w:rsid w:val="008E2B80"/>
    <w:rsid w:val="008E2D65"/>
    <w:rsid w:val="008E2E99"/>
    <w:rsid w:val="008E3597"/>
    <w:rsid w:val="008E36F1"/>
    <w:rsid w:val="008E3B84"/>
    <w:rsid w:val="008E3E8C"/>
    <w:rsid w:val="008E42E9"/>
    <w:rsid w:val="008E43D6"/>
    <w:rsid w:val="008E44AE"/>
    <w:rsid w:val="008E4D53"/>
    <w:rsid w:val="008E4E93"/>
    <w:rsid w:val="008E50C1"/>
    <w:rsid w:val="008E74CD"/>
    <w:rsid w:val="008E7A6D"/>
    <w:rsid w:val="008F0172"/>
    <w:rsid w:val="008F07DE"/>
    <w:rsid w:val="008F09C3"/>
    <w:rsid w:val="008F0FAE"/>
    <w:rsid w:val="008F12D2"/>
    <w:rsid w:val="008F1D4B"/>
    <w:rsid w:val="008F1FAA"/>
    <w:rsid w:val="008F2027"/>
    <w:rsid w:val="008F21D6"/>
    <w:rsid w:val="008F2D7C"/>
    <w:rsid w:val="008F3548"/>
    <w:rsid w:val="008F36EC"/>
    <w:rsid w:val="008F373C"/>
    <w:rsid w:val="008F3F98"/>
    <w:rsid w:val="008F43D0"/>
    <w:rsid w:val="008F4663"/>
    <w:rsid w:val="008F483A"/>
    <w:rsid w:val="008F4849"/>
    <w:rsid w:val="008F49B3"/>
    <w:rsid w:val="008F4CBE"/>
    <w:rsid w:val="008F4CDA"/>
    <w:rsid w:val="008F4EAB"/>
    <w:rsid w:val="008F5865"/>
    <w:rsid w:val="008F5907"/>
    <w:rsid w:val="008F59EA"/>
    <w:rsid w:val="008F5A80"/>
    <w:rsid w:val="008F5DE2"/>
    <w:rsid w:val="008F5EBA"/>
    <w:rsid w:val="008F5F03"/>
    <w:rsid w:val="008F6017"/>
    <w:rsid w:val="008F64F1"/>
    <w:rsid w:val="008F6987"/>
    <w:rsid w:val="008F6EC9"/>
    <w:rsid w:val="008F75B6"/>
    <w:rsid w:val="008F784B"/>
    <w:rsid w:val="008F7914"/>
    <w:rsid w:val="008F7D61"/>
    <w:rsid w:val="00900195"/>
    <w:rsid w:val="009001A7"/>
    <w:rsid w:val="009001BF"/>
    <w:rsid w:val="0090055A"/>
    <w:rsid w:val="00900750"/>
    <w:rsid w:val="00900F64"/>
    <w:rsid w:val="00901208"/>
    <w:rsid w:val="009012E4"/>
    <w:rsid w:val="00901553"/>
    <w:rsid w:val="00901800"/>
    <w:rsid w:val="00901A05"/>
    <w:rsid w:val="00901C56"/>
    <w:rsid w:val="009020B5"/>
    <w:rsid w:val="00902141"/>
    <w:rsid w:val="00902304"/>
    <w:rsid w:val="00902A95"/>
    <w:rsid w:val="00902B7B"/>
    <w:rsid w:val="00902F13"/>
    <w:rsid w:val="009032CA"/>
    <w:rsid w:val="0090369F"/>
    <w:rsid w:val="0090415E"/>
    <w:rsid w:val="009042E9"/>
    <w:rsid w:val="0090439D"/>
    <w:rsid w:val="009043B2"/>
    <w:rsid w:val="00904471"/>
    <w:rsid w:val="009049F0"/>
    <w:rsid w:val="00904AF3"/>
    <w:rsid w:val="00904B79"/>
    <w:rsid w:val="00904BFB"/>
    <w:rsid w:val="00904D83"/>
    <w:rsid w:val="00904DF0"/>
    <w:rsid w:val="00904F68"/>
    <w:rsid w:val="0090593B"/>
    <w:rsid w:val="00905D3D"/>
    <w:rsid w:val="00906069"/>
    <w:rsid w:val="009068BA"/>
    <w:rsid w:val="009068CA"/>
    <w:rsid w:val="00907034"/>
    <w:rsid w:val="00907314"/>
    <w:rsid w:val="0090772A"/>
    <w:rsid w:val="00907749"/>
    <w:rsid w:val="00907A9B"/>
    <w:rsid w:val="00907B3F"/>
    <w:rsid w:val="00907D93"/>
    <w:rsid w:val="009104A7"/>
    <w:rsid w:val="00910F04"/>
    <w:rsid w:val="00911289"/>
    <w:rsid w:val="009116B5"/>
    <w:rsid w:val="0091190F"/>
    <w:rsid w:val="00911ACF"/>
    <w:rsid w:val="00911E3F"/>
    <w:rsid w:val="00911E78"/>
    <w:rsid w:val="009120D5"/>
    <w:rsid w:val="00912256"/>
    <w:rsid w:val="00912D92"/>
    <w:rsid w:val="00912DDF"/>
    <w:rsid w:val="00912ED9"/>
    <w:rsid w:val="009135B2"/>
    <w:rsid w:val="00913688"/>
    <w:rsid w:val="0091395A"/>
    <w:rsid w:val="00913B12"/>
    <w:rsid w:val="00913B22"/>
    <w:rsid w:val="00913DB9"/>
    <w:rsid w:val="00913FD7"/>
    <w:rsid w:val="00914554"/>
    <w:rsid w:val="0091493B"/>
    <w:rsid w:val="00914D6D"/>
    <w:rsid w:val="0091532D"/>
    <w:rsid w:val="009157A8"/>
    <w:rsid w:val="00915BC9"/>
    <w:rsid w:val="00915F15"/>
    <w:rsid w:val="009161AE"/>
    <w:rsid w:val="0091628A"/>
    <w:rsid w:val="00916681"/>
    <w:rsid w:val="009166BE"/>
    <w:rsid w:val="0091671E"/>
    <w:rsid w:val="00916C8A"/>
    <w:rsid w:val="009170BE"/>
    <w:rsid w:val="00917255"/>
    <w:rsid w:val="009174E6"/>
    <w:rsid w:val="00917685"/>
    <w:rsid w:val="00917B04"/>
    <w:rsid w:val="00917FDB"/>
    <w:rsid w:val="00920337"/>
    <w:rsid w:val="00920414"/>
    <w:rsid w:val="00920547"/>
    <w:rsid w:val="00920AA0"/>
    <w:rsid w:val="009214EA"/>
    <w:rsid w:val="00921601"/>
    <w:rsid w:val="00921661"/>
    <w:rsid w:val="0092171C"/>
    <w:rsid w:val="00921911"/>
    <w:rsid w:val="00921C15"/>
    <w:rsid w:val="00921E98"/>
    <w:rsid w:val="0092258F"/>
    <w:rsid w:val="00922609"/>
    <w:rsid w:val="00922A2E"/>
    <w:rsid w:val="0092375B"/>
    <w:rsid w:val="009239D4"/>
    <w:rsid w:val="00923A73"/>
    <w:rsid w:val="00923A8F"/>
    <w:rsid w:val="00924088"/>
    <w:rsid w:val="0092478F"/>
    <w:rsid w:val="00925059"/>
    <w:rsid w:val="009255CE"/>
    <w:rsid w:val="00925DEF"/>
    <w:rsid w:val="00925E85"/>
    <w:rsid w:val="009260DE"/>
    <w:rsid w:val="0092627B"/>
    <w:rsid w:val="00926396"/>
    <w:rsid w:val="00926805"/>
    <w:rsid w:val="00926A44"/>
    <w:rsid w:val="00926A54"/>
    <w:rsid w:val="00926C00"/>
    <w:rsid w:val="00927106"/>
    <w:rsid w:val="00927230"/>
    <w:rsid w:val="00927249"/>
    <w:rsid w:val="0092740F"/>
    <w:rsid w:val="009277E1"/>
    <w:rsid w:val="009279CF"/>
    <w:rsid w:val="00927AAA"/>
    <w:rsid w:val="00927B79"/>
    <w:rsid w:val="009300CC"/>
    <w:rsid w:val="009302D6"/>
    <w:rsid w:val="009302ED"/>
    <w:rsid w:val="0093035C"/>
    <w:rsid w:val="00930763"/>
    <w:rsid w:val="00930A7A"/>
    <w:rsid w:val="00930BED"/>
    <w:rsid w:val="00930F35"/>
    <w:rsid w:val="0093105A"/>
    <w:rsid w:val="00931316"/>
    <w:rsid w:val="009317A3"/>
    <w:rsid w:val="00931DF8"/>
    <w:rsid w:val="00931F3B"/>
    <w:rsid w:val="00931F65"/>
    <w:rsid w:val="009329FE"/>
    <w:rsid w:val="00932B53"/>
    <w:rsid w:val="00932CAE"/>
    <w:rsid w:val="00932CEC"/>
    <w:rsid w:val="00932EBC"/>
    <w:rsid w:val="00933048"/>
    <w:rsid w:val="009330FC"/>
    <w:rsid w:val="00933101"/>
    <w:rsid w:val="009334AB"/>
    <w:rsid w:val="00933809"/>
    <w:rsid w:val="00933C20"/>
    <w:rsid w:val="00933CEE"/>
    <w:rsid w:val="00933D84"/>
    <w:rsid w:val="00933ED0"/>
    <w:rsid w:val="009340BC"/>
    <w:rsid w:val="0093430C"/>
    <w:rsid w:val="0093463A"/>
    <w:rsid w:val="00935152"/>
    <w:rsid w:val="0093538B"/>
    <w:rsid w:val="009355CA"/>
    <w:rsid w:val="009359CB"/>
    <w:rsid w:val="00936027"/>
    <w:rsid w:val="0093612D"/>
    <w:rsid w:val="00936331"/>
    <w:rsid w:val="00936762"/>
    <w:rsid w:val="009367D8"/>
    <w:rsid w:val="00936B83"/>
    <w:rsid w:val="00936DDE"/>
    <w:rsid w:val="00937086"/>
    <w:rsid w:val="009372FE"/>
    <w:rsid w:val="0093773B"/>
    <w:rsid w:val="0093777F"/>
    <w:rsid w:val="00940705"/>
    <w:rsid w:val="0094078B"/>
    <w:rsid w:val="00940BC3"/>
    <w:rsid w:val="009411CF"/>
    <w:rsid w:val="00941A65"/>
    <w:rsid w:val="00941ADE"/>
    <w:rsid w:val="009421EA"/>
    <w:rsid w:val="00942361"/>
    <w:rsid w:val="009428DD"/>
    <w:rsid w:val="00942D8D"/>
    <w:rsid w:val="00942E93"/>
    <w:rsid w:val="00942F89"/>
    <w:rsid w:val="009441EB"/>
    <w:rsid w:val="009441F0"/>
    <w:rsid w:val="009445A2"/>
    <w:rsid w:val="00944760"/>
    <w:rsid w:val="00944B07"/>
    <w:rsid w:val="00944B48"/>
    <w:rsid w:val="00944C83"/>
    <w:rsid w:val="009453AA"/>
    <w:rsid w:val="00945589"/>
    <w:rsid w:val="009458B3"/>
    <w:rsid w:val="00946033"/>
    <w:rsid w:val="00946113"/>
    <w:rsid w:val="00946350"/>
    <w:rsid w:val="00946B64"/>
    <w:rsid w:val="009473F4"/>
    <w:rsid w:val="00947616"/>
    <w:rsid w:val="00947BDD"/>
    <w:rsid w:val="00947F32"/>
    <w:rsid w:val="009503C8"/>
    <w:rsid w:val="0095064E"/>
    <w:rsid w:val="009506CC"/>
    <w:rsid w:val="00950A45"/>
    <w:rsid w:val="0095174D"/>
    <w:rsid w:val="00951E84"/>
    <w:rsid w:val="00951EBE"/>
    <w:rsid w:val="0095201F"/>
    <w:rsid w:val="0095265E"/>
    <w:rsid w:val="00952948"/>
    <w:rsid w:val="00952A32"/>
    <w:rsid w:val="00952CD7"/>
    <w:rsid w:val="00952D04"/>
    <w:rsid w:val="00953633"/>
    <w:rsid w:val="00953659"/>
    <w:rsid w:val="0095372E"/>
    <w:rsid w:val="0095382D"/>
    <w:rsid w:val="0095393B"/>
    <w:rsid w:val="00953D95"/>
    <w:rsid w:val="00953F10"/>
    <w:rsid w:val="00953F85"/>
    <w:rsid w:val="009544F1"/>
    <w:rsid w:val="009545CF"/>
    <w:rsid w:val="00954AC6"/>
    <w:rsid w:val="00954EFC"/>
    <w:rsid w:val="00954F44"/>
    <w:rsid w:val="0095506F"/>
    <w:rsid w:val="009550CB"/>
    <w:rsid w:val="0095510D"/>
    <w:rsid w:val="00955678"/>
    <w:rsid w:val="0095589C"/>
    <w:rsid w:val="00955ADE"/>
    <w:rsid w:val="00955CF9"/>
    <w:rsid w:val="00955DEB"/>
    <w:rsid w:val="00955F12"/>
    <w:rsid w:val="009567BB"/>
    <w:rsid w:val="00956897"/>
    <w:rsid w:val="00956B4A"/>
    <w:rsid w:val="00956CED"/>
    <w:rsid w:val="009575F4"/>
    <w:rsid w:val="00957BD5"/>
    <w:rsid w:val="009604A9"/>
    <w:rsid w:val="009605B3"/>
    <w:rsid w:val="009606E2"/>
    <w:rsid w:val="009608E2"/>
    <w:rsid w:val="00960BA6"/>
    <w:rsid w:val="009614F4"/>
    <w:rsid w:val="009616BB"/>
    <w:rsid w:val="00961958"/>
    <w:rsid w:val="009619D8"/>
    <w:rsid w:val="00961C2E"/>
    <w:rsid w:val="00961C78"/>
    <w:rsid w:val="00961D46"/>
    <w:rsid w:val="00961ED5"/>
    <w:rsid w:val="00961FD1"/>
    <w:rsid w:val="00962548"/>
    <w:rsid w:val="00962607"/>
    <w:rsid w:val="0096279E"/>
    <w:rsid w:val="00962B94"/>
    <w:rsid w:val="00962EC7"/>
    <w:rsid w:val="0096342B"/>
    <w:rsid w:val="00963B7E"/>
    <w:rsid w:val="00963B96"/>
    <w:rsid w:val="00963EB4"/>
    <w:rsid w:val="00963F7E"/>
    <w:rsid w:val="00964292"/>
    <w:rsid w:val="009643C7"/>
    <w:rsid w:val="0096450E"/>
    <w:rsid w:val="00964727"/>
    <w:rsid w:val="009649F1"/>
    <w:rsid w:val="00964AD3"/>
    <w:rsid w:val="00964D37"/>
    <w:rsid w:val="00964E45"/>
    <w:rsid w:val="00965009"/>
    <w:rsid w:val="009651D9"/>
    <w:rsid w:val="009651EC"/>
    <w:rsid w:val="0096530E"/>
    <w:rsid w:val="009659ED"/>
    <w:rsid w:val="00966118"/>
    <w:rsid w:val="009666C9"/>
    <w:rsid w:val="00966722"/>
    <w:rsid w:val="00966BFB"/>
    <w:rsid w:val="00966C2A"/>
    <w:rsid w:val="00966DD5"/>
    <w:rsid w:val="00966DF1"/>
    <w:rsid w:val="00967876"/>
    <w:rsid w:val="00967B1C"/>
    <w:rsid w:val="00967F6C"/>
    <w:rsid w:val="0097028E"/>
    <w:rsid w:val="0097074F"/>
    <w:rsid w:val="00970EE7"/>
    <w:rsid w:val="0097164C"/>
    <w:rsid w:val="0097169B"/>
    <w:rsid w:val="00971AE5"/>
    <w:rsid w:val="00971DC5"/>
    <w:rsid w:val="009722A4"/>
    <w:rsid w:val="0097258F"/>
    <w:rsid w:val="0097278C"/>
    <w:rsid w:val="009729C6"/>
    <w:rsid w:val="00972A97"/>
    <w:rsid w:val="009731C6"/>
    <w:rsid w:val="00973474"/>
    <w:rsid w:val="0097356D"/>
    <w:rsid w:val="009736B5"/>
    <w:rsid w:val="009736F8"/>
    <w:rsid w:val="00973EAA"/>
    <w:rsid w:val="00973FDB"/>
    <w:rsid w:val="009744F1"/>
    <w:rsid w:val="00974E61"/>
    <w:rsid w:val="00974E98"/>
    <w:rsid w:val="00975081"/>
    <w:rsid w:val="00975BA0"/>
    <w:rsid w:val="00976105"/>
    <w:rsid w:val="00976178"/>
    <w:rsid w:val="00976BB3"/>
    <w:rsid w:val="00976DB6"/>
    <w:rsid w:val="00977240"/>
    <w:rsid w:val="00977612"/>
    <w:rsid w:val="00977DA3"/>
    <w:rsid w:val="00980671"/>
    <w:rsid w:val="00980924"/>
    <w:rsid w:val="00980AB8"/>
    <w:rsid w:val="009811C5"/>
    <w:rsid w:val="009812CC"/>
    <w:rsid w:val="009817C9"/>
    <w:rsid w:val="009817FF"/>
    <w:rsid w:val="00981E64"/>
    <w:rsid w:val="00981EDE"/>
    <w:rsid w:val="00981F74"/>
    <w:rsid w:val="0098279C"/>
    <w:rsid w:val="00982C66"/>
    <w:rsid w:val="00982D27"/>
    <w:rsid w:val="00982DC4"/>
    <w:rsid w:val="00983BBE"/>
    <w:rsid w:val="00984B18"/>
    <w:rsid w:val="0098531D"/>
    <w:rsid w:val="009853B7"/>
    <w:rsid w:val="009854A0"/>
    <w:rsid w:val="00985CBC"/>
    <w:rsid w:val="00985D24"/>
    <w:rsid w:val="0098603D"/>
    <w:rsid w:val="00986214"/>
    <w:rsid w:val="009867CB"/>
    <w:rsid w:val="00986EAB"/>
    <w:rsid w:val="0098731B"/>
    <w:rsid w:val="009876D9"/>
    <w:rsid w:val="00990121"/>
    <w:rsid w:val="0099019E"/>
    <w:rsid w:val="0099020D"/>
    <w:rsid w:val="00990882"/>
    <w:rsid w:val="00991436"/>
    <w:rsid w:val="00991A98"/>
    <w:rsid w:val="00991C41"/>
    <w:rsid w:val="00992F3E"/>
    <w:rsid w:val="00992FBD"/>
    <w:rsid w:val="00993A66"/>
    <w:rsid w:val="0099401B"/>
    <w:rsid w:val="0099426D"/>
    <w:rsid w:val="00994929"/>
    <w:rsid w:val="00994C0B"/>
    <w:rsid w:val="0099514E"/>
    <w:rsid w:val="009951BA"/>
    <w:rsid w:val="00995B41"/>
    <w:rsid w:val="00995D09"/>
    <w:rsid w:val="00996183"/>
    <w:rsid w:val="0099645C"/>
    <w:rsid w:val="00996672"/>
    <w:rsid w:val="009966DB"/>
    <w:rsid w:val="00996717"/>
    <w:rsid w:val="00996791"/>
    <w:rsid w:val="00996920"/>
    <w:rsid w:val="00996D4B"/>
    <w:rsid w:val="00997229"/>
    <w:rsid w:val="009973C1"/>
    <w:rsid w:val="0099755B"/>
    <w:rsid w:val="00997CDD"/>
    <w:rsid w:val="009A034B"/>
    <w:rsid w:val="009A09DB"/>
    <w:rsid w:val="009A0A47"/>
    <w:rsid w:val="009A1389"/>
    <w:rsid w:val="009A16AD"/>
    <w:rsid w:val="009A1D60"/>
    <w:rsid w:val="009A234A"/>
    <w:rsid w:val="009A2788"/>
    <w:rsid w:val="009A2896"/>
    <w:rsid w:val="009A37FD"/>
    <w:rsid w:val="009A41E5"/>
    <w:rsid w:val="009A4221"/>
    <w:rsid w:val="009A4320"/>
    <w:rsid w:val="009A45FD"/>
    <w:rsid w:val="009A46DB"/>
    <w:rsid w:val="009A487E"/>
    <w:rsid w:val="009A4DB6"/>
    <w:rsid w:val="009A4EA5"/>
    <w:rsid w:val="009A52B4"/>
    <w:rsid w:val="009A53B0"/>
    <w:rsid w:val="009A5742"/>
    <w:rsid w:val="009A579D"/>
    <w:rsid w:val="009A59D3"/>
    <w:rsid w:val="009A5F1C"/>
    <w:rsid w:val="009A6306"/>
    <w:rsid w:val="009A6E99"/>
    <w:rsid w:val="009A7013"/>
    <w:rsid w:val="009A7417"/>
    <w:rsid w:val="009A76DD"/>
    <w:rsid w:val="009A7B26"/>
    <w:rsid w:val="009B0058"/>
    <w:rsid w:val="009B02C6"/>
    <w:rsid w:val="009B0991"/>
    <w:rsid w:val="009B0DA9"/>
    <w:rsid w:val="009B1413"/>
    <w:rsid w:val="009B1801"/>
    <w:rsid w:val="009B1840"/>
    <w:rsid w:val="009B1BC7"/>
    <w:rsid w:val="009B1CA5"/>
    <w:rsid w:val="009B1EC4"/>
    <w:rsid w:val="009B1FAD"/>
    <w:rsid w:val="009B1FAE"/>
    <w:rsid w:val="009B225D"/>
    <w:rsid w:val="009B24BF"/>
    <w:rsid w:val="009B2525"/>
    <w:rsid w:val="009B255C"/>
    <w:rsid w:val="009B2861"/>
    <w:rsid w:val="009B29C1"/>
    <w:rsid w:val="009B2D85"/>
    <w:rsid w:val="009B301D"/>
    <w:rsid w:val="009B32D1"/>
    <w:rsid w:val="009B32D2"/>
    <w:rsid w:val="009B361F"/>
    <w:rsid w:val="009B3B17"/>
    <w:rsid w:val="009B3B51"/>
    <w:rsid w:val="009B41EF"/>
    <w:rsid w:val="009B42EC"/>
    <w:rsid w:val="009B4532"/>
    <w:rsid w:val="009B45B3"/>
    <w:rsid w:val="009B4625"/>
    <w:rsid w:val="009B46E3"/>
    <w:rsid w:val="009B4909"/>
    <w:rsid w:val="009B4EC5"/>
    <w:rsid w:val="009B4EF2"/>
    <w:rsid w:val="009B504F"/>
    <w:rsid w:val="009B5770"/>
    <w:rsid w:val="009B623C"/>
    <w:rsid w:val="009B64C7"/>
    <w:rsid w:val="009B6676"/>
    <w:rsid w:val="009B66F5"/>
    <w:rsid w:val="009B68A7"/>
    <w:rsid w:val="009B6DB0"/>
    <w:rsid w:val="009B73EF"/>
    <w:rsid w:val="009B776E"/>
    <w:rsid w:val="009C00C6"/>
    <w:rsid w:val="009C0257"/>
    <w:rsid w:val="009C0354"/>
    <w:rsid w:val="009C0512"/>
    <w:rsid w:val="009C06C9"/>
    <w:rsid w:val="009C0894"/>
    <w:rsid w:val="009C099A"/>
    <w:rsid w:val="009C0D0A"/>
    <w:rsid w:val="009C0E05"/>
    <w:rsid w:val="009C0F20"/>
    <w:rsid w:val="009C10AA"/>
    <w:rsid w:val="009C1430"/>
    <w:rsid w:val="009C15EB"/>
    <w:rsid w:val="009C1668"/>
    <w:rsid w:val="009C19E2"/>
    <w:rsid w:val="009C1A1F"/>
    <w:rsid w:val="009C2C16"/>
    <w:rsid w:val="009C2F75"/>
    <w:rsid w:val="009C3061"/>
    <w:rsid w:val="009C3156"/>
    <w:rsid w:val="009C331E"/>
    <w:rsid w:val="009C374B"/>
    <w:rsid w:val="009C40B5"/>
    <w:rsid w:val="009C420B"/>
    <w:rsid w:val="009C4225"/>
    <w:rsid w:val="009C4273"/>
    <w:rsid w:val="009C438A"/>
    <w:rsid w:val="009C46C2"/>
    <w:rsid w:val="009C4750"/>
    <w:rsid w:val="009C4774"/>
    <w:rsid w:val="009C4D12"/>
    <w:rsid w:val="009C4D5F"/>
    <w:rsid w:val="009C4E52"/>
    <w:rsid w:val="009C53A8"/>
    <w:rsid w:val="009C54FE"/>
    <w:rsid w:val="009C550F"/>
    <w:rsid w:val="009C5701"/>
    <w:rsid w:val="009C5A89"/>
    <w:rsid w:val="009C5B94"/>
    <w:rsid w:val="009C5DE3"/>
    <w:rsid w:val="009C6CA9"/>
    <w:rsid w:val="009C6F28"/>
    <w:rsid w:val="009C6FAD"/>
    <w:rsid w:val="009C6FF8"/>
    <w:rsid w:val="009C7064"/>
    <w:rsid w:val="009C7125"/>
    <w:rsid w:val="009C73EE"/>
    <w:rsid w:val="009C74C8"/>
    <w:rsid w:val="009C75EB"/>
    <w:rsid w:val="009C7770"/>
    <w:rsid w:val="009C7988"/>
    <w:rsid w:val="009C79FF"/>
    <w:rsid w:val="009D0224"/>
    <w:rsid w:val="009D0BE4"/>
    <w:rsid w:val="009D0CA4"/>
    <w:rsid w:val="009D1739"/>
    <w:rsid w:val="009D185C"/>
    <w:rsid w:val="009D1906"/>
    <w:rsid w:val="009D1B21"/>
    <w:rsid w:val="009D201F"/>
    <w:rsid w:val="009D23B4"/>
    <w:rsid w:val="009D283E"/>
    <w:rsid w:val="009D2C55"/>
    <w:rsid w:val="009D33DC"/>
    <w:rsid w:val="009D3428"/>
    <w:rsid w:val="009D39D7"/>
    <w:rsid w:val="009D448A"/>
    <w:rsid w:val="009D4499"/>
    <w:rsid w:val="009D456E"/>
    <w:rsid w:val="009D45AB"/>
    <w:rsid w:val="009D4640"/>
    <w:rsid w:val="009D4890"/>
    <w:rsid w:val="009D51E3"/>
    <w:rsid w:val="009D524B"/>
    <w:rsid w:val="009D566D"/>
    <w:rsid w:val="009D5898"/>
    <w:rsid w:val="009D5C0A"/>
    <w:rsid w:val="009D5DEE"/>
    <w:rsid w:val="009D6829"/>
    <w:rsid w:val="009D76D4"/>
    <w:rsid w:val="009D794D"/>
    <w:rsid w:val="009D7A67"/>
    <w:rsid w:val="009E14F0"/>
    <w:rsid w:val="009E1536"/>
    <w:rsid w:val="009E15CB"/>
    <w:rsid w:val="009E1A5C"/>
    <w:rsid w:val="009E1AC6"/>
    <w:rsid w:val="009E1D50"/>
    <w:rsid w:val="009E1D54"/>
    <w:rsid w:val="009E2170"/>
    <w:rsid w:val="009E259C"/>
    <w:rsid w:val="009E2883"/>
    <w:rsid w:val="009E3295"/>
    <w:rsid w:val="009E329F"/>
    <w:rsid w:val="009E34E4"/>
    <w:rsid w:val="009E393A"/>
    <w:rsid w:val="009E3A50"/>
    <w:rsid w:val="009E3EB9"/>
    <w:rsid w:val="009E3F05"/>
    <w:rsid w:val="009E431D"/>
    <w:rsid w:val="009E4495"/>
    <w:rsid w:val="009E45D4"/>
    <w:rsid w:val="009E4786"/>
    <w:rsid w:val="009E47E1"/>
    <w:rsid w:val="009E4C37"/>
    <w:rsid w:val="009E4CA8"/>
    <w:rsid w:val="009E5097"/>
    <w:rsid w:val="009E529C"/>
    <w:rsid w:val="009E55DC"/>
    <w:rsid w:val="009E603E"/>
    <w:rsid w:val="009E6127"/>
    <w:rsid w:val="009E65AD"/>
    <w:rsid w:val="009E6BFF"/>
    <w:rsid w:val="009E6C05"/>
    <w:rsid w:val="009E6D87"/>
    <w:rsid w:val="009E6E6A"/>
    <w:rsid w:val="009E7761"/>
    <w:rsid w:val="009E7E69"/>
    <w:rsid w:val="009F00D8"/>
    <w:rsid w:val="009F013C"/>
    <w:rsid w:val="009F02BF"/>
    <w:rsid w:val="009F033E"/>
    <w:rsid w:val="009F0847"/>
    <w:rsid w:val="009F0ABF"/>
    <w:rsid w:val="009F0AF1"/>
    <w:rsid w:val="009F0C3D"/>
    <w:rsid w:val="009F0EC6"/>
    <w:rsid w:val="009F13F4"/>
    <w:rsid w:val="009F14A0"/>
    <w:rsid w:val="009F1637"/>
    <w:rsid w:val="009F1681"/>
    <w:rsid w:val="009F1747"/>
    <w:rsid w:val="009F17A0"/>
    <w:rsid w:val="009F19A4"/>
    <w:rsid w:val="009F1B09"/>
    <w:rsid w:val="009F2519"/>
    <w:rsid w:val="009F2C51"/>
    <w:rsid w:val="009F3163"/>
    <w:rsid w:val="009F346A"/>
    <w:rsid w:val="009F380A"/>
    <w:rsid w:val="009F3970"/>
    <w:rsid w:val="009F3AA4"/>
    <w:rsid w:val="009F3B91"/>
    <w:rsid w:val="009F3BC9"/>
    <w:rsid w:val="009F46AF"/>
    <w:rsid w:val="009F4A35"/>
    <w:rsid w:val="009F4AB9"/>
    <w:rsid w:val="009F591F"/>
    <w:rsid w:val="009F5965"/>
    <w:rsid w:val="009F59C2"/>
    <w:rsid w:val="009F5BCC"/>
    <w:rsid w:val="009F5D32"/>
    <w:rsid w:val="009F5DAD"/>
    <w:rsid w:val="009F5FD8"/>
    <w:rsid w:val="009F5FFF"/>
    <w:rsid w:val="009F62DE"/>
    <w:rsid w:val="009F70D2"/>
    <w:rsid w:val="009F728D"/>
    <w:rsid w:val="009F7505"/>
    <w:rsid w:val="009F75DD"/>
    <w:rsid w:val="009F7CAA"/>
    <w:rsid w:val="009F7E95"/>
    <w:rsid w:val="009F7FAD"/>
    <w:rsid w:val="00A000B2"/>
    <w:rsid w:val="00A0024F"/>
    <w:rsid w:val="00A00980"/>
    <w:rsid w:val="00A00B57"/>
    <w:rsid w:val="00A00F2A"/>
    <w:rsid w:val="00A0117E"/>
    <w:rsid w:val="00A01248"/>
    <w:rsid w:val="00A01676"/>
    <w:rsid w:val="00A01752"/>
    <w:rsid w:val="00A01F7A"/>
    <w:rsid w:val="00A0212A"/>
    <w:rsid w:val="00A022B7"/>
    <w:rsid w:val="00A02855"/>
    <w:rsid w:val="00A02BBC"/>
    <w:rsid w:val="00A02F5A"/>
    <w:rsid w:val="00A031D6"/>
    <w:rsid w:val="00A03776"/>
    <w:rsid w:val="00A0382F"/>
    <w:rsid w:val="00A03DFA"/>
    <w:rsid w:val="00A03FE8"/>
    <w:rsid w:val="00A04457"/>
    <w:rsid w:val="00A045BC"/>
    <w:rsid w:val="00A04928"/>
    <w:rsid w:val="00A0499D"/>
    <w:rsid w:val="00A04B16"/>
    <w:rsid w:val="00A04B18"/>
    <w:rsid w:val="00A04CBC"/>
    <w:rsid w:val="00A057A1"/>
    <w:rsid w:val="00A057AE"/>
    <w:rsid w:val="00A05965"/>
    <w:rsid w:val="00A05F5A"/>
    <w:rsid w:val="00A06210"/>
    <w:rsid w:val="00A06348"/>
    <w:rsid w:val="00A06E97"/>
    <w:rsid w:val="00A071FB"/>
    <w:rsid w:val="00A0720A"/>
    <w:rsid w:val="00A072D8"/>
    <w:rsid w:val="00A07466"/>
    <w:rsid w:val="00A07651"/>
    <w:rsid w:val="00A07996"/>
    <w:rsid w:val="00A07C06"/>
    <w:rsid w:val="00A10216"/>
    <w:rsid w:val="00A1057B"/>
    <w:rsid w:val="00A109A5"/>
    <w:rsid w:val="00A109E2"/>
    <w:rsid w:val="00A10D1C"/>
    <w:rsid w:val="00A10DF7"/>
    <w:rsid w:val="00A11204"/>
    <w:rsid w:val="00A112E1"/>
    <w:rsid w:val="00A11C6A"/>
    <w:rsid w:val="00A12793"/>
    <w:rsid w:val="00A12881"/>
    <w:rsid w:val="00A12901"/>
    <w:rsid w:val="00A1295D"/>
    <w:rsid w:val="00A12A2D"/>
    <w:rsid w:val="00A12A7A"/>
    <w:rsid w:val="00A12B79"/>
    <w:rsid w:val="00A12D02"/>
    <w:rsid w:val="00A13018"/>
    <w:rsid w:val="00A13640"/>
    <w:rsid w:val="00A1366F"/>
    <w:rsid w:val="00A13A55"/>
    <w:rsid w:val="00A13F77"/>
    <w:rsid w:val="00A14235"/>
    <w:rsid w:val="00A14352"/>
    <w:rsid w:val="00A143A1"/>
    <w:rsid w:val="00A14855"/>
    <w:rsid w:val="00A1493E"/>
    <w:rsid w:val="00A14A89"/>
    <w:rsid w:val="00A14B42"/>
    <w:rsid w:val="00A14CDA"/>
    <w:rsid w:val="00A1578B"/>
    <w:rsid w:val="00A1582C"/>
    <w:rsid w:val="00A15B3D"/>
    <w:rsid w:val="00A161E7"/>
    <w:rsid w:val="00A16515"/>
    <w:rsid w:val="00A16775"/>
    <w:rsid w:val="00A16A5B"/>
    <w:rsid w:val="00A16D9C"/>
    <w:rsid w:val="00A174E1"/>
    <w:rsid w:val="00A17B43"/>
    <w:rsid w:val="00A20388"/>
    <w:rsid w:val="00A20586"/>
    <w:rsid w:val="00A20591"/>
    <w:rsid w:val="00A208A7"/>
    <w:rsid w:val="00A20D05"/>
    <w:rsid w:val="00A20D3A"/>
    <w:rsid w:val="00A21196"/>
    <w:rsid w:val="00A212F5"/>
    <w:rsid w:val="00A2135D"/>
    <w:rsid w:val="00A225D9"/>
    <w:rsid w:val="00A22856"/>
    <w:rsid w:val="00A228AD"/>
    <w:rsid w:val="00A22D09"/>
    <w:rsid w:val="00A22E22"/>
    <w:rsid w:val="00A23968"/>
    <w:rsid w:val="00A23B41"/>
    <w:rsid w:val="00A23C89"/>
    <w:rsid w:val="00A24289"/>
    <w:rsid w:val="00A24404"/>
    <w:rsid w:val="00A244F5"/>
    <w:rsid w:val="00A24A99"/>
    <w:rsid w:val="00A24BFA"/>
    <w:rsid w:val="00A24E7C"/>
    <w:rsid w:val="00A2517D"/>
    <w:rsid w:val="00A251A1"/>
    <w:rsid w:val="00A25331"/>
    <w:rsid w:val="00A25395"/>
    <w:rsid w:val="00A253E6"/>
    <w:rsid w:val="00A256C3"/>
    <w:rsid w:val="00A2595C"/>
    <w:rsid w:val="00A259E1"/>
    <w:rsid w:val="00A25B34"/>
    <w:rsid w:val="00A25CC5"/>
    <w:rsid w:val="00A26119"/>
    <w:rsid w:val="00A26482"/>
    <w:rsid w:val="00A265E7"/>
    <w:rsid w:val="00A26783"/>
    <w:rsid w:val="00A26B7A"/>
    <w:rsid w:val="00A26FD9"/>
    <w:rsid w:val="00A278A3"/>
    <w:rsid w:val="00A300D6"/>
    <w:rsid w:val="00A30250"/>
    <w:rsid w:val="00A30822"/>
    <w:rsid w:val="00A30D71"/>
    <w:rsid w:val="00A30F9E"/>
    <w:rsid w:val="00A31109"/>
    <w:rsid w:val="00A3162A"/>
    <w:rsid w:val="00A31C0A"/>
    <w:rsid w:val="00A31D02"/>
    <w:rsid w:val="00A326C9"/>
    <w:rsid w:val="00A32B69"/>
    <w:rsid w:val="00A32D22"/>
    <w:rsid w:val="00A32F1D"/>
    <w:rsid w:val="00A3360C"/>
    <w:rsid w:val="00A33980"/>
    <w:rsid w:val="00A3437E"/>
    <w:rsid w:val="00A347CA"/>
    <w:rsid w:val="00A351C7"/>
    <w:rsid w:val="00A3547B"/>
    <w:rsid w:val="00A3575C"/>
    <w:rsid w:val="00A3584D"/>
    <w:rsid w:val="00A35928"/>
    <w:rsid w:val="00A35F67"/>
    <w:rsid w:val="00A35F6B"/>
    <w:rsid w:val="00A35F86"/>
    <w:rsid w:val="00A36499"/>
    <w:rsid w:val="00A36802"/>
    <w:rsid w:val="00A369EE"/>
    <w:rsid w:val="00A36AD5"/>
    <w:rsid w:val="00A36D48"/>
    <w:rsid w:val="00A36FF9"/>
    <w:rsid w:val="00A3711F"/>
    <w:rsid w:val="00A37281"/>
    <w:rsid w:val="00A37461"/>
    <w:rsid w:val="00A37708"/>
    <w:rsid w:val="00A37772"/>
    <w:rsid w:val="00A379BF"/>
    <w:rsid w:val="00A37A9C"/>
    <w:rsid w:val="00A37C21"/>
    <w:rsid w:val="00A37E73"/>
    <w:rsid w:val="00A37F50"/>
    <w:rsid w:val="00A37FA3"/>
    <w:rsid w:val="00A40051"/>
    <w:rsid w:val="00A400B1"/>
    <w:rsid w:val="00A40A32"/>
    <w:rsid w:val="00A40C3C"/>
    <w:rsid w:val="00A40D92"/>
    <w:rsid w:val="00A413F2"/>
    <w:rsid w:val="00A41426"/>
    <w:rsid w:val="00A414C6"/>
    <w:rsid w:val="00A41808"/>
    <w:rsid w:val="00A41A14"/>
    <w:rsid w:val="00A41D18"/>
    <w:rsid w:val="00A41D8E"/>
    <w:rsid w:val="00A41F8E"/>
    <w:rsid w:val="00A4232B"/>
    <w:rsid w:val="00A4233A"/>
    <w:rsid w:val="00A4354C"/>
    <w:rsid w:val="00A43D4D"/>
    <w:rsid w:val="00A443AB"/>
    <w:rsid w:val="00A44EF7"/>
    <w:rsid w:val="00A44FF9"/>
    <w:rsid w:val="00A4521B"/>
    <w:rsid w:val="00A45278"/>
    <w:rsid w:val="00A45687"/>
    <w:rsid w:val="00A4591B"/>
    <w:rsid w:val="00A45D89"/>
    <w:rsid w:val="00A47036"/>
    <w:rsid w:val="00A47280"/>
    <w:rsid w:val="00A472D5"/>
    <w:rsid w:val="00A476F1"/>
    <w:rsid w:val="00A4774A"/>
    <w:rsid w:val="00A47786"/>
    <w:rsid w:val="00A47D10"/>
    <w:rsid w:val="00A47FD3"/>
    <w:rsid w:val="00A50508"/>
    <w:rsid w:val="00A51078"/>
    <w:rsid w:val="00A51B03"/>
    <w:rsid w:val="00A51B30"/>
    <w:rsid w:val="00A52253"/>
    <w:rsid w:val="00A52421"/>
    <w:rsid w:val="00A5262A"/>
    <w:rsid w:val="00A529BD"/>
    <w:rsid w:val="00A52E2A"/>
    <w:rsid w:val="00A52E59"/>
    <w:rsid w:val="00A52FCE"/>
    <w:rsid w:val="00A533AC"/>
    <w:rsid w:val="00A533BF"/>
    <w:rsid w:val="00A534EB"/>
    <w:rsid w:val="00A53838"/>
    <w:rsid w:val="00A539DA"/>
    <w:rsid w:val="00A53B75"/>
    <w:rsid w:val="00A53E1F"/>
    <w:rsid w:val="00A53E85"/>
    <w:rsid w:val="00A53F65"/>
    <w:rsid w:val="00A54690"/>
    <w:rsid w:val="00A54A5D"/>
    <w:rsid w:val="00A551DE"/>
    <w:rsid w:val="00A552B8"/>
    <w:rsid w:val="00A55476"/>
    <w:rsid w:val="00A55493"/>
    <w:rsid w:val="00A554BD"/>
    <w:rsid w:val="00A557C6"/>
    <w:rsid w:val="00A55974"/>
    <w:rsid w:val="00A559C3"/>
    <w:rsid w:val="00A55FEF"/>
    <w:rsid w:val="00A5661A"/>
    <w:rsid w:val="00A566A1"/>
    <w:rsid w:val="00A572F9"/>
    <w:rsid w:val="00A57E60"/>
    <w:rsid w:val="00A57E83"/>
    <w:rsid w:val="00A609DB"/>
    <w:rsid w:val="00A60AF2"/>
    <w:rsid w:val="00A60B8F"/>
    <w:rsid w:val="00A60DD4"/>
    <w:rsid w:val="00A61808"/>
    <w:rsid w:val="00A61827"/>
    <w:rsid w:val="00A61BD2"/>
    <w:rsid w:val="00A61D32"/>
    <w:rsid w:val="00A61ECE"/>
    <w:rsid w:val="00A61FE6"/>
    <w:rsid w:val="00A620B9"/>
    <w:rsid w:val="00A625C6"/>
    <w:rsid w:val="00A6274F"/>
    <w:rsid w:val="00A62902"/>
    <w:rsid w:val="00A63140"/>
    <w:rsid w:val="00A631EF"/>
    <w:rsid w:val="00A63A7D"/>
    <w:rsid w:val="00A63B0E"/>
    <w:rsid w:val="00A6402C"/>
    <w:rsid w:val="00A653A6"/>
    <w:rsid w:val="00A65493"/>
    <w:rsid w:val="00A65BA9"/>
    <w:rsid w:val="00A65C2B"/>
    <w:rsid w:val="00A6623F"/>
    <w:rsid w:val="00A6643A"/>
    <w:rsid w:val="00A66A4C"/>
    <w:rsid w:val="00A66A9C"/>
    <w:rsid w:val="00A66AB6"/>
    <w:rsid w:val="00A66D7F"/>
    <w:rsid w:val="00A6727F"/>
    <w:rsid w:val="00A672BD"/>
    <w:rsid w:val="00A67365"/>
    <w:rsid w:val="00A67423"/>
    <w:rsid w:val="00A676F7"/>
    <w:rsid w:val="00A679B2"/>
    <w:rsid w:val="00A679DC"/>
    <w:rsid w:val="00A67AD2"/>
    <w:rsid w:val="00A67DEA"/>
    <w:rsid w:val="00A702B4"/>
    <w:rsid w:val="00A708F3"/>
    <w:rsid w:val="00A7093F"/>
    <w:rsid w:val="00A70D31"/>
    <w:rsid w:val="00A70EF4"/>
    <w:rsid w:val="00A71435"/>
    <w:rsid w:val="00A714AA"/>
    <w:rsid w:val="00A71D40"/>
    <w:rsid w:val="00A72110"/>
    <w:rsid w:val="00A721CC"/>
    <w:rsid w:val="00A723C8"/>
    <w:rsid w:val="00A72444"/>
    <w:rsid w:val="00A72524"/>
    <w:rsid w:val="00A729FA"/>
    <w:rsid w:val="00A72A62"/>
    <w:rsid w:val="00A7328D"/>
    <w:rsid w:val="00A73A58"/>
    <w:rsid w:val="00A73A75"/>
    <w:rsid w:val="00A73DFD"/>
    <w:rsid w:val="00A74137"/>
    <w:rsid w:val="00A742EF"/>
    <w:rsid w:val="00A746E9"/>
    <w:rsid w:val="00A7471C"/>
    <w:rsid w:val="00A748D8"/>
    <w:rsid w:val="00A748ED"/>
    <w:rsid w:val="00A74949"/>
    <w:rsid w:val="00A74F88"/>
    <w:rsid w:val="00A75052"/>
    <w:rsid w:val="00A751AE"/>
    <w:rsid w:val="00A75A75"/>
    <w:rsid w:val="00A75C09"/>
    <w:rsid w:val="00A76109"/>
    <w:rsid w:val="00A76662"/>
    <w:rsid w:val="00A76903"/>
    <w:rsid w:val="00A76A8C"/>
    <w:rsid w:val="00A7742B"/>
    <w:rsid w:val="00A7794D"/>
    <w:rsid w:val="00A77ED7"/>
    <w:rsid w:val="00A77FB3"/>
    <w:rsid w:val="00A80102"/>
    <w:rsid w:val="00A80468"/>
    <w:rsid w:val="00A80772"/>
    <w:rsid w:val="00A80A70"/>
    <w:rsid w:val="00A80B01"/>
    <w:rsid w:val="00A80D0E"/>
    <w:rsid w:val="00A81128"/>
    <w:rsid w:val="00A812EE"/>
    <w:rsid w:val="00A81321"/>
    <w:rsid w:val="00A814F2"/>
    <w:rsid w:val="00A815E4"/>
    <w:rsid w:val="00A81E0B"/>
    <w:rsid w:val="00A82202"/>
    <w:rsid w:val="00A822FE"/>
    <w:rsid w:val="00A8234F"/>
    <w:rsid w:val="00A828EE"/>
    <w:rsid w:val="00A83264"/>
    <w:rsid w:val="00A8340A"/>
    <w:rsid w:val="00A83652"/>
    <w:rsid w:val="00A83662"/>
    <w:rsid w:val="00A83776"/>
    <w:rsid w:val="00A83AD5"/>
    <w:rsid w:val="00A847A5"/>
    <w:rsid w:val="00A84800"/>
    <w:rsid w:val="00A84A5B"/>
    <w:rsid w:val="00A84B6E"/>
    <w:rsid w:val="00A84B9E"/>
    <w:rsid w:val="00A84E4B"/>
    <w:rsid w:val="00A857F0"/>
    <w:rsid w:val="00A8584D"/>
    <w:rsid w:val="00A85E79"/>
    <w:rsid w:val="00A85F51"/>
    <w:rsid w:val="00A861A7"/>
    <w:rsid w:val="00A86524"/>
    <w:rsid w:val="00A86ADF"/>
    <w:rsid w:val="00A86BCA"/>
    <w:rsid w:val="00A86C5B"/>
    <w:rsid w:val="00A86C7D"/>
    <w:rsid w:val="00A86CA0"/>
    <w:rsid w:val="00A86D6F"/>
    <w:rsid w:val="00A87055"/>
    <w:rsid w:val="00A87171"/>
    <w:rsid w:val="00A8737B"/>
    <w:rsid w:val="00A87D14"/>
    <w:rsid w:val="00A87E7B"/>
    <w:rsid w:val="00A87F26"/>
    <w:rsid w:val="00A87FAB"/>
    <w:rsid w:val="00A900A7"/>
    <w:rsid w:val="00A906AE"/>
    <w:rsid w:val="00A906B9"/>
    <w:rsid w:val="00A916EA"/>
    <w:rsid w:val="00A91EAE"/>
    <w:rsid w:val="00A91F4E"/>
    <w:rsid w:val="00A92D88"/>
    <w:rsid w:val="00A92FDC"/>
    <w:rsid w:val="00A9384A"/>
    <w:rsid w:val="00A93999"/>
    <w:rsid w:val="00A93B61"/>
    <w:rsid w:val="00A9434B"/>
    <w:rsid w:val="00A94E05"/>
    <w:rsid w:val="00A954E7"/>
    <w:rsid w:val="00A957B0"/>
    <w:rsid w:val="00A957F8"/>
    <w:rsid w:val="00A95B42"/>
    <w:rsid w:val="00A95B64"/>
    <w:rsid w:val="00A95F71"/>
    <w:rsid w:val="00A96162"/>
    <w:rsid w:val="00A9630C"/>
    <w:rsid w:val="00A9669A"/>
    <w:rsid w:val="00A96999"/>
    <w:rsid w:val="00A970CB"/>
    <w:rsid w:val="00A97238"/>
    <w:rsid w:val="00A97C73"/>
    <w:rsid w:val="00A97F54"/>
    <w:rsid w:val="00A97F5F"/>
    <w:rsid w:val="00AA0112"/>
    <w:rsid w:val="00AA0403"/>
    <w:rsid w:val="00AA0835"/>
    <w:rsid w:val="00AA08BA"/>
    <w:rsid w:val="00AA0A13"/>
    <w:rsid w:val="00AA11C9"/>
    <w:rsid w:val="00AA1484"/>
    <w:rsid w:val="00AA1762"/>
    <w:rsid w:val="00AA1B10"/>
    <w:rsid w:val="00AA1C99"/>
    <w:rsid w:val="00AA1CF7"/>
    <w:rsid w:val="00AA1DBD"/>
    <w:rsid w:val="00AA1E45"/>
    <w:rsid w:val="00AA229E"/>
    <w:rsid w:val="00AA2BA7"/>
    <w:rsid w:val="00AA2BBE"/>
    <w:rsid w:val="00AA2D01"/>
    <w:rsid w:val="00AA2F92"/>
    <w:rsid w:val="00AA3127"/>
    <w:rsid w:val="00AA317A"/>
    <w:rsid w:val="00AA3183"/>
    <w:rsid w:val="00AA39C6"/>
    <w:rsid w:val="00AA3D0F"/>
    <w:rsid w:val="00AA3D5E"/>
    <w:rsid w:val="00AA42EA"/>
    <w:rsid w:val="00AA4B22"/>
    <w:rsid w:val="00AA5A4F"/>
    <w:rsid w:val="00AA5E5F"/>
    <w:rsid w:val="00AA6627"/>
    <w:rsid w:val="00AA6B8D"/>
    <w:rsid w:val="00AA6C74"/>
    <w:rsid w:val="00AA711D"/>
    <w:rsid w:val="00AA7739"/>
    <w:rsid w:val="00AA77D2"/>
    <w:rsid w:val="00AA78EC"/>
    <w:rsid w:val="00AA7A1B"/>
    <w:rsid w:val="00AA7CE4"/>
    <w:rsid w:val="00AA7DBF"/>
    <w:rsid w:val="00AB01CA"/>
    <w:rsid w:val="00AB0C03"/>
    <w:rsid w:val="00AB0D64"/>
    <w:rsid w:val="00AB0E66"/>
    <w:rsid w:val="00AB0F48"/>
    <w:rsid w:val="00AB0FA9"/>
    <w:rsid w:val="00AB145B"/>
    <w:rsid w:val="00AB1AC5"/>
    <w:rsid w:val="00AB23A0"/>
    <w:rsid w:val="00AB23CD"/>
    <w:rsid w:val="00AB2AF4"/>
    <w:rsid w:val="00AB2D07"/>
    <w:rsid w:val="00AB2D7B"/>
    <w:rsid w:val="00AB31B4"/>
    <w:rsid w:val="00AB374D"/>
    <w:rsid w:val="00AB5032"/>
    <w:rsid w:val="00AB531E"/>
    <w:rsid w:val="00AB5A14"/>
    <w:rsid w:val="00AB5B4E"/>
    <w:rsid w:val="00AB5CA2"/>
    <w:rsid w:val="00AB5CEA"/>
    <w:rsid w:val="00AB68D2"/>
    <w:rsid w:val="00AB778B"/>
    <w:rsid w:val="00AC05CA"/>
    <w:rsid w:val="00AC0A97"/>
    <w:rsid w:val="00AC0EF4"/>
    <w:rsid w:val="00AC10CC"/>
    <w:rsid w:val="00AC13E0"/>
    <w:rsid w:val="00AC14BA"/>
    <w:rsid w:val="00AC2519"/>
    <w:rsid w:val="00AC2A89"/>
    <w:rsid w:val="00AC2C0F"/>
    <w:rsid w:val="00AC2CF0"/>
    <w:rsid w:val="00AC2DDF"/>
    <w:rsid w:val="00AC3126"/>
    <w:rsid w:val="00AC3226"/>
    <w:rsid w:val="00AC34A3"/>
    <w:rsid w:val="00AC34DB"/>
    <w:rsid w:val="00AC3530"/>
    <w:rsid w:val="00AC36AE"/>
    <w:rsid w:val="00AC4266"/>
    <w:rsid w:val="00AC45C8"/>
    <w:rsid w:val="00AC45ED"/>
    <w:rsid w:val="00AC48B1"/>
    <w:rsid w:val="00AC49B6"/>
    <w:rsid w:val="00AC4BD5"/>
    <w:rsid w:val="00AC4D11"/>
    <w:rsid w:val="00AC4DD7"/>
    <w:rsid w:val="00AC59B8"/>
    <w:rsid w:val="00AC5F55"/>
    <w:rsid w:val="00AC6120"/>
    <w:rsid w:val="00AC6678"/>
    <w:rsid w:val="00AC679A"/>
    <w:rsid w:val="00AC6846"/>
    <w:rsid w:val="00AC68EE"/>
    <w:rsid w:val="00AC6981"/>
    <w:rsid w:val="00AC6ECA"/>
    <w:rsid w:val="00AC70D5"/>
    <w:rsid w:val="00AC74B8"/>
    <w:rsid w:val="00AD0236"/>
    <w:rsid w:val="00AD033A"/>
    <w:rsid w:val="00AD0B3F"/>
    <w:rsid w:val="00AD1332"/>
    <w:rsid w:val="00AD1456"/>
    <w:rsid w:val="00AD1523"/>
    <w:rsid w:val="00AD18F5"/>
    <w:rsid w:val="00AD19E2"/>
    <w:rsid w:val="00AD1D60"/>
    <w:rsid w:val="00AD2168"/>
    <w:rsid w:val="00AD21D0"/>
    <w:rsid w:val="00AD30AE"/>
    <w:rsid w:val="00AD30D7"/>
    <w:rsid w:val="00AD31A6"/>
    <w:rsid w:val="00AD3345"/>
    <w:rsid w:val="00AD3500"/>
    <w:rsid w:val="00AD366E"/>
    <w:rsid w:val="00AD3EB0"/>
    <w:rsid w:val="00AD4281"/>
    <w:rsid w:val="00AD43F7"/>
    <w:rsid w:val="00AD4F92"/>
    <w:rsid w:val="00AD5028"/>
    <w:rsid w:val="00AD512D"/>
    <w:rsid w:val="00AD519D"/>
    <w:rsid w:val="00AD5444"/>
    <w:rsid w:val="00AD5445"/>
    <w:rsid w:val="00AD55A3"/>
    <w:rsid w:val="00AD5946"/>
    <w:rsid w:val="00AD5D78"/>
    <w:rsid w:val="00AD5F07"/>
    <w:rsid w:val="00AD6FF2"/>
    <w:rsid w:val="00AD75DC"/>
    <w:rsid w:val="00AD77BC"/>
    <w:rsid w:val="00AD77D5"/>
    <w:rsid w:val="00AD784C"/>
    <w:rsid w:val="00AD7F48"/>
    <w:rsid w:val="00AE0078"/>
    <w:rsid w:val="00AE077C"/>
    <w:rsid w:val="00AE07B7"/>
    <w:rsid w:val="00AE0CEF"/>
    <w:rsid w:val="00AE132E"/>
    <w:rsid w:val="00AE1422"/>
    <w:rsid w:val="00AE148E"/>
    <w:rsid w:val="00AE1B27"/>
    <w:rsid w:val="00AE1BC5"/>
    <w:rsid w:val="00AE2164"/>
    <w:rsid w:val="00AE2599"/>
    <w:rsid w:val="00AE2FF8"/>
    <w:rsid w:val="00AE304D"/>
    <w:rsid w:val="00AE3351"/>
    <w:rsid w:val="00AE34F9"/>
    <w:rsid w:val="00AE3EC5"/>
    <w:rsid w:val="00AE4382"/>
    <w:rsid w:val="00AE4579"/>
    <w:rsid w:val="00AE4744"/>
    <w:rsid w:val="00AE4A5C"/>
    <w:rsid w:val="00AE4C90"/>
    <w:rsid w:val="00AE50D8"/>
    <w:rsid w:val="00AE5170"/>
    <w:rsid w:val="00AE525A"/>
    <w:rsid w:val="00AE5BFB"/>
    <w:rsid w:val="00AE6345"/>
    <w:rsid w:val="00AE66DC"/>
    <w:rsid w:val="00AE6858"/>
    <w:rsid w:val="00AE68A4"/>
    <w:rsid w:val="00AE6BDE"/>
    <w:rsid w:val="00AE6D8E"/>
    <w:rsid w:val="00AE6EF5"/>
    <w:rsid w:val="00AE723A"/>
    <w:rsid w:val="00AE72E0"/>
    <w:rsid w:val="00AE7656"/>
    <w:rsid w:val="00AE77AA"/>
    <w:rsid w:val="00AE79CA"/>
    <w:rsid w:val="00AE7B32"/>
    <w:rsid w:val="00AE7E32"/>
    <w:rsid w:val="00AF0403"/>
    <w:rsid w:val="00AF0746"/>
    <w:rsid w:val="00AF0786"/>
    <w:rsid w:val="00AF0885"/>
    <w:rsid w:val="00AF0D06"/>
    <w:rsid w:val="00AF1200"/>
    <w:rsid w:val="00AF140D"/>
    <w:rsid w:val="00AF16B6"/>
    <w:rsid w:val="00AF17A7"/>
    <w:rsid w:val="00AF1929"/>
    <w:rsid w:val="00AF1D3F"/>
    <w:rsid w:val="00AF1EE9"/>
    <w:rsid w:val="00AF2D5B"/>
    <w:rsid w:val="00AF2F82"/>
    <w:rsid w:val="00AF3C1A"/>
    <w:rsid w:val="00AF45AE"/>
    <w:rsid w:val="00AF4939"/>
    <w:rsid w:val="00AF498E"/>
    <w:rsid w:val="00AF4C13"/>
    <w:rsid w:val="00AF4F63"/>
    <w:rsid w:val="00AF5A6F"/>
    <w:rsid w:val="00AF5E4C"/>
    <w:rsid w:val="00AF5E94"/>
    <w:rsid w:val="00AF6064"/>
    <w:rsid w:val="00AF633D"/>
    <w:rsid w:val="00AF6997"/>
    <w:rsid w:val="00AF6AB3"/>
    <w:rsid w:val="00AF6E50"/>
    <w:rsid w:val="00AF6ED7"/>
    <w:rsid w:val="00AF70C9"/>
    <w:rsid w:val="00AF771A"/>
    <w:rsid w:val="00AF79E7"/>
    <w:rsid w:val="00AF7F8D"/>
    <w:rsid w:val="00B00631"/>
    <w:rsid w:val="00B0097B"/>
    <w:rsid w:val="00B0099F"/>
    <w:rsid w:val="00B009B3"/>
    <w:rsid w:val="00B00FA5"/>
    <w:rsid w:val="00B0106B"/>
    <w:rsid w:val="00B017C1"/>
    <w:rsid w:val="00B01DDB"/>
    <w:rsid w:val="00B01F4E"/>
    <w:rsid w:val="00B0215B"/>
    <w:rsid w:val="00B022C4"/>
    <w:rsid w:val="00B025CA"/>
    <w:rsid w:val="00B02CD8"/>
    <w:rsid w:val="00B02D0D"/>
    <w:rsid w:val="00B02DDD"/>
    <w:rsid w:val="00B02E14"/>
    <w:rsid w:val="00B0317A"/>
    <w:rsid w:val="00B03325"/>
    <w:rsid w:val="00B034B7"/>
    <w:rsid w:val="00B0367E"/>
    <w:rsid w:val="00B03B7E"/>
    <w:rsid w:val="00B04010"/>
    <w:rsid w:val="00B0416E"/>
    <w:rsid w:val="00B044E5"/>
    <w:rsid w:val="00B04533"/>
    <w:rsid w:val="00B04733"/>
    <w:rsid w:val="00B04789"/>
    <w:rsid w:val="00B04A5F"/>
    <w:rsid w:val="00B050D5"/>
    <w:rsid w:val="00B05C0A"/>
    <w:rsid w:val="00B05D27"/>
    <w:rsid w:val="00B0616A"/>
    <w:rsid w:val="00B065E7"/>
    <w:rsid w:val="00B06D03"/>
    <w:rsid w:val="00B0719B"/>
    <w:rsid w:val="00B0723A"/>
    <w:rsid w:val="00B0788C"/>
    <w:rsid w:val="00B103B9"/>
    <w:rsid w:val="00B105D0"/>
    <w:rsid w:val="00B10628"/>
    <w:rsid w:val="00B10A69"/>
    <w:rsid w:val="00B10B28"/>
    <w:rsid w:val="00B10B64"/>
    <w:rsid w:val="00B10C0C"/>
    <w:rsid w:val="00B10CFC"/>
    <w:rsid w:val="00B10EB3"/>
    <w:rsid w:val="00B11652"/>
    <w:rsid w:val="00B1183E"/>
    <w:rsid w:val="00B121D0"/>
    <w:rsid w:val="00B122C6"/>
    <w:rsid w:val="00B1260F"/>
    <w:rsid w:val="00B12952"/>
    <w:rsid w:val="00B12DA2"/>
    <w:rsid w:val="00B12F48"/>
    <w:rsid w:val="00B1355B"/>
    <w:rsid w:val="00B136CB"/>
    <w:rsid w:val="00B138C9"/>
    <w:rsid w:val="00B13AE6"/>
    <w:rsid w:val="00B148BA"/>
    <w:rsid w:val="00B14F48"/>
    <w:rsid w:val="00B15025"/>
    <w:rsid w:val="00B15944"/>
    <w:rsid w:val="00B15F3E"/>
    <w:rsid w:val="00B160C8"/>
    <w:rsid w:val="00B17338"/>
    <w:rsid w:val="00B17B35"/>
    <w:rsid w:val="00B17CFC"/>
    <w:rsid w:val="00B17D18"/>
    <w:rsid w:val="00B205E2"/>
    <w:rsid w:val="00B20A47"/>
    <w:rsid w:val="00B20ABD"/>
    <w:rsid w:val="00B214FE"/>
    <w:rsid w:val="00B22025"/>
    <w:rsid w:val="00B2206A"/>
    <w:rsid w:val="00B221C2"/>
    <w:rsid w:val="00B222F4"/>
    <w:rsid w:val="00B224EE"/>
    <w:rsid w:val="00B22B3D"/>
    <w:rsid w:val="00B22E52"/>
    <w:rsid w:val="00B22EB2"/>
    <w:rsid w:val="00B231BF"/>
    <w:rsid w:val="00B232BD"/>
    <w:rsid w:val="00B2331D"/>
    <w:rsid w:val="00B23793"/>
    <w:rsid w:val="00B23EA4"/>
    <w:rsid w:val="00B23FCC"/>
    <w:rsid w:val="00B2412C"/>
    <w:rsid w:val="00B24A58"/>
    <w:rsid w:val="00B24BEF"/>
    <w:rsid w:val="00B24DAD"/>
    <w:rsid w:val="00B257F6"/>
    <w:rsid w:val="00B259E2"/>
    <w:rsid w:val="00B25D06"/>
    <w:rsid w:val="00B25D38"/>
    <w:rsid w:val="00B25FAC"/>
    <w:rsid w:val="00B2616C"/>
    <w:rsid w:val="00B26252"/>
    <w:rsid w:val="00B26761"/>
    <w:rsid w:val="00B268BC"/>
    <w:rsid w:val="00B2699D"/>
    <w:rsid w:val="00B26E4C"/>
    <w:rsid w:val="00B270A6"/>
    <w:rsid w:val="00B277F3"/>
    <w:rsid w:val="00B279AD"/>
    <w:rsid w:val="00B27A78"/>
    <w:rsid w:val="00B27C65"/>
    <w:rsid w:val="00B27CF0"/>
    <w:rsid w:val="00B3023A"/>
    <w:rsid w:val="00B3035E"/>
    <w:rsid w:val="00B30597"/>
    <w:rsid w:val="00B305BA"/>
    <w:rsid w:val="00B30982"/>
    <w:rsid w:val="00B30A43"/>
    <w:rsid w:val="00B30B06"/>
    <w:rsid w:val="00B30FFB"/>
    <w:rsid w:val="00B31A42"/>
    <w:rsid w:val="00B321F8"/>
    <w:rsid w:val="00B3281A"/>
    <w:rsid w:val="00B32B7E"/>
    <w:rsid w:val="00B32CD1"/>
    <w:rsid w:val="00B335CC"/>
    <w:rsid w:val="00B3398B"/>
    <w:rsid w:val="00B33F9B"/>
    <w:rsid w:val="00B3420B"/>
    <w:rsid w:val="00B34371"/>
    <w:rsid w:val="00B3526F"/>
    <w:rsid w:val="00B353FD"/>
    <w:rsid w:val="00B3542B"/>
    <w:rsid w:val="00B354C8"/>
    <w:rsid w:val="00B35AA4"/>
    <w:rsid w:val="00B35BB5"/>
    <w:rsid w:val="00B35BEC"/>
    <w:rsid w:val="00B36A20"/>
    <w:rsid w:val="00B36F24"/>
    <w:rsid w:val="00B37BE4"/>
    <w:rsid w:val="00B37D18"/>
    <w:rsid w:val="00B37DE2"/>
    <w:rsid w:val="00B4021C"/>
    <w:rsid w:val="00B4056E"/>
    <w:rsid w:val="00B405E5"/>
    <w:rsid w:val="00B407FC"/>
    <w:rsid w:val="00B40933"/>
    <w:rsid w:val="00B40B49"/>
    <w:rsid w:val="00B40F26"/>
    <w:rsid w:val="00B415D3"/>
    <w:rsid w:val="00B417E2"/>
    <w:rsid w:val="00B41F33"/>
    <w:rsid w:val="00B4222A"/>
    <w:rsid w:val="00B42588"/>
    <w:rsid w:val="00B42B39"/>
    <w:rsid w:val="00B42CB4"/>
    <w:rsid w:val="00B42E3F"/>
    <w:rsid w:val="00B42E9F"/>
    <w:rsid w:val="00B42FC7"/>
    <w:rsid w:val="00B434D2"/>
    <w:rsid w:val="00B4399F"/>
    <w:rsid w:val="00B43CD2"/>
    <w:rsid w:val="00B43F58"/>
    <w:rsid w:val="00B44E64"/>
    <w:rsid w:val="00B44EDD"/>
    <w:rsid w:val="00B46621"/>
    <w:rsid w:val="00B46706"/>
    <w:rsid w:val="00B46846"/>
    <w:rsid w:val="00B4695F"/>
    <w:rsid w:val="00B46B9A"/>
    <w:rsid w:val="00B471CA"/>
    <w:rsid w:val="00B47307"/>
    <w:rsid w:val="00B4773B"/>
    <w:rsid w:val="00B47A24"/>
    <w:rsid w:val="00B47CCD"/>
    <w:rsid w:val="00B47D40"/>
    <w:rsid w:val="00B47E93"/>
    <w:rsid w:val="00B47EAA"/>
    <w:rsid w:val="00B47F0B"/>
    <w:rsid w:val="00B5018B"/>
    <w:rsid w:val="00B51204"/>
    <w:rsid w:val="00B513BF"/>
    <w:rsid w:val="00B5148B"/>
    <w:rsid w:val="00B51699"/>
    <w:rsid w:val="00B51F03"/>
    <w:rsid w:val="00B51F76"/>
    <w:rsid w:val="00B52018"/>
    <w:rsid w:val="00B52485"/>
    <w:rsid w:val="00B525D4"/>
    <w:rsid w:val="00B52C34"/>
    <w:rsid w:val="00B52C35"/>
    <w:rsid w:val="00B52F0A"/>
    <w:rsid w:val="00B532FE"/>
    <w:rsid w:val="00B5343E"/>
    <w:rsid w:val="00B536A8"/>
    <w:rsid w:val="00B53D10"/>
    <w:rsid w:val="00B5401B"/>
    <w:rsid w:val="00B5410C"/>
    <w:rsid w:val="00B5419C"/>
    <w:rsid w:val="00B54A15"/>
    <w:rsid w:val="00B54EAF"/>
    <w:rsid w:val="00B55716"/>
    <w:rsid w:val="00B5575D"/>
    <w:rsid w:val="00B55880"/>
    <w:rsid w:val="00B559F6"/>
    <w:rsid w:val="00B56A2F"/>
    <w:rsid w:val="00B570F3"/>
    <w:rsid w:val="00B5762E"/>
    <w:rsid w:val="00B57A30"/>
    <w:rsid w:val="00B57AA8"/>
    <w:rsid w:val="00B57AC1"/>
    <w:rsid w:val="00B57EAF"/>
    <w:rsid w:val="00B600C6"/>
    <w:rsid w:val="00B60119"/>
    <w:rsid w:val="00B60358"/>
    <w:rsid w:val="00B60E2B"/>
    <w:rsid w:val="00B61219"/>
    <w:rsid w:val="00B61435"/>
    <w:rsid w:val="00B61934"/>
    <w:rsid w:val="00B621F8"/>
    <w:rsid w:val="00B625EF"/>
    <w:rsid w:val="00B63401"/>
    <w:rsid w:val="00B6348E"/>
    <w:rsid w:val="00B635C0"/>
    <w:rsid w:val="00B63620"/>
    <w:rsid w:val="00B63622"/>
    <w:rsid w:val="00B6394F"/>
    <w:rsid w:val="00B63E1D"/>
    <w:rsid w:val="00B6431F"/>
    <w:rsid w:val="00B64589"/>
    <w:rsid w:val="00B6465E"/>
    <w:rsid w:val="00B64AC9"/>
    <w:rsid w:val="00B651DD"/>
    <w:rsid w:val="00B65208"/>
    <w:rsid w:val="00B652EA"/>
    <w:rsid w:val="00B65524"/>
    <w:rsid w:val="00B65AA9"/>
    <w:rsid w:val="00B66194"/>
    <w:rsid w:val="00B661BA"/>
    <w:rsid w:val="00B66864"/>
    <w:rsid w:val="00B66B7B"/>
    <w:rsid w:val="00B66E59"/>
    <w:rsid w:val="00B67E9D"/>
    <w:rsid w:val="00B7000F"/>
    <w:rsid w:val="00B70873"/>
    <w:rsid w:val="00B70AB4"/>
    <w:rsid w:val="00B70F0F"/>
    <w:rsid w:val="00B70F55"/>
    <w:rsid w:val="00B711B7"/>
    <w:rsid w:val="00B71302"/>
    <w:rsid w:val="00B71588"/>
    <w:rsid w:val="00B7185B"/>
    <w:rsid w:val="00B71F65"/>
    <w:rsid w:val="00B72342"/>
    <w:rsid w:val="00B7242A"/>
    <w:rsid w:val="00B72EA6"/>
    <w:rsid w:val="00B732A5"/>
    <w:rsid w:val="00B73969"/>
    <w:rsid w:val="00B73F95"/>
    <w:rsid w:val="00B74055"/>
    <w:rsid w:val="00B74271"/>
    <w:rsid w:val="00B747E8"/>
    <w:rsid w:val="00B74848"/>
    <w:rsid w:val="00B7488A"/>
    <w:rsid w:val="00B74AC4"/>
    <w:rsid w:val="00B74FB1"/>
    <w:rsid w:val="00B74FE7"/>
    <w:rsid w:val="00B75180"/>
    <w:rsid w:val="00B753CD"/>
    <w:rsid w:val="00B754DE"/>
    <w:rsid w:val="00B75523"/>
    <w:rsid w:val="00B755D7"/>
    <w:rsid w:val="00B7583C"/>
    <w:rsid w:val="00B7626C"/>
    <w:rsid w:val="00B76298"/>
    <w:rsid w:val="00B766CD"/>
    <w:rsid w:val="00B76D4B"/>
    <w:rsid w:val="00B773D9"/>
    <w:rsid w:val="00B7744F"/>
    <w:rsid w:val="00B80895"/>
    <w:rsid w:val="00B80F32"/>
    <w:rsid w:val="00B80F93"/>
    <w:rsid w:val="00B8117C"/>
    <w:rsid w:val="00B814C9"/>
    <w:rsid w:val="00B816BB"/>
    <w:rsid w:val="00B81969"/>
    <w:rsid w:val="00B81F47"/>
    <w:rsid w:val="00B821A7"/>
    <w:rsid w:val="00B821D9"/>
    <w:rsid w:val="00B822AB"/>
    <w:rsid w:val="00B8237D"/>
    <w:rsid w:val="00B8243F"/>
    <w:rsid w:val="00B82B49"/>
    <w:rsid w:val="00B82B79"/>
    <w:rsid w:val="00B8305C"/>
    <w:rsid w:val="00B83102"/>
    <w:rsid w:val="00B83DEC"/>
    <w:rsid w:val="00B84323"/>
    <w:rsid w:val="00B843CD"/>
    <w:rsid w:val="00B8455C"/>
    <w:rsid w:val="00B84679"/>
    <w:rsid w:val="00B84A73"/>
    <w:rsid w:val="00B84B90"/>
    <w:rsid w:val="00B84E10"/>
    <w:rsid w:val="00B850C0"/>
    <w:rsid w:val="00B85BD5"/>
    <w:rsid w:val="00B85C55"/>
    <w:rsid w:val="00B85E90"/>
    <w:rsid w:val="00B85F31"/>
    <w:rsid w:val="00B86054"/>
    <w:rsid w:val="00B8632B"/>
    <w:rsid w:val="00B86BBB"/>
    <w:rsid w:val="00B86D0A"/>
    <w:rsid w:val="00B86D3F"/>
    <w:rsid w:val="00B87056"/>
    <w:rsid w:val="00B870CA"/>
    <w:rsid w:val="00B87311"/>
    <w:rsid w:val="00B8793B"/>
    <w:rsid w:val="00B87BDF"/>
    <w:rsid w:val="00B90BDD"/>
    <w:rsid w:val="00B90EA9"/>
    <w:rsid w:val="00B910A7"/>
    <w:rsid w:val="00B910D3"/>
    <w:rsid w:val="00B9135A"/>
    <w:rsid w:val="00B916B1"/>
    <w:rsid w:val="00B919DD"/>
    <w:rsid w:val="00B91A62"/>
    <w:rsid w:val="00B91AB1"/>
    <w:rsid w:val="00B91E38"/>
    <w:rsid w:val="00B92029"/>
    <w:rsid w:val="00B92234"/>
    <w:rsid w:val="00B92787"/>
    <w:rsid w:val="00B937D7"/>
    <w:rsid w:val="00B93CF8"/>
    <w:rsid w:val="00B93EC1"/>
    <w:rsid w:val="00B94185"/>
    <w:rsid w:val="00B94B1C"/>
    <w:rsid w:val="00B952DF"/>
    <w:rsid w:val="00B9555E"/>
    <w:rsid w:val="00B95A0A"/>
    <w:rsid w:val="00B95A48"/>
    <w:rsid w:val="00B9614C"/>
    <w:rsid w:val="00B97287"/>
    <w:rsid w:val="00B975C1"/>
    <w:rsid w:val="00B97A20"/>
    <w:rsid w:val="00B97C72"/>
    <w:rsid w:val="00BA02DC"/>
    <w:rsid w:val="00BA08BF"/>
    <w:rsid w:val="00BA0C4E"/>
    <w:rsid w:val="00BA13FE"/>
    <w:rsid w:val="00BA170F"/>
    <w:rsid w:val="00BA17F0"/>
    <w:rsid w:val="00BA1E6C"/>
    <w:rsid w:val="00BA250A"/>
    <w:rsid w:val="00BA2764"/>
    <w:rsid w:val="00BA298A"/>
    <w:rsid w:val="00BA2E64"/>
    <w:rsid w:val="00BA3BA0"/>
    <w:rsid w:val="00BA3E76"/>
    <w:rsid w:val="00BA4157"/>
    <w:rsid w:val="00BA4196"/>
    <w:rsid w:val="00BA43A4"/>
    <w:rsid w:val="00BA4530"/>
    <w:rsid w:val="00BA4AD3"/>
    <w:rsid w:val="00BA4D70"/>
    <w:rsid w:val="00BA50C0"/>
    <w:rsid w:val="00BA50C2"/>
    <w:rsid w:val="00BA52BB"/>
    <w:rsid w:val="00BA5519"/>
    <w:rsid w:val="00BA56A2"/>
    <w:rsid w:val="00BA5E06"/>
    <w:rsid w:val="00BA5F28"/>
    <w:rsid w:val="00BA62B0"/>
    <w:rsid w:val="00BA6502"/>
    <w:rsid w:val="00BA6831"/>
    <w:rsid w:val="00BA696A"/>
    <w:rsid w:val="00BA6C52"/>
    <w:rsid w:val="00BA6CE3"/>
    <w:rsid w:val="00BA6D48"/>
    <w:rsid w:val="00BA71F7"/>
    <w:rsid w:val="00BA7413"/>
    <w:rsid w:val="00BA74FF"/>
    <w:rsid w:val="00BA75AD"/>
    <w:rsid w:val="00BA7790"/>
    <w:rsid w:val="00BA7897"/>
    <w:rsid w:val="00BA795A"/>
    <w:rsid w:val="00BA79EE"/>
    <w:rsid w:val="00BA7CA2"/>
    <w:rsid w:val="00BA7E7A"/>
    <w:rsid w:val="00BB02F4"/>
    <w:rsid w:val="00BB089D"/>
    <w:rsid w:val="00BB0B7E"/>
    <w:rsid w:val="00BB0DAD"/>
    <w:rsid w:val="00BB1142"/>
    <w:rsid w:val="00BB12C9"/>
    <w:rsid w:val="00BB13AA"/>
    <w:rsid w:val="00BB17A9"/>
    <w:rsid w:val="00BB18DE"/>
    <w:rsid w:val="00BB1C68"/>
    <w:rsid w:val="00BB1F23"/>
    <w:rsid w:val="00BB21AA"/>
    <w:rsid w:val="00BB2529"/>
    <w:rsid w:val="00BB2CC4"/>
    <w:rsid w:val="00BB2FC3"/>
    <w:rsid w:val="00BB33EE"/>
    <w:rsid w:val="00BB343B"/>
    <w:rsid w:val="00BB3AA0"/>
    <w:rsid w:val="00BB3E9E"/>
    <w:rsid w:val="00BB3EAF"/>
    <w:rsid w:val="00BB4DAA"/>
    <w:rsid w:val="00BB4F1B"/>
    <w:rsid w:val="00BB4F4A"/>
    <w:rsid w:val="00BB5145"/>
    <w:rsid w:val="00BB56C3"/>
    <w:rsid w:val="00BB580D"/>
    <w:rsid w:val="00BB583C"/>
    <w:rsid w:val="00BB5DBE"/>
    <w:rsid w:val="00BB6597"/>
    <w:rsid w:val="00BB65EE"/>
    <w:rsid w:val="00BB67C8"/>
    <w:rsid w:val="00BB72AC"/>
    <w:rsid w:val="00BC0657"/>
    <w:rsid w:val="00BC0842"/>
    <w:rsid w:val="00BC0E54"/>
    <w:rsid w:val="00BC1101"/>
    <w:rsid w:val="00BC1172"/>
    <w:rsid w:val="00BC121B"/>
    <w:rsid w:val="00BC157F"/>
    <w:rsid w:val="00BC1A1C"/>
    <w:rsid w:val="00BC1F80"/>
    <w:rsid w:val="00BC2755"/>
    <w:rsid w:val="00BC2946"/>
    <w:rsid w:val="00BC2E05"/>
    <w:rsid w:val="00BC2E7D"/>
    <w:rsid w:val="00BC2E9C"/>
    <w:rsid w:val="00BC311E"/>
    <w:rsid w:val="00BC35E2"/>
    <w:rsid w:val="00BC364D"/>
    <w:rsid w:val="00BC36C8"/>
    <w:rsid w:val="00BC39FB"/>
    <w:rsid w:val="00BC3B9A"/>
    <w:rsid w:val="00BC4490"/>
    <w:rsid w:val="00BC44AA"/>
    <w:rsid w:val="00BC4827"/>
    <w:rsid w:val="00BC4C2D"/>
    <w:rsid w:val="00BC54FC"/>
    <w:rsid w:val="00BC5E26"/>
    <w:rsid w:val="00BC5FCC"/>
    <w:rsid w:val="00BC632E"/>
    <w:rsid w:val="00BC6696"/>
    <w:rsid w:val="00BC6A78"/>
    <w:rsid w:val="00BC6ACA"/>
    <w:rsid w:val="00BC6BDE"/>
    <w:rsid w:val="00BC6C45"/>
    <w:rsid w:val="00BC6CF9"/>
    <w:rsid w:val="00BC6E29"/>
    <w:rsid w:val="00BC6FD0"/>
    <w:rsid w:val="00BC6FE9"/>
    <w:rsid w:val="00BC707E"/>
    <w:rsid w:val="00BC719D"/>
    <w:rsid w:val="00BC7242"/>
    <w:rsid w:val="00BC7247"/>
    <w:rsid w:val="00BC72D1"/>
    <w:rsid w:val="00BC74E2"/>
    <w:rsid w:val="00BC7534"/>
    <w:rsid w:val="00BC7C89"/>
    <w:rsid w:val="00BC7CB7"/>
    <w:rsid w:val="00BC7E8E"/>
    <w:rsid w:val="00BD023E"/>
    <w:rsid w:val="00BD0357"/>
    <w:rsid w:val="00BD0395"/>
    <w:rsid w:val="00BD0BA2"/>
    <w:rsid w:val="00BD0F25"/>
    <w:rsid w:val="00BD138E"/>
    <w:rsid w:val="00BD138F"/>
    <w:rsid w:val="00BD2070"/>
    <w:rsid w:val="00BD248A"/>
    <w:rsid w:val="00BD24FE"/>
    <w:rsid w:val="00BD2D70"/>
    <w:rsid w:val="00BD3036"/>
    <w:rsid w:val="00BD3238"/>
    <w:rsid w:val="00BD3239"/>
    <w:rsid w:val="00BD3B47"/>
    <w:rsid w:val="00BD3B91"/>
    <w:rsid w:val="00BD4263"/>
    <w:rsid w:val="00BD4D81"/>
    <w:rsid w:val="00BD5002"/>
    <w:rsid w:val="00BD5195"/>
    <w:rsid w:val="00BD56BF"/>
    <w:rsid w:val="00BD5755"/>
    <w:rsid w:val="00BD5954"/>
    <w:rsid w:val="00BD5AFC"/>
    <w:rsid w:val="00BD5E5D"/>
    <w:rsid w:val="00BD5E71"/>
    <w:rsid w:val="00BD5FEC"/>
    <w:rsid w:val="00BD6003"/>
    <w:rsid w:val="00BD6428"/>
    <w:rsid w:val="00BD6434"/>
    <w:rsid w:val="00BD65AB"/>
    <w:rsid w:val="00BD65EC"/>
    <w:rsid w:val="00BD6A10"/>
    <w:rsid w:val="00BD6C71"/>
    <w:rsid w:val="00BD6F48"/>
    <w:rsid w:val="00BD716B"/>
    <w:rsid w:val="00BD7264"/>
    <w:rsid w:val="00BD73C4"/>
    <w:rsid w:val="00BD77EA"/>
    <w:rsid w:val="00BD7E26"/>
    <w:rsid w:val="00BE002F"/>
    <w:rsid w:val="00BE05B2"/>
    <w:rsid w:val="00BE06D6"/>
    <w:rsid w:val="00BE088E"/>
    <w:rsid w:val="00BE10F5"/>
    <w:rsid w:val="00BE1664"/>
    <w:rsid w:val="00BE171B"/>
    <w:rsid w:val="00BE1769"/>
    <w:rsid w:val="00BE186F"/>
    <w:rsid w:val="00BE18D1"/>
    <w:rsid w:val="00BE1A64"/>
    <w:rsid w:val="00BE1B2C"/>
    <w:rsid w:val="00BE1BDF"/>
    <w:rsid w:val="00BE1C8A"/>
    <w:rsid w:val="00BE215A"/>
    <w:rsid w:val="00BE2B1A"/>
    <w:rsid w:val="00BE2B29"/>
    <w:rsid w:val="00BE2C20"/>
    <w:rsid w:val="00BE2CCE"/>
    <w:rsid w:val="00BE2E32"/>
    <w:rsid w:val="00BE3526"/>
    <w:rsid w:val="00BE3C7E"/>
    <w:rsid w:val="00BE3DFB"/>
    <w:rsid w:val="00BE421F"/>
    <w:rsid w:val="00BE4305"/>
    <w:rsid w:val="00BE431D"/>
    <w:rsid w:val="00BE45CD"/>
    <w:rsid w:val="00BE4979"/>
    <w:rsid w:val="00BE4E15"/>
    <w:rsid w:val="00BE5578"/>
    <w:rsid w:val="00BE58D9"/>
    <w:rsid w:val="00BE5FFB"/>
    <w:rsid w:val="00BE698C"/>
    <w:rsid w:val="00BE6AEB"/>
    <w:rsid w:val="00BE6C04"/>
    <w:rsid w:val="00BE740A"/>
    <w:rsid w:val="00BE77CE"/>
    <w:rsid w:val="00BE7AA3"/>
    <w:rsid w:val="00BE7B7D"/>
    <w:rsid w:val="00BE7CE3"/>
    <w:rsid w:val="00BE7E88"/>
    <w:rsid w:val="00BE7F7B"/>
    <w:rsid w:val="00BF0535"/>
    <w:rsid w:val="00BF09AC"/>
    <w:rsid w:val="00BF09BD"/>
    <w:rsid w:val="00BF0A71"/>
    <w:rsid w:val="00BF1431"/>
    <w:rsid w:val="00BF164C"/>
    <w:rsid w:val="00BF176C"/>
    <w:rsid w:val="00BF19B5"/>
    <w:rsid w:val="00BF1A43"/>
    <w:rsid w:val="00BF1CF5"/>
    <w:rsid w:val="00BF1DBB"/>
    <w:rsid w:val="00BF1DCA"/>
    <w:rsid w:val="00BF1F0D"/>
    <w:rsid w:val="00BF210A"/>
    <w:rsid w:val="00BF2703"/>
    <w:rsid w:val="00BF27F8"/>
    <w:rsid w:val="00BF2F9A"/>
    <w:rsid w:val="00BF3249"/>
    <w:rsid w:val="00BF3415"/>
    <w:rsid w:val="00BF3888"/>
    <w:rsid w:val="00BF3AC8"/>
    <w:rsid w:val="00BF4228"/>
    <w:rsid w:val="00BF4A34"/>
    <w:rsid w:val="00BF4F7E"/>
    <w:rsid w:val="00BF50BA"/>
    <w:rsid w:val="00BF5341"/>
    <w:rsid w:val="00BF5587"/>
    <w:rsid w:val="00BF5858"/>
    <w:rsid w:val="00BF5D69"/>
    <w:rsid w:val="00BF5F76"/>
    <w:rsid w:val="00BF6261"/>
    <w:rsid w:val="00BF68EE"/>
    <w:rsid w:val="00BF6ACE"/>
    <w:rsid w:val="00BF6CA7"/>
    <w:rsid w:val="00BF709E"/>
    <w:rsid w:val="00BF76B7"/>
    <w:rsid w:val="00BF7772"/>
    <w:rsid w:val="00BF78B5"/>
    <w:rsid w:val="00C000FD"/>
    <w:rsid w:val="00C001B2"/>
    <w:rsid w:val="00C0035E"/>
    <w:rsid w:val="00C0043A"/>
    <w:rsid w:val="00C004D2"/>
    <w:rsid w:val="00C010E4"/>
    <w:rsid w:val="00C0156F"/>
    <w:rsid w:val="00C017E6"/>
    <w:rsid w:val="00C01C8E"/>
    <w:rsid w:val="00C01F42"/>
    <w:rsid w:val="00C01F85"/>
    <w:rsid w:val="00C0259E"/>
    <w:rsid w:val="00C02F27"/>
    <w:rsid w:val="00C0300A"/>
    <w:rsid w:val="00C030F5"/>
    <w:rsid w:val="00C034E3"/>
    <w:rsid w:val="00C036CC"/>
    <w:rsid w:val="00C03851"/>
    <w:rsid w:val="00C0410C"/>
    <w:rsid w:val="00C0426A"/>
    <w:rsid w:val="00C04866"/>
    <w:rsid w:val="00C04BAD"/>
    <w:rsid w:val="00C04C69"/>
    <w:rsid w:val="00C05291"/>
    <w:rsid w:val="00C0540A"/>
    <w:rsid w:val="00C05D14"/>
    <w:rsid w:val="00C05F5C"/>
    <w:rsid w:val="00C061DB"/>
    <w:rsid w:val="00C0650B"/>
    <w:rsid w:val="00C0656F"/>
    <w:rsid w:val="00C06739"/>
    <w:rsid w:val="00C067C5"/>
    <w:rsid w:val="00C07F5F"/>
    <w:rsid w:val="00C10046"/>
    <w:rsid w:val="00C100DD"/>
    <w:rsid w:val="00C10215"/>
    <w:rsid w:val="00C10818"/>
    <w:rsid w:val="00C1092C"/>
    <w:rsid w:val="00C10B62"/>
    <w:rsid w:val="00C11114"/>
    <w:rsid w:val="00C11224"/>
    <w:rsid w:val="00C113CB"/>
    <w:rsid w:val="00C115BF"/>
    <w:rsid w:val="00C117E9"/>
    <w:rsid w:val="00C1192A"/>
    <w:rsid w:val="00C11CCF"/>
    <w:rsid w:val="00C11FAF"/>
    <w:rsid w:val="00C122B2"/>
    <w:rsid w:val="00C12328"/>
    <w:rsid w:val="00C12576"/>
    <w:rsid w:val="00C13671"/>
    <w:rsid w:val="00C137C7"/>
    <w:rsid w:val="00C13F4A"/>
    <w:rsid w:val="00C13F91"/>
    <w:rsid w:val="00C14016"/>
    <w:rsid w:val="00C142A3"/>
    <w:rsid w:val="00C1471C"/>
    <w:rsid w:val="00C149EB"/>
    <w:rsid w:val="00C14A9D"/>
    <w:rsid w:val="00C153FF"/>
    <w:rsid w:val="00C15CEE"/>
    <w:rsid w:val="00C15D84"/>
    <w:rsid w:val="00C1627F"/>
    <w:rsid w:val="00C163EF"/>
    <w:rsid w:val="00C1663A"/>
    <w:rsid w:val="00C166B6"/>
    <w:rsid w:val="00C16723"/>
    <w:rsid w:val="00C16846"/>
    <w:rsid w:val="00C16A50"/>
    <w:rsid w:val="00C16B40"/>
    <w:rsid w:val="00C16EAD"/>
    <w:rsid w:val="00C176E7"/>
    <w:rsid w:val="00C17AC8"/>
    <w:rsid w:val="00C17BB9"/>
    <w:rsid w:val="00C17CF0"/>
    <w:rsid w:val="00C200BE"/>
    <w:rsid w:val="00C200BF"/>
    <w:rsid w:val="00C20151"/>
    <w:rsid w:val="00C202C9"/>
    <w:rsid w:val="00C20468"/>
    <w:rsid w:val="00C209F4"/>
    <w:rsid w:val="00C20BD8"/>
    <w:rsid w:val="00C21235"/>
    <w:rsid w:val="00C21A8D"/>
    <w:rsid w:val="00C21FED"/>
    <w:rsid w:val="00C22116"/>
    <w:rsid w:val="00C221A5"/>
    <w:rsid w:val="00C225CB"/>
    <w:rsid w:val="00C22BA4"/>
    <w:rsid w:val="00C22C94"/>
    <w:rsid w:val="00C22CE3"/>
    <w:rsid w:val="00C230D6"/>
    <w:rsid w:val="00C2336B"/>
    <w:rsid w:val="00C233D4"/>
    <w:rsid w:val="00C234C2"/>
    <w:rsid w:val="00C23674"/>
    <w:rsid w:val="00C23A27"/>
    <w:rsid w:val="00C23ECE"/>
    <w:rsid w:val="00C23F9A"/>
    <w:rsid w:val="00C244AD"/>
    <w:rsid w:val="00C248E6"/>
    <w:rsid w:val="00C249EA"/>
    <w:rsid w:val="00C24A52"/>
    <w:rsid w:val="00C25357"/>
    <w:rsid w:val="00C2541D"/>
    <w:rsid w:val="00C25774"/>
    <w:rsid w:val="00C25BCC"/>
    <w:rsid w:val="00C25D9A"/>
    <w:rsid w:val="00C26050"/>
    <w:rsid w:val="00C268A2"/>
    <w:rsid w:val="00C26D9D"/>
    <w:rsid w:val="00C26FE6"/>
    <w:rsid w:val="00C27438"/>
    <w:rsid w:val="00C275E3"/>
    <w:rsid w:val="00C2797E"/>
    <w:rsid w:val="00C27DBB"/>
    <w:rsid w:val="00C30499"/>
    <w:rsid w:val="00C30798"/>
    <w:rsid w:val="00C309C6"/>
    <w:rsid w:val="00C30CDC"/>
    <w:rsid w:val="00C30D05"/>
    <w:rsid w:val="00C312F0"/>
    <w:rsid w:val="00C3148E"/>
    <w:rsid w:val="00C317F3"/>
    <w:rsid w:val="00C31881"/>
    <w:rsid w:val="00C31B16"/>
    <w:rsid w:val="00C31B95"/>
    <w:rsid w:val="00C31E84"/>
    <w:rsid w:val="00C3209A"/>
    <w:rsid w:val="00C328AE"/>
    <w:rsid w:val="00C33052"/>
    <w:rsid w:val="00C330D7"/>
    <w:rsid w:val="00C332BB"/>
    <w:rsid w:val="00C336F4"/>
    <w:rsid w:val="00C33819"/>
    <w:rsid w:val="00C340CE"/>
    <w:rsid w:val="00C34C73"/>
    <w:rsid w:val="00C355F4"/>
    <w:rsid w:val="00C35A8D"/>
    <w:rsid w:val="00C35A9F"/>
    <w:rsid w:val="00C35E09"/>
    <w:rsid w:val="00C35E8B"/>
    <w:rsid w:val="00C36104"/>
    <w:rsid w:val="00C3656A"/>
    <w:rsid w:val="00C368E3"/>
    <w:rsid w:val="00C3692C"/>
    <w:rsid w:val="00C3697D"/>
    <w:rsid w:val="00C36BD8"/>
    <w:rsid w:val="00C37325"/>
    <w:rsid w:val="00C3751B"/>
    <w:rsid w:val="00C37638"/>
    <w:rsid w:val="00C376F3"/>
    <w:rsid w:val="00C37AC4"/>
    <w:rsid w:val="00C37F6E"/>
    <w:rsid w:val="00C4016B"/>
    <w:rsid w:val="00C40659"/>
    <w:rsid w:val="00C40932"/>
    <w:rsid w:val="00C40A9C"/>
    <w:rsid w:val="00C40AB6"/>
    <w:rsid w:val="00C40B60"/>
    <w:rsid w:val="00C4116C"/>
    <w:rsid w:val="00C41271"/>
    <w:rsid w:val="00C41291"/>
    <w:rsid w:val="00C4146A"/>
    <w:rsid w:val="00C41BAD"/>
    <w:rsid w:val="00C41BDF"/>
    <w:rsid w:val="00C41F54"/>
    <w:rsid w:val="00C42323"/>
    <w:rsid w:val="00C42981"/>
    <w:rsid w:val="00C429B6"/>
    <w:rsid w:val="00C42B50"/>
    <w:rsid w:val="00C42C57"/>
    <w:rsid w:val="00C42CAD"/>
    <w:rsid w:val="00C42CCF"/>
    <w:rsid w:val="00C43546"/>
    <w:rsid w:val="00C4362A"/>
    <w:rsid w:val="00C437E5"/>
    <w:rsid w:val="00C43856"/>
    <w:rsid w:val="00C43CCC"/>
    <w:rsid w:val="00C43FD3"/>
    <w:rsid w:val="00C443BC"/>
    <w:rsid w:val="00C4470F"/>
    <w:rsid w:val="00C4492C"/>
    <w:rsid w:val="00C44D57"/>
    <w:rsid w:val="00C44F54"/>
    <w:rsid w:val="00C45496"/>
    <w:rsid w:val="00C455E4"/>
    <w:rsid w:val="00C457F1"/>
    <w:rsid w:val="00C458EF"/>
    <w:rsid w:val="00C45E2D"/>
    <w:rsid w:val="00C460B5"/>
    <w:rsid w:val="00C4613E"/>
    <w:rsid w:val="00C464B3"/>
    <w:rsid w:val="00C46936"/>
    <w:rsid w:val="00C46AAC"/>
    <w:rsid w:val="00C47258"/>
    <w:rsid w:val="00C476DA"/>
    <w:rsid w:val="00C47738"/>
    <w:rsid w:val="00C477EA"/>
    <w:rsid w:val="00C47870"/>
    <w:rsid w:val="00C47CF5"/>
    <w:rsid w:val="00C47E09"/>
    <w:rsid w:val="00C5009F"/>
    <w:rsid w:val="00C503F3"/>
    <w:rsid w:val="00C504BA"/>
    <w:rsid w:val="00C50E8A"/>
    <w:rsid w:val="00C51255"/>
    <w:rsid w:val="00C51752"/>
    <w:rsid w:val="00C5182A"/>
    <w:rsid w:val="00C51FEC"/>
    <w:rsid w:val="00C522DE"/>
    <w:rsid w:val="00C52452"/>
    <w:rsid w:val="00C5246A"/>
    <w:rsid w:val="00C526AC"/>
    <w:rsid w:val="00C52A4A"/>
    <w:rsid w:val="00C52AEB"/>
    <w:rsid w:val="00C52B4A"/>
    <w:rsid w:val="00C52C1A"/>
    <w:rsid w:val="00C52D1B"/>
    <w:rsid w:val="00C52DBE"/>
    <w:rsid w:val="00C52E0C"/>
    <w:rsid w:val="00C53355"/>
    <w:rsid w:val="00C5336A"/>
    <w:rsid w:val="00C536BB"/>
    <w:rsid w:val="00C53E91"/>
    <w:rsid w:val="00C5475A"/>
    <w:rsid w:val="00C5523D"/>
    <w:rsid w:val="00C555D0"/>
    <w:rsid w:val="00C55A38"/>
    <w:rsid w:val="00C55BDD"/>
    <w:rsid w:val="00C55D7A"/>
    <w:rsid w:val="00C5620D"/>
    <w:rsid w:val="00C562B6"/>
    <w:rsid w:val="00C56A70"/>
    <w:rsid w:val="00C56CC2"/>
    <w:rsid w:val="00C573D5"/>
    <w:rsid w:val="00C573FF"/>
    <w:rsid w:val="00C574FF"/>
    <w:rsid w:val="00C57B92"/>
    <w:rsid w:val="00C57BA0"/>
    <w:rsid w:val="00C57BE5"/>
    <w:rsid w:val="00C60150"/>
    <w:rsid w:val="00C60310"/>
    <w:rsid w:val="00C603CC"/>
    <w:rsid w:val="00C611E3"/>
    <w:rsid w:val="00C613EB"/>
    <w:rsid w:val="00C616C4"/>
    <w:rsid w:val="00C616F7"/>
    <w:rsid w:val="00C61CF9"/>
    <w:rsid w:val="00C62602"/>
    <w:rsid w:val="00C62CAC"/>
    <w:rsid w:val="00C631DB"/>
    <w:rsid w:val="00C63865"/>
    <w:rsid w:val="00C639D5"/>
    <w:rsid w:val="00C63ACB"/>
    <w:rsid w:val="00C63EC3"/>
    <w:rsid w:val="00C6429E"/>
    <w:rsid w:val="00C6431E"/>
    <w:rsid w:val="00C644BC"/>
    <w:rsid w:val="00C64A81"/>
    <w:rsid w:val="00C65078"/>
    <w:rsid w:val="00C650CE"/>
    <w:rsid w:val="00C6510D"/>
    <w:rsid w:val="00C65469"/>
    <w:rsid w:val="00C65AD4"/>
    <w:rsid w:val="00C661CA"/>
    <w:rsid w:val="00C66A5E"/>
    <w:rsid w:val="00C66EDF"/>
    <w:rsid w:val="00C670B8"/>
    <w:rsid w:val="00C674BC"/>
    <w:rsid w:val="00C676DC"/>
    <w:rsid w:val="00C676FC"/>
    <w:rsid w:val="00C67B8A"/>
    <w:rsid w:val="00C700D0"/>
    <w:rsid w:val="00C704A5"/>
    <w:rsid w:val="00C705C8"/>
    <w:rsid w:val="00C70758"/>
    <w:rsid w:val="00C70F79"/>
    <w:rsid w:val="00C712AB"/>
    <w:rsid w:val="00C713EB"/>
    <w:rsid w:val="00C715DB"/>
    <w:rsid w:val="00C71823"/>
    <w:rsid w:val="00C71872"/>
    <w:rsid w:val="00C71C43"/>
    <w:rsid w:val="00C71C77"/>
    <w:rsid w:val="00C71D77"/>
    <w:rsid w:val="00C7218A"/>
    <w:rsid w:val="00C72499"/>
    <w:rsid w:val="00C728F5"/>
    <w:rsid w:val="00C72B36"/>
    <w:rsid w:val="00C72BE0"/>
    <w:rsid w:val="00C72D14"/>
    <w:rsid w:val="00C72FA5"/>
    <w:rsid w:val="00C7301C"/>
    <w:rsid w:val="00C73269"/>
    <w:rsid w:val="00C733BA"/>
    <w:rsid w:val="00C73A0B"/>
    <w:rsid w:val="00C73C36"/>
    <w:rsid w:val="00C73FA5"/>
    <w:rsid w:val="00C742D5"/>
    <w:rsid w:val="00C743D2"/>
    <w:rsid w:val="00C74780"/>
    <w:rsid w:val="00C74B52"/>
    <w:rsid w:val="00C74B9F"/>
    <w:rsid w:val="00C74CCE"/>
    <w:rsid w:val="00C750D3"/>
    <w:rsid w:val="00C754BC"/>
    <w:rsid w:val="00C75C2A"/>
    <w:rsid w:val="00C76073"/>
    <w:rsid w:val="00C76414"/>
    <w:rsid w:val="00C76444"/>
    <w:rsid w:val="00C766C4"/>
    <w:rsid w:val="00C76784"/>
    <w:rsid w:val="00C768DB"/>
    <w:rsid w:val="00C76ABF"/>
    <w:rsid w:val="00C772C8"/>
    <w:rsid w:val="00C774A5"/>
    <w:rsid w:val="00C77828"/>
    <w:rsid w:val="00C77A2A"/>
    <w:rsid w:val="00C77AF9"/>
    <w:rsid w:val="00C77E45"/>
    <w:rsid w:val="00C77F3F"/>
    <w:rsid w:val="00C77FC6"/>
    <w:rsid w:val="00C801D9"/>
    <w:rsid w:val="00C80685"/>
    <w:rsid w:val="00C807F7"/>
    <w:rsid w:val="00C80E45"/>
    <w:rsid w:val="00C8176B"/>
    <w:rsid w:val="00C81A99"/>
    <w:rsid w:val="00C81E4C"/>
    <w:rsid w:val="00C820DC"/>
    <w:rsid w:val="00C82324"/>
    <w:rsid w:val="00C82683"/>
    <w:rsid w:val="00C82AF4"/>
    <w:rsid w:val="00C82D41"/>
    <w:rsid w:val="00C82EEA"/>
    <w:rsid w:val="00C832F3"/>
    <w:rsid w:val="00C833C3"/>
    <w:rsid w:val="00C836E2"/>
    <w:rsid w:val="00C83954"/>
    <w:rsid w:val="00C83FC2"/>
    <w:rsid w:val="00C84509"/>
    <w:rsid w:val="00C846CF"/>
    <w:rsid w:val="00C84773"/>
    <w:rsid w:val="00C8496F"/>
    <w:rsid w:val="00C84F72"/>
    <w:rsid w:val="00C84F9F"/>
    <w:rsid w:val="00C84FC9"/>
    <w:rsid w:val="00C85921"/>
    <w:rsid w:val="00C85A7B"/>
    <w:rsid w:val="00C85AD3"/>
    <w:rsid w:val="00C85D2B"/>
    <w:rsid w:val="00C85E62"/>
    <w:rsid w:val="00C85F94"/>
    <w:rsid w:val="00C863A6"/>
    <w:rsid w:val="00C86B1C"/>
    <w:rsid w:val="00C86C40"/>
    <w:rsid w:val="00C86D6E"/>
    <w:rsid w:val="00C86F27"/>
    <w:rsid w:val="00C87A1D"/>
    <w:rsid w:val="00C87D38"/>
    <w:rsid w:val="00C87DFD"/>
    <w:rsid w:val="00C87EBF"/>
    <w:rsid w:val="00C87F17"/>
    <w:rsid w:val="00C87F54"/>
    <w:rsid w:val="00C90607"/>
    <w:rsid w:val="00C90D63"/>
    <w:rsid w:val="00C90EC0"/>
    <w:rsid w:val="00C91961"/>
    <w:rsid w:val="00C9214D"/>
    <w:rsid w:val="00C921E3"/>
    <w:rsid w:val="00C922C9"/>
    <w:rsid w:val="00C926DD"/>
    <w:rsid w:val="00C92885"/>
    <w:rsid w:val="00C92DC8"/>
    <w:rsid w:val="00C93061"/>
    <w:rsid w:val="00C930F8"/>
    <w:rsid w:val="00C93697"/>
    <w:rsid w:val="00C939B6"/>
    <w:rsid w:val="00C93AF6"/>
    <w:rsid w:val="00C93BE7"/>
    <w:rsid w:val="00C94C17"/>
    <w:rsid w:val="00C950A9"/>
    <w:rsid w:val="00C95762"/>
    <w:rsid w:val="00C95A77"/>
    <w:rsid w:val="00C95DC5"/>
    <w:rsid w:val="00C964E5"/>
    <w:rsid w:val="00C96517"/>
    <w:rsid w:val="00C968D6"/>
    <w:rsid w:val="00C96B64"/>
    <w:rsid w:val="00C96CCD"/>
    <w:rsid w:val="00C96D83"/>
    <w:rsid w:val="00C96F1C"/>
    <w:rsid w:val="00C97AC6"/>
    <w:rsid w:val="00C97D16"/>
    <w:rsid w:val="00C97F06"/>
    <w:rsid w:val="00C97FE7"/>
    <w:rsid w:val="00CA00C9"/>
    <w:rsid w:val="00CA0464"/>
    <w:rsid w:val="00CA055C"/>
    <w:rsid w:val="00CA068F"/>
    <w:rsid w:val="00CA0A93"/>
    <w:rsid w:val="00CA113A"/>
    <w:rsid w:val="00CA13BC"/>
    <w:rsid w:val="00CA163F"/>
    <w:rsid w:val="00CA1B9F"/>
    <w:rsid w:val="00CA2747"/>
    <w:rsid w:val="00CA2D3B"/>
    <w:rsid w:val="00CA307A"/>
    <w:rsid w:val="00CA39BC"/>
    <w:rsid w:val="00CA3A15"/>
    <w:rsid w:val="00CA3EA3"/>
    <w:rsid w:val="00CA4491"/>
    <w:rsid w:val="00CA4806"/>
    <w:rsid w:val="00CA4E4A"/>
    <w:rsid w:val="00CA5A5C"/>
    <w:rsid w:val="00CA5ED0"/>
    <w:rsid w:val="00CA6052"/>
    <w:rsid w:val="00CA614D"/>
    <w:rsid w:val="00CA616E"/>
    <w:rsid w:val="00CA6EE0"/>
    <w:rsid w:val="00CA7172"/>
    <w:rsid w:val="00CA726B"/>
    <w:rsid w:val="00CA73C2"/>
    <w:rsid w:val="00CA7AAF"/>
    <w:rsid w:val="00CA7C91"/>
    <w:rsid w:val="00CA7FE9"/>
    <w:rsid w:val="00CB0429"/>
    <w:rsid w:val="00CB0B20"/>
    <w:rsid w:val="00CB1244"/>
    <w:rsid w:val="00CB1F9E"/>
    <w:rsid w:val="00CB2068"/>
    <w:rsid w:val="00CB23B6"/>
    <w:rsid w:val="00CB263F"/>
    <w:rsid w:val="00CB28F8"/>
    <w:rsid w:val="00CB28FA"/>
    <w:rsid w:val="00CB31E8"/>
    <w:rsid w:val="00CB3803"/>
    <w:rsid w:val="00CB3AB7"/>
    <w:rsid w:val="00CB3E56"/>
    <w:rsid w:val="00CB3FBC"/>
    <w:rsid w:val="00CB41C8"/>
    <w:rsid w:val="00CB430B"/>
    <w:rsid w:val="00CB4610"/>
    <w:rsid w:val="00CB484E"/>
    <w:rsid w:val="00CB4B4E"/>
    <w:rsid w:val="00CB51C5"/>
    <w:rsid w:val="00CB5444"/>
    <w:rsid w:val="00CB5784"/>
    <w:rsid w:val="00CB5858"/>
    <w:rsid w:val="00CB5B09"/>
    <w:rsid w:val="00CB5BFA"/>
    <w:rsid w:val="00CB61A4"/>
    <w:rsid w:val="00CB6511"/>
    <w:rsid w:val="00CB6818"/>
    <w:rsid w:val="00CB6981"/>
    <w:rsid w:val="00CB69E8"/>
    <w:rsid w:val="00CB6EC3"/>
    <w:rsid w:val="00CB72D4"/>
    <w:rsid w:val="00CB78D8"/>
    <w:rsid w:val="00CB7B18"/>
    <w:rsid w:val="00CB7C0A"/>
    <w:rsid w:val="00CC0367"/>
    <w:rsid w:val="00CC111B"/>
    <w:rsid w:val="00CC171C"/>
    <w:rsid w:val="00CC1ED4"/>
    <w:rsid w:val="00CC228C"/>
    <w:rsid w:val="00CC2481"/>
    <w:rsid w:val="00CC2946"/>
    <w:rsid w:val="00CC2E16"/>
    <w:rsid w:val="00CC2ECC"/>
    <w:rsid w:val="00CC322A"/>
    <w:rsid w:val="00CC3314"/>
    <w:rsid w:val="00CC34AD"/>
    <w:rsid w:val="00CC364A"/>
    <w:rsid w:val="00CC3670"/>
    <w:rsid w:val="00CC3A27"/>
    <w:rsid w:val="00CC3D8C"/>
    <w:rsid w:val="00CC3E91"/>
    <w:rsid w:val="00CC4231"/>
    <w:rsid w:val="00CC4375"/>
    <w:rsid w:val="00CC464A"/>
    <w:rsid w:val="00CC5A4B"/>
    <w:rsid w:val="00CC5A6D"/>
    <w:rsid w:val="00CC6094"/>
    <w:rsid w:val="00CC61E3"/>
    <w:rsid w:val="00CC6D6B"/>
    <w:rsid w:val="00CC6D98"/>
    <w:rsid w:val="00CC7380"/>
    <w:rsid w:val="00CC77D4"/>
    <w:rsid w:val="00CC7BD8"/>
    <w:rsid w:val="00CD00CD"/>
    <w:rsid w:val="00CD098D"/>
    <w:rsid w:val="00CD0CA5"/>
    <w:rsid w:val="00CD19E2"/>
    <w:rsid w:val="00CD1AEE"/>
    <w:rsid w:val="00CD1DA5"/>
    <w:rsid w:val="00CD2292"/>
    <w:rsid w:val="00CD24AC"/>
    <w:rsid w:val="00CD293B"/>
    <w:rsid w:val="00CD2DCC"/>
    <w:rsid w:val="00CD2E43"/>
    <w:rsid w:val="00CD2F4D"/>
    <w:rsid w:val="00CD382E"/>
    <w:rsid w:val="00CD3A1E"/>
    <w:rsid w:val="00CD3E78"/>
    <w:rsid w:val="00CD4476"/>
    <w:rsid w:val="00CD44BD"/>
    <w:rsid w:val="00CD4A21"/>
    <w:rsid w:val="00CD4A56"/>
    <w:rsid w:val="00CD4AB0"/>
    <w:rsid w:val="00CD51BD"/>
    <w:rsid w:val="00CD54D4"/>
    <w:rsid w:val="00CD5566"/>
    <w:rsid w:val="00CD5FB4"/>
    <w:rsid w:val="00CD636E"/>
    <w:rsid w:val="00CD6896"/>
    <w:rsid w:val="00CD6AAF"/>
    <w:rsid w:val="00CD71AC"/>
    <w:rsid w:val="00CD727C"/>
    <w:rsid w:val="00CD7D39"/>
    <w:rsid w:val="00CE0102"/>
    <w:rsid w:val="00CE0689"/>
    <w:rsid w:val="00CE0B8C"/>
    <w:rsid w:val="00CE0DB9"/>
    <w:rsid w:val="00CE10A5"/>
    <w:rsid w:val="00CE1459"/>
    <w:rsid w:val="00CE1464"/>
    <w:rsid w:val="00CE1853"/>
    <w:rsid w:val="00CE18C1"/>
    <w:rsid w:val="00CE1CB0"/>
    <w:rsid w:val="00CE1FA8"/>
    <w:rsid w:val="00CE2542"/>
    <w:rsid w:val="00CE25D3"/>
    <w:rsid w:val="00CE3094"/>
    <w:rsid w:val="00CE3296"/>
    <w:rsid w:val="00CE3479"/>
    <w:rsid w:val="00CE3485"/>
    <w:rsid w:val="00CE3734"/>
    <w:rsid w:val="00CE3CA5"/>
    <w:rsid w:val="00CE3CE0"/>
    <w:rsid w:val="00CE4345"/>
    <w:rsid w:val="00CE46E2"/>
    <w:rsid w:val="00CE5361"/>
    <w:rsid w:val="00CE5DA6"/>
    <w:rsid w:val="00CE5E69"/>
    <w:rsid w:val="00CE607C"/>
    <w:rsid w:val="00CE6202"/>
    <w:rsid w:val="00CE63A1"/>
    <w:rsid w:val="00CE63BE"/>
    <w:rsid w:val="00CE651B"/>
    <w:rsid w:val="00CE69D9"/>
    <w:rsid w:val="00CE6A4A"/>
    <w:rsid w:val="00CE7128"/>
    <w:rsid w:val="00CE732B"/>
    <w:rsid w:val="00CE733D"/>
    <w:rsid w:val="00CE736D"/>
    <w:rsid w:val="00CE7655"/>
    <w:rsid w:val="00CE7661"/>
    <w:rsid w:val="00CE7961"/>
    <w:rsid w:val="00CF01E5"/>
    <w:rsid w:val="00CF0467"/>
    <w:rsid w:val="00CF0543"/>
    <w:rsid w:val="00CF08D6"/>
    <w:rsid w:val="00CF0B7C"/>
    <w:rsid w:val="00CF13D3"/>
    <w:rsid w:val="00CF1441"/>
    <w:rsid w:val="00CF16FA"/>
    <w:rsid w:val="00CF1B28"/>
    <w:rsid w:val="00CF1B7B"/>
    <w:rsid w:val="00CF1C59"/>
    <w:rsid w:val="00CF1FB1"/>
    <w:rsid w:val="00CF2528"/>
    <w:rsid w:val="00CF2A49"/>
    <w:rsid w:val="00CF2AB1"/>
    <w:rsid w:val="00CF2BFB"/>
    <w:rsid w:val="00CF2F74"/>
    <w:rsid w:val="00CF31A7"/>
    <w:rsid w:val="00CF31E2"/>
    <w:rsid w:val="00CF3651"/>
    <w:rsid w:val="00CF37A3"/>
    <w:rsid w:val="00CF3AB3"/>
    <w:rsid w:val="00CF3AD5"/>
    <w:rsid w:val="00CF3DFB"/>
    <w:rsid w:val="00CF409D"/>
    <w:rsid w:val="00CF40DF"/>
    <w:rsid w:val="00CF43F7"/>
    <w:rsid w:val="00CF4483"/>
    <w:rsid w:val="00CF45F4"/>
    <w:rsid w:val="00CF4BB5"/>
    <w:rsid w:val="00CF4E2E"/>
    <w:rsid w:val="00CF5074"/>
    <w:rsid w:val="00CF51D5"/>
    <w:rsid w:val="00CF57ED"/>
    <w:rsid w:val="00CF5BB9"/>
    <w:rsid w:val="00CF5DC7"/>
    <w:rsid w:val="00CF6A54"/>
    <w:rsid w:val="00CF6D37"/>
    <w:rsid w:val="00CF76E5"/>
    <w:rsid w:val="00CF775A"/>
    <w:rsid w:val="00CF7FC2"/>
    <w:rsid w:val="00D001CC"/>
    <w:rsid w:val="00D004EB"/>
    <w:rsid w:val="00D01692"/>
    <w:rsid w:val="00D01CAD"/>
    <w:rsid w:val="00D01D94"/>
    <w:rsid w:val="00D025AD"/>
    <w:rsid w:val="00D02778"/>
    <w:rsid w:val="00D02ADF"/>
    <w:rsid w:val="00D02BF8"/>
    <w:rsid w:val="00D03027"/>
    <w:rsid w:val="00D03120"/>
    <w:rsid w:val="00D031AD"/>
    <w:rsid w:val="00D03389"/>
    <w:rsid w:val="00D03CE6"/>
    <w:rsid w:val="00D03D49"/>
    <w:rsid w:val="00D03E45"/>
    <w:rsid w:val="00D0403C"/>
    <w:rsid w:val="00D042F8"/>
    <w:rsid w:val="00D044EF"/>
    <w:rsid w:val="00D04892"/>
    <w:rsid w:val="00D04C6A"/>
    <w:rsid w:val="00D05398"/>
    <w:rsid w:val="00D06085"/>
    <w:rsid w:val="00D06404"/>
    <w:rsid w:val="00D0641F"/>
    <w:rsid w:val="00D065F6"/>
    <w:rsid w:val="00D0665A"/>
    <w:rsid w:val="00D06720"/>
    <w:rsid w:val="00D069BE"/>
    <w:rsid w:val="00D06ACA"/>
    <w:rsid w:val="00D06C4D"/>
    <w:rsid w:val="00D07CC4"/>
    <w:rsid w:val="00D07DC5"/>
    <w:rsid w:val="00D07DC8"/>
    <w:rsid w:val="00D1046B"/>
    <w:rsid w:val="00D10506"/>
    <w:rsid w:val="00D10948"/>
    <w:rsid w:val="00D112C4"/>
    <w:rsid w:val="00D118CE"/>
    <w:rsid w:val="00D11AED"/>
    <w:rsid w:val="00D11EE6"/>
    <w:rsid w:val="00D12326"/>
    <w:rsid w:val="00D12C4A"/>
    <w:rsid w:val="00D12C97"/>
    <w:rsid w:val="00D12E06"/>
    <w:rsid w:val="00D12E5B"/>
    <w:rsid w:val="00D13341"/>
    <w:rsid w:val="00D13C71"/>
    <w:rsid w:val="00D14297"/>
    <w:rsid w:val="00D14435"/>
    <w:rsid w:val="00D148C2"/>
    <w:rsid w:val="00D14988"/>
    <w:rsid w:val="00D14A3F"/>
    <w:rsid w:val="00D14AB3"/>
    <w:rsid w:val="00D14D46"/>
    <w:rsid w:val="00D14F78"/>
    <w:rsid w:val="00D1508E"/>
    <w:rsid w:val="00D15A25"/>
    <w:rsid w:val="00D15D47"/>
    <w:rsid w:val="00D16216"/>
    <w:rsid w:val="00D16467"/>
    <w:rsid w:val="00D164AA"/>
    <w:rsid w:val="00D166E2"/>
    <w:rsid w:val="00D16703"/>
    <w:rsid w:val="00D16902"/>
    <w:rsid w:val="00D16CF7"/>
    <w:rsid w:val="00D16FB7"/>
    <w:rsid w:val="00D170C8"/>
    <w:rsid w:val="00D17153"/>
    <w:rsid w:val="00D173BB"/>
    <w:rsid w:val="00D1742B"/>
    <w:rsid w:val="00D17DC6"/>
    <w:rsid w:val="00D17DCE"/>
    <w:rsid w:val="00D20073"/>
    <w:rsid w:val="00D2007C"/>
    <w:rsid w:val="00D2048F"/>
    <w:rsid w:val="00D205D9"/>
    <w:rsid w:val="00D21994"/>
    <w:rsid w:val="00D21E4F"/>
    <w:rsid w:val="00D21FA4"/>
    <w:rsid w:val="00D2209F"/>
    <w:rsid w:val="00D22259"/>
    <w:rsid w:val="00D223C8"/>
    <w:rsid w:val="00D2281C"/>
    <w:rsid w:val="00D22A58"/>
    <w:rsid w:val="00D22FCE"/>
    <w:rsid w:val="00D232C3"/>
    <w:rsid w:val="00D237FF"/>
    <w:rsid w:val="00D23AB4"/>
    <w:rsid w:val="00D23B73"/>
    <w:rsid w:val="00D23EA6"/>
    <w:rsid w:val="00D24A59"/>
    <w:rsid w:val="00D2546D"/>
    <w:rsid w:val="00D258C5"/>
    <w:rsid w:val="00D25994"/>
    <w:rsid w:val="00D25F28"/>
    <w:rsid w:val="00D26091"/>
    <w:rsid w:val="00D26125"/>
    <w:rsid w:val="00D2659E"/>
    <w:rsid w:val="00D266CF"/>
    <w:rsid w:val="00D26B30"/>
    <w:rsid w:val="00D26B4A"/>
    <w:rsid w:val="00D26D6C"/>
    <w:rsid w:val="00D27665"/>
    <w:rsid w:val="00D2767B"/>
    <w:rsid w:val="00D277C4"/>
    <w:rsid w:val="00D277E3"/>
    <w:rsid w:val="00D27931"/>
    <w:rsid w:val="00D27C75"/>
    <w:rsid w:val="00D30387"/>
    <w:rsid w:val="00D309FB"/>
    <w:rsid w:val="00D30A44"/>
    <w:rsid w:val="00D30B48"/>
    <w:rsid w:val="00D314CE"/>
    <w:rsid w:val="00D315AB"/>
    <w:rsid w:val="00D3169A"/>
    <w:rsid w:val="00D31A7F"/>
    <w:rsid w:val="00D31DA5"/>
    <w:rsid w:val="00D320BE"/>
    <w:rsid w:val="00D32791"/>
    <w:rsid w:val="00D327AB"/>
    <w:rsid w:val="00D329E7"/>
    <w:rsid w:val="00D32AB3"/>
    <w:rsid w:val="00D33358"/>
    <w:rsid w:val="00D33547"/>
    <w:rsid w:val="00D336BE"/>
    <w:rsid w:val="00D33779"/>
    <w:rsid w:val="00D33A1D"/>
    <w:rsid w:val="00D33C57"/>
    <w:rsid w:val="00D33EB5"/>
    <w:rsid w:val="00D34365"/>
    <w:rsid w:val="00D34471"/>
    <w:rsid w:val="00D34BCE"/>
    <w:rsid w:val="00D34BE5"/>
    <w:rsid w:val="00D3562C"/>
    <w:rsid w:val="00D3588A"/>
    <w:rsid w:val="00D358B2"/>
    <w:rsid w:val="00D35929"/>
    <w:rsid w:val="00D35B57"/>
    <w:rsid w:val="00D35E58"/>
    <w:rsid w:val="00D360B9"/>
    <w:rsid w:val="00D36712"/>
    <w:rsid w:val="00D36CC5"/>
    <w:rsid w:val="00D36E3E"/>
    <w:rsid w:val="00D3720F"/>
    <w:rsid w:val="00D372E3"/>
    <w:rsid w:val="00D37586"/>
    <w:rsid w:val="00D377C9"/>
    <w:rsid w:val="00D37866"/>
    <w:rsid w:val="00D37D47"/>
    <w:rsid w:val="00D37DD1"/>
    <w:rsid w:val="00D402F4"/>
    <w:rsid w:val="00D40310"/>
    <w:rsid w:val="00D4134F"/>
    <w:rsid w:val="00D413B6"/>
    <w:rsid w:val="00D413D8"/>
    <w:rsid w:val="00D4142B"/>
    <w:rsid w:val="00D416AF"/>
    <w:rsid w:val="00D417AF"/>
    <w:rsid w:val="00D41ADA"/>
    <w:rsid w:val="00D42843"/>
    <w:rsid w:val="00D42877"/>
    <w:rsid w:val="00D42959"/>
    <w:rsid w:val="00D42A8A"/>
    <w:rsid w:val="00D42ACD"/>
    <w:rsid w:val="00D42D12"/>
    <w:rsid w:val="00D42DCC"/>
    <w:rsid w:val="00D43123"/>
    <w:rsid w:val="00D43522"/>
    <w:rsid w:val="00D4390D"/>
    <w:rsid w:val="00D43A81"/>
    <w:rsid w:val="00D43F6C"/>
    <w:rsid w:val="00D449AE"/>
    <w:rsid w:val="00D44CFB"/>
    <w:rsid w:val="00D44D7E"/>
    <w:rsid w:val="00D45529"/>
    <w:rsid w:val="00D45937"/>
    <w:rsid w:val="00D45A49"/>
    <w:rsid w:val="00D45AFF"/>
    <w:rsid w:val="00D45BB2"/>
    <w:rsid w:val="00D45BE4"/>
    <w:rsid w:val="00D45E48"/>
    <w:rsid w:val="00D45F1F"/>
    <w:rsid w:val="00D45F2E"/>
    <w:rsid w:val="00D45F9C"/>
    <w:rsid w:val="00D461C5"/>
    <w:rsid w:val="00D463CF"/>
    <w:rsid w:val="00D46585"/>
    <w:rsid w:val="00D467C8"/>
    <w:rsid w:val="00D469F2"/>
    <w:rsid w:val="00D46B0C"/>
    <w:rsid w:val="00D46C40"/>
    <w:rsid w:val="00D4700D"/>
    <w:rsid w:val="00D47439"/>
    <w:rsid w:val="00D474D0"/>
    <w:rsid w:val="00D47684"/>
    <w:rsid w:val="00D47947"/>
    <w:rsid w:val="00D47973"/>
    <w:rsid w:val="00D47B75"/>
    <w:rsid w:val="00D5008E"/>
    <w:rsid w:val="00D500F8"/>
    <w:rsid w:val="00D503FA"/>
    <w:rsid w:val="00D50417"/>
    <w:rsid w:val="00D50515"/>
    <w:rsid w:val="00D514AF"/>
    <w:rsid w:val="00D51516"/>
    <w:rsid w:val="00D516DC"/>
    <w:rsid w:val="00D519E5"/>
    <w:rsid w:val="00D51BB5"/>
    <w:rsid w:val="00D52031"/>
    <w:rsid w:val="00D524BC"/>
    <w:rsid w:val="00D524C6"/>
    <w:rsid w:val="00D524D2"/>
    <w:rsid w:val="00D52EF8"/>
    <w:rsid w:val="00D53167"/>
    <w:rsid w:val="00D532B5"/>
    <w:rsid w:val="00D53AF5"/>
    <w:rsid w:val="00D53C7E"/>
    <w:rsid w:val="00D53E3F"/>
    <w:rsid w:val="00D5418F"/>
    <w:rsid w:val="00D54E18"/>
    <w:rsid w:val="00D54FA6"/>
    <w:rsid w:val="00D550E4"/>
    <w:rsid w:val="00D5543B"/>
    <w:rsid w:val="00D555F2"/>
    <w:rsid w:val="00D55BB7"/>
    <w:rsid w:val="00D55C69"/>
    <w:rsid w:val="00D55D5E"/>
    <w:rsid w:val="00D564CE"/>
    <w:rsid w:val="00D56BCA"/>
    <w:rsid w:val="00D5711F"/>
    <w:rsid w:val="00D57A0D"/>
    <w:rsid w:val="00D57B6E"/>
    <w:rsid w:val="00D57BC6"/>
    <w:rsid w:val="00D57CEB"/>
    <w:rsid w:val="00D60B66"/>
    <w:rsid w:val="00D60BA8"/>
    <w:rsid w:val="00D6142E"/>
    <w:rsid w:val="00D61887"/>
    <w:rsid w:val="00D61CFF"/>
    <w:rsid w:val="00D61F1B"/>
    <w:rsid w:val="00D61F41"/>
    <w:rsid w:val="00D627AA"/>
    <w:rsid w:val="00D62986"/>
    <w:rsid w:val="00D62A49"/>
    <w:rsid w:val="00D62C81"/>
    <w:rsid w:val="00D62FB3"/>
    <w:rsid w:val="00D63133"/>
    <w:rsid w:val="00D633D5"/>
    <w:rsid w:val="00D63850"/>
    <w:rsid w:val="00D638DD"/>
    <w:rsid w:val="00D6397D"/>
    <w:rsid w:val="00D64391"/>
    <w:rsid w:val="00D6439E"/>
    <w:rsid w:val="00D64428"/>
    <w:rsid w:val="00D64621"/>
    <w:rsid w:val="00D64947"/>
    <w:rsid w:val="00D64D42"/>
    <w:rsid w:val="00D653A0"/>
    <w:rsid w:val="00D65879"/>
    <w:rsid w:val="00D65A17"/>
    <w:rsid w:val="00D65CA0"/>
    <w:rsid w:val="00D65CFF"/>
    <w:rsid w:val="00D65E17"/>
    <w:rsid w:val="00D65E86"/>
    <w:rsid w:val="00D6656F"/>
    <w:rsid w:val="00D66A8E"/>
    <w:rsid w:val="00D66A92"/>
    <w:rsid w:val="00D66BA8"/>
    <w:rsid w:val="00D67337"/>
    <w:rsid w:val="00D675AC"/>
    <w:rsid w:val="00D6786D"/>
    <w:rsid w:val="00D7018B"/>
    <w:rsid w:val="00D70549"/>
    <w:rsid w:val="00D70967"/>
    <w:rsid w:val="00D70DED"/>
    <w:rsid w:val="00D713E1"/>
    <w:rsid w:val="00D72173"/>
    <w:rsid w:val="00D725A8"/>
    <w:rsid w:val="00D728E1"/>
    <w:rsid w:val="00D73D6C"/>
    <w:rsid w:val="00D74902"/>
    <w:rsid w:val="00D7513E"/>
    <w:rsid w:val="00D755D8"/>
    <w:rsid w:val="00D75653"/>
    <w:rsid w:val="00D756E4"/>
    <w:rsid w:val="00D75859"/>
    <w:rsid w:val="00D75C40"/>
    <w:rsid w:val="00D75CB6"/>
    <w:rsid w:val="00D75FCC"/>
    <w:rsid w:val="00D76499"/>
    <w:rsid w:val="00D76663"/>
    <w:rsid w:val="00D76F3D"/>
    <w:rsid w:val="00D776D1"/>
    <w:rsid w:val="00D77723"/>
    <w:rsid w:val="00D77770"/>
    <w:rsid w:val="00D77CC3"/>
    <w:rsid w:val="00D77D40"/>
    <w:rsid w:val="00D8000D"/>
    <w:rsid w:val="00D802F8"/>
    <w:rsid w:val="00D80490"/>
    <w:rsid w:val="00D80662"/>
    <w:rsid w:val="00D806AA"/>
    <w:rsid w:val="00D80731"/>
    <w:rsid w:val="00D81026"/>
    <w:rsid w:val="00D8160E"/>
    <w:rsid w:val="00D817E0"/>
    <w:rsid w:val="00D81978"/>
    <w:rsid w:val="00D81B1E"/>
    <w:rsid w:val="00D81CA8"/>
    <w:rsid w:val="00D82355"/>
    <w:rsid w:val="00D824F4"/>
    <w:rsid w:val="00D8274D"/>
    <w:rsid w:val="00D832BC"/>
    <w:rsid w:val="00D8421C"/>
    <w:rsid w:val="00D842D7"/>
    <w:rsid w:val="00D84817"/>
    <w:rsid w:val="00D85078"/>
    <w:rsid w:val="00D85149"/>
    <w:rsid w:val="00D85462"/>
    <w:rsid w:val="00D8552F"/>
    <w:rsid w:val="00D858A4"/>
    <w:rsid w:val="00D86086"/>
    <w:rsid w:val="00D860B3"/>
    <w:rsid w:val="00D86510"/>
    <w:rsid w:val="00D86720"/>
    <w:rsid w:val="00D8692F"/>
    <w:rsid w:val="00D86952"/>
    <w:rsid w:val="00D8696B"/>
    <w:rsid w:val="00D86A83"/>
    <w:rsid w:val="00D86C6A"/>
    <w:rsid w:val="00D86C71"/>
    <w:rsid w:val="00D86E37"/>
    <w:rsid w:val="00D86EDE"/>
    <w:rsid w:val="00D86F41"/>
    <w:rsid w:val="00D871F4"/>
    <w:rsid w:val="00D87218"/>
    <w:rsid w:val="00D87390"/>
    <w:rsid w:val="00D87979"/>
    <w:rsid w:val="00D879A7"/>
    <w:rsid w:val="00D87A8E"/>
    <w:rsid w:val="00D87AB8"/>
    <w:rsid w:val="00D87BB5"/>
    <w:rsid w:val="00D87F95"/>
    <w:rsid w:val="00D90418"/>
    <w:rsid w:val="00D90A80"/>
    <w:rsid w:val="00D90E80"/>
    <w:rsid w:val="00D90F23"/>
    <w:rsid w:val="00D91068"/>
    <w:rsid w:val="00D914E2"/>
    <w:rsid w:val="00D91696"/>
    <w:rsid w:val="00D91771"/>
    <w:rsid w:val="00D91889"/>
    <w:rsid w:val="00D91C78"/>
    <w:rsid w:val="00D91DCA"/>
    <w:rsid w:val="00D924A0"/>
    <w:rsid w:val="00D92520"/>
    <w:rsid w:val="00D92921"/>
    <w:rsid w:val="00D929A9"/>
    <w:rsid w:val="00D92F7F"/>
    <w:rsid w:val="00D9322E"/>
    <w:rsid w:val="00D9335B"/>
    <w:rsid w:val="00D93375"/>
    <w:rsid w:val="00D933DF"/>
    <w:rsid w:val="00D93632"/>
    <w:rsid w:val="00D9421E"/>
    <w:rsid w:val="00D94CE6"/>
    <w:rsid w:val="00D95335"/>
    <w:rsid w:val="00D957AE"/>
    <w:rsid w:val="00D9580C"/>
    <w:rsid w:val="00D95C9B"/>
    <w:rsid w:val="00D95ED0"/>
    <w:rsid w:val="00D96A12"/>
    <w:rsid w:val="00D96B04"/>
    <w:rsid w:val="00D96C5B"/>
    <w:rsid w:val="00D9713E"/>
    <w:rsid w:val="00D9727A"/>
    <w:rsid w:val="00D97554"/>
    <w:rsid w:val="00DA064C"/>
    <w:rsid w:val="00DA07DD"/>
    <w:rsid w:val="00DA0A04"/>
    <w:rsid w:val="00DA0D35"/>
    <w:rsid w:val="00DA0F0F"/>
    <w:rsid w:val="00DA19FA"/>
    <w:rsid w:val="00DA1E7B"/>
    <w:rsid w:val="00DA1F40"/>
    <w:rsid w:val="00DA1F75"/>
    <w:rsid w:val="00DA2409"/>
    <w:rsid w:val="00DA29A7"/>
    <w:rsid w:val="00DA2EA3"/>
    <w:rsid w:val="00DA2EE9"/>
    <w:rsid w:val="00DA34AF"/>
    <w:rsid w:val="00DA3650"/>
    <w:rsid w:val="00DA3BC7"/>
    <w:rsid w:val="00DA4262"/>
    <w:rsid w:val="00DA458C"/>
    <w:rsid w:val="00DA475F"/>
    <w:rsid w:val="00DA47D1"/>
    <w:rsid w:val="00DA4C62"/>
    <w:rsid w:val="00DA509D"/>
    <w:rsid w:val="00DA553F"/>
    <w:rsid w:val="00DA5B34"/>
    <w:rsid w:val="00DA5F86"/>
    <w:rsid w:val="00DA67FB"/>
    <w:rsid w:val="00DA69A0"/>
    <w:rsid w:val="00DA6B18"/>
    <w:rsid w:val="00DA6E11"/>
    <w:rsid w:val="00DA720D"/>
    <w:rsid w:val="00DA7810"/>
    <w:rsid w:val="00DA78AC"/>
    <w:rsid w:val="00DA7AA2"/>
    <w:rsid w:val="00DA7AAA"/>
    <w:rsid w:val="00DA7B34"/>
    <w:rsid w:val="00DA7D71"/>
    <w:rsid w:val="00DA7F1F"/>
    <w:rsid w:val="00DB001F"/>
    <w:rsid w:val="00DB01F6"/>
    <w:rsid w:val="00DB036E"/>
    <w:rsid w:val="00DB04B1"/>
    <w:rsid w:val="00DB051F"/>
    <w:rsid w:val="00DB0588"/>
    <w:rsid w:val="00DB062E"/>
    <w:rsid w:val="00DB09C3"/>
    <w:rsid w:val="00DB0B46"/>
    <w:rsid w:val="00DB13A2"/>
    <w:rsid w:val="00DB152D"/>
    <w:rsid w:val="00DB16A8"/>
    <w:rsid w:val="00DB18CF"/>
    <w:rsid w:val="00DB1A5A"/>
    <w:rsid w:val="00DB1E8A"/>
    <w:rsid w:val="00DB288E"/>
    <w:rsid w:val="00DB2C3F"/>
    <w:rsid w:val="00DB315D"/>
    <w:rsid w:val="00DB38E7"/>
    <w:rsid w:val="00DB3972"/>
    <w:rsid w:val="00DB413D"/>
    <w:rsid w:val="00DB42CE"/>
    <w:rsid w:val="00DB470A"/>
    <w:rsid w:val="00DB4CE8"/>
    <w:rsid w:val="00DB54C4"/>
    <w:rsid w:val="00DB5B19"/>
    <w:rsid w:val="00DB64B0"/>
    <w:rsid w:val="00DB6521"/>
    <w:rsid w:val="00DB690E"/>
    <w:rsid w:val="00DB69A2"/>
    <w:rsid w:val="00DB6A6F"/>
    <w:rsid w:val="00DB71C4"/>
    <w:rsid w:val="00DB7217"/>
    <w:rsid w:val="00DB75A1"/>
    <w:rsid w:val="00DB779E"/>
    <w:rsid w:val="00DB7816"/>
    <w:rsid w:val="00DB7BD0"/>
    <w:rsid w:val="00DB7C44"/>
    <w:rsid w:val="00DB7CD9"/>
    <w:rsid w:val="00DB7EC4"/>
    <w:rsid w:val="00DB7F43"/>
    <w:rsid w:val="00DC00BC"/>
    <w:rsid w:val="00DC012A"/>
    <w:rsid w:val="00DC0243"/>
    <w:rsid w:val="00DC02EA"/>
    <w:rsid w:val="00DC05EC"/>
    <w:rsid w:val="00DC06CD"/>
    <w:rsid w:val="00DC07C9"/>
    <w:rsid w:val="00DC09DA"/>
    <w:rsid w:val="00DC0BB6"/>
    <w:rsid w:val="00DC1127"/>
    <w:rsid w:val="00DC18E7"/>
    <w:rsid w:val="00DC1B28"/>
    <w:rsid w:val="00DC1B64"/>
    <w:rsid w:val="00DC1B6D"/>
    <w:rsid w:val="00DC1B83"/>
    <w:rsid w:val="00DC1CCA"/>
    <w:rsid w:val="00DC21B9"/>
    <w:rsid w:val="00DC2B9A"/>
    <w:rsid w:val="00DC2D52"/>
    <w:rsid w:val="00DC2F80"/>
    <w:rsid w:val="00DC2FCF"/>
    <w:rsid w:val="00DC2FF1"/>
    <w:rsid w:val="00DC3669"/>
    <w:rsid w:val="00DC3704"/>
    <w:rsid w:val="00DC3809"/>
    <w:rsid w:val="00DC3AD3"/>
    <w:rsid w:val="00DC4594"/>
    <w:rsid w:val="00DC48B7"/>
    <w:rsid w:val="00DC4FA9"/>
    <w:rsid w:val="00DC5135"/>
    <w:rsid w:val="00DC538C"/>
    <w:rsid w:val="00DC6279"/>
    <w:rsid w:val="00DC6D34"/>
    <w:rsid w:val="00DC6FAB"/>
    <w:rsid w:val="00DC7151"/>
    <w:rsid w:val="00DC740C"/>
    <w:rsid w:val="00DC7E84"/>
    <w:rsid w:val="00DD001C"/>
    <w:rsid w:val="00DD099C"/>
    <w:rsid w:val="00DD0BCB"/>
    <w:rsid w:val="00DD0CAE"/>
    <w:rsid w:val="00DD0DB5"/>
    <w:rsid w:val="00DD18E8"/>
    <w:rsid w:val="00DD1AEA"/>
    <w:rsid w:val="00DD1F1C"/>
    <w:rsid w:val="00DD1FB3"/>
    <w:rsid w:val="00DD21DA"/>
    <w:rsid w:val="00DD2313"/>
    <w:rsid w:val="00DD2ED4"/>
    <w:rsid w:val="00DD316D"/>
    <w:rsid w:val="00DD35C7"/>
    <w:rsid w:val="00DD3790"/>
    <w:rsid w:val="00DD37B1"/>
    <w:rsid w:val="00DD3B58"/>
    <w:rsid w:val="00DD4B1A"/>
    <w:rsid w:val="00DD55DA"/>
    <w:rsid w:val="00DD5658"/>
    <w:rsid w:val="00DD5C50"/>
    <w:rsid w:val="00DD5D31"/>
    <w:rsid w:val="00DD5EA3"/>
    <w:rsid w:val="00DD60B0"/>
    <w:rsid w:val="00DD60E5"/>
    <w:rsid w:val="00DD6544"/>
    <w:rsid w:val="00DD6663"/>
    <w:rsid w:val="00DD6985"/>
    <w:rsid w:val="00DD69EB"/>
    <w:rsid w:val="00DD6F34"/>
    <w:rsid w:val="00DD7379"/>
    <w:rsid w:val="00DD75B8"/>
    <w:rsid w:val="00DD7650"/>
    <w:rsid w:val="00DD7F5E"/>
    <w:rsid w:val="00DD7FA7"/>
    <w:rsid w:val="00DE059B"/>
    <w:rsid w:val="00DE0843"/>
    <w:rsid w:val="00DE09A4"/>
    <w:rsid w:val="00DE0E1A"/>
    <w:rsid w:val="00DE1568"/>
    <w:rsid w:val="00DE192C"/>
    <w:rsid w:val="00DE1C19"/>
    <w:rsid w:val="00DE215F"/>
    <w:rsid w:val="00DE227F"/>
    <w:rsid w:val="00DE3327"/>
    <w:rsid w:val="00DE41A5"/>
    <w:rsid w:val="00DE44AF"/>
    <w:rsid w:val="00DE466F"/>
    <w:rsid w:val="00DE4D2E"/>
    <w:rsid w:val="00DE4F7D"/>
    <w:rsid w:val="00DE5014"/>
    <w:rsid w:val="00DE50B7"/>
    <w:rsid w:val="00DE59F0"/>
    <w:rsid w:val="00DE624A"/>
    <w:rsid w:val="00DE67F7"/>
    <w:rsid w:val="00DE6A98"/>
    <w:rsid w:val="00DE6B06"/>
    <w:rsid w:val="00DE72C0"/>
    <w:rsid w:val="00DE76B4"/>
    <w:rsid w:val="00DE77A2"/>
    <w:rsid w:val="00DE7830"/>
    <w:rsid w:val="00DE7A65"/>
    <w:rsid w:val="00DE7C57"/>
    <w:rsid w:val="00DE7D7B"/>
    <w:rsid w:val="00DE7E7B"/>
    <w:rsid w:val="00DE7F14"/>
    <w:rsid w:val="00DF03C8"/>
    <w:rsid w:val="00DF0987"/>
    <w:rsid w:val="00DF101E"/>
    <w:rsid w:val="00DF137C"/>
    <w:rsid w:val="00DF1616"/>
    <w:rsid w:val="00DF1936"/>
    <w:rsid w:val="00DF1BE5"/>
    <w:rsid w:val="00DF1DEA"/>
    <w:rsid w:val="00DF1E53"/>
    <w:rsid w:val="00DF24E0"/>
    <w:rsid w:val="00DF277C"/>
    <w:rsid w:val="00DF2B9D"/>
    <w:rsid w:val="00DF2C17"/>
    <w:rsid w:val="00DF3332"/>
    <w:rsid w:val="00DF3397"/>
    <w:rsid w:val="00DF3483"/>
    <w:rsid w:val="00DF35B6"/>
    <w:rsid w:val="00DF3C4C"/>
    <w:rsid w:val="00DF3CE9"/>
    <w:rsid w:val="00DF3D74"/>
    <w:rsid w:val="00DF4036"/>
    <w:rsid w:val="00DF448E"/>
    <w:rsid w:val="00DF4B53"/>
    <w:rsid w:val="00DF4E00"/>
    <w:rsid w:val="00DF576A"/>
    <w:rsid w:val="00DF5ED7"/>
    <w:rsid w:val="00DF5F21"/>
    <w:rsid w:val="00DF6370"/>
    <w:rsid w:val="00DF63A4"/>
    <w:rsid w:val="00DF66D7"/>
    <w:rsid w:val="00DF670A"/>
    <w:rsid w:val="00DF691C"/>
    <w:rsid w:val="00DF6CCF"/>
    <w:rsid w:val="00DF6DBD"/>
    <w:rsid w:val="00DF718A"/>
    <w:rsid w:val="00DF7408"/>
    <w:rsid w:val="00E000EC"/>
    <w:rsid w:val="00E00539"/>
    <w:rsid w:val="00E008F2"/>
    <w:rsid w:val="00E00A74"/>
    <w:rsid w:val="00E00EEC"/>
    <w:rsid w:val="00E01BC4"/>
    <w:rsid w:val="00E02301"/>
    <w:rsid w:val="00E0237C"/>
    <w:rsid w:val="00E0279A"/>
    <w:rsid w:val="00E03810"/>
    <w:rsid w:val="00E03E80"/>
    <w:rsid w:val="00E04003"/>
    <w:rsid w:val="00E0431F"/>
    <w:rsid w:val="00E04401"/>
    <w:rsid w:val="00E0444E"/>
    <w:rsid w:val="00E046BD"/>
    <w:rsid w:val="00E0473D"/>
    <w:rsid w:val="00E048DC"/>
    <w:rsid w:val="00E04EE9"/>
    <w:rsid w:val="00E0523B"/>
    <w:rsid w:val="00E058A7"/>
    <w:rsid w:val="00E05964"/>
    <w:rsid w:val="00E05DCD"/>
    <w:rsid w:val="00E060B5"/>
    <w:rsid w:val="00E06192"/>
    <w:rsid w:val="00E06384"/>
    <w:rsid w:val="00E07590"/>
    <w:rsid w:val="00E076D5"/>
    <w:rsid w:val="00E07D62"/>
    <w:rsid w:val="00E1001B"/>
    <w:rsid w:val="00E10855"/>
    <w:rsid w:val="00E11393"/>
    <w:rsid w:val="00E11442"/>
    <w:rsid w:val="00E118B8"/>
    <w:rsid w:val="00E1197A"/>
    <w:rsid w:val="00E11CE2"/>
    <w:rsid w:val="00E12040"/>
    <w:rsid w:val="00E123CB"/>
    <w:rsid w:val="00E12539"/>
    <w:rsid w:val="00E1307B"/>
    <w:rsid w:val="00E1341C"/>
    <w:rsid w:val="00E13611"/>
    <w:rsid w:val="00E136F5"/>
    <w:rsid w:val="00E13F6B"/>
    <w:rsid w:val="00E1446B"/>
    <w:rsid w:val="00E145DF"/>
    <w:rsid w:val="00E14602"/>
    <w:rsid w:val="00E149F4"/>
    <w:rsid w:val="00E14E54"/>
    <w:rsid w:val="00E15221"/>
    <w:rsid w:val="00E15C1D"/>
    <w:rsid w:val="00E16222"/>
    <w:rsid w:val="00E16C8E"/>
    <w:rsid w:val="00E1718F"/>
    <w:rsid w:val="00E178CF"/>
    <w:rsid w:val="00E17A67"/>
    <w:rsid w:val="00E20033"/>
    <w:rsid w:val="00E20064"/>
    <w:rsid w:val="00E20195"/>
    <w:rsid w:val="00E203E4"/>
    <w:rsid w:val="00E2076F"/>
    <w:rsid w:val="00E20785"/>
    <w:rsid w:val="00E2078A"/>
    <w:rsid w:val="00E20D9C"/>
    <w:rsid w:val="00E211BE"/>
    <w:rsid w:val="00E219C7"/>
    <w:rsid w:val="00E21C4D"/>
    <w:rsid w:val="00E21F5B"/>
    <w:rsid w:val="00E2215C"/>
    <w:rsid w:val="00E22659"/>
    <w:rsid w:val="00E2297E"/>
    <w:rsid w:val="00E22DB7"/>
    <w:rsid w:val="00E22E3D"/>
    <w:rsid w:val="00E2313A"/>
    <w:rsid w:val="00E234CE"/>
    <w:rsid w:val="00E23508"/>
    <w:rsid w:val="00E23872"/>
    <w:rsid w:val="00E239FC"/>
    <w:rsid w:val="00E23CA8"/>
    <w:rsid w:val="00E23ED2"/>
    <w:rsid w:val="00E240D4"/>
    <w:rsid w:val="00E24237"/>
    <w:rsid w:val="00E24467"/>
    <w:rsid w:val="00E2453A"/>
    <w:rsid w:val="00E247B8"/>
    <w:rsid w:val="00E2489D"/>
    <w:rsid w:val="00E24BA2"/>
    <w:rsid w:val="00E25A46"/>
    <w:rsid w:val="00E25DCC"/>
    <w:rsid w:val="00E25E92"/>
    <w:rsid w:val="00E25EF8"/>
    <w:rsid w:val="00E264D8"/>
    <w:rsid w:val="00E26A58"/>
    <w:rsid w:val="00E26AF8"/>
    <w:rsid w:val="00E2723D"/>
    <w:rsid w:val="00E272E0"/>
    <w:rsid w:val="00E27484"/>
    <w:rsid w:val="00E27C73"/>
    <w:rsid w:val="00E300D3"/>
    <w:rsid w:val="00E3016B"/>
    <w:rsid w:val="00E3088E"/>
    <w:rsid w:val="00E3181A"/>
    <w:rsid w:val="00E31B88"/>
    <w:rsid w:val="00E31BF9"/>
    <w:rsid w:val="00E31D6B"/>
    <w:rsid w:val="00E3224B"/>
    <w:rsid w:val="00E323D5"/>
    <w:rsid w:val="00E3255F"/>
    <w:rsid w:val="00E327B6"/>
    <w:rsid w:val="00E32C1D"/>
    <w:rsid w:val="00E33506"/>
    <w:rsid w:val="00E33E89"/>
    <w:rsid w:val="00E33E8A"/>
    <w:rsid w:val="00E3476C"/>
    <w:rsid w:val="00E3490E"/>
    <w:rsid w:val="00E34B72"/>
    <w:rsid w:val="00E35001"/>
    <w:rsid w:val="00E35563"/>
    <w:rsid w:val="00E35718"/>
    <w:rsid w:val="00E357A3"/>
    <w:rsid w:val="00E3585C"/>
    <w:rsid w:val="00E35D83"/>
    <w:rsid w:val="00E35DC8"/>
    <w:rsid w:val="00E360E8"/>
    <w:rsid w:val="00E361E9"/>
    <w:rsid w:val="00E363D9"/>
    <w:rsid w:val="00E365A2"/>
    <w:rsid w:val="00E36CBD"/>
    <w:rsid w:val="00E36D1A"/>
    <w:rsid w:val="00E372EF"/>
    <w:rsid w:val="00E37B46"/>
    <w:rsid w:val="00E37DC0"/>
    <w:rsid w:val="00E37EB8"/>
    <w:rsid w:val="00E37EE1"/>
    <w:rsid w:val="00E40020"/>
    <w:rsid w:val="00E402E9"/>
    <w:rsid w:val="00E40345"/>
    <w:rsid w:val="00E408E4"/>
    <w:rsid w:val="00E41029"/>
    <w:rsid w:val="00E41263"/>
    <w:rsid w:val="00E412B5"/>
    <w:rsid w:val="00E41353"/>
    <w:rsid w:val="00E4152C"/>
    <w:rsid w:val="00E41B52"/>
    <w:rsid w:val="00E41CD4"/>
    <w:rsid w:val="00E420B7"/>
    <w:rsid w:val="00E4263F"/>
    <w:rsid w:val="00E426C8"/>
    <w:rsid w:val="00E42C8E"/>
    <w:rsid w:val="00E42E41"/>
    <w:rsid w:val="00E42EB1"/>
    <w:rsid w:val="00E42F53"/>
    <w:rsid w:val="00E43140"/>
    <w:rsid w:val="00E4317E"/>
    <w:rsid w:val="00E435C8"/>
    <w:rsid w:val="00E436EF"/>
    <w:rsid w:val="00E43AC5"/>
    <w:rsid w:val="00E43C56"/>
    <w:rsid w:val="00E4453C"/>
    <w:rsid w:val="00E454AB"/>
    <w:rsid w:val="00E457E4"/>
    <w:rsid w:val="00E45AC6"/>
    <w:rsid w:val="00E45F60"/>
    <w:rsid w:val="00E45F7A"/>
    <w:rsid w:val="00E4650A"/>
    <w:rsid w:val="00E46AF3"/>
    <w:rsid w:val="00E472FA"/>
    <w:rsid w:val="00E478C4"/>
    <w:rsid w:val="00E47A0F"/>
    <w:rsid w:val="00E47FAA"/>
    <w:rsid w:val="00E500A1"/>
    <w:rsid w:val="00E5069B"/>
    <w:rsid w:val="00E5071B"/>
    <w:rsid w:val="00E50787"/>
    <w:rsid w:val="00E50C5A"/>
    <w:rsid w:val="00E511D9"/>
    <w:rsid w:val="00E513E7"/>
    <w:rsid w:val="00E518AD"/>
    <w:rsid w:val="00E519C7"/>
    <w:rsid w:val="00E51CE3"/>
    <w:rsid w:val="00E51FDD"/>
    <w:rsid w:val="00E51FE9"/>
    <w:rsid w:val="00E520F1"/>
    <w:rsid w:val="00E521A9"/>
    <w:rsid w:val="00E52257"/>
    <w:rsid w:val="00E525AD"/>
    <w:rsid w:val="00E5268B"/>
    <w:rsid w:val="00E52A4F"/>
    <w:rsid w:val="00E52D0D"/>
    <w:rsid w:val="00E52D28"/>
    <w:rsid w:val="00E53225"/>
    <w:rsid w:val="00E53316"/>
    <w:rsid w:val="00E53E67"/>
    <w:rsid w:val="00E53FA3"/>
    <w:rsid w:val="00E54746"/>
    <w:rsid w:val="00E54780"/>
    <w:rsid w:val="00E54792"/>
    <w:rsid w:val="00E54833"/>
    <w:rsid w:val="00E54FA8"/>
    <w:rsid w:val="00E55110"/>
    <w:rsid w:val="00E551C4"/>
    <w:rsid w:val="00E553F9"/>
    <w:rsid w:val="00E554EF"/>
    <w:rsid w:val="00E557EA"/>
    <w:rsid w:val="00E55821"/>
    <w:rsid w:val="00E5583B"/>
    <w:rsid w:val="00E558E7"/>
    <w:rsid w:val="00E55C73"/>
    <w:rsid w:val="00E55D9B"/>
    <w:rsid w:val="00E56044"/>
    <w:rsid w:val="00E56271"/>
    <w:rsid w:val="00E56385"/>
    <w:rsid w:val="00E568A6"/>
    <w:rsid w:val="00E57091"/>
    <w:rsid w:val="00E5769C"/>
    <w:rsid w:val="00E579D5"/>
    <w:rsid w:val="00E57B15"/>
    <w:rsid w:val="00E57BC5"/>
    <w:rsid w:val="00E57F11"/>
    <w:rsid w:val="00E57FCF"/>
    <w:rsid w:val="00E604E2"/>
    <w:rsid w:val="00E6052B"/>
    <w:rsid w:val="00E60791"/>
    <w:rsid w:val="00E60B1C"/>
    <w:rsid w:val="00E61067"/>
    <w:rsid w:val="00E61D0D"/>
    <w:rsid w:val="00E61F17"/>
    <w:rsid w:val="00E620C8"/>
    <w:rsid w:val="00E620E3"/>
    <w:rsid w:val="00E62260"/>
    <w:rsid w:val="00E62642"/>
    <w:rsid w:val="00E6280B"/>
    <w:rsid w:val="00E62B24"/>
    <w:rsid w:val="00E62C59"/>
    <w:rsid w:val="00E62E4B"/>
    <w:rsid w:val="00E63469"/>
    <w:rsid w:val="00E63639"/>
    <w:rsid w:val="00E63732"/>
    <w:rsid w:val="00E638EE"/>
    <w:rsid w:val="00E63E52"/>
    <w:rsid w:val="00E64127"/>
    <w:rsid w:val="00E64257"/>
    <w:rsid w:val="00E645C7"/>
    <w:rsid w:val="00E64BD0"/>
    <w:rsid w:val="00E64DFA"/>
    <w:rsid w:val="00E6519F"/>
    <w:rsid w:val="00E651B6"/>
    <w:rsid w:val="00E65C37"/>
    <w:rsid w:val="00E65EBD"/>
    <w:rsid w:val="00E66495"/>
    <w:rsid w:val="00E6649F"/>
    <w:rsid w:val="00E667F7"/>
    <w:rsid w:val="00E67342"/>
    <w:rsid w:val="00E67405"/>
    <w:rsid w:val="00E6779B"/>
    <w:rsid w:val="00E678A7"/>
    <w:rsid w:val="00E67AAD"/>
    <w:rsid w:val="00E67E58"/>
    <w:rsid w:val="00E67EC8"/>
    <w:rsid w:val="00E67F0F"/>
    <w:rsid w:val="00E70478"/>
    <w:rsid w:val="00E70517"/>
    <w:rsid w:val="00E70951"/>
    <w:rsid w:val="00E7112C"/>
    <w:rsid w:val="00E71586"/>
    <w:rsid w:val="00E71BBC"/>
    <w:rsid w:val="00E71F84"/>
    <w:rsid w:val="00E71FCC"/>
    <w:rsid w:val="00E72047"/>
    <w:rsid w:val="00E7236D"/>
    <w:rsid w:val="00E727C5"/>
    <w:rsid w:val="00E728B4"/>
    <w:rsid w:val="00E72C6A"/>
    <w:rsid w:val="00E72F2F"/>
    <w:rsid w:val="00E7310D"/>
    <w:rsid w:val="00E73178"/>
    <w:rsid w:val="00E73B07"/>
    <w:rsid w:val="00E73BA1"/>
    <w:rsid w:val="00E73EB7"/>
    <w:rsid w:val="00E74214"/>
    <w:rsid w:val="00E7495E"/>
    <w:rsid w:val="00E74F13"/>
    <w:rsid w:val="00E75C96"/>
    <w:rsid w:val="00E75F4B"/>
    <w:rsid w:val="00E75F60"/>
    <w:rsid w:val="00E75F82"/>
    <w:rsid w:val="00E760E6"/>
    <w:rsid w:val="00E76292"/>
    <w:rsid w:val="00E762D9"/>
    <w:rsid w:val="00E7642D"/>
    <w:rsid w:val="00E766A7"/>
    <w:rsid w:val="00E77074"/>
    <w:rsid w:val="00E770F1"/>
    <w:rsid w:val="00E7718F"/>
    <w:rsid w:val="00E773D8"/>
    <w:rsid w:val="00E77438"/>
    <w:rsid w:val="00E7747C"/>
    <w:rsid w:val="00E77597"/>
    <w:rsid w:val="00E775B3"/>
    <w:rsid w:val="00E77D68"/>
    <w:rsid w:val="00E8036B"/>
    <w:rsid w:val="00E805EC"/>
    <w:rsid w:val="00E80E98"/>
    <w:rsid w:val="00E8145C"/>
    <w:rsid w:val="00E8152E"/>
    <w:rsid w:val="00E81D8B"/>
    <w:rsid w:val="00E81DE2"/>
    <w:rsid w:val="00E81FCF"/>
    <w:rsid w:val="00E82005"/>
    <w:rsid w:val="00E82052"/>
    <w:rsid w:val="00E82141"/>
    <w:rsid w:val="00E82A77"/>
    <w:rsid w:val="00E82A98"/>
    <w:rsid w:val="00E82B7A"/>
    <w:rsid w:val="00E8303E"/>
    <w:rsid w:val="00E837F8"/>
    <w:rsid w:val="00E83B9A"/>
    <w:rsid w:val="00E83F03"/>
    <w:rsid w:val="00E84275"/>
    <w:rsid w:val="00E84AE4"/>
    <w:rsid w:val="00E84CDE"/>
    <w:rsid w:val="00E84D9D"/>
    <w:rsid w:val="00E84FAB"/>
    <w:rsid w:val="00E8503C"/>
    <w:rsid w:val="00E852EA"/>
    <w:rsid w:val="00E8533E"/>
    <w:rsid w:val="00E8545A"/>
    <w:rsid w:val="00E8570A"/>
    <w:rsid w:val="00E85850"/>
    <w:rsid w:val="00E86072"/>
    <w:rsid w:val="00E86730"/>
    <w:rsid w:val="00E86CF7"/>
    <w:rsid w:val="00E86F0B"/>
    <w:rsid w:val="00E87127"/>
    <w:rsid w:val="00E8745F"/>
    <w:rsid w:val="00E879CD"/>
    <w:rsid w:val="00E879F4"/>
    <w:rsid w:val="00E87D1A"/>
    <w:rsid w:val="00E87D40"/>
    <w:rsid w:val="00E87E25"/>
    <w:rsid w:val="00E903A4"/>
    <w:rsid w:val="00E90C77"/>
    <w:rsid w:val="00E91920"/>
    <w:rsid w:val="00E91A11"/>
    <w:rsid w:val="00E92047"/>
    <w:rsid w:val="00E92139"/>
    <w:rsid w:val="00E92161"/>
    <w:rsid w:val="00E9299B"/>
    <w:rsid w:val="00E929D7"/>
    <w:rsid w:val="00E92AD8"/>
    <w:rsid w:val="00E92AE1"/>
    <w:rsid w:val="00E92C7A"/>
    <w:rsid w:val="00E9344B"/>
    <w:rsid w:val="00E934A6"/>
    <w:rsid w:val="00E936DB"/>
    <w:rsid w:val="00E938AB"/>
    <w:rsid w:val="00E9415E"/>
    <w:rsid w:val="00E946D6"/>
    <w:rsid w:val="00E94890"/>
    <w:rsid w:val="00E94919"/>
    <w:rsid w:val="00E94A74"/>
    <w:rsid w:val="00E9508F"/>
    <w:rsid w:val="00E9590E"/>
    <w:rsid w:val="00E95A26"/>
    <w:rsid w:val="00E95B35"/>
    <w:rsid w:val="00E95D04"/>
    <w:rsid w:val="00E962CA"/>
    <w:rsid w:val="00E968A5"/>
    <w:rsid w:val="00E96AF0"/>
    <w:rsid w:val="00E96C17"/>
    <w:rsid w:val="00E96FD8"/>
    <w:rsid w:val="00E9722E"/>
    <w:rsid w:val="00E975CC"/>
    <w:rsid w:val="00E97838"/>
    <w:rsid w:val="00E97D2B"/>
    <w:rsid w:val="00EA029D"/>
    <w:rsid w:val="00EA0C27"/>
    <w:rsid w:val="00EA0E88"/>
    <w:rsid w:val="00EA186A"/>
    <w:rsid w:val="00EA1911"/>
    <w:rsid w:val="00EA1F03"/>
    <w:rsid w:val="00EA29BD"/>
    <w:rsid w:val="00EA2D9E"/>
    <w:rsid w:val="00EA37DC"/>
    <w:rsid w:val="00EA3B20"/>
    <w:rsid w:val="00EA43A9"/>
    <w:rsid w:val="00EA4F33"/>
    <w:rsid w:val="00EA5178"/>
    <w:rsid w:val="00EA5B49"/>
    <w:rsid w:val="00EA5F03"/>
    <w:rsid w:val="00EA6063"/>
    <w:rsid w:val="00EA68BA"/>
    <w:rsid w:val="00EA6A13"/>
    <w:rsid w:val="00EA6C45"/>
    <w:rsid w:val="00EA6D9E"/>
    <w:rsid w:val="00EA6DF0"/>
    <w:rsid w:val="00EA7530"/>
    <w:rsid w:val="00EA76AE"/>
    <w:rsid w:val="00EA7859"/>
    <w:rsid w:val="00EA7FB7"/>
    <w:rsid w:val="00EB089E"/>
    <w:rsid w:val="00EB0A87"/>
    <w:rsid w:val="00EB0C16"/>
    <w:rsid w:val="00EB0FF7"/>
    <w:rsid w:val="00EB1220"/>
    <w:rsid w:val="00EB142E"/>
    <w:rsid w:val="00EB161E"/>
    <w:rsid w:val="00EB1825"/>
    <w:rsid w:val="00EB18DE"/>
    <w:rsid w:val="00EB1BB0"/>
    <w:rsid w:val="00EB1DF1"/>
    <w:rsid w:val="00EB1EB7"/>
    <w:rsid w:val="00EB226C"/>
    <w:rsid w:val="00EB23DB"/>
    <w:rsid w:val="00EB24EB"/>
    <w:rsid w:val="00EB24F5"/>
    <w:rsid w:val="00EB2DA0"/>
    <w:rsid w:val="00EB2E50"/>
    <w:rsid w:val="00EB2FD3"/>
    <w:rsid w:val="00EB314D"/>
    <w:rsid w:val="00EB34D7"/>
    <w:rsid w:val="00EB36F0"/>
    <w:rsid w:val="00EB3890"/>
    <w:rsid w:val="00EB3D34"/>
    <w:rsid w:val="00EB3E4A"/>
    <w:rsid w:val="00EB4030"/>
    <w:rsid w:val="00EB40F1"/>
    <w:rsid w:val="00EB451F"/>
    <w:rsid w:val="00EB4535"/>
    <w:rsid w:val="00EB4591"/>
    <w:rsid w:val="00EB4F6B"/>
    <w:rsid w:val="00EB5050"/>
    <w:rsid w:val="00EB5263"/>
    <w:rsid w:val="00EB53BD"/>
    <w:rsid w:val="00EB5595"/>
    <w:rsid w:val="00EB5878"/>
    <w:rsid w:val="00EB5A7D"/>
    <w:rsid w:val="00EB5AD3"/>
    <w:rsid w:val="00EB5E17"/>
    <w:rsid w:val="00EB5E37"/>
    <w:rsid w:val="00EB5F69"/>
    <w:rsid w:val="00EB6093"/>
    <w:rsid w:val="00EB62A2"/>
    <w:rsid w:val="00EB6797"/>
    <w:rsid w:val="00EB6E2A"/>
    <w:rsid w:val="00EB707F"/>
    <w:rsid w:val="00EB72EE"/>
    <w:rsid w:val="00EB74A8"/>
    <w:rsid w:val="00EB77B2"/>
    <w:rsid w:val="00EB793E"/>
    <w:rsid w:val="00EC0110"/>
    <w:rsid w:val="00EC017F"/>
    <w:rsid w:val="00EC02E7"/>
    <w:rsid w:val="00EC0AD6"/>
    <w:rsid w:val="00EC0C67"/>
    <w:rsid w:val="00EC0D68"/>
    <w:rsid w:val="00EC1498"/>
    <w:rsid w:val="00EC1978"/>
    <w:rsid w:val="00EC1C5E"/>
    <w:rsid w:val="00EC1F21"/>
    <w:rsid w:val="00EC2065"/>
    <w:rsid w:val="00EC260E"/>
    <w:rsid w:val="00EC280D"/>
    <w:rsid w:val="00EC31D5"/>
    <w:rsid w:val="00EC3933"/>
    <w:rsid w:val="00EC39E5"/>
    <w:rsid w:val="00EC3B3F"/>
    <w:rsid w:val="00EC460F"/>
    <w:rsid w:val="00EC4711"/>
    <w:rsid w:val="00EC4A50"/>
    <w:rsid w:val="00EC4B11"/>
    <w:rsid w:val="00EC4E81"/>
    <w:rsid w:val="00EC4F2F"/>
    <w:rsid w:val="00EC5465"/>
    <w:rsid w:val="00EC5543"/>
    <w:rsid w:val="00EC5A3D"/>
    <w:rsid w:val="00EC65B5"/>
    <w:rsid w:val="00EC67AB"/>
    <w:rsid w:val="00EC6E8F"/>
    <w:rsid w:val="00ED0357"/>
    <w:rsid w:val="00ED03A2"/>
    <w:rsid w:val="00ED0CB6"/>
    <w:rsid w:val="00ED0D48"/>
    <w:rsid w:val="00ED0EC5"/>
    <w:rsid w:val="00ED0F1C"/>
    <w:rsid w:val="00ED1198"/>
    <w:rsid w:val="00ED1B23"/>
    <w:rsid w:val="00ED210B"/>
    <w:rsid w:val="00ED221E"/>
    <w:rsid w:val="00ED22F6"/>
    <w:rsid w:val="00ED24B7"/>
    <w:rsid w:val="00ED24E3"/>
    <w:rsid w:val="00ED2972"/>
    <w:rsid w:val="00ED29F5"/>
    <w:rsid w:val="00ED32A2"/>
    <w:rsid w:val="00ED32F0"/>
    <w:rsid w:val="00ED37FE"/>
    <w:rsid w:val="00ED4508"/>
    <w:rsid w:val="00ED45B5"/>
    <w:rsid w:val="00ED47FF"/>
    <w:rsid w:val="00ED4917"/>
    <w:rsid w:val="00ED4972"/>
    <w:rsid w:val="00ED4BCD"/>
    <w:rsid w:val="00ED513D"/>
    <w:rsid w:val="00ED5E44"/>
    <w:rsid w:val="00ED5E93"/>
    <w:rsid w:val="00ED6084"/>
    <w:rsid w:val="00ED63AC"/>
    <w:rsid w:val="00ED684E"/>
    <w:rsid w:val="00ED6900"/>
    <w:rsid w:val="00ED69D8"/>
    <w:rsid w:val="00ED6DFC"/>
    <w:rsid w:val="00ED74DA"/>
    <w:rsid w:val="00ED74F6"/>
    <w:rsid w:val="00ED7706"/>
    <w:rsid w:val="00ED779D"/>
    <w:rsid w:val="00ED7A49"/>
    <w:rsid w:val="00ED7B4E"/>
    <w:rsid w:val="00ED7B71"/>
    <w:rsid w:val="00ED7F78"/>
    <w:rsid w:val="00ED7FE7"/>
    <w:rsid w:val="00EE02B8"/>
    <w:rsid w:val="00EE05DC"/>
    <w:rsid w:val="00EE062A"/>
    <w:rsid w:val="00EE0AAA"/>
    <w:rsid w:val="00EE0D83"/>
    <w:rsid w:val="00EE0FD4"/>
    <w:rsid w:val="00EE1337"/>
    <w:rsid w:val="00EE149C"/>
    <w:rsid w:val="00EE194B"/>
    <w:rsid w:val="00EE1C7A"/>
    <w:rsid w:val="00EE1D36"/>
    <w:rsid w:val="00EE1E72"/>
    <w:rsid w:val="00EE21A9"/>
    <w:rsid w:val="00EE268B"/>
    <w:rsid w:val="00EE28D1"/>
    <w:rsid w:val="00EE31FD"/>
    <w:rsid w:val="00EE338D"/>
    <w:rsid w:val="00EE36F0"/>
    <w:rsid w:val="00EE3E31"/>
    <w:rsid w:val="00EE4011"/>
    <w:rsid w:val="00EE434E"/>
    <w:rsid w:val="00EE4493"/>
    <w:rsid w:val="00EE44D0"/>
    <w:rsid w:val="00EE4533"/>
    <w:rsid w:val="00EE47AD"/>
    <w:rsid w:val="00EE486D"/>
    <w:rsid w:val="00EE48C3"/>
    <w:rsid w:val="00EE4F25"/>
    <w:rsid w:val="00EE5434"/>
    <w:rsid w:val="00EE55BE"/>
    <w:rsid w:val="00EE565D"/>
    <w:rsid w:val="00EE587B"/>
    <w:rsid w:val="00EE5C4A"/>
    <w:rsid w:val="00EE6157"/>
    <w:rsid w:val="00EE61AE"/>
    <w:rsid w:val="00EE62B2"/>
    <w:rsid w:val="00EE63A4"/>
    <w:rsid w:val="00EE65AC"/>
    <w:rsid w:val="00EE6719"/>
    <w:rsid w:val="00EE68C3"/>
    <w:rsid w:val="00EE6F43"/>
    <w:rsid w:val="00EF0079"/>
    <w:rsid w:val="00EF0B03"/>
    <w:rsid w:val="00EF0B6B"/>
    <w:rsid w:val="00EF0FA1"/>
    <w:rsid w:val="00EF12DE"/>
    <w:rsid w:val="00EF1424"/>
    <w:rsid w:val="00EF1E97"/>
    <w:rsid w:val="00EF27F8"/>
    <w:rsid w:val="00EF29A1"/>
    <w:rsid w:val="00EF29C8"/>
    <w:rsid w:val="00EF2BBE"/>
    <w:rsid w:val="00EF30DE"/>
    <w:rsid w:val="00EF32F5"/>
    <w:rsid w:val="00EF351D"/>
    <w:rsid w:val="00EF374F"/>
    <w:rsid w:val="00EF394D"/>
    <w:rsid w:val="00EF3CC1"/>
    <w:rsid w:val="00EF42D0"/>
    <w:rsid w:val="00EF43A1"/>
    <w:rsid w:val="00EF43EB"/>
    <w:rsid w:val="00EF451B"/>
    <w:rsid w:val="00EF49D7"/>
    <w:rsid w:val="00EF4F64"/>
    <w:rsid w:val="00EF51EB"/>
    <w:rsid w:val="00EF53BA"/>
    <w:rsid w:val="00EF5409"/>
    <w:rsid w:val="00EF5616"/>
    <w:rsid w:val="00EF5C6A"/>
    <w:rsid w:val="00EF5D3D"/>
    <w:rsid w:val="00EF6088"/>
    <w:rsid w:val="00EF6334"/>
    <w:rsid w:val="00EF69F4"/>
    <w:rsid w:val="00EF6B7A"/>
    <w:rsid w:val="00EF6FD9"/>
    <w:rsid w:val="00EF7191"/>
    <w:rsid w:val="00EF7446"/>
    <w:rsid w:val="00EF7F37"/>
    <w:rsid w:val="00F000CF"/>
    <w:rsid w:val="00F00181"/>
    <w:rsid w:val="00F001EE"/>
    <w:rsid w:val="00F00765"/>
    <w:rsid w:val="00F00B23"/>
    <w:rsid w:val="00F016EE"/>
    <w:rsid w:val="00F017F9"/>
    <w:rsid w:val="00F01ED2"/>
    <w:rsid w:val="00F022B4"/>
    <w:rsid w:val="00F02520"/>
    <w:rsid w:val="00F027E4"/>
    <w:rsid w:val="00F028E7"/>
    <w:rsid w:val="00F02A61"/>
    <w:rsid w:val="00F02BBE"/>
    <w:rsid w:val="00F02EAB"/>
    <w:rsid w:val="00F030DC"/>
    <w:rsid w:val="00F03338"/>
    <w:rsid w:val="00F03495"/>
    <w:rsid w:val="00F03566"/>
    <w:rsid w:val="00F03DB7"/>
    <w:rsid w:val="00F03E50"/>
    <w:rsid w:val="00F04383"/>
    <w:rsid w:val="00F048CF"/>
    <w:rsid w:val="00F049E4"/>
    <w:rsid w:val="00F04C6F"/>
    <w:rsid w:val="00F0523E"/>
    <w:rsid w:val="00F0542F"/>
    <w:rsid w:val="00F055B6"/>
    <w:rsid w:val="00F055CE"/>
    <w:rsid w:val="00F05762"/>
    <w:rsid w:val="00F05AE8"/>
    <w:rsid w:val="00F06116"/>
    <w:rsid w:val="00F065C9"/>
    <w:rsid w:val="00F06F52"/>
    <w:rsid w:val="00F07143"/>
    <w:rsid w:val="00F071CE"/>
    <w:rsid w:val="00F072C9"/>
    <w:rsid w:val="00F07489"/>
    <w:rsid w:val="00F07A2C"/>
    <w:rsid w:val="00F07F1D"/>
    <w:rsid w:val="00F10157"/>
    <w:rsid w:val="00F101A8"/>
    <w:rsid w:val="00F10411"/>
    <w:rsid w:val="00F1043F"/>
    <w:rsid w:val="00F107C8"/>
    <w:rsid w:val="00F11247"/>
    <w:rsid w:val="00F113C7"/>
    <w:rsid w:val="00F115B8"/>
    <w:rsid w:val="00F11743"/>
    <w:rsid w:val="00F11E08"/>
    <w:rsid w:val="00F11E7F"/>
    <w:rsid w:val="00F12131"/>
    <w:rsid w:val="00F12794"/>
    <w:rsid w:val="00F1291B"/>
    <w:rsid w:val="00F12CE0"/>
    <w:rsid w:val="00F12EA1"/>
    <w:rsid w:val="00F12F75"/>
    <w:rsid w:val="00F130ED"/>
    <w:rsid w:val="00F1383D"/>
    <w:rsid w:val="00F13E5E"/>
    <w:rsid w:val="00F14352"/>
    <w:rsid w:val="00F144DB"/>
    <w:rsid w:val="00F14D8D"/>
    <w:rsid w:val="00F14F9D"/>
    <w:rsid w:val="00F150F5"/>
    <w:rsid w:val="00F151FF"/>
    <w:rsid w:val="00F1533F"/>
    <w:rsid w:val="00F155E5"/>
    <w:rsid w:val="00F157EE"/>
    <w:rsid w:val="00F15E18"/>
    <w:rsid w:val="00F15E8B"/>
    <w:rsid w:val="00F1660C"/>
    <w:rsid w:val="00F16942"/>
    <w:rsid w:val="00F16DF2"/>
    <w:rsid w:val="00F1784F"/>
    <w:rsid w:val="00F17C25"/>
    <w:rsid w:val="00F17D81"/>
    <w:rsid w:val="00F17FEB"/>
    <w:rsid w:val="00F201BD"/>
    <w:rsid w:val="00F206D0"/>
    <w:rsid w:val="00F21089"/>
    <w:rsid w:val="00F211E4"/>
    <w:rsid w:val="00F215B4"/>
    <w:rsid w:val="00F21B20"/>
    <w:rsid w:val="00F220A7"/>
    <w:rsid w:val="00F2232F"/>
    <w:rsid w:val="00F22BD3"/>
    <w:rsid w:val="00F22BEC"/>
    <w:rsid w:val="00F23224"/>
    <w:rsid w:val="00F2328E"/>
    <w:rsid w:val="00F23516"/>
    <w:rsid w:val="00F23A16"/>
    <w:rsid w:val="00F23AE2"/>
    <w:rsid w:val="00F23D87"/>
    <w:rsid w:val="00F2413A"/>
    <w:rsid w:val="00F2478B"/>
    <w:rsid w:val="00F24804"/>
    <w:rsid w:val="00F248C2"/>
    <w:rsid w:val="00F24D2D"/>
    <w:rsid w:val="00F25149"/>
    <w:rsid w:val="00F252E5"/>
    <w:rsid w:val="00F25400"/>
    <w:rsid w:val="00F25859"/>
    <w:rsid w:val="00F25ADF"/>
    <w:rsid w:val="00F25B9E"/>
    <w:rsid w:val="00F260A2"/>
    <w:rsid w:val="00F26336"/>
    <w:rsid w:val="00F2634E"/>
    <w:rsid w:val="00F26860"/>
    <w:rsid w:val="00F26A1D"/>
    <w:rsid w:val="00F26C95"/>
    <w:rsid w:val="00F26F8D"/>
    <w:rsid w:val="00F2709A"/>
    <w:rsid w:val="00F27517"/>
    <w:rsid w:val="00F27921"/>
    <w:rsid w:val="00F27CC1"/>
    <w:rsid w:val="00F27EA8"/>
    <w:rsid w:val="00F27FD6"/>
    <w:rsid w:val="00F30ACD"/>
    <w:rsid w:val="00F30E55"/>
    <w:rsid w:val="00F316BD"/>
    <w:rsid w:val="00F32701"/>
    <w:rsid w:val="00F328CF"/>
    <w:rsid w:val="00F332EE"/>
    <w:rsid w:val="00F33719"/>
    <w:rsid w:val="00F339E4"/>
    <w:rsid w:val="00F33F34"/>
    <w:rsid w:val="00F33F44"/>
    <w:rsid w:val="00F34CEB"/>
    <w:rsid w:val="00F34E45"/>
    <w:rsid w:val="00F350D6"/>
    <w:rsid w:val="00F350D8"/>
    <w:rsid w:val="00F351E0"/>
    <w:rsid w:val="00F35D1A"/>
    <w:rsid w:val="00F35D7B"/>
    <w:rsid w:val="00F35E84"/>
    <w:rsid w:val="00F35F47"/>
    <w:rsid w:val="00F36472"/>
    <w:rsid w:val="00F36846"/>
    <w:rsid w:val="00F36C48"/>
    <w:rsid w:val="00F37216"/>
    <w:rsid w:val="00F37260"/>
    <w:rsid w:val="00F37999"/>
    <w:rsid w:val="00F37AEB"/>
    <w:rsid w:val="00F37B45"/>
    <w:rsid w:val="00F37FD0"/>
    <w:rsid w:val="00F40123"/>
    <w:rsid w:val="00F40745"/>
    <w:rsid w:val="00F40A9A"/>
    <w:rsid w:val="00F41271"/>
    <w:rsid w:val="00F414CF"/>
    <w:rsid w:val="00F4178B"/>
    <w:rsid w:val="00F41878"/>
    <w:rsid w:val="00F418AF"/>
    <w:rsid w:val="00F41ED8"/>
    <w:rsid w:val="00F42117"/>
    <w:rsid w:val="00F4290D"/>
    <w:rsid w:val="00F42E5C"/>
    <w:rsid w:val="00F432CF"/>
    <w:rsid w:val="00F432F9"/>
    <w:rsid w:val="00F436DA"/>
    <w:rsid w:val="00F4370D"/>
    <w:rsid w:val="00F438C8"/>
    <w:rsid w:val="00F43ADC"/>
    <w:rsid w:val="00F43BF8"/>
    <w:rsid w:val="00F43E04"/>
    <w:rsid w:val="00F43E05"/>
    <w:rsid w:val="00F4407B"/>
    <w:rsid w:val="00F44307"/>
    <w:rsid w:val="00F44991"/>
    <w:rsid w:val="00F44E4E"/>
    <w:rsid w:val="00F450D3"/>
    <w:rsid w:val="00F451B8"/>
    <w:rsid w:val="00F4536E"/>
    <w:rsid w:val="00F455E2"/>
    <w:rsid w:val="00F4564F"/>
    <w:rsid w:val="00F459AF"/>
    <w:rsid w:val="00F459FF"/>
    <w:rsid w:val="00F45E20"/>
    <w:rsid w:val="00F4601B"/>
    <w:rsid w:val="00F460B7"/>
    <w:rsid w:val="00F46359"/>
    <w:rsid w:val="00F46BE5"/>
    <w:rsid w:val="00F46CCB"/>
    <w:rsid w:val="00F4707D"/>
    <w:rsid w:val="00F4721E"/>
    <w:rsid w:val="00F47304"/>
    <w:rsid w:val="00F47B50"/>
    <w:rsid w:val="00F47F99"/>
    <w:rsid w:val="00F50081"/>
    <w:rsid w:val="00F502F0"/>
    <w:rsid w:val="00F50368"/>
    <w:rsid w:val="00F5060E"/>
    <w:rsid w:val="00F50939"/>
    <w:rsid w:val="00F518AA"/>
    <w:rsid w:val="00F51A80"/>
    <w:rsid w:val="00F51D09"/>
    <w:rsid w:val="00F51D1B"/>
    <w:rsid w:val="00F51D7C"/>
    <w:rsid w:val="00F51DA4"/>
    <w:rsid w:val="00F51ECC"/>
    <w:rsid w:val="00F52539"/>
    <w:rsid w:val="00F526F1"/>
    <w:rsid w:val="00F52785"/>
    <w:rsid w:val="00F5287D"/>
    <w:rsid w:val="00F52B5F"/>
    <w:rsid w:val="00F52F05"/>
    <w:rsid w:val="00F52F89"/>
    <w:rsid w:val="00F53146"/>
    <w:rsid w:val="00F532C0"/>
    <w:rsid w:val="00F5362E"/>
    <w:rsid w:val="00F5368D"/>
    <w:rsid w:val="00F536B5"/>
    <w:rsid w:val="00F53AEC"/>
    <w:rsid w:val="00F53C1A"/>
    <w:rsid w:val="00F53D1D"/>
    <w:rsid w:val="00F53E3E"/>
    <w:rsid w:val="00F53E6A"/>
    <w:rsid w:val="00F53FB8"/>
    <w:rsid w:val="00F54441"/>
    <w:rsid w:val="00F547BC"/>
    <w:rsid w:val="00F55041"/>
    <w:rsid w:val="00F55F43"/>
    <w:rsid w:val="00F56204"/>
    <w:rsid w:val="00F562EC"/>
    <w:rsid w:val="00F56A37"/>
    <w:rsid w:val="00F57B90"/>
    <w:rsid w:val="00F60317"/>
    <w:rsid w:val="00F606DA"/>
    <w:rsid w:val="00F60708"/>
    <w:rsid w:val="00F607FB"/>
    <w:rsid w:val="00F6091F"/>
    <w:rsid w:val="00F609C6"/>
    <w:rsid w:val="00F60A61"/>
    <w:rsid w:val="00F61D51"/>
    <w:rsid w:val="00F620E5"/>
    <w:rsid w:val="00F62146"/>
    <w:rsid w:val="00F62890"/>
    <w:rsid w:val="00F62D57"/>
    <w:rsid w:val="00F633FD"/>
    <w:rsid w:val="00F63A0D"/>
    <w:rsid w:val="00F63A82"/>
    <w:rsid w:val="00F63B02"/>
    <w:rsid w:val="00F63B6D"/>
    <w:rsid w:val="00F63C7C"/>
    <w:rsid w:val="00F64164"/>
    <w:rsid w:val="00F64616"/>
    <w:rsid w:val="00F649B0"/>
    <w:rsid w:val="00F64F06"/>
    <w:rsid w:val="00F6515B"/>
    <w:rsid w:val="00F654AA"/>
    <w:rsid w:val="00F658C5"/>
    <w:rsid w:val="00F6653E"/>
    <w:rsid w:val="00F66EE8"/>
    <w:rsid w:val="00F67081"/>
    <w:rsid w:val="00F6766F"/>
    <w:rsid w:val="00F67864"/>
    <w:rsid w:val="00F67B4A"/>
    <w:rsid w:val="00F67BC7"/>
    <w:rsid w:val="00F702B0"/>
    <w:rsid w:val="00F7078D"/>
    <w:rsid w:val="00F71017"/>
    <w:rsid w:val="00F71542"/>
    <w:rsid w:val="00F71DC5"/>
    <w:rsid w:val="00F7206B"/>
    <w:rsid w:val="00F720A2"/>
    <w:rsid w:val="00F722A6"/>
    <w:rsid w:val="00F72353"/>
    <w:rsid w:val="00F7238E"/>
    <w:rsid w:val="00F723B9"/>
    <w:rsid w:val="00F72AB5"/>
    <w:rsid w:val="00F735C5"/>
    <w:rsid w:val="00F73871"/>
    <w:rsid w:val="00F73EA2"/>
    <w:rsid w:val="00F73F49"/>
    <w:rsid w:val="00F740BA"/>
    <w:rsid w:val="00F74D0C"/>
    <w:rsid w:val="00F75073"/>
    <w:rsid w:val="00F752BE"/>
    <w:rsid w:val="00F757A8"/>
    <w:rsid w:val="00F758A1"/>
    <w:rsid w:val="00F75A64"/>
    <w:rsid w:val="00F75EA7"/>
    <w:rsid w:val="00F76677"/>
    <w:rsid w:val="00F76913"/>
    <w:rsid w:val="00F77B7A"/>
    <w:rsid w:val="00F8037E"/>
    <w:rsid w:val="00F80404"/>
    <w:rsid w:val="00F80B2C"/>
    <w:rsid w:val="00F80B7B"/>
    <w:rsid w:val="00F80CBF"/>
    <w:rsid w:val="00F80EB4"/>
    <w:rsid w:val="00F80FBB"/>
    <w:rsid w:val="00F81307"/>
    <w:rsid w:val="00F815D7"/>
    <w:rsid w:val="00F81671"/>
    <w:rsid w:val="00F81B6E"/>
    <w:rsid w:val="00F81D53"/>
    <w:rsid w:val="00F820CB"/>
    <w:rsid w:val="00F8236E"/>
    <w:rsid w:val="00F8268F"/>
    <w:rsid w:val="00F82B96"/>
    <w:rsid w:val="00F82E1B"/>
    <w:rsid w:val="00F832F5"/>
    <w:rsid w:val="00F83466"/>
    <w:rsid w:val="00F836CA"/>
    <w:rsid w:val="00F838E9"/>
    <w:rsid w:val="00F83AC3"/>
    <w:rsid w:val="00F842F8"/>
    <w:rsid w:val="00F84CF4"/>
    <w:rsid w:val="00F8551E"/>
    <w:rsid w:val="00F85B07"/>
    <w:rsid w:val="00F86074"/>
    <w:rsid w:val="00F863F3"/>
    <w:rsid w:val="00F8675E"/>
    <w:rsid w:val="00F867AF"/>
    <w:rsid w:val="00F868C9"/>
    <w:rsid w:val="00F86D35"/>
    <w:rsid w:val="00F86E22"/>
    <w:rsid w:val="00F8727A"/>
    <w:rsid w:val="00F877D4"/>
    <w:rsid w:val="00F87CA0"/>
    <w:rsid w:val="00F87D6E"/>
    <w:rsid w:val="00F87EBF"/>
    <w:rsid w:val="00F9028E"/>
    <w:rsid w:val="00F90892"/>
    <w:rsid w:val="00F90B34"/>
    <w:rsid w:val="00F90BC3"/>
    <w:rsid w:val="00F91358"/>
    <w:rsid w:val="00F914D9"/>
    <w:rsid w:val="00F9156B"/>
    <w:rsid w:val="00F917B9"/>
    <w:rsid w:val="00F91A83"/>
    <w:rsid w:val="00F91C43"/>
    <w:rsid w:val="00F92304"/>
    <w:rsid w:val="00F924FE"/>
    <w:rsid w:val="00F926FD"/>
    <w:rsid w:val="00F92957"/>
    <w:rsid w:val="00F92D17"/>
    <w:rsid w:val="00F92E0B"/>
    <w:rsid w:val="00F931AD"/>
    <w:rsid w:val="00F933F1"/>
    <w:rsid w:val="00F93406"/>
    <w:rsid w:val="00F93D23"/>
    <w:rsid w:val="00F93FF9"/>
    <w:rsid w:val="00F94431"/>
    <w:rsid w:val="00F945FA"/>
    <w:rsid w:val="00F9488E"/>
    <w:rsid w:val="00F948AF"/>
    <w:rsid w:val="00F94F51"/>
    <w:rsid w:val="00F954E0"/>
    <w:rsid w:val="00F95899"/>
    <w:rsid w:val="00F95AF4"/>
    <w:rsid w:val="00F95C80"/>
    <w:rsid w:val="00F95F26"/>
    <w:rsid w:val="00F96993"/>
    <w:rsid w:val="00F96AC6"/>
    <w:rsid w:val="00F96E75"/>
    <w:rsid w:val="00F96EC3"/>
    <w:rsid w:val="00F975AA"/>
    <w:rsid w:val="00F97DA0"/>
    <w:rsid w:val="00F97EA4"/>
    <w:rsid w:val="00F97FCB"/>
    <w:rsid w:val="00FA06B7"/>
    <w:rsid w:val="00FA0D59"/>
    <w:rsid w:val="00FA0D82"/>
    <w:rsid w:val="00FA0F00"/>
    <w:rsid w:val="00FA15CA"/>
    <w:rsid w:val="00FA16BF"/>
    <w:rsid w:val="00FA1C01"/>
    <w:rsid w:val="00FA1F12"/>
    <w:rsid w:val="00FA2529"/>
    <w:rsid w:val="00FA28D2"/>
    <w:rsid w:val="00FA2AD2"/>
    <w:rsid w:val="00FA2B06"/>
    <w:rsid w:val="00FA2F63"/>
    <w:rsid w:val="00FA331A"/>
    <w:rsid w:val="00FA35F6"/>
    <w:rsid w:val="00FA3DFB"/>
    <w:rsid w:val="00FA43C1"/>
    <w:rsid w:val="00FA4951"/>
    <w:rsid w:val="00FA4F06"/>
    <w:rsid w:val="00FA51D4"/>
    <w:rsid w:val="00FA54CE"/>
    <w:rsid w:val="00FA5568"/>
    <w:rsid w:val="00FA5B1A"/>
    <w:rsid w:val="00FA5D35"/>
    <w:rsid w:val="00FA5DFB"/>
    <w:rsid w:val="00FA6206"/>
    <w:rsid w:val="00FA65FD"/>
    <w:rsid w:val="00FA6EBF"/>
    <w:rsid w:val="00FA7A7F"/>
    <w:rsid w:val="00FA7F3A"/>
    <w:rsid w:val="00FB0285"/>
    <w:rsid w:val="00FB052C"/>
    <w:rsid w:val="00FB08B8"/>
    <w:rsid w:val="00FB1057"/>
    <w:rsid w:val="00FB106A"/>
    <w:rsid w:val="00FB1211"/>
    <w:rsid w:val="00FB1520"/>
    <w:rsid w:val="00FB1714"/>
    <w:rsid w:val="00FB1853"/>
    <w:rsid w:val="00FB1E5F"/>
    <w:rsid w:val="00FB2145"/>
    <w:rsid w:val="00FB219C"/>
    <w:rsid w:val="00FB2926"/>
    <w:rsid w:val="00FB2991"/>
    <w:rsid w:val="00FB3154"/>
    <w:rsid w:val="00FB3BC9"/>
    <w:rsid w:val="00FB3D93"/>
    <w:rsid w:val="00FB40FE"/>
    <w:rsid w:val="00FB439D"/>
    <w:rsid w:val="00FB465E"/>
    <w:rsid w:val="00FB4762"/>
    <w:rsid w:val="00FB48FA"/>
    <w:rsid w:val="00FB4CB3"/>
    <w:rsid w:val="00FB54C7"/>
    <w:rsid w:val="00FB568D"/>
    <w:rsid w:val="00FB5FC5"/>
    <w:rsid w:val="00FB6D9C"/>
    <w:rsid w:val="00FB6DEC"/>
    <w:rsid w:val="00FB774D"/>
    <w:rsid w:val="00FB79D2"/>
    <w:rsid w:val="00FB7E4B"/>
    <w:rsid w:val="00FC03B4"/>
    <w:rsid w:val="00FC0C72"/>
    <w:rsid w:val="00FC0DC0"/>
    <w:rsid w:val="00FC10BB"/>
    <w:rsid w:val="00FC13D9"/>
    <w:rsid w:val="00FC1529"/>
    <w:rsid w:val="00FC1689"/>
    <w:rsid w:val="00FC16CF"/>
    <w:rsid w:val="00FC19DA"/>
    <w:rsid w:val="00FC1B4B"/>
    <w:rsid w:val="00FC1FBB"/>
    <w:rsid w:val="00FC221A"/>
    <w:rsid w:val="00FC3232"/>
    <w:rsid w:val="00FC3633"/>
    <w:rsid w:val="00FC390B"/>
    <w:rsid w:val="00FC3989"/>
    <w:rsid w:val="00FC3C78"/>
    <w:rsid w:val="00FC3DE6"/>
    <w:rsid w:val="00FC40A9"/>
    <w:rsid w:val="00FC4272"/>
    <w:rsid w:val="00FC4A2C"/>
    <w:rsid w:val="00FC4B51"/>
    <w:rsid w:val="00FC4D69"/>
    <w:rsid w:val="00FC4DCB"/>
    <w:rsid w:val="00FC539D"/>
    <w:rsid w:val="00FC5AA9"/>
    <w:rsid w:val="00FC5BE7"/>
    <w:rsid w:val="00FC5E27"/>
    <w:rsid w:val="00FC60AD"/>
    <w:rsid w:val="00FC6138"/>
    <w:rsid w:val="00FC64CA"/>
    <w:rsid w:val="00FC6B28"/>
    <w:rsid w:val="00FC701F"/>
    <w:rsid w:val="00FC7055"/>
    <w:rsid w:val="00FC71DD"/>
    <w:rsid w:val="00FC727F"/>
    <w:rsid w:val="00FC74C4"/>
    <w:rsid w:val="00FC7B91"/>
    <w:rsid w:val="00FC7BC3"/>
    <w:rsid w:val="00FC7EA2"/>
    <w:rsid w:val="00FD0647"/>
    <w:rsid w:val="00FD0A71"/>
    <w:rsid w:val="00FD0ADD"/>
    <w:rsid w:val="00FD1286"/>
    <w:rsid w:val="00FD1557"/>
    <w:rsid w:val="00FD15EA"/>
    <w:rsid w:val="00FD1ACF"/>
    <w:rsid w:val="00FD1ED0"/>
    <w:rsid w:val="00FD231B"/>
    <w:rsid w:val="00FD2437"/>
    <w:rsid w:val="00FD2971"/>
    <w:rsid w:val="00FD2A7C"/>
    <w:rsid w:val="00FD2C6E"/>
    <w:rsid w:val="00FD2F10"/>
    <w:rsid w:val="00FD3017"/>
    <w:rsid w:val="00FD301E"/>
    <w:rsid w:val="00FD32F7"/>
    <w:rsid w:val="00FD34B4"/>
    <w:rsid w:val="00FD35EF"/>
    <w:rsid w:val="00FD37F1"/>
    <w:rsid w:val="00FD3CF2"/>
    <w:rsid w:val="00FD3F2C"/>
    <w:rsid w:val="00FD3FD8"/>
    <w:rsid w:val="00FD4146"/>
    <w:rsid w:val="00FD4327"/>
    <w:rsid w:val="00FD4369"/>
    <w:rsid w:val="00FD457F"/>
    <w:rsid w:val="00FD49BA"/>
    <w:rsid w:val="00FD503E"/>
    <w:rsid w:val="00FD51C2"/>
    <w:rsid w:val="00FD54FD"/>
    <w:rsid w:val="00FD5C86"/>
    <w:rsid w:val="00FD6448"/>
    <w:rsid w:val="00FD64C9"/>
    <w:rsid w:val="00FD65F7"/>
    <w:rsid w:val="00FD66F6"/>
    <w:rsid w:val="00FD6714"/>
    <w:rsid w:val="00FD6BB4"/>
    <w:rsid w:val="00FD6C31"/>
    <w:rsid w:val="00FD6F31"/>
    <w:rsid w:val="00FD7126"/>
    <w:rsid w:val="00FD7235"/>
    <w:rsid w:val="00FD744E"/>
    <w:rsid w:val="00FD769A"/>
    <w:rsid w:val="00FD77C2"/>
    <w:rsid w:val="00FD79CA"/>
    <w:rsid w:val="00FE01A6"/>
    <w:rsid w:val="00FE0360"/>
    <w:rsid w:val="00FE0692"/>
    <w:rsid w:val="00FE085F"/>
    <w:rsid w:val="00FE0E78"/>
    <w:rsid w:val="00FE1543"/>
    <w:rsid w:val="00FE203D"/>
    <w:rsid w:val="00FE20A5"/>
    <w:rsid w:val="00FE23B5"/>
    <w:rsid w:val="00FE2AE8"/>
    <w:rsid w:val="00FE2B9D"/>
    <w:rsid w:val="00FE2D82"/>
    <w:rsid w:val="00FE2F21"/>
    <w:rsid w:val="00FE3076"/>
    <w:rsid w:val="00FE32C1"/>
    <w:rsid w:val="00FE33F2"/>
    <w:rsid w:val="00FE34E3"/>
    <w:rsid w:val="00FE37AA"/>
    <w:rsid w:val="00FE3F16"/>
    <w:rsid w:val="00FE42F7"/>
    <w:rsid w:val="00FE448D"/>
    <w:rsid w:val="00FE4496"/>
    <w:rsid w:val="00FE4505"/>
    <w:rsid w:val="00FE4611"/>
    <w:rsid w:val="00FE4E67"/>
    <w:rsid w:val="00FE4F58"/>
    <w:rsid w:val="00FE50B6"/>
    <w:rsid w:val="00FE51BC"/>
    <w:rsid w:val="00FE52DD"/>
    <w:rsid w:val="00FE566F"/>
    <w:rsid w:val="00FE56A6"/>
    <w:rsid w:val="00FE57D3"/>
    <w:rsid w:val="00FE61B0"/>
    <w:rsid w:val="00FE64D5"/>
    <w:rsid w:val="00FE65D7"/>
    <w:rsid w:val="00FE6732"/>
    <w:rsid w:val="00FE677F"/>
    <w:rsid w:val="00FE6975"/>
    <w:rsid w:val="00FE6D5D"/>
    <w:rsid w:val="00FE74DC"/>
    <w:rsid w:val="00FE754E"/>
    <w:rsid w:val="00FE7599"/>
    <w:rsid w:val="00FE76AA"/>
    <w:rsid w:val="00FE77BF"/>
    <w:rsid w:val="00FE788F"/>
    <w:rsid w:val="00FE794A"/>
    <w:rsid w:val="00FE7D99"/>
    <w:rsid w:val="00FF04F3"/>
    <w:rsid w:val="00FF07FE"/>
    <w:rsid w:val="00FF0F67"/>
    <w:rsid w:val="00FF0FEE"/>
    <w:rsid w:val="00FF10B3"/>
    <w:rsid w:val="00FF13EF"/>
    <w:rsid w:val="00FF1462"/>
    <w:rsid w:val="00FF15EF"/>
    <w:rsid w:val="00FF1A56"/>
    <w:rsid w:val="00FF2833"/>
    <w:rsid w:val="00FF2A92"/>
    <w:rsid w:val="00FF2C3C"/>
    <w:rsid w:val="00FF2E1A"/>
    <w:rsid w:val="00FF307B"/>
    <w:rsid w:val="00FF3165"/>
    <w:rsid w:val="00FF3F70"/>
    <w:rsid w:val="00FF407A"/>
    <w:rsid w:val="00FF477F"/>
    <w:rsid w:val="00FF4C64"/>
    <w:rsid w:val="00FF513E"/>
    <w:rsid w:val="00FF554A"/>
    <w:rsid w:val="00FF55B5"/>
    <w:rsid w:val="00FF5659"/>
    <w:rsid w:val="00FF5740"/>
    <w:rsid w:val="00FF58A7"/>
    <w:rsid w:val="00FF5AEC"/>
    <w:rsid w:val="00FF5BE1"/>
    <w:rsid w:val="00FF5F7A"/>
    <w:rsid w:val="00FF5FBE"/>
    <w:rsid w:val="00FF637A"/>
    <w:rsid w:val="00FF64E3"/>
    <w:rsid w:val="00FF6512"/>
    <w:rsid w:val="00FF6FD8"/>
    <w:rsid w:val="00FF7218"/>
    <w:rsid w:val="00FF72B2"/>
    <w:rsid w:val="00FF769F"/>
    <w:rsid w:val="00FF78CD"/>
    <w:rsid w:val="00FF7C0E"/>
    <w:rsid w:val="00FF7DA7"/>
    <w:rsid w:val="00FF7EE2"/>
    <w:rsid w:val="00FF7EFB"/>
    <w:rsid w:val="00FF7FC8"/>
    <w:rsid w:val="00FF7FE2"/>
    <w:rsid w:val="045521C0"/>
    <w:rsid w:val="07FFB483"/>
    <w:rsid w:val="0A5F0ED2"/>
    <w:rsid w:val="0AD3916B"/>
    <w:rsid w:val="0B8BFEA9"/>
    <w:rsid w:val="0DAF8417"/>
    <w:rsid w:val="0EDF7568"/>
    <w:rsid w:val="0F7DAB92"/>
    <w:rsid w:val="0FD8D07E"/>
    <w:rsid w:val="0FE7D141"/>
    <w:rsid w:val="0FFDA66C"/>
    <w:rsid w:val="16F55EB2"/>
    <w:rsid w:val="16F7DC02"/>
    <w:rsid w:val="17E77D25"/>
    <w:rsid w:val="19A68F9F"/>
    <w:rsid w:val="1BBFA90B"/>
    <w:rsid w:val="1BF8F562"/>
    <w:rsid w:val="1C6F5D3C"/>
    <w:rsid w:val="1CFF2695"/>
    <w:rsid w:val="1D7FBB6D"/>
    <w:rsid w:val="1DFB4D22"/>
    <w:rsid w:val="1EFA3221"/>
    <w:rsid w:val="1EFF9C72"/>
    <w:rsid w:val="1F73F224"/>
    <w:rsid w:val="1F7EE7EF"/>
    <w:rsid w:val="1F7F8788"/>
    <w:rsid w:val="1FBFB967"/>
    <w:rsid w:val="1FCBCD57"/>
    <w:rsid w:val="1FDBA4CF"/>
    <w:rsid w:val="1FDC9AFC"/>
    <w:rsid w:val="1FEA0DA2"/>
    <w:rsid w:val="1FFD89D9"/>
    <w:rsid w:val="22342CB5"/>
    <w:rsid w:val="2333C714"/>
    <w:rsid w:val="23F5FBB1"/>
    <w:rsid w:val="25CFD218"/>
    <w:rsid w:val="26EF263F"/>
    <w:rsid w:val="26FB8E73"/>
    <w:rsid w:val="27790AFC"/>
    <w:rsid w:val="27AF0D6B"/>
    <w:rsid w:val="27FBA00A"/>
    <w:rsid w:val="2A96C8CD"/>
    <w:rsid w:val="2AFF62B4"/>
    <w:rsid w:val="2BFBC5D9"/>
    <w:rsid w:val="2BFC1D00"/>
    <w:rsid w:val="2D3B68C8"/>
    <w:rsid w:val="2D5A8A6D"/>
    <w:rsid w:val="2DCEE3A0"/>
    <w:rsid w:val="2E122E94"/>
    <w:rsid w:val="2EBF23A1"/>
    <w:rsid w:val="2EBF3FF2"/>
    <w:rsid w:val="2EE5A5B5"/>
    <w:rsid w:val="2EED57EF"/>
    <w:rsid w:val="2F1F4CC9"/>
    <w:rsid w:val="2FBBEED6"/>
    <w:rsid w:val="2FDF563A"/>
    <w:rsid w:val="2FF29DD9"/>
    <w:rsid w:val="2FF7EA29"/>
    <w:rsid w:val="2FFFBD9F"/>
    <w:rsid w:val="31F70AA6"/>
    <w:rsid w:val="33D9FA1B"/>
    <w:rsid w:val="33EB5F2B"/>
    <w:rsid w:val="33EFC101"/>
    <w:rsid w:val="33F390B4"/>
    <w:rsid w:val="34DCCCAF"/>
    <w:rsid w:val="34FC16AB"/>
    <w:rsid w:val="3517B8B4"/>
    <w:rsid w:val="357F4638"/>
    <w:rsid w:val="3592B777"/>
    <w:rsid w:val="35DFE6E6"/>
    <w:rsid w:val="35E698EE"/>
    <w:rsid w:val="35ED1FFD"/>
    <w:rsid w:val="36BF0CFB"/>
    <w:rsid w:val="373D9C34"/>
    <w:rsid w:val="37AD455A"/>
    <w:rsid w:val="37DB4E95"/>
    <w:rsid w:val="37E92643"/>
    <w:rsid w:val="37F33093"/>
    <w:rsid w:val="38DF3AD4"/>
    <w:rsid w:val="397FF1DD"/>
    <w:rsid w:val="39FFCA82"/>
    <w:rsid w:val="3A2C24D9"/>
    <w:rsid w:val="3A799722"/>
    <w:rsid w:val="3A9FC92F"/>
    <w:rsid w:val="3AD025E6"/>
    <w:rsid w:val="3AE654CC"/>
    <w:rsid w:val="3AEFD631"/>
    <w:rsid w:val="3AFFEEBB"/>
    <w:rsid w:val="3B3DC065"/>
    <w:rsid w:val="3B3F5D9D"/>
    <w:rsid w:val="3B9FB1A6"/>
    <w:rsid w:val="3BBF1184"/>
    <w:rsid w:val="3BDE7A09"/>
    <w:rsid w:val="3BDF35CC"/>
    <w:rsid w:val="3BFFDCDD"/>
    <w:rsid w:val="3C5D2581"/>
    <w:rsid w:val="3C9A7BE2"/>
    <w:rsid w:val="3CB32BA4"/>
    <w:rsid w:val="3CDEE4A1"/>
    <w:rsid w:val="3D139ABD"/>
    <w:rsid w:val="3D3F0E6D"/>
    <w:rsid w:val="3D7BDB9D"/>
    <w:rsid w:val="3DAD3B45"/>
    <w:rsid w:val="3DDB185B"/>
    <w:rsid w:val="3DDFFA27"/>
    <w:rsid w:val="3DE9C3BF"/>
    <w:rsid w:val="3DEF25A0"/>
    <w:rsid w:val="3DEF8AFE"/>
    <w:rsid w:val="3DF41F69"/>
    <w:rsid w:val="3DFB431D"/>
    <w:rsid w:val="3EBF132A"/>
    <w:rsid w:val="3ECC6DB3"/>
    <w:rsid w:val="3EDFC5FC"/>
    <w:rsid w:val="3EED9E94"/>
    <w:rsid w:val="3EFFEE16"/>
    <w:rsid w:val="3F1E250B"/>
    <w:rsid w:val="3F3E629D"/>
    <w:rsid w:val="3F3E7BFD"/>
    <w:rsid w:val="3F3FC656"/>
    <w:rsid w:val="3F41B338"/>
    <w:rsid w:val="3F4E2200"/>
    <w:rsid w:val="3F5F3C33"/>
    <w:rsid w:val="3F7217F6"/>
    <w:rsid w:val="3F7783AA"/>
    <w:rsid w:val="3F7F139B"/>
    <w:rsid w:val="3F7FE76E"/>
    <w:rsid w:val="3F7FE8CA"/>
    <w:rsid w:val="3F9DD0DF"/>
    <w:rsid w:val="3F9F5627"/>
    <w:rsid w:val="3FBF2C63"/>
    <w:rsid w:val="3FBFFE0D"/>
    <w:rsid w:val="3FDF2E8D"/>
    <w:rsid w:val="3FDFCA28"/>
    <w:rsid w:val="3FE299C4"/>
    <w:rsid w:val="3FE473BB"/>
    <w:rsid w:val="3FE74654"/>
    <w:rsid w:val="3FEC56AB"/>
    <w:rsid w:val="3FEFBF7E"/>
    <w:rsid w:val="3FF6F8B8"/>
    <w:rsid w:val="3FF7845D"/>
    <w:rsid w:val="3FF9C502"/>
    <w:rsid w:val="3FFB24C9"/>
    <w:rsid w:val="3FFC909C"/>
    <w:rsid w:val="3FFFE075"/>
    <w:rsid w:val="44FF7FC7"/>
    <w:rsid w:val="4A67203C"/>
    <w:rsid w:val="4B5730DE"/>
    <w:rsid w:val="4B7EA003"/>
    <w:rsid w:val="4BDEF006"/>
    <w:rsid w:val="4BF76856"/>
    <w:rsid w:val="4BFF8A01"/>
    <w:rsid w:val="4C9E4699"/>
    <w:rsid w:val="4CDF6A2A"/>
    <w:rsid w:val="4CFF9B91"/>
    <w:rsid w:val="4DD3D431"/>
    <w:rsid w:val="4DFB1049"/>
    <w:rsid w:val="4DFF831D"/>
    <w:rsid w:val="4EBFB2E5"/>
    <w:rsid w:val="4EFFA979"/>
    <w:rsid w:val="4F79FADB"/>
    <w:rsid w:val="4F7F1DE7"/>
    <w:rsid w:val="4F7F3AF2"/>
    <w:rsid w:val="4F9AB66B"/>
    <w:rsid w:val="4FBBBB65"/>
    <w:rsid w:val="4FBFCF89"/>
    <w:rsid w:val="4FDA9552"/>
    <w:rsid w:val="4FDDCFCB"/>
    <w:rsid w:val="4FF331A9"/>
    <w:rsid w:val="4FF6783A"/>
    <w:rsid w:val="4FFF48EB"/>
    <w:rsid w:val="4FFF4EC7"/>
    <w:rsid w:val="507EF751"/>
    <w:rsid w:val="52BD81DE"/>
    <w:rsid w:val="53360FCB"/>
    <w:rsid w:val="536F0F9A"/>
    <w:rsid w:val="53C33359"/>
    <w:rsid w:val="53DEE389"/>
    <w:rsid w:val="53EE72F4"/>
    <w:rsid w:val="54FD58C5"/>
    <w:rsid w:val="55EF5825"/>
    <w:rsid w:val="55FF7D40"/>
    <w:rsid w:val="56AF3C79"/>
    <w:rsid w:val="56DBA86C"/>
    <w:rsid w:val="576DCE32"/>
    <w:rsid w:val="577FC297"/>
    <w:rsid w:val="57CB2673"/>
    <w:rsid w:val="57DFB09D"/>
    <w:rsid w:val="57E564D1"/>
    <w:rsid w:val="57FBCB2E"/>
    <w:rsid w:val="57FF00A1"/>
    <w:rsid w:val="57FF9D7C"/>
    <w:rsid w:val="5867458E"/>
    <w:rsid w:val="58F7D911"/>
    <w:rsid w:val="596D06A1"/>
    <w:rsid w:val="59A3607B"/>
    <w:rsid w:val="59BF6C26"/>
    <w:rsid w:val="59EDF577"/>
    <w:rsid w:val="59FC9030"/>
    <w:rsid w:val="59FD6C50"/>
    <w:rsid w:val="5A7F0FEC"/>
    <w:rsid w:val="5AA70D3C"/>
    <w:rsid w:val="5AAE8466"/>
    <w:rsid w:val="5AD331E3"/>
    <w:rsid w:val="5ADE1CFC"/>
    <w:rsid w:val="5B1DB939"/>
    <w:rsid w:val="5B2CB70F"/>
    <w:rsid w:val="5B699C47"/>
    <w:rsid w:val="5B70CDDB"/>
    <w:rsid w:val="5BE5AE74"/>
    <w:rsid w:val="5BEDD26A"/>
    <w:rsid w:val="5BFB9141"/>
    <w:rsid w:val="5BFBE4B8"/>
    <w:rsid w:val="5BFE034B"/>
    <w:rsid w:val="5BFEBEE6"/>
    <w:rsid w:val="5BFFE6F2"/>
    <w:rsid w:val="5C7F5AC0"/>
    <w:rsid w:val="5CEC74DC"/>
    <w:rsid w:val="5CFE18A2"/>
    <w:rsid w:val="5CFEEDAD"/>
    <w:rsid w:val="5CFFE374"/>
    <w:rsid w:val="5D751975"/>
    <w:rsid w:val="5DDF78DE"/>
    <w:rsid w:val="5DEB65AD"/>
    <w:rsid w:val="5DEF59D6"/>
    <w:rsid w:val="5DF25D6F"/>
    <w:rsid w:val="5DF7EE6C"/>
    <w:rsid w:val="5DFBD527"/>
    <w:rsid w:val="5E1B78CA"/>
    <w:rsid w:val="5E7E5CB0"/>
    <w:rsid w:val="5EAF1413"/>
    <w:rsid w:val="5EBE00B3"/>
    <w:rsid w:val="5EED3216"/>
    <w:rsid w:val="5EFB64D3"/>
    <w:rsid w:val="5EFC28E3"/>
    <w:rsid w:val="5F37421C"/>
    <w:rsid w:val="5F4AE4AC"/>
    <w:rsid w:val="5F4F3F89"/>
    <w:rsid w:val="5F553CE9"/>
    <w:rsid w:val="5F5FBE8A"/>
    <w:rsid w:val="5F774D9B"/>
    <w:rsid w:val="5F7B3420"/>
    <w:rsid w:val="5F8FDF2E"/>
    <w:rsid w:val="5F9F2FE1"/>
    <w:rsid w:val="5F9F3BC1"/>
    <w:rsid w:val="5FAF18FA"/>
    <w:rsid w:val="5FB5A73C"/>
    <w:rsid w:val="5FB74C4F"/>
    <w:rsid w:val="5FB78E25"/>
    <w:rsid w:val="5FB98766"/>
    <w:rsid w:val="5FB9D628"/>
    <w:rsid w:val="5FBBE54D"/>
    <w:rsid w:val="5FBD3A34"/>
    <w:rsid w:val="5FBE4465"/>
    <w:rsid w:val="5FBEC9EA"/>
    <w:rsid w:val="5FCE05A6"/>
    <w:rsid w:val="5FD4F906"/>
    <w:rsid w:val="5FD7E154"/>
    <w:rsid w:val="5FDF4BC3"/>
    <w:rsid w:val="5FDFF556"/>
    <w:rsid w:val="5FEAFC45"/>
    <w:rsid w:val="5FF5B9B8"/>
    <w:rsid w:val="5FFB1E50"/>
    <w:rsid w:val="5FFB8C2D"/>
    <w:rsid w:val="5FFC1CB2"/>
    <w:rsid w:val="5FFC56E7"/>
    <w:rsid w:val="5FFD345B"/>
    <w:rsid w:val="5FFE5391"/>
    <w:rsid w:val="5FFF351E"/>
    <w:rsid w:val="5FFFEC57"/>
    <w:rsid w:val="5FFFF791"/>
    <w:rsid w:val="62EEDEE7"/>
    <w:rsid w:val="633F7A0E"/>
    <w:rsid w:val="63FFCF66"/>
    <w:rsid w:val="65AF0DE0"/>
    <w:rsid w:val="65B72916"/>
    <w:rsid w:val="65CB1233"/>
    <w:rsid w:val="65D93EA6"/>
    <w:rsid w:val="665F7B52"/>
    <w:rsid w:val="66732465"/>
    <w:rsid w:val="667DE5DD"/>
    <w:rsid w:val="667F4BC4"/>
    <w:rsid w:val="66F7588F"/>
    <w:rsid w:val="676F3369"/>
    <w:rsid w:val="67734B96"/>
    <w:rsid w:val="677B4F06"/>
    <w:rsid w:val="67F920DF"/>
    <w:rsid w:val="67FD67EA"/>
    <w:rsid w:val="67FFCA6A"/>
    <w:rsid w:val="6977BAB2"/>
    <w:rsid w:val="69AB8864"/>
    <w:rsid w:val="69D0770E"/>
    <w:rsid w:val="69FF78BF"/>
    <w:rsid w:val="6AD5655B"/>
    <w:rsid w:val="6B13471E"/>
    <w:rsid w:val="6B7E9132"/>
    <w:rsid w:val="6BC93A96"/>
    <w:rsid w:val="6BDF5E3D"/>
    <w:rsid w:val="6BF70ABA"/>
    <w:rsid w:val="6BFB2EBB"/>
    <w:rsid w:val="6C6FA97D"/>
    <w:rsid w:val="6C79F02E"/>
    <w:rsid w:val="6D790311"/>
    <w:rsid w:val="6D7F55FB"/>
    <w:rsid w:val="6D8B9492"/>
    <w:rsid w:val="6DAFB12A"/>
    <w:rsid w:val="6DF6833A"/>
    <w:rsid w:val="6DFDB1AA"/>
    <w:rsid w:val="6DFE5DD9"/>
    <w:rsid w:val="6E3F789B"/>
    <w:rsid w:val="6E5EAC23"/>
    <w:rsid w:val="6E9C21EF"/>
    <w:rsid w:val="6E9D0A3E"/>
    <w:rsid w:val="6EED2F97"/>
    <w:rsid w:val="6EFD25B4"/>
    <w:rsid w:val="6EFF37B4"/>
    <w:rsid w:val="6F271625"/>
    <w:rsid w:val="6F2E38F4"/>
    <w:rsid w:val="6F6C4964"/>
    <w:rsid w:val="6F6E4B27"/>
    <w:rsid w:val="6F75EAAE"/>
    <w:rsid w:val="6F7F3900"/>
    <w:rsid w:val="6F8F4B5E"/>
    <w:rsid w:val="6FAF8A78"/>
    <w:rsid w:val="6FB72602"/>
    <w:rsid w:val="6FBF86FD"/>
    <w:rsid w:val="6FBFAD23"/>
    <w:rsid w:val="6FDBAB1A"/>
    <w:rsid w:val="6FDBFEF4"/>
    <w:rsid w:val="6FDFDDFD"/>
    <w:rsid w:val="6FE78607"/>
    <w:rsid w:val="6FEAB150"/>
    <w:rsid w:val="6FF8C02B"/>
    <w:rsid w:val="6FF932CA"/>
    <w:rsid w:val="6FFDD6BC"/>
    <w:rsid w:val="6FFF8EAA"/>
    <w:rsid w:val="6FFFA08B"/>
    <w:rsid w:val="70BDCCC4"/>
    <w:rsid w:val="721E710E"/>
    <w:rsid w:val="725DCF5A"/>
    <w:rsid w:val="72ED8FDB"/>
    <w:rsid w:val="72EFB966"/>
    <w:rsid w:val="72F596E7"/>
    <w:rsid w:val="7386E512"/>
    <w:rsid w:val="738C1547"/>
    <w:rsid w:val="739F13E1"/>
    <w:rsid w:val="73DE5551"/>
    <w:rsid w:val="73DF9371"/>
    <w:rsid w:val="73F22976"/>
    <w:rsid w:val="73F7DEF2"/>
    <w:rsid w:val="73FBCDD0"/>
    <w:rsid w:val="747C4A3D"/>
    <w:rsid w:val="747EDB11"/>
    <w:rsid w:val="74FFB335"/>
    <w:rsid w:val="7505ECDA"/>
    <w:rsid w:val="750DF8AD"/>
    <w:rsid w:val="753BE5A6"/>
    <w:rsid w:val="759E1A05"/>
    <w:rsid w:val="75FDC4B8"/>
    <w:rsid w:val="761DF345"/>
    <w:rsid w:val="7635E9ED"/>
    <w:rsid w:val="767F6B6B"/>
    <w:rsid w:val="76A940DB"/>
    <w:rsid w:val="76D73C27"/>
    <w:rsid w:val="76D920F7"/>
    <w:rsid w:val="76DFFA04"/>
    <w:rsid w:val="76FB0206"/>
    <w:rsid w:val="772FD23E"/>
    <w:rsid w:val="774786B3"/>
    <w:rsid w:val="7761A57A"/>
    <w:rsid w:val="776A96E3"/>
    <w:rsid w:val="776FE4E8"/>
    <w:rsid w:val="7777D619"/>
    <w:rsid w:val="777F4E67"/>
    <w:rsid w:val="777F60E4"/>
    <w:rsid w:val="777F7C62"/>
    <w:rsid w:val="777FD4B0"/>
    <w:rsid w:val="77BA03E6"/>
    <w:rsid w:val="77BB6C42"/>
    <w:rsid w:val="77BC5032"/>
    <w:rsid w:val="77BEF78D"/>
    <w:rsid w:val="77BFBD1F"/>
    <w:rsid w:val="77BFFB93"/>
    <w:rsid w:val="77DFE7BC"/>
    <w:rsid w:val="77E75EC2"/>
    <w:rsid w:val="77E7BC21"/>
    <w:rsid w:val="77EA50E7"/>
    <w:rsid w:val="77EA7577"/>
    <w:rsid w:val="77EF195D"/>
    <w:rsid w:val="77EFC1EB"/>
    <w:rsid w:val="77F7EEED"/>
    <w:rsid w:val="77FBC694"/>
    <w:rsid w:val="77FDCBA7"/>
    <w:rsid w:val="77FE1A33"/>
    <w:rsid w:val="77FE39CA"/>
    <w:rsid w:val="77FF9A06"/>
    <w:rsid w:val="77FFBC5C"/>
    <w:rsid w:val="77FFF941"/>
    <w:rsid w:val="780F6F82"/>
    <w:rsid w:val="7819CA8B"/>
    <w:rsid w:val="787F6A01"/>
    <w:rsid w:val="78AFF5D1"/>
    <w:rsid w:val="78F78E92"/>
    <w:rsid w:val="792F8A1C"/>
    <w:rsid w:val="793DC9CE"/>
    <w:rsid w:val="799F03FE"/>
    <w:rsid w:val="79BBFFD6"/>
    <w:rsid w:val="79D36272"/>
    <w:rsid w:val="79EF1544"/>
    <w:rsid w:val="79F61AA5"/>
    <w:rsid w:val="79FF42C0"/>
    <w:rsid w:val="7A794FC1"/>
    <w:rsid w:val="7A7C0A68"/>
    <w:rsid w:val="7ABFC604"/>
    <w:rsid w:val="7AC77590"/>
    <w:rsid w:val="7AFB5C71"/>
    <w:rsid w:val="7AFC6EAA"/>
    <w:rsid w:val="7AFF3606"/>
    <w:rsid w:val="7AFF7411"/>
    <w:rsid w:val="7AFFF66C"/>
    <w:rsid w:val="7B1D501C"/>
    <w:rsid w:val="7B5E0AC1"/>
    <w:rsid w:val="7B6DEAD4"/>
    <w:rsid w:val="7B6F860B"/>
    <w:rsid w:val="7B7E7445"/>
    <w:rsid w:val="7B7EAE15"/>
    <w:rsid w:val="7B7FA515"/>
    <w:rsid w:val="7BBAF46C"/>
    <w:rsid w:val="7BCECCCA"/>
    <w:rsid w:val="7BD6B2DE"/>
    <w:rsid w:val="7BDEBC0E"/>
    <w:rsid w:val="7BDF202F"/>
    <w:rsid w:val="7BDFDE37"/>
    <w:rsid w:val="7BE3C244"/>
    <w:rsid w:val="7BEFF90B"/>
    <w:rsid w:val="7BF3860B"/>
    <w:rsid w:val="7BF713B3"/>
    <w:rsid w:val="7BF72561"/>
    <w:rsid w:val="7BF7EC3F"/>
    <w:rsid w:val="7BFD2106"/>
    <w:rsid w:val="7BFDE434"/>
    <w:rsid w:val="7BFF13F0"/>
    <w:rsid w:val="7BFF7B60"/>
    <w:rsid w:val="7CB8A29D"/>
    <w:rsid w:val="7CDFC841"/>
    <w:rsid w:val="7CED7E2B"/>
    <w:rsid w:val="7CEF3E87"/>
    <w:rsid w:val="7CFD9CEC"/>
    <w:rsid w:val="7CFEEB22"/>
    <w:rsid w:val="7D236C4C"/>
    <w:rsid w:val="7D3EB634"/>
    <w:rsid w:val="7D3F4E52"/>
    <w:rsid w:val="7D5E0B69"/>
    <w:rsid w:val="7D5F633E"/>
    <w:rsid w:val="7D5FDA94"/>
    <w:rsid w:val="7D678AEF"/>
    <w:rsid w:val="7D6B4D78"/>
    <w:rsid w:val="7D6BB833"/>
    <w:rsid w:val="7D6E06EE"/>
    <w:rsid w:val="7D6FF778"/>
    <w:rsid w:val="7D77A5DB"/>
    <w:rsid w:val="7D7F76B1"/>
    <w:rsid w:val="7DB6CE7D"/>
    <w:rsid w:val="7DB72E2B"/>
    <w:rsid w:val="7DBF446D"/>
    <w:rsid w:val="7DBF4FDA"/>
    <w:rsid w:val="7DBFA522"/>
    <w:rsid w:val="7DCE522C"/>
    <w:rsid w:val="7DD4C535"/>
    <w:rsid w:val="7DD5167C"/>
    <w:rsid w:val="7DDD6331"/>
    <w:rsid w:val="7DDFC499"/>
    <w:rsid w:val="7DED096B"/>
    <w:rsid w:val="7DEF0D78"/>
    <w:rsid w:val="7DF3CBD6"/>
    <w:rsid w:val="7DF5077C"/>
    <w:rsid w:val="7DFBDDD2"/>
    <w:rsid w:val="7DFBE181"/>
    <w:rsid w:val="7DFE48A5"/>
    <w:rsid w:val="7DFEF7E1"/>
    <w:rsid w:val="7DFF13D1"/>
    <w:rsid w:val="7DFF45D2"/>
    <w:rsid w:val="7E4BD586"/>
    <w:rsid w:val="7E670981"/>
    <w:rsid w:val="7E775D44"/>
    <w:rsid w:val="7E77A3D2"/>
    <w:rsid w:val="7E7A3835"/>
    <w:rsid w:val="7E7ADA8C"/>
    <w:rsid w:val="7E7B013D"/>
    <w:rsid w:val="7E7F142B"/>
    <w:rsid w:val="7E7F8C39"/>
    <w:rsid w:val="7E96E4B6"/>
    <w:rsid w:val="7E9C3CB0"/>
    <w:rsid w:val="7EAE73E7"/>
    <w:rsid w:val="7EAFC98D"/>
    <w:rsid w:val="7EB6B732"/>
    <w:rsid w:val="7EB7194A"/>
    <w:rsid w:val="7EB77556"/>
    <w:rsid w:val="7EBBB9A6"/>
    <w:rsid w:val="7EC34C24"/>
    <w:rsid w:val="7ED724F7"/>
    <w:rsid w:val="7EDBA87E"/>
    <w:rsid w:val="7EDE9B55"/>
    <w:rsid w:val="7EDF0D0A"/>
    <w:rsid w:val="7EDF5995"/>
    <w:rsid w:val="7EE4FB6E"/>
    <w:rsid w:val="7EEE1BB5"/>
    <w:rsid w:val="7EF2DD83"/>
    <w:rsid w:val="7EF70FDF"/>
    <w:rsid w:val="7EFA5E81"/>
    <w:rsid w:val="7EFD0C15"/>
    <w:rsid w:val="7EFDA323"/>
    <w:rsid w:val="7EFE3B3C"/>
    <w:rsid w:val="7EFE412E"/>
    <w:rsid w:val="7EFF52EC"/>
    <w:rsid w:val="7EFF7D9B"/>
    <w:rsid w:val="7F0FCFDB"/>
    <w:rsid w:val="7F2E5EBB"/>
    <w:rsid w:val="7F3AA623"/>
    <w:rsid w:val="7F3BE62F"/>
    <w:rsid w:val="7F3D93FB"/>
    <w:rsid w:val="7F3E14A8"/>
    <w:rsid w:val="7F4FAB55"/>
    <w:rsid w:val="7F5C3264"/>
    <w:rsid w:val="7F5E82AA"/>
    <w:rsid w:val="7F67EBD7"/>
    <w:rsid w:val="7F6F86D8"/>
    <w:rsid w:val="7F74C2C1"/>
    <w:rsid w:val="7F750564"/>
    <w:rsid w:val="7F76EA11"/>
    <w:rsid w:val="7F793684"/>
    <w:rsid w:val="7F7B099A"/>
    <w:rsid w:val="7F7F7796"/>
    <w:rsid w:val="7F8B9847"/>
    <w:rsid w:val="7F8FA6A8"/>
    <w:rsid w:val="7F98E783"/>
    <w:rsid w:val="7FA7E497"/>
    <w:rsid w:val="7FB307B6"/>
    <w:rsid w:val="7FBD8636"/>
    <w:rsid w:val="7FBDB59D"/>
    <w:rsid w:val="7FBE381E"/>
    <w:rsid w:val="7FBEC2C9"/>
    <w:rsid w:val="7FBF4B91"/>
    <w:rsid w:val="7FCE4D12"/>
    <w:rsid w:val="7FD311B0"/>
    <w:rsid w:val="7FD5F3E1"/>
    <w:rsid w:val="7FD9CE4E"/>
    <w:rsid w:val="7FDB0C5B"/>
    <w:rsid w:val="7FDDB040"/>
    <w:rsid w:val="7FDDF85F"/>
    <w:rsid w:val="7FDF7F21"/>
    <w:rsid w:val="7FE3AEB7"/>
    <w:rsid w:val="7FE47D6F"/>
    <w:rsid w:val="7FE55D9B"/>
    <w:rsid w:val="7FE7D28A"/>
    <w:rsid w:val="7FEA5DA1"/>
    <w:rsid w:val="7FEAB654"/>
    <w:rsid w:val="7FEB9CB1"/>
    <w:rsid w:val="7FEBF1AF"/>
    <w:rsid w:val="7FEC343C"/>
    <w:rsid w:val="7FEC3C85"/>
    <w:rsid w:val="7FECA913"/>
    <w:rsid w:val="7FEF3505"/>
    <w:rsid w:val="7FEF5226"/>
    <w:rsid w:val="7FEF8475"/>
    <w:rsid w:val="7FF13969"/>
    <w:rsid w:val="7FF1F67C"/>
    <w:rsid w:val="7FF3A297"/>
    <w:rsid w:val="7FF4A855"/>
    <w:rsid w:val="7FF7D8CF"/>
    <w:rsid w:val="7FF8B220"/>
    <w:rsid w:val="7FFB9116"/>
    <w:rsid w:val="7FFC649F"/>
    <w:rsid w:val="7FFD06A9"/>
    <w:rsid w:val="7FFDB1DA"/>
    <w:rsid w:val="7FFDC192"/>
    <w:rsid w:val="7FFF1822"/>
    <w:rsid w:val="7FFF6789"/>
    <w:rsid w:val="7FFF70A4"/>
    <w:rsid w:val="7FFF925E"/>
    <w:rsid w:val="7FFF9CFE"/>
    <w:rsid w:val="7FFFD6E5"/>
    <w:rsid w:val="7FFFFCD1"/>
    <w:rsid w:val="85DF3B2B"/>
    <w:rsid w:val="87DB8A6F"/>
    <w:rsid w:val="88EF7F1A"/>
    <w:rsid w:val="893D43A7"/>
    <w:rsid w:val="8DBF941F"/>
    <w:rsid w:val="8DEFDDFB"/>
    <w:rsid w:val="8E373609"/>
    <w:rsid w:val="91DEBCA7"/>
    <w:rsid w:val="972ED189"/>
    <w:rsid w:val="979AB414"/>
    <w:rsid w:val="97B58BAF"/>
    <w:rsid w:val="9B7FC79F"/>
    <w:rsid w:val="9BB152E2"/>
    <w:rsid w:val="9BBF05CC"/>
    <w:rsid w:val="9BC505EF"/>
    <w:rsid w:val="9BDF7C93"/>
    <w:rsid w:val="9BF75575"/>
    <w:rsid w:val="9BF7DD63"/>
    <w:rsid w:val="9BFF373D"/>
    <w:rsid w:val="9C4F8F53"/>
    <w:rsid w:val="9CBE7D42"/>
    <w:rsid w:val="9CDF7960"/>
    <w:rsid w:val="9CFB4743"/>
    <w:rsid w:val="9D7767DC"/>
    <w:rsid w:val="9D7DE2B0"/>
    <w:rsid w:val="9DBEEB24"/>
    <w:rsid w:val="9DE7880F"/>
    <w:rsid w:val="9DF11406"/>
    <w:rsid w:val="9DFD5468"/>
    <w:rsid w:val="9DFF50FB"/>
    <w:rsid w:val="9EDE44C0"/>
    <w:rsid w:val="9EE71D0E"/>
    <w:rsid w:val="9EF552EA"/>
    <w:rsid w:val="9F6315C2"/>
    <w:rsid w:val="9F6F9E25"/>
    <w:rsid w:val="9FB94E1E"/>
    <w:rsid w:val="9FBD8A7B"/>
    <w:rsid w:val="9FC6F966"/>
    <w:rsid w:val="9FEFF157"/>
    <w:rsid w:val="9FF577FD"/>
    <w:rsid w:val="9FFFBCCE"/>
    <w:rsid w:val="A0FFD09B"/>
    <w:rsid w:val="A2DEE0F3"/>
    <w:rsid w:val="A6FFE1DD"/>
    <w:rsid w:val="A7FFE54F"/>
    <w:rsid w:val="A8F30CAE"/>
    <w:rsid w:val="AB77627B"/>
    <w:rsid w:val="AB7F0060"/>
    <w:rsid w:val="ABBFD734"/>
    <w:rsid w:val="ABFD1C95"/>
    <w:rsid w:val="AD3F254C"/>
    <w:rsid w:val="AD799E3C"/>
    <w:rsid w:val="AD9FCCF4"/>
    <w:rsid w:val="ADB3928E"/>
    <w:rsid w:val="ADDF5931"/>
    <w:rsid w:val="ADFB031E"/>
    <w:rsid w:val="AEB5BC36"/>
    <w:rsid w:val="AEBF58C7"/>
    <w:rsid w:val="AF971890"/>
    <w:rsid w:val="AFDEC732"/>
    <w:rsid w:val="AFF722E0"/>
    <w:rsid w:val="AFFC1E04"/>
    <w:rsid w:val="B176BC6D"/>
    <w:rsid w:val="B2EDB6DE"/>
    <w:rsid w:val="B2F6FA44"/>
    <w:rsid w:val="B385E4D2"/>
    <w:rsid w:val="B3A617D5"/>
    <w:rsid w:val="B3D71C0D"/>
    <w:rsid w:val="B3DC20F8"/>
    <w:rsid w:val="B3FF907B"/>
    <w:rsid w:val="B52FA741"/>
    <w:rsid w:val="B55DE717"/>
    <w:rsid w:val="B55FC6B5"/>
    <w:rsid w:val="B591C66B"/>
    <w:rsid w:val="B5B4E243"/>
    <w:rsid w:val="B5BE833B"/>
    <w:rsid w:val="B5CF3116"/>
    <w:rsid w:val="B5EAC328"/>
    <w:rsid w:val="B6BF41EB"/>
    <w:rsid w:val="B6FBDC88"/>
    <w:rsid w:val="B77C6C24"/>
    <w:rsid w:val="B77F99F9"/>
    <w:rsid w:val="B77FF1F3"/>
    <w:rsid w:val="B79FF0CF"/>
    <w:rsid w:val="B7AF674B"/>
    <w:rsid w:val="B7BF2B7B"/>
    <w:rsid w:val="B7ED9B58"/>
    <w:rsid w:val="B7F703A6"/>
    <w:rsid w:val="B7F8A741"/>
    <w:rsid w:val="B7F90FD2"/>
    <w:rsid w:val="B8AF822A"/>
    <w:rsid w:val="B8D9B669"/>
    <w:rsid w:val="B9FD00DC"/>
    <w:rsid w:val="BA165330"/>
    <w:rsid w:val="BA7F34AA"/>
    <w:rsid w:val="BAB3F2CE"/>
    <w:rsid w:val="BAE26C9C"/>
    <w:rsid w:val="BB3D36FF"/>
    <w:rsid w:val="BB4FC38E"/>
    <w:rsid w:val="BB7F20D9"/>
    <w:rsid w:val="BB7F4D28"/>
    <w:rsid w:val="BB9D582B"/>
    <w:rsid w:val="BB9FCA60"/>
    <w:rsid w:val="BBF7AE95"/>
    <w:rsid w:val="BBFC6DB5"/>
    <w:rsid w:val="BBFE42AA"/>
    <w:rsid w:val="BCEDE08A"/>
    <w:rsid w:val="BCFDF2A2"/>
    <w:rsid w:val="BD9FA208"/>
    <w:rsid w:val="BDBDAF1D"/>
    <w:rsid w:val="BDBDDB07"/>
    <w:rsid w:val="BDBF83B8"/>
    <w:rsid w:val="BDCF09D1"/>
    <w:rsid w:val="BDCF8C8A"/>
    <w:rsid w:val="BDDB2378"/>
    <w:rsid w:val="BDDE7824"/>
    <w:rsid w:val="BDFB0262"/>
    <w:rsid w:val="BE3F9C8F"/>
    <w:rsid w:val="BE67DCDA"/>
    <w:rsid w:val="BEB274F9"/>
    <w:rsid w:val="BEB32756"/>
    <w:rsid w:val="BEBF4410"/>
    <w:rsid w:val="BEEF206C"/>
    <w:rsid w:val="BEEFDD19"/>
    <w:rsid w:val="BF53C7D5"/>
    <w:rsid w:val="BF57B101"/>
    <w:rsid w:val="BF5F3E62"/>
    <w:rsid w:val="BF65B94A"/>
    <w:rsid w:val="BF6D7DD3"/>
    <w:rsid w:val="BF778052"/>
    <w:rsid w:val="BF78E6B9"/>
    <w:rsid w:val="BF7A6A1D"/>
    <w:rsid w:val="BF7DD74B"/>
    <w:rsid w:val="BF7F3508"/>
    <w:rsid w:val="BFA2EA9C"/>
    <w:rsid w:val="BFA790E5"/>
    <w:rsid w:val="BFBBB17D"/>
    <w:rsid w:val="BFBBD258"/>
    <w:rsid w:val="BFCB26F5"/>
    <w:rsid w:val="BFD72286"/>
    <w:rsid w:val="BFDD3B10"/>
    <w:rsid w:val="BFE3EC2D"/>
    <w:rsid w:val="BFED2B25"/>
    <w:rsid w:val="BFEDC996"/>
    <w:rsid w:val="BFEF7E3C"/>
    <w:rsid w:val="BFF27AC3"/>
    <w:rsid w:val="BFF67710"/>
    <w:rsid w:val="BFF70253"/>
    <w:rsid w:val="BFF79F2A"/>
    <w:rsid w:val="BFF9010C"/>
    <w:rsid w:val="BFFA9437"/>
    <w:rsid w:val="BFFBD57B"/>
    <w:rsid w:val="BFFEE26E"/>
    <w:rsid w:val="BFFF9840"/>
    <w:rsid w:val="C37F3373"/>
    <w:rsid w:val="C3FA8231"/>
    <w:rsid w:val="C4F753E4"/>
    <w:rsid w:val="C6FC1483"/>
    <w:rsid w:val="C7753729"/>
    <w:rsid w:val="C79F53FC"/>
    <w:rsid w:val="C7FC9044"/>
    <w:rsid w:val="C83FCF39"/>
    <w:rsid w:val="C895E41A"/>
    <w:rsid w:val="CB9FF2E8"/>
    <w:rsid w:val="CBFBFBEE"/>
    <w:rsid w:val="CDEF6C20"/>
    <w:rsid w:val="CDEF7E48"/>
    <w:rsid w:val="CDFFEDD7"/>
    <w:rsid w:val="CE63AC77"/>
    <w:rsid w:val="CEEFA41D"/>
    <w:rsid w:val="CEFEF0E3"/>
    <w:rsid w:val="CF7EBFC7"/>
    <w:rsid w:val="CF7FF9DB"/>
    <w:rsid w:val="CFDAAFE4"/>
    <w:rsid w:val="CFF68B93"/>
    <w:rsid w:val="CFFDDF1C"/>
    <w:rsid w:val="D36F54CA"/>
    <w:rsid w:val="D3776943"/>
    <w:rsid w:val="D4BF5272"/>
    <w:rsid w:val="D57D1A21"/>
    <w:rsid w:val="D62F63CF"/>
    <w:rsid w:val="D6773685"/>
    <w:rsid w:val="D6D7487C"/>
    <w:rsid w:val="D6FFB2A5"/>
    <w:rsid w:val="D74FC658"/>
    <w:rsid w:val="D7659E02"/>
    <w:rsid w:val="D7CF4F14"/>
    <w:rsid w:val="D7CF8797"/>
    <w:rsid w:val="D7F60714"/>
    <w:rsid w:val="D7FD07E7"/>
    <w:rsid w:val="D7FFAAE0"/>
    <w:rsid w:val="D87EBE92"/>
    <w:rsid w:val="D87F0942"/>
    <w:rsid w:val="D87FE0F4"/>
    <w:rsid w:val="D8DF8F82"/>
    <w:rsid w:val="D9DBA991"/>
    <w:rsid w:val="DB7F86BC"/>
    <w:rsid w:val="DBCE21D2"/>
    <w:rsid w:val="DBDB72FF"/>
    <w:rsid w:val="DBE4C321"/>
    <w:rsid w:val="DBFB1042"/>
    <w:rsid w:val="DBFF08E3"/>
    <w:rsid w:val="DC354E90"/>
    <w:rsid w:val="DC5CA19F"/>
    <w:rsid w:val="DC77B57F"/>
    <w:rsid w:val="DCAF042A"/>
    <w:rsid w:val="DCD4FF5A"/>
    <w:rsid w:val="DCFD372E"/>
    <w:rsid w:val="DCFF643B"/>
    <w:rsid w:val="DD7FF09C"/>
    <w:rsid w:val="DDBF5515"/>
    <w:rsid w:val="DDBF9964"/>
    <w:rsid w:val="DDDBDCEF"/>
    <w:rsid w:val="DDDF35DA"/>
    <w:rsid w:val="DDEBC03B"/>
    <w:rsid w:val="DDF3E683"/>
    <w:rsid w:val="DDFF554E"/>
    <w:rsid w:val="DDFF63A0"/>
    <w:rsid w:val="DE6770D5"/>
    <w:rsid w:val="DE6C1426"/>
    <w:rsid w:val="DEA725B2"/>
    <w:rsid w:val="DEB5494B"/>
    <w:rsid w:val="DED91870"/>
    <w:rsid w:val="DEDC9D4F"/>
    <w:rsid w:val="DEEB0592"/>
    <w:rsid w:val="DEF8BFA8"/>
    <w:rsid w:val="DEFF7451"/>
    <w:rsid w:val="DF552664"/>
    <w:rsid w:val="DF5E045A"/>
    <w:rsid w:val="DF67B1C8"/>
    <w:rsid w:val="DF7608E4"/>
    <w:rsid w:val="DF79AA31"/>
    <w:rsid w:val="DF7B9302"/>
    <w:rsid w:val="DF7E9A42"/>
    <w:rsid w:val="DF7F07F1"/>
    <w:rsid w:val="DF7FEC60"/>
    <w:rsid w:val="DFB42D34"/>
    <w:rsid w:val="DFBF1CF6"/>
    <w:rsid w:val="DFBF8F15"/>
    <w:rsid w:val="DFBF95A2"/>
    <w:rsid w:val="DFBFC5D3"/>
    <w:rsid w:val="DFCB07A4"/>
    <w:rsid w:val="DFDB320C"/>
    <w:rsid w:val="DFDEEF31"/>
    <w:rsid w:val="DFE39231"/>
    <w:rsid w:val="DFE558D8"/>
    <w:rsid w:val="DFEB42BE"/>
    <w:rsid w:val="DFEBBA7E"/>
    <w:rsid w:val="DFEC40F9"/>
    <w:rsid w:val="DFEFE465"/>
    <w:rsid w:val="DFF3E1B3"/>
    <w:rsid w:val="DFF708B4"/>
    <w:rsid w:val="DFF76359"/>
    <w:rsid w:val="DFFCDBDE"/>
    <w:rsid w:val="DFFD34C6"/>
    <w:rsid w:val="DFFD4E54"/>
    <w:rsid w:val="DFFEA210"/>
    <w:rsid w:val="DFFEBD8D"/>
    <w:rsid w:val="DFFF17E9"/>
    <w:rsid w:val="DFFF24D3"/>
    <w:rsid w:val="E3ED3F97"/>
    <w:rsid w:val="E3FEAEDE"/>
    <w:rsid w:val="E3FF41B4"/>
    <w:rsid w:val="E4DE67A6"/>
    <w:rsid w:val="E5BE2701"/>
    <w:rsid w:val="E5F3AF7B"/>
    <w:rsid w:val="E5F6065D"/>
    <w:rsid w:val="E5F7320C"/>
    <w:rsid w:val="E5FE406D"/>
    <w:rsid w:val="E67FD1FF"/>
    <w:rsid w:val="E69D535F"/>
    <w:rsid w:val="E6DF59C2"/>
    <w:rsid w:val="E77F482E"/>
    <w:rsid w:val="E7BE86BD"/>
    <w:rsid w:val="E7E36056"/>
    <w:rsid w:val="E7F7279C"/>
    <w:rsid w:val="E8DBED66"/>
    <w:rsid w:val="E95F27EF"/>
    <w:rsid w:val="EA5B9D15"/>
    <w:rsid w:val="EADD1729"/>
    <w:rsid w:val="EB3E1135"/>
    <w:rsid w:val="EB3FA91C"/>
    <w:rsid w:val="EB787D08"/>
    <w:rsid w:val="EBB7C9ED"/>
    <w:rsid w:val="EBFA87CA"/>
    <w:rsid w:val="ECFD491E"/>
    <w:rsid w:val="ED3F1EDA"/>
    <w:rsid w:val="ED67D694"/>
    <w:rsid w:val="ED6EB6A6"/>
    <w:rsid w:val="ED7FD140"/>
    <w:rsid w:val="EDD9085F"/>
    <w:rsid w:val="EDDF7B7B"/>
    <w:rsid w:val="EDDFF67D"/>
    <w:rsid w:val="EDDFFD41"/>
    <w:rsid w:val="EDE70B7B"/>
    <w:rsid w:val="EDEDCF48"/>
    <w:rsid w:val="EDEFDF01"/>
    <w:rsid w:val="EDF22388"/>
    <w:rsid w:val="EDFE038A"/>
    <w:rsid w:val="EDFEBE21"/>
    <w:rsid w:val="EEFB7FC3"/>
    <w:rsid w:val="EF3D1DF1"/>
    <w:rsid w:val="EF4E925C"/>
    <w:rsid w:val="EF6CBC88"/>
    <w:rsid w:val="EF6F5941"/>
    <w:rsid w:val="EF748BA3"/>
    <w:rsid w:val="EF79B45B"/>
    <w:rsid w:val="EF7B9715"/>
    <w:rsid w:val="EFB339A9"/>
    <w:rsid w:val="EFB7B75B"/>
    <w:rsid w:val="EFBD39C5"/>
    <w:rsid w:val="EFD4D539"/>
    <w:rsid w:val="EFD68336"/>
    <w:rsid w:val="EFD7BD3F"/>
    <w:rsid w:val="EFDF8C3F"/>
    <w:rsid w:val="EFE8B809"/>
    <w:rsid w:val="EFEF95CC"/>
    <w:rsid w:val="EFF7DAE7"/>
    <w:rsid w:val="EFF8D0B4"/>
    <w:rsid w:val="EFFA1ACD"/>
    <w:rsid w:val="EFFA4ECA"/>
    <w:rsid w:val="EFFAE57A"/>
    <w:rsid w:val="EFFDACF0"/>
    <w:rsid w:val="EFFE625D"/>
    <w:rsid w:val="F06FB17E"/>
    <w:rsid w:val="F0FF8005"/>
    <w:rsid w:val="F1B9B3E6"/>
    <w:rsid w:val="F1D39EFF"/>
    <w:rsid w:val="F1FB2BBE"/>
    <w:rsid w:val="F2BF6CEB"/>
    <w:rsid w:val="F2EF19F4"/>
    <w:rsid w:val="F3F7F6F9"/>
    <w:rsid w:val="F3FA91B0"/>
    <w:rsid w:val="F3FDF8F6"/>
    <w:rsid w:val="F3FE043B"/>
    <w:rsid w:val="F3FE3001"/>
    <w:rsid w:val="F3FF1B71"/>
    <w:rsid w:val="F3FF80ED"/>
    <w:rsid w:val="F4E7E1D3"/>
    <w:rsid w:val="F4FF877F"/>
    <w:rsid w:val="F577E942"/>
    <w:rsid w:val="F57E4268"/>
    <w:rsid w:val="F57FC561"/>
    <w:rsid w:val="F59D1F91"/>
    <w:rsid w:val="F5B12443"/>
    <w:rsid w:val="F5F65397"/>
    <w:rsid w:val="F5F79CA7"/>
    <w:rsid w:val="F5FBB873"/>
    <w:rsid w:val="F5FBE2B8"/>
    <w:rsid w:val="F63F9488"/>
    <w:rsid w:val="F64D51D9"/>
    <w:rsid w:val="F66AE69B"/>
    <w:rsid w:val="F67FFD1D"/>
    <w:rsid w:val="F6E63EFF"/>
    <w:rsid w:val="F6ED41B0"/>
    <w:rsid w:val="F6FDEB95"/>
    <w:rsid w:val="F6FE0ED1"/>
    <w:rsid w:val="F6FF93D2"/>
    <w:rsid w:val="F6FFD41C"/>
    <w:rsid w:val="F7178F9D"/>
    <w:rsid w:val="F71D3B2E"/>
    <w:rsid w:val="F7630912"/>
    <w:rsid w:val="F76B9644"/>
    <w:rsid w:val="F76D1D06"/>
    <w:rsid w:val="F770CA6D"/>
    <w:rsid w:val="F7740864"/>
    <w:rsid w:val="F7752419"/>
    <w:rsid w:val="F77DC819"/>
    <w:rsid w:val="F77E8BCA"/>
    <w:rsid w:val="F79FD154"/>
    <w:rsid w:val="F79FEF60"/>
    <w:rsid w:val="F7A31797"/>
    <w:rsid w:val="F7AFECE4"/>
    <w:rsid w:val="F7B72FCB"/>
    <w:rsid w:val="F7BFA429"/>
    <w:rsid w:val="F7D310EB"/>
    <w:rsid w:val="F7DB98E8"/>
    <w:rsid w:val="F7DDC6D1"/>
    <w:rsid w:val="F7DE2DEF"/>
    <w:rsid w:val="F7EF0F45"/>
    <w:rsid w:val="F7EF746A"/>
    <w:rsid w:val="F7F67B93"/>
    <w:rsid w:val="F7F72D7B"/>
    <w:rsid w:val="F7FEA4AA"/>
    <w:rsid w:val="F7FEFD44"/>
    <w:rsid w:val="F7FF9926"/>
    <w:rsid w:val="F7FFC230"/>
    <w:rsid w:val="F7FFD167"/>
    <w:rsid w:val="F81D17AB"/>
    <w:rsid w:val="F889B89F"/>
    <w:rsid w:val="F8DFC8D2"/>
    <w:rsid w:val="F9554628"/>
    <w:rsid w:val="F977EEA6"/>
    <w:rsid w:val="F99A9199"/>
    <w:rsid w:val="F9FD7269"/>
    <w:rsid w:val="FA4D42A7"/>
    <w:rsid w:val="FA66D24C"/>
    <w:rsid w:val="FAAE1862"/>
    <w:rsid w:val="FABEE22F"/>
    <w:rsid w:val="FABF4EA4"/>
    <w:rsid w:val="FAD79BB1"/>
    <w:rsid w:val="FAE0E82F"/>
    <w:rsid w:val="FB1F16CF"/>
    <w:rsid w:val="FB2E58F7"/>
    <w:rsid w:val="FB3F9DFD"/>
    <w:rsid w:val="FB5C2A85"/>
    <w:rsid w:val="FB5E6BF5"/>
    <w:rsid w:val="FB5F7180"/>
    <w:rsid w:val="FB7B091F"/>
    <w:rsid w:val="FB7CE15A"/>
    <w:rsid w:val="FBB7B5A2"/>
    <w:rsid w:val="FBB952D4"/>
    <w:rsid w:val="FBB9CF92"/>
    <w:rsid w:val="FBC5B5C1"/>
    <w:rsid w:val="FBC698D8"/>
    <w:rsid w:val="FBCDA732"/>
    <w:rsid w:val="FBCFC173"/>
    <w:rsid w:val="FBD39511"/>
    <w:rsid w:val="FBD69E7A"/>
    <w:rsid w:val="FBD7C5C3"/>
    <w:rsid w:val="FBDC8B87"/>
    <w:rsid w:val="FBDE08F4"/>
    <w:rsid w:val="FBEB4B61"/>
    <w:rsid w:val="FBED3063"/>
    <w:rsid w:val="FBEE7814"/>
    <w:rsid w:val="FBEE7A8A"/>
    <w:rsid w:val="FBEED7E0"/>
    <w:rsid w:val="FBEF648E"/>
    <w:rsid w:val="FBEF6BA8"/>
    <w:rsid w:val="FBF35EDB"/>
    <w:rsid w:val="FBF39802"/>
    <w:rsid w:val="FBF6F0C8"/>
    <w:rsid w:val="FBF6F96B"/>
    <w:rsid w:val="FBF77C69"/>
    <w:rsid w:val="FBF79D14"/>
    <w:rsid w:val="FBFBF46C"/>
    <w:rsid w:val="FBFE4C5E"/>
    <w:rsid w:val="FBFEA3EB"/>
    <w:rsid w:val="FBFF5C26"/>
    <w:rsid w:val="FC09A6BC"/>
    <w:rsid w:val="FC7FD555"/>
    <w:rsid w:val="FCAC6CFE"/>
    <w:rsid w:val="FCB74069"/>
    <w:rsid w:val="FCBF3ED0"/>
    <w:rsid w:val="FCDD3808"/>
    <w:rsid w:val="FCEFD9B5"/>
    <w:rsid w:val="FCFB9E41"/>
    <w:rsid w:val="FCFDE86B"/>
    <w:rsid w:val="FD19BE61"/>
    <w:rsid w:val="FD2B3BBD"/>
    <w:rsid w:val="FD4BD705"/>
    <w:rsid w:val="FD5A0870"/>
    <w:rsid w:val="FD5E6110"/>
    <w:rsid w:val="FD5FF986"/>
    <w:rsid w:val="FD640462"/>
    <w:rsid w:val="FD6F805A"/>
    <w:rsid w:val="FD7C5451"/>
    <w:rsid w:val="FD7F2E84"/>
    <w:rsid w:val="FD7F844B"/>
    <w:rsid w:val="FD9287C0"/>
    <w:rsid w:val="FD9E74A1"/>
    <w:rsid w:val="FDAB7BBD"/>
    <w:rsid w:val="FDB55C7C"/>
    <w:rsid w:val="FDBA1DB2"/>
    <w:rsid w:val="FDBAF97D"/>
    <w:rsid w:val="FDBD0587"/>
    <w:rsid w:val="FDBF45EF"/>
    <w:rsid w:val="FDBFC132"/>
    <w:rsid w:val="FDCF90CE"/>
    <w:rsid w:val="FDD49BE5"/>
    <w:rsid w:val="FDD5010F"/>
    <w:rsid w:val="FDD702D1"/>
    <w:rsid w:val="FDD7AA60"/>
    <w:rsid w:val="FDDF03A3"/>
    <w:rsid w:val="FDDF6E32"/>
    <w:rsid w:val="FDF44517"/>
    <w:rsid w:val="FDF7526D"/>
    <w:rsid w:val="FDF8D29A"/>
    <w:rsid w:val="FDF905DC"/>
    <w:rsid w:val="FDF99649"/>
    <w:rsid w:val="FDFE6EFD"/>
    <w:rsid w:val="FDFF5034"/>
    <w:rsid w:val="FDFFA74E"/>
    <w:rsid w:val="FE3A2E84"/>
    <w:rsid w:val="FE5908B9"/>
    <w:rsid w:val="FE5A7BDC"/>
    <w:rsid w:val="FE5F0360"/>
    <w:rsid w:val="FE659CAC"/>
    <w:rsid w:val="FE6FEFED"/>
    <w:rsid w:val="FE75FD51"/>
    <w:rsid w:val="FE7BCD18"/>
    <w:rsid w:val="FE7F007F"/>
    <w:rsid w:val="FE7F38A5"/>
    <w:rsid w:val="FEA581C5"/>
    <w:rsid w:val="FEB9E511"/>
    <w:rsid w:val="FEBB8FF4"/>
    <w:rsid w:val="FEBCA2E1"/>
    <w:rsid w:val="FECB555F"/>
    <w:rsid w:val="FECF4118"/>
    <w:rsid w:val="FED65DB8"/>
    <w:rsid w:val="FED78D0F"/>
    <w:rsid w:val="FEDEE798"/>
    <w:rsid w:val="FEDF60B7"/>
    <w:rsid w:val="FEE75B33"/>
    <w:rsid w:val="FEEB2AB4"/>
    <w:rsid w:val="FEF377F5"/>
    <w:rsid w:val="FEF55408"/>
    <w:rsid w:val="FEF73919"/>
    <w:rsid w:val="FEF743BE"/>
    <w:rsid w:val="FEFC733C"/>
    <w:rsid w:val="FEFD531A"/>
    <w:rsid w:val="FEFE0142"/>
    <w:rsid w:val="FEFE6B75"/>
    <w:rsid w:val="FEFF6A1E"/>
    <w:rsid w:val="FEFFFA6C"/>
    <w:rsid w:val="FF2B9165"/>
    <w:rsid w:val="FF370D42"/>
    <w:rsid w:val="FF3E436A"/>
    <w:rsid w:val="FF4B1906"/>
    <w:rsid w:val="FF533D22"/>
    <w:rsid w:val="FF5553A5"/>
    <w:rsid w:val="FF5D66CE"/>
    <w:rsid w:val="FF5DA43C"/>
    <w:rsid w:val="FF5F8944"/>
    <w:rsid w:val="FF5FA2FA"/>
    <w:rsid w:val="FF65510B"/>
    <w:rsid w:val="FF6DA183"/>
    <w:rsid w:val="FF74895C"/>
    <w:rsid w:val="FF75C139"/>
    <w:rsid w:val="FF75FCA6"/>
    <w:rsid w:val="FF794435"/>
    <w:rsid w:val="FF7953BE"/>
    <w:rsid w:val="FF796236"/>
    <w:rsid w:val="FF79D4C8"/>
    <w:rsid w:val="FF7B1EA8"/>
    <w:rsid w:val="FF7BC537"/>
    <w:rsid w:val="FF7BF063"/>
    <w:rsid w:val="FF7F4F44"/>
    <w:rsid w:val="FF7FA11F"/>
    <w:rsid w:val="FF9F041F"/>
    <w:rsid w:val="FFA3A484"/>
    <w:rsid w:val="FFA7F3BF"/>
    <w:rsid w:val="FFAC565F"/>
    <w:rsid w:val="FFAFBB3D"/>
    <w:rsid w:val="FFB00EEC"/>
    <w:rsid w:val="FFB3FFA0"/>
    <w:rsid w:val="FFB92BA9"/>
    <w:rsid w:val="FFBA6098"/>
    <w:rsid w:val="FFBB363B"/>
    <w:rsid w:val="FFBEF067"/>
    <w:rsid w:val="FFBFA572"/>
    <w:rsid w:val="FFCBD091"/>
    <w:rsid w:val="FFCDACD0"/>
    <w:rsid w:val="FFCF1214"/>
    <w:rsid w:val="FFCFBDEE"/>
    <w:rsid w:val="FFCFD770"/>
    <w:rsid w:val="FFD5651A"/>
    <w:rsid w:val="FFD81422"/>
    <w:rsid w:val="FFD95D4E"/>
    <w:rsid w:val="FFDA3C16"/>
    <w:rsid w:val="FFDA68B2"/>
    <w:rsid w:val="FFDD248C"/>
    <w:rsid w:val="FFDDEBF0"/>
    <w:rsid w:val="FFDF7844"/>
    <w:rsid w:val="FFE12CED"/>
    <w:rsid w:val="FFE61CCC"/>
    <w:rsid w:val="FFE75168"/>
    <w:rsid w:val="FFE7B8C6"/>
    <w:rsid w:val="FFEB06F5"/>
    <w:rsid w:val="FFED1C02"/>
    <w:rsid w:val="FFEEF0BB"/>
    <w:rsid w:val="FFEF511B"/>
    <w:rsid w:val="FFEF5490"/>
    <w:rsid w:val="FFEFBD50"/>
    <w:rsid w:val="FFF3239F"/>
    <w:rsid w:val="FFF357CF"/>
    <w:rsid w:val="FFF36636"/>
    <w:rsid w:val="FFF70C75"/>
    <w:rsid w:val="FFF71D08"/>
    <w:rsid w:val="FFF76ABE"/>
    <w:rsid w:val="FFF8A141"/>
    <w:rsid w:val="FFFABA79"/>
    <w:rsid w:val="FFFB1652"/>
    <w:rsid w:val="FFFB4DAD"/>
    <w:rsid w:val="FFFC8725"/>
    <w:rsid w:val="FFFD6D44"/>
    <w:rsid w:val="FFFDA885"/>
    <w:rsid w:val="FFFDE9AF"/>
    <w:rsid w:val="FFFE7819"/>
    <w:rsid w:val="FFFE7BD0"/>
    <w:rsid w:val="FFFECB6D"/>
    <w:rsid w:val="FFFF1604"/>
    <w:rsid w:val="FFFF3488"/>
    <w:rsid w:val="FFFF5C4D"/>
    <w:rsid w:val="FFFF6119"/>
    <w:rsid w:val="FFFF929E"/>
    <w:rsid w:val="FFFFC622"/>
    <w:rsid w:val="FFFFEC88"/>
    <w:rsid w:val="FFFFECD2"/>
    <w:rsid w:val="FFFFF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2ADA2ACC"/>
  <w15:chartTrackingRefBased/>
  <w15:docId w15:val="{8C4C0F62-7F05-4633-AA85-B280D44E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2" w:semiHidden="1" w:unhideWhenUsed="1"/>
    <w:lsdException w:name="Body Text 2" w:qFormat="1"/>
    <w:lsdException w:name="Body Text 3" w:uiPriority="99" w:qFormat="1"/>
    <w:lsdException w:name="Body Text Indent 2" w:qFormat="1"/>
    <w:lsdException w:name="Body Text Indent 3" w:unhideWhenUsed="1" w:qFormat="1"/>
    <w:lsdException w:name="Block Text" w:semiHidden="1" w:unhideWhenUsed="1"/>
    <w:lsdException w:name="Hyperlink" w:uiPriority="99" w:qFormat="1"/>
    <w:lsdException w:name="FollowedHyperlink"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unhideWhenUsed="1"/>
    <w:lsdException w:name="HTML Bottom of Form"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uiPriority="39" w:qFormat="1"/>
    <w:lsdException w:name="Table Theme"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Lines="50" w:before="50" w:afterLines="50" w:after="50" w:line="360" w:lineRule="auto"/>
      <w:ind w:firstLineChars="200" w:firstLine="200"/>
      <w:jc w:val="both"/>
    </w:pPr>
    <w:rPr>
      <w:rFonts w:ascii="Calibri" w:hAnsi="Calibri"/>
      <w:kern w:val="2"/>
      <w:sz w:val="24"/>
      <w:szCs w:val="22"/>
    </w:rPr>
  </w:style>
  <w:style w:type="paragraph" w:styleId="1">
    <w:name w:val="heading 1"/>
    <w:basedOn w:val="a"/>
    <w:next w:val="a"/>
    <w:link w:val="10"/>
    <w:uiPriority w:val="9"/>
    <w:qFormat/>
    <w:pPr>
      <w:keepNext/>
      <w:keepLines/>
      <w:outlineLvl w:val="0"/>
    </w:pPr>
    <w:rPr>
      <w:b/>
      <w:bCs/>
      <w:kern w:val="44"/>
      <w:sz w:val="28"/>
      <w:szCs w:val="44"/>
    </w:rPr>
  </w:style>
  <w:style w:type="paragraph" w:styleId="2">
    <w:name w:val="heading 2"/>
    <w:basedOn w:val="a"/>
    <w:next w:val="a"/>
    <w:link w:val="20"/>
    <w:uiPriority w:val="9"/>
    <w:qFormat/>
    <w:pPr>
      <w:keepNext/>
      <w:widowControl/>
      <w:spacing w:beforeLines="0" w:before="240" w:afterLines="0" w:after="60" w:line="240" w:lineRule="auto"/>
      <w:ind w:firstLineChars="0" w:firstLine="0"/>
      <w:jc w:val="left"/>
      <w:outlineLvl w:val="1"/>
    </w:pPr>
    <w:rPr>
      <w:rFonts w:ascii="Cambria" w:hAnsi="Cambria"/>
      <w:b/>
      <w:bCs/>
      <w:i/>
      <w:iCs/>
      <w:kern w:val="0"/>
      <w:sz w:val="28"/>
      <w:szCs w:val="28"/>
      <w:lang w:eastAsia="en-US" w:bidi="en-US"/>
    </w:rPr>
  </w:style>
  <w:style w:type="paragraph" w:styleId="3">
    <w:name w:val="heading 3"/>
    <w:basedOn w:val="a"/>
    <w:next w:val="a"/>
    <w:link w:val="30"/>
    <w:qFormat/>
    <w:pPr>
      <w:keepNext/>
      <w:widowControl/>
      <w:spacing w:beforeLines="0" w:before="240" w:afterLines="0" w:after="60" w:line="240" w:lineRule="auto"/>
      <w:ind w:firstLineChars="0" w:firstLine="0"/>
      <w:jc w:val="left"/>
      <w:outlineLvl w:val="2"/>
    </w:pPr>
    <w:rPr>
      <w:rFonts w:ascii="Cambria" w:hAnsi="Cambria"/>
      <w:b/>
      <w:bCs/>
      <w:kern w:val="0"/>
      <w:sz w:val="26"/>
      <w:szCs w:val="26"/>
      <w:lang w:eastAsia="en-US" w:bidi="en-US"/>
    </w:rPr>
  </w:style>
  <w:style w:type="paragraph" w:styleId="4">
    <w:name w:val="heading 4"/>
    <w:basedOn w:val="a"/>
    <w:next w:val="a"/>
    <w:link w:val="40"/>
    <w:uiPriority w:val="9"/>
    <w:qFormat/>
    <w:pPr>
      <w:keepNext/>
      <w:widowControl/>
      <w:spacing w:beforeLines="0" w:before="240" w:afterLines="0" w:after="60" w:line="240" w:lineRule="auto"/>
      <w:ind w:firstLineChars="0" w:firstLine="0"/>
      <w:jc w:val="left"/>
      <w:outlineLvl w:val="3"/>
    </w:pPr>
    <w:rPr>
      <w:b/>
      <w:bCs/>
      <w:kern w:val="0"/>
      <w:sz w:val="28"/>
      <w:szCs w:val="28"/>
      <w:lang w:eastAsia="en-US" w:bidi="en-US"/>
    </w:rPr>
  </w:style>
  <w:style w:type="paragraph" w:styleId="5">
    <w:name w:val="heading 5"/>
    <w:basedOn w:val="a"/>
    <w:next w:val="a"/>
    <w:link w:val="50"/>
    <w:uiPriority w:val="9"/>
    <w:qFormat/>
    <w:pPr>
      <w:widowControl/>
      <w:spacing w:beforeLines="0" w:before="240" w:afterLines="0" w:after="60" w:line="240" w:lineRule="auto"/>
      <w:ind w:firstLineChars="0" w:firstLine="0"/>
      <w:jc w:val="left"/>
      <w:outlineLvl w:val="4"/>
    </w:pPr>
    <w:rPr>
      <w:b/>
      <w:bCs/>
      <w:i/>
      <w:iCs/>
      <w:kern w:val="0"/>
      <w:sz w:val="26"/>
      <w:szCs w:val="26"/>
      <w:lang w:eastAsia="en-US" w:bidi="en-US"/>
    </w:rPr>
  </w:style>
  <w:style w:type="paragraph" w:styleId="6">
    <w:name w:val="heading 6"/>
    <w:basedOn w:val="a"/>
    <w:next w:val="a"/>
    <w:link w:val="60"/>
    <w:uiPriority w:val="9"/>
    <w:qFormat/>
    <w:pPr>
      <w:widowControl/>
      <w:spacing w:beforeLines="0" w:before="240" w:afterLines="0" w:after="60" w:line="240" w:lineRule="auto"/>
      <w:ind w:firstLineChars="0" w:firstLine="0"/>
      <w:jc w:val="left"/>
      <w:outlineLvl w:val="5"/>
    </w:pPr>
    <w:rPr>
      <w:b/>
      <w:bCs/>
      <w:kern w:val="0"/>
      <w:sz w:val="22"/>
      <w:lang w:eastAsia="en-US" w:bidi="en-US"/>
    </w:rPr>
  </w:style>
  <w:style w:type="paragraph" w:styleId="7">
    <w:name w:val="heading 7"/>
    <w:basedOn w:val="a"/>
    <w:next w:val="a"/>
    <w:link w:val="70"/>
    <w:uiPriority w:val="9"/>
    <w:qFormat/>
    <w:pPr>
      <w:widowControl/>
      <w:spacing w:beforeLines="0" w:before="240" w:afterLines="0" w:after="60" w:line="240" w:lineRule="auto"/>
      <w:ind w:firstLineChars="0" w:firstLine="0"/>
      <w:jc w:val="left"/>
      <w:outlineLvl w:val="6"/>
    </w:pPr>
    <w:rPr>
      <w:kern w:val="0"/>
      <w:szCs w:val="24"/>
      <w:lang w:eastAsia="en-US" w:bidi="en-US"/>
    </w:rPr>
  </w:style>
  <w:style w:type="paragraph" w:styleId="8">
    <w:name w:val="heading 8"/>
    <w:basedOn w:val="a"/>
    <w:next w:val="a"/>
    <w:link w:val="80"/>
    <w:uiPriority w:val="9"/>
    <w:qFormat/>
    <w:pPr>
      <w:widowControl/>
      <w:spacing w:beforeLines="0" w:before="240" w:afterLines="0" w:after="60" w:line="240" w:lineRule="auto"/>
      <w:ind w:firstLineChars="0" w:firstLine="0"/>
      <w:jc w:val="left"/>
      <w:outlineLvl w:val="7"/>
    </w:pPr>
    <w:rPr>
      <w:i/>
      <w:iCs/>
      <w:kern w:val="0"/>
      <w:szCs w:val="24"/>
      <w:lang w:eastAsia="en-US" w:bidi="en-US"/>
    </w:rPr>
  </w:style>
  <w:style w:type="paragraph" w:styleId="9">
    <w:name w:val="heading 9"/>
    <w:basedOn w:val="a"/>
    <w:next w:val="a"/>
    <w:link w:val="90"/>
    <w:uiPriority w:val="9"/>
    <w:qFormat/>
    <w:pPr>
      <w:widowControl/>
      <w:spacing w:beforeLines="0" w:before="240" w:afterLines="0" w:after="60" w:line="240" w:lineRule="auto"/>
      <w:ind w:firstLineChars="0" w:firstLine="0"/>
      <w:jc w:val="left"/>
      <w:outlineLvl w:val="8"/>
    </w:pPr>
    <w:rPr>
      <w:rFonts w:ascii="Cambria" w:hAnsi="Cambria"/>
      <w:kern w:val="0"/>
      <w:sz w:val="22"/>
      <w:lang w:eastAsia="en-US" w:bidi="en-US"/>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qFormat/>
    <w:rPr>
      <w:rFonts w:ascii="Calibri" w:eastAsia="宋体" w:hAnsi="Calibri"/>
      <w:b/>
      <w:bCs/>
      <w:kern w:val="44"/>
      <w:sz w:val="28"/>
      <w:szCs w:val="44"/>
    </w:rPr>
  </w:style>
  <w:style w:type="character" w:customStyle="1" w:styleId="20">
    <w:name w:val="标题 2 字符"/>
    <w:link w:val="2"/>
    <w:uiPriority w:val="9"/>
    <w:qFormat/>
    <w:rPr>
      <w:rFonts w:ascii="Cambria" w:hAnsi="Cambria"/>
      <w:b/>
      <w:bCs/>
      <w:i/>
      <w:iCs/>
      <w:sz w:val="28"/>
      <w:szCs w:val="28"/>
      <w:lang w:eastAsia="en-US" w:bidi="en-US"/>
    </w:rPr>
  </w:style>
  <w:style w:type="character" w:customStyle="1" w:styleId="30">
    <w:name w:val="标题 3 字符"/>
    <w:link w:val="3"/>
    <w:uiPriority w:val="9"/>
    <w:qFormat/>
    <w:rPr>
      <w:rFonts w:ascii="Cambria" w:hAnsi="Cambria"/>
      <w:b/>
      <w:bCs/>
      <w:sz w:val="26"/>
      <w:szCs w:val="26"/>
      <w:lang w:eastAsia="en-US" w:bidi="en-US"/>
    </w:rPr>
  </w:style>
  <w:style w:type="character" w:customStyle="1" w:styleId="40">
    <w:name w:val="标题 4 字符"/>
    <w:link w:val="4"/>
    <w:uiPriority w:val="9"/>
    <w:qFormat/>
    <w:rPr>
      <w:rFonts w:ascii="Calibri" w:hAnsi="Calibri"/>
      <w:b/>
      <w:bCs/>
      <w:sz w:val="28"/>
      <w:szCs w:val="28"/>
      <w:lang w:eastAsia="en-US" w:bidi="en-US"/>
    </w:rPr>
  </w:style>
  <w:style w:type="character" w:customStyle="1" w:styleId="50">
    <w:name w:val="标题 5 字符"/>
    <w:link w:val="5"/>
    <w:uiPriority w:val="9"/>
    <w:rPr>
      <w:rFonts w:ascii="Calibri" w:hAnsi="Calibri"/>
      <w:b/>
      <w:bCs/>
      <w:i/>
      <w:iCs/>
      <w:sz w:val="26"/>
      <w:szCs w:val="26"/>
      <w:lang w:eastAsia="en-US" w:bidi="en-US"/>
    </w:rPr>
  </w:style>
  <w:style w:type="character" w:customStyle="1" w:styleId="60">
    <w:name w:val="标题 6 字符"/>
    <w:link w:val="6"/>
    <w:qFormat/>
    <w:rPr>
      <w:rFonts w:ascii="Calibri" w:hAnsi="Calibri"/>
      <w:b/>
      <w:bCs/>
      <w:sz w:val="22"/>
      <w:szCs w:val="22"/>
      <w:lang w:eastAsia="en-US" w:bidi="en-US"/>
    </w:rPr>
  </w:style>
  <w:style w:type="character" w:customStyle="1" w:styleId="70">
    <w:name w:val="标题 7 字符"/>
    <w:link w:val="7"/>
    <w:uiPriority w:val="9"/>
    <w:rPr>
      <w:rFonts w:ascii="Calibri" w:hAnsi="Calibri"/>
      <w:sz w:val="24"/>
      <w:szCs w:val="24"/>
      <w:lang w:eastAsia="en-US" w:bidi="en-US"/>
    </w:rPr>
  </w:style>
  <w:style w:type="character" w:customStyle="1" w:styleId="80">
    <w:name w:val="标题 8 字符"/>
    <w:link w:val="8"/>
    <w:uiPriority w:val="9"/>
    <w:rPr>
      <w:rFonts w:ascii="Calibri" w:hAnsi="Calibri"/>
      <w:i/>
      <w:iCs/>
      <w:sz w:val="24"/>
      <w:szCs w:val="24"/>
      <w:lang w:eastAsia="en-US" w:bidi="en-US"/>
    </w:rPr>
  </w:style>
  <w:style w:type="character" w:customStyle="1" w:styleId="90">
    <w:name w:val="标题 9 字符"/>
    <w:link w:val="9"/>
    <w:uiPriority w:val="9"/>
    <w:qFormat/>
    <w:rPr>
      <w:rFonts w:ascii="Cambria" w:hAnsi="Cambria"/>
      <w:sz w:val="22"/>
      <w:szCs w:val="22"/>
      <w:lang w:eastAsia="en-US" w:bidi="en-US"/>
    </w:rPr>
  </w:style>
  <w:style w:type="paragraph" w:styleId="TOC7">
    <w:name w:val="toc 7"/>
    <w:basedOn w:val="a"/>
    <w:next w:val="a"/>
    <w:uiPriority w:val="39"/>
    <w:unhideWhenUsed/>
    <w:pPr>
      <w:spacing w:before="0" w:after="0"/>
      <w:ind w:left="1440"/>
      <w:jc w:val="left"/>
    </w:pPr>
    <w:rPr>
      <w:rFonts w:cs="Calibri"/>
      <w:sz w:val="18"/>
      <w:szCs w:val="18"/>
    </w:rPr>
  </w:style>
  <w:style w:type="paragraph" w:styleId="a3">
    <w:name w:val="Note Heading"/>
    <w:basedOn w:val="a"/>
    <w:next w:val="a"/>
    <w:link w:val="a4"/>
    <w:pPr>
      <w:widowControl/>
      <w:spacing w:beforeLines="0" w:before="0" w:afterLines="0" w:after="0" w:line="240" w:lineRule="auto"/>
      <w:ind w:firstLineChars="0" w:firstLine="0"/>
      <w:jc w:val="center"/>
    </w:pPr>
    <w:rPr>
      <w:kern w:val="0"/>
      <w:szCs w:val="24"/>
      <w:lang w:eastAsia="en-US" w:bidi="en-US"/>
    </w:rPr>
  </w:style>
  <w:style w:type="character" w:customStyle="1" w:styleId="a4">
    <w:name w:val="注释标题 字符"/>
    <w:link w:val="a3"/>
    <w:rPr>
      <w:rFonts w:ascii="Calibri" w:hAnsi="Calibri"/>
      <w:sz w:val="24"/>
      <w:szCs w:val="24"/>
      <w:lang w:eastAsia="en-US" w:bidi="en-US"/>
    </w:rPr>
  </w:style>
  <w:style w:type="paragraph" w:styleId="a5">
    <w:name w:val="Normal Indent"/>
    <w:basedOn w:val="a"/>
    <w:link w:val="a6"/>
    <w:uiPriority w:val="99"/>
    <w:qFormat/>
    <w:pPr>
      <w:spacing w:beforeLines="0" w:before="0" w:afterLines="0" w:after="0" w:line="240" w:lineRule="auto"/>
      <w:ind w:firstLineChars="0" w:firstLine="420"/>
    </w:pPr>
    <w:rPr>
      <w:rFonts w:ascii="Times New Roman" w:hAnsi="Times New Roman"/>
      <w:sz w:val="21"/>
      <w:szCs w:val="20"/>
    </w:rPr>
  </w:style>
  <w:style w:type="character" w:customStyle="1" w:styleId="a6">
    <w:name w:val="正文缩进 字符"/>
    <w:link w:val="a5"/>
    <w:uiPriority w:val="99"/>
    <w:qFormat/>
    <w:locked/>
    <w:rPr>
      <w:kern w:val="2"/>
      <w:sz w:val="21"/>
    </w:rPr>
  </w:style>
  <w:style w:type="paragraph" w:styleId="a7">
    <w:name w:val="Document Map"/>
    <w:basedOn w:val="a"/>
    <w:link w:val="a8"/>
    <w:qFormat/>
    <w:pPr>
      <w:widowControl/>
      <w:shd w:val="clear" w:color="auto" w:fill="000080"/>
      <w:spacing w:beforeLines="0" w:before="0" w:afterLines="0" w:after="0" w:line="240" w:lineRule="auto"/>
      <w:ind w:firstLineChars="0" w:firstLine="0"/>
      <w:jc w:val="left"/>
    </w:pPr>
    <w:rPr>
      <w:kern w:val="0"/>
      <w:lang w:eastAsia="en-US" w:bidi="en-US"/>
    </w:rPr>
  </w:style>
  <w:style w:type="character" w:customStyle="1" w:styleId="a8">
    <w:name w:val="文档结构图 字符"/>
    <w:link w:val="a7"/>
    <w:qFormat/>
    <w:rPr>
      <w:rFonts w:ascii="Calibri" w:hAnsi="Calibri"/>
      <w:sz w:val="24"/>
      <w:szCs w:val="22"/>
      <w:shd w:val="clear" w:color="auto" w:fill="000080"/>
      <w:lang w:eastAsia="en-US" w:bidi="en-US"/>
    </w:rPr>
  </w:style>
  <w:style w:type="paragraph" w:styleId="a9">
    <w:name w:val="annotation text"/>
    <w:basedOn w:val="a"/>
    <w:link w:val="aa"/>
    <w:uiPriority w:val="99"/>
    <w:qFormat/>
    <w:pPr>
      <w:widowControl/>
      <w:spacing w:beforeLines="0" w:before="0" w:afterLines="0" w:after="0" w:line="240" w:lineRule="auto"/>
      <w:ind w:firstLineChars="0" w:firstLine="0"/>
      <w:jc w:val="left"/>
    </w:pPr>
    <w:rPr>
      <w:kern w:val="0"/>
      <w:szCs w:val="24"/>
      <w:lang w:eastAsia="en-US" w:bidi="en-US"/>
    </w:rPr>
  </w:style>
  <w:style w:type="character" w:customStyle="1" w:styleId="aa">
    <w:name w:val="批注文字 字符"/>
    <w:link w:val="a9"/>
    <w:uiPriority w:val="99"/>
    <w:qFormat/>
    <w:rPr>
      <w:rFonts w:ascii="Calibri" w:hAnsi="Calibri"/>
      <w:sz w:val="24"/>
      <w:szCs w:val="24"/>
      <w:lang w:eastAsia="en-US" w:bidi="en-US"/>
    </w:rPr>
  </w:style>
  <w:style w:type="paragraph" w:styleId="31">
    <w:name w:val="Body Text 3"/>
    <w:basedOn w:val="a"/>
    <w:link w:val="32"/>
    <w:uiPriority w:val="99"/>
    <w:qFormat/>
    <w:pPr>
      <w:spacing w:beforeLines="0" w:before="0" w:afterLines="0" w:after="120" w:line="240" w:lineRule="auto"/>
      <w:ind w:firstLineChars="0" w:firstLine="0"/>
    </w:pPr>
    <w:rPr>
      <w:rFonts w:ascii="Times New Roman" w:hAnsi="Times New Roman"/>
      <w:sz w:val="16"/>
      <w:szCs w:val="16"/>
    </w:rPr>
  </w:style>
  <w:style w:type="character" w:customStyle="1" w:styleId="32">
    <w:name w:val="正文文本 3 字符"/>
    <w:link w:val="31"/>
    <w:uiPriority w:val="99"/>
    <w:qFormat/>
    <w:rPr>
      <w:kern w:val="2"/>
      <w:sz w:val="16"/>
      <w:szCs w:val="16"/>
    </w:rPr>
  </w:style>
  <w:style w:type="paragraph" w:styleId="ab">
    <w:name w:val="Body Text"/>
    <w:basedOn w:val="a"/>
    <w:link w:val="ac"/>
    <w:uiPriority w:val="1"/>
    <w:unhideWhenUsed/>
    <w:qFormat/>
    <w:pPr>
      <w:spacing w:after="120"/>
    </w:pPr>
  </w:style>
  <w:style w:type="character" w:customStyle="1" w:styleId="ac">
    <w:name w:val="正文文本 字符"/>
    <w:link w:val="ab"/>
    <w:uiPriority w:val="99"/>
    <w:qFormat/>
    <w:rPr>
      <w:rFonts w:ascii="Calibri" w:hAnsi="Calibri"/>
      <w:kern w:val="2"/>
      <w:sz w:val="24"/>
      <w:szCs w:val="22"/>
    </w:rPr>
  </w:style>
  <w:style w:type="paragraph" w:styleId="ad">
    <w:name w:val="Body Text Indent"/>
    <w:basedOn w:val="a"/>
    <w:link w:val="ae"/>
    <w:qFormat/>
    <w:pPr>
      <w:widowControl/>
      <w:spacing w:beforeLines="0" w:before="0" w:afterLines="0" w:after="0"/>
      <w:ind w:firstLineChars="0" w:firstLine="570"/>
      <w:jc w:val="left"/>
    </w:pPr>
    <w:rPr>
      <w:rFonts w:ascii="宋体" w:hAnsi="宋体"/>
      <w:kern w:val="0"/>
      <w:sz w:val="28"/>
      <w:szCs w:val="28"/>
      <w:lang w:eastAsia="en-US" w:bidi="en-US"/>
    </w:rPr>
  </w:style>
  <w:style w:type="character" w:customStyle="1" w:styleId="ae">
    <w:name w:val="正文文本缩进 字符"/>
    <w:link w:val="ad"/>
    <w:qFormat/>
    <w:rPr>
      <w:rFonts w:ascii="宋体" w:hAnsi="宋体"/>
      <w:sz w:val="28"/>
      <w:szCs w:val="28"/>
      <w:lang w:eastAsia="en-US" w:bidi="en-US"/>
    </w:rPr>
  </w:style>
  <w:style w:type="paragraph" w:styleId="TOC5">
    <w:name w:val="toc 5"/>
    <w:basedOn w:val="a"/>
    <w:next w:val="a"/>
    <w:uiPriority w:val="39"/>
    <w:unhideWhenUsed/>
    <w:pPr>
      <w:spacing w:before="0" w:after="0"/>
      <w:ind w:left="960"/>
      <w:jc w:val="left"/>
    </w:pPr>
    <w:rPr>
      <w:rFonts w:cs="Calibri"/>
      <w:sz w:val="18"/>
      <w:szCs w:val="18"/>
    </w:rPr>
  </w:style>
  <w:style w:type="paragraph" w:styleId="TOC3">
    <w:name w:val="toc 3"/>
    <w:basedOn w:val="a"/>
    <w:next w:val="a"/>
    <w:uiPriority w:val="39"/>
    <w:qFormat/>
    <w:pPr>
      <w:spacing w:before="0" w:after="0"/>
      <w:ind w:left="480"/>
      <w:jc w:val="left"/>
    </w:pPr>
    <w:rPr>
      <w:rFonts w:cs="Calibri"/>
      <w:i/>
      <w:iCs/>
      <w:sz w:val="20"/>
      <w:szCs w:val="20"/>
    </w:rPr>
  </w:style>
  <w:style w:type="paragraph" w:styleId="af">
    <w:name w:val="Plain Text"/>
    <w:basedOn w:val="a"/>
    <w:link w:val="af0"/>
    <w:qFormat/>
    <w:pPr>
      <w:widowControl/>
      <w:spacing w:beforeLines="0" w:before="0" w:afterLines="0" w:after="0" w:line="240" w:lineRule="auto"/>
      <w:ind w:firstLineChars="0" w:firstLine="0"/>
      <w:jc w:val="left"/>
    </w:pPr>
    <w:rPr>
      <w:rFonts w:ascii="宋体" w:hAnsi="Courier New"/>
      <w:kern w:val="0"/>
      <w:szCs w:val="20"/>
      <w:lang w:eastAsia="en-US" w:bidi="en-US"/>
    </w:rPr>
  </w:style>
  <w:style w:type="character" w:customStyle="1" w:styleId="af0">
    <w:name w:val="纯文本 字符"/>
    <w:link w:val="af"/>
    <w:qFormat/>
    <w:rPr>
      <w:rFonts w:ascii="宋体" w:hAnsi="Courier New"/>
      <w:sz w:val="24"/>
      <w:lang w:eastAsia="en-US" w:bidi="en-US"/>
    </w:rPr>
  </w:style>
  <w:style w:type="paragraph" w:styleId="TOC8">
    <w:name w:val="toc 8"/>
    <w:basedOn w:val="a"/>
    <w:next w:val="a"/>
    <w:uiPriority w:val="39"/>
    <w:unhideWhenUsed/>
    <w:pPr>
      <w:spacing w:before="0" w:after="0"/>
      <w:ind w:left="1680"/>
      <w:jc w:val="left"/>
    </w:pPr>
    <w:rPr>
      <w:rFonts w:cs="Calibri"/>
      <w:sz w:val="18"/>
      <w:szCs w:val="18"/>
    </w:rPr>
  </w:style>
  <w:style w:type="paragraph" w:styleId="af1">
    <w:name w:val="Date"/>
    <w:basedOn w:val="a"/>
    <w:next w:val="a"/>
    <w:link w:val="af2"/>
    <w:uiPriority w:val="99"/>
    <w:unhideWhenUsed/>
    <w:qFormat/>
    <w:pPr>
      <w:widowControl/>
      <w:spacing w:beforeLines="0" w:before="0" w:afterLines="0" w:after="0" w:line="240" w:lineRule="auto"/>
      <w:ind w:leftChars="2500" w:left="100" w:firstLineChars="0" w:firstLine="0"/>
      <w:jc w:val="left"/>
    </w:pPr>
    <w:rPr>
      <w:kern w:val="0"/>
      <w:lang w:eastAsia="en-US" w:bidi="en-US"/>
    </w:rPr>
  </w:style>
  <w:style w:type="character" w:customStyle="1" w:styleId="af2">
    <w:name w:val="日期 字符"/>
    <w:link w:val="af1"/>
    <w:uiPriority w:val="99"/>
    <w:qFormat/>
    <w:rPr>
      <w:rFonts w:ascii="Calibri" w:hAnsi="Calibri"/>
      <w:sz w:val="24"/>
      <w:szCs w:val="22"/>
      <w:lang w:eastAsia="en-US" w:bidi="en-US"/>
    </w:rPr>
  </w:style>
  <w:style w:type="paragraph" w:styleId="21">
    <w:name w:val="Body Text Indent 2"/>
    <w:basedOn w:val="a"/>
    <w:link w:val="22"/>
    <w:qFormat/>
    <w:pPr>
      <w:widowControl/>
      <w:autoSpaceDE w:val="0"/>
      <w:autoSpaceDN w:val="0"/>
      <w:adjustRightInd w:val="0"/>
      <w:spacing w:beforeLines="0" w:before="0" w:afterLines="0" w:after="0"/>
      <w:ind w:firstLineChars="0" w:firstLine="454"/>
      <w:jc w:val="left"/>
      <w:textAlignment w:val="bottom"/>
    </w:pPr>
    <w:rPr>
      <w:kern w:val="0"/>
      <w:szCs w:val="20"/>
      <w:lang w:eastAsia="en-US" w:bidi="en-US"/>
    </w:rPr>
  </w:style>
  <w:style w:type="character" w:customStyle="1" w:styleId="22">
    <w:name w:val="正文文本缩进 2 字符"/>
    <w:link w:val="21"/>
    <w:qFormat/>
    <w:rPr>
      <w:rFonts w:ascii="Calibri" w:hAnsi="Calibri"/>
      <w:sz w:val="24"/>
      <w:lang w:eastAsia="en-US" w:bidi="en-US"/>
    </w:rPr>
  </w:style>
  <w:style w:type="paragraph" w:styleId="af3">
    <w:name w:val="endnote text"/>
    <w:basedOn w:val="a"/>
    <w:link w:val="af4"/>
    <w:semiHidden/>
    <w:qFormat/>
    <w:pPr>
      <w:snapToGrid w:val="0"/>
      <w:spacing w:beforeLines="0" w:before="0" w:afterLines="0" w:after="0" w:line="240" w:lineRule="auto"/>
      <w:ind w:firstLineChars="0" w:firstLine="0"/>
      <w:jc w:val="left"/>
    </w:pPr>
    <w:rPr>
      <w:rFonts w:ascii="Times New Roman" w:hAnsi="Times New Roman"/>
      <w:sz w:val="21"/>
      <w:szCs w:val="24"/>
    </w:rPr>
  </w:style>
  <w:style w:type="character" w:customStyle="1" w:styleId="af4">
    <w:name w:val="尾注文本 字符"/>
    <w:link w:val="af3"/>
    <w:semiHidden/>
    <w:qFormat/>
    <w:rPr>
      <w:kern w:val="2"/>
      <w:sz w:val="21"/>
      <w:szCs w:val="24"/>
    </w:rPr>
  </w:style>
  <w:style w:type="paragraph" w:styleId="af5">
    <w:name w:val="Balloon Text"/>
    <w:basedOn w:val="a"/>
    <w:link w:val="af6"/>
    <w:uiPriority w:val="99"/>
    <w:unhideWhenUsed/>
    <w:qFormat/>
    <w:rPr>
      <w:rFonts w:ascii="Times New Roman" w:hAnsi="Times New Roman"/>
      <w:kern w:val="0"/>
      <w:sz w:val="18"/>
      <w:szCs w:val="18"/>
    </w:rPr>
  </w:style>
  <w:style w:type="character" w:customStyle="1" w:styleId="af6">
    <w:name w:val="批注框文本 字符"/>
    <w:link w:val="af5"/>
    <w:uiPriority w:val="99"/>
    <w:qFormat/>
    <w:rPr>
      <w:sz w:val="18"/>
      <w:szCs w:val="18"/>
    </w:rPr>
  </w:style>
  <w:style w:type="paragraph" w:styleId="af7">
    <w:name w:val="footer"/>
    <w:basedOn w:val="a"/>
    <w:link w:val="af8"/>
    <w:uiPriority w:val="99"/>
    <w:unhideWhenUsed/>
    <w:qFormat/>
    <w:pPr>
      <w:tabs>
        <w:tab w:val="center" w:pos="4153"/>
        <w:tab w:val="right" w:pos="8306"/>
      </w:tabs>
      <w:snapToGrid w:val="0"/>
      <w:jc w:val="left"/>
    </w:pPr>
    <w:rPr>
      <w:rFonts w:ascii="Times New Roman" w:hAnsi="Times New Roman"/>
      <w:kern w:val="0"/>
      <w:sz w:val="18"/>
      <w:szCs w:val="18"/>
    </w:rPr>
  </w:style>
  <w:style w:type="character" w:customStyle="1" w:styleId="af8">
    <w:name w:val="页脚 字符"/>
    <w:link w:val="af7"/>
    <w:uiPriority w:val="99"/>
    <w:qFormat/>
    <w:rPr>
      <w:sz w:val="18"/>
      <w:szCs w:val="18"/>
    </w:rPr>
  </w:style>
  <w:style w:type="paragraph" w:styleId="af9">
    <w:name w:val="header"/>
    <w:basedOn w:val="a"/>
    <w:link w:val="afa"/>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afa">
    <w:name w:val="页眉 字符"/>
    <w:link w:val="af9"/>
    <w:uiPriority w:val="99"/>
    <w:qFormat/>
    <w:rPr>
      <w:sz w:val="18"/>
      <w:szCs w:val="18"/>
    </w:rPr>
  </w:style>
  <w:style w:type="paragraph" w:styleId="TOC1">
    <w:name w:val="toc 1"/>
    <w:basedOn w:val="a"/>
    <w:next w:val="a"/>
    <w:uiPriority w:val="39"/>
    <w:qFormat/>
    <w:pPr>
      <w:spacing w:before="120" w:after="120"/>
      <w:jc w:val="left"/>
    </w:pPr>
    <w:rPr>
      <w:rFonts w:cs="Calibri"/>
      <w:b/>
      <w:bCs/>
      <w:caps/>
      <w:sz w:val="20"/>
      <w:szCs w:val="20"/>
    </w:rPr>
  </w:style>
  <w:style w:type="paragraph" w:styleId="TOC4">
    <w:name w:val="toc 4"/>
    <w:basedOn w:val="a"/>
    <w:next w:val="a"/>
    <w:uiPriority w:val="39"/>
    <w:unhideWhenUsed/>
    <w:pPr>
      <w:spacing w:before="0" w:after="0"/>
      <w:ind w:left="720"/>
      <w:jc w:val="left"/>
    </w:pPr>
    <w:rPr>
      <w:rFonts w:cs="Calibri"/>
      <w:sz w:val="18"/>
      <w:szCs w:val="18"/>
    </w:rPr>
  </w:style>
  <w:style w:type="paragraph" w:styleId="afb">
    <w:name w:val="Subtitle"/>
    <w:basedOn w:val="a"/>
    <w:next w:val="2"/>
    <w:link w:val="afc"/>
    <w:uiPriority w:val="11"/>
    <w:qFormat/>
    <w:pPr>
      <w:widowControl/>
      <w:jc w:val="left"/>
      <w:outlineLvl w:val="1"/>
    </w:pPr>
    <w:rPr>
      <w:rFonts w:ascii="Cambria" w:hAnsi="Cambria"/>
      <w:b/>
      <w:kern w:val="0"/>
      <w:sz w:val="28"/>
      <w:szCs w:val="24"/>
      <w:lang w:eastAsia="en-US" w:bidi="en-US"/>
    </w:rPr>
  </w:style>
  <w:style w:type="character" w:customStyle="1" w:styleId="afc">
    <w:name w:val="副标题 字符"/>
    <w:link w:val="afb"/>
    <w:uiPriority w:val="11"/>
    <w:rPr>
      <w:rFonts w:ascii="Cambria" w:hAnsi="Cambria"/>
      <w:b/>
      <w:sz w:val="28"/>
      <w:szCs w:val="24"/>
      <w:lang w:eastAsia="en-US" w:bidi="en-US"/>
    </w:rPr>
  </w:style>
  <w:style w:type="paragraph" w:styleId="afd">
    <w:name w:val="List"/>
    <w:basedOn w:val="a"/>
    <w:qFormat/>
    <w:pPr>
      <w:spacing w:beforeLines="0" w:before="0" w:afterLines="0" w:after="0" w:line="240" w:lineRule="auto"/>
      <w:ind w:left="200" w:hangingChars="200" w:hanging="200"/>
    </w:pPr>
    <w:rPr>
      <w:rFonts w:ascii="Times New Roman" w:hAnsi="Times New Roman"/>
      <w:sz w:val="21"/>
      <w:szCs w:val="24"/>
    </w:rPr>
  </w:style>
  <w:style w:type="paragraph" w:styleId="afe">
    <w:name w:val="footnote text"/>
    <w:basedOn w:val="a"/>
    <w:link w:val="aff"/>
    <w:uiPriority w:val="99"/>
    <w:semiHidden/>
    <w:qFormat/>
    <w:pPr>
      <w:widowControl/>
      <w:snapToGrid w:val="0"/>
      <w:spacing w:beforeLines="0" w:before="0" w:afterLines="0" w:after="0" w:line="240" w:lineRule="auto"/>
      <w:ind w:firstLineChars="0" w:firstLine="0"/>
      <w:jc w:val="left"/>
    </w:pPr>
    <w:rPr>
      <w:kern w:val="0"/>
      <w:sz w:val="18"/>
      <w:szCs w:val="18"/>
      <w:lang w:eastAsia="en-US" w:bidi="en-US"/>
    </w:rPr>
  </w:style>
  <w:style w:type="character" w:customStyle="1" w:styleId="aff">
    <w:name w:val="脚注文本 字符"/>
    <w:link w:val="afe"/>
    <w:uiPriority w:val="99"/>
    <w:semiHidden/>
    <w:qFormat/>
    <w:rPr>
      <w:rFonts w:ascii="Calibri" w:hAnsi="Calibri"/>
      <w:sz w:val="18"/>
      <w:szCs w:val="18"/>
      <w:lang w:eastAsia="en-US" w:bidi="en-US"/>
    </w:rPr>
  </w:style>
  <w:style w:type="paragraph" w:styleId="TOC6">
    <w:name w:val="toc 6"/>
    <w:basedOn w:val="a"/>
    <w:next w:val="a"/>
    <w:uiPriority w:val="39"/>
    <w:unhideWhenUsed/>
    <w:pPr>
      <w:spacing w:before="0" w:after="0"/>
      <w:ind w:left="1200"/>
      <w:jc w:val="left"/>
    </w:pPr>
    <w:rPr>
      <w:rFonts w:cs="Calibri"/>
      <w:sz w:val="18"/>
      <w:szCs w:val="18"/>
    </w:rPr>
  </w:style>
  <w:style w:type="paragraph" w:styleId="33">
    <w:name w:val="Body Text Indent 3"/>
    <w:basedOn w:val="a"/>
    <w:link w:val="34"/>
    <w:unhideWhenUsed/>
    <w:qFormat/>
    <w:pPr>
      <w:spacing w:after="120"/>
      <w:ind w:leftChars="200" w:left="420"/>
    </w:pPr>
    <w:rPr>
      <w:sz w:val="16"/>
      <w:szCs w:val="16"/>
    </w:rPr>
  </w:style>
  <w:style w:type="character" w:customStyle="1" w:styleId="34">
    <w:name w:val="正文文本缩进 3 字符"/>
    <w:link w:val="33"/>
    <w:qFormat/>
    <w:rPr>
      <w:rFonts w:ascii="Calibri" w:hAnsi="Calibri"/>
      <w:kern w:val="2"/>
      <w:sz w:val="16"/>
      <w:szCs w:val="16"/>
    </w:rPr>
  </w:style>
  <w:style w:type="paragraph" w:styleId="TOC2">
    <w:name w:val="toc 2"/>
    <w:basedOn w:val="a"/>
    <w:next w:val="a"/>
    <w:uiPriority w:val="39"/>
    <w:unhideWhenUsed/>
    <w:qFormat/>
    <w:pPr>
      <w:spacing w:before="0" w:after="0"/>
      <w:ind w:left="240"/>
      <w:jc w:val="left"/>
    </w:pPr>
    <w:rPr>
      <w:rFonts w:cs="Calibri"/>
      <w:smallCaps/>
      <w:sz w:val="20"/>
      <w:szCs w:val="20"/>
    </w:rPr>
  </w:style>
  <w:style w:type="paragraph" w:styleId="TOC9">
    <w:name w:val="toc 9"/>
    <w:basedOn w:val="a"/>
    <w:next w:val="a"/>
    <w:uiPriority w:val="39"/>
    <w:unhideWhenUsed/>
    <w:pPr>
      <w:spacing w:before="0" w:after="0"/>
      <w:ind w:left="1920"/>
      <w:jc w:val="left"/>
    </w:pPr>
    <w:rPr>
      <w:rFonts w:cs="Calibri"/>
      <w:sz w:val="18"/>
      <w:szCs w:val="18"/>
    </w:rPr>
  </w:style>
  <w:style w:type="paragraph" w:styleId="23">
    <w:name w:val="Body Text 2"/>
    <w:basedOn w:val="a"/>
    <w:link w:val="24"/>
    <w:qFormat/>
    <w:pPr>
      <w:widowControl/>
      <w:spacing w:beforeLines="0" w:before="0" w:afterLines="0" w:after="0" w:line="240" w:lineRule="auto"/>
      <w:ind w:firstLineChars="0" w:firstLine="0"/>
      <w:jc w:val="center"/>
    </w:pPr>
    <w:rPr>
      <w:kern w:val="0"/>
      <w:szCs w:val="24"/>
      <w:lang w:eastAsia="en-US" w:bidi="en-US"/>
    </w:rPr>
  </w:style>
  <w:style w:type="character" w:customStyle="1" w:styleId="24">
    <w:name w:val="正文文本 2 字符"/>
    <w:link w:val="23"/>
    <w:qFormat/>
    <w:rPr>
      <w:rFonts w:ascii="Calibri" w:hAnsi="Calibri"/>
      <w:sz w:val="24"/>
      <w:szCs w:val="24"/>
      <w:lang w:eastAsia="en-US" w:bidi="en-US"/>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before="0" w:afterLines="0" w:after="0" w:line="240" w:lineRule="auto"/>
      <w:ind w:firstLineChars="0" w:firstLine="0"/>
      <w:jc w:val="left"/>
    </w:pPr>
    <w:rPr>
      <w:rFonts w:ascii="Times New Roman" w:hAnsi="Times New Roman"/>
      <w:kern w:val="0"/>
      <w:sz w:val="20"/>
      <w:szCs w:val="24"/>
    </w:rPr>
  </w:style>
  <w:style w:type="character" w:customStyle="1" w:styleId="HTML0">
    <w:name w:val="HTML 预设格式 字符"/>
    <w:link w:val="HTML"/>
    <w:qFormat/>
    <w:rPr>
      <w:szCs w:val="24"/>
    </w:rPr>
  </w:style>
  <w:style w:type="paragraph" w:styleId="aff0">
    <w:name w:val="Normal (Web)"/>
    <w:basedOn w:val="a"/>
    <w:uiPriority w:val="99"/>
    <w:qFormat/>
    <w:pPr>
      <w:widowControl/>
      <w:spacing w:beforeLines="0" w:before="100" w:afterLines="0" w:after="100" w:line="240" w:lineRule="auto"/>
      <w:ind w:firstLineChars="0" w:firstLine="0"/>
      <w:jc w:val="left"/>
    </w:pPr>
    <w:rPr>
      <w:rFonts w:ascii="宋体" w:hAnsi="宋体" w:hint="eastAsia"/>
      <w:kern w:val="0"/>
      <w:szCs w:val="20"/>
    </w:rPr>
  </w:style>
  <w:style w:type="paragraph" w:styleId="aff1">
    <w:name w:val="Title"/>
    <w:basedOn w:val="a"/>
    <w:next w:val="1"/>
    <w:link w:val="aff2"/>
    <w:qFormat/>
    <w:pPr>
      <w:spacing w:beforeLines="0" w:before="240" w:afterLines="0" w:after="60" w:line="240" w:lineRule="auto"/>
      <w:ind w:firstLineChars="0" w:firstLine="0"/>
      <w:jc w:val="center"/>
      <w:outlineLvl w:val="0"/>
    </w:pPr>
    <w:rPr>
      <w:rFonts w:ascii="Cambria" w:hAnsi="Cambria"/>
      <w:b/>
      <w:bCs/>
      <w:kern w:val="0"/>
      <w:sz w:val="32"/>
      <w:szCs w:val="32"/>
    </w:rPr>
  </w:style>
  <w:style w:type="character" w:customStyle="1" w:styleId="aff2">
    <w:name w:val="标题 字符"/>
    <w:link w:val="aff1"/>
    <w:qFormat/>
    <w:rPr>
      <w:rFonts w:ascii="Cambria" w:hAnsi="Cambria" w:cs="Cambria"/>
      <w:b/>
      <w:bCs/>
      <w:sz w:val="32"/>
      <w:szCs w:val="32"/>
    </w:rPr>
  </w:style>
  <w:style w:type="paragraph" w:styleId="aff3">
    <w:name w:val="annotation subject"/>
    <w:basedOn w:val="a9"/>
    <w:next w:val="a9"/>
    <w:link w:val="aff4"/>
    <w:uiPriority w:val="99"/>
    <w:qFormat/>
    <w:rPr>
      <w:b/>
      <w:bCs/>
    </w:rPr>
  </w:style>
  <w:style w:type="character" w:customStyle="1" w:styleId="aff4">
    <w:name w:val="批注主题 字符"/>
    <w:link w:val="aff3"/>
    <w:uiPriority w:val="99"/>
    <w:qFormat/>
    <w:rPr>
      <w:rFonts w:ascii="Calibri" w:hAnsi="Calibri"/>
      <w:b/>
      <w:bCs/>
      <w:sz w:val="24"/>
      <w:szCs w:val="24"/>
      <w:lang w:eastAsia="en-US" w:bidi="en-US"/>
    </w:rPr>
  </w:style>
  <w:style w:type="paragraph" w:styleId="aff5">
    <w:name w:val="Body Text First Indent"/>
    <w:basedOn w:val="ab"/>
    <w:link w:val="aff6"/>
    <w:pPr>
      <w:spacing w:beforeLines="0" w:before="0" w:afterLines="0" w:line="240" w:lineRule="auto"/>
      <w:ind w:firstLineChars="100" w:firstLine="420"/>
    </w:pPr>
    <w:rPr>
      <w:sz w:val="21"/>
      <w:szCs w:val="24"/>
    </w:rPr>
  </w:style>
  <w:style w:type="character" w:customStyle="1" w:styleId="aff6">
    <w:name w:val="正文文本首行缩进 字符"/>
    <w:link w:val="aff5"/>
    <w:rPr>
      <w:rFonts w:ascii="Calibri" w:hAnsi="Calibri"/>
      <w:kern w:val="2"/>
      <w:sz w:val="21"/>
      <w:szCs w:val="24"/>
    </w:rPr>
  </w:style>
  <w:style w:type="table" w:styleId="aff7">
    <w:name w:val="Table Grid"/>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uiPriority w:val="22"/>
    <w:qFormat/>
    <w:rPr>
      <w:b/>
      <w:bCs/>
    </w:rPr>
  </w:style>
  <w:style w:type="character" w:styleId="affa">
    <w:name w:val="page number"/>
    <w:qFormat/>
  </w:style>
  <w:style w:type="character" w:styleId="affb">
    <w:name w:val="FollowedHyperlink"/>
    <w:unhideWhenUsed/>
    <w:rPr>
      <w:color w:val="800080"/>
      <w:u w:val="single"/>
    </w:rPr>
  </w:style>
  <w:style w:type="character" w:styleId="affc">
    <w:name w:val="Emphasis"/>
    <w:uiPriority w:val="20"/>
    <w:qFormat/>
    <w:rPr>
      <w:rFonts w:ascii="Calibri" w:hAnsi="Calibri"/>
      <w:b/>
      <w:i/>
      <w:iCs/>
    </w:rPr>
  </w:style>
  <w:style w:type="character" w:styleId="affd">
    <w:name w:val="Hyperlink"/>
    <w:uiPriority w:val="99"/>
    <w:qFormat/>
    <w:rPr>
      <w:color w:val="0000FF"/>
      <w:u w:val="single"/>
    </w:rPr>
  </w:style>
  <w:style w:type="character" w:styleId="affe">
    <w:name w:val="annotation reference"/>
    <w:uiPriority w:val="99"/>
    <w:qFormat/>
    <w:rPr>
      <w:sz w:val="21"/>
      <w:szCs w:val="21"/>
    </w:rPr>
  </w:style>
  <w:style w:type="character" w:styleId="afff">
    <w:name w:val="footnote reference"/>
    <w:uiPriority w:val="99"/>
    <w:unhideWhenUsed/>
    <w:qFormat/>
    <w:rPr>
      <w:vertAlign w:val="superscript"/>
    </w:rPr>
  </w:style>
  <w:style w:type="character" w:customStyle="1" w:styleId="Char">
    <w:name w:val="(打印)宋体正文 Char"/>
    <w:link w:val="afff0"/>
    <w:rPr>
      <w:rFonts w:ascii="Calibri" w:hAnsi="Calibri"/>
      <w:sz w:val="24"/>
      <w:szCs w:val="24"/>
      <w:lang w:eastAsia="en-US" w:bidi="en-US"/>
    </w:rPr>
  </w:style>
  <w:style w:type="paragraph" w:customStyle="1" w:styleId="afff0">
    <w:name w:val="(打印)宋体正文"/>
    <w:basedOn w:val="a"/>
    <w:link w:val="Char"/>
    <w:pPr>
      <w:widowControl/>
      <w:spacing w:line="240" w:lineRule="auto"/>
      <w:ind w:firstLineChars="0" w:firstLine="0"/>
      <w:jc w:val="left"/>
    </w:pPr>
    <w:rPr>
      <w:kern w:val="0"/>
      <w:szCs w:val="24"/>
      <w:lang w:eastAsia="en-US" w:bidi="en-US"/>
    </w:rPr>
  </w:style>
  <w:style w:type="character" w:customStyle="1" w:styleId="21Char">
    <w:name w:val="样式 首行缩进:  2 字符1 Char"/>
    <w:link w:val="210"/>
    <w:rPr>
      <w:rFonts w:ascii="华文中宋" w:eastAsia="华文中宋" w:hAnsi="Calibri" w:cs="宋体"/>
      <w:sz w:val="24"/>
      <w:szCs w:val="24"/>
      <w:lang w:eastAsia="en-US" w:bidi="en-US"/>
    </w:rPr>
  </w:style>
  <w:style w:type="paragraph" w:customStyle="1" w:styleId="210">
    <w:name w:val="样式 首行缩进:  2 字符1"/>
    <w:basedOn w:val="a"/>
    <w:link w:val="21Char"/>
    <w:pPr>
      <w:widowControl/>
      <w:adjustRightInd w:val="0"/>
      <w:spacing w:beforeLines="0" w:before="0" w:afterLines="0" w:after="0" w:line="240" w:lineRule="auto"/>
      <w:ind w:firstLine="480"/>
      <w:jc w:val="left"/>
    </w:pPr>
    <w:rPr>
      <w:rFonts w:ascii="华文中宋" w:eastAsia="华文中宋" w:cs="宋体"/>
      <w:kern w:val="0"/>
      <w:szCs w:val="24"/>
      <w:lang w:eastAsia="en-US" w:bidi="en-US"/>
    </w:rPr>
  </w:style>
  <w:style w:type="character" w:customStyle="1" w:styleId="z-">
    <w:name w:val="z-窗体顶端 字符"/>
    <w:link w:val="z-0"/>
    <w:rPr>
      <w:b/>
      <w:bCs/>
      <w:sz w:val="24"/>
      <w:szCs w:val="24"/>
    </w:rPr>
  </w:style>
  <w:style w:type="paragraph" w:styleId="z-0">
    <w:name w:val="HTML Top of Form"/>
    <w:basedOn w:val="a"/>
    <w:next w:val="a"/>
    <w:link w:val="z-"/>
    <w:unhideWhenUsed/>
    <w:pPr>
      <w:widowControl/>
      <w:pBdr>
        <w:bottom w:val="single" w:sz="6" w:space="1" w:color="auto"/>
      </w:pBdr>
      <w:spacing w:beforeLines="0" w:before="0" w:afterLines="0" w:after="0" w:line="240" w:lineRule="auto"/>
      <w:ind w:firstLineChars="0" w:firstLine="0"/>
      <w:jc w:val="center"/>
    </w:pPr>
    <w:rPr>
      <w:rFonts w:ascii="Times New Roman" w:hAnsi="Times New Roman"/>
      <w:b/>
      <w:bCs/>
      <w:kern w:val="0"/>
      <w:szCs w:val="24"/>
    </w:rPr>
  </w:style>
  <w:style w:type="character" w:styleId="afff1">
    <w:name w:val="Subtle Reference"/>
    <w:uiPriority w:val="31"/>
    <w:qFormat/>
    <w:rPr>
      <w:sz w:val="24"/>
      <w:szCs w:val="24"/>
      <w:u w:val="single"/>
    </w:rPr>
  </w:style>
  <w:style w:type="character" w:customStyle="1" w:styleId="2-3">
    <w:name w:val="中等深浅底纹 2 - 强调文字颜色 3字符"/>
    <w:link w:val="2-31"/>
    <w:uiPriority w:val="30"/>
    <w:rPr>
      <w:rFonts w:ascii="Calibri" w:hAnsi="Calibri"/>
      <w:b/>
      <w:i/>
      <w:sz w:val="24"/>
      <w:szCs w:val="22"/>
      <w:lang w:eastAsia="en-US" w:bidi="en-US"/>
    </w:rPr>
  </w:style>
  <w:style w:type="paragraph" w:customStyle="1" w:styleId="2-31">
    <w:name w:val="中等深浅底纹 2 - 强调文字颜色 31"/>
    <w:basedOn w:val="a"/>
    <w:next w:val="a"/>
    <w:link w:val="2-3"/>
    <w:uiPriority w:val="30"/>
    <w:qFormat/>
    <w:pPr>
      <w:widowControl/>
      <w:spacing w:beforeLines="0" w:before="0" w:afterLines="0" w:after="0" w:line="240" w:lineRule="auto"/>
      <w:ind w:left="720" w:right="720" w:firstLineChars="0" w:firstLine="0"/>
      <w:jc w:val="left"/>
    </w:pPr>
    <w:rPr>
      <w:b/>
      <w:i/>
      <w:kern w:val="0"/>
      <w:lang w:eastAsia="en-US" w:bidi="en-US"/>
    </w:rPr>
  </w:style>
  <w:style w:type="character" w:customStyle="1" w:styleId="3CharChar">
    <w:name w:val="标题 3 Char Char"/>
    <w:rPr>
      <w:rFonts w:eastAsia="黑体"/>
      <w:b/>
      <w:sz w:val="30"/>
      <w:szCs w:val="30"/>
      <w:lang w:val="en-US" w:eastAsia="zh-CN" w:bidi="ar-SA"/>
    </w:rPr>
  </w:style>
  <w:style w:type="character" w:customStyle="1" w:styleId="z-Char1">
    <w:name w:val="z-窗体底端 Char1"/>
    <w:uiPriority w:val="99"/>
    <w:semiHidden/>
    <w:rPr>
      <w:rFonts w:ascii="Arial" w:hAnsi="Arial" w:cs="Arial"/>
      <w:vanish/>
      <w:kern w:val="2"/>
      <w:sz w:val="16"/>
      <w:szCs w:val="16"/>
    </w:rPr>
  </w:style>
  <w:style w:type="character" w:styleId="afff2">
    <w:name w:val="Book Title"/>
    <w:uiPriority w:val="33"/>
    <w:qFormat/>
    <w:rPr>
      <w:rFonts w:ascii="Cambria" w:eastAsia="宋体" w:hAnsi="Cambria"/>
      <w:b/>
      <w:i/>
      <w:sz w:val="24"/>
      <w:szCs w:val="24"/>
    </w:rPr>
  </w:style>
  <w:style w:type="character" w:customStyle="1" w:styleId="afont1">
    <w:name w:val="afont1"/>
    <w:rPr>
      <w:rFonts w:ascii="Arial Narrow" w:hAnsi="Arial Narrow" w:hint="default"/>
      <w:sz w:val="22"/>
      <w:szCs w:val="22"/>
    </w:rPr>
  </w:style>
  <w:style w:type="character" w:styleId="afff3">
    <w:name w:val="Intense Reference"/>
    <w:uiPriority w:val="32"/>
    <w:qFormat/>
    <w:rPr>
      <w:b/>
      <w:sz w:val="24"/>
      <w:u w:val="single"/>
    </w:rPr>
  </w:style>
  <w:style w:type="character" w:styleId="afff4">
    <w:name w:val="Intense Emphasis"/>
    <w:uiPriority w:val="21"/>
    <w:qFormat/>
    <w:rPr>
      <w:b/>
      <w:i/>
      <w:sz w:val="24"/>
      <w:szCs w:val="24"/>
      <w:u w:val="single"/>
    </w:rPr>
  </w:style>
  <w:style w:type="character" w:customStyle="1" w:styleId="Char1">
    <w:name w:val="正文文本 Char1"/>
    <w:aliases w:val="bt Char,正文文本 Char Char Char Char Char1,正文文本 Char Char Char Char1,正文文本 Char Char Char Char Char Char,正文文字 Char,body text Char,heading3 Char,NCDOT Body Text Char,Starbucks Body Text Char,3 indent Char,heading31 Char,body text1 Char"/>
    <w:rPr>
      <w:rFonts w:ascii="Calibri" w:eastAsia="宋体" w:hAnsi="Calibri" w:cs="Times New Roman"/>
      <w:kern w:val="0"/>
      <w:sz w:val="24"/>
      <w:szCs w:val="24"/>
      <w:lang w:eastAsia="en-US" w:bidi="en-US"/>
    </w:rPr>
  </w:style>
  <w:style w:type="character" w:customStyle="1" w:styleId="1-3">
    <w:name w:val="中等深浅底纹 1 - 强调文字颜色 3字符"/>
    <w:link w:val="1-31"/>
    <w:uiPriority w:val="29"/>
    <w:rPr>
      <w:rFonts w:ascii="Calibri" w:hAnsi="Calibri"/>
      <w:i/>
      <w:sz w:val="24"/>
      <w:szCs w:val="24"/>
      <w:lang w:eastAsia="en-US" w:bidi="en-US"/>
    </w:rPr>
  </w:style>
  <w:style w:type="paragraph" w:customStyle="1" w:styleId="1-31">
    <w:name w:val="中等深浅底纹 1 - 强调文字颜色 31"/>
    <w:basedOn w:val="a"/>
    <w:next w:val="a"/>
    <w:link w:val="1-3"/>
    <w:uiPriority w:val="29"/>
    <w:qFormat/>
    <w:pPr>
      <w:widowControl/>
      <w:spacing w:beforeLines="0" w:before="0" w:afterLines="0" w:after="0" w:line="240" w:lineRule="auto"/>
      <w:ind w:firstLineChars="0" w:firstLine="0"/>
      <w:jc w:val="left"/>
    </w:pPr>
    <w:rPr>
      <w:i/>
      <w:kern w:val="0"/>
      <w:szCs w:val="24"/>
      <w:lang w:eastAsia="en-US" w:bidi="en-US"/>
    </w:rPr>
  </w:style>
  <w:style w:type="character" w:customStyle="1" w:styleId="z-1">
    <w:name w:val="z-窗体底端 字符"/>
    <w:link w:val="z-2"/>
    <w:rPr>
      <w:sz w:val="18"/>
      <w:szCs w:val="18"/>
    </w:rPr>
  </w:style>
  <w:style w:type="paragraph" w:styleId="z-2">
    <w:name w:val="HTML Bottom of Form"/>
    <w:basedOn w:val="a"/>
    <w:next w:val="a"/>
    <w:link w:val="z-1"/>
    <w:unhideWhenUsed/>
    <w:pPr>
      <w:widowControl/>
      <w:pBdr>
        <w:top w:val="single" w:sz="6" w:space="1" w:color="auto"/>
      </w:pBdr>
      <w:spacing w:beforeLines="0" w:before="0" w:afterLines="0" w:after="0" w:line="240" w:lineRule="auto"/>
      <w:ind w:firstLineChars="0" w:firstLine="0"/>
      <w:jc w:val="center"/>
    </w:pPr>
    <w:rPr>
      <w:rFonts w:ascii="Times New Roman" w:hAnsi="Times New Roman"/>
      <w:kern w:val="0"/>
      <w:sz w:val="18"/>
      <w:szCs w:val="18"/>
    </w:rPr>
  </w:style>
  <w:style w:type="character" w:customStyle="1" w:styleId="2Char">
    <w:name w:val="样式2 Char"/>
    <w:link w:val="25"/>
    <w:rPr>
      <w:rFonts w:ascii="宋体" w:hAnsi="宋体"/>
      <w:sz w:val="28"/>
      <w:lang w:eastAsia="en-US" w:bidi="en-US"/>
    </w:rPr>
  </w:style>
  <w:style w:type="paragraph" w:customStyle="1" w:styleId="25">
    <w:name w:val="样式2"/>
    <w:basedOn w:val="a"/>
    <w:link w:val="2Char"/>
    <w:pPr>
      <w:widowControl/>
      <w:spacing w:beforeLines="0" w:before="0" w:afterLines="0" w:after="0"/>
      <w:ind w:firstLine="560"/>
      <w:jc w:val="left"/>
    </w:pPr>
    <w:rPr>
      <w:rFonts w:ascii="宋体" w:hAnsi="宋体"/>
      <w:kern w:val="0"/>
      <w:sz w:val="28"/>
      <w:szCs w:val="20"/>
      <w:lang w:eastAsia="en-US" w:bidi="en-US"/>
    </w:rPr>
  </w:style>
  <w:style w:type="character" w:customStyle="1" w:styleId="HTMLChar1">
    <w:name w:val="HTML 预设格式 Char1"/>
    <w:uiPriority w:val="99"/>
    <w:semiHidden/>
    <w:rPr>
      <w:rFonts w:ascii="Courier New" w:hAnsi="Courier New" w:cs="Courier New"/>
      <w:kern w:val="2"/>
    </w:rPr>
  </w:style>
  <w:style w:type="character" w:customStyle="1" w:styleId="afff5">
    <w:name w:val="列出段落字符"/>
    <w:link w:val="11"/>
    <w:uiPriority w:val="34"/>
    <w:rPr>
      <w:rFonts w:ascii="Calibri" w:hAnsi="Calibri"/>
      <w:kern w:val="2"/>
      <w:sz w:val="24"/>
      <w:szCs w:val="22"/>
    </w:rPr>
  </w:style>
  <w:style w:type="paragraph" w:customStyle="1" w:styleId="11">
    <w:name w:val="列出段落1"/>
    <w:basedOn w:val="a"/>
    <w:link w:val="afff5"/>
    <w:qFormat/>
    <w:pPr>
      <w:ind w:firstLine="420"/>
    </w:pPr>
  </w:style>
  <w:style w:type="character" w:styleId="afff6">
    <w:name w:val="Subtle Emphasis"/>
    <w:uiPriority w:val="19"/>
    <w:qFormat/>
    <w:rPr>
      <w:i/>
      <w:color w:val="5A5A5A"/>
    </w:rPr>
  </w:style>
  <w:style w:type="character" w:customStyle="1" w:styleId="apple-style-span">
    <w:name w:val="apple-style-span"/>
    <w:qFormat/>
  </w:style>
  <w:style w:type="character" w:customStyle="1" w:styleId="z-Char10">
    <w:name w:val="z-窗体顶端 Char1"/>
    <w:uiPriority w:val="99"/>
    <w:semiHidden/>
    <w:rPr>
      <w:rFonts w:ascii="Arial" w:hAnsi="Arial" w:cs="Arial"/>
      <w:vanish/>
      <w:kern w:val="2"/>
      <w:sz w:val="16"/>
      <w:szCs w:val="16"/>
    </w:rPr>
  </w:style>
  <w:style w:type="paragraph" w:customStyle="1" w:styleId="2-11">
    <w:name w:val="中等深浅网格 2 - 强调文字颜色 11"/>
    <w:basedOn w:val="a"/>
    <w:uiPriority w:val="1"/>
    <w:pPr>
      <w:widowControl/>
      <w:spacing w:beforeLines="0" w:before="0" w:afterLines="0" w:after="0" w:line="240" w:lineRule="auto"/>
      <w:ind w:firstLineChars="0" w:firstLine="0"/>
      <w:jc w:val="left"/>
    </w:pPr>
    <w:rPr>
      <w:kern w:val="0"/>
      <w:szCs w:val="32"/>
      <w:lang w:eastAsia="en-US" w:bidi="en-US"/>
    </w:rPr>
  </w:style>
  <w:style w:type="paragraph" w:customStyle="1" w:styleId="-12">
    <w:name w:val="彩色底纹 - 强调文字颜色 12"/>
    <w:uiPriority w:val="99"/>
    <w:semiHidden/>
    <w:rPr>
      <w:rFonts w:ascii="Calibri" w:hAnsi="Calibri"/>
      <w:kern w:val="2"/>
      <w:sz w:val="24"/>
      <w:szCs w:val="22"/>
    </w:rPr>
  </w:style>
  <w:style w:type="paragraph" w:customStyle="1" w:styleId="12">
    <w:name w:val="正常1"/>
    <w:rPr>
      <w:rFonts w:ascii="Calibri" w:eastAsia="Calibri" w:hAnsi="Calibri" w:cs="Calibri"/>
      <w:color w:val="000000"/>
      <w:sz w:val="24"/>
      <w:szCs w:val="24"/>
      <w:u w:color="000000"/>
    </w:rPr>
  </w:style>
  <w:style w:type="paragraph" w:styleId="afff7">
    <w:name w:val="Revision"/>
    <w:uiPriority w:val="99"/>
    <w:semiHidden/>
    <w:qFormat/>
    <w:rPr>
      <w:rFonts w:ascii="Calibri" w:hAnsi="Calibri"/>
      <w:kern w:val="2"/>
      <w:sz w:val="24"/>
      <w:szCs w:val="22"/>
    </w:rPr>
  </w:style>
  <w:style w:type="paragraph" w:customStyle="1" w:styleId="Char0">
    <w:name w:val="Char"/>
    <w:basedOn w:val="a"/>
    <w:qFormat/>
    <w:pPr>
      <w:widowControl/>
      <w:spacing w:beforeLines="0" w:before="0" w:afterLines="0" w:after="0" w:line="240" w:lineRule="auto"/>
      <w:ind w:firstLineChars="0" w:firstLine="0"/>
      <w:jc w:val="left"/>
    </w:pPr>
    <w:rPr>
      <w:rFonts w:ascii="Tahoma" w:hAnsi="Tahoma"/>
      <w:kern w:val="0"/>
      <w:szCs w:val="20"/>
      <w:lang w:eastAsia="en-US" w:bidi="en-US"/>
    </w:rPr>
  </w:style>
  <w:style w:type="paragraph" w:customStyle="1" w:styleId="-11">
    <w:name w:val="彩色底纹 - 强调文字颜色 11"/>
    <w:uiPriority w:val="71"/>
    <w:rPr>
      <w:rFonts w:ascii="Calibri" w:hAnsi="Calibri"/>
      <w:sz w:val="24"/>
      <w:szCs w:val="24"/>
      <w:lang w:eastAsia="en-US" w:bidi="en-US"/>
    </w:rPr>
  </w:style>
  <w:style w:type="paragraph" w:customStyle="1" w:styleId="120">
    <w:name w:val="列出段落12"/>
    <w:basedOn w:val="a"/>
    <w:uiPriority w:val="34"/>
    <w:qFormat/>
    <w:pPr>
      <w:spacing w:beforeLines="0" w:before="0" w:afterLines="0" w:after="0" w:line="240" w:lineRule="auto"/>
      <w:ind w:firstLine="420"/>
    </w:pPr>
    <w:rPr>
      <w:rFonts w:ascii="Times New Roman" w:hAnsi="Times New Roman"/>
      <w:sz w:val="21"/>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fig">
    <w:name w:val="fig"/>
    <w:basedOn w:val="a"/>
    <w:pPr>
      <w:adjustRightInd w:val="0"/>
      <w:spacing w:beforeLines="0" w:before="120" w:afterLines="0" w:after="240" w:line="360" w:lineRule="atLeast"/>
      <w:ind w:firstLineChars="0" w:firstLine="0"/>
      <w:jc w:val="center"/>
      <w:textAlignment w:val="baseline"/>
    </w:pPr>
    <w:rPr>
      <w:rFonts w:ascii="黑体" w:eastAsia="黑体" w:hAnsi="Times New Roman"/>
      <w:kern w:val="0"/>
      <w:szCs w:val="20"/>
    </w:rPr>
  </w:style>
  <w:style w:type="paragraph" w:styleId="afff8">
    <w:name w:val="List Paragraph"/>
    <w:basedOn w:val="a"/>
    <w:link w:val="afff9"/>
    <w:uiPriority w:val="34"/>
    <w:qFormat/>
    <w:pPr>
      <w:ind w:firstLine="420"/>
    </w:pPr>
  </w:style>
  <w:style w:type="character" w:customStyle="1" w:styleId="afff9">
    <w:name w:val="列表段落 字符"/>
    <w:link w:val="afff8"/>
    <w:uiPriority w:val="34"/>
    <w:qFormat/>
    <w:rPr>
      <w:rFonts w:ascii="Calibri" w:hAnsi="Calibri"/>
      <w:kern w:val="2"/>
      <w:sz w:val="24"/>
      <w:szCs w:val="22"/>
    </w:rPr>
  </w:style>
  <w:style w:type="paragraph" w:customStyle="1" w:styleId="13">
    <w:name w:val="标题1"/>
    <w:basedOn w:val="a"/>
    <w:pPr>
      <w:widowControl/>
      <w:spacing w:beforeLines="0" w:before="0" w:afterLines="0" w:after="0" w:line="240" w:lineRule="auto"/>
      <w:ind w:firstLineChars="0" w:firstLine="0"/>
      <w:jc w:val="left"/>
    </w:pPr>
    <w:rPr>
      <w:b/>
      <w:kern w:val="0"/>
      <w:szCs w:val="24"/>
      <w:lang w:bidi="en-US"/>
    </w:rPr>
  </w:style>
  <w:style w:type="paragraph" w:customStyle="1" w:styleId="CharCharChar">
    <w:name w:val="Char Char Char"/>
    <w:basedOn w:val="a"/>
    <w:pPr>
      <w:spacing w:beforeLines="0" w:before="0" w:afterLines="0" w:after="0" w:line="240" w:lineRule="auto"/>
      <w:ind w:firstLineChars="0" w:firstLine="0"/>
    </w:pPr>
    <w:rPr>
      <w:rFonts w:ascii="Times New Roman" w:hAnsi="Times New Roman"/>
      <w:sz w:val="21"/>
      <w:szCs w:val="24"/>
    </w:rPr>
  </w:style>
  <w:style w:type="paragraph" w:customStyle="1" w:styleId="-31">
    <w:name w:val="浅色网格 - 强调文字颜色 31"/>
    <w:basedOn w:val="a"/>
    <w:uiPriority w:val="34"/>
    <w:qFormat/>
    <w:pPr>
      <w:widowControl/>
      <w:spacing w:beforeLines="0" w:before="0" w:afterLines="0" w:after="0" w:line="240" w:lineRule="auto"/>
      <w:ind w:left="720" w:firstLineChars="0" w:firstLine="0"/>
      <w:contextualSpacing/>
      <w:jc w:val="left"/>
    </w:pPr>
    <w:rPr>
      <w:kern w:val="0"/>
      <w:szCs w:val="24"/>
      <w:lang w:eastAsia="en-US" w:bidi="en-US"/>
    </w:rPr>
  </w:style>
  <w:style w:type="paragraph" w:styleId="afffa">
    <w:name w:val="No Spacing"/>
    <w:uiPriority w:val="1"/>
    <w:qFormat/>
    <w:pPr>
      <w:widowControl w:val="0"/>
      <w:spacing w:beforeLines="50" w:afterLines="50"/>
      <w:ind w:firstLineChars="200" w:firstLine="200"/>
      <w:jc w:val="both"/>
    </w:pPr>
    <w:rPr>
      <w:rFonts w:ascii="Calibri" w:hAnsi="Calibri"/>
      <w:kern w:val="2"/>
      <w:sz w:val="24"/>
      <w:szCs w:val="22"/>
    </w:rPr>
  </w:style>
  <w:style w:type="paragraph" w:customStyle="1" w:styleId="-110">
    <w:name w:val="彩色列表 - 强调文字颜色 11"/>
    <w:basedOn w:val="a"/>
    <w:uiPriority w:val="72"/>
    <w:pPr>
      <w:widowControl/>
      <w:spacing w:beforeLines="0" w:before="0" w:afterLines="0" w:after="0" w:line="240" w:lineRule="auto"/>
      <w:ind w:firstLine="420"/>
      <w:jc w:val="left"/>
    </w:pPr>
    <w:rPr>
      <w:kern w:val="0"/>
      <w:szCs w:val="24"/>
      <w:lang w:eastAsia="en-US" w:bidi="en-US"/>
    </w:rPr>
  </w:style>
  <w:style w:type="paragraph" w:customStyle="1" w:styleId="afffb">
    <w:name w:val="样式"/>
    <w:basedOn w:val="a"/>
    <w:next w:val="ad"/>
    <w:pPr>
      <w:widowControl/>
      <w:spacing w:beforeLines="0" w:before="0" w:afterLines="0" w:after="0"/>
      <w:ind w:firstLine="480"/>
      <w:jc w:val="left"/>
    </w:pPr>
    <w:rPr>
      <w:kern w:val="0"/>
      <w:szCs w:val="24"/>
      <w:lang w:eastAsia="en-US" w:bidi="en-US"/>
    </w:rPr>
  </w:style>
  <w:style w:type="paragraph" w:styleId="TOC">
    <w:name w:val="TOC Heading"/>
    <w:basedOn w:val="1"/>
    <w:next w:val="a"/>
    <w:uiPriority w:val="39"/>
    <w:qFormat/>
    <w:pPr>
      <w:keepLines w:val="0"/>
      <w:widowControl/>
      <w:spacing w:beforeLines="0" w:before="240" w:afterLines="0" w:after="60" w:line="240" w:lineRule="auto"/>
      <w:ind w:firstLineChars="0" w:firstLine="0"/>
      <w:jc w:val="left"/>
      <w:outlineLvl w:val="9"/>
    </w:pPr>
    <w:rPr>
      <w:rFonts w:ascii="Cambria" w:hAnsi="Cambria"/>
      <w:kern w:val="32"/>
      <w:szCs w:val="32"/>
      <w:lang w:eastAsia="en-US" w:bidi="en-US"/>
    </w:rPr>
  </w:style>
  <w:style w:type="paragraph" w:customStyle="1" w:styleId="Style2">
    <w:name w:val="_Style 2"/>
    <w:uiPriority w:val="1"/>
    <w:qFormat/>
    <w:pPr>
      <w:widowControl w:val="0"/>
      <w:spacing w:beforeLines="50" w:afterLines="50"/>
      <w:ind w:firstLineChars="200" w:firstLine="200"/>
      <w:jc w:val="both"/>
    </w:pPr>
    <w:rPr>
      <w:rFonts w:ascii="Calibri" w:hAnsi="Calibri"/>
      <w:kern w:val="2"/>
      <w:sz w:val="24"/>
      <w:szCs w:val="22"/>
    </w:rPr>
  </w:style>
  <w:style w:type="paragraph" w:customStyle="1" w:styleId="o">
    <w:name w:val="??????¡§?????????¡§??????????¨¬???????¡§??????¡§????????¡§???o??????????¨¬???????¡§??????¡§???"/>
    <w:basedOn w:val="a"/>
    <w:pPr>
      <w:widowControl/>
      <w:overflowPunct w:val="0"/>
      <w:autoSpaceDE w:val="0"/>
      <w:autoSpaceDN w:val="0"/>
      <w:adjustRightInd w:val="0"/>
      <w:spacing w:beforeLines="0" w:before="0" w:afterLines="0" w:after="0" w:line="240" w:lineRule="auto"/>
      <w:ind w:firstLineChars="0" w:firstLine="0"/>
      <w:jc w:val="left"/>
      <w:textAlignment w:val="baseline"/>
    </w:pPr>
    <w:rPr>
      <w:kern w:val="0"/>
      <w:szCs w:val="20"/>
      <w:lang w:val="en-US" w:eastAsia="en-US" w:bidi="en-US"/>
    </w:rPr>
  </w:style>
  <w:style w:type="paragraph" w:customStyle="1" w:styleId="afffc">
    <w:name w:val="申报正文"/>
    <w:basedOn w:val="a"/>
    <w:pPr>
      <w:widowControl/>
      <w:spacing w:beforeLines="0" w:before="0" w:afterLines="0" w:after="0"/>
      <w:ind w:firstLine="480"/>
      <w:jc w:val="left"/>
    </w:pPr>
    <w:rPr>
      <w:kern w:val="0"/>
      <w:szCs w:val="24"/>
      <w:lang w:eastAsia="en-US" w:bidi="en-US"/>
    </w:rPr>
  </w:style>
  <w:style w:type="table" w:customStyle="1" w:styleId="26">
    <w:name w:val="网格型2"/>
    <w:basedOn w:val="a1"/>
    <w:uiPriority w:val="39"/>
    <w:qFormat/>
    <w:rPr>
      <w:rFonts w:ascii="Cambria" w:hAnsi="Cambr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Unresolved Mention"/>
    <w:uiPriority w:val="99"/>
    <w:unhideWhenUsed/>
    <w:rPr>
      <w:color w:val="605E5C"/>
      <w:shd w:val="clear" w:color="auto" w:fill="E1DFDD"/>
    </w:rPr>
  </w:style>
  <w:style w:type="table" w:customStyle="1" w:styleId="35">
    <w:name w:val="网格型3"/>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uiPriority w:val="99"/>
    <w:semiHidden/>
    <w:qFormat/>
    <w:rPr>
      <w:rFonts w:ascii="Calibri" w:hAnsi="Calibri"/>
      <w:kern w:val="2"/>
      <w:sz w:val="21"/>
      <w:szCs w:val="22"/>
    </w:rPr>
  </w:style>
  <w:style w:type="paragraph" w:customStyle="1" w:styleId="afffe">
    <w:name w:val="段"/>
    <w:basedOn w:val="a"/>
    <w:qFormat/>
    <w:pPr>
      <w:tabs>
        <w:tab w:val="left" w:pos="180"/>
        <w:tab w:val="left" w:pos="6960"/>
        <w:tab w:val="left" w:pos="8100"/>
      </w:tabs>
      <w:adjustRightInd w:val="0"/>
      <w:snapToGrid w:val="0"/>
      <w:spacing w:beforeLines="0" w:before="0" w:afterLines="0" w:after="0" w:line="520" w:lineRule="atLeast"/>
      <w:ind w:firstLineChars="0" w:firstLine="480"/>
    </w:pPr>
    <w:rPr>
      <w:rFonts w:ascii="Arial" w:hAnsi="Arial"/>
      <w:szCs w:val="20"/>
    </w:rPr>
  </w:style>
  <w:style w:type="paragraph" w:customStyle="1" w:styleId="affff">
    <w:name w:val="图片"/>
    <w:basedOn w:val="a"/>
    <w:qFormat/>
    <w:pPr>
      <w:adjustRightInd w:val="0"/>
      <w:spacing w:beforeLines="0" w:before="0" w:afterLines="0" w:after="0" w:line="312" w:lineRule="atLeast"/>
      <w:ind w:firstLineChars="0" w:firstLine="0"/>
      <w:textAlignment w:val="baseline"/>
    </w:pPr>
    <w:rPr>
      <w:rFonts w:ascii="Times New Roman" w:eastAsia="仿宋_GB2312" w:hAnsi="Times New Roman"/>
      <w:kern w:val="0"/>
      <w:sz w:val="21"/>
      <w:szCs w:val="20"/>
    </w:rPr>
  </w:style>
  <w:style w:type="paragraph" w:customStyle="1" w:styleId="affff0">
    <w:name w:val="标准段落"/>
    <w:basedOn w:val="a"/>
    <w:qFormat/>
    <w:pPr>
      <w:widowControl/>
      <w:spacing w:beforeLines="0" w:before="240" w:afterLines="0" w:after="0" w:line="440" w:lineRule="atLeast"/>
      <w:ind w:firstLineChars="0" w:firstLine="480"/>
    </w:pPr>
    <w:rPr>
      <w:rFonts w:ascii="Times New Roman" w:hAnsi="Times New Roman"/>
      <w:kern w:val="0"/>
      <w:szCs w:val="20"/>
    </w:rPr>
  </w:style>
  <w:style w:type="paragraph" w:customStyle="1" w:styleId="CharCharCharChar">
    <w:name w:val="Char Char Char Char"/>
    <w:basedOn w:val="a"/>
    <w:qFormat/>
    <w:pPr>
      <w:spacing w:beforeLines="0" w:before="0" w:afterLines="0" w:after="0" w:line="240" w:lineRule="auto"/>
      <w:ind w:firstLineChars="0" w:firstLine="0"/>
    </w:pPr>
    <w:rPr>
      <w:rFonts w:ascii="Tahoma" w:hAnsi="Tahoma"/>
      <w:szCs w:val="20"/>
    </w:rPr>
  </w:style>
  <w:style w:type="paragraph" w:customStyle="1" w:styleId="CharCharCharCharCharChar1CharCharChar">
    <w:name w:val="Char Char Char Char Char Char1 Char Char Char"/>
    <w:basedOn w:val="a"/>
    <w:qFormat/>
    <w:pPr>
      <w:autoSpaceDE w:val="0"/>
      <w:autoSpaceDN w:val="0"/>
      <w:adjustRightInd w:val="0"/>
      <w:spacing w:beforeLines="0" w:before="0" w:afterLines="0" w:after="0" w:line="240" w:lineRule="auto"/>
      <w:ind w:firstLineChars="0" w:firstLine="0"/>
      <w:jc w:val="left"/>
      <w:textAlignment w:val="baseline"/>
    </w:pPr>
    <w:rPr>
      <w:rFonts w:ascii="宋体" w:hAnsi="Times New Roman"/>
      <w:kern w:val="0"/>
      <w:sz w:val="34"/>
      <w:szCs w:val="20"/>
    </w:rPr>
  </w:style>
  <w:style w:type="paragraph" w:customStyle="1" w:styleId="content">
    <w:name w:val="content"/>
    <w:basedOn w:val="a"/>
    <w:qFormat/>
    <w:pPr>
      <w:widowControl/>
      <w:spacing w:beforeLines="0" w:before="100" w:beforeAutospacing="1" w:afterLines="0" w:after="100" w:afterAutospacing="1" w:line="240" w:lineRule="auto"/>
      <w:ind w:firstLineChars="0" w:firstLine="0"/>
      <w:jc w:val="left"/>
    </w:pPr>
    <w:rPr>
      <w:rFonts w:ascii="宋体" w:hAnsi="宋体"/>
      <w:kern w:val="0"/>
      <w:sz w:val="18"/>
      <w:szCs w:val="18"/>
    </w:rPr>
  </w:style>
  <w:style w:type="paragraph" w:customStyle="1" w:styleId="110">
    <w:name w:val="列出段落11"/>
    <w:basedOn w:val="a"/>
    <w:uiPriority w:val="34"/>
    <w:qFormat/>
    <w:pPr>
      <w:spacing w:beforeLines="0" w:before="0" w:afterLines="0" w:after="0" w:line="240" w:lineRule="auto"/>
      <w:ind w:firstLine="420"/>
    </w:pPr>
    <w:rPr>
      <w:rFonts w:ascii="Times New Roman" w:hAnsi="Times New Roman"/>
      <w:sz w:val="21"/>
      <w:szCs w:val="20"/>
    </w:rPr>
  </w:style>
  <w:style w:type="character" w:customStyle="1" w:styleId="16">
    <w:name w:val="脚注文本字符1"/>
    <w:semiHidden/>
    <w:qFormat/>
    <w:rPr>
      <w:rFonts w:ascii="Calibri" w:hAnsi="Calibri"/>
      <w:kern w:val="2"/>
      <w:sz w:val="18"/>
      <w:szCs w:val="18"/>
    </w:rPr>
  </w:style>
  <w:style w:type="character" w:customStyle="1" w:styleId="17">
    <w:name w:val="尾注文本字符1"/>
    <w:semiHidden/>
    <w:qFormat/>
    <w:rPr>
      <w:rFonts w:ascii="Calibri" w:hAnsi="Calibri"/>
      <w:kern w:val="2"/>
      <w:sz w:val="21"/>
      <w:szCs w:val="22"/>
    </w:rPr>
  </w:style>
  <w:style w:type="character" w:customStyle="1" w:styleId="style31">
    <w:name w:val="style31"/>
    <w:qFormat/>
    <w:rPr>
      <w:color w:val="C1DDF5"/>
    </w:rPr>
  </w:style>
  <w:style w:type="character" w:customStyle="1" w:styleId="headline-content">
    <w:name w:val="headline-content"/>
    <w:qFormat/>
  </w:style>
  <w:style w:type="table" w:customStyle="1" w:styleId="111">
    <w:name w:val="网格型11"/>
    <w:basedOn w:val="a1"/>
    <w:uiPriority w:val="59"/>
    <w:qFormat/>
    <w:rPr>
      <w:rFonts w:ascii="Cambria" w:eastAsia="Times New Roman" w:hAnsi="Cambr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uiPriority w:val="99"/>
    <w:semiHidden/>
    <w:qFormat/>
    <w:rPr>
      <w:rFonts w:ascii="Calibri" w:hAnsi="Calibri"/>
      <w:kern w:val="2"/>
      <w:sz w:val="21"/>
      <w:szCs w:val="22"/>
    </w:rPr>
  </w:style>
  <w:style w:type="paragraph" w:customStyle="1" w:styleId="28">
    <w:name w:val="列出段落2"/>
    <w:basedOn w:val="a"/>
    <w:uiPriority w:val="99"/>
    <w:qFormat/>
    <w:pPr>
      <w:spacing w:beforeLines="0" w:before="0" w:afterLines="0" w:after="0" w:line="240" w:lineRule="auto"/>
      <w:ind w:firstLine="420"/>
    </w:pPr>
    <w:rPr>
      <w:sz w:val="21"/>
    </w:rPr>
  </w:style>
  <w:style w:type="paragraph" w:customStyle="1" w:styleId="36">
    <w:name w:val="修订3"/>
    <w:uiPriority w:val="99"/>
    <w:qFormat/>
    <w:rPr>
      <w:rFonts w:ascii="Calibri" w:hAnsi="Calibri"/>
      <w:kern w:val="2"/>
      <w:sz w:val="21"/>
      <w:szCs w:val="22"/>
    </w:rPr>
  </w:style>
  <w:style w:type="paragraph" w:customStyle="1" w:styleId="37">
    <w:name w:val="列出段落3"/>
    <w:basedOn w:val="a"/>
    <w:uiPriority w:val="99"/>
    <w:qFormat/>
    <w:pPr>
      <w:spacing w:beforeLines="0" w:before="0" w:afterLines="0" w:after="0" w:line="240" w:lineRule="auto"/>
      <w:ind w:firstLine="420"/>
    </w:pPr>
    <w:rPr>
      <w:sz w:val="21"/>
    </w:rPr>
  </w:style>
  <w:style w:type="paragraph" w:customStyle="1" w:styleId="affff1">
    <w:name w:val="三级标题"/>
    <w:basedOn w:val="a"/>
    <w:qFormat/>
    <w:pPr>
      <w:spacing w:beforeLines="0" w:before="0" w:afterLines="0" w:after="0"/>
      <w:ind w:firstLine="562"/>
      <w:outlineLvl w:val="2"/>
    </w:pPr>
    <w:rPr>
      <w:rFonts w:ascii="Times New Roman" w:eastAsia="黑体" w:hAnsi="Times New Roman"/>
      <w:b/>
      <w:sz w:val="28"/>
      <w:szCs w:val="28"/>
    </w:rPr>
  </w:style>
  <w:style w:type="table" w:customStyle="1" w:styleId="211">
    <w:name w:val="网格型21"/>
    <w:basedOn w:val="a1"/>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10"/>
    <w:qFormat/>
    <w:rPr>
      <w:rFonts w:ascii="Calibri" w:hAnsi="Calibri" w:cs="Calibri" w:hint="default"/>
    </w:rPr>
  </w:style>
  <w:style w:type="character" w:customStyle="1" w:styleId="msoins0">
    <w:name w:val="msoins"/>
    <w:qFormat/>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pPr>
      <w:spacing w:beforeLines="0" w:before="0" w:afterLines="90" w:after="90" w:line="240" w:lineRule="auto"/>
      <w:ind w:firstLineChars="0" w:firstLine="0"/>
    </w:pPr>
    <w:rPr>
      <w:rFonts w:ascii="Georgia" w:hAnsi="Times New Roman"/>
      <w:kern w:val="0"/>
      <w:sz w:val="20"/>
      <w:szCs w:val="20"/>
    </w:rPr>
  </w:style>
  <w:style w:type="character" w:customStyle="1" w:styleId="cap">
    <w:name w:val="cap"/>
    <w:qFormat/>
  </w:style>
  <w:style w:type="character" w:customStyle="1" w:styleId="CharChar4">
    <w:name w:val="Char Char4"/>
    <w:qFormat/>
    <w:rPr>
      <w:b/>
      <w:bCs/>
      <w:sz w:val="32"/>
      <w:szCs w:val="32"/>
    </w:rPr>
  </w:style>
  <w:style w:type="character" w:customStyle="1" w:styleId="150">
    <w:name w:val="15"/>
    <w:qFormat/>
    <w:rPr>
      <w:rFonts w:ascii="Calibri" w:hAnsi="Calibri" w:cs="Calibri" w:hint="default"/>
    </w:rPr>
  </w:style>
  <w:style w:type="character" w:customStyle="1" w:styleId="CharChar41">
    <w:name w:val="Char Char41"/>
    <w:qFormat/>
    <w:rPr>
      <w:b/>
      <w:bCs/>
      <w:sz w:val="32"/>
      <w:szCs w:val="32"/>
    </w:rPr>
  </w:style>
  <w:style w:type="character" w:customStyle="1" w:styleId="font14line-height">
    <w:name w:val="font14 line-height"/>
    <w:qFormat/>
  </w:style>
  <w:style w:type="character" w:customStyle="1" w:styleId="3Char1">
    <w:name w:val="正文文本 3 Char1"/>
    <w:semiHidden/>
    <w:qFormat/>
    <w:rPr>
      <w:rFonts w:ascii="Calibri" w:hAnsi="Calibri"/>
      <w:kern w:val="2"/>
      <w:sz w:val="16"/>
      <w:szCs w:val="16"/>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Lines="0" w:before="100" w:beforeAutospacing="1" w:afterLines="90" w:after="100" w:afterAutospacing="1" w:line="240" w:lineRule="auto"/>
      <w:ind w:firstLineChars="0" w:firstLine="0"/>
      <w:jc w:val="left"/>
    </w:pPr>
    <w:rPr>
      <w:rFonts w:ascii="Arial Unicode MS" w:eastAsia="Arial Unicode MS" w:hAnsi="Arial Unicode MS" w:cs="Arial Unicode MS"/>
      <w:kern w:val="0"/>
      <w:szCs w:val="24"/>
    </w:rPr>
  </w:style>
  <w:style w:type="paragraph" w:customStyle="1" w:styleId="affff2">
    <w:name w:val="标准"/>
    <w:basedOn w:val="a"/>
    <w:qFormat/>
    <w:pPr>
      <w:adjustRightInd w:val="0"/>
      <w:spacing w:beforeLines="0" w:before="0" w:afterLines="90" w:after="90"/>
      <w:ind w:firstLineChars="0" w:firstLine="0"/>
      <w:jc w:val="center"/>
      <w:textAlignment w:val="baseline"/>
    </w:pPr>
    <w:rPr>
      <w:rFonts w:ascii="Times New Roman" w:eastAsia="仿宋_GB2312" w:hAnsi="Times New Roman"/>
      <w:spacing w:val="28"/>
      <w:kern w:val="0"/>
      <w:sz w:val="72"/>
      <w:szCs w:val="20"/>
    </w:rPr>
  </w:style>
  <w:style w:type="paragraph" w:customStyle="1" w:styleId="CharCharCharCharCharCharCharCharCharCharCharCharChar">
    <w:name w:val="Char Char Char Char Char Char Char Char Char Char Char Char Char"/>
    <w:basedOn w:val="a"/>
    <w:qFormat/>
    <w:pPr>
      <w:snapToGrid w:val="0"/>
      <w:spacing w:beforeLines="0" w:before="0" w:afterLines="90" w:after="90"/>
    </w:pPr>
    <w:rPr>
      <w:rFonts w:ascii="Times New Roman" w:eastAsia="仿宋_GB2312" w:hAnsi="Times New Roman"/>
      <w:szCs w:val="24"/>
    </w:rPr>
  </w:style>
  <w:style w:type="paragraph" w:customStyle="1" w:styleId="font8">
    <w:name w:val="font8"/>
    <w:basedOn w:val="a"/>
    <w:qFormat/>
    <w:pPr>
      <w:widowControl/>
      <w:spacing w:beforeLines="0" w:before="100" w:beforeAutospacing="1" w:afterLines="90" w:after="100" w:afterAutospacing="1" w:line="240" w:lineRule="auto"/>
      <w:ind w:firstLineChars="0" w:firstLine="0"/>
      <w:jc w:val="left"/>
    </w:pPr>
    <w:rPr>
      <w:rFonts w:ascii="宋体" w:eastAsia="仿宋_GB2312" w:hAnsi="宋体" w:cs="Arial Unicode MS" w:hint="eastAsia"/>
      <w:b/>
      <w:bCs/>
      <w:kern w:val="0"/>
      <w:szCs w:val="24"/>
    </w:rPr>
  </w:style>
  <w:style w:type="paragraph" w:customStyle="1" w:styleId="TableParagraph">
    <w:name w:val="Table Paragraph"/>
    <w:basedOn w:val="a"/>
    <w:uiPriority w:val="1"/>
    <w:qFormat/>
    <w:pPr>
      <w:spacing w:beforeLines="0" w:before="0" w:afterLines="90" w:after="90" w:line="240" w:lineRule="auto"/>
      <w:ind w:firstLineChars="0" w:firstLine="0"/>
      <w:jc w:val="left"/>
    </w:pPr>
    <w:rPr>
      <w:kern w:val="0"/>
      <w:sz w:val="22"/>
      <w:lang w:eastAsia="en-US"/>
    </w:rPr>
  </w:style>
  <w:style w:type="paragraph" w:customStyle="1" w:styleId="BodySingle">
    <w:name w:val="Body Single"/>
    <w:qFormat/>
    <w:pPr>
      <w:widowControl w:val="0"/>
      <w:tabs>
        <w:tab w:val="left" w:pos="705"/>
        <w:tab w:val="left" w:pos="1440"/>
        <w:tab w:val="left" w:pos="2304"/>
        <w:tab w:val="right" w:pos="10425"/>
      </w:tabs>
      <w:jc w:val="both"/>
    </w:pPr>
    <w:rPr>
      <w:snapToGrid w:val="0"/>
      <w:color w:val="000000"/>
      <w:sz w:val="24"/>
      <w:lang w:eastAsia="en-US"/>
    </w:rPr>
  </w:style>
  <w:style w:type="paragraph" w:customStyle="1" w:styleId="121">
    <w:name w:val="12"/>
    <w:basedOn w:val="a"/>
    <w:qFormat/>
    <w:pPr>
      <w:widowControl/>
      <w:spacing w:beforeLines="0" w:before="100" w:beforeAutospacing="1" w:afterLines="90" w:after="100" w:afterAutospacing="1" w:line="240" w:lineRule="auto"/>
      <w:ind w:firstLineChars="0" w:firstLine="0"/>
      <w:jc w:val="left"/>
    </w:pPr>
    <w:rPr>
      <w:rFonts w:ascii="宋体" w:eastAsia="仿宋_GB2312" w:hAnsi="宋体" w:cs="宋体"/>
      <w:kern w:val="0"/>
      <w:sz w:val="18"/>
      <w:szCs w:val="18"/>
    </w:rPr>
  </w:style>
  <w:style w:type="paragraph" w:customStyle="1" w:styleId="ParaCharCharCharCharCharCharChar">
    <w:name w:val="默认段落字体 Para Char Char Char Char Char Char Char"/>
    <w:basedOn w:val="a"/>
    <w:qFormat/>
    <w:pPr>
      <w:spacing w:beforeLines="0" w:before="0" w:afterLines="90" w:after="90" w:line="240" w:lineRule="auto"/>
      <w:ind w:firstLineChars="0" w:firstLine="0"/>
    </w:pPr>
    <w:rPr>
      <w:rFonts w:ascii="Tahoma" w:eastAsia="仿宋_GB2312" w:hAnsi="Tahoma"/>
      <w:szCs w:val="20"/>
    </w:rPr>
  </w:style>
  <w:style w:type="table" w:customStyle="1" w:styleId="310">
    <w:name w:val="网格型31"/>
    <w:basedOn w:val="a1"/>
    <w:uiPriority w:val="9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18">
    <w:name w:val="样式1"/>
    <w:basedOn w:val="a1"/>
    <w:uiPriority w:val="99"/>
    <w:qFormat/>
    <w:pPr>
      <w:jc w:val="center"/>
    </w:pPr>
    <w:rPr>
      <w:rFonts w:ascii="Calibri" w:hAnsi="Calibri"/>
      <w:sz w:val="21"/>
    </w:rPr>
    <w:tblPr>
      <w:jc w:val="center"/>
      <w:tblBorders>
        <w:top w:val="single" w:sz="8" w:space="0" w:color="auto"/>
        <w:bottom w:val="single" w:sz="8" w:space="0" w:color="auto"/>
        <w:insideH w:val="single" w:sz="4" w:space="0" w:color="auto"/>
        <w:insideV w:val="single" w:sz="4" w:space="0" w:color="auto"/>
      </w:tblBorders>
    </w:tblPr>
    <w:trPr>
      <w:cantSplit/>
      <w:jc w:val="center"/>
    </w:trPr>
    <w:tcPr>
      <w:vAlign w:val="center"/>
    </w:tcPr>
    <w:tblStylePr w:type="firstRow">
      <w:rPr>
        <w:b/>
      </w:rPr>
    </w:tblStylePr>
    <w:tblStylePr w:type="firstCol">
      <w:pPr>
        <w:wordWrap/>
        <w:jc w:val="left"/>
      </w:pPr>
    </w:tblStylePr>
  </w:style>
  <w:style w:type="table" w:customStyle="1" w:styleId="affff3">
    <w:name w:val="尹总"/>
    <w:basedOn w:val="a1"/>
    <w:uiPriority w:val="99"/>
    <w:qFormat/>
    <w:pPr>
      <w:jc w:val="center"/>
    </w:pPr>
    <w:rPr>
      <w:rFonts w:ascii="Calibri" w:hAnsi="Calibri"/>
      <w:sz w:val="21"/>
    </w:rPr>
    <w:tblPr>
      <w:tblBorders>
        <w:top w:val="single" w:sz="8" w:space="0" w:color="auto"/>
        <w:bottom w:val="single" w:sz="8" w:space="0" w:color="auto"/>
        <w:insideH w:val="single" w:sz="4" w:space="0" w:color="auto"/>
        <w:insideV w:val="single" w:sz="4" w:space="0" w:color="auto"/>
      </w:tblBorders>
    </w:tblPr>
    <w:trPr>
      <w:cantSplit/>
    </w:trPr>
    <w:tcPr>
      <w:vAlign w:val="center"/>
    </w:tcPr>
    <w:tblStylePr w:type="firstRow">
      <w:rPr>
        <w:rFonts w:eastAsia="Courier New"/>
        <w:b/>
        <w:sz w:val="21"/>
      </w:rPr>
    </w:tblStylePr>
    <w:tblStylePr w:type="firstCol">
      <w:pPr>
        <w:wordWrap/>
        <w:jc w:val="left"/>
      </w:pPr>
    </w:tblStylePr>
  </w:style>
  <w:style w:type="paragraph" w:customStyle="1" w:styleId="affff4">
    <w:name w:val="附注－正文"/>
    <w:basedOn w:val="ad"/>
    <w:qFormat/>
    <w:pPr>
      <w:widowControl w:val="0"/>
      <w:adjustRightInd w:val="0"/>
      <w:snapToGrid w:val="0"/>
      <w:spacing w:afterLines="50"/>
      <w:ind w:firstLineChars="200" w:firstLine="200"/>
      <w:jc w:val="both"/>
    </w:pPr>
    <w:rPr>
      <w:rFonts w:ascii="Times New Roman" w:hAnsi="Times New Roman"/>
      <w:kern w:val="2"/>
      <w:sz w:val="21"/>
      <w:szCs w:val="20"/>
      <w:lang w:val="zh-CN" w:eastAsia="zh-CN" w:bidi="ar-SA"/>
    </w:rPr>
  </w:style>
  <w:style w:type="table" w:customStyle="1" w:styleId="1110">
    <w:name w:val="网格型111"/>
    <w:basedOn w:val="a1"/>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1"/>
    <w:uiPriority w:val="59"/>
    <w:qFormat/>
    <w:rPr>
      <w:rFonts w:ascii="Cambria" w:eastAsia="Times New Roman" w:hAnsi="Cambr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修订31"/>
    <w:uiPriority w:val="99"/>
    <w:semiHidden/>
    <w:qFormat/>
    <w:rPr>
      <w:rFonts w:ascii="Calibri" w:hAnsi="Calibri"/>
      <w:kern w:val="2"/>
      <w:sz w:val="21"/>
      <w:szCs w:val="22"/>
    </w:rPr>
  </w:style>
  <w:style w:type="paragraph" w:customStyle="1" w:styleId="312">
    <w:name w:val="列出段落31"/>
    <w:basedOn w:val="a"/>
    <w:uiPriority w:val="99"/>
    <w:qFormat/>
    <w:pPr>
      <w:spacing w:beforeLines="0" w:before="0" w:afterLines="0" w:after="0" w:line="240" w:lineRule="auto"/>
      <w:ind w:firstLine="420"/>
    </w:pPr>
    <w:rPr>
      <w:sz w:val="21"/>
    </w:rPr>
  </w:style>
  <w:style w:type="paragraph" w:customStyle="1" w:styleId="affff5">
    <w:name w:val="列出段落"/>
    <w:basedOn w:val="a"/>
    <w:uiPriority w:val="99"/>
    <w:qFormat/>
    <w:pPr>
      <w:spacing w:beforeLines="0" w:before="0" w:afterLines="0" w:after="0" w:line="240" w:lineRule="auto"/>
      <w:ind w:firstLine="420"/>
    </w:pPr>
    <w:rPr>
      <w:sz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19">
    <w:name w:val="批注文字 字符1"/>
    <w:uiPriority w:val="99"/>
    <w:semiHidden/>
    <w:qFormat/>
    <w:locked/>
    <w:rPr>
      <w:rFonts w:ascii="Times New Roman" w:hAnsi="Times New Roman" w:cs="Times New Roman"/>
      <w:szCs w:val="24"/>
    </w:rPr>
  </w:style>
  <w:style w:type="character" w:customStyle="1" w:styleId="1a">
    <w:name w:val="访问过的超链接1"/>
    <w:uiPriority w:val="99"/>
    <w:unhideWhenUsed/>
    <w:rPr>
      <w:color w:val="954F72"/>
      <w:u w:val="single"/>
    </w:rPr>
  </w:style>
  <w:style w:type="paragraph" w:customStyle="1" w:styleId="msonormal0">
    <w:name w:val="msonormal"/>
    <w:basedOn w:val="a"/>
    <w:qFormat/>
    <w:pPr>
      <w:widowControl/>
      <w:spacing w:beforeLines="0" w:before="100" w:beforeAutospacing="1" w:afterLines="0" w:after="100" w:afterAutospacing="1" w:line="240" w:lineRule="auto"/>
      <w:ind w:firstLineChars="0" w:firstLine="0"/>
      <w:jc w:val="left"/>
    </w:pPr>
    <w:rPr>
      <w:rFonts w:ascii="宋体" w:hAnsi="宋体" w:cs="宋体"/>
      <w:kern w:val="0"/>
      <w:szCs w:val="24"/>
    </w:rPr>
  </w:style>
  <w:style w:type="table" w:customStyle="1" w:styleId="41">
    <w:name w:val="网格型4"/>
    <w:basedOn w:val="a1"/>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12"/>
    <w:basedOn w:val="a1"/>
    <w:uiPriority w:val="59"/>
    <w:qFormat/>
    <w:rPr>
      <w:rFonts w:ascii="Cambria" w:eastAsia="Times New Roman" w:hAnsi="Cambr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uiPriority w:val="39"/>
    <w:qFormat/>
    <w:rPr>
      <w:rFonts w:ascii="Calibri" w:eastAsia="等线"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uiPriority w:val="99"/>
    <w:qFormat/>
    <w:pPr>
      <w:widowControl w:val="0"/>
      <w:jc w:val="both"/>
    </w:pPr>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pPr>
      <w:widowControl w:val="0"/>
    </w:pPr>
    <w:rPr>
      <w:rFonts w:ascii="等线" w:eastAsia="等线" w:hAnsi="等线"/>
      <w:sz w:val="22"/>
      <w:szCs w:val="22"/>
      <w:lang w:eastAsia="en-US"/>
    </w:rPr>
    <w:tblPr>
      <w:tblCellMar>
        <w:top w:w="0" w:type="dxa"/>
        <w:left w:w="0" w:type="dxa"/>
        <w:bottom w:w="0" w:type="dxa"/>
        <w:right w:w="0" w:type="dxa"/>
      </w:tblCellMar>
    </w:tblPr>
  </w:style>
  <w:style w:type="table" w:customStyle="1" w:styleId="112">
    <w:name w:val="样式11"/>
    <w:basedOn w:val="a1"/>
    <w:uiPriority w:val="99"/>
    <w:qFormat/>
    <w:pPr>
      <w:jc w:val="center"/>
    </w:pPr>
    <w:rPr>
      <w:rFonts w:ascii="等线" w:eastAsia="等线" w:hAnsi="等线"/>
      <w:sz w:val="21"/>
    </w:rPr>
    <w:tblPr>
      <w:tblBorders>
        <w:top w:val="single" w:sz="8" w:space="0" w:color="auto"/>
        <w:bottom w:val="single" w:sz="8" w:space="0" w:color="auto"/>
        <w:insideH w:val="single" w:sz="4" w:space="0" w:color="auto"/>
        <w:insideV w:val="single" w:sz="4" w:space="0" w:color="auto"/>
      </w:tblBorders>
    </w:tblPr>
    <w:tcPr>
      <w:vAlign w:val="center"/>
    </w:tcPr>
    <w:tblStylePr w:type="firstRow">
      <w:rPr>
        <w:b/>
      </w:rPr>
    </w:tblStylePr>
    <w:tblStylePr w:type="firstCol">
      <w:pPr>
        <w:wordWrap/>
        <w:jc w:val="left"/>
      </w:pPr>
    </w:tblStylePr>
  </w:style>
  <w:style w:type="table" w:customStyle="1" w:styleId="1b">
    <w:name w:val="尹总1"/>
    <w:basedOn w:val="a1"/>
    <w:uiPriority w:val="99"/>
    <w:qFormat/>
    <w:pPr>
      <w:jc w:val="center"/>
    </w:pPr>
    <w:rPr>
      <w:rFonts w:ascii="等线" w:eastAsia="等线" w:hAnsi="等线"/>
      <w:sz w:val="21"/>
    </w:rPr>
    <w:tblPr>
      <w:tblBorders>
        <w:top w:val="single" w:sz="8" w:space="0" w:color="auto"/>
        <w:bottom w:val="single" w:sz="8" w:space="0" w:color="auto"/>
        <w:insideH w:val="single" w:sz="4" w:space="0" w:color="auto"/>
        <w:insideV w:val="single" w:sz="4" w:space="0" w:color="auto"/>
      </w:tblBorders>
    </w:tblPr>
    <w:tcPr>
      <w:vAlign w:val="center"/>
    </w:tcPr>
    <w:tblStylePr w:type="firstRow">
      <w:rPr>
        <w:rFonts w:eastAsia="Courier New" w:hint="eastAsia"/>
        <w:b/>
        <w:sz w:val="21"/>
        <w:szCs w:val="21"/>
      </w:rPr>
    </w:tblStylePr>
    <w:tblStylePr w:type="firstCol">
      <w:pPr>
        <w:wordWrap/>
        <w:jc w:val="left"/>
      </w:pPr>
    </w:tblStylePr>
  </w:style>
  <w:style w:type="table" w:customStyle="1" w:styleId="1120">
    <w:name w:val="网格型112"/>
    <w:basedOn w:val="a1"/>
    <w:uiPriority w:val="9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uiPriority w:val="59"/>
    <w:qFormat/>
    <w:rPr>
      <w:rFonts w:ascii="Cambria" w:eastAsia="Times New Roman" w:hAnsi="Cambr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uiPriority w:val="9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123">
    <w:name w:val="样式12"/>
    <w:basedOn w:val="a1"/>
    <w:uiPriority w:val="99"/>
    <w:qFormat/>
    <w:pPr>
      <w:jc w:val="center"/>
    </w:pPr>
    <w:rPr>
      <w:rFonts w:ascii="Calibri" w:hAnsi="Calibri"/>
      <w:sz w:val="21"/>
    </w:rPr>
    <w:tblPr>
      <w:jc w:val="center"/>
      <w:tblBorders>
        <w:top w:val="single" w:sz="8" w:space="0" w:color="auto"/>
        <w:bottom w:val="single" w:sz="8" w:space="0" w:color="auto"/>
        <w:insideH w:val="single" w:sz="4" w:space="0" w:color="auto"/>
        <w:insideV w:val="single" w:sz="4" w:space="0" w:color="auto"/>
      </w:tblBorders>
    </w:tblPr>
    <w:trPr>
      <w:cantSplit/>
      <w:jc w:val="center"/>
    </w:trPr>
    <w:tcPr>
      <w:vAlign w:val="center"/>
    </w:tcPr>
    <w:tblStylePr w:type="firstRow">
      <w:rPr>
        <w:b/>
      </w:rPr>
    </w:tblStylePr>
    <w:tblStylePr w:type="firstCol">
      <w:pPr>
        <w:wordWrap/>
        <w:jc w:val="left"/>
      </w:pPr>
    </w:tblStylePr>
  </w:style>
  <w:style w:type="table" w:customStyle="1" w:styleId="29">
    <w:name w:val="尹总2"/>
    <w:basedOn w:val="a1"/>
    <w:uiPriority w:val="99"/>
    <w:qFormat/>
    <w:pPr>
      <w:jc w:val="center"/>
    </w:pPr>
    <w:rPr>
      <w:rFonts w:ascii="Calibri" w:hAnsi="Calibri"/>
      <w:sz w:val="21"/>
    </w:rPr>
    <w:tblPr>
      <w:tblBorders>
        <w:top w:val="single" w:sz="8" w:space="0" w:color="auto"/>
        <w:bottom w:val="single" w:sz="8" w:space="0" w:color="auto"/>
        <w:insideH w:val="single" w:sz="4" w:space="0" w:color="auto"/>
        <w:insideV w:val="single" w:sz="4" w:space="0" w:color="auto"/>
      </w:tblBorders>
    </w:tblPr>
    <w:trPr>
      <w:cantSplit/>
    </w:trPr>
    <w:tcPr>
      <w:vAlign w:val="center"/>
    </w:tcPr>
    <w:tblStylePr w:type="firstRow">
      <w:rPr>
        <w:rFonts w:eastAsia="Courier New"/>
        <w:b/>
        <w:sz w:val="21"/>
      </w:rPr>
    </w:tblStylePr>
    <w:tblStylePr w:type="firstCol">
      <w:pPr>
        <w:wordWrap/>
        <w:jc w:val="left"/>
      </w:pPr>
    </w:tblStylePr>
  </w:style>
  <w:style w:type="table" w:customStyle="1" w:styleId="113">
    <w:name w:val="网格型113"/>
    <w:basedOn w:val="a1"/>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1"/>
    <w:uiPriority w:val="59"/>
    <w:qFormat/>
    <w:rPr>
      <w:rFonts w:ascii="Cambria" w:eastAsia="Times New Roman" w:hAnsi="Cambr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批注文字 Char"/>
    <w:uiPriority w:val="99"/>
    <w:qFormat/>
    <w:rPr>
      <w:rFonts w:ascii="Times New Roman" w:eastAsia="宋体" w:hAnsi="Times New Roman" w:cs="Times New Roman"/>
      <w:szCs w:val="24"/>
    </w:rPr>
  </w:style>
  <w:style w:type="character" w:styleId="affff6">
    <w:name w:val="Placeholder Text"/>
    <w:uiPriority w:val="99"/>
    <w:semiHidden/>
    <w:rPr>
      <w:color w:val="808080"/>
    </w:rPr>
  </w:style>
  <w:style w:type="paragraph" w:customStyle="1" w:styleId="1c">
    <w:name w:val="列表段落1"/>
    <w:basedOn w:val="a"/>
    <w:uiPriority w:val="34"/>
    <w:qFormat/>
    <w:pPr>
      <w:widowControl/>
      <w:spacing w:afterLines="0" w:after="0"/>
      <w:ind w:firstLine="420"/>
    </w:pPr>
    <w:rPr>
      <w:rFonts w:ascii="Times New Roman" w:hAnsi="Times New Roman" w:cs="宋体"/>
      <w:kern w:val="0"/>
      <w:szCs w:val="24"/>
    </w:rPr>
  </w:style>
  <w:style w:type="table" w:customStyle="1" w:styleId="61">
    <w:name w:val="网格型6"/>
    <w:basedOn w:val="a1"/>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1"/>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1"/>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style>
  <w:style w:type="character" w:customStyle="1" w:styleId="sect2content">
    <w:name w:val="sect2content"/>
  </w:style>
  <w:style w:type="table" w:customStyle="1" w:styleId="91">
    <w:name w:val="网格型9"/>
    <w:basedOn w:val="a1"/>
    <w:uiPriority w:val="39"/>
    <w:qFormat/>
    <w:pPr>
      <w:widowControl w:val="0"/>
      <w:autoSpaceDE w:val="0"/>
      <w:autoSpaceDN w:val="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3">
    <w:name w:val="003三级标题"/>
    <w:basedOn w:val="a"/>
    <w:link w:val="003Char"/>
    <w:qFormat/>
    <w:pPr>
      <w:keepNext/>
      <w:keepLines/>
      <w:widowControl/>
      <w:outlineLvl w:val="2"/>
    </w:pPr>
    <w:rPr>
      <w:rFonts w:ascii="Times New Roman" w:hAnsi="Times New Roman"/>
      <w:b/>
      <w:bCs/>
      <w:szCs w:val="28"/>
    </w:rPr>
  </w:style>
  <w:style w:type="character" w:customStyle="1" w:styleId="003Char">
    <w:name w:val="003三级标题 Char"/>
    <w:link w:val="003"/>
    <w:qFormat/>
    <w:rPr>
      <w:b/>
      <w:bCs/>
      <w:kern w:val="2"/>
      <w:sz w:val="24"/>
      <w:szCs w:val="28"/>
    </w:rPr>
  </w:style>
  <w:style w:type="paragraph" w:customStyle="1" w:styleId="004">
    <w:name w:val="004四级标题"/>
    <w:basedOn w:val="a"/>
    <w:link w:val="004Char"/>
    <w:qFormat/>
    <w:pPr>
      <w:keepNext/>
      <w:keepLines/>
      <w:widowControl/>
      <w:outlineLvl w:val="3"/>
    </w:pPr>
    <w:rPr>
      <w:rFonts w:ascii="Times New Roman" w:hAnsi="Times New Roman"/>
      <w:b/>
      <w:bCs/>
      <w:szCs w:val="28"/>
    </w:rPr>
  </w:style>
  <w:style w:type="character" w:customStyle="1" w:styleId="004Char">
    <w:name w:val="004四级标题 Char"/>
    <w:link w:val="004"/>
    <w:qFormat/>
    <w:rPr>
      <w:b/>
      <w:bCs/>
      <w:kern w:val="2"/>
      <w:sz w:val="24"/>
      <w:szCs w:val="28"/>
    </w:rPr>
  </w:style>
  <w:style w:type="paragraph" w:customStyle="1" w:styleId="affff7">
    <w:name w:val="表格后说明"/>
    <w:next w:val="a5"/>
    <w:uiPriority w:val="3"/>
    <w:qFormat/>
    <w:pPr>
      <w:jc w:val="both"/>
    </w:pPr>
    <w:rPr>
      <w:kern w:val="2"/>
      <w:sz w:val="21"/>
      <w:szCs w:val="24"/>
    </w:rPr>
  </w:style>
  <w:style w:type="paragraph" w:customStyle="1" w:styleId="affff8">
    <w:name w:val="表格前单位"/>
    <w:next w:val="a5"/>
    <w:uiPriority w:val="2"/>
    <w:qFormat/>
    <w:pPr>
      <w:keepNext/>
      <w:jc w:val="right"/>
    </w:pPr>
    <w:rPr>
      <w:kern w:val="2"/>
      <w:sz w:val="21"/>
      <w:szCs w:val="24"/>
    </w:rPr>
  </w:style>
  <w:style w:type="paragraph" w:customStyle="1" w:styleId="005">
    <w:name w:val="005正文"/>
    <w:basedOn w:val="a"/>
    <w:link w:val="005Char"/>
    <w:qFormat/>
    <w:pPr>
      <w:spacing w:afterLines="0" w:after="0"/>
    </w:pPr>
    <w:rPr>
      <w:rFonts w:ascii="Times New Roman" w:hAnsi="Times New Roman"/>
    </w:rPr>
  </w:style>
  <w:style w:type="character" w:customStyle="1" w:styleId="005Char">
    <w:name w:val="005正文 Char"/>
    <w:link w:val="005"/>
    <w:qFormat/>
    <w:rPr>
      <w:kern w:val="2"/>
      <w:sz w:val="24"/>
      <w:szCs w:val="22"/>
    </w:rPr>
  </w:style>
  <w:style w:type="paragraph" w:customStyle="1" w:styleId="002">
    <w:name w:val="002二级标题"/>
    <w:link w:val="002Char"/>
    <w:qFormat/>
    <w:pPr>
      <w:keepNext/>
      <w:keepLines/>
      <w:spacing w:beforeLines="50" w:before="50" w:afterLines="50" w:after="50" w:line="360" w:lineRule="auto"/>
      <w:ind w:firstLineChars="200" w:firstLine="200"/>
      <w:jc w:val="both"/>
      <w:outlineLvl w:val="1"/>
    </w:pPr>
    <w:rPr>
      <w:b/>
      <w:bCs/>
      <w:kern w:val="2"/>
      <w:sz w:val="24"/>
      <w:szCs w:val="28"/>
    </w:rPr>
  </w:style>
  <w:style w:type="character" w:customStyle="1" w:styleId="002Char">
    <w:name w:val="002二级标题 Char"/>
    <w:link w:val="002"/>
    <w:qFormat/>
    <w:rPr>
      <w:b/>
      <w:bCs/>
      <w:kern w:val="2"/>
      <w:sz w:val="24"/>
      <w:szCs w:val="28"/>
    </w:rPr>
  </w:style>
  <w:style w:type="paragraph" w:customStyle="1" w:styleId="001">
    <w:name w:val="001一级标题"/>
    <w:basedOn w:val="a"/>
    <w:link w:val="001Char"/>
    <w:qFormat/>
    <w:pPr>
      <w:keepNext/>
      <w:keepLines/>
      <w:pageBreakBefore/>
      <w:outlineLvl w:val="0"/>
    </w:pPr>
    <w:rPr>
      <w:rFonts w:ascii="Times New Roman" w:eastAsia="黑体" w:hAnsi="Times New Roman"/>
      <w:b/>
      <w:bCs/>
      <w:szCs w:val="28"/>
      <w:lang w:val="zh-CN"/>
    </w:rPr>
  </w:style>
  <w:style w:type="character" w:customStyle="1" w:styleId="001Char">
    <w:name w:val="001一级标题 Char"/>
    <w:link w:val="001"/>
    <w:qFormat/>
    <w:rPr>
      <w:rFonts w:eastAsia="黑体"/>
      <w:b/>
      <w:bCs/>
      <w:kern w:val="2"/>
      <w:sz w:val="24"/>
      <w:szCs w:val="28"/>
      <w:lang w:val="zh-CN"/>
    </w:rPr>
  </w:style>
  <w:style w:type="character" w:customStyle="1" w:styleId="212">
    <w:name w:val="标题 2 字符1"/>
    <w:uiPriority w:val="9"/>
    <w:semiHidden/>
    <w:qFormat/>
    <w:rPr>
      <w:rFonts w:ascii="Times New Roman" w:eastAsia="宋体" w:hAnsi="Times New Roman" w:cs="Times New Roman"/>
      <w:kern w:val="2"/>
      <w:sz w:val="24"/>
      <w:szCs w:val="24"/>
      <w:lang w:val="zh-CN"/>
    </w:rPr>
  </w:style>
  <w:style w:type="paragraph" w:customStyle="1" w:styleId="006">
    <w:name w:val="006备注"/>
    <w:basedOn w:val="a"/>
    <w:link w:val="006Char"/>
    <w:qFormat/>
    <w:pPr>
      <w:adjustRightInd w:val="0"/>
      <w:spacing w:beforeLines="0" w:before="0" w:afterLines="0" w:after="0" w:line="240" w:lineRule="auto"/>
    </w:pPr>
    <w:rPr>
      <w:rFonts w:ascii="Times New Roman" w:hAnsi="Times New Roman" w:cs="Arial"/>
      <w:bCs/>
      <w:sz w:val="21"/>
    </w:rPr>
  </w:style>
  <w:style w:type="character" w:customStyle="1" w:styleId="006Char">
    <w:name w:val="006备注 Char"/>
    <w:link w:val="006"/>
    <w:qFormat/>
    <w:locked/>
    <w:rPr>
      <w:rFonts w:cs="Arial"/>
      <w:bCs/>
      <w:kern w:val="2"/>
      <w:sz w:val="21"/>
      <w:szCs w:val="22"/>
    </w:rPr>
  </w:style>
  <w:style w:type="paragraph" w:customStyle="1" w:styleId="008">
    <w:name w:val="008单位"/>
    <w:semiHidden/>
    <w:qFormat/>
    <w:pPr>
      <w:keepNext/>
      <w:jc w:val="right"/>
    </w:pPr>
    <w:rPr>
      <w:bCs/>
      <w:kern w:val="2"/>
      <w:sz w:val="21"/>
      <w:szCs w:val="28"/>
      <w:lang w:val="zh-CN"/>
    </w:rPr>
  </w:style>
  <w:style w:type="paragraph" w:customStyle="1" w:styleId="TOC10">
    <w:name w:val="TOC 标题1"/>
    <w:basedOn w:val="1"/>
    <w:next w:val="a"/>
    <w:uiPriority w:val="39"/>
    <w:semiHidden/>
    <w:qFormat/>
    <w:pPr>
      <w:widowControl/>
      <w:spacing w:beforeLines="0" w:before="240" w:afterLines="0" w:after="0" w:line="259" w:lineRule="auto"/>
      <w:ind w:firstLineChars="0" w:firstLine="0"/>
      <w:jc w:val="left"/>
      <w:outlineLvl w:val="9"/>
    </w:pPr>
    <w:rPr>
      <w:rFonts w:ascii="Calibri Light" w:eastAsia="等线 Light" w:hAnsi="Calibri Light"/>
      <w:b w:val="0"/>
      <w:bCs w:val="0"/>
      <w:color w:val="2F5496"/>
      <w:kern w:val="0"/>
      <w:sz w:val="32"/>
      <w:szCs w:val="32"/>
    </w:rPr>
  </w:style>
  <w:style w:type="character" w:customStyle="1" w:styleId="313">
    <w:name w:val="标题 3 字符1"/>
    <w:semiHidden/>
    <w:qFormat/>
    <w:rPr>
      <w:rFonts w:ascii="Arial Unicode MS" w:eastAsia="Arial Unicode MS" w:hAnsi="Times New Roman" w:cs="Arial Unicode MS"/>
      <w:b/>
      <w:bCs/>
      <w:sz w:val="32"/>
      <w:szCs w:val="32"/>
    </w:rPr>
  </w:style>
  <w:style w:type="character" w:customStyle="1" w:styleId="1d">
    <w:name w:val="正文文本 字符1"/>
    <w:uiPriority w:val="1"/>
    <w:semiHidden/>
    <w:qFormat/>
    <w:rPr>
      <w:rFonts w:ascii="Arial Unicode MS" w:eastAsia="Arial Unicode MS" w:hAnsi="Times New Roman" w:cs="Arial Unicode MS"/>
      <w:sz w:val="28"/>
      <w:szCs w:val="28"/>
    </w:rPr>
  </w:style>
  <w:style w:type="paragraph" w:customStyle="1" w:styleId="009">
    <w:name w:val="009单位"/>
    <w:basedOn w:val="005"/>
    <w:link w:val="009Char"/>
    <w:qFormat/>
    <w:pPr>
      <w:keepNext/>
      <w:spacing w:beforeLines="0" w:before="0" w:line="240" w:lineRule="auto"/>
      <w:ind w:firstLineChars="0" w:firstLine="0"/>
      <w:jc w:val="right"/>
    </w:pPr>
    <w:rPr>
      <w:sz w:val="21"/>
    </w:rPr>
  </w:style>
  <w:style w:type="character" w:customStyle="1" w:styleId="009Char">
    <w:name w:val="009单位 Char"/>
    <w:link w:val="009"/>
    <w:qFormat/>
    <w:locked/>
    <w:rPr>
      <w:kern w:val="2"/>
      <w:sz w:val="21"/>
      <w:szCs w:val="22"/>
    </w:rPr>
  </w:style>
  <w:style w:type="table" w:customStyle="1" w:styleId="1e">
    <w:name w:val="表格主题1"/>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semiHidden/>
    <w:qFormat/>
    <w:rPr>
      <w:rFonts w:ascii="宋体" w:eastAsia="宋体" w:hAnsi="宋体" w:hint="eastAsia"/>
      <w:b/>
      <w:bCs/>
      <w:color w:val="000000"/>
      <w:sz w:val="21"/>
      <w:szCs w:val="21"/>
      <w:u w:val="none"/>
    </w:rPr>
  </w:style>
  <w:style w:type="character" w:customStyle="1" w:styleId="font21">
    <w:name w:val="font21"/>
    <w:semiHidden/>
    <w:qFormat/>
    <w:rPr>
      <w:rFonts w:ascii="Times New Roman" w:hAnsi="Times New Roman" w:cs="Times New Roman" w:hint="default"/>
      <w:b/>
      <w:bCs/>
      <w:color w:val="000000"/>
      <w:sz w:val="21"/>
      <w:szCs w:val="21"/>
      <w:u w:val="none"/>
    </w:rPr>
  </w:style>
  <w:style w:type="character" w:customStyle="1" w:styleId="font71">
    <w:name w:val="font71"/>
    <w:semiHidden/>
    <w:qFormat/>
    <w:rPr>
      <w:rFonts w:ascii="宋体" w:eastAsia="宋体" w:hAnsi="宋体" w:hint="eastAsia"/>
      <w:color w:val="000000"/>
      <w:sz w:val="21"/>
      <w:szCs w:val="21"/>
      <w:u w:val="none"/>
    </w:rPr>
  </w:style>
  <w:style w:type="character" w:customStyle="1" w:styleId="font11">
    <w:name w:val="font11"/>
    <w:semiHidden/>
    <w:qFormat/>
    <w:rPr>
      <w:rFonts w:ascii="宋体" w:eastAsia="宋体" w:hAnsi="宋体" w:hint="eastAsia"/>
      <w:color w:val="000000"/>
      <w:sz w:val="21"/>
      <w:szCs w:val="21"/>
      <w:u w:val="none"/>
    </w:rPr>
  </w:style>
  <w:style w:type="character" w:customStyle="1" w:styleId="font31">
    <w:name w:val="font31"/>
    <w:qFormat/>
    <w:rPr>
      <w:rFonts w:ascii="宋体" w:eastAsia="宋体" w:hAnsi="宋体" w:hint="eastAsia"/>
      <w:color w:val="000000"/>
      <w:sz w:val="21"/>
      <w:szCs w:val="21"/>
      <w:u w:val="none"/>
    </w:rPr>
  </w:style>
  <w:style w:type="character" w:customStyle="1" w:styleId="font51">
    <w:name w:val="font51"/>
    <w:semiHidden/>
    <w:qFormat/>
    <w:rPr>
      <w:rFonts w:ascii="宋体" w:eastAsia="宋体" w:hAnsi="宋体" w:hint="eastAsia"/>
      <w:b/>
      <w:bCs/>
      <w:color w:val="000000"/>
      <w:sz w:val="21"/>
      <w:szCs w:val="21"/>
      <w:u w:val="none"/>
    </w:rPr>
  </w:style>
  <w:style w:type="paragraph" w:customStyle="1" w:styleId="0050">
    <w:name w:val="005加粗"/>
    <w:basedOn w:val="005"/>
    <w:qFormat/>
    <w:pPr>
      <w:ind w:firstLine="480"/>
    </w:pPr>
    <w:rPr>
      <w:rFonts w:ascii="黑体" w:eastAsia="黑体" w:hAnsi="黑体"/>
      <w:b/>
    </w:rPr>
  </w:style>
  <w:style w:type="paragraph" w:customStyle="1" w:styleId="007">
    <w:name w:val="007楷体加粗"/>
    <w:basedOn w:val="a"/>
    <w:qFormat/>
    <w:pPr>
      <w:overflowPunct w:val="0"/>
      <w:autoSpaceDE w:val="0"/>
      <w:autoSpaceDN w:val="0"/>
      <w:spacing w:afterLines="0" w:after="0"/>
    </w:pPr>
    <w:rPr>
      <w:rFonts w:ascii="楷体" w:eastAsia="楷体" w:hAnsi="楷体"/>
      <w:b/>
      <w:szCs w:val="24"/>
    </w:rPr>
  </w:style>
  <w:style w:type="paragraph" w:customStyle="1" w:styleId="008-">
    <w:name w:val="008单位-楷体"/>
    <w:basedOn w:val="009"/>
    <w:qFormat/>
    <w:rPr>
      <w:rFonts w:ascii="楷体" w:eastAsia="楷体" w:hAnsi="楷体"/>
      <w:b/>
    </w:rPr>
  </w:style>
  <w:style w:type="paragraph" w:customStyle="1" w:styleId="010-">
    <w:name w:val="010备注-楷体"/>
    <w:basedOn w:val="006"/>
    <w:qFormat/>
    <w:rPr>
      <w:rFonts w:ascii="楷体" w:eastAsia="楷体" w:hAnsi="楷体"/>
      <w:b/>
    </w:rPr>
  </w:style>
  <w:style w:type="character" w:customStyle="1" w:styleId="font41">
    <w:name w:val="font41"/>
    <w:qFormat/>
    <w:rPr>
      <w:rFonts w:ascii="宋体" w:eastAsia="宋体" w:hAnsi="宋体" w:hint="eastAsia"/>
      <w:color w:val="000000"/>
      <w:sz w:val="21"/>
      <w:szCs w:val="21"/>
      <w:u w:val="none"/>
    </w:rPr>
  </w:style>
  <w:style w:type="paragraph" w:customStyle="1" w:styleId="WL06-">
    <w:name w:val="WL06-正文"/>
    <w:basedOn w:val="a"/>
    <w:link w:val="WL06-0"/>
    <w:qFormat/>
    <w:pPr>
      <w:widowControl/>
      <w:snapToGrid w:val="0"/>
    </w:pPr>
    <w:rPr>
      <w:rFonts w:ascii="Times New Roman" w:hAnsi="Times New Roman" w:cs="Mongolian Baiti"/>
      <w:szCs w:val="21"/>
    </w:rPr>
  </w:style>
  <w:style w:type="character" w:customStyle="1" w:styleId="WL06-0">
    <w:name w:val="WL06-正文 字符"/>
    <w:link w:val="WL06-"/>
    <w:qFormat/>
    <w:rPr>
      <w:rFonts w:cs="Mongolian Baiti"/>
      <w:kern w:val="2"/>
      <w:sz w:val="24"/>
      <w:szCs w:val="21"/>
    </w:rPr>
  </w:style>
  <w:style w:type="paragraph" w:customStyle="1" w:styleId="WL04-4">
    <w:name w:val="WL04-标题4"/>
    <w:basedOn w:val="a"/>
    <w:link w:val="WL04-40"/>
    <w:qFormat/>
    <w:pPr>
      <w:keepNext/>
      <w:keepLines/>
      <w:widowControl/>
      <w:spacing w:before="120" w:after="120"/>
      <w:ind w:firstLine="482"/>
      <w:jc w:val="left"/>
      <w:outlineLvl w:val="3"/>
    </w:pPr>
    <w:rPr>
      <w:rFonts w:ascii="Times New Roman" w:hAnsi="Times New Roman"/>
      <w:b/>
      <w:bCs/>
      <w:kern w:val="44"/>
      <w:szCs w:val="28"/>
      <w:lang w:val="zh-CN"/>
    </w:rPr>
  </w:style>
  <w:style w:type="character" w:customStyle="1" w:styleId="WL04-40">
    <w:name w:val="WL04-标题4 字符"/>
    <w:link w:val="WL04-4"/>
    <w:qFormat/>
    <w:rPr>
      <w:b/>
      <w:bCs/>
      <w:kern w:val="44"/>
      <w:sz w:val="24"/>
      <w:szCs w:val="28"/>
      <w:lang w:val="zh-CN"/>
    </w:rPr>
  </w:style>
  <w:style w:type="paragraph" w:customStyle="1" w:styleId="WL05-5">
    <w:name w:val="WL05-标题5"/>
    <w:basedOn w:val="WL04-4"/>
    <w:link w:val="WL05-50"/>
    <w:qFormat/>
    <w:pPr>
      <w:outlineLvl w:val="4"/>
    </w:pPr>
  </w:style>
  <w:style w:type="character" w:customStyle="1" w:styleId="WL05-50">
    <w:name w:val="WL05-标题5 字符"/>
    <w:link w:val="WL05-5"/>
    <w:qFormat/>
    <w:rPr>
      <w:b/>
      <w:bCs/>
      <w:kern w:val="44"/>
      <w:sz w:val="24"/>
      <w:szCs w:val="28"/>
      <w:lang w:val="zh-CN"/>
    </w:rPr>
  </w:style>
  <w:style w:type="character" w:customStyle="1" w:styleId="temporaryspan">
    <w:name w:val="temporaryspan"/>
    <w:qFormat/>
  </w:style>
  <w:style w:type="character" w:customStyle="1" w:styleId="swhkey">
    <w:name w:val="swhkey"/>
    <w:qFormat/>
  </w:style>
  <w:style w:type="paragraph" w:customStyle="1" w:styleId="42">
    <w:name w:val="修订4"/>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91410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7AD24-6405-489C-AD23-A1BFCDEE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7661</Words>
  <Characters>43673</Characters>
  <Application>Microsoft Office Word</Application>
  <DocSecurity>0</DocSecurity>
  <Lines>363</Lines>
  <Paragraphs>102</Paragraphs>
  <ScaleCrop>false</ScaleCrop>
  <Company>Microsoft</Company>
  <LinksUpToDate>false</LinksUpToDate>
  <CharactersWithSpaces>51232</CharactersWithSpaces>
  <SharedDoc>false</SharedDoc>
  <HLinks>
    <vt:vector size="18" baseType="variant">
      <vt:variant>
        <vt:i4>1638456</vt:i4>
      </vt:variant>
      <vt:variant>
        <vt:i4>14</vt:i4>
      </vt:variant>
      <vt:variant>
        <vt:i4>0</vt:i4>
      </vt:variant>
      <vt:variant>
        <vt:i4>5</vt:i4>
      </vt:variant>
      <vt:variant>
        <vt:lpwstr/>
      </vt:variant>
      <vt:variant>
        <vt:lpwstr>_Toc153983219</vt:lpwstr>
      </vt:variant>
      <vt:variant>
        <vt:i4>1638456</vt:i4>
      </vt:variant>
      <vt:variant>
        <vt:i4>8</vt:i4>
      </vt:variant>
      <vt:variant>
        <vt:i4>0</vt:i4>
      </vt:variant>
      <vt:variant>
        <vt:i4>5</vt:i4>
      </vt:variant>
      <vt:variant>
        <vt:lpwstr/>
      </vt:variant>
      <vt:variant>
        <vt:lpwstr>_Toc153983218</vt:lpwstr>
      </vt:variant>
      <vt:variant>
        <vt:i4>1638456</vt:i4>
      </vt:variant>
      <vt:variant>
        <vt:i4>2</vt:i4>
      </vt:variant>
      <vt:variant>
        <vt:i4>0</vt:i4>
      </vt:variant>
      <vt:variant>
        <vt:i4>5</vt:i4>
      </vt:variant>
      <vt:variant>
        <vt:lpwstr/>
      </vt:variant>
      <vt:variant>
        <vt:lpwstr>_Toc153983217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cp:lastModifiedBy>何帅047185</cp:lastModifiedBy>
  <cp:revision>2</cp:revision>
  <cp:lastPrinted>2024-01-02T11:04:00Z</cp:lastPrinted>
  <dcterms:created xsi:type="dcterms:W3CDTF">2024-01-02T11:57:00Z</dcterms:created>
  <dcterms:modified xsi:type="dcterms:W3CDTF">2024-01-02T11:57:00Z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1935290CE2234723909B94CC44B04FDA</vt:lpwstr>
  </property>
</Properties>
</file>