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88FD8" w14:textId="77777777" w:rsidR="007D0267" w:rsidRDefault="00000000">
      <w:pPr>
        <w:autoSpaceDE w:val="0"/>
        <w:autoSpaceDN w:val="0"/>
        <w:spacing w:line="360" w:lineRule="auto"/>
        <w:jc w:val="center"/>
        <w:rPr>
          <w:rFonts w:ascii="宋体" w:hAnsi="宋体" w:cs="宋体"/>
          <w:sz w:val="24"/>
        </w:rPr>
      </w:pPr>
      <w:r>
        <w:rPr>
          <w:rFonts w:ascii="宋体" w:hAnsi="宋体" w:cs="宋体" w:hint="eastAsia"/>
          <w:sz w:val="24"/>
        </w:rPr>
        <w:t>证券代码：002871        证券简称：伟隆股份        公告编号：202</w:t>
      </w:r>
      <w:r>
        <w:rPr>
          <w:rFonts w:ascii="宋体" w:hAnsi="宋体" w:cs="宋体"/>
          <w:sz w:val="24"/>
        </w:rPr>
        <w:t>3</w:t>
      </w:r>
      <w:r>
        <w:rPr>
          <w:rFonts w:ascii="宋体" w:hAnsi="宋体" w:cs="宋体" w:hint="eastAsia"/>
          <w:sz w:val="24"/>
        </w:rPr>
        <w:t>-</w:t>
      </w:r>
      <w:r>
        <w:rPr>
          <w:rFonts w:ascii="宋体" w:hAnsi="宋体" w:cs="宋体"/>
          <w:sz w:val="24"/>
        </w:rPr>
        <w:t>125</w:t>
      </w:r>
    </w:p>
    <w:p w14:paraId="6A6348D4" w14:textId="77777777" w:rsidR="007D0267" w:rsidRDefault="00000000">
      <w:pPr>
        <w:snapToGrid w:val="0"/>
        <w:spacing w:beforeLines="50" w:before="156" w:afterLines="50" w:after="156" w:line="276" w:lineRule="auto"/>
        <w:jc w:val="center"/>
        <w:rPr>
          <w:rFonts w:ascii="宋体" w:hAnsi="宋体"/>
          <w:b/>
          <w:bCs/>
          <w:color w:val="000000"/>
          <w:sz w:val="32"/>
          <w:szCs w:val="32"/>
        </w:rPr>
      </w:pPr>
      <w:r>
        <w:rPr>
          <w:rFonts w:ascii="宋体" w:hAnsi="宋体" w:hint="eastAsia"/>
          <w:b/>
          <w:bCs/>
          <w:color w:val="000000"/>
          <w:sz w:val="32"/>
          <w:szCs w:val="32"/>
        </w:rPr>
        <w:t>青岛伟隆阀门股份有限公司</w:t>
      </w:r>
    </w:p>
    <w:p w14:paraId="7DEDD47D" w14:textId="77777777" w:rsidR="007D0267" w:rsidRDefault="00000000">
      <w:pPr>
        <w:snapToGrid w:val="0"/>
        <w:spacing w:beforeLines="50" w:before="156" w:afterLines="50" w:after="156" w:line="276" w:lineRule="auto"/>
        <w:jc w:val="center"/>
        <w:rPr>
          <w:rFonts w:ascii="宋体" w:hAnsi="宋体"/>
          <w:b/>
          <w:bCs/>
          <w:color w:val="000000"/>
          <w:sz w:val="32"/>
          <w:szCs w:val="32"/>
        </w:rPr>
      </w:pPr>
      <w:r>
        <w:rPr>
          <w:rFonts w:ascii="宋体" w:hAnsi="宋体" w:hint="eastAsia"/>
          <w:b/>
          <w:bCs/>
          <w:color w:val="000000"/>
          <w:sz w:val="32"/>
          <w:szCs w:val="32"/>
        </w:rPr>
        <w:t>关于向不特定对象发行可转换公司债券摊薄即期回报、填补措施</w:t>
      </w:r>
    </w:p>
    <w:p w14:paraId="27FDB9B2" w14:textId="7AD4AD90" w:rsidR="007D0267" w:rsidRDefault="0090191E">
      <w:pPr>
        <w:snapToGrid w:val="0"/>
        <w:spacing w:beforeLines="50" w:before="156" w:afterLines="50" w:after="156" w:line="276" w:lineRule="auto"/>
        <w:jc w:val="center"/>
        <w:rPr>
          <w:rFonts w:ascii="宋体" w:hAnsi="宋体"/>
          <w:b/>
          <w:bCs/>
          <w:color w:val="000000"/>
          <w:sz w:val="32"/>
          <w:szCs w:val="32"/>
        </w:rPr>
      </w:pPr>
      <w:r>
        <w:rPr>
          <w:rFonts w:ascii="宋体" w:hAnsi="宋体" w:hint="eastAsia"/>
          <w:b/>
          <w:bCs/>
          <w:noProof/>
          <w:color w:val="000000"/>
          <w:sz w:val="32"/>
          <w:szCs w:val="32"/>
        </w:rPr>
        <mc:AlternateContent>
          <mc:Choice Requires="wps">
            <w:drawing>
              <wp:anchor distT="0" distB="0" distL="114300" distR="114300" simplePos="0" relativeHeight="251657728" behindDoc="1" locked="0" layoutInCell="1" allowOverlap="1" wp14:anchorId="4F366A5F" wp14:editId="0B133493">
                <wp:simplePos x="0" y="0"/>
                <wp:positionH relativeFrom="column">
                  <wp:posOffset>-111760</wp:posOffset>
                </wp:positionH>
                <wp:positionV relativeFrom="paragraph">
                  <wp:posOffset>381635</wp:posOffset>
                </wp:positionV>
                <wp:extent cx="5492115" cy="672465"/>
                <wp:effectExtent l="12065" t="8890" r="10795" b="13970"/>
                <wp:wrapNone/>
                <wp:docPr id="2026272301"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2115" cy="672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554FD" id="矩形 15" o:spid="_x0000_s1026" style="position:absolute;left:0;text-align:left;margin-left:-8.8pt;margin-top:30.05pt;width:432.45pt;height:52.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hkiCgIAABYEAAAOAAAAZHJzL2Uyb0RvYy54bWysU9uO2yAQfa/Uf0C8N46tOLux4qxW2aaq&#10;tL1I234AwdhGxQwdSJz06zuQbDa9PFXlATEMHM6cOSzvDoNhe4Veg615PplypqyERtuu5l+/bN7c&#10;cuaDsI0wYFXNj8rzu9XrV8vRVaqAHkyjkBGI9dXoat6H4Kos87JXg/ATcMpSsgUcRKAQu6xBMRL6&#10;YLJiOp1nI2DjEKTynnYfTkm+Svhtq2T41LZeBWZqTtxCmjHN2zhnq6WoOhSu1/JMQ/wDi0FoS49e&#10;oB5EEGyH+g+oQUsED22YSBgyaFstVaqBqsmnv1Xz1AunUi0kjncXmfz/g5Uf90/uM0bq3j2C/OaZ&#10;hXUvbKfuEWHslWjouTwKlY3OV5cLMfB0lW3HD9BQa8UuQNLg0OIQAak6dkhSHy9Sq0NgkjbL2aLI&#10;85IzSbn5TTGbl+kJUT3fdujDOwUDi4uaI7UyoYv9ow+RjaiejyT2YHSz0cakALvt2iDbC2r7Jo0z&#10;ur8+Ziwba74oizIh/5Lz1xDTNP4GMehA/jV6qPnt5ZCoomxvbZPcFYQ2pzVRNvasY5QuutRXW2iO&#10;JCPCyZz0mWjRA/7gbCRj1tx/3wlUnJn3llqxyGez6OQUzMqbggK8zmyvM8JKgqp54Oy0XIeT+3cO&#10;ddfTS3mq3cI9ta/VSdkXVmeyZL4k+PmjRHdfx+nUy3de/QQAAP//AwBQSwMEFAAGAAgAAAAhAEeU&#10;4QHfAAAACgEAAA8AAABkcnMvZG93bnJldi54bWxMj8FOwzAQRO9I/IO1SNxaOy1yS4hTIVCROLbp&#10;hdsmWZJAbEex0wa+nuUEx9U8zbzNdrPtxZnG0HlnIFkqEOQqX3euMXAq9ostiBDR1dh7Rwa+KMAu&#10;v77KMK39xR3ofIyN4BIXUjTQxjikUoaqJYth6QdynL370WLkc2xkPeKFy20vV0ppabFzvNDiQE8t&#10;VZ/HyRoou9UJvw/Fi7L3+3V8nYuP6e3ZmNub+fEBRKQ5/sHwq8/qkLNT6SdXB9EbWCQbzagBrRIQ&#10;DGzvNmsQJZNaK5B5Jv+/kP8AAAD//wMAUEsBAi0AFAAGAAgAAAAhALaDOJL+AAAA4QEAABMAAAAA&#10;AAAAAAAAAAAAAAAAAFtDb250ZW50X1R5cGVzXS54bWxQSwECLQAUAAYACAAAACEAOP0h/9YAAACU&#10;AQAACwAAAAAAAAAAAAAAAAAvAQAAX3JlbHMvLnJlbHNQSwECLQAUAAYACAAAACEAYdYZIgoCAAAW&#10;BAAADgAAAAAAAAAAAAAAAAAuAgAAZHJzL2Uyb0RvYy54bWxQSwECLQAUAAYACAAAACEAR5ThAd8A&#10;AAAKAQAADwAAAAAAAAAAAAAAAABkBAAAZHJzL2Rvd25yZXYueG1sUEsFBgAAAAAEAAQA8wAAAHAF&#10;AAAAAA==&#10;"/>
            </w:pict>
          </mc:Fallback>
        </mc:AlternateContent>
      </w:r>
      <w:r>
        <w:rPr>
          <w:rFonts w:ascii="宋体" w:hAnsi="宋体" w:hint="eastAsia"/>
          <w:b/>
          <w:bCs/>
          <w:color w:val="000000"/>
          <w:sz w:val="32"/>
          <w:szCs w:val="32"/>
        </w:rPr>
        <w:t>与相关主体承诺（二次修订稿）的公告</w:t>
      </w:r>
    </w:p>
    <w:p w14:paraId="4BC9A5EC" w14:textId="77777777" w:rsidR="007D0267" w:rsidRDefault="00000000">
      <w:pPr>
        <w:autoSpaceDE w:val="0"/>
        <w:autoSpaceDN w:val="0"/>
        <w:adjustRightInd w:val="0"/>
        <w:spacing w:beforeLines="50" w:before="156" w:line="360" w:lineRule="auto"/>
        <w:ind w:firstLineChars="200" w:firstLine="480"/>
        <w:rPr>
          <w:sz w:val="24"/>
        </w:rPr>
      </w:pPr>
      <w:r>
        <w:rPr>
          <w:rFonts w:hint="eastAsia"/>
          <w:sz w:val="24"/>
        </w:rPr>
        <w:t>本公司及董事会全体成员保证公告内容真实、准确和完整，没有虚假记载、误导性陈述或者重大遗漏。</w:t>
      </w:r>
    </w:p>
    <w:p w14:paraId="11EF3AC9" w14:textId="77777777" w:rsidR="007D0267" w:rsidRDefault="00000000">
      <w:pPr>
        <w:autoSpaceDE w:val="0"/>
        <w:autoSpaceDN w:val="0"/>
        <w:adjustRightInd w:val="0"/>
        <w:spacing w:beforeLines="50" w:before="156" w:line="360" w:lineRule="auto"/>
        <w:ind w:firstLineChars="200" w:firstLine="480"/>
        <w:rPr>
          <w:sz w:val="24"/>
        </w:rPr>
      </w:pPr>
      <w:r>
        <w:rPr>
          <w:rFonts w:hint="eastAsia"/>
          <w:sz w:val="24"/>
        </w:rPr>
        <w:t>《国务院办公厅关于进一步加强资本市场中小投资者合法权益保护工作的意见》（国办发</w:t>
      </w:r>
      <w:r>
        <w:rPr>
          <w:rFonts w:hint="eastAsia"/>
          <w:sz w:val="24"/>
        </w:rPr>
        <w:t>[2013]110</w:t>
      </w:r>
      <w:r>
        <w:rPr>
          <w:rFonts w:hint="eastAsia"/>
          <w:sz w:val="24"/>
        </w:rPr>
        <w:t>号）、《国务院关于进一步促进资本市场健康发展的若干意见》（国发</w:t>
      </w:r>
      <w:r>
        <w:rPr>
          <w:rFonts w:hint="eastAsia"/>
          <w:sz w:val="24"/>
        </w:rPr>
        <w:t>[2014]17</w:t>
      </w:r>
      <w:r>
        <w:rPr>
          <w:rFonts w:hint="eastAsia"/>
          <w:sz w:val="24"/>
        </w:rPr>
        <w:t>号）和《关于首发及再融资、重大资产重组摊薄即期回报有关事项的指导意见》（中国证券监督管理委员会公告</w:t>
      </w:r>
      <w:r>
        <w:rPr>
          <w:rFonts w:hint="eastAsia"/>
          <w:sz w:val="24"/>
        </w:rPr>
        <w:t>[2015]31</w:t>
      </w:r>
      <w:r>
        <w:rPr>
          <w:rFonts w:hint="eastAsia"/>
          <w:sz w:val="24"/>
        </w:rPr>
        <w:t>号）等规定的要求，为保障中小投资者利益，公司就本次向不特定对象发行可转换公司债券（“本次发行”）对即期回报摊薄的影响进行了认真分析，并提出了具体的填补回报措施，相关主体对公司填补回报措施能够得到切实履行作出了承诺，具体内容如下：</w:t>
      </w:r>
    </w:p>
    <w:p w14:paraId="21AEE1A6" w14:textId="77777777" w:rsidR="007D0267" w:rsidRDefault="00000000">
      <w:pPr>
        <w:autoSpaceDE w:val="0"/>
        <w:autoSpaceDN w:val="0"/>
        <w:adjustRightInd w:val="0"/>
        <w:spacing w:before="50" w:line="360" w:lineRule="auto"/>
        <w:ind w:firstLineChars="200" w:firstLine="482"/>
        <w:rPr>
          <w:b/>
          <w:bCs/>
          <w:sz w:val="24"/>
        </w:rPr>
      </w:pPr>
      <w:r>
        <w:rPr>
          <w:rFonts w:hint="eastAsia"/>
          <w:b/>
          <w:bCs/>
          <w:sz w:val="24"/>
        </w:rPr>
        <w:t>一、本次发行摊薄即期回报对公司主要财务指标的影响</w:t>
      </w:r>
    </w:p>
    <w:p w14:paraId="4D1372B9" w14:textId="77777777" w:rsidR="007D0267" w:rsidRDefault="00000000">
      <w:pPr>
        <w:autoSpaceDE w:val="0"/>
        <w:autoSpaceDN w:val="0"/>
        <w:adjustRightInd w:val="0"/>
        <w:spacing w:before="50" w:line="360" w:lineRule="auto"/>
        <w:ind w:firstLineChars="200" w:firstLine="482"/>
        <w:rPr>
          <w:b/>
          <w:bCs/>
          <w:sz w:val="24"/>
        </w:rPr>
      </w:pPr>
      <w:r>
        <w:rPr>
          <w:rFonts w:hint="eastAsia"/>
          <w:b/>
          <w:bCs/>
          <w:sz w:val="24"/>
        </w:rPr>
        <w:t>（一）本次发行摊薄即期回报对公司主要财务指标影响的假设</w:t>
      </w:r>
    </w:p>
    <w:p w14:paraId="7E24FFBD" w14:textId="77777777" w:rsidR="007D0267" w:rsidRDefault="00000000">
      <w:pPr>
        <w:autoSpaceDE w:val="0"/>
        <w:autoSpaceDN w:val="0"/>
        <w:adjustRightInd w:val="0"/>
        <w:spacing w:before="50" w:line="360" w:lineRule="auto"/>
        <w:ind w:firstLineChars="200" w:firstLine="480"/>
        <w:rPr>
          <w:sz w:val="24"/>
        </w:rPr>
      </w:pPr>
      <w:bookmarkStart w:id="0" w:name="_Hlk132665871"/>
      <w:r>
        <w:rPr>
          <w:rFonts w:hint="eastAsia"/>
          <w:sz w:val="24"/>
        </w:rPr>
        <w:t>公司基于以下假设条件对本次发行可转换债券摊薄即期回报对公司主要财务指标的影响进行分析。具体假设如下：</w:t>
      </w:r>
    </w:p>
    <w:p w14:paraId="6C740260" w14:textId="77777777" w:rsidR="007D0267" w:rsidRDefault="00000000">
      <w:pPr>
        <w:autoSpaceDE w:val="0"/>
        <w:autoSpaceDN w:val="0"/>
        <w:adjustRightInd w:val="0"/>
        <w:spacing w:before="50" w:line="360" w:lineRule="auto"/>
        <w:ind w:firstLineChars="200" w:firstLine="480"/>
        <w:rPr>
          <w:sz w:val="24"/>
        </w:rPr>
      </w:pPr>
      <w:r>
        <w:rPr>
          <w:rFonts w:hint="eastAsia"/>
          <w:sz w:val="24"/>
        </w:rPr>
        <w:t>1</w:t>
      </w:r>
      <w:r>
        <w:rPr>
          <w:rFonts w:hint="eastAsia"/>
          <w:sz w:val="24"/>
        </w:rPr>
        <w:t>、假设宏观经济环境、产业政策、产品市场情况及公司经营环境等方面没有发生重大变化；</w:t>
      </w:r>
    </w:p>
    <w:p w14:paraId="398BFB83" w14:textId="77777777" w:rsidR="007D0267" w:rsidRDefault="00000000">
      <w:pPr>
        <w:autoSpaceDE w:val="0"/>
        <w:autoSpaceDN w:val="0"/>
        <w:adjustRightInd w:val="0"/>
        <w:spacing w:before="50" w:line="360" w:lineRule="auto"/>
        <w:ind w:firstLineChars="200" w:firstLine="480"/>
        <w:rPr>
          <w:sz w:val="24"/>
        </w:rPr>
      </w:pPr>
      <w:r>
        <w:rPr>
          <w:rFonts w:hint="eastAsia"/>
          <w:sz w:val="24"/>
        </w:rPr>
        <w:t>2</w:t>
      </w:r>
      <w:r>
        <w:rPr>
          <w:rFonts w:hint="eastAsia"/>
          <w:sz w:val="24"/>
        </w:rPr>
        <w:t>、假设本次发行可转换公司债券募集资金总额为</w:t>
      </w:r>
      <w:r>
        <w:rPr>
          <w:sz w:val="24"/>
        </w:rPr>
        <w:t>3</w:t>
      </w:r>
      <w:r>
        <w:rPr>
          <w:rFonts w:hint="eastAsia"/>
          <w:sz w:val="24"/>
        </w:rPr>
        <w:t>2</w:t>
      </w:r>
      <w:r>
        <w:rPr>
          <w:sz w:val="24"/>
        </w:rPr>
        <w:t>,</w:t>
      </w:r>
      <w:r>
        <w:rPr>
          <w:rFonts w:hint="eastAsia"/>
          <w:sz w:val="24"/>
        </w:rPr>
        <w:t>183</w:t>
      </w:r>
      <w:r>
        <w:rPr>
          <w:sz w:val="24"/>
        </w:rPr>
        <w:t>.00</w:t>
      </w:r>
      <w:r>
        <w:rPr>
          <w:rFonts w:hint="eastAsia"/>
          <w:sz w:val="24"/>
        </w:rPr>
        <w:t>万元，且不考虑发行费用的影响。本次可转换公司债券发行实际到账的募集资金规模及时间将根据监管部门审核、发行认购情况以及发行费用等情况最终确定；</w:t>
      </w:r>
    </w:p>
    <w:p w14:paraId="4A3C93F3" w14:textId="77777777" w:rsidR="007D0267" w:rsidRDefault="00000000">
      <w:pPr>
        <w:autoSpaceDE w:val="0"/>
        <w:autoSpaceDN w:val="0"/>
        <w:adjustRightInd w:val="0"/>
        <w:spacing w:before="50" w:line="360" w:lineRule="auto"/>
        <w:ind w:firstLineChars="200" w:firstLine="480"/>
        <w:rPr>
          <w:sz w:val="24"/>
        </w:rPr>
      </w:pPr>
      <w:r>
        <w:rPr>
          <w:rFonts w:hint="eastAsia"/>
          <w:sz w:val="24"/>
        </w:rPr>
        <w:t>3</w:t>
      </w:r>
      <w:r>
        <w:rPr>
          <w:rFonts w:hint="eastAsia"/>
          <w:sz w:val="24"/>
        </w:rPr>
        <w:t>、假设本次发行可转换公司债券于</w:t>
      </w:r>
      <w:r>
        <w:rPr>
          <w:rFonts w:hint="eastAsia"/>
          <w:sz w:val="24"/>
        </w:rPr>
        <w:t>2023</w:t>
      </w:r>
      <w:r>
        <w:rPr>
          <w:rFonts w:hint="eastAsia"/>
          <w:sz w:val="24"/>
        </w:rPr>
        <w:t>年</w:t>
      </w:r>
      <w:r>
        <w:rPr>
          <w:sz w:val="24"/>
        </w:rPr>
        <w:t>12</w:t>
      </w:r>
      <w:r>
        <w:rPr>
          <w:rFonts w:hint="eastAsia"/>
          <w:sz w:val="24"/>
        </w:rPr>
        <w:t>月底实施完毕，于</w:t>
      </w:r>
      <w:r>
        <w:rPr>
          <w:rFonts w:hint="eastAsia"/>
          <w:sz w:val="24"/>
        </w:rPr>
        <w:t>202</w:t>
      </w:r>
      <w:r>
        <w:rPr>
          <w:sz w:val="24"/>
        </w:rPr>
        <w:t>4</w:t>
      </w:r>
      <w:r>
        <w:rPr>
          <w:rFonts w:hint="eastAsia"/>
          <w:sz w:val="24"/>
        </w:rPr>
        <w:t>年</w:t>
      </w:r>
      <w:r>
        <w:rPr>
          <w:sz w:val="24"/>
        </w:rPr>
        <w:t>6</w:t>
      </w:r>
      <w:r>
        <w:rPr>
          <w:rFonts w:hint="eastAsia"/>
          <w:sz w:val="24"/>
        </w:rPr>
        <w:t>月底达到转股条件，且分别假设所有可转债持有人于</w:t>
      </w:r>
      <w:r>
        <w:rPr>
          <w:rFonts w:hint="eastAsia"/>
          <w:sz w:val="24"/>
        </w:rPr>
        <w:t>202</w:t>
      </w:r>
      <w:r>
        <w:rPr>
          <w:sz w:val="24"/>
        </w:rPr>
        <w:t>4</w:t>
      </w:r>
      <w:r>
        <w:rPr>
          <w:rFonts w:hint="eastAsia"/>
          <w:sz w:val="24"/>
        </w:rPr>
        <w:t>年</w:t>
      </w:r>
      <w:r>
        <w:rPr>
          <w:sz w:val="24"/>
        </w:rPr>
        <w:t>6</w:t>
      </w:r>
      <w:r>
        <w:rPr>
          <w:rFonts w:hint="eastAsia"/>
          <w:sz w:val="24"/>
        </w:rPr>
        <w:t>月</w:t>
      </w:r>
      <w:r>
        <w:rPr>
          <w:sz w:val="24"/>
        </w:rPr>
        <w:t>30</w:t>
      </w:r>
      <w:r>
        <w:rPr>
          <w:rFonts w:hint="eastAsia"/>
          <w:sz w:val="24"/>
        </w:rPr>
        <w:t>日全部转股和</w:t>
      </w:r>
      <w:r>
        <w:rPr>
          <w:rFonts w:hint="eastAsia"/>
          <w:sz w:val="24"/>
        </w:rPr>
        <w:t>202</w:t>
      </w:r>
      <w:r>
        <w:rPr>
          <w:sz w:val="24"/>
        </w:rPr>
        <w:t>4</w:t>
      </w:r>
      <w:r>
        <w:rPr>
          <w:rFonts w:hint="eastAsia"/>
          <w:sz w:val="24"/>
        </w:rPr>
        <w:t>年</w:t>
      </w:r>
      <w:r>
        <w:rPr>
          <w:sz w:val="24"/>
        </w:rPr>
        <w:t>12</w:t>
      </w:r>
      <w:r>
        <w:rPr>
          <w:rFonts w:hint="eastAsia"/>
          <w:sz w:val="24"/>
        </w:rPr>
        <w:t>月</w:t>
      </w:r>
      <w:r>
        <w:rPr>
          <w:sz w:val="24"/>
        </w:rPr>
        <w:t>31</w:t>
      </w:r>
      <w:r>
        <w:rPr>
          <w:rFonts w:hint="eastAsia"/>
          <w:sz w:val="24"/>
        </w:rPr>
        <w:t>日全部未转股两种情况。上述发行方案实施完毕的时间和转股完成时间仅用于测算本次可转换公司债券发行摊薄即期回报对主要财务指标的影响，最终</w:t>
      </w:r>
      <w:r>
        <w:rPr>
          <w:rFonts w:hint="eastAsia"/>
          <w:sz w:val="24"/>
        </w:rPr>
        <w:lastRenderedPageBreak/>
        <w:t>以经深圳证券交易所审核通过、并经中国证监会同意注册的发行数量和本次发行方案的实际完成时间及债券持有人完成转股的实际时间为准；</w:t>
      </w:r>
    </w:p>
    <w:p w14:paraId="1104B66F" w14:textId="77777777" w:rsidR="007D0267" w:rsidRDefault="00000000">
      <w:pPr>
        <w:autoSpaceDE w:val="0"/>
        <w:autoSpaceDN w:val="0"/>
        <w:adjustRightInd w:val="0"/>
        <w:spacing w:before="50" w:line="360" w:lineRule="auto"/>
        <w:ind w:firstLineChars="200" w:firstLine="480"/>
        <w:rPr>
          <w:sz w:val="24"/>
        </w:rPr>
      </w:pPr>
      <w:r>
        <w:rPr>
          <w:rFonts w:hint="eastAsia"/>
          <w:sz w:val="24"/>
        </w:rPr>
        <w:t>4</w:t>
      </w:r>
      <w:r>
        <w:rPr>
          <w:rFonts w:hint="eastAsia"/>
          <w:sz w:val="24"/>
        </w:rPr>
        <w:t>、在预测公司总股本时，</w:t>
      </w:r>
      <w:r w:rsidR="008C4397" w:rsidRPr="008C4397">
        <w:rPr>
          <w:rFonts w:hint="eastAsia"/>
          <w:sz w:val="24"/>
        </w:rPr>
        <w:t>以截至</w:t>
      </w:r>
      <w:r w:rsidR="008C4397" w:rsidRPr="008C4397">
        <w:rPr>
          <w:rFonts w:hint="eastAsia"/>
          <w:sz w:val="24"/>
        </w:rPr>
        <w:t>2023</w:t>
      </w:r>
      <w:r w:rsidR="008C4397" w:rsidRPr="008C4397">
        <w:rPr>
          <w:rFonts w:hint="eastAsia"/>
          <w:sz w:val="24"/>
        </w:rPr>
        <w:t>年</w:t>
      </w:r>
      <w:r w:rsidR="008C4397" w:rsidRPr="008C4397">
        <w:rPr>
          <w:rFonts w:hint="eastAsia"/>
          <w:sz w:val="24"/>
        </w:rPr>
        <w:t>4</w:t>
      </w:r>
      <w:r w:rsidR="008C4397" w:rsidRPr="008C4397">
        <w:rPr>
          <w:rFonts w:hint="eastAsia"/>
          <w:sz w:val="24"/>
        </w:rPr>
        <w:t>月</w:t>
      </w:r>
      <w:r w:rsidR="008C4397" w:rsidRPr="008C4397">
        <w:rPr>
          <w:rFonts w:hint="eastAsia"/>
          <w:sz w:val="24"/>
        </w:rPr>
        <w:t>20</w:t>
      </w:r>
      <w:r w:rsidR="008C4397" w:rsidRPr="008C4397">
        <w:rPr>
          <w:rFonts w:hint="eastAsia"/>
          <w:sz w:val="24"/>
        </w:rPr>
        <w:t>日公司总股本</w:t>
      </w:r>
      <w:r w:rsidR="008C4397" w:rsidRPr="008C4397">
        <w:rPr>
          <w:rFonts w:hint="eastAsia"/>
          <w:sz w:val="24"/>
        </w:rPr>
        <w:t>168,877,148</w:t>
      </w:r>
      <w:r w:rsidR="008C4397" w:rsidRPr="008C4397">
        <w:rPr>
          <w:rFonts w:hint="eastAsia"/>
          <w:sz w:val="24"/>
        </w:rPr>
        <w:t>股为基础</w:t>
      </w:r>
      <w:r>
        <w:rPr>
          <w:rFonts w:hint="eastAsia"/>
          <w:sz w:val="24"/>
        </w:rPr>
        <w:t>，仅考虑本次发行完成并全部转股后的股票数对股本的影响，不考虑股权激励等其他因素导致股本发生的变化。假设除本次发行外，公司不会实施其他会对公司总股本发生影响或潜在影响的行为；</w:t>
      </w:r>
    </w:p>
    <w:p w14:paraId="7CD77C0A" w14:textId="77777777" w:rsidR="007D0267" w:rsidRDefault="00000000">
      <w:pPr>
        <w:autoSpaceDE w:val="0"/>
        <w:autoSpaceDN w:val="0"/>
        <w:adjustRightInd w:val="0"/>
        <w:spacing w:before="50" w:line="360" w:lineRule="auto"/>
        <w:ind w:firstLineChars="200" w:firstLine="480"/>
        <w:rPr>
          <w:sz w:val="24"/>
        </w:rPr>
      </w:pPr>
      <w:r>
        <w:rPr>
          <w:rFonts w:hint="eastAsia"/>
          <w:sz w:val="24"/>
        </w:rPr>
        <w:t>5</w:t>
      </w:r>
      <w:r>
        <w:rPr>
          <w:rFonts w:hint="eastAsia"/>
          <w:sz w:val="24"/>
        </w:rPr>
        <w:t>、假设本次可转债的转股价格为人民币</w:t>
      </w:r>
      <w:r>
        <w:rPr>
          <w:sz w:val="24"/>
        </w:rPr>
        <w:t>13.65</w:t>
      </w:r>
      <w:r>
        <w:rPr>
          <w:rFonts w:hint="eastAsia"/>
          <w:sz w:val="24"/>
        </w:rPr>
        <w:t>元</w:t>
      </w:r>
      <w:r>
        <w:rPr>
          <w:rFonts w:hint="eastAsia"/>
          <w:sz w:val="24"/>
        </w:rPr>
        <w:t>/</w:t>
      </w:r>
      <w:r>
        <w:rPr>
          <w:rFonts w:hint="eastAsia"/>
          <w:sz w:val="24"/>
        </w:rPr>
        <w:t>股，该价格为公司第四届董事会第十七次会议召开日（</w:t>
      </w:r>
      <w:r>
        <w:rPr>
          <w:rFonts w:hint="eastAsia"/>
          <w:sz w:val="24"/>
        </w:rPr>
        <w:t>2</w:t>
      </w:r>
      <w:r>
        <w:rPr>
          <w:sz w:val="24"/>
        </w:rPr>
        <w:t>023</w:t>
      </w:r>
      <w:r>
        <w:rPr>
          <w:rFonts w:hint="eastAsia"/>
          <w:sz w:val="24"/>
        </w:rPr>
        <w:t>年</w:t>
      </w:r>
      <w:r>
        <w:rPr>
          <w:rFonts w:hint="eastAsia"/>
          <w:sz w:val="24"/>
        </w:rPr>
        <w:t>1</w:t>
      </w:r>
      <w:r>
        <w:rPr>
          <w:rFonts w:hint="eastAsia"/>
          <w:sz w:val="24"/>
        </w:rPr>
        <w:t>月</w:t>
      </w:r>
      <w:r>
        <w:rPr>
          <w:rFonts w:hint="eastAsia"/>
          <w:sz w:val="24"/>
        </w:rPr>
        <w:t>1</w:t>
      </w:r>
      <w:r>
        <w:rPr>
          <w:sz w:val="24"/>
        </w:rPr>
        <w:t>6</w:t>
      </w:r>
      <w:r>
        <w:rPr>
          <w:rFonts w:hint="eastAsia"/>
          <w:sz w:val="24"/>
        </w:rPr>
        <w:t>日）前二十个交易日交易均价与前一交易日交易均价的较高者，转股数量上限约为</w:t>
      </w:r>
      <w:r>
        <w:rPr>
          <w:sz w:val="24"/>
        </w:rPr>
        <w:t>23,577,289</w:t>
      </w:r>
      <w:r>
        <w:rPr>
          <w:rFonts w:hint="eastAsia"/>
          <w:sz w:val="24"/>
        </w:rPr>
        <w:t>股。（该转股价格仅用于计算本次发行摊薄即期回报对公司主要财务指标的影响，最终的转股价格由公司董事会根据股东大会授权，在发行前根据市场状况和公司具体情况与保荐机构（主承销商）协商确定，并可能进行除权、除息调整或向下修正）；</w:t>
      </w:r>
    </w:p>
    <w:p w14:paraId="71BE82EA" w14:textId="77777777" w:rsidR="007D0267" w:rsidRDefault="00000000">
      <w:pPr>
        <w:autoSpaceDE w:val="0"/>
        <w:autoSpaceDN w:val="0"/>
        <w:adjustRightInd w:val="0"/>
        <w:spacing w:before="50" w:line="360" w:lineRule="auto"/>
        <w:ind w:firstLineChars="200" w:firstLine="480"/>
        <w:rPr>
          <w:sz w:val="24"/>
        </w:rPr>
      </w:pPr>
      <w:r>
        <w:rPr>
          <w:rFonts w:hint="eastAsia"/>
          <w:sz w:val="24"/>
        </w:rPr>
        <w:t>6</w:t>
      </w:r>
      <w:r>
        <w:rPr>
          <w:rFonts w:hint="eastAsia"/>
          <w:sz w:val="24"/>
        </w:rPr>
        <w:t>、根据公司</w:t>
      </w:r>
      <w:r>
        <w:rPr>
          <w:rFonts w:hint="eastAsia"/>
          <w:sz w:val="24"/>
        </w:rPr>
        <w:t>2</w:t>
      </w:r>
      <w:r>
        <w:rPr>
          <w:sz w:val="24"/>
        </w:rPr>
        <w:t>022</w:t>
      </w:r>
      <w:r>
        <w:rPr>
          <w:rFonts w:hint="eastAsia"/>
          <w:sz w:val="24"/>
        </w:rPr>
        <w:t>年度股东大会审议通过的《关于</w:t>
      </w:r>
      <w:r>
        <w:rPr>
          <w:rFonts w:hint="eastAsia"/>
          <w:sz w:val="24"/>
        </w:rPr>
        <w:t>2022</w:t>
      </w:r>
      <w:r>
        <w:rPr>
          <w:rFonts w:hint="eastAsia"/>
          <w:sz w:val="24"/>
        </w:rPr>
        <w:t>年度利润分配及资本公积金转增股本预案的议案》，公司</w:t>
      </w:r>
      <w:r>
        <w:rPr>
          <w:rFonts w:hint="eastAsia"/>
          <w:sz w:val="24"/>
        </w:rPr>
        <w:t>2</w:t>
      </w:r>
      <w:r>
        <w:rPr>
          <w:sz w:val="24"/>
        </w:rPr>
        <w:t>022</w:t>
      </w:r>
      <w:r>
        <w:rPr>
          <w:rFonts w:hint="eastAsia"/>
          <w:sz w:val="24"/>
        </w:rPr>
        <w:t>年度派发现金红利为</w:t>
      </w:r>
      <w:r>
        <w:rPr>
          <w:rFonts w:hint="eastAsia"/>
          <w:sz w:val="24"/>
        </w:rPr>
        <w:t>50</w:t>
      </w:r>
      <w:r>
        <w:rPr>
          <w:sz w:val="24"/>
        </w:rPr>
        <w:t>,</w:t>
      </w:r>
      <w:r>
        <w:rPr>
          <w:rFonts w:hint="eastAsia"/>
          <w:sz w:val="24"/>
        </w:rPr>
        <w:t>663</w:t>
      </w:r>
      <w:r>
        <w:rPr>
          <w:sz w:val="24"/>
        </w:rPr>
        <w:t>,</w:t>
      </w:r>
      <w:r>
        <w:rPr>
          <w:rFonts w:hint="eastAsia"/>
          <w:sz w:val="24"/>
        </w:rPr>
        <w:t>144</w:t>
      </w:r>
      <w:r>
        <w:rPr>
          <w:sz w:val="24"/>
        </w:rPr>
        <w:t>.</w:t>
      </w:r>
      <w:r>
        <w:rPr>
          <w:rFonts w:hint="eastAsia"/>
          <w:sz w:val="24"/>
        </w:rPr>
        <w:t>40</w:t>
      </w:r>
      <w:r>
        <w:rPr>
          <w:rFonts w:hint="eastAsia"/>
          <w:sz w:val="24"/>
        </w:rPr>
        <w:t>元（含税）。不考虑公司</w:t>
      </w:r>
      <w:r>
        <w:rPr>
          <w:rFonts w:hint="eastAsia"/>
          <w:sz w:val="24"/>
        </w:rPr>
        <w:t>2</w:t>
      </w:r>
      <w:r>
        <w:rPr>
          <w:sz w:val="24"/>
        </w:rPr>
        <w:t>022</w:t>
      </w:r>
      <w:r>
        <w:rPr>
          <w:rFonts w:hint="eastAsia"/>
          <w:sz w:val="24"/>
        </w:rPr>
        <w:t>年度资本公积金转增股本的影响，不考虑公司</w:t>
      </w:r>
      <w:r>
        <w:rPr>
          <w:rFonts w:hint="eastAsia"/>
          <w:sz w:val="24"/>
        </w:rPr>
        <w:t>2023</w:t>
      </w:r>
      <w:r>
        <w:rPr>
          <w:rFonts w:hint="eastAsia"/>
          <w:sz w:val="24"/>
        </w:rPr>
        <w:t>年度利润分配因素的影响；</w:t>
      </w:r>
    </w:p>
    <w:p w14:paraId="34B151CE" w14:textId="77777777" w:rsidR="007D0267" w:rsidRDefault="00000000">
      <w:pPr>
        <w:autoSpaceDE w:val="0"/>
        <w:autoSpaceDN w:val="0"/>
        <w:adjustRightInd w:val="0"/>
        <w:spacing w:before="50" w:line="360" w:lineRule="auto"/>
        <w:ind w:firstLineChars="200" w:firstLine="480"/>
        <w:rPr>
          <w:sz w:val="24"/>
        </w:rPr>
      </w:pPr>
      <w:r>
        <w:rPr>
          <w:sz w:val="24"/>
        </w:rPr>
        <w:t>7</w:t>
      </w:r>
      <w:r>
        <w:rPr>
          <w:rFonts w:hint="eastAsia"/>
          <w:sz w:val="24"/>
        </w:rPr>
        <w:t>、根据公司</w:t>
      </w:r>
      <w:r>
        <w:rPr>
          <w:rFonts w:hint="eastAsia"/>
          <w:sz w:val="24"/>
        </w:rPr>
        <w:t>2022</w:t>
      </w:r>
      <w:r>
        <w:rPr>
          <w:rFonts w:hint="eastAsia"/>
          <w:sz w:val="24"/>
        </w:rPr>
        <w:t>年报，公司</w:t>
      </w:r>
      <w:r>
        <w:rPr>
          <w:rFonts w:hint="eastAsia"/>
          <w:sz w:val="24"/>
        </w:rPr>
        <w:t>2022</w:t>
      </w:r>
      <w:r>
        <w:rPr>
          <w:rFonts w:hint="eastAsia"/>
          <w:sz w:val="24"/>
        </w:rPr>
        <w:t>年年度</w:t>
      </w:r>
      <w:r>
        <w:rPr>
          <w:sz w:val="24"/>
        </w:rPr>
        <w:t>归属于母公司股东的净利润</w:t>
      </w:r>
      <w:r>
        <w:rPr>
          <w:rFonts w:hint="eastAsia"/>
          <w:sz w:val="24"/>
        </w:rPr>
        <w:t>为</w:t>
      </w:r>
      <w:r>
        <w:rPr>
          <w:sz w:val="24"/>
        </w:rPr>
        <w:t>136,205,068.76</w:t>
      </w:r>
      <w:r>
        <w:rPr>
          <w:rFonts w:hint="eastAsia"/>
          <w:sz w:val="24"/>
        </w:rPr>
        <w:t>元，扣除非经常性损益后归属于母公司股东的净利润为</w:t>
      </w:r>
      <w:r>
        <w:rPr>
          <w:sz w:val="24"/>
        </w:rPr>
        <w:t>97,939,171.27</w:t>
      </w:r>
      <w:r>
        <w:rPr>
          <w:rFonts w:hint="eastAsia"/>
          <w:sz w:val="24"/>
        </w:rPr>
        <w:t>元；</w:t>
      </w:r>
    </w:p>
    <w:p w14:paraId="119C1CFD" w14:textId="77777777" w:rsidR="007D0267" w:rsidRDefault="00000000">
      <w:pPr>
        <w:autoSpaceDE w:val="0"/>
        <w:autoSpaceDN w:val="0"/>
        <w:adjustRightInd w:val="0"/>
        <w:spacing w:before="50" w:line="360" w:lineRule="auto"/>
        <w:ind w:firstLineChars="200" w:firstLine="480"/>
        <w:rPr>
          <w:sz w:val="24"/>
        </w:rPr>
      </w:pPr>
      <w:r>
        <w:rPr>
          <w:rFonts w:hint="eastAsia"/>
          <w:sz w:val="24"/>
        </w:rPr>
        <w:t>2023</w:t>
      </w:r>
      <w:r>
        <w:rPr>
          <w:rFonts w:hint="eastAsia"/>
          <w:sz w:val="24"/>
        </w:rPr>
        <w:t>年度、</w:t>
      </w:r>
      <w:r>
        <w:rPr>
          <w:rFonts w:hint="eastAsia"/>
          <w:sz w:val="24"/>
        </w:rPr>
        <w:t>2</w:t>
      </w:r>
      <w:r>
        <w:rPr>
          <w:sz w:val="24"/>
        </w:rPr>
        <w:t>024</w:t>
      </w:r>
      <w:r>
        <w:rPr>
          <w:rFonts w:hint="eastAsia"/>
          <w:sz w:val="24"/>
        </w:rPr>
        <w:t>年度</w:t>
      </w:r>
      <w:r>
        <w:rPr>
          <w:sz w:val="24"/>
        </w:rPr>
        <w:t>归属于上市公司股东</w:t>
      </w:r>
      <w:r>
        <w:rPr>
          <w:rFonts w:hint="eastAsia"/>
          <w:sz w:val="24"/>
        </w:rPr>
        <w:t>的扣除非经常性损益前</w:t>
      </w:r>
      <w:r>
        <w:rPr>
          <w:rFonts w:hint="eastAsia"/>
          <w:sz w:val="24"/>
        </w:rPr>
        <w:t>/</w:t>
      </w:r>
      <w:r>
        <w:rPr>
          <w:rFonts w:hint="eastAsia"/>
          <w:sz w:val="24"/>
        </w:rPr>
        <w:t>后的净利润分别按以下三种情况进行测算：（</w:t>
      </w:r>
      <w:r>
        <w:rPr>
          <w:rFonts w:hint="eastAsia"/>
          <w:sz w:val="24"/>
        </w:rPr>
        <w:t>1</w:t>
      </w:r>
      <w:r>
        <w:rPr>
          <w:rFonts w:hint="eastAsia"/>
          <w:sz w:val="24"/>
        </w:rPr>
        <w:t>）同比增长</w:t>
      </w:r>
      <w:r>
        <w:rPr>
          <w:rFonts w:hint="eastAsia"/>
          <w:sz w:val="24"/>
        </w:rPr>
        <w:t>1</w:t>
      </w:r>
      <w:r>
        <w:rPr>
          <w:sz w:val="24"/>
        </w:rPr>
        <w:t>5</w:t>
      </w:r>
      <w:r>
        <w:rPr>
          <w:rFonts w:hint="eastAsia"/>
          <w:sz w:val="24"/>
        </w:rPr>
        <w:t>%</w:t>
      </w:r>
      <w:r>
        <w:rPr>
          <w:rFonts w:hint="eastAsia"/>
          <w:sz w:val="24"/>
        </w:rPr>
        <w:t>；（</w:t>
      </w:r>
      <w:r>
        <w:rPr>
          <w:rFonts w:hint="eastAsia"/>
          <w:sz w:val="24"/>
        </w:rPr>
        <w:t>2</w:t>
      </w:r>
      <w:r>
        <w:rPr>
          <w:rFonts w:hint="eastAsia"/>
          <w:sz w:val="24"/>
        </w:rPr>
        <w:t>）同比持平；（</w:t>
      </w:r>
      <w:r>
        <w:rPr>
          <w:rFonts w:hint="eastAsia"/>
          <w:sz w:val="24"/>
        </w:rPr>
        <w:t>3</w:t>
      </w:r>
      <w:r>
        <w:rPr>
          <w:rFonts w:hint="eastAsia"/>
          <w:sz w:val="24"/>
        </w:rPr>
        <w:t>）同比下降</w:t>
      </w:r>
      <w:r>
        <w:rPr>
          <w:rFonts w:hint="eastAsia"/>
          <w:sz w:val="24"/>
        </w:rPr>
        <w:t>1</w:t>
      </w:r>
      <w:r>
        <w:rPr>
          <w:sz w:val="24"/>
        </w:rPr>
        <w:t>5</w:t>
      </w:r>
      <w:r>
        <w:rPr>
          <w:rFonts w:hint="eastAsia"/>
          <w:sz w:val="24"/>
        </w:rPr>
        <w:t>%</w:t>
      </w:r>
      <w:r>
        <w:rPr>
          <w:sz w:val="24"/>
        </w:rPr>
        <w:t>。</w:t>
      </w:r>
      <w:r>
        <w:rPr>
          <w:rFonts w:hint="eastAsia"/>
          <w:sz w:val="24"/>
        </w:rPr>
        <w:t>上述</w:t>
      </w:r>
      <w:r>
        <w:rPr>
          <w:sz w:val="24"/>
        </w:rPr>
        <w:t>假设仅用于计算本次发行</w:t>
      </w:r>
      <w:r>
        <w:rPr>
          <w:rFonts w:hint="eastAsia"/>
          <w:sz w:val="24"/>
        </w:rPr>
        <w:t>可转债</w:t>
      </w:r>
      <w:r>
        <w:rPr>
          <w:sz w:val="24"/>
        </w:rPr>
        <w:t>摊薄即期回报对</w:t>
      </w:r>
      <w:r>
        <w:rPr>
          <w:rFonts w:hint="eastAsia"/>
          <w:sz w:val="24"/>
        </w:rPr>
        <w:t>公司</w:t>
      </w:r>
      <w:r>
        <w:rPr>
          <w:sz w:val="24"/>
        </w:rPr>
        <w:t>主要财务指标的影响，并不代表公司对未来经营情况及趋势的判断，亦不构成公司盈利预测，盈利情况及所有者权益数据最终以会计师事务所审计的金额为准</w:t>
      </w:r>
      <w:r>
        <w:rPr>
          <w:rFonts w:hint="eastAsia"/>
          <w:sz w:val="24"/>
        </w:rPr>
        <w:t>；</w:t>
      </w:r>
    </w:p>
    <w:p w14:paraId="2D10BE86" w14:textId="77777777" w:rsidR="007D0267" w:rsidRDefault="00000000">
      <w:pPr>
        <w:autoSpaceDE w:val="0"/>
        <w:autoSpaceDN w:val="0"/>
        <w:adjustRightInd w:val="0"/>
        <w:spacing w:before="50" w:line="360" w:lineRule="auto"/>
        <w:ind w:firstLineChars="200" w:firstLine="480"/>
        <w:rPr>
          <w:sz w:val="24"/>
        </w:rPr>
      </w:pPr>
      <w:r>
        <w:rPr>
          <w:sz w:val="24"/>
        </w:rPr>
        <w:t>8</w:t>
      </w:r>
      <w:r>
        <w:rPr>
          <w:rFonts w:hint="eastAsia"/>
          <w:sz w:val="24"/>
        </w:rPr>
        <w:t>、假设</w:t>
      </w:r>
      <w:r>
        <w:rPr>
          <w:rFonts w:hint="eastAsia"/>
          <w:sz w:val="24"/>
        </w:rPr>
        <w:t>202</w:t>
      </w:r>
      <w:r>
        <w:rPr>
          <w:sz w:val="24"/>
        </w:rPr>
        <w:t>3</w:t>
      </w:r>
      <w:r>
        <w:rPr>
          <w:rFonts w:hint="eastAsia"/>
          <w:sz w:val="24"/>
        </w:rPr>
        <w:t>年</w:t>
      </w:r>
      <w:r>
        <w:rPr>
          <w:rFonts w:hint="eastAsia"/>
          <w:sz w:val="24"/>
        </w:rPr>
        <w:t>12</w:t>
      </w:r>
      <w:r>
        <w:rPr>
          <w:rFonts w:hint="eastAsia"/>
          <w:sz w:val="24"/>
        </w:rPr>
        <w:t>月</w:t>
      </w:r>
      <w:r>
        <w:rPr>
          <w:rFonts w:hint="eastAsia"/>
          <w:sz w:val="24"/>
        </w:rPr>
        <w:t>31</w:t>
      </w:r>
      <w:r>
        <w:rPr>
          <w:rFonts w:hint="eastAsia"/>
          <w:sz w:val="24"/>
        </w:rPr>
        <w:t>日归属于母公司所有者权益</w:t>
      </w:r>
      <w:r>
        <w:rPr>
          <w:rFonts w:hint="eastAsia"/>
          <w:sz w:val="24"/>
        </w:rPr>
        <w:t>=202</w:t>
      </w:r>
      <w:r>
        <w:rPr>
          <w:sz w:val="24"/>
        </w:rPr>
        <w:t>3</w:t>
      </w:r>
      <w:r>
        <w:rPr>
          <w:rFonts w:hint="eastAsia"/>
          <w:sz w:val="24"/>
        </w:rPr>
        <w:t>年期初归属于母公司所有者权益＋</w:t>
      </w:r>
      <w:r>
        <w:rPr>
          <w:rFonts w:hint="eastAsia"/>
          <w:sz w:val="24"/>
        </w:rPr>
        <w:t>202</w:t>
      </w:r>
      <w:r>
        <w:rPr>
          <w:sz w:val="24"/>
        </w:rPr>
        <w:t>3</w:t>
      </w:r>
      <w:r>
        <w:rPr>
          <w:rFonts w:hint="eastAsia"/>
          <w:sz w:val="24"/>
        </w:rPr>
        <w:t>年归属于母公司所有者的净利润－当期现金分红金额；</w:t>
      </w:r>
    </w:p>
    <w:p w14:paraId="7669DF63" w14:textId="77777777" w:rsidR="007D0267" w:rsidRDefault="00000000">
      <w:pPr>
        <w:autoSpaceDE w:val="0"/>
        <w:autoSpaceDN w:val="0"/>
        <w:adjustRightInd w:val="0"/>
        <w:spacing w:before="50" w:line="360" w:lineRule="auto"/>
        <w:ind w:firstLineChars="200" w:firstLine="480"/>
        <w:rPr>
          <w:sz w:val="24"/>
        </w:rPr>
      </w:pPr>
      <w:r>
        <w:rPr>
          <w:rFonts w:hint="eastAsia"/>
          <w:sz w:val="24"/>
        </w:rPr>
        <w:t>假设</w:t>
      </w:r>
      <w:r>
        <w:rPr>
          <w:rFonts w:hint="eastAsia"/>
          <w:sz w:val="24"/>
        </w:rPr>
        <w:t>202</w:t>
      </w:r>
      <w:r>
        <w:rPr>
          <w:sz w:val="24"/>
        </w:rPr>
        <w:t>4</w:t>
      </w:r>
      <w:r>
        <w:rPr>
          <w:rFonts w:hint="eastAsia"/>
          <w:sz w:val="24"/>
        </w:rPr>
        <w:t>年</w:t>
      </w:r>
      <w:r>
        <w:rPr>
          <w:rFonts w:hint="eastAsia"/>
          <w:sz w:val="24"/>
        </w:rPr>
        <w:t>12</w:t>
      </w:r>
      <w:r>
        <w:rPr>
          <w:rFonts w:hint="eastAsia"/>
          <w:sz w:val="24"/>
        </w:rPr>
        <w:t>月</w:t>
      </w:r>
      <w:r>
        <w:rPr>
          <w:rFonts w:hint="eastAsia"/>
          <w:sz w:val="24"/>
        </w:rPr>
        <w:t>31</w:t>
      </w:r>
      <w:r>
        <w:rPr>
          <w:rFonts w:hint="eastAsia"/>
          <w:sz w:val="24"/>
        </w:rPr>
        <w:t>日归属于母公司所有者权益</w:t>
      </w:r>
      <w:r>
        <w:rPr>
          <w:rFonts w:hint="eastAsia"/>
          <w:sz w:val="24"/>
        </w:rPr>
        <w:t>=202</w:t>
      </w:r>
      <w:r>
        <w:rPr>
          <w:sz w:val="24"/>
        </w:rPr>
        <w:t>4</w:t>
      </w:r>
      <w:r>
        <w:rPr>
          <w:rFonts w:hint="eastAsia"/>
          <w:sz w:val="24"/>
        </w:rPr>
        <w:t>年期初归属于母公司所有者权益＋</w:t>
      </w:r>
      <w:r>
        <w:rPr>
          <w:rFonts w:hint="eastAsia"/>
          <w:sz w:val="24"/>
        </w:rPr>
        <w:t>202</w:t>
      </w:r>
      <w:r>
        <w:rPr>
          <w:sz w:val="24"/>
        </w:rPr>
        <w:t>4</w:t>
      </w:r>
      <w:r>
        <w:rPr>
          <w:rFonts w:hint="eastAsia"/>
          <w:sz w:val="24"/>
        </w:rPr>
        <w:t>年归属于母公司所有者的净利润；</w:t>
      </w:r>
    </w:p>
    <w:p w14:paraId="56ABC875" w14:textId="77777777" w:rsidR="007D0267" w:rsidRDefault="00000000">
      <w:pPr>
        <w:autoSpaceDE w:val="0"/>
        <w:autoSpaceDN w:val="0"/>
        <w:adjustRightInd w:val="0"/>
        <w:spacing w:before="50" w:line="360" w:lineRule="auto"/>
        <w:ind w:firstLineChars="200" w:firstLine="480"/>
        <w:rPr>
          <w:sz w:val="24"/>
        </w:rPr>
      </w:pPr>
      <w:r>
        <w:rPr>
          <w:sz w:val="24"/>
        </w:rPr>
        <w:t>9</w:t>
      </w:r>
      <w:r>
        <w:rPr>
          <w:rFonts w:hint="eastAsia"/>
          <w:sz w:val="24"/>
        </w:rPr>
        <w:t>、在预测公司发行后净资产时，未考虑除募集资金和净利润之外的其他因</w:t>
      </w:r>
      <w:r>
        <w:rPr>
          <w:rFonts w:hint="eastAsia"/>
          <w:sz w:val="24"/>
        </w:rPr>
        <w:lastRenderedPageBreak/>
        <w:t>素对净资产的影响；</w:t>
      </w:r>
    </w:p>
    <w:p w14:paraId="17361523" w14:textId="77777777" w:rsidR="007D0267" w:rsidRDefault="00000000">
      <w:pPr>
        <w:autoSpaceDE w:val="0"/>
        <w:autoSpaceDN w:val="0"/>
        <w:adjustRightInd w:val="0"/>
        <w:spacing w:before="50" w:line="360" w:lineRule="auto"/>
        <w:ind w:firstLineChars="200" w:firstLine="480"/>
        <w:rPr>
          <w:sz w:val="24"/>
        </w:rPr>
      </w:pPr>
      <w:r>
        <w:rPr>
          <w:sz w:val="24"/>
        </w:rPr>
        <w:t>10</w:t>
      </w:r>
      <w:r>
        <w:rPr>
          <w:rFonts w:hint="eastAsia"/>
          <w:sz w:val="24"/>
        </w:rPr>
        <w:t>、假设不考虑本次可转债票面利率的影响，仅为模拟测算需要，不构成对实际票面利率的数值预测；</w:t>
      </w:r>
    </w:p>
    <w:p w14:paraId="10D59105" w14:textId="77777777" w:rsidR="007D0267" w:rsidRDefault="00000000">
      <w:pPr>
        <w:autoSpaceDE w:val="0"/>
        <w:autoSpaceDN w:val="0"/>
        <w:adjustRightInd w:val="0"/>
        <w:spacing w:before="50" w:line="360" w:lineRule="auto"/>
        <w:ind w:firstLineChars="200" w:firstLine="480"/>
        <w:rPr>
          <w:sz w:val="24"/>
        </w:rPr>
      </w:pPr>
      <w:r>
        <w:rPr>
          <w:sz w:val="24"/>
        </w:rPr>
        <w:t>11</w:t>
      </w:r>
      <w:r>
        <w:rPr>
          <w:rFonts w:hint="eastAsia"/>
          <w:sz w:val="24"/>
        </w:rPr>
        <w:t>、假设本次可转债在发行完成后全部以负债项目在财务报表中列示。该假设仅为模拟测算财务指标使用，具体情况以发行完成后的实际会计处理为准。</w:t>
      </w:r>
    </w:p>
    <w:p w14:paraId="6C293438" w14:textId="77777777" w:rsidR="007D0267" w:rsidRDefault="00000000">
      <w:pPr>
        <w:autoSpaceDE w:val="0"/>
        <w:autoSpaceDN w:val="0"/>
        <w:adjustRightInd w:val="0"/>
        <w:spacing w:before="50" w:line="360" w:lineRule="auto"/>
        <w:ind w:firstLineChars="200" w:firstLine="480"/>
        <w:rPr>
          <w:sz w:val="24"/>
        </w:rPr>
      </w:pPr>
      <w:r>
        <w:rPr>
          <w:rFonts w:hint="eastAsia"/>
          <w:sz w:val="24"/>
        </w:rPr>
        <w:t>上述假设仅为测算本次发行摊薄即期回报对公司主要财务指标的影响，不代表公司对</w:t>
      </w:r>
      <w:r>
        <w:rPr>
          <w:rFonts w:hint="eastAsia"/>
          <w:sz w:val="24"/>
        </w:rPr>
        <w:t>2</w:t>
      </w:r>
      <w:r>
        <w:rPr>
          <w:sz w:val="24"/>
        </w:rPr>
        <w:t>023</w:t>
      </w:r>
      <w:r>
        <w:rPr>
          <w:rFonts w:hint="eastAsia"/>
          <w:sz w:val="24"/>
        </w:rPr>
        <w:t>年度及</w:t>
      </w:r>
      <w:r>
        <w:rPr>
          <w:rFonts w:hint="eastAsia"/>
          <w:sz w:val="24"/>
        </w:rPr>
        <w:t>2</w:t>
      </w:r>
      <w:r>
        <w:rPr>
          <w:sz w:val="24"/>
        </w:rPr>
        <w:t>024</w:t>
      </w:r>
      <w:r>
        <w:rPr>
          <w:rFonts w:hint="eastAsia"/>
          <w:sz w:val="24"/>
        </w:rPr>
        <w:t>年度经营情况及趋势的判断，亦不构成任何盈利预测及承诺事项。投资者不应据此进行投资决策，投资者据此进行投资决策造成损失的，公司不承担赔偿责任。</w:t>
      </w:r>
    </w:p>
    <w:p w14:paraId="03C54C85" w14:textId="77777777" w:rsidR="007D0267" w:rsidRDefault="00000000">
      <w:pPr>
        <w:autoSpaceDE w:val="0"/>
        <w:autoSpaceDN w:val="0"/>
        <w:adjustRightInd w:val="0"/>
        <w:spacing w:line="360" w:lineRule="auto"/>
        <w:ind w:firstLineChars="200" w:firstLine="482"/>
        <w:rPr>
          <w:b/>
          <w:bCs/>
          <w:sz w:val="24"/>
        </w:rPr>
      </w:pPr>
      <w:bookmarkStart w:id="1" w:name="_Hlk132665950"/>
      <w:bookmarkEnd w:id="0"/>
      <w:r>
        <w:rPr>
          <w:rFonts w:hint="eastAsia"/>
          <w:b/>
          <w:bCs/>
          <w:sz w:val="24"/>
        </w:rPr>
        <w:t>（二）对公司每股收益及加权平均净资产收益率的影响</w:t>
      </w:r>
    </w:p>
    <w:p w14:paraId="43154DAD" w14:textId="77777777" w:rsidR="007D0267" w:rsidRDefault="00000000">
      <w:pPr>
        <w:autoSpaceDE w:val="0"/>
        <w:autoSpaceDN w:val="0"/>
        <w:adjustRightInd w:val="0"/>
        <w:spacing w:line="360" w:lineRule="auto"/>
        <w:ind w:firstLineChars="200" w:firstLine="480"/>
        <w:rPr>
          <w:sz w:val="24"/>
        </w:rPr>
      </w:pPr>
      <w:r>
        <w:rPr>
          <w:rFonts w:hint="eastAsia"/>
          <w:sz w:val="24"/>
        </w:rPr>
        <w:t>基于上述假设，公司测算了本次发行摊薄即期回报对每股收益的影响，具体情况如下</w:t>
      </w:r>
      <w:r>
        <w:rPr>
          <w:rFonts w:hint="eastAsia"/>
          <w:sz w:val="24"/>
        </w:rPr>
        <w:t>:</w:t>
      </w:r>
    </w:p>
    <w:tbl>
      <w:tblPr>
        <w:tblW w:w="1158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blLook w:val="0000" w:firstRow="0" w:lastRow="0" w:firstColumn="0" w:lastColumn="0" w:noHBand="0" w:noVBand="0"/>
      </w:tblPr>
      <w:tblGrid>
        <w:gridCol w:w="2917"/>
        <w:gridCol w:w="1873"/>
        <w:gridCol w:w="2266"/>
        <w:gridCol w:w="10"/>
        <w:gridCol w:w="2256"/>
        <w:gridCol w:w="2266"/>
      </w:tblGrid>
      <w:tr w:rsidR="007D0267" w14:paraId="1110A62F" w14:textId="77777777">
        <w:trPr>
          <w:trHeight w:val="397"/>
          <w:tblHeader/>
          <w:jc w:val="center"/>
        </w:trPr>
        <w:tc>
          <w:tcPr>
            <w:tcW w:w="2917" w:type="dxa"/>
            <w:vMerge w:val="restart"/>
            <w:shd w:val="clear" w:color="auto" w:fill="D9D9D9"/>
            <w:vAlign w:val="center"/>
          </w:tcPr>
          <w:p w14:paraId="2351CB01" w14:textId="77777777" w:rsidR="007D0267" w:rsidRDefault="00000000">
            <w:pPr>
              <w:jc w:val="center"/>
              <w:rPr>
                <w:rFonts w:cs="宋体"/>
                <w:b/>
                <w:bCs/>
                <w:color w:val="000000"/>
                <w:kern w:val="0"/>
                <w:szCs w:val="21"/>
              </w:rPr>
            </w:pPr>
            <w:bookmarkStart w:id="2" w:name="_Hlk132666045"/>
            <w:r>
              <w:rPr>
                <w:rFonts w:cs="宋体" w:hint="eastAsia"/>
                <w:b/>
                <w:bCs/>
                <w:color w:val="000000"/>
                <w:kern w:val="0"/>
                <w:szCs w:val="21"/>
              </w:rPr>
              <w:t>项目</w:t>
            </w:r>
          </w:p>
        </w:tc>
        <w:tc>
          <w:tcPr>
            <w:tcW w:w="1873" w:type="dxa"/>
            <w:vMerge w:val="restart"/>
            <w:shd w:val="clear" w:color="auto" w:fill="D9D9D9"/>
            <w:vAlign w:val="center"/>
          </w:tcPr>
          <w:p w14:paraId="13E5A116" w14:textId="77777777" w:rsidR="007D0267" w:rsidRDefault="00000000">
            <w:pPr>
              <w:jc w:val="center"/>
              <w:rPr>
                <w:b/>
                <w:bCs/>
                <w:color w:val="000000"/>
                <w:kern w:val="0"/>
                <w:szCs w:val="21"/>
              </w:rPr>
            </w:pPr>
            <w:r>
              <w:rPr>
                <w:b/>
                <w:bCs/>
                <w:color w:val="000000"/>
                <w:kern w:val="0"/>
                <w:szCs w:val="21"/>
              </w:rPr>
              <w:t>2022</w:t>
            </w:r>
            <w:r>
              <w:rPr>
                <w:rFonts w:hint="eastAsia"/>
                <w:b/>
                <w:bCs/>
                <w:color w:val="000000"/>
                <w:kern w:val="0"/>
                <w:szCs w:val="21"/>
              </w:rPr>
              <w:t>年度</w:t>
            </w:r>
            <w:r>
              <w:rPr>
                <w:b/>
                <w:bCs/>
                <w:color w:val="000000"/>
                <w:kern w:val="0"/>
                <w:szCs w:val="21"/>
              </w:rPr>
              <w:t>/2022</w:t>
            </w:r>
            <w:r>
              <w:rPr>
                <w:rFonts w:hint="eastAsia"/>
                <w:b/>
                <w:bCs/>
                <w:color w:val="000000"/>
                <w:kern w:val="0"/>
                <w:szCs w:val="21"/>
              </w:rPr>
              <w:t>年</w:t>
            </w:r>
            <w:r>
              <w:rPr>
                <w:b/>
                <w:bCs/>
                <w:color w:val="000000"/>
                <w:kern w:val="0"/>
                <w:szCs w:val="21"/>
              </w:rPr>
              <w:t>12</w:t>
            </w:r>
            <w:r>
              <w:rPr>
                <w:rFonts w:hint="eastAsia"/>
                <w:b/>
                <w:bCs/>
                <w:color w:val="000000"/>
                <w:kern w:val="0"/>
                <w:szCs w:val="21"/>
              </w:rPr>
              <w:t>月</w:t>
            </w:r>
            <w:r>
              <w:rPr>
                <w:b/>
                <w:bCs/>
                <w:color w:val="000000"/>
                <w:kern w:val="0"/>
                <w:szCs w:val="21"/>
              </w:rPr>
              <w:t>31</w:t>
            </w:r>
            <w:r>
              <w:rPr>
                <w:rFonts w:hint="eastAsia"/>
                <w:b/>
                <w:bCs/>
                <w:color w:val="000000"/>
                <w:kern w:val="0"/>
                <w:szCs w:val="21"/>
              </w:rPr>
              <w:t>日</w:t>
            </w:r>
          </w:p>
        </w:tc>
        <w:tc>
          <w:tcPr>
            <w:tcW w:w="2276" w:type="dxa"/>
            <w:gridSpan w:val="2"/>
            <w:vMerge w:val="restart"/>
            <w:shd w:val="clear" w:color="auto" w:fill="D9D9D9"/>
            <w:vAlign w:val="center"/>
          </w:tcPr>
          <w:p w14:paraId="6B61738D" w14:textId="77777777" w:rsidR="007D0267" w:rsidRDefault="00000000">
            <w:pPr>
              <w:rPr>
                <w:b/>
                <w:bCs/>
                <w:color w:val="000000"/>
                <w:kern w:val="0"/>
                <w:szCs w:val="21"/>
              </w:rPr>
            </w:pPr>
            <w:r>
              <w:rPr>
                <w:b/>
                <w:bCs/>
                <w:color w:val="000000"/>
                <w:kern w:val="0"/>
                <w:szCs w:val="21"/>
              </w:rPr>
              <w:t>2023</w:t>
            </w:r>
            <w:r>
              <w:rPr>
                <w:rFonts w:hint="eastAsia"/>
                <w:b/>
                <w:bCs/>
                <w:color w:val="000000"/>
                <w:kern w:val="0"/>
                <w:szCs w:val="21"/>
              </w:rPr>
              <w:t>年度</w:t>
            </w:r>
            <w:r>
              <w:rPr>
                <w:b/>
                <w:bCs/>
                <w:color w:val="000000"/>
                <w:kern w:val="0"/>
                <w:szCs w:val="21"/>
              </w:rPr>
              <w:t>/2023</w:t>
            </w:r>
            <w:r>
              <w:rPr>
                <w:rFonts w:hint="eastAsia"/>
                <w:b/>
                <w:bCs/>
                <w:color w:val="000000"/>
                <w:kern w:val="0"/>
                <w:szCs w:val="21"/>
              </w:rPr>
              <w:t>年</w:t>
            </w:r>
            <w:r>
              <w:rPr>
                <w:b/>
                <w:bCs/>
                <w:color w:val="000000"/>
                <w:kern w:val="0"/>
                <w:szCs w:val="21"/>
              </w:rPr>
              <w:t>12</w:t>
            </w:r>
            <w:r>
              <w:rPr>
                <w:rFonts w:hint="eastAsia"/>
                <w:b/>
                <w:bCs/>
                <w:color w:val="000000"/>
                <w:kern w:val="0"/>
                <w:szCs w:val="21"/>
              </w:rPr>
              <w:t>月</w:t>
            </w:r>
            <w:r>
              <w:rPr>
                <w:b/>
                <w:bCs/>
                <w:color w:val="000000"/>
                <w:kern w:val="0"/>
                <w:szCs w:val="21"/>
              </w:rPr>
              <w:t>31</w:t>
            </w:r>
            <w:r>
              <w:rPr>
                <w:rFonts w:hint="eastAsia"/>
                <w:b/>
                <w:bCs/>
                <w:color w:val="000000"/>
                <w:kern w:val="0"/>
                <w:szCs w:val="21"/>
              </w:rPr>
              <w:t>日</w:t>
            </w:r>
          </w:p>
        </w:tc>
        <w:tc>
          <w:tcPr>
            <w:tcW w:w="4522" w:type="dxa"/>
            <w:gridSpan w:val="2"/>
            <w:shd w:val="clear" w:color="auto" w:fill="D9D9D9"/>
            <w:vAlign w:val="center"/>
          </w:tcPr>
          <w:p w14:paraId="149AC8A9" w14:textId="77777777" w:rsidR="007D0267" w:rsidRDefault="00000000">
            <w:pPr>
              <w:widowControl/>
              <w:jc w:val="center"/>
              <w:rPr>
                <w:b/>
                <w:bCs/>
                <w:color w:val="000000"/>
                <w:kern w:val="0"/>
                <w:szCs w:val="21"/>
              </w:rPr>
            </w:pPr>
            <w:r>
              <w:rPr>
                <w:b/>
                <w:bCs/>
                <w:color w:val="000000"/>
                <w:kern w:val="0"/>
                <w:szCs w:val="21"/>
              </w:rPr>
              <w:t>2024</w:t>
            </w:r>
            <w:r>
              <w:rPr>
                <w:rFonts w:hint="eastAsia"/>
                <w:b/>
                <w:bCs/>
                <w:color w:val="000000"/>
                <w:kern w:val="0"/>
                <w:szCs w:val="21"/>
              </w:rPr>
              <w:t>年度</w:t>
            </w:r>
            <w:r>
              <w:rPr>
                <w:rFonts w:hint="eastAsia"/>
                <w:b/>
                <w:bCs/>
                <w:color w:val="000000"/>
                <w:kern w:val="0"/>
                <w:szCs w:val="21"/>
              </w:rPr>
              <w:t>/</w:t>
            </w:r>
            <w:r>
              <w:rPr>
                <w:b/>
                <w:bCs/>
                <w:color w:val="000000"/>
                <w:kern w:val="0"/>
                <w:szCs w:val="21"/>
              </w:rPr>
              <w:t>2024</w:t>
            </w:r>
            <w:r>
              <w:rPr>
                <w:rFonts w:hint="eastAsia"/>
                <w:b/>
                <w:bCs/>
                <w:color w:val="000000"/>
                <w:kern w:val="0"/>
                <w:szCs w:val="21"/>
              </w:rPr>
              <w:t>年</w:t>
            </w:r>
            <w:r>
              <w:rPr>
                <w:b/>
                <w:bCs/>
                <w:color w:val="000000"/>
                <w:kern w:val="0"/>
                <w:szCs w:val="21"/>
              </w:rPr>
              <w:t>12</w:t>
            </w:r>
            <w:r>
              <w:rPr>
                <w:rFonts w:hint="eastAsia"/>
                <w:b/>
                <w:bCs/>
                <w:color w:val="000000"/>
                <w:kern w:val="0"/>
                <w:szCs w:val="21"/>
              </w:rPr>
              <w:t>月</w:t>
            </w:r>
            <w:r>
              <w:rPr>
                <w:b/>
                <w:bCs/>
                <w:color w:val="000000"/>
                <w:kern w:val="0"/>
                <w:szCs w:val="21"/>
              </w:rPr>
              <w:t>31</w:t>
            </w:r>
            <w:r>
              <w:rPr>
                <w:rFonts w:hint="eastAsia"/>
                <w:b/>
                <w:bCs/>
                <w:color w:val="000000"/>
                <w:kern w:val="0"/>
                <w:szCs w:val="21"/>
              </w:rPr>
              <w:t>日</w:t>
            </w:r>
          </w:p>
        </w:tc>
      </w:tr>
      <w:tr w:rsidR="007D0267" w14:paraId="2CFD3A42" w14:textId="77777777">
        <w:trPr>
          <w:trHeight w:val="397"/>
          <w:tblHeader/>
          <w:jc w:val="center"/>
        </w:trPr>
        <w:tc>
          <w:tcPr>
            <w:tcW w:w="2917" w:type="dxa"/>
            <w:vMerge/>
            <w:shd w:val="clear" w:color="auto" w:fill="D9D9D9"/>
            <w:vAlign w:val="center"/>
          </w:tcPr>
          <w:p w14:paraId="46C401AF" w14:textId="77777777" w:rsidR="007D0267" w:rsidRDefault="007D0267">
            <w:pPr>
              <w:widowControl/>
              <w:jc w:val="center"/>
              <w:rPr>
                <w:rFonts w:cs="宋体"/>
                <w:b/>
                <w:bCs/>
                <w:color w:val="000000"/>
                <w:kern w:val="0"/>
                <w:szCs w:val="21"/>
              </w:rPr>
            </w:pPr>
          </w:p>
        </w:tc>
        <w:tc>
          <w:tcPr>
            <w:tcW w:w="1873" w:type="dxa"/>
            <w:vMerge/>
            <w:shd w:val="clear" w:color="auto" w:fill="D9D9D9"/>
            <w:vAlign w:val="center"/>
          </w:tcPr>
          <w:p w14:paraId="688181A5" w14:textId="77777777" w:rsidR="007D0267" w:rsidRDefault="007D0267">
            <w:pPr>
              <w:widowControl/>
              <w:rPr>
                <w:b/>
                <w:bCs/>
                <w:color w:val="000000"/>
                <w:kern w:val="0"/>
                <w:szCs w:val="21"/>
              </w:rPr>
            </w:pPr>
          </w:p>
        </w:tc>
        <w:tc>
          <w:tcPr>
            <w:tcW w:w="2276" w:type="dxa"/>
            <w:gridSpan w:val="2"/>
            <w:vMerge/>
            <w:shd w:val="clear" w:color="auto" w:fill="D9D9D9"/>
            <w:vAlign w:val="center"/>
          </w:tcPr>
          <w:p w14:paraId="4B57866F" w14:textId="77777777" w:rsidR="007D0267" w:rsidRDefault="007D0267">
            <w:pPr>
              <w:widowControl/>
              <w:rPr>
                <w:b/>
                <w:bCs/>
                <w:color w:val="000000"/>
                <w:kern w:val="0"/>
                <w:szCs w:val="21"/>
              </w:rPr>
            </w:pPr>
          </w:p>
        </w:tc>
        <w:tc>
          <w:tcPr>
            <w:tcW w:w="2256" w:type="dxa"/>
            <w:shd w:val="clear" w:color="auto" w:fill="D9D9D9"/>
            <w:vAlign w:val="center"/>
          </w:tcPr>
          <w:p w14:paraId="77CD34F3" w14:textId="77777777" w:rsidR="007D0267" w:rsidRDefault="00000000">
            <w:pPr>
              <w:widowControl/>
              <w:jc w:val="center"/>
              <w:rPr>
                <w:b/>
                <w:bCs/>
                <w:color w:val="000000"/>
                <w:kern w:val="0"/>
                <w:szCs w:val="21"/>
              </w:rPr>
            </w:pPr>
            <w:r>
              <w:rPr>
                <w:b/>
                <w:bCs/>
                <w:color w:val="000000"/>
                <w:kern w:val="0"/>
                <w:szCs w:val="21"/>
              </w:rPr>
              <w:t>2024</w:t>
            </w:r>
            <w:r>
              <w:rPr>
                <w:rFonts w:hint="eastAsia"/>
                <w:b/>
                <w:bCs/>
                <w:color w:val="000000"/>
                <w:kern w:val="0"/>
                <w:szCs w:val="21"/>
              </w:rPr>
              <w:t>年</w:t>
            </w:r>
            <w:r>
              <w:rPr>
                <w:b/>
                <w:bCs/>
                <w:color w:val="000000"/>
                <w:kern w:val="0"/>
                <w:szCs w:val="21"/>
              </w:rPr>
              <w:t>6</w:t>
            </w:r>
            <w:r>
              <w:rPr>
                <w:rFonts w:hint="eastAsia"/>
                <w:b/>
                <w:bCs/>
                <w:color w:val="000000"/>
                <w:kern w:val="0"/>
                <w:szCs w:val="21"/>
              </w:rPr>
              <w:t>月</w:t>
            </w:r>
            <w:r>
              <w:rPr>
                <w:b/>
                <w:bCs/>
                <w:color w:val="000000"/>
                <w:kern w:val="0"/>
                <w:szCs w:val="21"/>
              </w:rPr>
              <w:t>30</w:t>
            </w:r>
            <w:r>
              <w:rPr>
                <w:rFonts w:hint="eastAsia"/>
                <w:b/>
                <w:bCs/>
                <w:color w:val="000000"/>
                <w:kern w:val="0"/>
                <w:szCs w:val="21"/>
              </w:rPr>
              <w:t>日全部转股</w:t>
            </w:r>
          </w:p>
        </w:tc>
        <w:tc>
          <w:tcPr>
            <w:tcW w:w="2266" w:type="dxa"/>
            <w:shd w:val="clear" w:color="auto" w:fill="D9D9D9"/>
            <w:vAlign w:val="center"/>
          </w:tcPr>
          <w:p w14:paraId="16754C4F" w14:textId="77777777" w:rsidR="007D0267" w:rsidRDefault="00000000">
            <w:pPr>
              <w:widowControl/>
              <w:jc w:val="center"/>
              <w:rPr>
                <w:b/>
                <w:bCs/>
                <w:color w:val="000000"/>
                <w:kern w:val="0"/>
                <w:szCs w:val="21"/>
              </w:rPr>
            </w:pPr>
            <w:r>
              <w:rPr>
                <w:b/>
                <w:bCs/>
                <w:color w:val="000000"/>
                <w:kern w:val="0"/>
                <w:szCs w:val="21"/>
              </w:rPr>
              <w:t>2024</w:t>
            </w:r>
            <w:r>
              <w:rPr>
                <w:rFonts w:hint="eastAsia"/>
                <w:b/>
                <w:bCs/>
                <w:color w:val="000000"/>
                <w:kern w:val="0"/>
                <w:szCs w:val="21"/>
              </w:rPr>
              <w:t>年</w:t>
            </w:r>
            <w:r>
              <w:rPr>
                <w:b/>
                <w:bCs/>
                <w:color w:val="000000"/>
                <w:kern w:val="0"/>
                <w:szCs w:val="21"/>
              </w:rPr>
              <w:t>12</w:t>
            </w:r>
            <w:r>
              <w:rPr>
                <w:rFonts w:hint="eastAsia"/>
                <w:b/>
                <w:bCs/>
                <w:color w:val="000000"/>
                <w:kern w:val="0"/>
                <w:szCs w:val="21"/>
              </w:rPr>
              <w:t>月</w:t>
            </w:r>
            <w:r>
              <w:rPr>
                <w:b/>
                <w:bCs/>
                <w:color w:val="000000"/>
                <w:kern w:val="0"/>
                <w:szCs w:val="21"/>
              </w:rPr>
              <w:t>31</w:t>
            </w:r>
            <w:r>
              <w:rPr>
                <w:rFonts w:hint="eastAsia"/>
                <w:b/>
                <w:bCs/>
                <w:color w:val="000000"/>
                <w:kern w:val="0"/>
                <w:szCs w:val="21"/>
              </w:rPr>
              <w:t>日全部未转股</w:t>
            </w:r>
          </w:p>
        </w:tc>
      </w:tr>
      <w:tr w:rsidR="007D0267" w14:paraId="4AAA7C09" w14:textId="77777777">
        <w:trPr>
          <w:trHeight w:val="397"/>
          <w:jc w:val="center"/>
        </w:trPr>
        <w:tc>
          <w:tcPr>
            <w:tcW w:w="2917" w:type="dxa"/>
            <w:shd w:val="clear" w:color="auto" w:fill="FFFFFF"/>
            <w:vAlign w:val="center"/>
          </w:tcPr>
          <w:p w14:paraId="09B0BB5D" w14:textId="77777777" w:rsidR="007D0267" w:rsidRDefault="00000000">
            <w:pPr>
              <w:widowControl/>
              <w:jc w:val="left"/>
              <w:rPr>
                <w:rFonts w:cs="宋体"/>
                <w:color w:val="000000"/>
                <w:kern w:val="0"/>
                <w:szCs w:val="21"/>
              </w:rPr>
            </w:pPr>
            <w:r>
              <w:rPr>
                <w:rFonts w:cs="宋体" w:hint="eastAsia"/>
                <w:color w:val="000000"/>
                <w:kern w:val="0"/>
                <w:szCs w:val="21"/>
              </w:rPr>
              <w:t>总股本（股）</w:t>
            </w:r>
          </w:p>
        </w:tc>
        <w:tc>
          <w:tcPr>
            <w:tcW w:w="1873" w:type="dxa"/>
            <w:shd w:val="clear" w:color="auto" w:fill="FFFFFF"/>
            <w:vAlign w:val="center"/>
          </w:tcPr>
          <w:p w14:paraId="5C1099E7" w14:textId="77777777" w:rsidR="007D0267" w:rsidRDefault="00000000">
            <w:pPr>
              <w:widowControl/>
              <w:jc w:val="right"/>
              <w:rPr>
                <w:rFonts w:eastAsia="等线"/>
                <w:color w:val="000000"/>
                <w:sz w:val="20"/>
                <w:szCs w:val="20"/>
                <w:highlight w:val="yellow"/>
              </w:rPr>
            </w:pPr>
            <w:r>
              <w:t>168,877,148</w:t>
            </w:r>
          </w:p>
        </w:tc>
        <w:tc>
          <w:tcPr>
            <w:tcW w:w="2266" w:type="dxa"/>
            <w:shd w:val="clear" w:color="auto" w:fill="FFFFFF"/>
            <w:vAlign w:val="center"/>
          </w:tcPr>
          <w:p w14:paraId="03ED18D3" w14:textId="77777777" w:rsidR="007D0267" w:rsidRDefault="00000000">
            <w:pPr>
              <w:widowControl/>
              <w:jc w:val="right"/>
              <w:rPr>
                <w:rFonts w:eastAsia="等线"/>
                <w:color w:val="000000"/>
                <w:kern w:val="0"/>
                <w:sz w:val="20"/>
                <w:szCs w:val="20"/>
                <w:highlight w:val="yellow"/>
              </w:rPr>
            </w:pPr>
            <w:r>
              <w:t>168,877,148</w:t>
            </w:r>
          </w:p>
        </w:tc>
        <w:tc>
          <w:tcPr>
            <w:tcW w:w="2266" w:type="dxa"/>
            <w:gridSpan w:val="2"/>
            <w:shd w:val="clear" w:color="auto" w:fill="FFFFFF"/>
            <w:vAlign w:val="center"/>
          </w:tcPr>
          <w:p w14:paraId="39DE0B54" w14:textId="77777777" w:rsidR="007D0267" w:rsidRDefault="00000000">
            <w:pPr>
              <w:jc w:val="right"/>
              <w:rPr>
                <w:rFonts w:eastAsia="等线"/>
                <w:color w:val="000000"/>
                <w:sz w:val="20"/>
                <w:szCs w:val="20"/>
                <w:highlight w:val="yellow"/>
              </w:rPr>
            </w:pPr>
            <w:r>
              <w:t>192,454,437</w:t>
            </w:r>
          </w:p>
        </w:tc>
        <w:tc>
          <w:tcPr>
            <w:tcW w:w="2266" w:type="dxa"/>
            <w:shd w:val="clear" w:color="auto" w:fill="FFFFFF"/>
            <w:vAlign w:val="center"/>
          </w:tcPr>
          <w:p w14:paraId="16656398" w14:textId="77777777" w:rsidR="007D0267" w:rsidRDefault="00000000">
            <w:pPr>
              <w:jc w:val="right"/>
              <w:rPr>
                <w:rFonts w:eastAsia="等线"/>
                <w:color w:val="000000"/>
                <w:sz w:val="20"/>
                <w:szCs w:val="20"/>
                <w:highlight w:val="yellow"/>
              </w:rPr>
            </w:pPr>
            <w:r>
              <w:t>168,877,148</w:t>
            </w:r>
          </w:p>
        </w:tc>
      </w:tr>
      <w:tr w:rsidR="007D0267" w14:paraId="0B5B508C" w14:textId="77777777">
        <w:trPr>
          <w:trHeight w:val="397"/>
          <w:jc w:val="center"/>
        </w:trPr>
        <w:tc>
          <w:tcPr>
            <w:tcW w:w="11588" w:type="dxa"/>
            <w:gridSpan w:val="6"/>
            <w:shd w:val="clear" w:color="auto" w:fill="FFFFFF"/>
            <w:vAlign w:val="center"/>
          </w:tcPr>
          <w:p w14:paraId="0965397E" w14:textId="77777777" w:rsidR="007D0267" w:rsidRDefault="00000000">
            <w:pPr>
              <w:widowControl/>
              <w:rPr>
                <w:rFonts w:cs="宋体"/>
                <w:b/>
                <w:bCs/>
                <w:color w:val="000000"/>
                <w:kern w:val="0"/>
                <w:szCs w:val="21"/>
              </w:rPr>
            </w:pPr>
            <w:r>
              <w:rPr>
                <w:rFonts w:cs="宋体" w:hint="eastAsia"/>
                <w:b/>
                <w:bCs/>
                <w:color w:val="000000"/>
                <w:kern w:val="0"/>
                <w:szCs w:val="21"/>
              </w:rPr>
              <w:t>假设</w:t>
            </w:r>
            <w:r>
              <w:rPr>
                <w:rFonts w:cs="宋体" w:hint="eastAsia"/>
                <w:b/>
                <w:bCs/>
                <w:color w:val="000000"/>
                <w:kern w:val="0"/>
                <w:szCs w:val="21"/>
              </w:rPr>
              <w:t>1</w:t>
            </w:r>
            <w:r>
              <w:rPr>
                <w:rFonts w:cs="宋体" w:hint="eastAsia"/>
                <w:b/>
                <w:bCs/>
                <w:color w:val="000000"/>
                <w:kern w:val="0"/>
                <w:szCs w:val="21"/>
              </w:rPr>
              <w:t>：假设</w:t>
            </w:r>
            <w:r>
              <w:rPr>
                <w:rFonts w:cs="宋体" w:hint="eastAsia"/>
                <w:b/>
                <w:bCs/>
                <w:color w:val="000000"/>
                <w:kern w:val="0"/>
                <w:szCs w:val="21"/>
              </w:rPr>
              <w:t>202</w:t>
            </w:r>
            <w:r>
              <w:rPr>
                <w:rFonts w:cs="宋体"/>
                <w:b/>
                <w:bCs/>
                <w:color w:val="000000"/>
                <w:kern w:val="0"/>
                <w:szCs w:val="21"/>
              </w:rPr>
              <w:t>4</w:t>
            </w:r>
            <w:r>
              <w:rPr>
                <w:rFonts w:cs="宋体" w:hint="eastAsia"/>
                <w:b/>
                <w:bCs/>
                <w:color w:val="000000"/>
                <w:kern w:val="0"/>
                <w:szCs w:val="21"/>
              </w:rPr>
              <w:t>年度扣除非经常性损益前</w:t>
            </w:r>
            <w:r>
              <w:rPr>
                <w:rFonts w:cs="宋体" w:hint="eastAsia"/>
                <w:b/>
                <w:bCs/>
                <w:color w:val="000000"/>
                <w:kern w:val="0"/>
                <w:szCs w:val="21"/>
              </w:rPr>
              <w:t>/</w:t>
            </w:r>
            <w:r>
              <w:rPr>
                <w:rFonts w:cs="宋体" w:hint="eastAsia"/>
                <w:b/>
                <w:bCs/>
                <w:color w:val="000000"/>
                <w:kern w:val="0"/>
                <w:szCs w:val="21"/>
              </w:rPr>
              <w:t>后归属于母公司股东的净利润同比下降</w:t>
            </w:r>
            <w:r>
              <w:rPr>
                <w:rFonts w:cs="宋体" w:hint="eastAsia"/>
                <w:b/>
                <w:bCs/>
                <w:color w:val="000000"/>
                <w:kern w:val="0"/>
                <w:szCs w:val="21"/>
              </w:rPr>
              <w:t>15%</w:t>
            </w:r>
          </w:p>
        </w:tc>
      </w:tr>
      <w:tr w:rsidR="007D0267" w14:paraId="6A205578" w14:textId="77777777">
        <w:trPr>
          <w:trHeight w:val="397"/>
          <w:jc w:val="center"/>
        </w:trPr>
        <w:tc>
          <w:tcPr>
            <w:tcW w:w="2917" w:type="dxa"/>
            <w:shd w:val="clear" w:color="auto" w:fill="FFFFFF"/>
            <w:vAlign w:val="center"/>
          </w:tcPr>
          <w:p w14:paraId="492DC00F" w14:textId="77777777" w:rsidR="007D0267" w:rsidRDefault="00000000">
            <w:pPr>
              <w:widowControl/>
              <w:jc w:val="left"/>
              <w:rPr>
                <w:rFonts w:cs="宋体"/>
                <w:color w:val="000000"/>
                <w:kern w:val="0"/>
                <w:szCs w:val="21"/>
              </w:rPr>
            </w:pPr>
            <w:r>
              <w:rPr>
                <w:rFonts w:hint="eastAsia"/>
                <w:szCs w:val="21"/>
              </w:rPr>
              <w:t>归属于母公司股东的净利润</w:t>
            </w:r>
            <w:r>
              <w:rPr>
                <w:rFonts w:cs="宋体" w:hint="eastAsia"/>
                <w:color w:val="000000"/>
                <w:kern w:val="0"/>
                <w:szCs w:val="21"/>
              </w:rPr>
              <w:t>（元）</w:t>
            </w:r>
          </w:p>
        </w:tc>
        <w:tc>
          <w:tcPr>
            <w:tcW w:w="1873" w:type="dxa"/>
            <w:shd w:val="clear" w:color="auto" w:fill="FFFFFF"/>
            <w:vAlign w:val="center"/>
          </w:tcPr>
          <w:p w14:paraId="7B2DD7F0" w14:textId="77777777" w:rsidR="007D0267" w:rsidRDefault="00000000">
            <w:pPr>
              <w:widowControl/>
              <w:jc w:val="right"/>
              <w:rPr>
                <w:rFonts w:eastAsia="等线"/>
                <w:color w:val="000000"/>
                <w:sz w:val="20"/>
                <w:szCs w:val="20"/>
                <w:highlight w:val="yellow"/>
              </w:rPr>
            </w:pPr>
            <w:r>
              <w:t>136,205,068.76</w:t>
            </w:r>
          </w:p>
        </w:tc>
        <w:tc>
          <w:tcPr>
            <w:tcW w:w="2266" w:type="dxa"/>
            <w:shd w:val="clear" w:color="auto" w:fill="FFFFFF"/>
            <w:vAlign w:val="center"/>
          </w:tcPr>
          <w:p w14:paraId="28C1FFE2" w14:textId="77777777" w:rsidR="007D0267" w:rsidRDefault="00000000">
            <w:pPr>
              <w:widowControl/>
              <w:jc w:val="right"/>
              <w:rPr>
                <w:rFonts w:eastAsia="等线"/>
                <w:color w:val="000000"/>
                <w:kern w:val="0"/>
                <w:sz w:val="20"/>
                <w:szCs w:val="20"/>
                <w:highlight w:val="yellow"/>
              </w:rPr>
            </w:pPr>
            <w:r>
              <w:t xml:space="preserve">115,774,308.45 </w:t>
            </w:r>
          </w:p>
        </w:tc>
        <w:tc>
          <w:tcPr>
            <w:tcW w:w="2266" w:type="dxa"/>
            <w:gridSpan w:val="2"/>
            <w:shd w:val="clear" w:color="auto" w:fill="FFFFFF"/>
            <w:vAlign w:val="center"/>
          </w:tcPr>
          <w:p w14:paraId="358257F2" w14:textId="77777777" w:rsidR="007D0267" w:rsidRDefault="00000000">
            <w:pPr>
              <w:jc w:val="right"/>
              <w:rPr>
                <w:rFonts w:eastAsia="等线"/>
                <w:color w:val="000000"/>
                <w:sz w:val="20"/>
                <w:szCs w:val="20"/>
                <w:highlight w:val="yellow"/>
              </w:rPr>
            </w:pPr>
            <w:r>
              <w:rPr>
                <w:rFonts w:eastAsia="等线"/>
                <w:color w:val="000000"/>
                <w:sz w:val="20"/>
                <w:szCs w:val="20"/>
              </w:rPr>
              <w:t>98,408,162.18</w:t>
            </w:r>
          </w:p>
        </w:tc>
        <w:tc>
          <w:tcPr>
            <w:tcW w:w="2266" w:type="dxa"/>
            <w:shd w:val="clear" w:color="auto" w:fill="FFFFFF"/>
            <w:vAlign w:val="center"/>
          </w:tcPr>
          <w:p w14:paraId="6474A665" w14:textId="77777777" w:rsidR="007D0267" w:rsidRDefault="00000000">
            <w:pPr>
              <w:jc w:val="right"/>
              <w:rPr>
                <w:rFonts w:eastAsia="等线"/>
                <w:color w:val="000000"/>
                <w:sz w:val="20"/>
                <w:szCs w:val="20"/>
                <w:highlight w:val="yellow"/>
              </w:rPr>
            </w:pPr>
            <w:r>
              <w:t xml:space="preserve">98,408,162.18 </w:t>
            </w:r>
          </w:p>
        </w:tc>
      </w:tr>
      <w:tr w:rsidR="007D0267" w14:paraId="1352B649" w14:textId="77777777">
        <w:trPr>
          <w:trHeight w:val="397"/>
          <w:jc w:val="center"/>
        </w:trPr>
        <w:tc>
          <w:tcPr>
            <w:tcW w:w="2917" w:type="dxa"/>
            <w:shd w:val="clear" w:color="auto" w:fill="FFFFFF"/>
            <w:vAlign w:val="center"/>
          </w:tcPr>
          <w:p w14:paraId="757BC232" w14:textId="77777777" w:rsidR="007D0267" w:rsidRDefault="00000000">
            <w:pPr>
              <w:widowControl/>
              <w:jc w:val="left"/>
              <w:rPr>
                <w:rFonts w:cs="宋体"/>
                <w:color w:val="000000"/>
                <w:kern w:val="0"/>
                <w:szCs w:val="21"/>
              </w:rPr>
            </w:pPr>
            <w:r>
              <w:rPr>
                <w:rFonts w:cs="宋体" w:hint="eastAsia"/>
                <w:color w:val="000000"/>
                <w:kern w:val="0"/>
                <w:szCs w:val="21"/>
              </w:rPr>
              <w:t>扣除非经常性损益后</w:t>
            </w:r>
            <w:r>
              <w:rPr>
                <w:rFonts w:hint="eastAsia"/>
                <w:szCs w:val="21"/>
              </w:rPr>
              <w:t>归属于母公司股东的净利润</w:t>
            </w:r>
            <w:r>
              <w:rPr>
                <w:rFonts w:cs="宋体" w:hint="eastAsia"/>
                <w:color w:val="000000"/>
                <w:kern w:val="0"/>
                <w:szCs w:val="21"/>
              </w:rPr>
              <w:t>（元）</w:t>
            </w:r>
          </w:p>
        </w:tc>
        <w:tc>
          <w:tcPr>
            <w:tcW w:w="1873" w:type="dxa"/>
            <w:shd w:val="clear" w:color="auto" w:fill="FFFFFF"/>
            <w:vAlign w:val="center"/>
          </w:tcPr>
          <w:p w14:paraId="27D5DDB2" w14:textId="77777777" w:rsidR="007D0267" w:rsidRDefault="00000000">
            <w:pPr>
              <w:jc w:val="right"/>
              <w:rPr>
                <w:rFonts w:eastAsia="等线"/>
                <w:color w:val="000000"/>
                <w:sz w:val="20"/>
                <w:szCs w:val="20"/>
                <w:highlight w:val="yellow"/>
              </w:rPr>
            </w:pPr>
            <w:r>
              <w:t>97,939,171.27</w:t>
            </w:r>
          </w:p>
        </w:tc>
        <w:tc>
          <w:tcPr>
            <w:tcW w:w="2266" w:type="dxa"/>
            <w:shd w:val="clear" w:color="auto" w:fill="FFFFFF"/>
            <w:vAlign w:val="center"/>
          </w:tcPr>
          <w:p w14:paraId="52A6ADEF" w14:textId="77777777" w:rsidR="007D0267" w:rsidRDefault="00000000">
            <w:pPr>
              <w:jc w:val="right"/>
              <w:rPr>
                <w:rFonts w:eastAsia="等线"/>
                <w:color w:val="000000"/>
                <w:sz w:val="20"/>
                <w:szCs w:val="20"/>
                <w:highlight w:val="yellow"/>
              </w:rPr>
            </w:pPr>
            <w:r>
              <w:t xml:space="preserve">83,248,295.58 </w:t>
            </w:r>
          </w:p>
        </w:tc>
        <w:tc>
          <w:tcPr>
            <w:tcW w:w="2266" w:type="dxa"/>
            <w:gridSpan w:val="2"/>
            <w:shd w:val="clear" w:color="auto" w:fill="FFFFFF"/>
            <w:vAlign w:val="center"/>
          </w:tcPr>
          <w:p w14:paraId="5F6B9379" w14:textId="77777777" w:rsidR="007D0267" w:rsidRDefault="00000000">
            <w:pPr>
              <w:jc w:val="right"/>
              <w:rPr>
                <w:rFonts w:eastAsia="等线"/>
                <w:color w:val="000000"/>
                <w:sz w:val="20"/>
                <w:szCs w:val="20"/>
                <w:highlight w:val="yellow"/>
              </w:rPr>
            </w:pPr>
            <w:r>
              <w:rPr>
                <w:rFonts w:eastAsia="等线"/>
                <w:color w:val="000000"/>
                <w:sz w:val="20"/>
                <w:szCs w:val="20"/>
              </w:rPr>
              <w:t>70,761,051.24</w:t>
            </w:r>
          </w:p>
        </w:tc>
        <w:tc>
          <w:tcPr>
            <w:tcW w:w="2266" w:type="dxa"/>
            <w:shd w:val="clear" w:color="auto" w:fill="FFFFFF"/>
            <w:vAlign w:val="center"/>
          </w:tcPr>
          <w:p w14:paraId="3D056724" w14:textId="77777777" w:rsidR="007D0267" w:rsidRDefault="00000000">
            <w:pPr>
              <w:jc w:val="right"/>
              <w:rPr>
                <w:rFonts w:eastAsia="等线"/>
                <w:color w:val="000000"/>
                <w:sz w:val="20"/>
                <w:szCs w:val="20"/>
                <w:highlight w:val="yellow"/>
              </w:rPr>
            </w:pPr>
            <w:r>
              <w:t xml:space="preserve">70,761,051.24 </w:t>
            </w:r>
          </w:p>
        </w:tc>
      </w:tr>
      <w:tr w:rsidR="007D0267" w14:paraId="06B4B372" w14:textId="77777777">
        <w:trPr>
          <w:trHeight w:val="397"/>
          <w:jc w:val="center"/>
        </w:trPr>
        <w:tc>
          <w:tcPr>
            <w:tcW w:w="2917" w:type="dxa"/>
            <w:shd w:val="clear" w:color="auto" w:fill="FFFFFF"/>
            <w:vAlign w:val="center"/>
          </w:tcPr>
          <w:p w14:paraId="6727B8B4" w14:textId="77777777" w:rsidR="007D0267" w:rsidRDefault="00000000">
            <w:pPr>
              <w:widowControl/>
              <w:jc w:val="left"/>
              <w:rPr>
                <w:rFonts w:cs="宋体"/>
                <w:color w:val="000000"/>
                <w:kern w:val="0"/>
                <w:szCs w:val="21"/>
              </w:rPr>
            </w:pPr>
            <w:r>
              <w:rPr>
                <w:rFonts w:cs="宋体" w:hint="eastAsia"/>
                <w:color w:val="000000"/>
                <w:kern w:val="0"/>
                <w:szCs w:val="21"/>
              </w:rPr>
              <w:t>归属于母公司所有者权益（元）</w:t>
            </w:r>
          </w:p>
        </w:tc>
        <w:tc>
          <w:tcPr>
            <w:tcW w:w="1873" w:type="dxa"/>
            <w:shd w:val="clear" w:color="auto" w:fill="FFFFFF"/>
            <w:vAlign w:val="center"/>
          </w:tcPr>
          <w:p w14:paraId="79E5B557" w14:textId="77777777" w:rsidR="007D0267" w:rsidRDefault="00000000">
            <w:pPr>
              <w:jc w:val="right"/>
              <w:rPr>
                <w:rFonts w:eastAsia="等线"/>
                <w:color w:val="000000"/>
                <w:sz w:val="20"/>
                <w:szCs w:val="20"/>
                <w:highlight w:val="yellow"/>
              </w:rPr>
            </w:pPr>
            <w:r>
              <w:t>733,889,514.15</w:t>
            </w:r>
          </w:p>
        </w:tc>
        <w:tc>
          <w:tcPr>
            <w:tcW w:w="2266" w:type="dxa"/>
            <w:shd w:val="clear" w:color="auto" w:fill="FFFFFF"/>
            <w:vAlign w:val="center"/>
          </w:tcPr>
          <w:p w14:paraId="7C6AD6A5" w14:textId="77777777" w:rsidR="007D0267" w:rsidRDefault="00000000">
            <w:pPr>
              <w:jc w:val="right"/>
              <w:rPr>
                <w:rFonts w:eastAsia="等线"/>
                <w:color w:val="000000"/>
                <w:sz w:val="20"/>
                <w:szCs w:val="20"/>
                <w:highlight w:val="yellow"/>
              </w:rPr>
            </w:pPr>
            <w:r>
              <w:t xml:space="preserve">799,000,678.20 </w:t>
            </w:r>
          </w:p>
        </w:tc>
        <w:tc>
          <w:tcPr>
            <w:tcW w:w="2266" w:type="dxa"/>
            <w:gridSpan w:val="2"/>
            <w:shd w:val="clear" w:color="auto" w:fill="FFFFFF"/>
            <w:vAlign w:val="center"/>
          </w:tcPr>
          <w:p w14:paraId="29B96484" w14:textId="77777777" w:rsidR="007D0267" w:rsidRDefault="00000000">
            <w:pPr>
              <w:jc w:val="right"/>
              <w:rPr>
                <w:rFonts w:eastAsia="等线"/>
                <w:color w:val="000000"/>
                <w:sz w:val="20"/>
                <w:szCs w:val="20"/>
                <w:highlight w:val="yellow"/>
              </w:rPr>
            </w:pPr>
            <w:r>
              <w:rPr>
                <w:rFonts w:eastAsia="等线"/>
                <w:color w:val="000000"/>
                <w:sz w:val="20"/>
                <w:szCs w:val="20"/>
              </w:rPr>
              <w:t>1,219,238,840.38</w:t>
            </w:r>
          </w:p>
        </w:tc>
        <w:tc>
          <w:tcPr>
            <w:tcW w:w="2266" w:type="dxa"/>
            <w:shd w:val="clear" w:color="auto" w:fill="FFFFFF"/>
            <w:vAlign w:val="center"/>
          </w:tcPr>
          <w:p w14:paraId="4851D712" w14:textId="77777777" w:rsidR="007D0267" w:rsidRDefault="00000000">
            <w:pPr>
              <w:jc w:val="right"/>
              <w:rPr>
                <w:rFonts w:eastAsia="等线"/>
                <w:color w:val="000000"/>
                <w:sz w:val="20"/>
                <w:szCs w:val="20"/>
                <w:highlight w:val="yellow"/>
              </w:rPr>
            </w:pPr>
            <w:r>
              <w:t xml:space="preserve">897,408,840.38 </w:t>
            </w:r>
          </w:p>
        </w:tc>
      </w:tr>
      <w:tr w:rsidR="007D0267" w14:paraId="44E80996" w14:textId="77777777">
        <w:trPr>
          <w:trHeight w:val="397"/>
          <w:jc w:val="center"/>
        </w:trPr>
        <w:tc>
          <w:tcPr>
            <w:tcW w:w="2917" w:type="dxa"/>
            <w:shd w:val="clear" w:color="auto" w:fill="FFFFFF"/>
            <w:vAlign w:val="center"/>
          </w:tcPr>
          <w:p w14:paraId="5D54D116" w14:textId="77777777" w:rsidR="007D0267" w:rsidRDefault="00000000">
            <w:pPr>
              <w:widowControl/>
              <w:jc w:val="left"/>
              <w:rPr>
                <w:rFonts w:cs="宋体"/>
                <w:color w:val="000000"/>
                <w:kern w:val="0"/>
                <w:szCs w:val="21"/>
              </w:rPr>
            </w:pPr>
            <w:r>
              <w:rPr>
                <w:rFonts w:cs="宋体" w:hint="eastAsia"/>
                <w:color w:val="000000"/>
                <w:kern w:val="0"/>
                <w:szCs w:val="21"/>
              </w:rPr>
              <w:t>基本每股收益（元</w:t>
            </w:r>
            <w:r>
              <w:rPr>
                <w:color w:val="000000"/>
                <w:kern w:val="0"/>
                <w:szCs w:val="21"/>
              </w:rPr>
              <w:t>/</w:t>
            </w:r>
            <w:r>
              <w:rPr>
                <w:rFonts w:cs="宋体" w:hint="eastAsia"/>
                <w:color w:val="000000"/>
                <w:kern w:val="0"/>
                <w:szCs w:val="21"/>
              </w:rPr>
              <w:t>股）</w:t>
            </w:r>
          </w:p>
        </w:tc>
        <w:tc>
          <w:tcPr>
            <w:tcW w:w="1873" w:type="dxa"/>
            <w:shd w:val="clear" w:color="auto" w:fill="FFFFFF"/>
            <w:vAlign w:val="center"/>
          </w:tcPr>
          <w:p w14:paraId="19E62D6F" w14:textId="77777777" w:rsidR="007D0267" w:rsidRDefault="00000000">
            <w:pPr>
              <w:jc w:val="right"/>
              <w:rPr>
                <w:rFonts w:eastAsia="等线"/>
                <w:color w:val="000000"/>
                <w:sz w:val="20"/>
                <w:szCs w:val="20"/>
                <w:highlight w:val="yellow"/>
              </w:rPr>
            </w:pPr>
            <w:r>
              <w:t>0.81</w:t>
            </w:r>
          </w:p>
        </w:tc>
        <w:tc>
          <w:tcPr>
            <w:tcW w:w="2266" w:type="dxa"/>
            <w:shd w:val="clear" w:color="auto" w:fill="FFFFFF"/>
            <w:vAlign w:val="center"/>
          </w:tcPr>
          <w:p w14:paraId="2E69B924" w14:textId="77777777" w:rsidR="007D0267" w:rsidRDefault="00000000">
            <w:pPr>
              <w:jc w:val="right"/>
              <w:rPr>
                <w:rFonts w:eastAsia="等线"/>
                <w:color w:val="000000"/>
                <w:sz w:val="20"/>
                <w:szCs w:val="20"/>
                <w:highlight w:val="yellow"/>
              </w:rPr>
            </w:pPr>
            <w:r>
              <w:t xml:space="preserve">0.69 </w:t>
            </w:r>
          </w:p>
        </w:tc>
        <w:tc>
          <w:tcPr>
            <w:tcW w:w="2266" w:type="dxa"/>
            <w:gridSpan w:val="2"/>
            <w:shd w:val="clear" w:color="auto" w:fill="FFFFFF"/>
            <w:vAlign w:val="center"/>
          </w:tcPr>
          <w:p w14:paraId="28F06E4D" w14:textId="77777777" w:rsidR="007D0267" w:rsidRDefault="00000000">
            <w:pPr>
              <w:jc w:val="right"/>
              <w:rPr>
                <w:rFonts w:eastAsia="等线"/>
                <w:color w:val="000000"/>
                <w:sz w:val="20"/>
                <w:szCs w:val="20"/>
                <w:highlight w:val="yellow"/>
              </w:rPr>
            </w:pPr>
            <w:r>
              <w:rPr>
                <w:rFonts w:eastAsia="等线"/>
                <w:color w:val="000000"/>
                <w:sz w:val="20"/>
                <w:szCs w:val="20"/>
              </w:rPr>
              <w:t>0.54</w:t>
            </w:r>
          </w:p>
        </w:tc>
        <w:tc>
          <w:tcPr>
            <w:tcW w:w="2266" w:type="dxa"/>
            <w:shd w:val="clear" w:color="auto" w:fill="FFFFFF"/>
            <w:vAlign w:val="center"/>
          </w:tcPr>
          <w:p w14:paraId="2AC439BE" w14:textId="77777777" w:rsidR="007D0267" w:rsidRDefault="00000000">
            <w:pPr>
              <w:jc w:val="right"/>
              <w:rPr>
                <w:rFonts w:eastAsia="等线"/>
                <w:color w:val="000000"/>
                <w:sz w:val="20"/>
                <w:szCs w:val="20"/>
                <w:highlight w:val="yellow"/>
              </w:rPr>
            </w:pPr>
            <w:r>
              <w:t xml:space="preserve">0.58 </w:t>
            </w:r>
          </w:p>
        </w:tc>
      </w:tr>
      <w:tr w:rsidR="007D0267" w14:paraId="2D8DA075" w14:textId="77777777">
        <w:trPr>
          <w:trHeight w:val="397"/>
          <w:jc w:val="center"/>
        </w:trPr>
        <w:tc>
          <w:tcPr>
            <w:tcW w:w="2917" w:type="dxa"/>
            <w:shd w:val="clear" w:color="auto" w:fill="FFFFFF"/>
            <w:vAlign w:val="center"/>
          </w:tcPr>
          <w:p w14:paraId="14C497FC" w14:textId="77777777" w:rsidR="007D0267" w:rsidRDefault="00000000">
            <w:pPr>
              <w:widowControl/>
              <w:jc w:val="left"/>
              <w:rPr>
                <w:rFonts w:cs="宋体"/>
                <w:color w:val="000000"/>
                <w:kern w:val="0"/>
                <w:szCs w:val="21"/>
              </w:rPr>
            </w:pPr>
            <w:r>
              <w:rPr>
                <w:rFonts w:cs="宋体" w:hint="eastAsia"/>
                <w:color w:val="000000"/>
                <w:kern w:val="0"/>
                <w:szCs w:val="21"/>
              </w:rPr>
              <w:t>稀释每股收益（元</w:t>
            </w:r>
            <w:r>
              <w:rPr>
                <w:color w:val="000000"/>
                <w:kern w:val="0"/>
                <w:szCs w:val="21"/>
              </w:rPr>
              <w:t>/</w:t>
            </w:r>
            <w:r>
              <w:rPr>
                <w:rFonts w:cs="宋体" w:hint="eastAsia"/>
                <w:color w:val="000000"/>
                <w:kern w:val="0"/>
                <w:szCs w:val="21"/>
              </w:rPr>
              <w:t>股）</w:t>
            </w:r>
          </w:p>
        </w:tc>
        <w:tc>
          <w:tcPr>
            <w:tcW w:w="1873" w:type="dxa"/>
            <w:shd w:val="clear" w:color="auto" w:fill="FFFFFF"/>
            <w:vAlign w:val="center"/>
          </w:tcPr>
          <w:p w14:paraId="550765E1" w14:textId="77777777" w:rsidR="007D0267" w:rsidRDefault="00000000">
            <w:pPr>
              <w:jc w:val="right"/>
              <w:rPr>
                <w:rFonts w:eastAsia="等线"/>
                <w:color w:val="000000"/>
                <w:sz w:val="20"/>
                <w:szCs w:val="20"/>
                <w:highlight w:val="yellow"/>
              </w:rPr>
            </w:pPr>
            <w:r>
              <w:t>0.80</w:t>
            </w:r>
          </w:p>
        </w:tc>
        <w:tc>
          <w:tcPr>
            <w:tcW w:w="2266" w:type="dxa"/>
            <w:shd w:val="clear" w:color="auto" w:fill="FFFFFF"/>
            <w:vAlign w:val="center"/>
          </w:tcPr>
          <w:p w14:paraId="17DC3F95" w14:textId="77777777" w:rsidR="007D0267" w:rsidRDefault="00000000">
            <w:pPr>
              <w:jc w:val="right"/>
              <w:rPr>
                <w:rFonts w:eastAsia="等线"/>
                <w:color w:val="000000"/>
                <w:sz w:val="20"/>
                <w:szCs w:val="20"/>
                <w:highlight w:val="yellow"/>
              </w:rPr>
            </w:pPr>
            <w:r>
              <w:t xml:space="preserve">0.69 </w:t>
            </w:r>
          </w:p>
        </w:tc>
        <w:tc>
          <w:tcPr>
            <w:tcW w:w="2266" w:type="dxa"/>
            <w:gridSpan w:val="2"/>
            <w:shd w:val="clear" w:color="auto" w:fill="FFFFFF"/>
            <w:vAlign w:val="center"/>
          </w:tcPr>
          <w:p w14:paraId="777FFE9C" w14:textId="77777777" w:rsidR="007D0267" w:rsidRDefault="00000000">
            <w:pPr>
              <w:jc w:val="right"/>
              <w:rPr>
                <w:rFonts w:eastAsia="等线"/>
                <w:color w:val="000000"/>
                <w:sz w:val="20"/>
                <w:szCs w:val="20"/>
                <w:highlight w:val="yellow"/>
              </w:rPr>
            </w:pPr>
            <w:r>
              <w:rPr>
                <w:rFonts w:eastAsia="等线"/>
                <w:color w:val="000000"/>
                <w:sz w:val="20"/>
                <w:szCs w:val="20"/>
              </w:rPr>
              <w:t>0.51</w:t>
            </w:r>
          </w:p>
        </w:tc>
        <w:tc>
          <w:tcPr>
            <w:tcW w:w="2266" w:type="dxa"/>
            <w:shd w:val="clear" w:color="auto" w:fill="FFFFFF"/>
            <w:vAlign w:val="center"/>
          </w:tcPr>
          <w:p w14:paraId="04578B74" w14:textId="77777777" w:rsidR="007D0267" w:rsidRDefault="00000000">
            <w:pPr>
              <w:jc w:val="right"/>
              <w:rPr>
                <w:rFonts w:eastAsia="等线"/>
                <w:color w:val="000000"/>
                <w:sz w:val="20"/>
                <w:szCs w:val="20"/>
                <w:highlight w:val="yellow"/>
              </w:rPr>
            </w:pPr>
            <w:r>
              <w:t xml:space="preserve">0.51 </w:t>
            </w:r>
          </w:p>
        </w:tc>
      </w:tr>
      <w:tr w:rsidR="007D0267" w14:paraId="3C4B8414" w14:textId="77777777">
        <w:trPr>
          <w:trHeight w:val="397"/>
          <w:jc w:val="center"/>
        </w:trPr>
        <w:tc>
          <w:tcPr>
            <w:tcW w:w="2917" w:type="dxa"/>
            <w:shd w:val="clear" w:color="auto" w:fill="FFFFFF"/>
            <w:vAlign w:val="center"/>
          </w:tcPr>
          <w:p w14:paraId="2D516EA3" w14:textId="77777777" w:rsidR="007D0267" w:rsidRDefault="00000000">
            <w:pPr>
              <w:widowControl/>
              <w:jc w:val="left"/>
              <w:rPr>
                <w:rFonts w:cs="宋体"/>
                <w:color w:val="000000"/>
                <w:kern w:val="0"/>
                <w:szCs w:val="21"/>
              </w:rPr>
            </w:pPr>
            <w:r>
              <w:rPr>
                <w:rFonts w:cs="宋体" w:hint="eastAsia"/>
                <w:color w:val="000000"/>
                <w:kern w:val="0"/>
                <w:szCs w:val="21"/>
              </w:rPr>
              <w:t>扣除非经常性损益后基本每股收益（元</w:t>
            </w:r>
            <w:r>
              <w:rPr>
                <w:color w:val="000000"/>
                <w:kern w:val="0"/>
                <w:szCs w:val="21"/>
              </w:rPr>
              <w:t>/</w:t>
            </w:r>
            <w:r>
              <w:rPr>
                <w:rFonts w:cs="宋体" w:hint="eastAsia"/>
                <w:color w:val="000000"/>
                <w:kern w:val="0"/>
                <w:szCs w:val="21"/>
              </w:rPr>
              <w:t>股）</w:t>
            </w:r>
          </w:p>
        </w:tc>
        <w:tc>
          <w:tcPr>
            <w:tcW w:w="1873" w:type="dxa"/>
            <w:shd w:val="clear" w:color="auto" w:fill="FFFFFF"/>
            <w:vAlign w:val="center"/>
          </w:tcPr>
          <w:p w14:paraId="280E3DA8" w14:textId="77777777" w:rsidR="007D0267" w:rsidRDefault="00000000">
            <w:pPr>
              <w:jc w:val="right"/>
              <w:rPr>
                <w:rFonts w:eastAsia="等线"/>
                <w:color w:val="000000"/>
                <w:sz w:val="20"/>
                <w:szCs w:val="20"/>
                <w:highlight w:val="yellow"/>
              </w:rPr>
            </w:pPr>
            <w:r>
              <w:t>0.58</w:t>
            </w:r>
          </w:p>
        </w:tc>
        <w:tc>
          <w:tcPr>
            <w:tcW w:w="2266" w:type="dxa"/>
            <w:shd w:val="clear" w:color="auto" w:fill="FFFFFF"/>
            <w:vAlign w:val="center"/>
          </w:tcPr>
          <w:p w14:paraId="456012B9" w14:textId="77777777" w:rsidR="007D0267" w:rsidRDefault="00000000">
            <w:pPr>
              <w:jc w:val="right"/>
              <w:rPr>
                <w:rFonts w:eastAsia="等线"/>
                <w:color w:val="000000"/>
                <w:sz w:val="20"/>
                <w:szCs w:val="20"/>
                <w:highlight w:val="yellow"/>
              </w:rPr>
            </w:pPr>
            <w:r>
              <w:t xml:space="preserve">0.49 </w:t>
            </w:r>
          </w:p>
        </w:tc>
        <w:tc>
          <w:tcPr>
            <w:tcW w:w="2266" w:type="dxa"/>
            <w:gridSpan w:val="2"/>
            <w:shd w:val="clear" w:color="auto" w:fill="FFFFFF"/>
            <w:vAlign w:val="center"/>
          </w:tcPr>
          <w:p w14:paraId="11BB21FF" w14:textId="77777777" w:rsidR="007D0267" w:rsidRDefault="00000000">
            <w:pPr>
              <w:jc w:val="right"/>
              <w:rPr>
                <w:rFonts w:eastAsia="等线"/>
                <w:color w:val="000000"/>
                <w:sz w:val="20"/>
                <w:szCs w:val="20"/>
                <w:highlight w:val="yellow"/>
              </w:rPr>
            </w:pPr>
            <w:r>
              <w:rPr>
                <w:rFonts w:eastAsia="等线"/>
                <w:color w:val="000000"/>
                <w:sz w:val="20"/>
                <w:szCs w:val="20"/>
              </w:rPr>
              <w:t>0.39</w:t>
            </w:r>
          </w:p>
        </w:tc>
        <w:tc>
          <w:tcPr>
            <w:tcW w:w="2266" w:type="dxa"/>
            <w:shd w:val="clear" w:color="auto" w:fill="FFFFFF"/>
            <w:vAlign w:val="center"/>
          </w:tcPr>
          <w:p w14:paraId="5313DE7F" w14:textId="77777777" w:rsidR="007D0267" w:rsidRDefault="00000000">
            <w:pPr>
              <w:jc w:val="right"/>
              <w:rPr>
                <w:rFonts w:eastAsia="等线"/>
                <w:color w:val="000000"/>
                <w:sz w:val="20"/>
                <w:szCs w:val="20"/>
                <w:highlight w:val="yellow"/>
              </w:rPr>
            </w:pPr>
            <w:r>
              <w:t xml:space="preserve">0.42 </w:t>
            </w:r>
          </w:p>
        </w:tc>
      </w:tr>
      <w:tr w:rsidR="007D0267" w14:paraId="4A5967A1" w14:textId="77777777">
        <w:trPr>
          <w:trHeight w:val="397"/>
          <w:jc w:val="center"/>
        </w:trPr>
        <w:tc>
          <w:tcPr>
            <w:tcW w:w="2917" w:type="dxa"/>
            <w:shd w:val="clear" w:color="auto" w:fill="FFFFFF"/>
            <w:vAlign w:val="center"/>
          </w:tcPr>
          <w:p w14:paraId="3816DA38" w14:textId="77777777" w:rsidR="007D0267" w:rsidRDefault="00000000">
            <w:pPr>
              <w:widowControl/>
              <w:jc w:val="left"/>
              <w:rPr>
                <w:rFonts w:cs="宋体"/>
                <w:color w:val="000000"/>
                <w:kern w:val="0"/>
                <w:szCs w:val="21"/>
              </w:rPr>
            </w:pPr>
            <w:r>
              <w:rPr>
                <w:rFonts w:cs="宋体" w:hint="eastAsia"/>
                <w:color w:val="000000"/>
                <w:kern w:val="0"/>
                <w:szCs w:val="21"/>
              </w:rPr>
              <w:t>扣除非经常性损益后稀释每股收益（元</w:t>
            </w:r>
            <w:r>
              <w:rPr>
                <w:color w:val="000000"/>
                <w:kern w:val="0"/>
                <w:szCs w:val="21"/>
              </w:rPr>
              <w:t>/</w:t>
            </w:r>
            <w:r>
              <w:rPr>
                <w:rFonts w:cs="宋体" w:hint="eastAsia"/>
                <w:color w:val="000000"/>
                <w:kern w:val="0"/>
                <w:szCs w:val="21"/>
              </w:rPr>
              <w:t>股）</w:t>
            </w:r>
          </w:p>
        </w:tc>
        <w:tc>
          <w:tcPr>
            <w:tcW w:w="1873" w:type="dxa"/>
            <w:shd w:val="clear" w:color="auto" w:fill="FFFFFF"/>
            <w:vAlign w:val="center"/>
          </w:tcPr>
          <w:p w14:paraId="5FBE5FD9" w14:textId="77777777" w:rsidR="007D0267" w:rsidRDefault="00000000">
            <w:pPr>
              <w:jc w:val="right"/>
              <w:rPr>
                <w:rFonts w:eastAsia="等线"/>
                <w:color w:val="000000"/>
                <w:sz w:val="20"/>
                <w:szCs w:val="20"/>
                <w:highlight w:val="yellow"/>
              </w:rPr>
            </w:pPr>
            <w:r>
              <w:t>0.58</w:t>
            </w:r>
          </w:p>
        </w:tc>
        <w:tc>
          <w:tcPr>
            <w:tcW w:w="2266" w:type="dxa"/>
            <w:shd w:val="clear" w:color="auto" w:fill="FFFFFF"/>
            <w:vAlign w:val="center"/>
          </w:tcPr>
          <w:p w14:paraId="256FE8F1" w14:textId="77777777" w:rsidR="007D0267" w:rsidRDefault="00000000">
            <w:pPr>
              <w:jc w:val="right"/>
              <w:rPr>
                <w:rFonts w:eastAsia="等线"/>
                <w:color w:val="000000"/>
                <w:sz w:val="20"/>
                <w:szCs w:val="20"/>
                <w:highlight w:val="yellow"/>
              </w:rPr>
            </w:pPr>
            <w:r>
              <w:t xml:space="preserve">0.49 </w:t>
            </w:r>
          </w:p>
        </w:tc>
        <w:tc>
          <w:tcPr>
            <w:tcW w:w="2266" w:type="dxa"/>
            <w:gridSpan w:val="2"/>
            <w:shd w:val="clear" w:color="auto" w:fill="FFFFFF"/>
            <w:vAlign w:val="center"/>
          </w:tcPr>
          <w:p w14:paraId="5148289C" w14:textId="77777777" w:rsidR="007D0267" w:rsidRDefault="00000000">
            <w:pPr>
              <w:jc w:val="right"/>
              <w:rPr>
                <w:rFonts w:eastAsia="等线"/>
                <w:color w:val="000000"/>
                <w:sz w:val="20"/>
                <w:szCs w:val="20"/>
                <w:highlight w:val="yellow"/>
              </w:rPr>
            </w:pPr>
            <w:r>
              <w:rPr>
                <w:rFonts w:eastAsia="等线"/>
                <w:color w:val="000000"/>
                <w:sz w:val="20"/>
                <w:szCs w:val="20"/>
              </w:rPr>
              <w:t>0.37</w:t>
            </w:r>
          </w:p>
        </w:tc>
        <w:tc>
          <w:tcPr>
            <w:tcW w:w="2266" w:type="dxa"/>
            <w:shd w:val="clear" w:color="auto" w:fill="FFFFFF"/>
            <w:vAlign w:val="center"/>
          </w:tcPr>
          <w:p w14:paraId="584AD850" w14:textId="77777777" w:rsidR="007D0267" w:rsidRDefault="00000000">
            <w:pPr>
              <w:jc w:val="right"/>
              <w:rPr>
                <w:rFonts w:eastAsia="等线"/>
                <w:color w:val="000000"/>
                <w:sz w:val="20"/>
                <w:szCs w:val="20"/>
                <w:highlight w:val="yellow"/>
              </w:rPr>
            </w:pPr>
            <w:r>
              <w:t xml:space="preserve">0.37 </w:t>
            </w:r>
          </w:p>
        </w:tc>
      </w:tr>
      <w:tr w:rsidR="007D0267" w14:paraId="396A1FC7" w14:textId="77777777">
        <w:trPr>
          <w:trHeight w:val="397"/>
          <w:jc w:val="center"/>
        </w:trPr>
        <w:tc>
          <w:tcPr>
            <w:tcW w:w="2917" w:type="dxa"/>
            <w:shd w:val="clear" w:color="auto" w:fill="FFFFFF"/>
            <w:vAlign w:val="center"/>
          </w:tcPr>
          <w:p w14:paraId="62E95AE9" w14:textId="77777777" w:rsidR="007D0267" w:rsidRDefault="00000000">
            <w:pPr>
              <w:widowControl/>
              <w:jc w:val="left"/>
              <w:rPr>
                <w:rFonts w:cs="宋体"/>
                <w:color w:val="000000"/>
                <w:kern w:val="0"/>
                <w:szCs w:val="21"/>
              </w:rPr>
            </w:pPr>
            <w:r>
              <w:rPr>
                <w:rFonts w:cs="宋体" w:hint="eastAsia"/>
                <w:color w:val="000000"/>
                <w:kern w:val="0"/>
                <w:szCs w:val="21"/>
              </w:rPr>
              <w:t>加权平均净资产收益率</w:t>
            </w:r>
          </w:p>
        </w:tc>
        <w:tc>
          <w:tcPr>
            <w:tcW w:w="1873" w:type="dxa"/>
            <w:shd w:val="clear" w:color="auto" w:fill="FFFFFF"/>
            <w:vAlign w:val="center"/>
          </w:tcPr>
          <w:p w14:paraId="2D518B2A" w14:textId="77777777" w:rsidR="007D0267" w:rsidRDefault="00000000">
            <w:pPr>
              <w:jc w:val="right"/>
              <w:rPr>
                <w:rFonts w:eastAsia="等线"/>
                <w:color w:val="000000"/>
                <w:sz w:val="20"/>
                <w:szCs w:val="20"/>
                <w:highlight w:val="yellow"/>
              </w:rPr>
            </w:pPr>
            <w:r>
              <w:t>19.94%</w:t>
            </w:r>
          </w:p>
        </w:tc>
        <w:tc>
          <w:tcPr>
            <w:tcW w:w="2266" w:type="dxa"/>
            <w:shd w:val="clear" w:color="auto" w:fill="FFFFFF"/>
            <w:vAlign w:val="center"/>
          </w:tcPr>
          <w:p w14:paraId="2C54A107" w14:textId="77777777" w:rsidR="007D0267" w:rsidRDefault="00000000">
            <w:pPr>
              <w:jc w:val="right"/>
              <w:rPr>
                <w:rFonts w:eastAsia="等线"/>
                <w:color w:val="000000"/>
                <w:sz w:val="20"/>
                <w:szCs w:val="20"/>
                <w:highlight w:val="yellow"/>
              </w:rPr>
            </w:pPr>
            <w:r>
              <w:t>15.11%</w:t>
            </w:r>
          </w:p>
        </w:tc>
        <w:tc>
          <w:tcPr>
            <w:tcW w:w="2266" w:type="dxa"/>
            <w:gridSpan w:val="2"/>
            <w:shd w:val="clear" w:color="auto" w:fill="FFFFFF"/>
            <w:vAlign w:val="center"/>
          </w:tcPr>
          <w:p w14:paraId="45B24A0E" w14:textId="77777777" w:rsidR="007D0267" w:rsidRDefault="00000000">
            <w:pPr>
              <w:jc w:val="right"/>
              <w:rPr>
                <w:rFonts w:eastAsia="等线"/>
                <w:color w:val="000000"/>
                <w:sz w:val="20"/>
                <w:szCs w:val="20"/>
                <w:highlight w:val="yellow"/>
              </w:rPr>
            </w:pPr>
            <w:r>
              <w:rPr>
                <w:rFonts w:eastAsia="等线"/>
                <w:color w:val="000000"/>
                <w:sz w:val="20"/>
                <w:szCs w:val="20"/>
              </w:rPr>
              <w:t>9.75%</w:t>
            </w:r>
          </w:p>
        </w:tc>
        <w:tc>
          <w:tcPr>
            <w:tcW w:w="2266" w:type="dxa"/>
            <w:shd w:val="clear" w:color="auto" w:fill="FFFFFF"/>
            <w:vAlign w:val="center"/>
          </w:tcPr>
          <w:p w14:paraId="63CFE3FC" w14:textId="77777777" w:rsidR="007D0267" w:rsidRDefault="00000000">
            <w:pPr>
              <w:jc w:val="right"/>
              <w:rPr>
                <w:rFonts w:eastAsia="等线"/>
                <w:color w:val="000000"/>
                <w:sz w:val="20"/>
                <w:szCs w:val="20"/>
                <w:highlight w:val="yellow"/>
              </w:rPr>
            </w:pPr>
            <w:r>
              <w:t>11.60%</w:t>
            </w:r>
          </w:p>
        </w:tc>
      </w:tr>
      <w:tr w:rsidR="007D0267" w14:paraId="07808D65" w14:textId="77777777">
        <w:trPr>
          <w:trHeight w:val="397"/>
          <w:jc w:val="center"/>
        </w:trPr>
        <w:tc>
          <w:tcPr>
            <w:tcW w:w="2917" w:type="dxa"/>
            <w:shd w:val="clear" w:color="auto" w:fill="FFFFFF"/>
            <w:vAlign w:val="center"/>
          </w:tcPr>
          <w:p w14:paraId="3751D7FB" w14:textId="77777777" w:rsidR="007D0267" w:rsidRDefault="00000000">
            <w:pPr>
              <w:widowControl/>
              <w:jc w:val="left"/>
              <w:rPr>
                <w:rFonts w:cs="宋体"/>
                <w:color w:val="000000"/>
                <w:kern w:val="0"/>
                <w:szCs w:val="21"/>
              </w:rPr>
            </w:pPr>
            <w:r>
              <w:rPr>
                <w:rFonts w:cs="宋体" w:hint="eastAsia"/>
                <w:color w:val="000000"/>
                <w:kern w:val="0"/>
                <w:szCs w:val="21"/>
              </w:rPr>
              <w:t>扣除非经常性损益后加权平均净资产收益率</w:t>
            </w:r>
          </w:p>
        </w:tc>
        <w:tc>
          <w:tcPr>
            <w:tcW w:w="1873" w:type="dxa"/>
            <w:shd w:val="clear" w:color="auto" w:fill="FFFFFF"/>
            <w:vAlign w:val="center"/>
          </w:tcPr>
          <w:p w14:paraId="59D784FC" w14:textId="77777777" w:rsidR="007D0267" w:rsidRDefault="00000000">
            <w:pPr>
              <w:jc w:val="right"/>
              <w:rPr>
                <w:rFonts w:eastAsia="等线"/>
                <w:color w:val="000000"/>
                <w:sz w:val="20"/>
                <w:szCs w:val="20"/>
                <w:highlight w:val="yellow"/>
              </w:rPr>
            </w:pPr>
            <w:r>
              <w:t>14.34%</w:t>
            </w:r>
          </w:p>
        </w:tc>
        <w:tc>
          <w:tcPr>
            <w:tcW w:w="2266" w:type="dxa"/>
            <w:shd w:val="clear" w:color="auto" w:fill="FFFFFF"/>
            <w:vAlign w:val="center"/>
          </w:tcPr>
          <w:p w14:paraId="3C15985B" w14:textId="77777777" w:rsidR="007D0267" w:rsidRDefault="00000000">
            <w:pPr>
              <w:jc w:val="right"/>
              <w:rPr>
                <w:rFonts w:eastAsia="等线"/>
                <w:color w:val="000000"/>
                <w:sz w:val="20"/>
                <w:szCs w:val="20"/>
                <w:highlight w:val="yellow"/>
              </w:rPr>
            </w:pPr>
            <w:r>
              <w:t>10.86%</w:t>
            </w:r>
          </w:p>
        </w:tc>
        <w:tc>
          <w:tcPr>
            <w:tcW w:w="2266" w:type="dxa"/>
            <w:gridSpan w:val="2"/>
            <w:shd w:val="clear" w:color="auto" w:fill="FFFFFF"/>
            <w:vAlign w:val="center"/>
          </w:tcPr>
          <w:p w14:paraId="2382A89D" w14:textId="77777777" w:rsidR="007D0267" w:rsidRDefault="00000000">
            <w:pPr>
              <w:jc w:val="right"/>
              <w:rPr>
                <w:rFonts w:eastAsia="等线"/>
                <w:color w:val="000000"/>
                <w:sz w:val="20"/>
                <w:szCs w:val="20"/>
                <w:highlight w:val="yellow"/>
              </w:rPr>
            </w:pPr>
            <w:r>
              <w:rPr>
                <w:rFonts w:eastAsia="等线"/>
                <w:color w:val="000000"/>
                <w:sz w:val="20"/>
                <w:szCs w:val="20"/>
              </w:rPr>
              <w:t>7.01%</w:t>
            </w:r>
          </w:p>
        </w:tc>
        <w:tc>
          <w:tcPr>
            <w:tcW w:w="2266" w:type="dxa"/>
            <w:shd w:val="clear" w:color="auto" w:fill="FFFFFF"/>
            <w:vAlign w:val="center"/>
          </w:tcPr>
          <w:p w14:paraId="668B426F" w14:textId="77777777" w:rsidR="007D0267" w:rsidRDefault="00000000">
            <w:pPr>
              <w:jc w:val="right"/>
              <w:rPr>
                <w:rFonts w:eastAsia="等线"/>
                <w:color w:val="000000"/>
                <w:sz w:val="20"/>
                <w:szCs w:val="20"/>
                <w:highlight w:val="yellow"/>
              </w:rPr>
            </w:pPr>
            <w:r>
              <w:t>8.34%</w:t>
            </w:r>
          </w:p>
        </w:tc>
      </w:tr>
      <w:tr w:rsidR="007D0267" w14:paraId="15888FF5" w14:textId="77777777">
        <w:trPr>
          <w:trHeight w:val="397"/>
          <w:jc w:val="center"/>
        </w:trPr>
        <w:tc>
          <w:tcPr>
            <w:tcW w:w="11588" w:type="dxa"/>
            <w:gridSpan w:val="6"/>
            <w:shd w:val="clear" w:color="auto" w:fill="FFFFFF"/>
            <w:vAlign w:val="center"/>
          </w:tcPr>
          <w:p w14:paraId="69BD12D6" w14:textId="77777777" w:rsidR="007D0267" w:rsidRDefault="00000000">
            <w:pPr>
              <w:widowControl/>
              <w:rPr>
                <w:rFonts w:cs="宋体"/>
                <w:b/>
                <w:bCs/>
                <w:color w:val="000000"/>
                <w:kern w:val="0"/>
                <w:szCs w:val="21"/>
              </w:rPr>
            </w:pPr>
            <w:r>
              <w:rPr>
                <w:rFonts w:cs="宋体" w:hint="eastAsia"/>
                <w:b/>
                <w:bCs/>
                <w:color w:val="000000"/>
                <w:kern w:val="0"/>
                <w:szCs w:val="21"/>
              </w:rPr>
              <w:t>假设</w:t>
            </w:r>
            <w:r>
              <w:rPr>
                <w:rFonts w:cs="宋体"/>
                <w:b/>
                <w:bCs/>
                <w:color w:val="000000"/>
                <w:kern w:val="0"/>
                <w:szCs w:val="21"/>
              </w:rPr>
              <w:t>2</w:t>
            </w:r>
            <w:r>
              <w:rPr>
                <w:rFonts w:cs="宋体" w:hint="eastAsia"/>
                <w:b/>
                <w:bCs/>
                <w:color w:val="000000"/>
                <w:kern w:val="0"/>
                <w:szCs w:val="21"/>
              </w:rPr>
              <w:t>：假设</w:t>
            </w:r>
            <w:r>
              <w:rPr>
                <w:rFonts w:cs="宋体" w:hint="eastAsia"/>
                <w:b/>
                <w:bCs/>
                <w:color w:val="000000"/>
                <w:kern w:val="0"/>
                <w:szCs w:val="21"/>
              </w:rPr>
              <w:t>2023</w:t>
            </w:r>
            <w:r>
              <w:rPr>
                <w:rFonts w:cs="宋体" w:hint="eastAsia"/>
                <w:b/>
                <w:bCs/>
                <w:color w:val="000000"/>
                <w:kern w:val="0"/>
                <w:szCs w:val="21"/>
              </w:rPr>
              <w:t>年度扣除非经常性损益前</w:t>
            </w:r>
            <w:r>
              <w:rPr>
                <w:rFonts w:cs="宋体" w:hint="eastAsia"/>
                <w:b/>
                <w:bCs/>
                <w:color w:val="000000"/>
                <w:kern w:val="0"/>
                <w:szCs w:val="21"/>
              </w:rPr>
              <w:t>/</w:t>
            </w:r>
            <w:r>
              <w:rPr>
                <w:rFonts w:cs="宋体" w:hint="eastAsia"/>
                <w:b/>
                <w:bCs/>
                <w:color w:val="000000"/>
                <w:kern w:val="0"/>
                <w:szCs w:val="21"/>
              </w:rPr>
              <w:t>后归属于母公司股东的净利润同比持平</w:t>
            </w:r>
          </w:p>
        </w:tc>
      </w:tr>
      <w:tr w:rsidR="007D0267" w14:paraId="34A0CA2B" w14:textId="77777777">
        <w:trPr>
          <w:trHeight w:val="397"/>
          <w:jc w:val="center"/>
        </w:trPr>
        <w:tc>
          <w:tcPr>
            <w:tcW w:w="2917" w:type="dxa"/>
            <w:shd w:val="clear" w:color="auto" w:fill="FFFFFF"/>
            <w:vAlign w:val="center"/>
          </w:tcPr>
          <w:p w14:paraId="33077947" w14:textId="77777777" w:rsidR="007D0267" w:rsidRDefault="00000000">
            <w:pPr>
              <w:widowControl/>
              <w:jc w:val="left"/>
              <w:rPr>
                <w:rFonts w:cs="宋体"/>
                <w:color w:val="000000"/>
                <w:kern w:val="0"/>
                <w:szCs w:val="21"/>
              </w:rPr>
            </w:pPr>
            <w:r>
              <w:rPr>
                <w:rFonts w:hint="eastAsia"/>
                <w:szCs w:val="21"/>
              </w:rPr>
              <w:t>归属于母公司股东的净利润</w:t>
            </w:r>
            <w:r>
              <w:rPr>
                <w:rFonts w:cs="宋体" w:hint="eastAsia"/>
                <w:color w:val="000000"/>
                <w:kern w:val="0"/>
                <w:szCs w:val="21"/>
              </w:rPr>
              <w:t>（元）</w:t>
            </w:r>
          </w:p>
        </w:tc>
        <w:tc>
          <w:tcPr>
            <w:tcW w:w="1873" w:type="dxa"/>
            <w:shd w:val="clear" w:color="auto" w:fill="FFFFFF"/>
            <w:vAlign w:val="center"/>
          </w:tcPr>
          <w:p w14:paraId="40C47960" w14:textId="77777777" w:rsidR="007D0267" w:rsidRDefault="00000000">
            <w:pPr>
              <w:widowControl/>
              <w:jc w:val="right"/>
              <w:rPr>
                <w:rFonts w:eastAsia="等线"/>
                <w:color w:val="000000"/>
                <w:sz w:val="20"/>
                <w:szCs w:val="20"/>
                <w:highlight w:val="yellow"/>
              </w:rPr>
            </w:pPr>
            <w:r>
              <w:rPr>
                <w:rFonts w:eastAsia="等线"/>
                <w:color w:val="000000"/>
                <w:sz w:val="20"/>
                <w:szCs w:val="20"/>
              </w:rPr>
              <w:t>136,205,068.76</w:t>
            </w:r>
          </w:p>
        </w:tc>
        <w:tc>
          <w:tcPr>
            <w:tcW w:w="2266" w:type="dxa"/>
            <w:shd w:val="clear" w:color="auto" w:fill="FFFFFF"/>
            <w:vAlign w:val="center"/>
          </w:tcPr>
          <w:p w14:paraId="4C7136E2" w14:textId="77777777" w:rsidR="007D0267" w:rsidRDefault="00000000">
            <w:pPr>
              <w:widowControl/>
              <w:jc w:val="right"/>
              <w:rPr>
                <w:rFonts w:eastAsia="等线"/>
                <w:color w:val="000000"/>
                <w:kern w:val="0"/>
                <w:sz w:val="20"/>
                <w:szCs w:val="20"/>
                <w:highlight w:val="yellow"/>
              </w:rPr>
            </w:pPr>
            <w:r>
              <w:rPr>
                <w:rFonts w:eastAsia="等线"/>
                <w:color w:val="000000"/>
                <w:sz w:val="20"/>
                <w:szCs w:val="20"/>
              </w:rPr>
              <w:t xml:space="preserve">136,205,068.76 </w:t>
            </w:r>
          </w:p>
        </w:tc>
        <w:tc>
          <w:tcPr>
            <w:tcW w:w="2266" w:type="dxa"/>
            <w:gridSpan w:val="2"/>
            <w:shd w:val="clear" w:color="auto" w:fill="FFFFFF"/>
            <w:vAlign w:val="center"/>
          </w:tcPr>
          <w:p w14:paraId="2E53623B" w14:textId="77777777" w:rsidR="007D0267" w:rsidRDefault="00000000">
            <w:pPr>
              <w:jc w:val="right"/>
              <w:rPr>
                <w:rFonts w:eastAsia="等线"/>
                <w:color w:val="000000"/>
                <w:sz w:val="20"/>
                <w:szCs w:val="20"/>
                <w:highlight w:val="yellow"/>
              </w:rPr>
            </w:pPr>
            <w:r>
              <w:rPr>
                <w:rFonts w:eastAsia="等线"/>
                <w:color w:val="000000"/>
                <w:sz w:val="20"/>
                <w:szCs w:val="20"/>
              </w:rPr>
              <w:t>136,205,068.76</w:t>
            </w:r>
          </w:p>
        </w:tc>
        <w:tc>
          <w:tcPr>
            <w:tcW w:w="2266" w:type="dxa"/>
            <w:shd w:val="clear" w:color="auto" w:fill="FFFFFF"/>
            <w:vAlign w:val="center"/>
          </w:tcPr>
          <w:p w14:paraId="4FEC3B03" w14:textId="77777777" w:rsidR="007D0267" w:rsidRDefault="00000000">
            <w:pPr>
              <w:jc w:val="right"/>
              <w:rPr>
                <w:rFonts w:eastAsia="等线"/>
                <w:color w:val="000000"/>
                <w:sz w:val="20"/>
                <w:szCs w:val="20"/>
                <w:highlight w:val="yellow"/>
              </w:rPr>
            </w:pPr>
            <w:r>
              <w:rPr>
                <w:rFonts w:eastAsia="等线"/>
                <w:color w:val="000000"/>
                <w:sz w:val="20"/>
                <w:szCs w:val="20"/>
              </w:rPr>
              <w:t xml:space="preserve">136,205,068.76 </w:t>
            </w:r>
          </w:p>
        </w:tc>
      </w:tr>
      <w:tr w:rsidR="007D0267" w14:paraId="0C463FC9" w14:textId="77777777">
        <w:trPr>
          <w:trHeight w:val="397"/>
          <w:jc w:val="center"/>
        </w:trPr>
        <w:tc>
          <w:tcPr>
            <w:tcW w:w="2917" w:type="dxa"/>
            <w:shd w:val="clear" w:color="auto" w:fill="FFFFFF"/>
            <w:vAlign w:val="center"/>
          </w:tcPr>
          <w:p w14:paraId="17789290" w14:textId="77777777" w:rsidR="007D0267" w:rsidRDefault="00000000">
            <w:pPr>
              <w:widowControl/>
              <w:jc w:val="left"/>
              <w:rPr>
                <w:rFonts w:cs="宋体"/>
                <w:color w:val="000000"/>
                <w:kern w:val="0"/>
                <w:szCs w:val="21"/>
              </w:rPr>
            </w:pPr>
            <w:r>
              <w:rPr>
                <w:rFonts w:cs="宋体" w:hint="eastAsia"/>
                <w:color w:val="000000"/>
                <w:kern w:val="0"/>
                <w:szCs w:val="21"/>
              </w:rPr>
              <w:lastRenderedPageBreak/>
              <w:t>扣除非经常性损益后</w:t>
            </w:r>
            <w:r>
              <w:rPr>
                <w:rFonts w:hint="eastAsia"/>
                <w:szCs w:val="21"/>
              </w:rPr>
              <w:t>归属于母公司股东的净利润</w:t>
            </w:r>
            <w:r>
              <w:rPr>
                <w:rFonts w:cs="宋体" w:hint="eastAsia"/>
                <w:color w:val="000000"/>
                <w:kern w:val="0"/>
                <w:szCs w:val="21"/>
              </w:rPr>
              <w:t>（元）</w:t>
            </w:r>
          </w:p>
        </w:tc>
        <w:tc>
          <w:tcPr>
            <w:tcW w:w="1873" w:type="dxa"/>
            <w:shd w:val="clear" w:color="auto" w:fill="FFFFFF"/>
            <w:vAlign w:val="center"/>
          </w:tcPr>
          <w:p w14:paraId="079B67F9" w14:textId="77777777" w:rsidR="007D0267" w:rsidRDefault="00000000">
            <w:pPr>
              <w:jc w:val="right"/>
              <w:rPr>
                <w:rFonts w:eastAsia="等线"/>
                <w:color w:val="000000"/>
                <w:sz w:val="20"/>
                <w:szCs w:val="20"/>
                <w:highlight w:val="yellow"/>
              </w:rPr>
            </w:pPr>
            <w:r>
              <w:rPr>
                <w:rFonts w:eastAsia="等线"/>
                <w:color w:val="000000"/>
                <w:sz w:val="20"/>
                <w:szCs w:val="20"/>
              </w:rPr>
              <w:t>97,939,171.27</w:t>
            </w:r>
          </w:p>
        </w:tc>
        <w:tc>
          <w:tcPr>
            <w:tcW w:w="2266" w:type="dxa"/>
            <w:shd w:val="clear" w:color="auto" w:fill="FFFFFF"/>
            <w:vAlign w:val="center"/>
          </w:tcPr>
          <w:p w14:paraId="6FF05DC6" w14:textId="77777777" w:rsidR="007D0267" w:rsidRDefault="00000000">
            <w:pPr>
              <w:jc w:val="right"/>
              <w:rPr>
                <w:rFonts w:eastAsia="等线"/>
                <w:color w:val="000000"/>
                <w:sz w:val="20"/>
                <w:szCs w:val="20"/>
                <w:highlight w:val="yellow"/>
              </w:rPr>
            </w:pPr>
            <w:r>
              <w:rPr>
                <w:rFonts w:eastAsia="等线"/>
                <w:color w:val="000000"/>
                <w:sz w:val="20"/>
                <w:szCs w:val="20"/>
              </w:rPr>
              <w:t xml:space="preserve">97,939,171.27 </w:t>
            </w:r>
          </w:p>
        </w:tc>
        <w:tc>
          <w:tcPr>
            <w:tcW w:w="2266" w:type="dxa"/>
            <w:gridSpan w:val="2"/>
            <w:shd w:val="clear" w:color="auto" w:fill="FFFFFF"/>
            <w:vAlign w:val="center"/>
          </w:tcPr>
          <w:p w14:paraId="734A561C" w14:textId="77777777" w:rsidR="007D0267" w:rsidRDefault="00000000">
            <w:pPr>
              <w:jc w:val="right"/>
              <w:rPr>
                <w:rFonts w:eastAsia="等线"/>
                <w:color w:val="000000"/>
                <w:sz w:val="20"/>
                <w:szCs w:val="20"/>
                <w:highlight w:val="yellow"/>
              </w:rPr>
            </w:pPr>
            <w:r>
              <w:rPr>
                <w:rFonts w:eastAsia="等线"/>
                <w:color w:val="000000"/>
                <w:sz w:val="20"/>
                <w:szCs w:val="20"/>
              </w:rPr>
              <w:t>97,939,171.27</w:t>
            </w:r>
          </w:p>
        </w:tc>
        <w:tc>
          <w:tcPr>
            <w:tcW w:w="2266" w:type="dxa"/>
            <w:shd w:val="clear" w:color="auto" w:fill="FFFFFF"/>
            <w:vAlign w:val="center"/>
          </w:tcPr>
          <w:p w14:paraId="05D660A5" w14:textId="77777777" w:rsidR="007D0267" w:rsidRDefault="00000000">
            <w:pPr>
              <w:jc w:val="right"/>
              <w:rPr>
                <w:rFonts w:eastAsia="等线"/>
                <w:color w:val="000000"/>
                <w:sz w:val="20"/>
                <w:szCs w:val="20"/>
                <w:highlight w:val="yellow"/>
              </w:rPr>
            </w:pPr>
            <w:r>
              <w:rPr>
                <w:rFonts w:eastAsia="等线"/>
                <w:color w:val="000000"/>
                <w:sz w:val="20"/>
                <w:szCs w:val="20"/>
              </w:rPr>
              <w:t xml:space="preserve">97,939,171.27 </w:t>
            </w:r>
          </w:p>
        </w:tc>
      </w:tr>
      <w:tr w:rsidR="007D0267" w14:paraId="7CBFFB86" w14:textId="77777777">
        <w:trPr>
          <w:trHeight w:val="397"/>
          <w:jc w:val="center"/>
        </w:trPr>
        <w:tc>
          <w:tcPr>
            <w:tcW w:w="2917" w:type="dxa"/>
            <w:shd w:val="clear" w:color="auto" w:fill="FFFFFF"/>
            <w:vAlign w:val="center"/>
          </w:tcPr>
          <w:p w14:paraId="7E09AB14" w14:textId="77777777" w:rsidR="007D0267" w:rsidRDefault="00000000">
            <w:pPr>
              <w:widowControl/>
              <w:jc w:val="left"/>
              <w:rPr>
                <w:rFonts w:cs="宋体"/>
                <w:color w:val="000000"/>
                <w:kern w:val="0"/>
                <w:szCs w:val="21"/>
              </w:rPr>
            </w:pPr>
            <w:r>
              <w:rPr>
                <w:rFonts w:cs="宋体" w:hint="eastAsia"/>
                <w:color w:val="000000"/>
                <w:kern w:val="0"/>
                <w:szCs w:val="21"/>
              </w:rPr>
              <w:t>归属于母公司所有者权益（元）</w:t>
            </w:r>
          </w:p>
        </w:tc>
        <w:tc>
          <w:tcPr>
            <w:tcW w:w="1873" w:type="dxa"/>
            <w:shd w:val="clear" w:color="auto" w:fill="FFFFFF"/>
            <w:vAlign w:val="center"/>
          </w:tcPr>
          <w:p w14:paraId="53F50CC9" w14:textId="77777777" w:rsidR="007D0267" w:rsidRDefault="00000000">
            <w:pPr>
              <w:jc w:val="right"/>
              <w:rPr>
                <w:rFonts w:eastAsia="等线"/>
                <w:color w:val="000000"/>
                <w:sz w:val="20"/>
                <w:szCs w:val="20"/>
                <w:highlight w:val="yellow"/>
              </w:rPr>
            </w:pPr>
            <w:r>
              <w:rPr>
                <w:rFonts w:eastAsia="等线"/>
                <w:color w:val="000000"/>
                <w:sz w:val="20"/>
                <w:szCs w:val="20"/>
              </w:rPr>
              <w:t>733,889,514.15</w:t>
            </w:r>
          </w:p>
        </w:tc>
        <w:tc>
          <w:tcPr>
            <w:tcW w:w="2266" w:type="dxa"/>
            <w:shd w:val="clear" w:color="auto" w:fill="FFFFFF"/>
            <w:vAlign w:val="center"/>
          </w:tcPr>
          <w:p w14:paraId="7AF851DC" w14:textId="77777777" w:rsidR="007D0267" w:rsidRDefault="00000000">
            <w:pPr>
              <w:jc w:val="right"/>
              <w:rPr>
                <w:rFonts w:eastAsia="等线"/>
                <w:color w:val="000000"/>
                <w:sz w:val="20"/>
                <w:szCs w:val="20"/>
                <w:highlight w:val="yellow"/>
              </w:rPr>
            </w:pPr>
            <w:r>
              <w:rPr>
                <w:rFonts w:eastAsia="等线"/>
                <w:color w:val="000000"/>
                <w:sz w:val="20"/>
                <w:szCs w:val="20"/>
              </w:rPr>
              <w:t xml:space="preserve">819,431,438.51 </w:t>
            </w:r>
          </w:p>
        </w:tc>
        <w:tc>
          <w:tcPr>
            <w:tcW w:w="2266" w:type="dxa"/>
            <w:gridSpan w:val="2"/>
            <w:shd w:val="clear" w:color="auto" w:fill="FFFFFF"/>
            <w:vAlign w:val="center"/>
          </w:tcPr>
          <w:p w14:paraId="236952C5" w14:textId="77777777" w:rsidR="007D0267" w:rsidRDefault="00000000">
            <w:pPr>
              <w:jc w:val="right"/>
              <w:rPr>
                <w:rFonts w:eastAsia="等线"/>
                <w:color w:val="000000"/>
                <w:sz w:val="20"/>
                <w:szCs w:val="20"/>
                <w:highlight w:val="yellow"/>
              </w:rPr>
            </w:pPr>
            <w:r>
              <w:rPr>
                <w:rFonts w:eastAsia="等线"/>
                <w:color w:val="000000"/>
                <w:sz w:val="20"/>
                <w:szCs w:val="20"/>
              </w:rPr>
              <w:t>1,277,466,507.27</w:t>
            </w:r>
          </w:p>
        </w:tc>
        <w:tc>
          <w:tcPr>
            <w:tcW w:w="2266" w:type="dxa"/>
            <w:shd w:val="clear" w:color="auto" w:fill="FFFFFF"/>
            <w:vAlign w:val="center"/>
          </w:tcPr>
          <w:p w14:paraId="1A990E22" w14:textId="77777777" w:rsidR="007D0267" w:rsidRDefault="00000000">
            <w:pPr>
              <w:jc w:val="right"/>
              <w:rPr>
                <w:rFonts w:eastAsia="等线"/>
                <w:color w:val="000000"/>
                <w:sz w:val="20"/>
                <w:szCs w:val="20"/>
                <w:highlight w:val="yellow"/>
              </w:rPr>
            </w:pPr>
            <w:r>
              <w:rPr>
                <w:rFonts w:eastAsia="等线"/>
                <w:color w:val="000000"/>
                <w:sz w:val="20"/>
                <w:szCs w:val="20"/>
              </w:rPr>
              <w:t xml:space="preserve">955,636,507.27 </w:t>
            </w:r>
          </w:p>
        </w:tc>
      </w:tr>
      <w:tr w:rsidR="007D0267" w14:paraId="77EAF27F" w14:textId="77777777">
        <w:trPr>
          <w:trHeight w:val="397"/>
          <w:jc w:val="center"/>
        </w:trPr>
        <w:tc>
          <w:tcPr>
            <w:tcW w:w="2917" w:type="dxa"/>
            <w:shd w:val="clear" w:color="auto" w:fill="FFFFFF"/>
            <w:vAlign w:val="center"/>
          </w:tcPr>
          <w:p w14:paraId="6C214754" w14:textId="77777777" w:rsidR="007D0267" w:rsidRDefault="00000000">
            <w:pPr>
              <w:widowControl/>
              <w:jc w:val="left"/>
              <w:rPr>
                <w:rFonts w:cs="宋体"/>
                <w:color w:val="000000"/>
                <w:kern w:val="0"/>
                <w:szCs w:val="21"/>
              </w:rPr>
            </w:pPr>
            <w:r>
              <w:rPr>
                <w:rFonts w:cs="宋体" w:hint="eastAsia"/>
                <w:color w:val="000000"/>
                <w:kern w:val="0"/>
                <w:szCs w:val="21"/>
              </w:rPr>
              <w:t>基本每股收益（元</w:t>
            </w:r>
            <w:r>
              <w:rPr>
                <w:color w:val="000000"/>
                <w:kern w:val="0"/>
                <w:szCs w:val="21"/>
              </w:rPr>
              <w:t>/</w:t>
            </w:r>
            <w:r>
              <w:rPr>
                <w:rFonts w:cs="宋体" w:hint="eastAsia"/>
                <w:color w:val="000000"/>
                <w:kern w:val="0"/>
                <w:szCs w:val="21"/>
              </w:rPr>
              <w:t>股）</w:t>
            </w:r>
          </w:p>
        </w:tc>
        <w:tc>
          <w:tcPr>
            <w:tcW w:w="1873" w:type="dxa"/>
            <w:shd w:val="clear" w:color="auto" w:fill="FFFFFF"/>
            <w:vAlign w:val="center"/>
          </w:tcPr>
          <w:p w14:paraId="53BA40E6" w14:textId="77777777" w:rsidR="007D0267" w:rsidRDefault="00000000">
            <w:pPr>
              <w:jc w:val="right"/>
              <w:rPr>
                <w:rFonts w:eastAsia="等线"/>
                <w:color w:val="000000"/>
                <w:sz w:val="20"/>
                <w:szCs w:val="20"/>
                <w:highlight w:val="yellow"/>
              </w:rPr>
            </w:pPr>
            <w:r>
              <w:rPr>
                <w:rFonts w:eastAsia="等线"/>
                <w:color w:val="000000"/>
                <w:sz w:val="20"/>
                <w:szCs w:val="20"/>
              </w:rPr>
              <w:t>0.81</w:t>
            </w:r>
          </w:p>
        </w:tc>
        <w:tc>
          <w:tcPr>
            <w:tcW w:w="2266" w:type="dxa"/>
            <w:shd w:val="clear" w:color="auto" w:fill="FFFFFF"/>
            <w:vAlign w:val="center"/>
          </w:tcPr>
          <w:p w14:paraId="2B589A3D" w14:textId="77777777" w:rsidR="007D0267" w:rsidRDefault="00000000">
            <w:pPr>
              <w:jc w:val="right"/>
              <w:rPr>
                <w:rFonts w:eastAsia="等线"/>
                <w:color w:val="000000"/>
                <w:sz w:val="20"/>
                <w:szCs w:val="20"/>
                <w:highlight w:val="yellow"/>
              </w:rPr>
            </w:pPr>
            <w:r>
              <w:rPr>
                <w:rFonts w:eastAsia="等线"/>
                <w:color w:val="000000"/>
                <w:sz w:val="20"/>
                <w:szCs w:val="20"/>
              </w:rPr>
              <w:t xml:space="preserve">0.81 </w:t>
            </w:r>
          </w:p>
        </w:tc>
        <w:tc>
          <w:tcPr>
            <w:tcW w:w="2266" w:type="dxa"/>
            <w:gridSpan w:val="2"/>
            <w:shd w:val="clear" w:color="auto" w:fill="FFFFFF"/>
            <w:vAlign w:val="center"/>
          </w:tcPr>
          <w:p w14:paraId="0121D21B" w14:textId="77777777" w:rsidR="007D0267" w:rsidRDefault="00000000">
            <w:pPr>
              <w:jc w:val="right"/>
              <w:rPr>
                <w:rFonts w:eastAsia="等线"/>
                <w:color w:val="000000"/>
                <w:sz w:val="20"/>
                <w:szCs w:val="20"/>
                <w:highlight w:val="yellow"/>
              </w:rPr>
            </w:pPr>
            <w:r>
              <w:rPr>
                <w:rFonts w:eastAsia="等线"/>
                <w:color w:val="000000"/>
                <w:sz w:val="20"/>
                <w:szCs w:val="20"/>
              </w:rPr>
              <w:t>0.75</w:t>
            </w:r>
          </w:p>
        </w:tc>
        <w:tc>
          <w:tcPr>
            <w:tcW w:w="2266" w:type="dxa"/>
            <w:shd w:val="clear" w:color="auto" w:fill="FFFFFF"/>
            <w:vAlign w:val="center"/>
          </w:tcPr>
          <w:p w14:paraId="09861547" w14:textId="77777777" w:rsidR="007D0267" w:rsidRDefault="00000000">
            <w:pPr>
              <w:jc w:val="right"/>
              <w:rPr>
                <w:rFonts w:eastAsia="等线"/>
                <w:color w:val="000000"/>
                <w:sz w:val="20"/>
                <w:szCs w:val="20"/>
                <w:highlight w:val="yellow"/>
              </w:rPr>
            </w:pPr>
            <w:r>
              <w:rPr>
                <w:rFonts w:eastAsia="等线"/>
                <w:color w:val="000000"/>
                <w:sz w:val="20"/>
                <w:szCs w:val="20"/>
              </w:rPr>
              <w:t xml:space="preserve">0.81 </w:t>
            </w:r>
          </w:p>
        </w:tc>
      </w:tr>
      <w:tr w:rsidR="007D0267" w14:paraId="315AEC49" w14:textId="77777777">
        <w:trPr>
          <w:trHeight w:val="397"/>
          <w:jc w:val="center"/>
        </w:trPr>
        <w:tc>
          <w:tcPr>
            <w:tcW w:w="2917" w:type="dxa"/>
            <w:shd w:val="clear" w:color="auto" w:fill="FFFFFF"/>
            <w:vAlign w:val="center"/>
          </w:tcPr>
          <w:p w14:paraId="0B65F634" w14:textId="77777777" w:rsidR="007D0267" w:rsidRDefault="00000000">
            <w:pPr>
              <w:widowControl/>
              <w:jc w:val="left"/>
              <w:rPr>
                <w:rFonts w:cs="宋体"/>
                <w:color w:val="000000"/>
                <w:kern w:val="0"/>
                <w:szCs w:val="21"/>
              </w:rPr>
            </w:pPr>
            <w:r>
              <w:rPr>
                <w:rFonts w:cs="宋体" w:hint="eastAsia"/>
                <w:color w:val="000000"/>
                <w:kern w:val="0"/>
                <w:szCs w:val="21"/>
              </w:rPr>
              <w:t>稀释每股收益（元</w:t>
            </w:r>
            <w:r>
              <w:rPr>
                <w:color w:val="000000"/>
                <w:kern w:val="0"/>
                <w:szCs w:val="21"/>
              </w:rPr>
              <w:t>/</w:t>
            </w:r>
            <w:r>
              <w:rPr>
                <w:rFonts w:cs="宋体" w:hint="eastAsia"/>
                <w:color w:val="000000"/>
                <w:kern w:val="0"/>
                <w:szCs w:val="21"/>
              </w:rPr>
              <w:t>股）</w:t>
            </w:r>
          </w:p>
        </w:tc>
        <w:tc>
          <w:tcPr>
            <w:tcW w:w="1873" w:type="dxa"/>
            <w:shd w:val="clear" w:color="auto" w:fill="FFFFFF"/>
            <w:vAlign w:val="center"/>
          </w:tcPr>
          <w:p w14:paraId="61A2CEBA" w14:textId="77777777" w:rsidR="007D0267" w:rsidRDefault="00000000">
            <w:pPr>
              <w:jc w:val="right"/>
              <w:rPr>
                <w:rFonts w:eastAsia="等线"/>
                <w:color w:val="000000"/>
                <w:sz w:val="20"/>
                <w:szCs w:val="20"/>
                <w:highlight w:val="yellow"/>
              </w:rPr>
            </w:pPr>
            <w:r>
              <w:rPr>
                <w:rFonts w:eastAsia="等线"/>
                <w:color w:val="000000"/>
                <w:sz w:val="20"/>
                <w:szCs w:val="20"/>
              </w:rPr>
              <w:t>0.80</w:t>
            </w:r>
          </w:p>
        </w:tc>
        <w:tc>
          <w:tcPr>
            <w:tcW w:w="2266" w:type="dxa"/>
            <w:shd w:val="clear" w:color="auto" w:fill="FFFFFF"/>
            <w:vAlign w:val="center"/>
          </w:tcPr>
          <w:p w14:paraId="3DE1AB5C" w14:textId="77777777" w:rsidR="007D0267" w:rsidRDefault="00000000">
            <w:pPr>
              <w:jc w:val="right"/>
              <w:rPr>
                <w:rFonts w:eastAsia="等线"/>
                <w:color w:val="000000"/>
                <w:sz w:val="20"/>
                <w:szCs w:val="20"/>
                <w:highlight w:val="yellow"/>
              </w:rPr>
            </w:pPr>
            <w:r>
              <w:rPr>
                <w:rFonts w:eastAsia="等线"/>
                <w:color w:val="000000"/>
                <w:sz w:val="20"/>
                <w:szCs w:val="20"/>
              </w:rPr>
              <w:t xml:space="preserve">0.81 </w:t>
            </w:r>
          </w:p>
        </w:tc>
        <w:tc>
          <w:tcPr>
            <w:tcW w:w="2266" w:type="dxa"/>
            <w:gridSpan w:val="2"/>
            <w:shd w:val="clear" w:color="auto" w:fill="FFFFFF"/>
            <w:vAlign w:val="center"/>
          </w:tcPr>
          <w:p w14:paraId="1577B095" w14:textId="77777777" w:rsidR="007D0267" w:rsidRDefault="00000000">
            <w:pPr>
              <w:jc w:val="right"/>
              <w:rPr>
                <w:rFonts w:eastAsia="等线"/>
                <w:color w:val="000000"/>
                <w:sz w:val="20"/>
                <w:szCs w:val="20"/>
                <w:highlight w:val="yellow"/>
              </w:rPr>
            </w:pPr>
            <w:r>
              <w:rPr>
                <w:rFonts w:eastAsia="等线"/>
                <w:color w:val="000000"/>
                <w:sz w:val="20"/>
                <w:szCs w:val="20"/>
              </w:rPr>
              <w:t>0.71</w:t>
            </w:r>
          </w:p>
        </w:tc>
        <w:tc>
          <w:tcPr>
            <w:tcW w:w="2266" w:type="dxa"/>
            <w:shd w:val="clear" w:color="auto" w:fill="FFFFFF"/>
            <w:vAlign w:val="center"/>
          </w:tcPr>
          <w:p w14:paraId="2BBDF489" w14:textId="77777777" w:rsidR="007D0267" w:rsidRDefault="00000000">
            <w:pPr>
              <w:jc w:val="right"/>
              <w:rPr>
                <w:rFonts w:eastAsia="等线"/>
                <w:color w:val="000000"/>
                <w:sz w:val="20"/>
                <w:szCs w:val="20"/>
                <w:highlight w:val="yellow"/>
              </w:rPr>
            </w:pPr>
            <w:r>
              <w:rPr>
                <w:rFonts w:eastAsia="等线"/>
                <w:color w:val="000000"/>
                <w:sz w:val="20"/>
                <w:szCs w:val="20"/>
              </w:rPr>
              <w:t xml:space="preserve">0.71 </w:t>
            </w:r>
          </w:p>
        </w:tc>
      </w:tr>
      <w:tr w:rsidR="007D0267" w14:paraId="077B5401" w14:textId="77777777">
        <w:trPr>
          <w:trHeight w:val="397"/>
          <w:jc w:val="center"/>
        </w:trPr>
        <w:tc>
          <w:tcPr>
            <w:tcW w:w="2917" w:type="dxa"/>
            <w:shd w:val="clear" w:color="auto" w:fill="FFFFFF"/>
            <w:vAlign w:val="center"/>
          </w:tcPr>
          <w:p w14:paraId="08276F0F" w14:textId="77777777" w:rsidR="007D0267" w:rsidRDefault="00000000">
            <w:pPr>
              <w:widowControl/>
              <w:jc w:val="left"/>
              <w:rPr>
                <w:rFonts w:cs="宋体"/>
                <w:color w:val="000000"/>
                <w:kern w:val="0"/>
                <w:szCs w:val="21"/>
              </w:rPr>
            </w:pPr>
            <w:r>
              <w:rPr>
                <w:rFonts w:cs="宋体" w:hint="eastAsia"/>
                <w:color w:val="000000"/>
                <w:kern w:val="0"/>
                <w:szCs w:val="21"/>
              </w:rPr>
              <w:t>扣除非经常性损益后基本每股收益（元</w:t>
            </w:r>
            <w:r>
              <w:rPr>
                <w:color w:val="000000"/>
                <w:kern w:val="0"/>
                <w:szCs w:val="21"/>
              </w:rPr>
              <w:t>/</w:t>
            </w:r>
            <w:r>
              <w:rPr>
                <w:rFonts w:cs="宋体" w:hint="eastAsia"/>
                <w:color w:val="000000"/>
                <w:kern w:val="0"/>
                <w:szCs w:val="21"/>
              </w:rPr>
              <w:t>股）</w:t>
            </w:r>
          </w:p>
        </w:tc>
        <w:tc>
          <w:tcPr>
            <w:tcW w:w="1873" w:type="dxa"/>
            <w:shd w:val="clear" w:color="auto" w:fill="FFFFFF"/>
            <w:vAlign w:val="center"/>
          </w:tcPr>
          <w:p w14:paraId="6BDC5150" w14:textId="77777777" w:rsidR="007D0267" w:rsidRDefault="00000000">
            <w:pPr>
              <w:jc w:val="right"/>
              <w:rPr>
                <w:rFonts w:eastAsia="等线"/>
                <w:color w:val="000000"/>
                <w:sz w:val="20"/>
                <w:szCs w:val="20"/>
                <w:highlight w:val="yellow"/>
              </w:rPr>
            </w:pPr>
            <w:r>
              <w:rPr>
                <w:rFonts w:eastAsia="等线"/>
                <w:color w:val="000000"/>
                <w:sz w:val="20"/>
                <w:szCs w:val="20"/>
              </w:rPr>
              <w:t>0.58</w:t>
            </w:r>
          </w:p>
        </w:tc>
        <w:tc>
          <w:tcPr>
            <w:tcW w:w="2266" w:type="dxa"/>
            <w:shd w:val="clear" w:color="auto" w:fill="FFFFFF"/>
            <w:vAlign w:val="center"/>
          </w:tcPr>
          <w:p w14:paraId="7E28531C" w14:textId="77777777" w:rsidR="007D0267" w:rsidRDefault="00000000">
            <w:pPr>
              <w:jc w:val="right"/>
              <w:rPr>
                <w:rFonts w:eastAsia="等线"/>
                <w:color w:val="000000"/>
                <w:sz w:val="20"/>
                <w:szCs w:val="20"/>
                <w:highlight w:val="yellow"/>
              </w:rPr>
            </w:pPr>
            <w:r>
              <w:rPr>
                <w:rFonts w:eastAsia="等线"/>
                <w:color w:val="000000"/>
                <w:sz w:val="20"/>
                <w:szCs w:val="20"/>
              </w:rPr>
              <w:t xml:space="preserve">0.58 </w:t>
            </w:r>
          </w:p>
        </w:tc>
        <w:tc>
          <w:tcPr>
            <w:tcW w:w="2266" w:type="dxa"/>
            <w:gridSpan w:val="2"/>
            <w:shd w:val="clear" w:color="auto" w:fill="FFFFFF"/>
            <w:vAlign w:val="center"/>
          </w:tcPr>
          <w:p w14:paraId="6C094C7C" w14:textId="77777777" w:rsidR="007D0267" w:rsidRDefault="00000000">
            <w:pPr>
              <w:jc w:val="right"/>
              <w:rPr>
                <w:rFonts w:eastAsia="等线"/>
                <w:color w:val="000000"/>
                <w:sz w:val="20"/>
                <w:szCs w:val="20"/>
                <w:highlight w:val="yellow"/>
              </w:rPr>
            </w:pPr>
            <w:r>
              <w:rPr>
                <w:rFonts w:eastAsia="等线"/>
                <w:color w:val="000000"/>
                <w:sz w:val="20"/>
                <w:szCs w:val="20"/>
              </w:rPr>
              <w:t>0.54</w:t>
            </w:r>
          </w:p>
        </w:tc>
        <w:tc>
          <w:tcPr>
            <w:tcW w:w="2266" w:type="dxa"/>
            <w:shd w:val="clear" w:color="auto" w:fill="FFFFFF"/>
            <w:vAlign w:val="center"/>
          </w:tcPr>
          <w:p w14:paraId="3BC81FDE" w14:textId="77777777" w:rsidR="007D0267" w:rsidRDefault="00000000">
            <w:pPr>
              <w:jc w:val="right"/>
              <w:rPr>
                <w:rFonts w:eastAsia="等线"/>
                <w:color w:val="000000"/>
                <w:sz w:val="20"/>
                <w:szCs w:val="20"/>
                <w:highlight w:val="yellow"/>
              </w:rPr>
            </w:pPr>
            <w:r>
              <w:rPr>
                <w:rFonts w:eastAsia="等线"/>
                <w:color w:val="000000"/>
                <w:sz w:val="20"/>
                <w:szCs w:val="20"/>
              </w:rPr>
              <w:t xml:space="preserve">0.58 </w:t>
            </w:r>
          </w:p>
        </w:tc>
      </w:tr>
      <w:tr w:rsidR="007D0267" w14:paraId="5D6F01A6" w14:textId="77777777">
        <w:trPr>
          <w:trHeight w:val="397"/>
          <w:jc w:val="center"/>
        </w:trPr>
        <w:tc>
          <w:tcPr>
            <w:tcW w:w="2917" w:type="dxa"/>
            <w:shd w:val="clear" w:color="auto" w:fill="FFFFFF"/>
            <w:vAlign w:val="center"/>
          </w:tcPr>
          <w:p w14:paraId="2152615D" w14:textId="77777777" w:rsidR="007D0267" w:rsidRDefault="00000000">
            <w:pPr>
              <w:widowControl/>
              <w:jc w:val="left"/>
              <w:rPr>
                <w:rFonts w:cs="宋体"/>
                <w:color w:val="000000"/>
                <w:kern w:val="0"/>
                <w:szCs w:val="21"/>
              </w:rPr>
            </w:pPr>
            <w:r>
              <w:rPr>
                <w:rFonts w:cs="宋体" w:hint="eastAsia"/>
                <w:color w:val="000000"/>
                <w:kern w:val="0"/>
                <w:szCs w:val="21"/>
              </w:rPr>
              <w:t>扣除非经常性损益后稀释每股收益（元</w:t>
            </w:r>
            <w:r>
              <w:rPr>
                <w:color w:val="000000"/>
                <w:kern w:val="0"/>
                <w:szCs w:val="21"/>
              </w:rPr>
              <w:t>/</w:t>
            </w:r>
            <w:r>
              <w:rPr>
                <w:rFonts w:cs="宋体" w:hint="eastAsia"/>
                <w:color w:val="000000"/>
                <w:kern w:val="0"/>
                <w:szCs w:val="21"/>
              </w:rPr>
              <w:t>股）</w:t>
            </w:r>
          </w:p>
        </w:tc>
        <w:tc>
          <w:tcPr>
            <w:tcW w:w="1873" w:type="dxa"/>
            <w:shd w:val="clear" w:color="auto" w:fill="FFFFFF"/>
            <w:vAlign w:val="center"/>
          </w:tcPr>
          <w:p w14:paraId="706DECB2" w14:textId="77777777" w:rsidR="007D0267" w:rsidRDefault="00000000">
            <w:pPr>
              <w:jc w:val="right"/>
              <w:rPr>
                <w:rFonts w:eastAsia="等线"/>
                <w:color w:val="000000"/>
                <w:sz w:val="20"/>
                <w:szCs w:val="20"/>
                <w:highlight w:val="yellow"/>
              </w:rPr>
            </w:pPr>
            <w:r>
              <w:rPr>
                <w:rFonts w:eastAsia="等线"/>
                <w:color w:val="000000"/>
                <w:sz w:val="20"/>
                <w:szCs w:val="20"/>
              </w:rPr>
              <w:t>0.58</w:t>
            </w:r>
          </w:p>
        </w:tc>
        <w:tc>
          <w:tcPr>
            <w:tcW w:w="2266" w:type="dxa"/>
            <w:shd w:val="clear" w:color="auto" w:fill="FFFFFF"/>
            <w:vAlign w:val="center"/>
          </w:tcPr>
          <w:p w14:paraId="441E668B" w14:textId="77777777" w:rsidR="007D0267" w:rsidRDefault="00000000">
            <w:pPr>
              <w:jc w:val="right"/>
              <w:rPr>
                <w:rFonts w:eastAsia="等线"/>
                <w:color w:val="000000"/>
                <w:sz w:val="20"/>
                <w:szCs w:val="20"/>
                <w:highlight w:val="yellow"/>
              </w:rPr>
            </w:pPr>
            <w:r>
              <w:rPr>
                <w:rFonts w:eastAsia="等线"/>
                <w:color w:val="000000"/>
                <w:sz w:val="20"/>
                <w:szCs w:val="20"/>
              </w:rPr>
              <w:t xml:space="preserve">0.58 </w:t>
            </w:r>
          </w:p>
        </w:tc>
        <w:tc>
          <w:tcPr>
            <w:tcW w:w="2266" w:type="dxa"/>
            <w:gridSpan w:val="2"/>
            <w:shd w:val="clear" w:color="auto" w:fill="FFFFFF"/>
            <w:vAlign w:val="center"/>
          </w:tcPr>
          <w:p w14:paraId="5D50C254" w14:textId="77777777" w:rsidR="007D0267" w:rsidRDefault="00000000">
            <w:pPr>
              <w:jc w:val="right"/>
              <w:rPr>
                <w:rFonts w:eastAsia="等线"/>
                <w:color w:val="000000"/>
                <w:sz w:val="20"/>
                <w:szCs w:val="20"/>
                <w:highlight w:val="yellow"/>
              </w:rPr>
            </w:pPr>
            <w:r>
              <w:rPr>
                <w:rFonts w:eastAsia="等线"/>
                <w:color w:val="000000"/>
                <w:sz w:val="20"/>
                <w:szCs w:val="20"/>
              </w:rPr>
              <w:t>0.51</w:t>
            </w:r>
          </w:p>
        </w:tc>
        <w:tc>
          <w:tcPr>
            <w:tcW w:w="2266" w:type="dxa"/>
            <w:shd w:val="clear" w:color="auto" w:fill="FFFFFF"/>
            <w:vAlign w:val="center"/>
          </w:tcPr>
          <w:p w14:paraId="7E3BF691" w14:textId="77777777" w:rsidR="007D0267" w:rsidRDefault="00000000">
            <w:pPr>
              <w:jc w:val="right"/>
              <w:rPr>
                <w:rFonts w:eastAsia="等线"/>
                <w:color w:val="000000"/>
                <w:sz w:val="20"/>
                <w:szCs w:val="20"/>
                <w:highlight w:val="yellow"/>
              </w:rPr>
            </w:pPr>
            <w:r>
              <w:rPr>
                <w:rFonts w:eastAsia="等线"/>
                <w:color w:val="000000"/>
                <w:sz w:val="20"/>
                <w:szCs w:val="20"/>
              </w:rPr>
              <w:t xml:space="preserve">0.51 </w:t>
            </w:r>
          </w:p>
        </w:tc>
      </w:tr>
      <w:tr w:rsidR="007D0267" w14:paraId="061398FD" w14:textId="77777777">
        <w:trPr>
          <w:trHeight w:val="397"/>
          <w:jc w:val="center"/>
        </w:trPr>
        <w:tc>
          <w:tcPr>
            <w:tcW w:w="2917" w:type="dxa"/>
            <w:shd w:val="clear" w:color="auto" w:fill="FFFFFF"/>
            <w:vAlign w:val="center"/>
          </w:tcPr>
          <w:p w14:paraId="069F2994" w14:textId="77777777" w:rsidR="007D0267" w:rsidRDefault="00000000">
            <w:pPr>
              <w:widowControl/>
              <w:jc w:val="left"/>
              <w:rPr>
                <w:rFonts w:cs="宋体"/>
                <w:color w:val="000000"/>
                <w:kern w:val="0"/>
                <w:szCs w:val="21"/>
              </w:rPr>
            </w:pPr>
            <w:r>
              <w:rPr>
                <w:rFonts w:cs="宋体" w:hint="eastAsia"/>
                <w:color w:val="000000"/>
                <w:kern w:val="0"/>
                <w:szCs w:val="21"/>
              </w:rPr>
              <w:t>加权平均净资产收益率</w:t>
            </w:r>
          </w:p>
        </w:tc>
        <w:tc>
          <w:tcPr>
            <w:tcW w:w="1873" w:type="dxa"/>
            <w:shd w:val="clear" w:color="auto" w:fill="FFFFFF"/>
            <w:vAlign w:val="center"/>
          </w:tcPr>
          <w:p w14:paraId="230AD84D" w14:textId="77777777" w:rsidR="007D0267" w:rsidRDefault="00000000">
            <w:pPr>
              <w:jc w:val="right"/>
              <w:rPr>
                <w:rFonts w:eastAsia="等线"/>
                <w:color w:val="000000"/>
                <w:sz w:val="20"/>
                <w:szCs w:val="20"/>
                <w:highlight w:val="yellow"/>
              </w:rPr>
            </w:pPr>
            <w:r>
              <w:rPr>
                <w:rFonts w:eastAsia="等线"/>
                <w:color w:val="000000"/>
                <w:sz w:val="20"/>
                <w:szCs w:val="20"/>
              </w:rPr>
              <w:t>19.94%</w:t>
            </w:r>
          </w:p>
        </w:tc>
        <w:tc>
          <w:tcPr>
            <w:tcW w:w="2266" w:type="dxa"/>
            <w:shd w:val="clear" w:color="auto" w:fill="FFFFFF"/>
            <w:vAlign w:val="center"/>
          </w:tcPr>
          <w:p w14:paraId="7218CB06" w14:textId="77777777" w:rsidR="007D0267" w:rsidRDefault="00000000">
            <w:pPr>
              <w:jc w:val="right"/>
              <w:rPr>
                <w:rFonts w:eastAsia="等线"/>
                <w:color w:val="000000"/>
                <w:sz w:val="20"/>
                <w:szCs w:val="20"/>
                <w:highlight w:val="yellow"/>
              </w:rPr>
            </w:pPr>
            <w:r>
              <w:rPr>
                <w:rFonts w:eastAsia="等线"/>
                <w:color w:val="000000"/>
                <w:sz w:val="20"/>
                <w:szCs w:val="20"/>
              </w:rPr>
              <w:t>17.54%</w:t>
            </w:r>
          </w:p>
        </w:tc>
        <w:tc>
          <w:tcPr>
            <w:tcW w:w="2266" w:type="dxa"/>
            <w:gridSpan w:val="2"/>
            <w:shd w:val="clear" w:color="auto" w:fill="FFFFFF"/>
            <w:vAlign w:val="center"/>
          </w:tcPr>
          <w:p w14:paraId="3C31A934" w14:textId="77777777" w:rsidR="007D0267" w:rsidRDefault="00000000">
            <w:pPr>
              <w:jc w:val="right"/>
              <w:rPr>
                <w:rFonts w:eastAsia="等线"/>
                <w:color w:val="000000"/>
                <w:sz w:val="20"/>
                <w:szCs w:val="20"/>
                <w:highlight w:val="yellow"/>
              </w:rPr>
            </w:pPr>
            <w:r>
              <w:rPr>
                <w:rFonts w:eastAsia="等线"/>
                <w:color w:val="000000"/>
                <w:sz w:val="20"/>
                <w:szCs w:val="20"/>
              </w:rPr>
              <w:t>12.99%</w:t>
            </w:r>
          </w:p>
        </w:tc>
        <w:tc>
          <w:tcPr>
            <w:tcW w:w="2266" w:type="dxa"/>
            <w:shd w:val="clear" w:color="auto" w:fill="FFFFFF"/>
            <w:vAlign w:val="center"/>
          </w:tcPr>
          <w:p w14:paraId="58350BD4" w14:textId="77777777" w:rsidR="007D0267" w:rsidRDefault="00000000">
            <w:pPr>
              <w:jc w:val="right"/>
              <w:rPr>
                <w:rFonts w:eastAsia="等线"/>
                <w:color w:val="000000"/>
                <w:sz w:val="20"/>
                <w:szCs w:val="20"/>
                <w:highlight w:val="yellow"/>
              </w:rPr>
            </w:pPr>
            <w:r>
              <w:rPr>
                <w:rFonts w:eastAsia="等线"/>
                <w:color w:val="000000"/>
                <w:sz w:val="20"/>
                <w:szCs w:val="20"/>
              </w:rPr>
              <w:t>15.35%</w:t>
            </w:r>
          </w:p>
        </w:tc>
      </w:tr>
      <w:tr w:rsidR="007D0267" w14:paraId="7A8198AA" w14:textId="77777777">
        <w:trPr>
          <w:trHeight w:val="397"/>
          <w:jc w:val="center"/>
        </w:trPr>
        <w:tc>
          <w:tcPr>
            <w:tcW w:w="2917" w:type="dxa"/>
            <w:shd w:val="clear" w:color="auto" w:fill="FFFFFF"/>
            <w:vAlign w:val="center"/>
          </w:tcPr>
          <w:p w14:paraId="38E0D4A3" w14:textId="77777777" w:rsidR="007D0267" w:rsidRDefault="00000000">
            <w:pPr>
              <w:widowControl/>
              <w:jc w:val="left"/>
              <w:rPr>
                <w:rFonts w:cs="宋体"/>
                <w:color w:val="000000"/>
                <w:kern w:val="0"/>
                <w:szCs w:val="21"/>
              </w:rPr>
            </w:pPr>
            <w:r>
              <w:rPr>
                <w:rFonts w:cs="宋体" w:hint="eastAsia"/>
                <w:color w:val="000000"/>
                <w:kern w:val="0"/>
                <w:szCs w:val="21"/>
              </w:rPr>
              <w:t>扣除非经常性损益后加权平均净资产收益率</w:t>
            </w:r>
          </w:p>
        </w:tc>
        <w:tc>
          <w:tcPr>
            <w:tcW w:w="1873" w:type="dxa"/>
            <w:shd w:val="clear" w:color="auto" w:fill="FFFFFF"/>
            <w:vAlign w:val="center"/>
          </w:tcPr>
          <w:p w14:paraId="244A49EF" w14:textId="77777777" w:rsidR="007D0267" w:rsidRDefault="00000000">
            <w:pPr>
              <w:jc w:val="right"/>
              <w:rPr>
                <w:rFonts w:eastAsia="等线"/>
                <w:color w:val="000000"/>
                <w:sz w:val="20"/>
                <w:szCs w:val="20"/>
                <w:highlight w:val="yellow"/>
              </w:rPr>
            </w:pPr>
            <w:r>
              <w:rPr>
                <w:rFonts w:eastAsia="等线"/>
                <w:color w:val="000000"/>
                <w:sz w:val="20"/>
                <w:szCs w:val="20"/>
              </w:rPr>
              <w:t>14.34%</w:t>
            </w:r>
          </w:p>
        </w:tc>
        <w:tc>
          <w:tcPr>
            <w:tcW w:w="2266" w:type="dxa"/>
            <w:shd w:val="clear" w:color="auto" w:fill="FFFFFF"/>
            <w:vAlign w:val="center"/>
          </w:tcPr>
          <w:p w14:paraId="51030BB2" w14:textId="77777777" w:rsidR="007D0267" w:rsidRDefault="00000000">
            <w:pPr>
              <w:jc w:val="right"/>
              <w:rPr>
                <w:rFonts w:eastAsia="等线"/>
                <w:color w:val="000000"/>
                <w:sz w:val="20"/>
                <w:szCs w:val="20"/>
                <w:highlight w:val="yellow"/>
              </w:rPr>
            </w:pPr>
            <w:r>
              <w:rPr>
                <w:rFonts w:eastAsia="等线"/>
                <w:color w:val="000000"/>
                <w:sz w:val="20"/>
                <w:szCs w:val="20"/>
              </w:rPr>
              <w:t>12.61%</w:t>
            </w:r>
          </w:p>
        </w:tc>
        <w:tc>
          <w:tcPr>
            <w:tcW w:w="2266" w:type="dxa"/>
            <w:gridSpan w:val="2"/>
            <w:shd w:val="clear" w:color="auto" w:fill="FFFFFF"/>
            <w:vAlign w:val="center"/>
          </w:tcPr>
          <w:p w14:paraId="7CE49C81" w14:textId="77777777" w:rsidR="007D0267" w:rsidRDefault="00000000">
            <w:pPr>
              <w:jc w:val="right"/>
              <w:rPr>
                <w:rFonts w:eastAsia="等线"/>
                <w:color w:val="000000"/>
                <w:sz w:val="20"/>
                <w:szCs w:val="20"/>
                <w:highlight w:val="yellow"/>
              </w:rPr>
            </w:pPr>
            <w:r>
              <w:rPr>
                <w:rFonts w:eastAsia="等线"/>
                <w:color w:val="000000"/>
                <w:sz w:val="20"/>
                <w:szCs w:val="20"/>
              </w:rPr>
              <w:t>9.34%</w:t>
            </w:r>
          </w:p>
        </w:tc>
        <w:tc>
          <w:tcPr>
            <w:tcW w:w="2266" w:type="dxa"/>
            <w:shd w:val="clear" w:color="auto" w:fill="FFFFFF"/>
            <w:vAlign w:val="center"/>
          </w:tcPr>
          <w:p w14:paraId="6954EFD4" w14:textId="77777777" w:rsidR="007D0267" w:rsidRDefault="00000000">
            <w:pPr>
              <w:jc w:val="right"/>
              <w:rPr>
                <w:rFonts w:eastAsia="等线"/>
                <w:color w:val="000000"/>
                <w:sz w:val="20"/>
                <w:szCs w:val="20"/>
                <w:highlight w:val="yellow"/>
              </w:rPr>
            </w:pPr>
            <w:r>
              <w:rPr>
                <w:rFonts w:eastAsia="等线"/>
                <w:color w:val="000000"/>
                <w:sz w:val="20"/>
                <w:szCs w:val="20"/>
              </w:rPr>
              <w:t>11.03%</w:t>
            </w:r>
          </w:p>
        </w:tc>
      </w:tr>
      <w:tr w:rsidR="007D0267" w14:paraId="7264E42F" w14:textId="77777777">
        <w:trPr>
          <w:trHeight w:val="397"/>
          <w:jc w:val="center"/>
        </w:trPr>
        <w:tc>
          <w:tcPr>
            <w:tcW w:w="11588" w:type="dxa"/>
            <w:gridSpan w:val="6"/>
            <w:shd w:val="clear" w:color="auto" w:fill="FFFFFF"/>
            <w:vAlign w:val="center"/>
          </w:tcPr>
          <w:p w14:paraId="58CAAD3D" w14:textId="77777777" w:rsidR="007D0267" w:rsidRDefault="00000000">
            <w:pPr>
              <w:widowControl/>
              <w:rPr>
                <w:rFonts w:cs="宋体"/>
                <w:b/>
                <w:bCs/>
                <w:color w:val="000000"/>
                <w:kern w:val="0"/>
                <w:szCs w:val="21"/>
              </w:rPr>
            </w:pPr>
            <w:r>
              <w:rPr>
                <w:rFonts w:cs="宋体" w:hint="eastAsia"/>
                <w:b/>
                <w:bCs/>
                <w:color w:val="000000"/>
                <w:kern w:val="0"/>
                <w:szCs w:val="21"/>
              </w:rPr>
              <w:t>假设</w:t>
            </w:r>
            <w:r>
              <w:rPr>
                <w:rFonts w:cs="宋体"/>
                <w:b/>
                <w:bCs/>
                <w:color w:val="000000"/>
                <w:kern w:val="0"/>
                <w:szCs w:val="21"/>
              </w:rPr>
              <w:t>3</w:t>
            </w:r>
            <w:r>
              <w:rPr>
                <w:rFonts w:cs="宋体" w:hint="eastAsia"/>
                <w:b/>
                <w:bCs/>
                <w:color w:val="000000"/>
                <w:kern w:val="0"/>
                <w:szCs w:val="21"/>
              </w:rPr>
              <w:t>：假设</w:t>
            </w:r>
            <w:r>
              <w:rPr>
                <w:rFonts w:cs="宋体" w:hint="eastAsia"/>
                <w:b/>
                <w:bCs/>
                <w:color w:val="000000"/>
                <w:kern w:val="0"/>
                <w:szCs w:val="21"/>
              </w:rPr>
              <w:t>2023</w:t>
            </w:r>
            <w:r>
              <w:rPr>
                <w:rFonts w:cs="宋体" w:hint="eastAsia"/>
                <w:b/>
                <w:bCs/>
                <w:color w:val="000000"/>
                <w:kern w:val="0"/>
                <w:szCs w:val="21"/>
              </w:rPr>
              <w:t>年度扣除非经常性损益前</w:t>
            </w:r>
            <w:r>
              <w:rPr>
                <w:rFonts w:cs="宋体" w:hint="eastAsia"/>
                <w:b/>
                <w:bCs/>
                <w:color w:val="000000"/>
                <w:kern w:val="0"/>
                <w:szCs w:val="21"/>
              </w:rPr>
              <w:t>/</w:t>
            </w:r>
            <w:r>
              <w:rPr>
                <w:rFonts w:cs="宋体" w:hint="eastAsia"/>
                <w:b/>
                <w:bCs/>
                <w:color w:val="000000"/>
                <w:kern w:val="0"/>
                <w:szCs w:val="21"/>
              </w:rPr>
              <w:t>后归属于母公司股东的净利润同比增长</w:t>
            </w:r>
            <w:r>
              <w:rPr>
                <w:rFonts w:cs="宋体" w:hint="eastAsia"/>
                <w:b/>
                <w:bCs/>
                <w:color w:val="000000"/>
                <w:kern w:val="0"/>
                <w:szCs w:val="21"/>
              </w:rPr>
              <w:t>15%</w:t>
            </w:r>
          </w:p>
        </w:tc>
      </w:tr>
      <w:tr w:rsidR="007D0267" w14:paraId="24E1D12C" w14:textId="77777777">
        <w:trPr>
          <w:trHeight w:val="397"/>
          <w:jc w:val="center"/>
        </w:trPr>
        <w:tc>
          <w:tcPr>
            <w:tcW w:w="2917" w:type="dxa"/>
            <w:shd w:val="clear" w:color="auto" w:fill="FFFFFF"/>
            <w:vAlign w:val="center"/>
          </w:tcPr>
          <w:p w14:paraId="2392D5EA" w14:textId="77777777" w:rsidR="007D0267" w:rsidRDefault="00000000">
            <w:pPr>
              <w:widowControl/>
              <w:jc w:val="left"/>
              <w:rPr>
                <w:rFonts w:cs="宋体"/>
                <w:color w:val="000000"/>
                <w:kern w:val="0"/>
                <w:szCs w:val="21"/>
              </w:rPr>
            </w:pPr>
            <w:r>
              <w:rPr>
                <w:rFonts w:hint="eastAsia"/>
                <w:szCs w:val="21"/>
              </w:rPr>
              <w:t>归属于母公司股东的净利润</w:t>
            </w:r>
            <w:r>
              <w:rPr>
                <w:rFonts w:cs="宋体" w:hint="eastAsia"/>
                <w:color w:val="000000"/>
                <w:kern w:val="0"/>
                <w:szCs w:val="21"/>
              </w:rPr>
              <w:t>（元）</w:t>
            </w:r>
          </w:p>
        </w:tc>
        <w:tc>
          <w:tcPr>
            <w:tcW w:w="1873" w:type="dxa"/>
            <w:shd w:val="clear" w:color="auto" w:fill="FFFFFF"/>
            <w:vAlign w:val="center"/>
          </w:tcPr>
          <w:p w14:paraId="532528C8" w14:textId="77777777" w:rsidR="007D0267" w:rsidRDefault="00000000">
            <w:pPr>
              <w:widowControl/>
              <w:jc w:val="right"/>
              <w:rPr>
                <w:rFonts w:eastAsia="等线"/>
                <w:color w:val="000000"/>
                <w:sz w:val="20"/>
                <w:szCs w:val="20"/>
                <w:highlight w:val="yellow"/>
              </w:rPr>
            </w:pPr>
            <w:r>
              <w:rPr>
                <w:rFonts w:eastAsia="等线"/>
                <w:color w:val="000000"/>
                <w:sz w:val="20"/>
                <w:szCs w:val="20"/>
              </w:rPr>
              <w:t>136,205,068.76</w:t>
            </w:r>
          </w:p>
        </w:tc>
        <w:tc>
          <w:tcPr>
            <w:tcW w:w="2266" w:type="dxa"/>
            <w:shd w:val="clear" w:color="auto" w:fill="FFFFFF"/>
            <w:vAlign w:val="center"/>
          </w:tcPr>
          <w:p w14:paraId="539A5207" w14:textId="77777777" w:rsidR="007D0267" w:rsidRDefault="00000000">
            <w:pPr>
              <w:widowControl/>
              <w:jc w:val="right"/>
              <w:rPr>
                <w:rFonts w:eastAsia="等线"/>
                <w:color w:val="000000"/>
                <w:kern w:val="0"/>
                <w:sz w:val="20"/>
                <w:szCs w:val="20"/>
                <w:highlight w:val="yellow"/>
              </w:rPr>
            </w:pPr>
            <w:r>
              <w:rPr>
                <w:rFonts w:eastAsia="等线"/>
                <w:color w:val="000000"/>
                <w:sz w:val="20"/>
                <w:szCs w:val="20"/>
              </w:rPr>
              <w:t xml:space="preserve">156,635,829.07 </w:t>
            </w:r>
          </w:p>
        </w:tc>
        <w:tc>
          <w:tcPr>
            <w:tcW w:w="2266" w:type="dxa"/>
            <w:gridSpan w:val="2"/>
            <w:shd w:val="clear" w:color="auto" w:fill="FFFFFF"/>
            <w:vAlign w:val="center"/>
          </w:tcPr>
          <w:p w14:paraId="6249BA6C" w14:textId="77777777" w:rsidR="007D0267" w:rsidRDefault="00000000">
            <w:pPr>
              <w:jc w:val="right"/>
              <w:rPr>
                <w:rFonts w:eastAsia="等线"/>
                <w:color w:val="000000"/>
                <w:sz w:val="20"/>
                <w:szCs w:val="20"/>
                <w:highlight w:val="yellow"/>
              </w:rPr>
            </w:pPr>
            <w:r>
              <w:rPr>
                <w:rFonts w:eastAsia="等线"/>
                <w:color w:val="000000"/>
                <w:sz w:val="20"/>
                <w:szCs w:val="20"/>
              </w:rPr>
              <w:t>180,131,203.44</w:t>
            </w:r>
          </w:p>
        </w:tc>
        <w:tc>
          <w:tcPr>
            <w:tcW w:w="2266" w:type="dxa"/>
            <w:shd w:val="clear" w:color="auto" w:fill="FFFFFF"/>
            <w:vAlign w:val="center"/>
          </w:tcPr>
          <w:p w14:paraId="41819FF2" w14:textId="77777777" w:rsidR="007D0267" w:rsidRDefault="00000000">
            <w:pPr>
              <w:jc w:val="right"/>
              <w:rPr>
                <w:rFonts w:eastAsia="等线"/>
                <w:color w:val="000000"/>
                <w:sz w:val="20"/>
                <w:szCs w:val="20"/>
                <w:highlight w:val="yellow"/>
              </w:rPr>
            </w:pPr>
            <w:r>
              <w:rPr>
                <w:rFonts w:eastAsia="等线"/>
                <w:color w:val="000000"/>
                <w:sz w:val="20"/>
                <w:szCs w:val="20"/>
              </w:rPr>
              <w:t xml:space="preserve">180,131,203.44 </w:t>
            </w:r>
          </w:p>
        </w:tc>
      </w:tr>
      <w:tr w:rsidR="007D0267" w14:paraId="5BE7AAF7" w14:textId="77777777">
        <w:trPr>
          <w:trHeight w:val="397"/>
          <w:jc w:val="center"/>
        </w:trPr>
        <w:tc>
          <w:tcPr>
            <w:tcW w:w="2917" w:type="dxa"/>
            <w:shd w:val="clear" w:color="auto" w:fill="FFFFFF"/>
            <w:vAlign w:val="center"/>
          </w:tcPr>
          <w:p w14:paraId="062238B0" w14:textId="77777777" w:rsidR="007D0267" w:rsidRDefault="00000000">
            <w:pPr>
              <w:widowControl/>
              <w:jc w:val="left"/>
              <w:rPr>
                <w:rFonts w:cs="宋体"/>
                <w:color w:val="000000"/>
                <w:kern w:val="0"/>
                <w:szCs w:val="21"/>
              </w:rPr>
            </w:pPr>
            <w:r>
              <w:rPr>
                <w:rFonts w:cs="宋体" w:hint="eastAsia"/>
                <w:color w:val="000000"/>
                <w:kern w:val="0"/>
                <w:szCs w:val="21"/>
              </w:rPr>
              <w:t>扣除非经常性损益后</w:t>
            </w:r>
            <w:r>
              <w:rPr>
                <w:rFonts w:hint="eastAsia"/>
                <w:szCs w:val="21"/>
              </w:rPr>
              <w:t>归属于母公司股东的净利润</w:t>
            </w:r>
            <w:r>
              <w:rPr>
                <w:rFonts w:cs="宋体" w:hint="eastAsia"/>
                <w:color w:val="000000"/>
                <w:kern w:val="0"/>
                <w:szCs w:val="21"/>
              </w:rPr>
              <w:t>（元）</w:t>
            </w:r>
          </w:p>
        </w:tc>
        <w:tc>
          <w:tcPr>
            <w:tcW w:w="1873" w:type="dxa"/>
            <w:shd w:val="clear" w:color="auto" w:fill="FFFFFF"/>
            <w:vAlign w:val="center"/>
          </w:tcPr>
          <w:p w14:paraId="69E57826" w14:textId="77777777" w:rsidR="007D0267" w:rsidRDefault="00000000">
            <w:pPr>
              <w:jc w:val="right"/>
              <w:rPr>
                <w:rFonts w:eastAsia="等线"/>
                <w:color w:val="000000"/>
                <w:sz w:val="20"/>
                <w:szCs w:val="20"/>
                <w:highlight w:val="yellow"/>
              </w:rPr>
            </w:pPr>
            <w:r>
              <w:rPr>
                <w:rFonts w:eastAsia="等线"/>
                <w:color w:val="000000"/>
                <w:sz w:val="20"/>
                <w:szCs w:val="20"/>
              </w:rPr>
              <w:t>97,939,171.27</w:t>
            </w:r>
          </w:p>
        </w:tc>
        <w:tc>
          <w:tcPr>
            <w:tcW w:w="2266" w:type="dxa"/>
            <w:shd w:val="clear" w:color="auto" w:fill="FFFFFF"/>
            <w:vAlign w:val="center"/>
          </w:tcPr>
          <w:p w14:paraId="233F3D32" w14:textId="77777777" w:rsidR="007D0267" w:rsidRDefault="00000000">
            <w:pPr>
              <w:jc w:val="right"/>
              <w:rPr>
                <w:rFonts w:eastAsia="等线"/>
                <w:color w:val="000000"/>
                <w:sz w:val="20"/>
                <w:szCs w:val="20"/>
                <w:highlight w:val="yellow"/>
              </w:rPr>
            </w:pPr>
            <w:r>
              <w:rPr>
                <w:rFonts w:eastAsia="等线"/>
                <w:color w:val="000000"/>
                <w:sz w:val="20"/>
                <w:szCs w:val="20"/>
              </w:rPr>
              <w:t xml:space="preserve">112,630,046.96 </w:t>
            </w:r>
          </w:p>
        </w:tc>
        <w:tc>
          <w:tcPr>
            <w:tcW w:w="2266" w:type="dxa"/>
            <w:gridSpan w:val="2"/>
            <w:shd w:val="clear" w:color="auto" w:fill="FFFFFF"/>
            <w:vAlign w:val="center"/>
          </w:tcPr>
          <w:p w14:paraId="4C1B7683" w14:textId="77777777" w:rsidR="007D0267" w:rsidRDefault="00000000">
            <w:pPr>
              <w:jc w:val="right"/>
              <w:rPr>
                <w:rFonts w:eastAsia="等线"/>
                <w:color w:val="000000"/>
                <w:sz w:val="20"/>
                <w:szCs w:val="20"/>
                <w:highlight w:val="yellow"/>
              </w:rPr>
            </w:pPr>
            <w:r>
              <w:rPr>
                <w:rFonts w:eastAsia="等线"/>
                <w:color w:val="000000"/>
                <w:sz w:val="20"/>
                <w:szCs w:val="20"/>
              </w:rPr>
              <w:t>129,524,554.00</w:t>
            </w:r>
          </w:p>
        </w:tc>
        <w:tc>
          <w:tcPr>
            <w:tcW w:w="2266" w:type="dxa"/>
            <w:shd w:val="clear" w:color="auto" w:fill="FFFFFF"/>
            <w:vAlign w:val="center"/>
          </w:tcPr>
          <w:p w14:paraId="549E6724" w14:textId="77777777" w:rsidR="007D0267" w:rsidRDefault="00000000">
            <w:pPr>
              <w:jc w:val="right"/>
              <w:rPr>
                <w:rFonts w:eastAsia="等线"/>
                <w:color w:val="000000"/>
                <w:sz w:val="20"/>
                <w:szCs w:val="20"/>
                <w:highlight w:val="yellow"/>
              </w:rPr>
            </w:pPr>
            <w:r>
              <w:rPr>
                <w:rFonts w:eastAsia="等线"/>
                <w:color w:val="000000"/>
                <w:sz w:val="20"/>
                <w:szCs w:val="20"/>
              </w:rPr>
              <w:t xml:space="preserve">129,524,554.00 </w:t>
            </w:r>
          </w:p>
        </w:tc>
      </w:tr>
      <w:tr w:rsidR="007D0267" w14:paraId="0247E64B" w14:textId="77777777">
        <w:trPr>
          <w:trHeight w:val="397"/>
          <w:jc w:val="center"/>
        </w:trPr>
        <w:tc>
          <w:tcPr>
            <w:tcW w:w="2917" w:type="dxa"/>
            <w:shd w:val="clear" w:color="auto" w:fill="FFFFFF"/>
            <w:vAlign w:val="center"/>
          </w:tcPr>
          <w:p w14:paraId="6196AC3B" w14:textId="77777777" w:rsidR="007D0267" w:rsidRDefault="00000000">
            <w:pPr>
              <w:widowControl/>
              <w:jc w:val="left"/>
              <w:rPr>
                <w:rFonts w:cs="宋体"/>
                <w:color w:val="000000"/>
                <w:kern w:val="0"/>
                <w:szCs w:val="21"/>
              </w:rPr>
            </w:pPr>
            <w:r>
              <w:rPr>
                <w:rFonts w:cs="宋体" w:hint="eastAsia"/>
                <w:color w:val="000000"/>
                <w:kern w:val="0"/>
                <w:szCs w:val="21"/>
              </w:rPr>
              <w:t>归属于母公司所有者权益（元）</w:t>
            </w:r>
          </w:p>
        </w:tc>
        <w:tc>
          <w:tcPr>
            <w:tcW w:w="1873" w:type="dxa"/>
            <w:shd w:val="clear" w:color="auto" w:fill="FFFFFF"/>
            <w:vAlign w:val="center"/>
          </w:tcPr>
          <w:p w14:paraId="6C5A3FDA" w14:textId="77777777" w:rsidR="007D0267" w:rsidRDefault="00000000">
            <w:pPr>
              <w:jc w:val="right"/>
              <w:rPr>
                <w:rFonts w:eastAsia="等线"/>
                <w:color w:val="000000"/>
                <w:sz w:val="20"/>
                <w:szCs w:val="20"/>
                <w:highlight w:val="yellow"/>
              </w:rPr>
            </w:pPr>
            <w:r>
              <w:rPr>
                <w:rFonts w:eastAsia="等线"/>
                <w:color w:val="000000"/>
                <w:sz w:val="20"/>
                <w:szCs w:val="20"/>
              </w:rPr>
              <w:t>733,889,514.15</w:t>
            </w:r>
          </w:p>
        </w:tc>
        <w:tc>
          <w:tcPr>
            <w:tcW w:w="2266" w:type="dxa"/>
            <w:shd w:val="clear" w:color="auto" w:fill="FFFFFF"/>
            <w:vAlign w:val="center"/>
          </w:tcPr>
          <w:p w14:paraId="5D508807" w14:textId="77777777" w:rsidR="007D0267" w:rsidRDefault="00000000">
            <w:pPr>
              <w:jc w:val="right"/>
              <w:rPr>
                <w:rFonts w:eastAsia="等线"/>
                <w:color w:val="000000"/>
                <w:sz w:val="20"/>
                <w:szCs w:val="20"/>
                <w:highlight w:val="yellow"/>
              </w:rPr>
            </w:pPr>
            <w:r>
              <w:rPr>
                <w:rFonts w:eastAsia="等线"/>
                <w:color w:val="000000"/>
                <w:sz w:val="20"/>
                <w:szCs w:val="20"/>
              </w:rPr>
              <w:t xml:space="preserve">839,862,198.82 </w:t>
            </w:r>
          </w:p>
        </w:tc>
        <w:tc>
          <w:tcPr>
            <w:tcW w:w="2266" w:type="dxa"/>
            <w:gridSpan w:val="2"/>
            <w:shd w:val="clear" w:color="auto" w:fill="FFFFFF"/>
            <w:vAlign w:val="center"/>
          </w:tcPr>
          <w:p w14:paraId="757F5BDE" w14:textId="77777777" w:rsidR="007D0267" w:rsidRDefault="00000000">
            <w:pPr>
              <w:jc w:val="right"/>
              <w:rPr>
                <w:rFonts w:eastAsia="等线"/>
                <w:color w:val="000000"/>
                <w:sz w:val="20"/>
                <w:szCs w:val="20"/>
                <w:highlight w:val="yellow"/>
              </w:rPr>
            </w:pPr>
            <w:r>
              <w:rPr>
                <w:rFonts w:eastAsia="等线"/>
                <w:color w:val="000000"/>
                <w:sz w:val="20"/>
                <w:szCs w:val="20"/>
              </w:rPr>
              <w:t>1,341,823,402.26</w:t>
            </w:r>
          </w:p>
        </w:tc>
        <w:tc>
          <w:tcPr>
            <w:tcW w:w="2266" w:type="dxa"/>
            <w:shd w:val="clear" w:color="auto" w:fill="FFFFFF"/>
            <w:vAlign w:val="center"/>
          </w:tcPr>
          <w:p w14:paraId="31F43FFF" w14:textId="77777777" w:rsidR="007D0267" w:rsidRDefault="00000000">
            <w:pPr>
              <w:jc w:val="right"/>
              <w:rPr>
                <w:rFonts w:eastAsia="等线"/>
                <w:color w:val="000000"/>
                <w:sz w:val="20"/>
                <w:szCs w:val="20"/>
                <w:highlight w:val="yellow"/>
              </w:rPr>
            </w:pPr>
            <w:r>
              <w:rPr>
                <w:rFonts w:eastAsia="等线"/>
                <w:color w:val="000000"/>
                <w:sz w:val="20"/>
                <w:szCs w:val="20"/>
              </w:rPr>
              <w:t xml:space="preserve">1,019,993,402.26 </w:t>
            </w:r>
          </w:p>
        </w:tc>
      </w:tr>
      <w:tr w:rsidR="007D0267" w14:paraId="55956C1E" w14:textId="77777777">
        <w:trPr>
          <w:trHeight w:val="397"/>
          <w:jc w:val="center"/>
        </w:trPr>
        <w:tc>
          <w:tcPr>
            <w:tcW w:w="2917" w:type="dxa"/>
            <w:shd w:val="clear" w:color="auto" w:fill="FFFFFF"/>
            <w:vAlign w:val="center"/>
          </w:tcPr>
          <w:p w14:paraId="1B5A77C2" w14:textId="77777777" w:rsidR="007D0267" w:rsidRDefault="00000000">
            <w:pPr>
              <w:widowControl/>
              <w:jc w:val="left"/>
              <w:rPr>
                <w:rFonts w:cs="宋体"/>
                <w:color w:val="000000"/>
                <w:kern w:val="0"/>
                <w:szCs w:val="21"/>
              </w:rPr>
            </w:pPr>
            <w:r>
              <w:rPr>
                <w:rFonts w:cs="宋体" w:hint="eastAsia"/>
                <w:color w:val="000000"/>
                <w:kern w:val="0"/>
                <w:szCs w:val="21"/>
              </w:rPr>
              <w:t>基本每股收益（元</w:t>
            </w:r>
            <w:r>
              <w:rPr>
                <w:color w:val="000000"/>
                <w:kern w:val="0"/>
                <w:szCs w:val="21"/>
              </w:rPr>
              <w:t>/</w:t>
            </w:r>
            <w:r>
              <w:rPr>
                <w:rFonts w:cs="宋体" w:hint="eastAsia"/>
                <w:color w:val="000000"/>
                <w:kern w:val="0"/>
                <w:szCs w:val="21"/>
              </w:rPr>
              <w:t>股）</w:t>
            </w:r>
          </w:p>
        </w:tc>
        <w:tc>
          <w:tcPr>
            <w:tcW w:w="1873" w:type="dxa"/>
            <w:shd w:val="clear" w:color="auto" w:fill="FFFFFF"/>
            <w:vAlign w:val="center"/>
          </w:tcPr>
          <w:p w14:paraId="78B0FCE8" w14:textId="77777777" w:rsidR="007D0267" w:rsidRDefault="00000000">
            <w:pPr>
              <w:jc w:val="right"/>
              <w:rPr>
                <w:rFonts w:eastAsia="等线"/>
                <w:color w:val="000000"/>
                <w:sz w:val="20"/>
                <w:szCs w:val="20"/>
                <w:highlight w:val="yellow"/>
              </w:rPr>
            </w:pPr>
            <w:r>
              <w:rPr>
                <w:rFonts w:eastAsia="等线"/>
                <w:color w:val="000000"/>
                <w:sz w:val="20"/>
                <w:szCs w:val="20"/>
              </w:rPr>
              <w:t>0.81</w:t>
            </w:r>
          </w:p>
        </w:tc>
        <w:tc>
          <w:tcPr>
            <w:tcW w:w="2266" w:type="dxa"/>
            <w:shd w:val="clear" w:color="auto" w:fill="FFFFFF"/>
            <w:vAlign w:val="center"/>
          </w:tcPr>
          <w:p w14:paraId="38E3404D" w14:textId="77777777" w:rsidR="007D0267" w:rsidRDefault="00000000">
            <w:pPr>
              <w:jc w:val="right"/>
              <w:rPr>
                <w:rFonts w:eastAsia="等线"/>
                <w:color w:val="000000"/>
                <w:sz w:val="20"/>
                <w:szCs w:val="20"/>
                <w:highlight w:val="yellow"/>
              </w:rPr>
            </w:pPr>
            <w:r>
              <w:rPr>
                <w:rFonts w:eastAsia="等线"/>
                <w:color w:val="000000"/>
                <w:sz w:val="20"/>
                <w:szCs w:val="20"/>
              </w:rPr>
              <w:t xml:space="preserve">0.93 </w:t>
            </w:r>
          </w:p>
        </w:tc>
        <w:tc>
          <w:tcPr>
            <w:tcW w:w="2266" w:type="dxa"/>
            <w:gridSpan w:val="2"/>
            <w:shd w:val="clear" w:color="auto" w:fill="FFFFFF"/>
            <w:vAlign w:val="center"/>
          </w:tcPr>
          <w:p w14:paraId="012692BB" w14:textId="77777777" w:rsidR="007D0267" w:rsidRDefault="00000000">
            <w:pPr>
              <w:jc w:val="right"/>
              <w:rPr>
                <w:rFonts w:eastAsia="等线"/>
                <w:color w:val="000000"/>
                <w:sz w:val="20"/>
                <w:szCs w:val="20"/>
                <w:highlight w:val="yellow"/>
              </w:rPr>
            </w:pPr>
            <w:r>
              <w:rPr>
                <w:rFonts w:eastAsia="等线"/>
                <w:color w:val="000000"/>
                <w:sz w:val="20"/>
                <w:szCs w:val="20"/>
              </w:rPr>
              <w:t>1.00</w:t>
            </w:r>
          </w:p>
        </w:tc>
        <w:tc>
          <w:tcPr>
            <w:tcW w:w="2266" w:type="dxa"/>
            <w:shd w:val="clear" w:color="auto" w:fill="FFFFFF"/>
            <w:vAlign w:val="center"/>
          </w:tcPr>
          <w:p w14:paraId="3FD7D1B9" w14:textId="77777777" w:rsidR="007D0267" w:rsidRDefault="00000000">
            <w:pPr>
              <w:jc w:val="right"/>
              <w:rPr>
                <w:rFonts w:eastAsia="等线"/>
                <w:color w:val="000000"/>
                <w:sz w:val="20"/>
                <w:szCs w:val="20"/>
                <w:highlight w:val="yellow"/>
              </w:rPr>
            </w:pPr>
            <w:r>
              <w:rPr>
                <w:rFonts w:eastAsia="等线"/>
                <w:color w:val="000000"/>
                <w:sz w:val="20"/>
                <w:szCs w:val="20"/>
              </w:rPr>
              <w:t xml:space="preserve">1.07 </w:t>
            </w:r>
          </w:p>
        </w:tc>
      </w:tr>
      <w:tr w:rsidR="007D0267" w14:paraId="77409D04" w14:textId="77777777">
        <w:trPr>
          <w:trHeight w:val="397"/>
          <w:jc w:val="center"/>
        </w:trPr>
        <w:tc>
          <w:tcPr>
            <w:tcW w:w="2917" w:type="dxa"/>
            <w:shd w:val="clear" w:color="auto" w:fill="FFFFFF"/>
            <w:vAlign w:val="center"/>
          </w:tcPr>
          <w:p w14:paraId="60618BE5" w14:textId="77777777" w:rsidR="007D0267" w:rsidRDefault="00000000">
            <w:pPr>
              <w:widowControl/>
              <w:jc w:val="left"/>
              <w:rPr>
                <w:rFonts w:cs="宋体"/>
                <w:color w:val="000000"/>
                <w:kern w:val="0"/>
                <w:szCs w:val="21"/>
              </w:rPr>
            </w:pPr>
            <w:r>
              <w:rPr>
                <w:rFonts w:cs="宋体" w:hint="eastAsia"/>
                <w:color w:val="000000"/>
                <w:kern w:val="0"/>
                <w:szCs w:val="21"/>
              </w:rPr>
              <w:t>稀释每股收益（元</w:t>
            </w:r>
            <w:r>
              <w:rPr>
                <w:color w:val="000000"/>
                <w:kern w:val="0"/>
                <w:szCs w:val="21"/>
              </w:rPr>
              <w:t>/</w:t>
            </w:r>
            <w:r>
              <w:rPr>
                <w:rFonts w:cs="宋体" w:hint="eastAsia"/>
                <w:color w:val="000000"/>
                <w:kern w:val="0"/>
                <w:szCs w:val="21"/>
              </w:rPr>
              <w:t>股）</w:t>
            </w:r>
          </w:p>
        </w:tc>
        <w:tc>
          <w:tcPr>
            <w:tcW w:w="1873" w:type="dxa"/>
            <w:shd w:val="clear" w:color="auto" w:fill="FFFFFF"/>
            <w:vAlign w:val="center"/>
          </w:tcPr>
          <w:p w14:paraId="1940B798" w14:textId="77777777" w:rsidR="007D0267" w:rsidRDefault="00000000">
            <w:pPr>
              <w:jc w:val="right"/>
              <w:rPr>
                <w:rFonts w:eastAsia="等线"/>
                <w:color w:val="000000"/>
                <w:sz w:val="20"/>
                <w:szCs w:val="20"/>
                <w:highlight w:val="yellow"/>
              </w:rPr>
            </w:pPr>
            <w:r>
              <w:rPr>
                <w:rFonts w:eastAsia="等线"/>
                <w:color w:val="000000"/>
                <w:sz w:val="20"/>
                <w:szCs w:val="20"/>
              </w:rPr>
              <w:t>0.80</w:t>
            </w:r>
          </w:p>
        </w:tc>
        <w:tc>
          <w:tcPr>
            <w:tcW w:w="2266" w:type="dxa"/>
            <w:shd w:val="clear" w:color="auto" w:fill="FFFFFF"/>
            <w:vAlign w:val="center"/>
          </w:tcPr>
          <w:p w14:paraId="62D00F2B" w14:textId="77777777" w:rsidR="007D0267" w:rsidRDefault="00000000">
            <w:pPr>
              <w:jc w:val="right"/>
              <w:rPr>
                <w:rFonts w:eastAsia="等线"/>
                <w:color w:val="000000"/>
                <w:sz w:val="20"/>
                <w:szCs w:val="20"/>
                <w:highlight w:val="yellow"/>
              </w:rPr>
            </w:pPr>
            <w:r>
              <w:rPr>
                <w:rFonts w:eastAsia="等线"/>
                <w:color w:val="000000"/>
                <w:sz w:val="20"/>
                <w:szCs w:val="20"/>
              </w:rPr>
              <w:t xml:space="preserve">0.93 </w:t>
            </w:r>
          </w:p>
        </w:tc>
        <w:tc>
          <w:tcPr>
            <w:tcW w:w="2266" w:type="dxa"/>
            <w:gridSpan w:val="2"/>
            <w:shd w:val="clear" w:color="auto" w:fill="FFFFFF"/>
            <w:vAlign w:val="center"/>
          </w:tcPr>
          <w:p w14:paraId="62E2D35D" w14:textId="77777777" w:rsidR="007D0267" w:rsidRDefault="00000000">
            <w:pPr>
              <w:jc w:val="right"/>
              <w:rPr>
                <w:rFonts w:eastAsia="等线"/>
                <w:color w:val="000000"/>
                <w:sz w:val="20"/>
                <w:szCs w:val="20"/>
                <w:highlight w:val="yellow"/>
              </w:rPr>
            </w:pPr>
            <w:r>
              <w:rPr>
                <w:rFonts w:eastAsia="等线"/>
                <w:color w:val="000000"/>
                <w:sz w:val="20"/>
                <w:szCs w:val="20"/>
              </w:rPr>
              <w:t>0.94</w:t>
            </w:r>
          </w:p>
        </w:tc>
        <w:tc>
          <w:tcPr>
            <w:tcW w:w="2266" w:type="dxa"/>
            <w:shd w:val="clear" w:color="auto" w:fill="FFFFFF"/>
            <w:vAlign w:val="center"/>
          </w:tcPr>
          <w:p w14:paraId="32D38275" w14:textId="77777777" w:rsidR="007D0267" w:rsidRDefault="00000000">
            <w:pPr>
              <w:jc w:val="right"/>
              <w:rPr>
                <w:rFonts w:eastAsia="等线"/>
                <w:color w:val="000000"/>
                <w:sz w:val="20"/>
                <w:szCs w:val="20"/>
                <w:highlight w:val="yellow"/>
              </w:rPr>
            </w:pPr>
            <w:r>
              <w:rPr>
                <w:rFonts w:eastAsia="等线"/>
                <w:color w:val="000000"/>
                <w:sz w:val="20"/>
                <w:szCs w:val="20"/>
              </w:rPr>
              <w:t xml:space="preserve">0.93 </w:t>
            </w:r>
          </w:p>
        </w:tc>
      </w:tr>
      <w:tr w:rsidR="007D0267" w14:paraId="043D659A" w14:textId="77777777">
        <w:trPr>
          <w:trHeight w:val="397"/>
          <w:jc w:val="center"/>
        </w:trPr>
        <w:tc>
          <w:tcPr>
            <w:tcW w:w="2917" w:type="dxa"/>
            <w:shd w:val="clear" w:color="auto" w:fill="FFFFFF"/>
            <w:vAlign w:val="center"/>
          </w:tcPr>
          <w:p w14:paraId="04D48C7B" w14:textId="77777777" w:rsidR="007D0267" w:rsidRDefault="00000000">
            <w:pPr>
              <w:widowControl/>
              <w:jc w:val="left"/>
              <w:rPr>
                <w:rFonts w:cs="宋体"/>
                <w:color w:val="000000"/>
                <w:kern w:val="0"/>
                <w:szCs w:val="21"/>
              </w:rPr>
            </w:pPr>
            <w:r>
              <w:rPr>
                <w:rFonts w:cs="宋体" w:hint="eastAsia"/>
                <w:color w:val="000000"/>
                <w:kern w:val="0"/>
                <w:szCs w:val="21"/>
              </w:rPr>
              <w:t>扣除非经常性损益后基本每股收益（元</w:t>
            </w:r>
            <w:r>
              <w:rPr>
                <w:color w:val="000000"/>
                <w:kern w:val="0"/>
                <w:szCs w:val="21"/>
              </w:rPr>
              <w:t>/</w:t>
            </w:r>
            <w:r>
              <w:rPr>
                <w:rFonts w:cs="宋体" w:hint="eastAsia"/>
                <w:color w:val="000000"/>
                <w:kern w:val="0"/>
                <w:szCs w:val="21"/>
              </w:rPr>
              <w:t>股）</w:t>
            </w:r>
          </w:p>
        </w:tc>
        <w:tc>
          <w:tcPr>
            <w:tcW w:w="1873" w:type="dxa"/>
            <w:shd w:val="clear" w:color="auto" w:fill="FFFFFF"/>
            <w:vAlign w:val="center"/>
          </w:tcPr>
          <w:p w14:paraId="691DFF0E" w14:textId="77777777" w:rsidR="007D0267" w:rsidRDefault="00000000">
            <w:pPr>
              <w:jc w:val="right"/>
              <w:rPr>
                <w:rFonts w:eastAsia="等线"/>
                <w:color w:val="000000"/>
                <w:sz w:val="20"/>
                <w:szCs w:val="20"/>
                <w:highlight w:val="yellow"/>
              </w:rPr>
            </w:pPr>
            <w:r>
              <w:rPr>
                <w:rFonts w:eastAsia="等线"/>
                <w:color w:val="000000"/>
                <w:sz w:val="20"/>
                <w:szCs w:val="20"/>
              </w:rPr>
              <w:t>0.58</w:t>
            </w:r>
          </w:p>
        </w:tc>
        <w:tc>
          <w:tcPr>
            <w:tcW w:w="2266" w:type="dxa"/>
            <w:shd w:val="clear" w:color="auto" w:fill="FFFFFF"/>
            <w:vAlign w:val="center"/>
          </w:tcPr>
          <w:p w14:paraId="3ECEBB04" w14:textId="77777777" w:rsidR="007D0267" w:rsidRDefault="00000000">
            <w:pPr>
              <w:jc w:val="right"/>
              <w:rPr>
                <w:rFonts w:eastAsia="等线"/>
                <w:color w:val="000000"/>
                <w:sz w:val="20"/>
                <w:szCs w:val="20"/>
                <w:highlight w:val="yellow"/>
              </w:rPr>
            </w:pPr>
            <w:r>
              <w:rPr>
                <w:rFonts w:eastAsia="等线"/>
                <w:color w:val="000000"/>
                <w:sz w:val="20"/>
                <w:szCs w:val="20"/>
              </w:rPr>
              <w:t xml:space="preserve">0.67 </w:t>
            </w:r>
          </w:p>
        </w:tc>
        <w:tc>
          <w:tcPr>
            <w:tcW w:w="2266" w:type="dxa"/>
            <w:gridSpan w:val="2"/>
            <w:shd w:val="clear" w:color="auto" w:fill="FFFFFF"/>
            <w:vAlign w:val="center"/>
          </w:tcPr>
          <w:p w14:paraId="1BE956C1" w14:textId="77777777" w:rsidR="007D0267" w:rsidRDefault="00000000">
            <w:pPr>
              <w:jc w:val="right"/>
              <w:rPr>
                <w:rFonts w:eastAsia="等线"/>
                <w:color w:val="000000"/>
                <w:sz w:val="20"/>
                <w:szCs w:val="20"/>
                <w:highlight w:val="yellow"/>
              </w:rPr>
            </w:pPr>
            <w:r>
              <w:rPr>
                <w:rFonts w:eastAsia="等线"/>
                <w:color w:val="000000"/>
                <w:sz w:val="20"/>
                <w:szCs w:val="20"/>
              </w:rPr>
              <w:t>0.72</w:t>
            </w:r>
          </w:p>
        </w:tc>
        <w:tc>
          <w:tcPr>
            <w:tcW w:w="2266" w:type="dxa"/>
            <w:shd w:val="clear" w:color="auto" w:fill="FFFFFF"/>
            <w:vAlign w:val="center"/>
          </w:tcPr>
          <w:p w14:paraId="61B1FCD5" w14:textId="77777777" w:rsidR="007D0267" w:rsidRDefault="00000000">
            <w:pPr>
              <w:jc w:val="right"/>
              <w:rPr>
                <w:rFonts w:eastAsia="等线"/>
                <w:color w:val="000000"/>
                <w:sz w:val="20"/>
                <w:szCs w:val="20"/>
                <w:highlight w:val="yellow"/>
              </w:rPr>
            </w:pPr>
            <w:r>
              <w:rPr>
                <w:rFonts w:eastAsia="等线"/>
                <w:color w:val="000000"/>
                <w:sz w:val="20"/>
                <w:szCs w:val="20"/>
              </w:rPr>
              <w:t xml:space="preserve">0.77 </w:t>
            </w:r>
          </w:p>
        </w:tc>
      </w:tr>
      <w:tr w:rsidR="007D0267" w14:paraId="7FF1A0B9" w14:textId="77777777">
        <w:trPr>
          <w:trHeight w:val="397"/>
          <w:jc w:val="center"/>
        </w:trPr>
        <w:tc>
          <w:tcPr>
            <w:tcW w:w="2917" w:type="dxa"/>
            <w:shd w:val="clear" w:color="auto" w:fill="FFFFFF"/>
            <w:vAlign w:val="center"/>
          </w:tcPr>
          <w:p w14:paraId="426F7FD7" w14:textId="77777777" w:rsidR="007D0267" w:rsidRDefault="00000000">
            <w:pPr>
              <w:widowControl/>
              <w:jc w:val="left"/>
              <w:rPr>
                <w:rFonts w:cs="宋体"/>
                <w:color w:val="000000"/>
                <w:kern w:val="0"/>
                <w:szCs w:val="21"/>
              </w:rPr>
            </w:pPr>
            <w:r>
              <w:rPr>
                <w:rFonts w:cs="宋体" w:hint="eastAsia"/>
                <w:color w:val="000000"/>
                <w:kern w:val="0"/>
                <w:szCs w:val="21"/>
              </w:rPr>
              <w:t>扣除非经常性损益后稀释每股收益（元</w:t>
            </w:r>
            <w:r>
              <w:rPr>
                <w:color w:val="000000"/>
                <w:kern w:val="0"/>
                <w:szCs w:val="21"/>
              </w:rPr>
              <w:t>/</w:t>
            </w:r>
            <w:r>
              <w:rPr>
                <w:rFonts w:cs="宋体" w:hint="eastAsia"/>
                <w:color w:val="000000"/>
                <w:kern w:val="0"/>
                <w:szCs w:val="21"/>
              </w:rPr>
              <w:t>股）</w:t>
            </w:r>
          </w:p>
        </w:tc>
        <w:tc>
          <w:tcPr>
            <w:tcW w:w="1873" w:type="dxa"/>
            <w:shd w:val="clear" w:color="auto" w:fill="FFFFFF"/>
            <w:vAlign w:val="center"/>
          </w:tcPr>
          <w:p w14:paraId="4A882C1A" w14:textId="77777777" w:rsidR="007D0267" w:rsidRDefault="00000000">
            <w:pPr>
              <w:jc w:val="right"/>
              <w:rPr>
                <w:rFonts w:eastAsia="等线"/>
                <w:color w:val="000000"/>
                <w:sz w:val="20"/>
                <w:szCs w:val="20"/>
                <w:highlight w:val="yellow"/>
              </w:rPr>
            </w:pPr>
            <w:r>
              <w:rPr>
                <w:rFonts w:eastAsia="等线"/>
                <w:color w:val="000000"/>
                <w:sz w:val="20"/>
                <w:szCs w:val="20"/>
              </w:rPr>
              <w:t>0.58</w:t>
            </w:r>
          </w:p>
        </w:tc>
        <w:tc>
          <w:tcPr>
            <w:tcW w:w="2266" w:type="dxa"/>
            <w:shd w:val="clear" w:color="auto" w:fill="FFFFFF"/>
            <w:vAlign w:val="center"/>
          </w:tcPr>
          <w:p w14:paraId="6510C8D8" w14:textId="77777777" w:rsidR="007D0267" w:rsidRDefault="00000000">
            <w:pPr>
              <w:jc w:val="right"/>
              <w:rPr>
                <w:rFonts w:eastAsia="等线"/>
                <w:color w:val="000000"/>
                <w:sz w:val="20"/>
                <w:szCs w:val="20"/>
                <w:highlight w:val="yellow"/>
              </w:rPr>
            </w:pPr>
            <w:r>
              <w:rPr>
                <w:rFonts w:eastAsia="等线"/>
                <w:color w:val="000000"/>
                <w:sz w:val="20"/>
                <w:szCs w:val="20"/>
              </w:rPr>
              <w:t xml:space="preserve">0.67 </w:t>
            </w:r>
          </w:p>
        </w:tc>
        <w:tc>
          <w:tcPr>
            <w:tcW w:w="2266" w:type="dxa"/>
            <w:gridSpan w:val="2"/>
            <w:shd w:val="clear" w:color="auto" w:fill="FFFFFF"/>
            <w:vAlign w:val="center"/>
          </w:tcPr>
          <w:p w14:paraId="4FF5F9C8" w14:textId="77777777" w:rsidR="007D0267" w:rsidRDefault="00000000">
            <w:pPr>
              <w:jc w:val="right"/>
              <w:rPr>
                <w:rFonts w:eastAsia="等线"/>
                <w:color w:val="000000"/>
                <w:sz w:val="20"/>
                <w:szCs w:val="20"/>
                <w:highlight w:val="yellow"/>
              </w:rPr>
            </w:pPr>
            <w:r>
              <w:rPr>
                <w:rFonts w:eastAsia="等线"/>
                <w:color w:val="000000"/>
                <w:sz w:val="20"/>
                <w:szCs w:val="20"/>
              </w:rPr>
              <w:t>0.67</w:t>
            </w:r>
          </w:p>
        </w:tc>
        <w:tc>
          <w:tcPr>
            <w:tcW w:w="2266" w:type="dxa"/>
            <w:shd w:val="clear" w:color="auto" w:fill="FFFFFF"/>
            <w:vAlign w:val="center"/>
          </w:tcPr>
          <w:p w14:paraId="2A7C5C67" w14:textId="77777777" w:rsidR="007D0267" w:rsidRDefault="00000000">
            <w:pPr>
              <w:jc w:val="right"/>
              <w:rPr>
                <w:rFonts w:eastAsia="等线"/>
                <w:color w:val="000000"/>
                <w:sz w:val="20"/>
                <w:szCs w:val="20"/>
                <w:highlight w:val="yellow"/>
              </w:rPr>
            </w:pPr>
            <w:r>
              <w:rPr>
                <w:rFonts w:eastAsia="等线"/>
                <w:color w:val="000000"/>
                <w:sz w:val="20"/>
                <w:szCs w:val="20"/>
              </w:rPr>
              <w:t xml:space="preserve">0.67 </w:t>
            </w:r>
          </w:p>
        </w:tc>
      </w:tr>
      <w:tr w:rsidR="007D0267" w14:paraId="18140193" w14:textId="77777777">
        <w:trPr>
          <w:trHeight w:val="397"/>
          <w:jc w:val="center"/>
        </w:trPr>
        <w:tc>
          <w:tcPr>
            <w:tcW w:w="2917" w:type="dxa"/>
            <w:shd w:val="clear" w:color="auto" w:fill="FFFFFF"/>
            <w:vAlign w:val="center"/>
          </w:tcPr>
          <w:p w14:paraId="73AFDA15" w14:textId="77777777" w:rsidR="007D0267" w:rsidRDefault="00000000">
            <w:pPr>
              <w:widowControl/>
              <w:jc w:val="left"/>
              <w:rPr>
                <w:rFonts w:cs="宋体"/>
                <w:color w:val="000000"/>
                <w:kern w:val="0"/>
                <w:szCs w:val="21"/>
              </w:rPr>
            </w:pPr>
            <w:r>
              <w:rPr>
                <w:rFonts w:cs="宋体" w:hint="eastAsia"/>
                <w:color w:val="000000"/>
                <w:kern w:val="0"/>
                <w:szCs w:val="21"/>
              </w:rPr>
              <w:t>加权平均净资产收益率</w:t>
            </w:r>
          </w:p>
        </w:tc>
        <w:tc>
          <w:tcPr>
            <w:tcW w:w="1873" w:type="dxa"/>
            <w:shd w:val="clear" w:color="auto" w:fill="FFFFFF"/>
            <w:vAlign w:val="center"/>
          </w:tcPr>
          <w:p w14:paraId="3C4E41A7" w14:textId="77777777" w:rsidR="007D0267" w:rsidRDefault="00000000">
            <w:pPr>
              <w:jc w:val="right"/>
              <w:rPr>
                <w:rFonts w:eastAsia="等线"/>
                <w:color w:val="000000"/>
                <w:sz w:val="20"/>
                <w:szCs w:val="20"/>
                <w:highlight w:val="yellow"/>
              </w:rPr>
            </w:pPr>
            <w:r>
              <w:rPr>
                <w:rFonts w:eastAsia="等线"/>
                <w:color w:val="000000"/>
                <w:sz w:val="20"/>
                <w:szCs w:val="20"/>
              </w:rPr>
              <w:t>19.94%</w:t>
            </w:r>
          </w:p>
        </w:tc>
        <w:tc>
          <w:tcPr>
            <w:tcW w:w="2266" w:type="dxa"/>
            <w:shd w:val="clear" w:color="auto" w:fill="FFFFFF"/>
            <w:vAlign w:val="center"/>
          </w:tcPr>
          <w:p w14:paraId="21397E69" w14:textId="77777777" w:rsidR="007D0267" w:rsidRDefault="00000000">
            <w:pPr>
              <w:jc w:val="right"/>
              <w:rPr>
                <w:rFonts w:eastAsia="等线"/>
                <w:color w:val="000000"/>
                <w:sz w:val="20"/>
                <w:szCs w:val="20"/>
                <w:highlight w:val="yellow"/>
              </w:rPr>
            </w:pPr>
            <w:r>
              <w:rPr>
                <w:rFonts w:eastAsia="等线"/>
                <w:color w:val="000000"/>
                <w:sz w:val="20"/>
                <w:szCs w:val="20"/>
              </w:rPr>
              <w:t>19.91%</w:t>
            </w:r>
          </w:p>
        </w:tc>
        <w:tc>
          <w:tcPr>
            <w:tcW w:w="2266" w:type="dxa"/>
            <w:gridSpan w:val="2"/>
            <w:shd w:val="clear" w:color="auto" w:fill="FFFFFF"/>
            <w:vAlign w:val="center"/>
          </w:tcPr>
          <w:p w14:paraId="35B33459" w14:textId="77777777" w:rsidR="007D0267" w:rsidRDefault="00000000">
            <w:pPr>
              <w:jc w:val="right"/>
              <w:rPr>
                <w:rFonts w:eastAsia="等线"/>
                <w:color w:val="000000"/>
                <w:sz w:val="20"/>
                <w:szCs w:val="20"/>
                <w:highlight w:val="yellow"/>
              </w:rPr>
            </w:pPr>
            <w:r>
              <w:rPr>
                <w:rFonts w:eastAsia="等线"/>
                <w:color w:val="000000"/>
                <w:sz w:val="20"/>
                <w:szCs w:val="20"/>
              </w:rPr>
              <w:t>16.51%</w:t>
            </w:r>
          </w:p>
        </w:tc>
        <w:tc>
          <w:tcPr>
            <w:tcW w:w="2266" w:type="dxa"/>
            <w:shd w:val="clear" w:color="auto" w:fill="FFFFFF"/>
            <w:vAlign w:val="center"/>
          </w:tcPr>
          <w:p w14:paraId="36EC08A2" w14:textId="77777777" w:rsidR="007D0267" w:rsidRDefault="00000000">
            <w:pPr>
              <w:jc w:val="right"/>
              <w:rPr>
                <w:rFonts w:eastAsia="等线"/>
                <w:color w:val="000000"/>
                <w:sz w:val="20"/>
                <w:szCs w:val="20"/>
                <w:highlight w:val="yellow"/>
              </w:rPr>
            </w:pPr>
            <w:r>
              <w:rPr>
                <w:rFonts w:eastAsia="等线"/>
                <w:color w:val="000000"/>
                <w:sz w:val="20"/>
                <w:szCs w:val="20"/>
              </w:rPr>
              <w:t>19.37%</w:t>
            </w:r>
          </w:p>
        </w:tc>
      </w:tr>
      <w:tr w:rsidR="007D0267" w14:paraId="301962DC" w14:textId="77777777">
        <w:trPr>
          <w:trHeight w:val="397"/>
          <w:jc w:val="center"/>
        </w:trPr>
        <w:tc>
          <w:tcPr>
            <w:tcW w:w="2917" w:type="dxa"/>
            <w:shd w:val="clear" w:color="auto" w:fill="FFFFFF"/>
            <w:vAlign w:val="center"/>
          </w:tcPr>
          <w:p w14:paraId="528D2C42" w14:textId="77777777" w:rsidR="007D0267" w:rsidRDefault="00000000">
            <w:pPr>
              <w:widowControl/>
              <w:jc w:val="left"/>
              <w:rPr>
                <w:rFonts w:cs="宋体"/>
                <w:color w:val="000000"/>
                <w:kern w:val="0"/>
                <w:szCs w:val="21"/>
              </w:rPr>
            </w:pPr>
            <w:r>
              <w:rPr>
                <w:rFonts w:cs="宋体" w:hint="eastAsia"/>
                <w:color w:val="000000"/>
                <w:kern w:val="0"/>
                <w:szCs w:val="21"/>
              </w:rPr>
              <w:t>扣除非经常性损益后加权平均净资产收益率</w:t>
            </w:r>
          </w:p>
        </w:tc>
        <w:tc>
          <w:tcPr>
            <w:tcW w:w="1873" w:type="dxa"/>
            <w:shd w:val="clear" w:color="auto" w:fill="FFFFFF"/>
            <w:vAlign w:val="center"/>
          </w:tcPr>
          <w:p w14:paraId="0CE7C13D" w14:textId="77777777" w:rsidR="007D0267" w:rsidRDefault="00000000">
            <w:pPr>
              <w:jc w:val="right"/>
              <w:rPr>
                <w:rFonts w:eastAsia="等线"/>
                <w:color w:val="000000"/>
                <w:sz w:val="20"/>
                <w:szCs w:val="20"/>
                <w:highlight w:val="yellow"/>
              </w:rPr>
            </w:pPr>
            <w:r>
              <w:rPr>
                <w:rFonts w:eastAsia="等线"/>
                <w:color w:val="000000"/>
                <w:sz w:val="20"/>
                <w:szCs w:val="20"/>
              </w:rPr>
              <w:t>14.34%</w:t>
            </w:r>
          </w:p>
        </w:tc>
        <w:tc>
          <w:tcPr>
            <w:tcW w:w="2266" w:type="dxa"/>
            <w:shd w:val="clear" w:color="auto" w:fill="FFFFFF"/>
            <w:vAlign w:val="center"/>
          </w:tcPr>
          <w:p w14:paraId="31ECEBCC" w14:textId="77777777" w:rsidR="007D0267" w:rsidRDefault="00000000">
            <w:pPr>
              <w:jc w:val="right"/>
              <w:rPr>
                <w:rFonts w:eastAsia="等线"/>
                <w:color w:val="000000"/>
                <w:sz w:val="20"/>
                <w:szCs w:val="20"/>
                <w:highlight w:val="yellow"/>
              </w:rPr>
            </w:pPr>
            <w:r>
              <w:rPr>
                <w:rFonts w:eastAsia="等线"/>
                <w:color w:val="000000"/>
                <w:sz w:val="20"/>
                <w:szCs w:val="20"/>
              </w:rPr>
              <w:t>14.31%</w:t>
            </w:r>
          </w:p>
        </w:tc>
        <w:tc>
          <w:tcPr>
            <w:tcW w:w="2266" w:type="dxa"/>
            <w:gridSpan w:val="2"/>
            <w:shd w:val="clear" w:color="auto" w:fill="FFFFFF"/>
            <w:vAlign w:val="center"/>
          </w:tcPr>
          <w:p w14:paraId="691EB225" w14:textId="77777777" w:rsidR="007D0267" w:rsidRDefault="00000000">
            <w:pPr>
              <w:jc w:val="right"/>
              <w:rPr>
                <w:rFonts w:eastAsia="等线"/>
                <w:color w:val="000000"/>
                <w:sz w:val="20"/>
                <w:szCs w:val="20"/>
                <w:highlight w:val="yellow"/>
              </w:rPr>
            </w:pPr>
            <w:r>
              <w:rPr>
                <w:rFonts w:eastAsia="等线"/>
                <w:color w:val="000000"/>
                <w:sz w:val="20"/>
                <w:szCs w:val="20"/>
              </w:rPr>
              <w:t>11.87%</w:t>
            </w:r>
          </w:p>
        </w:tc>
        <w:tc>
          <w:tcPr>
            <w:tcW w:w="2266" w:type="dxa"/>
            <w:shd w:val="clear" w:color="auto" w:fill="FFFFFF"/>
            <w:vAlign w:val="center"/>
          </w:tcPr>
          <w:p w14:paraId="59A528C1" w14:textId="77777777" w:rsidR="007D0267" w:rsidRDefault="00000000">
            <w:pPr>
              <w:jc w:val="right"/>
              <w:rPr>
                <w:rFonts w:eastAsia="等线"/>
                <w:color w:val="000000"/>
                <w:sz w:val="20"/>
                <w:szCs w:val="20"/>
                <w:highlight w:val="yellow"/>
              </w:rPr>
            </w:pPr>
            <w:r>
              <w:rPr>
                <w:rFonts w:eastAsia="等线"/>
                <w:color w:val="000000"/>
                <w:sz w:val="20"/>
                <w:szCs w:val="20"/>
              </w:rPr>
              <w:t>13.93%</w:t>
            </w:r>
          </w:p>
        </w:tc>
      </w:tr>
    </w:tbl>
    <w:bookmarkEnd w:id="1"/>
    <w:bookmarkEnd w:id="2"/>
    <w:p w14:paraId="58F2573B" w14:textId="77777777" w:rsidR="007D0267" w:rsidRDefault="00000000">
      <w:pPr>
        <w:autoSpaceDE w:val="0"/>
        <w:autoSpaceDN w:val="0"/>
        <w:adjustRightInd w:val="0"/>
        <w:spacing w:line="360" w:lineRule="auto"/>
        <w:ind w:firstLineChars="200" w:firstLine="482"/>
        <w:rPr>
          <w:b/>
          <w:bCs/>
          <w:sz w:val="24"/>
        </w:rPr>
      </w:pPr>
      <w:r>
        <w:rPr>
          <w:rFonts w:hint="eastAsia"/>
          <w:b/>
          <w:bCs/>
          <w:sz w:val="24"/>
        </w:rPr>
        <w:t>二、对于本次发行摊薄即期回报的特别风险提示</w:t>
      </w:r>
    </w:p>
    <w:p w14:paraId="64094CF2" w14:textId="77777777" w:rsidR="007D0267" w:rsidRDefault="00000000">
      <w:pPr>
        <w:autoSpaceDE w:val="0"/>
        <w:autoSpaceDN w:val="0"/>
        <w:adjustRightInd w:val="0"/>
        <w:spacing w:beforeLines="50" w:before="156" w:line="360" w:lineRule="auto"/>
        <w:ind w:firstLineChars="200" w:firstLine="480"/>
        <w:jc w:val="left"/>
        <w:rPr>
          <w:sz w:val="24"/>
        </w:rPr>
      </w:pPr>
      <w:r>
        <w:rPr>
          <w:rFonts w:hint="eastAsia"/>
          <w:sz w:val="24"/>
        </w:rPr>
        <w:t>本次可转债发行完成后、转股前，公司需按照约定的票面利率对未转股的可转债支付利息，由于可转债票面利率一般较低，正常情况下公司对可转债募集资金运用带来的盈利增长会超过需支付的债券利息，不会摊薄基本每股收益，但极端情况下，如果公司对可转债募集资金运用带来的盈利增长无法覆盖需支付的债券利息，则将使公司的税后利润面临下降的风险，公司即期回报面</w:t>
      </w:r>
      <w:r>
        <w:rPr>
          <w:rFonts w:hint="eastAsia"/>
          <w:sz w:val="24"/>
        </w:rPr>
        <w:lastRenderedPageBreak/>
        <w:t>临被摊薄的风险。</w:t>
      </w:r>
    </w:p>
    <w:p w14:paraId="53D9C9F0" w14:textId="77777777" w:rsidR="007D0267" w:rsidRDefault="00000000">
      <w:pPr>
        <w:autoSpaceDE w:val="0"/>
        <w:autoSpaceDN w:val="0"/>
        <w:adjustRightInd w:val="0"/>
        <w:spacing w:beforeLines="50" w:before="156" w:line="360" w:lineRule="auto"/>
        <w:ind w:firstLineChars="200" w:firstLine="480"/>
        <w:jc w:val="left"/>
        <w:rPr>
          <w:sz w:val="24"/>
        </w:rPr>
      </w:pPr>
      <w:r>
        <w:rPr>
          <w:rFonts w:hint="eastAsia"/>
          <w:sz w:val="24"/>
        </w:rPr>
        <w:t>本次募集资金到位后，公司将合理有效地利用募集资金，提升公司运营能力，从而提高公司长期盈利能力。投资者持有的可转债部分或全部转股后，公司股本总额将相应增加。但由于受到宏观经济以及行业发展情况的影响，短期内公司盈利状况仍然存在一定的不确定性，并且由于本次募集资金投资项目建设需要一定周期，本次发行募集资金使用效益可能需要一定时间才能得以体现，如果公司营业收入及利润没有立即实现同步增长，本次发行的可转债转股可能导致原有股东持股比例、每股收益指标出现下降，公司短期业绩面临被摊薄的风险。</w:t>
      </w:r>
    </w:p>
    <w:p w14:paraId="6524D6D9" w14:textId="77777777" w:rsidR="007D0267" w:rsidRDefault="00000000">
      <w:pPr>
        <w:autoSpaceDE w:val="0"/>
        <w:autoSpaceDN w:val="0"/>
        <w:adjustRightInd w:val="0"/>
        <w:spacing w:beforeLines="50" w:before="156" w:line="360" w:lineRule="auto"/>
        <w:ind w:firstLineChars="200" w:firstLine="480"/>
        <w:jc w:val="left"/>
        <w:rPr>
          <w:sz w:val="24"/>
        </w:rPr>
      </w:pPr>
      <w:r>
        <w:rPr>
          <w:rFonts w:hint="eastAsia"/>
          <w:sz w:val="24"/>
        </w:rPr>
        <w:t>另外，本次向不特定对象发行可转换公司债券设有转股价格向下修正条款，在该条款被触发时，公司可能申请向下修正转股价格，导致因本次可转换公司债券转股而新增的股本总额增加，从而扩大本次向不特定对象发行可转换公司债券转股对公司原普通股股东的潜在摊薄作用。</w:t>
      </w:r>
    </w:p>
    <w:p w14:paraId="51533ACB" w14:textId="77777777" w:rsidR="007D0267" w:rsidRDefault="00000000">
      <w:pPr>
        <w:autoSpaceDE w:val="0"/>
        <w:autoSpaceDN w:val="0"/>
        <w:adjustRightInd w:val="0"/>
        <w:spacing w:beforeLines="50" w:before="156" w:line="360" w:lineRule="auto"/>
        <w:ind w:firstLineChars="200" w:firstLine="480"/>
        <w:jc w:val="left"/>
        <w:rPr>
          <w:sz w:val="24"/>
        </w:rPr>
      </w:pPr>
      <w:r>
        <w:rPr>
          <w:rFonts w:hint="eastAsia"/>
          <w:sz w:val="24"/>
        </w:rPr>
        <w:t>公司向不特定对象发行可转换公司债券后即期回报存在被摊薄的风险，敬请广大投资者关注，并注意投资风险。</w:t>
      </w:r>
    </w:p>
    <w:p w14:paraId="0103502C" w14:textId="77777777" w:rsidR="007D0267" w:rsidRDefault="00000000">
      <w:pPr>
        <w:autoSpaceDE w:val="0"/>
        <w:autoSpaceDN w:val="0"/>
        <w:adjustRightInd w:val="0"/>
        <w:spacing w:beforeLines="50" w:before="156" w:line="360" w:lineRule="auto"/>
        <w:ind w:firstLineChars="200" w:firstLine="482"/>
        <w:jc w:val="left"/>
        <w:rPr>
          <w:b/>
          <w:bCs/>
          <w:sz w:val="24"/>
        </w:rPr>
      </w:pPr>
      <w:r>
        <w:rPr>
          <w:rFonts w:hint="eastAsia"/>
          <w:b/>
          <w:bCs/>
          <w:sz w:val="24"/>
        </w:rPr>
        <w:t>三、本次发行的必要性和可行性</w:t>
      </w:r>
    </w:p>
    <w:p w14:paraId="772753F7" w14:textId="6F6F55C9" w:rsidR="007D0267" w:rsidRDefault="00000000">
      <w:pPr>
        <w:autoSpaceDE w:val="0"/>
        <w:autoSpaceDN w:val="0"/>
        <w:adjustRightInd w:val="0"/>
        <w:spacing w:beforeLines="50" w:before="156" w:line="360" w:lineRule="auto"/>
        <w:ind w:firstLineChars="200" w:firstLine="480"/>
        <w:jc w:val="left"/>
        <w:rPr>
          <w:sz w:val="24"/>
        </w:rPr>
      </w:pPr>
      <w:r>
        <w:rPr>
          <w:rFonts w:hint="eastAsia"/>
          <w:sz w:val="24"/>
        </w:rPr>
        <w:t>本次向不特定对象发行可转换公司债券募集资金投资项目经过公司谨慎论证，项目的实施有利于进一步提升公司的核心竞争力，</w:t>
      </w:r>
      <w:r>
        <w:rPr>
          <w:sz w:val="24"/>
        </w:rPr>
        <w:t>具体分析详见公司同日披露的</w:t>
      </w:r>
      <w:r>
        <w:rPr>
          <w:rFonts w:hint="eastAsia"/>
          <w:sz w:val="24"/>
        </w:rPr>
        <w:t>《向不特定对象发行可转换公司债券募集资金运用的可行性分析报告（</w:t>
      </w:r>
      <w:r w:rsidR="00A71513">
        <w:rPr>
          <w:rFonts w:hint="eastAsia"/>
          <w:sz w:val="24"/>
        </w:rPr>
        <w:t>二次</w:t>
      </w:r>
      <w:r>
        <w:rPr>
          <w:rFonts w:hint="eastAsia"/>
          <w:sz w:val="24"/>
        </w:rPr>
        <w:t>修订稿）》。</w:t>
      </w:r>
    </w:p>
    <w:p w14:paraId="3ACD1C79" w14:textId="77777777" w:rsidR="007D0267" w:rsidRDefault="00000000">
      <w:pPr>
        <w:autoSpaceDE w:val="0"/>
        <w:autoSpaceDN w:val="0"/>
        <w:adjustRightInd w:val="0"/>
        <w:spacing w:beforeLines="50" w:before="156" w:line="360" w:lineRule="auto"/>
        <w:ind w:firstLineChars="200" w:firstLine="482"/>
        <w:jc w:val="left"/>
        <w:rPr>
          <w:b/>
          <w:bCs/>
          <w:sz w:val="24"/>
        </w:rPr>
      </w:pPr>
      <w:r>
        <w:rPr>
          <w:rFonts w:hint="eastAsia"/>
          <w:b/>
          <w:bCs/>
          <w:sz w:val="24"/>
        </w:rPr>
        <w:t>四、本次募集资金投资项目与公司现有业务的关系</w:t>
      </w:r>
    </w:p>
    <w:p w14:paraId="69CA28FE" w14:textId="77777777" w:rsidR="007D0267" w:rsidRDefault="00000000">
      <w:pPr>
        <w:autoSpaceDE w:val="0"/>
        <w:autoSpaceDN w:val="0"/>
        <w:adjustRightInd w:val="0"/>
        <w:spacing w:beforeLines="50" w:before="156" w:line="360" w:lineRule="auto"/>
        <w:ind w:firstLineChars="200" w:firstLine="480"/>
        <w:jc w:val="left"/>
        <w:rPr>
          <w:sz w:val="24"/>
        </w:rPr>
      </w:pPr>
      <w:r>
        <w:rPr>
          <w:rFonts w:hint="eastAsia"/>
          <w:sz w:val="24"/>
        </w:rPr>
        <w:t>公司主营业务为阀门产品的设计研发、生产制造和销售。公司本次募集资金投资项目为扩大高端智慧节能类阀门产品产能，系围绕公司现有主营业务展开。因此，本次募投项目系基于公司在阀门领域的生产技术、研发和市场拓展方面的积累，与本公司现有业务高度相关。本次募投项目的实施有助于公司优化产品结构，进一步提高业务规模和盈利水平，从而提升公司市场核心竞争力和未来可持续发展能力。</w:t>
      </w:r>
    </w:p>
    <w:p w14:paraId="0B938CB7" w14:textId="77777777" w:rsidR="007D0267" w:rsidRDefault="00000000">
      <w:pPr>
        <w:autoSpaceDE w:val="0"/>
        <w:autoSpaceDN w:val="0"/>
        <w:adjustRightInd w:val="0"/>
        <w:spacing w:beforeLines="50" w:before="156" w:line="360" w:lineRule="auto"/>
        <w:ind w:firstLineChars="200" w:firstLine="482"/>
        <w:jc w:val="left"/>
        <w:rPr>
          <w:b/>
          <w:bCs/>
          <w:sz w:val="24"/>
        </w:rPr>
      </w:pPr>
      <w:r>
        <w:rPr>
          <w:rFonts w:hint="eastAsia"/>
          <w:b/>
          <w:bCs/>
          <w:sz w:val="24"/>
        </w:rPr>
        <w:lastRenderedPageBreak/>
        <w:t>五、公司从事募投项目在人员、技术、市场等方面的储备情况</w:t>
      </w:r>
    </w:p>
    <w:p w14:paraId="368A064C" w14:textId="77777777" w:rsidR="007D0267" w:rsidRDefault="00000000">
      <w:pPr>
        <w:autoSpaceDE w:val="0"/>
        <w:autoSpaceDN w:val="0"/>
        <w:adjustRightInd w:val="0"/>
        <w:spacing w:beforeLines="50" w:before="156" w:line="360" w:lineRule="auto"/>
        <w:ind w:firstLineChars="200" w:firstLine="482"/>
        <w:jc w:val="left"/>
        <w:rPr>
          <w:b/>
          <w:bCs/>
          <w:sz w:val="24"/>
        </w:rPr>
      </w:pPr>
      <w:r>
        <w:rPr>
          <w:rFonts w:hint="eastAsia"/>
          <w:b/>
          <w:bCs/>
          <w:sz w:val="24"/>
        </w:rPr>
        <w:t>（一）人才储备情况</w:t>
      </w:r>
    </w:p>
    <w:p w14:paraId="682065D4" w14:textId="77777777" w:rsidR="007D0267" w:rsidRDefault="00000000">
      <w:pPr>
        <w:autoSpaceDE w:val="0"/>
        <w:autoSpaceDN w:val="0"/>
        <w:adjustRightInd w:val="0"/>
        <w:spacing w:beforeLines="50" w:before="156" w:line="360" w:lineRule="auto"/>
        <w:ind w:firstLineChars="200" w:firstLine="480"/>
        <w:jc w:val="left"/>
        <w:rPr>
          <w:sz w:val="24"/>
        </w:rPr>
      </w:pPr>
      <w:r>
        <w:rPr>
          <w:sz w:val="24"/>
        </w:rPr>
        <w:t>公司目前拥有一支稳定、专业的</w:t>
      </w:r>
      <w:r>
        <w:rPr>
          <w:rFonts w:hint="eastAsia"/>
          <w:sz w:val="24"/>
        </w:rPr>
        <w:t>经营</w:t>
      </w:r>
      <w:r>
        <w:rPr>
          <w:sz w:val="24"/>
        </w:rPr>
        <w:t>团队，具有多年从事</w:t>
      </w:r>
      <w:r>
        <w:rPr>
          <w:rFonts w:hint="eastAsia"/>
          <w:sz w:val="24"/>
        </w:rPr>
        <w:t>阀门产品</w:t>
      </w:r>
      <w:r>
        <w:rPr>
          <w:sz w:val="24"/>
        </w:rPr>
        <w:t>研发、生产、销售的经验</w:t>
      </w:r>
      <w:r>
        <w:rPr>
          <w:rFonts w:hint="eastAsia"/>
          <w:sz w:val="24"/>
        </w:rPr>
        <w:t>。公司未来将继续坚持内部培养和外部引进相结合，建立人才引进及培养机制，不断壮大技术人才队伍和优化人才结构，保障公司拥有充足的人才储备。</w:t>
      </w:r>
    </w:p>
    <w:p w14:paraId="3DEF5626" w14:textId="77777777" w:rsidR="007D0267" w:rsidRDefault="00000000">
      <w:pPr>
        <w:autoSpaceDE w:val="0"/>
        <w:autoSpaceDN w:val="0"/>
        <w:adjustRightInd w:val="0"/>
        <w:spacing w:beforeLines="50" w:before="156" w:line="360" w:lineRule="auto"/>
        <w:ind w:firstLineChars="200" w:firstLine="482"/>
        <w:jc w:val="left"/>
        <w:rPr>
          <w:b/>
          <w:bCs/>
          <w:sz w:val="24"/>
        </w:rPr>
      </w:pPr>
      <w:r>
        <w:rPr>
          <w:rFonts w:hint="eastAsia"/>
          <w:b/>
          <w:bCs/>
          <w:sz w:val="24"/>
        </w:rPr>
        <w:t>（二）技术储备情况</w:t>
      </w:r>
    </w:p>
    <w:p w14:paraId="21C8CB5F" w14:textId="77777777" w:rsidR="007D0267" w:rsidRDefault="00000000">
      <w:pPr>
        <w:autoSpaceDE w:val="0"/>
        <w:autoSpaceDN w:val="0"/>
        <w:adjustRightInd w:val="0"/>
        <w:spacing w:beforeLines="50" w:before="156" w:line="360" w:lineRule="auto"/>
        <w:ind w:firstLineChars="200" w:firstLine="480"/>
        <w:jc w:val="left"/>
        <w:rPr>
          <w:sz w:val="24"/>
        </w:rPr>
      </w:pPr>
      <w:r>
        <w:rPr>
          <w:rFonts w:hint="eastAsia"/>
          <w:sz w:val="24"/>
        </w:rPr>
        <w:t>公司多年来在阀门领域积累了丰富的自主研发设计能力和经验。产品从研发设计到模具开发、模具加工、铸件铸造、技术工艺、生产试制、产品验证等过程均由公司有关部门和生产车间实施完成，公司是国内给排水阀门行业少数具有自主研发设计、生产试制、产品验证、认证能力实现一体化的规模企业之一。</w:t>
      </w:r>
    </w:p>
    <w:p w14:paraId="2F2EADA4" w14:textId="77777777" w:rsidR="007D0267" w:rsidRDefault="00000000">
      <w:pPr>
        <w:autoSpaceDE w:val="0"/>
        <w:autoSpaceDN w:val="0"/>
        <w:adjustRightInd w:val="0"/>
        <w:spacing w:beforeLines="50" w:before="156" w:line="360" w:lineRule="auto"/>
        <w:ind w:firstLineChars="200" w:firstLine="482"/>
        <w:jc w:val="left"/>
        <w:rPr>
          <w:b/>
          <w:bCs/>
          <w:sz w:val="24"/>
        </w:rPr>
      </w:pPr>
      <w:r>
        <w:rPr>
          <w:rFonts w:hint="eastAsia"/>
          <w:b/>
          <w:bCs/>
          <w:sz w:val="24"/>
        </w:rPr>
        <w:t>（三）市场储备情况</w:t>
      </w:r>
    </w:p>
    <w:p w14:paraId="2CC833E9" w14:textId="77777777" w:rsidR="007D0267" w:rsidRDefault="00000000">
      <w:pPr>
        <w:autoSpaceDE w:val="0"/>
        <w:autoSpaceDN w:val="0"/>
        <w:adjustRightInd w:val="0"/>
        <w:spacing w:beforeLines="50" w:before="156" w:line="360" w:lineRule="auto"/>
        <w:ind w:firstLineChars="200" w:firstLine="480"/>
        <w:jc w:val="left"/>
        <w:rPr>
          <w:sz w:val="24"/>
        </w:rPr>
      </w:pPr>
      <w:r>
        <w:rPr>
          <w:rFonts w:hint="eastAsia"/>
          <w:sz w:val="24"/>
        </w:rPr>
        <w:t>公司在英国、美国和香港设有全资子公司作为国际市场销售平台，在亚洲、欧洲、美洲、大洋洲及非洲等多个国家和地区积累了一批优质的品牌客户，并形成了稳定的合作关系。此外，公司在专注国际市场的同时开始逐步开拓国内市场，先后在全国建立了多个销售办事处，服务区域覆盖了除港澳台外的大部分地区，形成了集市场开拓、销售和售后服务、信息反馈“三位一体”的市场营销服务网络。</w:t>
      </w:r>
    </w:p>
    <w:p w14:paraId="177C487D" w14:textId="77777777" w:rsidR="007D0267" w:rsidRDefault="00000000">
      <w:pPr>
        <w:autoSpaceDE w:val="0"/>
        <w:autoSpaceDN w:val="0"/>
        <w:adjustRightInd w:val="0"/>
        <w:spacing w:beforeLines="50" w:before="156" w:line="360" w:lineRule="auto"/>
        <w:ind w:firstLineChars="200" w:firstLine="482"/>
        <w:jc w:val="left"/>
        <w:rPr>
          <w:b/>
          <w:bCs/>
          <w:sz w:val="24"/>
        </w:rPr>
      </w:pPr>
      <w:r>
        <w:rPr>
          <w:rFonts w:hint="eastAsia"/>
          <w:b/>
          <w:bCs/>
          <w:sz w:val="24"/>
        </w:rPr>
        <w:t>六、公司应对本次发行摊薄即期回报采取的具体措施</w:t>
      </w:r>
    </w:p>
    <w:p w14:paraId="15F5AAE5" w14:textId="77777777" w:rsidR="007D0267" w:rsidRDefault="00000000">
      <w:pPr>
        <w:autoSpaceDE w:val="0"/>
        <w:autoSpaceDN w:val="0"/>
        <w:adjustRightInd w:val="0"/>
        <w:spacing w:beforeLines="50" w:before="156" w:line="360" w:lineRule="auto"/>
        <w:ind w:firstLineChars="200" w:firstLine="480"/>
        <w:jc w:val="left"/>
        <w:rPr>
          <w:sz w:val="24"/>
        </w:rPr>
      </w:pPr>
      <w:r>
        <w:rPr>
          <w:rFonts w:hint="eastAsia"/>
          <w:sz w:val="24"/>
        </w:rPr>
        <w:t>为了维护广大投资者的利益，降低即期回报被摊薄的风险，增强对股东利益的回报，公司拟采取多种措施填补即期回报，具体如下</w:t>
      </w:r>
      <w:r>
        <w:rPr>
          <w:rFonts w:hint="eastAsia"/>
          <w:sz w:val="24"/>
        </w:rPr>
        <w:t>:</w:t>
      </w:r>
    </w:p>
    <w:p w14:paraId="0CA9D19C" w14:textId="77777777" w:rsidR="007D0267" w:rsidRDefault="00000000">
      <w:pPr>
        <w:autoSpaceDE w:val="0"/>
        <w:autoSpaceDN w:val="0"/>
        <w:adjustRightInd w:val="0"/>
        <w:spacing w:beforeLines="50" w:before="156" w:line="360" w:lineRule="auto"/>
        <w:ind w:firstLineChars="200" w:firstLine="482"/>
        <w:jc w:val="left"/>
        <w:rPr>
          <w:b/>
          <w:bCs/>
          <w:sz w:val="24"/>
        </w:rPr>
      </w:pPr>
      <w:r>
        <w:rPr>
          <w:rFonts w:hint="eastAsia"/>
          <w:b/>
          <w:bCs/>
          <w:sz w:val="24"/>
        </w:rPr>
        <w:t>（一）强化募集资金管理，保证募集资金合理规范使用</w:t>
      </w:r>
    </w:p>
    <w:p w14:paraId="69DB0CE9" w14:textId="77777777" w:rsidR="007D0267" w:rsidRDefault="00000000">
      <w:pPr>
        <w:autoSpaceDE w:val="0"/>
        <w:autoSpaceDN w:val="0"/>
        <w:adjustRightInd w:val="0"/>
        <w:spacing w:beforeLines="50" w:before="156" w:line="360" w:lineRule="auto"/>
        <w:ind w:firstLineChars="200" w:firstLine="480"/>
        <w:jc w:val="left"/>
        <w:rPr>
          <w:sz w:val="24"/>
        </w:rPr>
      </w:pPr>
      <w:r>
        <w:rPr>
          <w:rFonts w:hint="eastAsia"/>
          <w:sz w:val="24"/>
        </w:rPr>
        <w:t>公司将严格按照《证券法》《上市公司监管指引第</w:t>
      </w:r>
      <w:r>
        <w:rPr>
          <w:rFonts w:hint="eastAsia"/>
          <w:sz w:val="24"/>
        </w:rPr>
        <w:t>2</w:t>
      </w:r>
      <w:r>
        <w:rPr>
          <w:rFonts w:hint="eastAsia"/>
          <w:sz w:val="24"/>
        </w:rPr>
        <w:t>号—上市公司募集资金管理和使用的监管要求》和《深圳证券交易所上市公司自律监管指引第</w:t>
      </w:r>
      <w:r>
        <w:rPr>
          <w:rFonts w:hint="eastAsia"/>
          <w:sz w:val="24"/>
        </w:rPr>
        <w:t>1</w:t>
      </w:r>
      <w:r>
        <w:rPr>
          <w:rFonts w:hint="eastAsia"/>
          <w:sz w:val="24"/>
        </w:rPr>
        <w:t>号——主板上市公司规范运作》等法律法规、规范性文件以及公司《募集资金管理制</w:t>
      </w:r>
      <w:r>
        <w:rPr>
          <w:rFonts w:hint="eastAsia"/>
          <w:sz w:val="24"/>
        </w:rPr>
        <w:lastRenderedPageBreak/>
        <w:t>度》的规定，加强募集资金管理，对募集资金进行专户存储，并依相关规定使用募集资金，以保证募集资金合理规范使用，防范募集资金使用风险，提高募集资金使用效率。</w:t>
      </w:r>
    </w:p>
    <w:p w14:paraId="138B2C2D" w14:textId="77777777" w:rsidR="007D0267" w:rsidRDefault="00000000">
      <w:pPr>
        <w:autoSpaceDE w:val="0"/>
        <w:autoSpaceDN w:val="0"/>
        <w:adjustRightInd w:val="0"/>
        <w:spacing w:beforeLines="50" w:before="156" w:line="360" w:lineRule="auto"/>
        <w:ind w:firstLineChars="200" w:firstLine="482"/>
        <w:jc w:val="left"/>
        <w:rPr>
          <w:b/>
          <w:bCs/>
          <w:sz w:val="24"/>
        </w:rPr>
      </w:pPr>
      <w:r>
        <w:rPr>
          <w:rFonts w:hint="eastAsia"/>
          <w:b/>
          <w:bCs/>
          <w:sz w:val="24"/>
        </w:rPr>
        <w:t>（二）加快募投项目建设进度，增强公司核心竞争力</w:t>
      </w:r>
    </w:p>
    <w:p w14:paraId="5D2A728B" w14:textId="77777777" w:rsidR="007D0267" w:rsidRDefault="00000000">
      <w:pPr>
        <w:autoSpaceDE w:val="0"/>
        <w:autoSpaceDN w:val="0"/>
        <w:adjustRightInd w:val="0"/>
        <w:spacing w:beforeLines="50" w:before="156" w:line="360" w:lineRule="auto"/>
        <w:ind w:firstLineChars="200" w:firstLine="480"/>
        <w:jc w:val="left"/>
        <w:rPr>
          <w:sz w:val="24"/>
        </w:rPr>
      </w:pPr>
      <w:r>
        <w:rPr>
          <w:rFonts w:hint="eastAsia"/>
          <w:sz w:val="24"/>
        </w:rPr>
        <w:t>公司董事会已对本次募投项目的可行性进行了充分论证，认为本次募投项目符合未来公司整体战略发展方向，具有良好的市场发展前景和经济效益，有利于巩固公司的行业地位，增强公司综合实力及核心竞争力。本次发行的募集资金到位后，公司将加快募投项目的投资进度，推进募投项目的顺利建设，尽快产生效益回报股东。</w:t>
      </w:r>
    </w:p>
    <w:p w14:paraId="4079212D" w14:textId="77777777" w:rsidR="007D0267" w:rsidRDefault="00000000">
      <w:pPr>
        <w:autoSpaceDE w:val="0"/>
        <w:autoSpaceDN w:val="0"/>
        <w:adjustRightInd w:val="0"/>
        <w:spacing w:beforeLines="50" w:before="156" w:line="360" w:lineRule="auto"/>
        <w:ind w:firstLineChars="200" w:firstLine="482"/>
        <w:jc w:val="left"/>
        <w:rPr>
          <w:b/>
          <w:bCs/>
          <w:sz w:val="24"/>
        </w:rPr>
      </w:pPr>
      <w:r>
        <w:rPr>
          <w:rFonts w:hint="eastAsia"/>
          <w:b/>
          <w:bCs/>
          <w:sz w:val="24"/>
        </w:rPr>
        <w:t>（三）严格执行公司利润分配政策，强化投资者回报机制</w:t>
      </w:r>
    </w:p>
    <w:p w14:paraId="01FA9DA8" w14:textId="77777777" w:rsidR="007D0267" w:rsidRDefault="00000000">
      <w:pPr>
        <w:autoSpaceDE w:val="0"/>
        <w:autoSpaceDN w:val="0"/>
        <w:adjustRightInd w:val="0"/>
        <w:spacing w:beforeLines="50" w:before="156" w:line="360" w:lineRule="auto"/>
        <w:ind w:firstLineChars="200" w:firstLine="480"/>
        <w:jc w:val="left"/>
        <w:rPr>
          <w:sz w:val="24"/>
        </w:rPr>
      </w:pPr>
      <w:r>
        <w:rPr>
          <w:rFonts w:hint="eastAsia"/>
          <w:sz w:val="24"/>
        </w:rPr>
        <w:t>根据《关于进一步落实上市公司现金分红有关事项的通知》《上市公司监管指引第</w:t>
      </w:r>
      <w:r>
        <w:rPr>
          <w:rFonts w:hint="eastAsia"/>
          <w:sz w:val="24"/>
        </w:rPr>
        <w:t>3</w:t>
      </w:r>
      <w:r>
        <w:rPr>
          <w:rFonts w:hint="eastAsia"/>
          <w:sz w:val="24"/>
        </w:rPr>
        <w:t>号—上市公司现金分红》等法律法规、规范性文件的规定，公司已制定了《公司章程》中有关利润分配的相关条款，并制定了《青岛伟隆阀门股份有限公司未来三年（</w:t>
      </w:r>
      <w:r>
        <w:rPr>
          <w:rFonts w:hint="eastAsia"/>
          <w:sz w:val="24"/>
        </w:rPr>
        <w:t>2023</w:t>
      </w:r>
      <w:r>
        <w:rPr>
          <w:rFonts w:hint="eastAsia"/>
          <w:sz w:val="24"/>
        </w:rPr>
        <w:t>年</w:t>
      </w:r>
      <w:r>
        <w:rPr>
          <w:rFonts w:hint="eastAsia"/>
          <w:sz w:val="24"/>
        </w:rPr>
        <w:t>-2025</w:t>
      </w:r>
      <w:r>
        <w:rPr>
          <w:rFonts w:hint="eastAsia"/>
          <w:sz w:val="24"/>
        </w:rPr>
        <w:t>年）股东分红回报规划（修订稿）》，明确了股东的具体回报计划，建立了股东回报规划的决策、实施和调整机制。本次发行后，公司将严格执行分红政策，在符合利润分配条件的情况下，积极推动对股东的利润分配，加大落实对投资者持续、稳定、科学的回报，从而切实保护公众投资者的合法权益。</w:t>
      </w:r>
    </w:p>
    <w:p w14:paraId="067EF580" w14:textId="77777777" w:rsidR="007D0267" w:rsidRDefault="00000000">
      <w:pPr>
        <w:autoSpaceDE w:val="0"/>
        <w:autoSpaceDN w:val="0"/>
        <w:adjustRightInd w:val="0"/>
        <w:spacing w:beforeLines="50" w:before="156" w:line="360" w:lineRule="auto"/>
        <w:ind w:firstLineChars="200" w:firstLine="482"/>
        <w:jc w:val="left"/>
        <w:rPr>
          <w:b/>
          <w:bCs/>
          <w:sz w:val="24"/>
        </w:rPr>
      </w:pPr>
      <w:r>
        <w:rPr>
          <w:rFonts w:hint="eastAsia"/>
          <w:b/>
          <w:bCs/>
          <w:sz w:val="24"/>
        </w:rPr>
        <w:t>（四）不断完善公司治理，为公司发展提供制度保障</w:t>
      </w:r>
    </w:p>
    <w:p w14:paraId="4F9CDD35" w14:textId="77777777" w:rsidR="007D0267" w:rsidRDefault="00000000">
      <w:pPr>
        <w:autoSpaceDE w:val="0"/>
        <w:autoSpaceDN w:val="0"/>
        <w:adjustRightInd w:val="0"/>
        <w:spacing w:beforeLines="50" w:before="156" w:line="360" w:lineRule="auto"/>
        <w:ind w:firstLineChars="200" w:firstLine="480"/>
        <w:jc w:val="left"/>
        <w:rPr>
          <w:sz w:val="24"/>
        </w:rPr>
      </w:pPr>
      <w:r>
        <w:rPr>
          <w:rFonts w:hint="eastAsia"/>
          <w:sz w:val="24"/>
        </w:rPr>
        <w:t>公司将严格遵循《公司法》《证券法》等法律法规和规范性文件的要求，不断完善公司治理结构，确保股东权利能够得以充分行使，确保董事会能够按照法律法规和公司章程的规定行使职权，做出科学、迅速和谨慎的决策，确保独立董事能够认真履行职责，维护公司整体利益，尤其是中小股东的合法权益，为公司发展提供制度保障。确保监事会能够独立有效地行使对董事、经理和其他高级管理人员及公司财务的监督权和检查权，为公司发展提供制度保障。</w:t>
      </w:r>
    </w:p>
    <w:p w14:paraId="4FDF2371" w14:textId="77777777" w:rsidR="007D0267" w:rsidRDefault="00000000">
      <w:pPr>
        <w:autoSpaceDE w:val="0"/>
        <w:autoSpaceDN w:val="0"/>
        <w:adjustRightInd w:val="0"/>
        <w:spacing w:beforeLines="50" w:before="156" w:line="360" w:lineRule="auto"/>
        <w:ind w:firstLineChars="200" w:firstLine="482"/>
        <w:jc w:val="left"/>
        <w:rPr>
          <w:b/>
          <w:bCs/>
          <w:sz w:val="24"/>
        </w:rPr>
      </w:pPr>
      <w:r>
        <w:rPr>
          <w:rFonts w:hint="eastAsia"/>
          <w:b/>
          <w:bCs/>
          <w:sz w:val="24"/>
        </w:rPr>
        <w:t>七、公司的控股股东、实际控制人及全体董事、高级管理人员关于填补回报措施能够得到切实履行的承诺</w:t>
      </w:r>
    </w:p>
    <w:p w14:paraId="3E5F97DE" w14:textId="77777777" w:rsidR="007D0267" w:rsidRDefault="00000000">
      <w:pPr>
        <w:autoSpaceDE w:val="0"/>
        <w:autoSpaceDN w:val="0"/>
        <w:adjustRightInd w:val="0"/>
        <w:spacing w:beforeLines="50" w:before="156" w:line="360" w:lineRule="auto"/>
        <w:ind w:firstLineChars="200" w:firstLine="482"/>
        <w:jc w:val="left"/>
        <w:rPr>
          <w:b/>
          <w:bCs/>
          <w:sz w:val="24"/>
        </w:rPr>
      </w:pPr>
      <w:r>
        <w:rPr>
          <w:rFonts w:hint="eastAsia"/>
          <w:b/>
          <w:bCs/>
          <w:sz w:val="24"/>
        </w:rPr>
        <w:lastRenderedPageBreak/>
        <w:t>（一）控股股东、实际控制人关于填补回报措施能够得到切实履行的承诺</w:t>
      </w:r>
    </w:p>
    <w:p w14:paraId="7451F61D" w14:textId="77777777" w:rsidR="007D0267" w:rsidRDefault="00000000">
      <w:pPr>
        <w:autoSpaceDE w:val="0"/>
        <w:autoSpaceDN w:val="0"/>
        <w:adjustRightInd w:val="0"/>
        <w:spacing w:beforeLines="50" w:before="156" w:line="360" w:lineRule="auto"/>
        <w:ind w:firstLineChars="200" w:firstLine="480"/>
        <w:jc w:val="left"/>
        <w:rPr>
          <w:sz w:val="24"/>
        </w:rPr>
      </w:pPr>
      <w:r>
        <w:rPr>
          <w:rFonts w:hint="eastAsia"/>
          <w:sz w:val="24"/>
        </w:rPr>
        <w:t>公司控股股东、实际控制人对向不特定对象发行可转换公司债券摊薄即期回报采取填补措施事宜作出以下承诺：</w:t>
      </w:r>
    </w:p>
    <w:p w14:paraId="075BA7E8" w14:textId="77777777" w:rsidR="007D0267" w:rsidRDefault="00000000">
      <w:pPr>
        <w:autoSpaceDE w:val="0"/>
        <w:autoSpaceDN w:val="0"/>
        <w:adjustRightInd w:val="0"/>
        <w:spacing w:beforeLines="50" w:before="156" w:line="360" w:lineRule="auto"/>
        <w:ind w:firstLineChars="200" w:firstLine="480"/>
        <w:jc w:val="left"/>
        <w:rPr>
          <w:sz w:val="24"/>
        </w:rPr>
      </w:pPr>
      <w:r>
        <w:rPr>
          <w:rFonts w:hint="eastAsia"/>
          <w:sz w:val="24"/>
        </w:rPr>
        <w:t>“</w:t>
      </w:r>
      <w:bookmarkStart w:id="3" w:name="_Hlk128595849"/>
      <w:r>
        <w:rPr>
          <w:sz w:val="24"/>
        </w:rPr>
        <w:t>1</w:t>
      </w:r>
      <w:r>
        <w:rPr>
          <w:sz w:val="24"/>
        </w:rPr>
        <w:t>、本人承诺不越权干预公司的经营管理活动，不侵占公司利益；</w:t>
      </w:r>
    </w:p>
    <w:p w14:paraId="62451C03" w14:textId="77777777" w:rsidR="007D0267" w:rsidRDefault="00000000">
      <w:pPr>
        <w:autoSpaceDE w:val="0"/>
        <w:autoSpaceDN w:val="0"/>
        <w:adjustRightInd w:val="0"/>
        <w:spacing w:beforeLines="50" w:before="156" w:line="360" w:lineRule="auto"/>
        <w:ind w:firstLineChars="200" w:firstLine="480"/>
        <w:jc w:val="left"/>
        <w:rPr>
          <w:sz w:val="24"/>
        </w:rPr>
      </w:pPr>
      <w:r>
        <w:rPr>
          <w:sz w:val="24"/>
        </w:rPr>
        <w:t>2</w:t>
      </w:r>
      <w:r>
        <w:rPr>
          <w:sz w:val="24"/>
        </w:rPr>
        <w:t>、自本承诺出具日至公司本次向不特定对象发行可转换公司债券完成前，若中国证券监督管理委员会、深圳证券交易所等监管部门作出关于上市公司填补被摊薄即期回报措施的其他新的监管规定的，且本承诺不能满足国家及证券监管部门的该等规定时，本人承诺届时将按照中国证券监督管理委员会、深圳证券交易所等监管部门的最新规定出具补充承诺；</w:t>
      </w:r>
    </w:p>
    <w:p w14:paraId="105089CA" w14:textId="77777777" w:rsidR="007D0267" w:rsidRDefault="00000000">
      <w:pPr>
        <w:autoSpaceDE w:val="0"/>
        <w:autoSpaceDN w:val="0"/>
        <w:adjustRightInd w:val="0"/>
        <w:spacing w:beforeLines="50" w:before="156" w:line="360" w:lineRule="auto"/>
        <w:ind w:firstLineChars="200" w:firstLine="480"/>
        <w:jc w:val="left"/>
        <w:rPr>
          <w:sz w:val="24"/>
        </w:rPr>
      </w:pPr>
      <w:r>
        <w:rPr>
          <w:sz w:val="24"/>
        </w:rPr>
        <w:t>3</w:t>
      </w:r>
      <w:r>
        <w:rPr>
          <w:sz w:val="24"/>
        </w:rPr>
        <w:t>、本人承诺切实履行公司制定的有关填补被摊薄即期回报措施以及本承诺，若违反本承诺或拒不履行本承诺而给公司或者投资者造成损失的，本人愿意依法承担相应的补偿责任</w:t>
      </w:r>
      <w:r>
        <w:rPr>
          <w:rFonts w:hint="eastAsia"/>
          <w:sz w:val="24"/>
        </w:rPr>
        <w:t>。</w:t>
      </w:r>
      <w:bookmarkEnd w:id="3"/>
      <w:r>
        <w:rPr>
          <w:rFonts w:hint="eastAsia"/>
          <w:sz w:val="24"/>
        </w:rPr>
        <w:t>”</w:t>
      </w:r>
    </w:p>
    <w:p w14:paraId="7CC2D708" w14:textId="77777777" w:rsidR="007D0267" w:rsidRDefault="00000000">
      <w:pPr>
        <w:autoSpaceDE w:val="0"/>
        <w:autoSpaceDN w:val="0"/>
        <w:adjustRightInd w:val="0"/>
        <w:spacing w:beforeLines="50" w:before="156" w:line="360" w:lineRule="auto"/>
        <w:ind w:firstLineChars="200" w:firstLine="482"/>
        <w:jc w:val="left"/>
        <w:rPr>
          <w:b/>
          <w:bCs/>
          <w:sz w:val="24"/>
        </w:rPr>
      </w:pPr>
      <w:r>
        <w:rPr>
          <w:rFonts w:hint="eastAsia"/>
          <w:b/>
          <w:bCs/>
          <w:sz w:val="24"/>
        </w:rPr>
        <w:t>（二）董事、高级管理人员关于填补回报措施能够得到切实履行的承诺</w:t>
      </w:r>
    </w:p>
    <w:p w14:paraId="59C04724" w14:textId="77777777" w:rsidR="007D0267" w:rsidRDefault="00000000">
      <w:pPr>
        <w:autoSpaceDE w:val="0"/>
        <w:autoSpaceDN w:val="0"/>
        <w:adjustRightInd w:val="0"/>
        <w:spacing w:beforeLines="50" w:before="156" w:line="360" w:lineRule="auto"/>
        <w:ind w:firstLineChars="200" w:firstLine="480"/>
        <w:jc w:val="left"/>
        <w:rPr>
          <w:sz w:val="24"/>
        </w:rPr>
      </w:pPr>
      <w:r>
        <w:rPr>
          <w:rFonts w:hint="eastAsia"/>
          <w:sz w:val="24"/>
        </w:rPr>
        <w:t>公司全体董事、高级管理人员对</w:t>
      </w:r>
      <w:r>
        <w:rPr>
          <w:sz w:val="24"/>
        </w:rPr>
        <w:t>本次</w:t>
      </w:r>
      <w:r>
        <w:rPr>
          <w:rFonts w:hint="eastAsia"/>
          <w:sz w:val="24"/>
        </w:rPr>
        <w:t>向不特定对象发行可转换公司债券摊薄即期回报采取填补措施事宜作出以下承诺：</w:t>
      </w:r>
    </w:p>
    <w:p w14:paraId="40760605" w14:textId="77777777" w:rsidR="007D0267" w:rsidRDefault="00000000">
      <w:pPr>
        <w:autoSpaceDE w:val="0"/>
        <w:autoSpaceDN w:val="0"/>
        <w:adjustRightInd w:val="0"/>
        <w:spacing w:beforeLines="50" w:before="156" w:line="360" w:lineRule="auto"/>
        <w:ind w:firstLineChars="200" w:firstLine="480"/>
        <w:jc w:val="left"/>
        <w:rPr>
          <w:sz w:val="24"/>
        </w:rPr>
      </w:pPr>
      <w:r>
        <w:rPr>
          <w:rFonts w:hint="eastAsia"/>
          <w:sz w:val="24"/>
        </w:rPr>
        <w:t>“</w:t>
      </w:r>
      <w:bookmarkStart w:id="4" w:name="_Hlk128595909"/>
      <w:r>
        <w:rPr>
          <w:sz w:val="24"/>
        </w:rPr>
        <w:t>1</w:t>
      </w:r>
      <w:r>
        <w:rPr>
          <w:sz w:val="24"/>
        </w:rPr>
        <w:t>、本人承诺不无偿或以不公平条件向其他单位或者个人输送利益，也不采用其他方式损害公司利益；</w:t>
      </w:r>
    </w:p>
    <w:p w14:paraId="0AD1D4C5" w14:textId="77777777" w:rsidR="007D0267" w:rsidRDefault="00000000">
      <w:pPr>
        <w:autoSpaceDE w:val="0"/>
        <w:autoSpaceDN w:val="0"/>
        <w:adjustRightInd w:val="0"/>
        <w:spacing w:beforeLines="50" w:before="156" w:line="360" w:lineRule="auto"/>
        <w:ind w:firstLineChars="200" w:firstLine="480"/>
        <w:jc w:val="left"/>
        <w:rPr>
          <w:sz w:val="24"/>
        </w:rPr>
      </w:pPr>
      <w:r>
        <w:rPr>
          <w:sz w:val="24"/>
        </w:rPr>
        <w:t>2</w:t>
      </w:r>
      <w:r>
        <w:rPr>
          <w:sz w:val="24"/>
        </w:rPr>
        <w:t>、本人承诺对本人的职务消费行为进行约束；</w:t>
      </w:r>
    </w:p>
    <w:p w14:paraId="2EDC5313" w14:textId="77777777" w:rsidR="007D0267" w:rsidRDefault="00000000">
      <w:pPr>
        <w:autoSpaceDE w:val="0"/>
        <w:autoSpaceDN w:val="0"/>
        <w:adjustRightInd w:val="0"/>
        <w:spacing w:beforeLines="50" w:before="156" w:line="360" w:lineRule="auto"/>
        <w:ind w:firstLineChars="200" w:firstLine="480"/>
        <w:jc w:val="left"/>
        <w:rPr>
          <w:sz w:val="24"/>
        </w:rPr>
      </w:pPr>
      <w:r>
        <w:rPr>
          <w:sz w:val="24"/>
        </w:rPr>
        <w:t>3</w:t>
      </w:r>
      <w:r>
        <w:rPr>
          <w:sz w:val="24"/>
        </w:rPr>
        <w:t>、本人承诺不动用公司资产从事与本人履行职责无关的投资、消费活动；</w:t>
      </w:r>
    </w:p>
    <w:p w14:paraId="556BBAA5" w14:textId="77777777" w:rsidR="007D0267" w:rsidRDefault="00000000">
      <w:pPr>
        <w:autoSpaceDE w:val="0"/>
        <w:autoSpaceDN w:val="0"/>
        <w:adjustRightInd w:val="0"/>
        <w:spacing w:beforeLines="50" w:before="156" w:line="360" w:lineRule="auto"/>
        <w:ind w:firstLineChars="200" w:firstLine="480"/>
        <w:jc w:val="left"/>
        <w:rPr>
          <w:sz w:val="24"/>
        </w:rPr>
      </w:pPr>
      <w:r>
        <w:rPr>
          <w:sz w:val="24"/>
        </w:rPr>
        <w:t>4</w:t>
      </w:r>
      <w:r>
        <w:rPr>
          <w:sz w:val="24"/>
        </w:rPr>
        <w:t>、本人承诺由董事会或薪酬委员会制定的薪酬制度与公司填补被摊薄即期回报措施的执行情况相挂钩；</w:t>
      </w:r>
    </w:p>
    <w:p w14:paraId="20E4355E" w14:textId="77777777" w:rsidR="007D0267" w:rsidRDefault="00000000">
      <w:pPr>
        <w:autoSpaceDE w:val="0"/>
        <w:autoSpaceDN w:val="0"/>
        <w:adjustRightInd w:val="0"/>
        <w:spacing w:beforeLines="50" w:before="156" w:line="360" w:lineRule="auto"/>
        <w:ind w:firstLineChars="200" w:firstLine="480"/>
        <w:jc w:val="left"/>
        <w:rPr>
          <w:sz w:val="24"/>
        </w:rPr>
      </w:pPr>
      <w:r>
        <w:rPr>
          <w:sz w:val="24"/>
        </w:rPr>
        <w:t>5</w:t>
      </w:r>
      <w:r>
        <w:rPr>
          <w:sz w:val="24"/>
        </w:rPr>
        <w:t>、本人承诺如公司拟实施股权激励计划，本人支持拟公布的股权激励的行权条件与公司填补被摊薄即期回报措施的执行情况相挂钩；</w:t>
      </w:r>
    </w:p>
    <w:p w14:paraId="6DE0206D" w14:textId="77777777" w:rsidR="007D0267" w:rsidRDefault="00000000">
      <w:pPr>
        <w:autoSpaceDE w:val="0"/>
        <w:autoSpaceDN w:val="0"/>
        <w:adjustRightInd w:val="0"/>
        <w:spacing w:beforeLines="50" w:before="156" w:line="360" w:lineRule="auto"/>
        <w:ind w:firstLineChars="200" w:firstLine="480"/>
        <w:jc w:val="left"/>
        <w:rPr>
          <w:sz w:val="24"/>
        </w:rPr>
      </w:pPr>
      <w:r>
        <w:rPr>
          <w:sz w:val="24"/>
        </w:rPr>
        <w:t>6</w:t>
      </w:r>
      <w:r>
        <w:rPr>
          <w:sz w:val="24"/>
        </w:rPr>
        <w:t>、自本承诺出具日后至公司本次发行可转换公司债券完成前，若中国证券监督管理委员会、深圳证券交易所等监管部门作出关于上市公司填补被摊薄即</w:t>
      </w:r>
      <w:r>
        <w:rPr>
          <w:sz w:val="24"/>
        </w:rPr>
        <w:lastRenderedPageBreak/>
        <w:t>期回报措施及其承诺的其他新的监管规定，且本承诺不能满足国家及证券监管部门的该等规定时，本人承诺届时将按照监管部门的最新规定出具补充承诺；</w:t>
      </w:r>
    </w:p>
    <w:p w14:paraId="4A48E82A" w14:textId="77777777" w:rsidR="007D0267" w:rsidRDefault="00000000">
      <w:pPr>
        <w:autoSpaceDE w:val="0"/>
        <w:autoSpaceDN w:val="0"/>
        <w:adjustRightInd w:val="0"/>
        <w:spacing w:beforeLines="50" w:before="156" w:line="360" w:lineRule="auto"/>
        <w:ind w:firstLineChars="200" w:firstLine="480"/>
        <w:jc w:val="left"/>
        <w:rPr>
          <w:sz w:val="24"/>
        </w:rPr>
      </w:pPr>
      <w:r>
        <w:rPr>
          <w:sz w:val="24"/>
        </w:rPr>
        <w:t>7</w:t>
      </w:r>
      <w:r>
        <w:rPr>
          <w:sz w:val="24"/>
        </w:rPr>
        <w:t>、本人承诺切实履行公司制定的有关填补被摊薄即期回报措施以及本承诺，若违反本承诺或拒不履行本承诺而给公司或者投资者造成损失的，本人愿意依法承担相应的补偿责任</w:t>
      </w:r>
      <w:r>
        <w:rPr>
          <w:rFonts w:hint="eastAsia"/>
          <w:sz w:val="24"/>
        </w:rPr>
        <w:t>。</w:t>
      </w:r>
      <w:bookmarkEnd w:id="4"/>
      <w:r>
        <w:rPr>
          <w:rFonts w:hint="eastAsia"/>
          <w:sz w:val="24"/>
        </w:rPr>
        <w:t>”</w:t>
      </w:r>
    </w:p>
    <w:p w14:paraId="69FF62C1" w14:textId="77777777" w:rsidR="007D0267" w:rsidRDefault="00000000">
      <w:pPr>
        <w:autoSpaceDE w:val="0"/>
        <w:autoSpaceDN w:val="0"/>
        <w:adjustRightInd w:val="0"/>
        <w:spacing w:beforeLines="50" w:before="156" w:line="360" w:lineRule="auto"/>
        <w:ind w:firstLineChars="200" w:firstLine="482"/>
        <w:jc w:val="left"/>
        <w:rPr>
          <w:b/>
          <w:bCs/>
          <w:sz w:val="24"/>
        </w:rPr>
      </w:pPr>
      <w:r>
        <w:rPr>
          <w:rFonts w:hint="eastAsia"/>
          <w:b/>
          <w:bCs/>
          <w:sz w:val="24"/>
        </w:rPr>
        <w:t>八</w:t>
      </w:r>
      <w:r>
        <w:rPr>
          <w:b/>
          <w:bCs/>
          <w:sz w:val="24"/>
        </w:rPr>
        <w:t>、关于本次</w:t>
      </w:r>
      <w:r>
        <w:rPr>
          <w:rFonts w:hint="eastAsia"/>
          <w:b/>
          <w:bCs/>
          <w:sz w:val="24"/>
        </w:rPr>
        <w:t>向不特定对象发行可转换公司债券</w:t>
      </w:r>
      <w:r>
        <w:rPr>
          <w:b/>
          <w:bCs/>
          <w:sz w:val="24"/>
        </w:rPr>
        <w:t>摊薄即期回报的填补措施及承诺事项的审议程序</w:t>
      </w:r>
    </w:p>
    <w:p w14:paraId="057C7B9B" w14:textId="77777777" w:rsidR="007D0267" w:rsidRDefault="00000000">
      <w:pPr>
        <w:autoSpaceDE w:val="0"/>
        <w:autoSpaceDN w:val="0"/>
        <w:adjustRightInd w:val="0"/>
        <w:spacing w:beforeLines="50" w:before="156" w:line="360" w:lineRule="auto"/>
        <w:ind w:firstLineChars="200" w:firstLine="480"/>
        <w:jc w:val="left"/>
        <w:rPr>
          <w:sz w:val="24"/>
        </w:rPr>
      </w:pPr>
      <w:r>
        <w:rPr>
          <w:sz w:val="24"/>
        </w:rPr>
        <w:t>公司</w:t>
      </w:r>
      <w:r>
        <w:rPr>
          <w:rFonts w:hint="eastAsia"/>
          <w:sz w:val="24"/>
        </w:rPr>
        <w:t>本次向不特定对象发行可转换公司债券摊薄即期回报事项的分析及填补即期回报措施及相关承诺主体的承诺等事项已经公司第四届董事会第二十次会议、第四届监事会第十六次会议、</w:t>
      </w:r>
      <w:r>
        <w:rPr>
          <w:rFonts w:hint="eastAsia"/>
          <w:sz w:val="24"/>
        </w:rPr>
        <w:t>202</w:t>
      </w:r>
      <w:r>
        <w:rPr>
          <w:sz w:val="24"/>
        </w:rPr>
        <w:t>3</w:t>
      </w:r>
      <w:r>
        <w:rPr>
          <w:rFonts w:hint="eastAsia"/>
          <w:sz w:val="24"/>
        </w:rPr>
        <w:t>年第二次临时股东大会审议通过。公司</w:t>
      </w:r>
      <w:r>
        <w:rPr>
          <w:rFonts w:hint="eastAsia"/>
          <w:sz w:val="24"/>
        </w:rPr>
        <w:t>202</w:t>
      </w:r>
      <w:r>
        <w:rPr>
          <w:sz w:val="24"/>
        </w:rPr>
        <w:t>3</w:t>
      </w:r>
      <w:r>
        <w:rPr>
          <w:rFonts w:hint="eastAsia"/>
          <w:sz w:val="24"/>
        </w:rPr>
        <w:t>年第二次临时股东大会，审议通过了《关于提请股东大会授权董事会及其授权人士办理本次向不特定对象发行可转换公司债券具体事宜的议案》，根据授权，后续修订事项无需提交股东大会审议。</w:t>
      </w:r>
    </w:p>
    <w:p w14:paraId="139E9598" w14:textId="77777777" w:rsidR="007D0267" w:rsidRDefault="00000000">
      <w:pPr>
        <w:autoSpaceDE w:val="0"/>
        <w:autoSpaceDN w:val="0"/>
        <w:adjustRightInd w:val="0"/>
        <w:spacing w:beforeLines="50" w:before="156" w:line="360" w:lineRule="auto"/>
        <w:ind w:firstLineChars="200" w:firstLine="480"/>
        <w:jc w:val="left"/>
        <w:rPr>
          <w:sz w:val="24"/>
        </w:rPr>
      </w:pPr>
      <w:r>
        <w:rPr>
          <w:rFonts w:hint="eastAsia"/>
          <w:sz w:val="24"/>
        </w:rPr>
        <w:t>2023</w:t>
      </w:r>
      <w:r>
        <w:rPr>
          <w:rFonts w:hint="eastAsia"/>
          <w:sz w:val="24"/>
        </w:rPr>
        <w:t>年</w:t>
      </w:r>
      <w:r>
        <w:rPr>
          <w:sz w:val="24"/>
        </w:rPr>
        <w:t>12</w:t>
      </w:r>
      <w:r>
        <w:rPr>
          <w:rFonts w:hint="eastAsia"/>
          <w:sz w:val="24"/>
        </w:rPr>
        <w:t>月</w:t>
      </w:r>
      <w:r>
        <w:rPr>
          <w:rFonts w:hint="eastAsia"/>
          <w:sz w:val="24"/>
        </w:rPr>
        <w:t>28</w:t>
      </w:r>
      <w:r>
        <w:rPr>
          <w:rFonts w:hint="eastAsia"/>
          <w:sz w:val="24"/>
        </w:rPr>
        <w:t>日，公司召开第四届董事会第二十九会议、第四届监事会第二十三次会议审议通过了向不特定对象发行可转换公司债券摊薄即期回报及采取填补措施和相关主体承诺等修订事项。</w:t>
      </w:r>
    </w:p>
    <w:p w14:paraId="45DDA91B" w14:textId="77777777" w:rsidR="007D0267" w:rsidRDefault="00000000">
      <w:pPr>
        <w:autoSpaceDE w:val="0"/>
        <w:autoSpaceDN w:val="0"/>
        <w:adjustRightInd w:val="0"/>
        <w:spacing w:beforeLines="50" w:before="156" w:line="360" w:lineRule="auto"/>
        <w:ind w:firstLineChars="200" w:firstLine="480"/>
        <w:jc w:val="left"/>
        <w:rPr>
          <w:sz w:val="24"/>
        </w:rPr>
      </w:pPr>
      <w:r>
        <w:rPr>
          <w:sz w:val="24"/>
        </w:rPr>
        <w:t>特此公告。</w:t>
      </w:r>
    </w:p>
    <w:p w14:paraId="63AD562F" w14:textId="77777777" w:rsidR="007D0267" w:rsidRDefault="00000000">
      <w:pPr>
        <w:autoSpaceDE w:val="0"/>
        <w:autoSpaceDN w:val="0"/>
        <w:adjustRightInd w:val="0"/>
        <w:spacing w:before="36" w:line="470" w:lineRule="auto"/>
        <w:ind w:firstLineChars="200" w:firstLine="480"/>
        <w:jc w:val="right"/>
        <w:rPr>
          <w:sz w:val="24"/>
        </w:rPr>
      </w:pPr>
      <w:r>
        <w:rPr>
          <w:rFonts w:hint="eastAsia"/>
          <w:sz w:val="24"/>
        </w:rPr>
        <w:t>青岛伟隆阀门股份有限公司董事会</w:t>
      </w:r>
    </w:p>
    <w:p w14:paraId="0BD04010" w14:textId="77777777" w:rsidR="00995EDC" w:rsidRDefault="00000000">
      <w:pPr>
        <w:autoSpaceDE w:val="0"/>
        <w:autoSpaceDN w:val="0"/>
        <w:adjustRightInd w:val="0"/>
        <w:spacing w:before="36" w:line="470" w:lineRule="auto"/>
        <w:ind w:firstLineChars="200" w:firstLine="480"/>
        <w:jc w:val="right"/>
        <w:rPr>
          <w:sz w:val="24"/>
        </w:rPr>
      </w:pPr>
      <w:r>
        <w:rPr>
          <w:rFonts w:hint="eastAsia"/>
          <w:sz w:val="24"/>
        </w:rPr>
        <w:t>2</w:t>
      </w:r>
      <w:r>
        <w:rPr>
          <w:sz w:val="24"/>
        </w:rPr>
        <w:t>023</w:t>
      </w:r>
      <w:r>
        <w:rPr>
          <w:rFonts w:hint="eastAsia"/>
          <w:sz w:val="24"/>
        </w:rPr>
        <w:t>年</w:t>
      </w:r>
      <w:r>
        <w:rPr>
          <w:rFonts w:hint="eastAsia"/>
          <w:sz w:val="24"/>
        </w:rPr>
        <w:t>1</w:t>
      </w:r>
      <w:r>
        <w:rPr>
          <w:sz w:val="24"/>
        </w:rPr>
        <w:t>2</w:t>
      </w:r>
      <w:r>
        <w:rPr>
          <w:rFonts w:hint="eastAsia"/>
          <w:sz w:val="24"/>
        </w:rPr>
        <w:t>月</w:t>
      </w:r>
      <w:r>
        <w:rPr>
          <w:rFonts w:hint="eastAsia"/>
          <w:sz w:val="24"/>
        </w:rPr>
        <w:t>29</w:t>
      </w:r>
      <w:r>
        <w:rPr>
          <w:rFonts w:hint="eastAsia"/>
          <w:sz w:val="24"/>
        </w:rPr>
        <w:t>日</w:t>
      </w:r>
    </w:p>
    <w:sectPr w:rsidR="00995EDC">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FDD19" w14:textId="77777777" w:rsidR="000B3D26" w:rsidRDefault="000B3D26">
      <w:r>
        <w:separator/>
      </w:r>
    </w:p>
  </w:endnote>
  <w:endnote w:type="continuationSeparator" w:id="0">
    <w:p w14:paraId="3CB32040" w14:textId="77777777" w:rsidR="000B3D26" w:rsidRDefault="000B3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1ABC2" w14:textId="77777777" w:rsidR="007D0267" w:rsidRDefault="00000000">
    <w:pPr>
      <w:pStyle w:val="a7"/>
      <w:jc w:val="center"/>
    </w:pPr>
    <w:r>
      <w:fldChar w:fldCharType="begin"/>
    </w:r>
    <w:r>
      <w:instrText>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3D645" w14:textId="77777777" w:rsidR="000B3D26" w:rsidRDefault="000B3D26">
      <w:r>
        <w:separator/>
      </w:r>
    </w:p>
  </w:footnote>
  <w:footnote w:type="continuationSeparator" w:id="0">
    <w:p w14:paraId="1CDC0EF2" w14:textId="77777777" w:rsidR="000B3D26" w:rsidRDefault="000B3D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czMDk0NGNiYTAzMzJiY2IzNjYyZDU0Y2MzYzFhYWIifQ=="/>
  </w:docVars>
  <w:rsids>
    <w:rsidRoot w:val="00CC2B04"/>
    <w:rsid w:val="00023979"/>
    <w:rsid w:val="000240D1"/>
    <w:rsid w:val="00027B2A"/>
    <w:rsid w:val="00051D07"/>
    <w:rsid w:val="000942A0"/>
    <w:rsid w:val="000B31C6"/>
    <w:rsid w:val="000B3D26"/>
    <w:rsid w:val="000B53EC"/>
    <w:rsid w:val="000C11C4"/>
    <w:rsid w:val="000C43A4"/>
    <w:rsid w:val="000C5767"/>
    <w:rsid w:val="000D6DF2"/>
    <w:rsid w:val="000F3C66"/>
    <w:rsid w:val="00104B30"/>
    <w:rsid w:val="001072F6"/>
    <w:rsid w:val="00127309"/>
    <w:rsid w:val="00136166"/>
    <w:rsid w:val="001407C7"/>
    <w:rsid w:val="00142301"/>
    <w:rsid w:val="00146217"/>
    <w:rsid w:val="001535F8"/>
    <w:rsid w:val="00170F3F"/>
    <w:rsid w:val="00177CAF"/>
    <w:rsid w:val="00185417"/>
    <w:rsid w:val="001C00BE"/>
    <w:rsid w:val="0020100D"/>
    <w:rsid w:val="00207DA6"/>
    <w:rsid w:val="00214B62"/>
    <w:rsid w:val="00234ECC"/>
    <w:rsid w:val="00240BCF"/>
    <w:rsid w:val="002416ED"/>
    <w:rsid w:val="00241947"/>
    <w:rsid w:val="00246F23"/>
    <w:rsid w:val="00267420"/>
    <w:rsid w:val="00271C86"/>
    <w:rsid w:val="00274023"/>
    <w:rsid w:val="002845DA"/>
    <w:rsid w:val="00293255"/>
    <w:rsid w:val="002A021A"/>
    <w:rsid w:val="002C5159"/>
    <w:rsid w:val="002C6B1A"/>
    <w:rsid w:val="002D0BA2"/>
    <w:rsid w:val="002D2843"/>
    <w:rsid w:val="002E21CB"/>
    <w:rsid w:val="002E3BF2"/>
    <w:rsid w:val="002F6F46"/>
    <w:rsid w:val="00311E59"/>
    <w:rsid w:val="00317576"/>
    <w:rsid w:val="00321658"/>
    <w:rsid w:val="0032544C"/>
    <w:rsid w:val="00347743"/>
    <w:rsid w:val="0035130D"/>
    <w:rsid w:val="00351974"/>
    <w:rsid w:val="0035477C"/>
    <w:rsid w:val="00356BCD"/>
    <w:rsid w:val="00370A65"/>
    <w:rsid w:val="003752AD"/>
    <w:rsid w:val="00383D4B"/>
    <w:rsid w:val="00392733"/>
    <w:rsid w:val="003A71B4"/>
    <w:rsid w:val="003B2935"/>
    <w:rsid w:val="003C46A0"/>
    <w:rsid w:val="003D30EA"/>
    <w:rsid w:val="003D3572"/>
    <w:rsid w:val="003E040B"/>
    <w:rsid w:val="003E44CE"/>
    <w:rsid w:val="0040140B"/>
    <w:rsid w:val="00407180"/>
    <w:rsid w:val="0041013B"/>
    <w:rsid w:val="004122D6"/>
    <w:rsid w:val="004138F2"/>
    <w:rsid w:val="004139A2"/>
    <w:rsid w:val="00414615"/>
    <w:rsid w:val="00420E86"/>
    <w:rsid w:val="0045165A"/>
    <w:rsid w:val="00452A6E"/>
    <w:rsid w:val="00453F6A"/>
    <w:rsid w:val="00467E82"/>
    <w:rsid w:val="00470BCF"/>
    <w:rsid w:val="004722A5"/>
    <w:rsid w:val="00473F6E"/>
    <w:rsid w:val="00476E6C"/>
    <w:rsid w:val="00480BB4"/>
    <w:rsid w:val="004A3C89"/>
    <w:rsid w:val="004A51FD"/>
    <w:rsid w:val="004C176F"/>
    <w:rsid w:val="004C6072"/>
    <w:rsid w:val="004D6897"/>
    <w:rsid w:val="00501668"/>
    <w:rsid w:val="00520618"/>
    <w:rsid w:val="0052148A"/>
    <w:rsid w:val="005248B9"/>
    <w:rsid w:val="00540B58"/>
    <w:rsid w:val="00540E88"/>
    <w:rsid w:val="00560626"/>
    <w:rsid w:val="005650CD"/>
    <w:rsid w:val="0057441B"/>
    <w:rsid w:val="00575DCE"/>
    <w:rsid w:val="005926BE"/>
    <w:rsid w:val="00593AB5"/>
    <w:rsid w:val="005A6D18"/>
    <w:rsid w:val="005B2F44"/>
    <w:rsid w:val="005B5607"/>
    <w:rsid w:val="005B70E9"/>
    <w:rsid w:val="005D7DA9"/>
    <w:rsid w:val="005E2351"/>
    <w:rsid w:val="005F4A64"/>
    <w:rsid w:val="005F7787"/>
    <w:rsid w:val="00600C57"/>
    <w:rsid w:val="00604330"/>
    <w:rsid w:val="00604E11"/>
    <w:rsid w:val="006137C9"/>
    <w:rsid w:val="006159DF"/>
    <w:rsid w:val="006170EF"/>
    <w:rsid w:val="006327E3"/>
    <w:rsid w:val="00633B15"/>
    <w:rsid w:val="00637B2C"/>
    <w:rsid w:val="006441B0"/>
    <w:rsid w:val="006540AF"/>
    <w:rsid w:val="00655976"/>
    <w:rsid w:val="00656866"/>
    <w:rsid w:val="00667270"/>
    <w:rsid w:val="00674454"/>
    <w:rsid w:val="00674684"/>
    <w:rsid w:val="00675134"/>
    <w:rsid w:val="00697517"/>
    <w:rsid w:val="00697BE0"/>
    <w:rsid w:val="006A39FA"/>
    <w:rsid w:val="006A421E"/>
    <w:rsid w:val="006A4C54"/>
    <w:rsid w:val="006B0318"/>
    <w:rsid w:val="006B27D9"/>
    <w:rsid w:val="006C1D70"/>
    <w:rsid w:val="006C307C"/>
    <w:rsid w:val="006C3D2E"/>
    <w:rsid w:val="006D4782"/>
    <w:rsid w:val="006F4B5F"/>
    <w:rsid w:val="0070729E"/>
    <w:rsid w:val="0071068E"/>
    <w:rsid w:val="0073028D"/>
    <w:rsid w:val="00732171"/>
    <w:rsid w:val="00740C19"/>
    <w:rsid w:val="007430B5"/>
    <w:rsid w:val="00745D6E"/>
    <w:rsid w:val="00762A73"/>
    <w:rsid w:val="0076563D"/>
    <w:rsid w:val="00766007"/>
    <w:rsid w:val="00767D5E"/>
    <w:rsid w:val="00770FAC"/>
    <w:rsid w:val="007742BD"/>
    <w:rsid w:val="0077615C"/>
    <w:rsid w:val="00776576"/>
    <w:rsid w:val="0079382A"/>
    <w:rsid w:val="007941B8"/>
    <w:rsid w:val="00794999"/>
    <w:rsid w:val="007A303A"/>
    <w:rsid w:val="007B73CF"/>
    <w:rsid w:val="007D0267"/>
    <w:rsid w:val="007D311D"/>
    <w:rsid w:val="007D4128"/>
    <w:rsid w:val="007E0701"/>
    <w:rsid w:val="007E1EC3"/>
    <w:rsid w:val="007E551B"/>
    <w:rsid w:val="007F2678"/>
    <w:rsid w:val="00800754"/>
    <w:rsid w:val="00802E33"/>
    <w:rsid w:val="008034A7"/>
    <w:rsid w:val="00803934"/>
    <w:rsid w:val="00804188"/>
    <w:rsid w:val="008079F8"/>
    <w:rsid w:val="00813CD4"/>
    <w:rsid w:val="00824989"/>
    <w:rsid w:val="00830771"/>
    <w:rsid w:val="00832B0A"/>
    <w:rsid w:val="0083687F"/>
    <w:rsid w:val="00843FB6"/>
    <w:rsid w:val="00845AEF"/>
    <w:rsid w:val="00847FD4"/>
    <w:rsid w:val="00850A98"/>
    <w:rsid w:val="00853740"/>
    <w:rsid w:val="00861DA2"/>
    <w:rsid w:val="00864CD5"/>
    <w:rsid w:val="008664D3"/>
    <w:rsid w:val="00873FD4"/>
    <w:rsid w:val="00876665"/>
    <w:rsid w:val="0088171D"/>
    <w:rsid w:val="00882590"/>
    <w:rsid w:val="0088266E"/>
    <w:rsid w:val="00886251"/>
    <w:rsid w:val="00890F30"/>
    <w:rsid w:val="00891E52"/>
    <w:rsid w:val="008A163D"/>
    <w:rsid w:val="008A4C10"/>
    <w:rsid w:val="008B01DD"/>
    <w:rsid w:val="008C3839"/>
    <w:rsid w:val="008C4397"/>
    <w:rsid w:val="0090191E"/>
    <w:rsid w:val="009104C2"/>
    <w:rsid w:val="00911853"/>
    <w:rsid w:val="00912A1A"/>
    <w:rsid w:val="00915130"/>
    <w:rsid w:val="00927242"/>
    <w:rsid w:val="00936733"/>
    <w:rsid w:val="009527E1"/>
    <w:rsid w:val="00954F14"/>
    <w:rsid w:val="00956FEA"/>
    <w:rsid w:val="00960AF8"/>
    <w:rsid w:val="0096246C"/>
    <w:rsid w:val="0096489B"/>
    <w:rsid w:val="00967FA9"/>
    <w:rsid w:val="009703A7"/>
    <w:rsid w:val="00972A8E"/>
    <w:rsid w:val="0098201E"/>
    <w:rsid w:val="00984DDD"/>
    <w:rsid w:val="00985173"/>
    <w:rsid w:val="009924A0"/>
    <w:rsid w:val="00995EDC"/>
    <w:rsid w:val="009A45FA"/>
    <w:rsid w:val="009A4EC2"/>
    <w:rsid w:val="009F48F6"/>
    <w:rsid w:val="009F76DC"/>
    <w:rsid w:val="00A400CA"/>
    <w:rsid w:val="00A43F5C"/>
    <w:rsid w:val="00A46F23"/>
    <w:rsid w:val="00A525F5"/>
    <w:rsid w:val="00A620ED"/>
    <w:rsid w:val="00A65B11"/>
    <w:rsid w:val="00A67032"/>
    <w:rsid w:val="00A71513"/>
    <w:rsid w:val="00A9029D"/>
    <w:rsid w:val="00A96017"/>
    <w:rsid w:val="00A96DB8"/>
    <w:rsid w:val="00AA38AC"/>
    <w:rsid w:val="00AA4090"/>
    <w:rsid w:val="00AB10FC"/>
    <w:rsid w:val="00AB7213"/>
    <w:rsid w:val="00AC05C3"/>
    <w:rsid w:val="00AC53CC"/>
    <w:rsid w:val="00AD3976"/>
    <w:rsid w:val="00AE61DB"/>
    <w:rsid w:val="00AF1847"/>
    <w:rsid w:val="00AF6AAB"/>
    <w:rsid w:val="00B00F4C"/>
    <w:rsid w:val="00B026A2"/>
    <w:rsid w:val="00B04C96"/>
    <w:rsid w:val="00B20029"/>
    <w:rsid w:val="00B2607E"/>
    <w:rsid w:val="00B30081"/>
    <w:rsid w:val="00B34262"/>
    <w:rsid w:val="00B345C6"/>
    <w:rsid w:val="00B374AB"/>
    <w:rsid w:val="00B43894"/>
    <w:rsid w:val="00B558DA"/>
    <w:rsid w:val="00B601A1"/>
    <w:rsid w:val="00B62888"/>
    <w:rsid w:val="00B654D7"/>
    <w:rsid w:val="00B677E0"/>
    <w:rsid w:val="00B756B7"/>
    <w:rsid w:val="00B80299"/>
    <w:rsid w:val="00B80417"/>
    <w:rsid w:val="00B86FAD"/>
    <w:rsid w:val="00B91D89"/>
    <w:rsid w:val="00B93C5F"/>
    <w:rsid w:val="00B96F42"/>
    <w:rsid w:val="00BA5CEA"/>
    <w:rsid w:val="00BA784A"/>
    <w:rsid w:val="00BB283C"/>
    <w:rsid w:val="00BC0574"/>
    <w:rsid w:val="00BC65B2"/>
    <w:rsid w:val="00BE2A24"/>
    <w:rsid w:val="00BE31BA"/>
    <w:rsid w:val="00BF0231"/>
    <w:rsid w:val="00C01831"/>
    <w:rsid w:val="00C02CFD"/>
    <w:rsid w:val="00C17A6E"/>
    <w:rsid w:val="00C23154"/>
    <w:rsid w:val="00C31422"/>
    <w:rsid w:val="00C3560E"/>
    <w:rsid w:val="00C41336"/>
    <w:rsid w:val="00C46D21"/>
    <w:rsid w:val="00C60782"/>
    <w:rsid w:val="00C60AF8"/>
    <w:rsid w:val="00C64C5F"/>
    <w:rsid w:val="00C77DBB"/>
    <w:rsid w:val="00C8319A"/>
    <w:rsid w:val="00C86DB3"/>
    <w:rsid w:val="00C86FAA"/>
    <w:rsid w:val="00C91059"/>
    <w:rsid w:val="00C9230D"/>
    <w:rsid w:val="00C9680A"/>
    <w:rsid w:val="00CA56EF"/>
    <w:rsid w:val="00CC2B04"/>
    <w:rsid w:val="00CC7F3A"/>
    <w:rsid w:val="00CD3345"/>
    <w:rsid w:val="00CD5882"/>
    <w:rsid w:val="00CF0CC5"/>
    <w:rsid w:val="00D01C25"/>
    <w:rsid w:val="00D13ABE"/>
    <w:rsid w:val="00D143D9"/>
    <w:rsid w:val="00D25D6A"/>
    <w:rsid w:val="00D270E7"/>
    <w:rsid w:val="00D276AB"/>
    <w:rsid w:val="00D27B48"/>
    <w:rsid w:val="00D34D77"/>
    <w:rsid w:val="00D5233C"/>
    <w:rsid w:val="00D52524"/>
    <w:rsid w:val="00D71F78"/>
    <w:rsid w:val="00D916A8"/>
    <w:rsid w:val="00DA3591"/>
    <w:rsid w:val="00DA7351"/>
    <w:rsid w:val="00DB1066"/>
    <w:rsid w:val="00DC15AF"/>
    <w:rsid w:val="00DD3D29"/>
    <w:rsid w:val="00DE3BFE"/>
    <w:rsid w:val="00DF443E"/>
    <w:rsid w:val="00E15E2C"/>
    <w:rsid w:val="00E22198"/>
    <w:rsid w:val="00E22ED9"/>
    <w:rsid w:val="00E44932"/>
    <w:rsid w:val="00E451CF"/>
    <w:rsid w:val="00E74A63"/>
    <w:rsid w:val="00E77443"/>
    <w:rsid w:val="00E93823"/>
    <w:rsid w:val="00E95833"/>
    <w:rsid w:val="00E95E1D"/>
    <w:rsid w:val="00E9678C"/>
    <w:rsid w:val="00EA2345"/>
    <w:rsid w:val="00EC5FAA"/>
    <w:rsid w:val="00EC7143"/>
    <w:rsid w:val="00ED526D"/>
    <w:rsid w:val="00EE6F00"/>
    <w:rsid w:val="00EF5C67"/>
    <w:rsid w:val="00F10AD9"/>
    <w:rsid w:val="00F20792"/>
    <w:rsid w:val="00F216B7"/>
    <w:rsid w:val="00F508CE"/>
    <w:rsid w:val="00F66075"/>
    <w:rsid w:val="00F706A7"/>
    <w:rsid w:val="00F76070"/>
    <w:rsid w:val="00F765A1"/>
    <w:rsid w:val="00F860DB"/>
    <w:rsid w:val="00FA289D"/>
    <w:rsid w:val="00FA3459"/>
    <w:rsid w:val="00FA51EB"/>
    <w:rsid w:val="00FB1978"/>
    <w:rsid w:val="00FC0C54"/>
    <w:rsid w:val="00FD353C"/>
    <w:rsid w:val="00FD489C"/>
    <w:rsid w:val="00FD5EBD"/>
    <w:rsid w:val="00FE0C13"/>
    <w:rsid w:val="00FE13EA"/>
    <w:rsid w:val="0E5C456F"/>
    <w:rsid w:val="142825B6"/>
    <w:rsid w:val="2D7654E3"/>
    <w:rsid w:val="4C4A5008"/>
    <w:rsid w:val="54E24022"/>
    <w:rsid w:val="75953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8BDEED"/>
  <w15:chartTrackingRefBased/>
  <w15:docId w15:val="{8F2A6AF8-9C87-4A2A-99CF-E327B21C2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semiHidden="1"/>
    <w:lsdException w:name="footer" w:uiPriority="99"/>
    <w:lsdException w:name="caption" w:locked="1" w:semiHidden="1" w:unhideWhenUsed="1" w:qFormat="1"/>
    <w:lsdException w:name="annotation reference" w:semiHidden="1"/>
    <w:lsdException w:name="Title" w:locked="1" w:qFormat="1"/>
    <w:lsdException w:name="Default Paragraph Font" w:semiHidden="1"/>
    <w:lsdException w:name="Subtitle" w:locked="1"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semiHidden="1" w:unhideWhenUsed="1"/>
    <w:lsdException w:name="Table Web 1" w:semiHidden="1" w:unhideWhenUsed="1"/>
    <w:lsdException w:name="Table Web 2" w:semiHidden="1" w:unhideWhenUsed="1"/>
    <w:lsdException w:name="Table Web 3" w:locked="1" w:semiHidden="1" w:unhideWhenUsed="1"/>
    <w:lsdException w:name="Balloon Text" w:semiHidden="1"/>
    <w:lsdException w:name="Table Grid" w:lock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pPr>
      <w:jc w:val="left"/>
    </w:pPr>
  </w:style>
  <w:style w:type="character" w:customStyle="1" w:styleId="a4">
    <w:name w:val="批注文字 字符"/>
    <w:link w:val="a3"/>
    <w:semiHidden/>
    <w:locked/>
    <w:rPr>
      <w:rFonts w:ascii="Times New Roman" w:eastAsia="宋体" w:hAnsi="Times New Roman"/>
      <w:sz w:val="24"/>
    </w:rPr>
  </w:style>
  <w:style w:type="paragraph" w:styleId="a5">
    <w:name w:val="Balloon Text"/>
    <w:basedOn w:val="a"/>
    <w:link w:val="a6"/>
    <w:semiHidden/>
    <w:rPr>
      <w:sz w:val="18"/>
      <w:szCs w:val="18"/>
    </w:rPr>
  </w:style>
  <w:style w:type="character" w:customStyle="1" w:styleId="a6">
    <w:name w:val="批注框文本 字符"/>
    <w:link w:val="a5"/>
    <w:semiHidden/>
    <w:locked/>
    <w:rPr>
      <w:rFonts w:ascii="Times New Roman" w:eastAsia="宋体" w:hAnsi="Times New Roman"/>
      <w:sz w:val="18"/>
    </w:rPr>
  </w:style>
  <w:style w:type="paragraph" w:styleId="a7">
    <w:name w:val="footer"/>
    <w:basedOn w:val="a"/>
    <w:link w:val="a8"/>
    <w:uiPriority w:val="99"/>
    <w:pPr>
      <w:tabs>
        <w:tab w:val="center" w:pos="4153"/>
        <w:tab w:val="right" w:pos="8306"/>
      </w:tabs>
      <w:snapToGrid w:val="0"/>
      <w:jc w:val="left"/>
    </w:pPr>
    <w:rPr>
      <w:rFonts w:ascii="Calibri" w:hAnsi="Calibri"/>
      <w:sz w:val="18"/>
      <w:szCs w:val="18"/>
    </w:rPr>
  </w:style>
  <w:style w:type="character" w:customStyle="1" w:styleId="a8">
    <w:name w:val="页脚 字符"/>
    <w:link w:val="a7"/>
    <w:uiPriority w:val="99"/>
    <w:locked/>
    <w:rPr>
      <w:sz w:val="18"/>
    </w:rPr>
  </w:style>
  <w:style w:type="paragraph" w:styleId="a9">
    <w:name w:val="header"/>
    <w:basedOn w:val="a"/>
    <w:link w:val="aa"/>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aa">
    <w:name w:val="页眉 字符"/>
    <w:link w:val="a9"/>
    <w:locked/>
    <w:rPr>
      <w:sz w:val="18"/>
    </w:rPr>
  </w:style>
  <w:style w:type="paragraph" w:styleId="ab">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ad"/>
    <w:semiHidden/>
    <w:rPr>
      <w:b/>
      <w:bCs/>
    </w:rPr>
  </w:style>
  <w:style w:type="character" w:customStyle="1" w:styleId="ad">
    <w:name w:val="批注主题 字符"/>
    <w:link w:val="ac"/>
    <w:semiHidden/>
    <w:locked/>
    <w:rPr>
      <w:rFonts w:ascii="Times New Roman" w:eastAsia="宋体" w:hAnsi="Times New Roman"/>
      <w:b/>
      <w:sz w:val="24"/>
    </w:rPr>
  </w:style>
  <w:style w:type="table" w:styleId="ae">
    <w:name w:val="Table Grid"/>
    <w:basedOn w:val="a1"/>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semiHidden/>
    <w:rPr>
      <w:sz w:val="21"/>
    </w:rPr>
  </w:style>
  <w:style w:type="paragraph" w:styleId="af0">
    <w:name w:val="Revision"/>
    <w:uiPriority w:val="99"/>
    <w:semiHidden/>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1120</Words>
  <Characters>6389</Characters>
  <Application>Microsoft Office Word</Application>
  <DocSecurity>0</DocSecurity>
  <Lines>53</Lines>
  <Paragraphs>14</Paragraphs>
  <ScaleCrop>false</ScaleCrop>
  <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浙江台华新材料股份有限公司</dc:title>
  <dc:subject/>
  <dc:creator>白凤至028211</dc:creator>
  <cp:keywords/>
  <dc:description/>
  <cp:lastModifiedBy>何帅047185</cp:lastModifiedBy>
  <cp:revision>3</cp:revision>
  <cp:lastPrinted>2018-12-26T17:42:00Z</cp:lastPrinted>
  <dcterms:created xsi:type="dcterms:W3CDTF">2023-12-28T08:41:00Z</dcterms:created>
  <dcterms:modified xsi:type="dcterms:W3CDTF">2023-12-28T08:42:00Z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A06F6E97365E4819836BDD824131BB72_12</vt:lpwstr>
  </property>
</Properties>
</file>