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626C" w14:textId="77777777" w:rsidR="00116C0B" w:rsidRDefault="00116C0B">
      <w:pPr>
        <w:spacing w:line="360" w:lineRule="auto"/>
        <w:jc w:val="right"/>
        <w:rPr>
          <w:b/>
        </w:rPr>
      </w:pPr>
    </w:p>
    <w:p w14:paraId="3AB388C6" w14:textId="77777777" w:rsidR="00116C0B" w:rsidRDefault="00116C0B">
      <w:pPr>
        <w:jc w:val="center"/>
      </w:pPr>
    </w:p>
    <w:p w14:paraId="1492EEF8" w14:textId="77777777" w:rsidR="00116C0B" w:rsidRDefault="00116C0B">
      <w:pPr>
        <w:jc w:val="center"/>
      </w:pPr>
    </w:p>
    <w:p w14:paraId="63E66E2B" w14:textId="77777777" w:rsidR="00116C0B" w:rsidRDefault="00116C0B">
      <w:pPr>
        <w:jc w:val="center"/>
      </w:pPr>
    </w:p>
    <w:p w14:paraId="1A1D4BCE" w14:textId="77777777" w:rsidR="00116C0B" w:rsidRDefault="00116C0B">
      <w:pPr>
        <w:jc w:val="center"/>
      </w:pPr>
    </w:p>
    <w:p w14:paraId="70F1CBB0" w14:textId="4C9D4240" w:rsidR="00116C0B" w:rsidRDefault="00E2342B">
      <w:pPr>
        <w:jc w:val="center"/>
      </w:pPr>
      <w:r>
        <w:rPr>
          <w:noProof/>
        </w:rPr>
        <w:drawing>
          <wp:inline distT="0" distB="0" distL="0" distR="0" wp14:anchorId="3FF9C0C5" wp14:editId="48037162">
            <wp:extent cx="2562225" cy="5791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2225" cy="579120"/>
                    </a:xfrm>
                    <a:prstGeom prst="rect">
                      <a:avLst/>
                    </a:prstGeom>
                    <a:noFill/>
                    <a:ln>
                      <a:noFill/>
                    </a:ln>
                  </pic:spPr>
                </pic:pic>
              </a:graphicData>
            </a:graphic>
          </wp:inline>
        </w:drawing>
      </w:r>
    </w:p>
    <w:p w14:paraId="07202570" w14:textId="77777777" w:rsidR="00116C0B" w:rsidRDefault="00116C0B">
      <w:pPr>
        <w:jc w:val="center"/>
      </w:pPr>
    </w:p>
    <w:p w14:paraId="7748EEF5" w14:textId="77777777" w:rsidR="00116C0B" w:rsidRDefault="00116C0B"/>
    <w:p w14:paraId="440432D3" w14:textId="77777777" w:rsidR="00116C0B" w:rsidRDefault="00000000">
      <w:pPr>
        <w:spacing w:afterLines="50" w:after="120" w:line="360" w:lineRule="auto"/>
        <w:jc w:val="center"/>
        <w:rPr>
          <w:rFonts w:ascii="黑体" w:eastAsia="黑体" w:hAnsi="黑体"/>
          <w:b/>
          <w:bCs/>
          <w:sz w:val="44"/>
          <w:szCs w:val="44"/>
        </w:rPr>
      </w:pPr>
      <w:r>
        <w:rPr>
          <w:rFonts w:ascii="黑体" w:eastAsia="黑体" w:hAnsi="黑体" w:hint="eastAsia"/>
          <w:b/>
          <w:bCs/>
          <w:sz w:val="44"/>
          <w:szCs w:val="44"/>
        </w:rPr>
        <w:t>青岛伟隆阀门股份有限公司</w:t>
      </w:r>
    </w:p>
    <w:p w14:paraId="701EB260" w14:textId="77777777" w:rsidR="00116C0B" w:rsidRDefault="00000000">
      <w:pPr>
        <w:tabs>
          <w:tab w:val="center" w:pos="4153"/>
          <w:tab w:val="right" w:pos="8306"/>
        </w:tabs>
        <w:spacing w:afterLines="50" w:after="120" w:line="360" w:lineRule="auto"/>
        <w:jc w:val="center"/>
        <w:rPr>
          <w:rFonts w:ascii="Centaur" w:hAnsi="Centaur"/>
          <w:b/>
          <w:sz w:val="30"/>
          <w:szCs w:val="30"/>
        </w:rPr>
      </w:pPr>
      <w:r>
        <w:rPr>
          <w:rFonts w:ascii="Centaur" w:hAnsi="Centaur"/>
          <w:b/>
          <w:sz w:val="30"/>
          <w:szCs w:val="30"/>
        </w:rPr>
        <w:t>QINGDAO WEFLO VALVE CO., LTD.</w:t>
      </w:r>
    </w:p>
    <w:p w14:paraId="64ADF207" w14:textId="77777777" w:rsidR="00116C0B" w:rsidRDefault="00000000">
      <w:pPr>
        <w:spacing w:afterLines="50" w:after="120" w:line="360" w:lineRule="auto"/>
        <w:jc w:val="center"/>
      </w:pPr>
      <w:r>
        <w:rPr>
          <w:rFonts w:hAnsi="Arial"/>
        </w:rPr>
        <w:t>（注册地址：</w:t>
      </w:r>
      <w:r>
        <w:rPr>
          <w:rFonts w:hAnsi="Arial" w:hint="eastAsia"/>
        </w:rPr>
        <w:t>山东省青岛市高新区</w:t>
      </w:r>
      <w:proofErr w:type="gramStart"/>
      <w:r>
        <w:rPr>
          <w:rFonts w:hAnsi="Arial" w:hint="eastAsia"/>
        </w:rPr>
        <w:t>春阳路</w:t>
      </w:r>
      <w:proofErr w:type="gramEnd"/>
      <w:r>
        <w:rPr>
          <w:rFonts w:hAnsi="Arial" w:hint="eastAsia"/>
        </w:rPr>
        <w:t>789</w:t>
      </w:r>
      <w:r>
        <w:rPr>
          <w:rFonts w:hAnsi="Arial" w:hint="eastAsia"/>
        </w:rPr>
        <w:t>号</w:t>
      </w:r>
      <w:r>
        <w:rPr>
          <w:rFonts w:hAnsi="Arial"/>
        </w:rPr>
        <w:t>）</w:t>
      </w:r>
    </w:p>
    <w:p w14:paraId="002AD8C7" w14:textId="77777777" w:rsidR="00116C0B" w:rsidRDefault="00116C0B">
      <w:pPr>
        <w:autoSpaceDE w:val="0"/>
        <w:autoSpaceDN w:val="0"/>
        <w:adjustRightInd w:val="0"/>
        <w:jc w:val="center"/>
        <w:rPr>
          <w:rFonts w:eastAsia="黑体"/>
          <w:sz w:val="52"/>
          <w:szCs w:val="52"/>
        </w:rPr>
      </w:pPr>
    </w:p>
    <w:p w14:paraId="6103594C" w14:textId="77777777" w:rsidR="007814EF" w:rsidRDefault="007814EF">
      <w:pPr>
        <w:autoSpaceDE w:val="0"/>
        <w:autoSpaceDN w:val="0"/>
        <w:adjustRightInd w:val="0"/>
        <w:jc w:val="center"/>
        <w:rPr>
          <w:rFonts w:eastAsia="黑体"/>
          <w:sz w:val="52"/>
          <w:szCs w:val="52"/>
        </w:rPr>
      </w:pPr>
    </w:p>
    <w:p w14:paraId="60BCDDF3" w14:textId="77777777" w:rsidR="00D039DB" w:rsidRDefault="00D039DB">
      <w:pPr>
        <w:autoSpaceDE w:val="0"/>
        <w:autoSpaceDN w:val="0"/>
        <w:adjustRightInd w:val="0"/>
        <w:jc w:val="center"/>
        <w:rPr>
          <w:rFonts w:eastAsia="黑体" w:hint="eastAsia"/>
          <w:sz w:val="52"/>
          <w:szCs w:val="52"/>
        </w:rPr>
      </w:pPr>
    </w:p>
    <w:p w14:paraId="06CB02CB" w14:textId="77777777" w:rsidR="00116C0B" w:rsidRDefault="00000000">
      <w:pPr>
        <w:autoSpaceDE w:val="0"/>
        <w:autoSpaceDN w:val="0"/>
        <w:adjustRightInd w:val="0"/>
        <w:jc w:val="center"/>
        <w:rPr>
          <w:rFonts w:eastAsia="黑体"/>
          <w:b/>
          <w:sz w:val="52"/>
          <w:szCs w:val="52"/>
        </w:rPr>
      </w:pPr>
      <w:r>
        <w:rPr>
          <w:rFonts w:hAnsi="Arial" w:hint="eastAsia"/>
          <w:b/>
          <w:sz w:val="44"/>
          <w:szCs w:val="44"/>
        </w:rPr>
        <w:t>向不特定对象发行可转换公司债</w:t>
      </w:r>
      <w:proofErr w:type="gramStart"/>
      <w:r>
        <w:rPr>
          <w:rFonts w:hAnsi="Arial" w:hint="eastAsia"/>
          <w:b/>
          <w:sz w:val="44"/>
          <w:szCs w:val="44"/>
        </w:rPr>
        <w:t>券</w:t>
      </w:r>
      <w:proofErr w:type="gramEnd"/>
      <w:r>
        <w:rPr>
          <w:rFonts w:hAnsi="Arial" w:hint="eastAsia"/>
          <w:b/>
          <w:sz w:val="44"/>
          <w:szCs w:val="44"/>
        </w:rPr>
        <w:t>募集资金</w:t>
      </w:r>
      <w:r w:rsidR="00222208">
        <w:rPr>
          <w:rFonts w:hAnsi="Arial" w:hint="eastAsia"/>
          <w:b/>
          <w:sz w:val="44"/>
          <w:szCs w:val="44"/>
        </w:rPr>
        <w:t>使</w:t>
      </w:r>
      <w:r>
        <w:rPr>
          <w:rFonts w:hAnsi="Arial" w:hint="eastAsia"/>
          <w:b/>
          <w:sz w:val="44"/>
          <w:szCs w:val="44"/>
        </w:rPr>
        <w:t>用的可行性分析报告（二次修订稿）</w:t>
      </w:r>
    </w:p>
    <w:p w14:paraId="3536D793" w14:textId="77777777" w:rsidR="00116C0B" w:rsidRDefault="00000000">
      <w:pPr>
        <w:autoSpaceDE w:val="0"/>
        <w:autoSpaceDN w:val="0"/>
        <w:adjustRightInd w:val="0"/>
        <w:jc w:val="center"/>
        <w:rPr>
          <w:rFonts w:eastAsia="黑体"/>
          <w:sz w:val="52"/>
          <w:szCs w:val="52"/>
        </w:rPr>
      </w:pPr>
      <w:r>
        <w:rPr>
          <w:rFonts w:eastAsia="黑体"/>
          <w:sz w:val="52"/>
          <w:szCs w:val="52"/>
        </w:rPr>
        <w:t xml:space="preserve"> </w:t>
      </w:r>
    </w:p>
    <w:p w14:paraId="13F9029B" w14:textId="77777777" w:rsidR="00116C0B" w:rsidRDefault="00000000">
      <w:pPr>
        <w:autoSpaceDE w:val="0"/>
        <w:autoSpaceDN w:val="0"/>
        <w:adjustRightInd w:val="0"/>
        <w:jc w:val="center"/>
        <w:rPr>
          <w:rFonts w:eastAsia="黑体"/>
          <w:sz w:val="36"/>
          <w:szCs w:val="36"/>
        </w:rPr>
      </w:pPr>
      <w:r>
        <w:rPr>
          <w:rFonts w:eastAsia="黑体"/>
          <w:sz w:val="52"/>
          <w:szCs w:val="52"/>
        </w:rPr>
        <w:t xml:space="preserve"> </w:t>
      </w:r>
    </w:p>
    <w:p w14:paraId="52E5A13A" w14:textId="77777777" w:rsidR="00116C0B" w:rsidRDefault="00116C0B">
      <w:pPr>
        <w:spacing w:line="360" w:lineRule="auto"/>
        <w:ind w:firstLine="426"/>
        <w:jc w:val="center"/>
        <w:rPr>
          <w:rFonts w:eastAsia="黑体"/>
          <w:sz w:val="36"/>
          <w:szCs w:val="36"/>
        </w:rPr>
      </w:pPr>
    </w:p>
    <w:p w14:paraId="4E671702" w14:textId="77777777" w:rsidR="00116C0B" w:rsidRDefault="00116C0B">
      <w:pPr>
        <w:spacing w:line="360" w:lineRule="auto"/>
        <w:ind w:firstLine="426"/>
        <w:jc w:val="center"/>
        <w:rPr>
          <w:rFonts w:eastAsia="黑体"/>
          <w:sz w:val="36"/>
          <w:szCs w:val="36"/>
        </w:rPr>
      </w:pPr>
    </w:p>
    <w:p w14:paraId="71E59749" w14:textId="77777777" w:rsidR="00E2342B" w:rsidRDefault="00E2342B">
      <w:pPr>
        <w:spacing w:line="360" w:lineRule="auto"/>
        <w:ind w:firstLine="426"/>
        <w:jc w:val="center"/>
        <w:rPr>
          <w:rFonts w:eastAsia="黑体"/>
          <w:sz w:val="36"/>
          <w:szCs w:val="36"/>
        </w:rPr>
      </w:pPr>
    </w:p>
    <w:p w14:paraId="50333D5E" w14:textId="77777777" w:rsidR="007814EF" w:rsidRDefault="007814EF">
      <w:pPr>
        <w:spacing w:line="360" w:lineRule="auto"/>
        <w:ind w:firstLine="426"/>
        <w:jc w:val="center"/>
        <w:rPr>
          <w:rFonts w:eastAsia="黑体"/>
          <w:sz w:val="36"/>
          <w:szCs w:val="36"/>
        </w:rPr>
      </w:pPr>
    </w:p>
    <w:p w14:paraId="44FB3996" w14:textId="77777777" w:rsidR="007814EF" w:rsidRDefault="007814EF">
      <w:pPr>
        <w:spacing w:line="360" w:lineRule="auto"/>
        <w:ind w:firstLine="426"/>
        <w:jc w:val="center"/>
        <w:rPr>
          <w:rFonts w:eastAsia="黑体" w:hint="eastAsia"/>
          <w:sz w:val="36"/>
          <w:szCs w:val="36"/>
        </w:rPr>
      </w:pPr>
    </w:p>
    <w:p w14:paraId="15FD182F" w14:textId="77777777" w:rsidR="00E2342B" w:rsidRDefault="00E2342B">
      <w:pPr>
        <w:spacing w:line="360" w:lineRule="auto"/>
        <w:ind w:firstLine="426"/>
        <w:jc w:val="center"/>
        <w:rPr>
          <w:rFonts w:eastAsia="黑体"/>
          <w:sz w:val="36"/>
          <w:szCs w:val="36"/>
        </w:rPr>
      </w:pPr>
    </w:p>
    <w:p w14:paraId="63EA7D4B" w14:textId="77777777" w:rsidR="00116C0B" w:rsidRDefault="00000000">
      <w:pPr>
        <w:spacing w:line="360" w:lineRule="auto"/>
        <w:jc w:val="center"/>
        <w:rPr>
          <w:rFonts w:eastAsia="黑体" w:hAnsi="Arial"/>
          <w:sz w:val="32"/>
          <w:szCs w:val="36"/>
        </w:rPr>
      </w:pPr>
      <w:r>
        <w:rPr>
          <w:rFonts w:eastAsia="黑体" w:hAnsi="Arial"/>
          <w:sz w:val="32"/>
          <w:szCs w:val="36"/>
        </w:rPr>
        <w:t>二〇</w:t>
      </w:r>
      <w:r>
        <w:rPr>
          <w:rFonts w:eastAsia="黑体" w:hAnsi="Arial" w:hint="eastAsia"/>
          <w:sz w:val="32"/>
          <w:szCs w:val="36"/>
        </w:rPr>
        <w:t>二三</w:t>
      </w:r>
      <w:r>
        <w:rPr>
          <w:rFonts w:eastAsia="黑体" w:hAnsi="Arial"/>
          <w:sz w:val="32"/>
          <w:szCs w:val="36"/>
        </w:rPr>
        <w:t>年</w:t>
      </w:r>
      <w:r>
        <w:rPr>
          <w:rFonts w:eastAsia="黑体" w:hAnsi="Arial" w:hint="eastAsia"/>
          <w:sz w:val="32"/>
          <w:szCs w:val="36"/>
        </w:rPr>
        <w:t>十二</w:t>
      </w:r>
      <w:r>
        <w:rPr>
          <w:rFonts w:eastAsia="黑体" w:hAnsi="Arial"/>
          <w:sz w:val="32"/>
          <w:szCs w:val="36"/>
        </w:rPr>
        <w:t>月</w:t>
      </w:r>
    </w:p>
    <w:p w14:paraId="35D590B8" w14:textId="77777777" w:rsidR="00116C0B" w:rsidRDefault="00000000">
      <w:pPr>
        <w:pStyle w:val="1"/>
        <w:spacing w:beforeLines="50" w:before="120" w:afterLines="50" w:after="120" w:line="360" w:lineRule="auto"/>
        <w:rPr>
          <w:rFonts w:ascii="宋体" w:hAnsi="宋体" w:cs="宋体"/>
          <w:color w:val="000000"/>
          <w:kern w:val="0"/>
          <w:sz w:val="28"/>
          <w:szCs w:val="28"/>
        </w:rPr>
      </w:pPr>
      <w:r>
        <w:rPr>
          <w:rFonts w:eastAsia="黑体"/>
          <w:b w:val="0"/>
          <w:kern w:val="0"/>
          <w:sz w:val="32"/>
          <w:szCs w:val="32"/>
        </w:rPr>
        <w:br w:type="page"/>
      </w:r>
      <w:bookmarkStart w:id="0" w:name="_Toc35110980"/>
      <w:r>
        <w:rPr>
          <w:rFonts w:hint="eastAsia"/>
          <w:sz w:val="28"/>
          <w:szCs w:val="28"/>
        </w:rPr>
        <w:lastRenderedPageBreak/>
        <w:t>一、本次募集资金的使用计划</w:t>
      </w:r>
      <w:bookmarkEnd w:id="0"/>
    </w:p>
    <w:p w14:paraId="5D1DC0F4" w14:textId="77777777" w:rsidR="00116C0B" w:rsidRDefault="00000000">
      <w:pPr>
        <w:widowControl/>
        <w:spacing w:beforeLines="50" w:before="120" w:line="360" w:lineRule="auto"/>
        <w:ind w:firstLineChars="200" w:firstLine="480"/>
        <w:rPr>
          <w:rFonts w:cs="宋体"/>
          <w:color w:val="000000"/>
          <w:kern w:val="0"/>
          <w:sz w:val="24"/>
          <w:szCs w:val="24"/>
          <w:lang w:bidi="ar"/>
        </w:rPr>
      </w:pPr>
      <w:r>
        <w:rPr>
          <w:rFonts w:cs="宋体" w:hint="eastAsia"/>
          <w:color w:val="000000"/>
          <w:kern w:val="0"/>
          <w:sz w:val="24"/>
          <w:szCs w:val="24"/>
          <w:lang w:bidi="ar"/>
        </w:rPr>
        <w:t>本次可转换公司债</w:t>
      </w:r>
      <w:proofErr w:type="gramStart"/>
      <w:r>
        <w:rPr>
          <w:rFonts w:cs="宋体" w:hint="eastAsia"/>
          <w:color w:val="000000"/>
          <w:kern w:val="0"/>
          <w:sz w:val="24"/>
          <w:szCs w:val="24"/>
          <w:lang w:bidi="ar"/>
        </w:rPr>
        <w:t>券</w:t>
      </w:r>
      <w:proofErr w:type="gramEnd"/>
      <w:r>
        <w:rPr>
          <w:rFonts w:cs="宋体" w:hint="eastAsia"/>
          <w:color w:val="000000"/>
          <w:kern w:val="0"/>
          <w:sz w:val="24"/>
          <w:szCs w:val="24"/>
          <w:lang w:bidi="ar"/>
        </w:rPr>
        <w:t>募集资金总额不超过</w:t>
      </w:r>
      <w:r>
        <w:rPr>
          <w:rFonts w:cs="宋体"/>
          <w:color w:val="000000"/>
          <w:kern w:val="0"/>
          <w:sz w:val="24"/>
          <w:szCs w:val="24"/>
          <w:lang w:bidi="ar"/>
        </w:rPr>
        <w:t>3</w:t>
      </w:r>
      <w:r>
        <w:rPr>
          <w:rFonts w:cs="宋体" w:hint="eastAsia"/>
          <w:color w:val="000000"/>
          <w:kern w:val="0"/>
          <w:sz w:val="24"/>
          <w:szCs w:val="24"/>
          <w:lang w:bidi="ar"/>
        </w:rPr>
        <w:t>2</w:t>
      </w:r>
      <w:r>
        <w:rPr>
          <w:rFonts w:cs="宋体"/>
          <w:color w:val="000000"/>
          <w:kern w:val="0"/>
          <w:sz w:val="24"/>
          <w:szCs w:val="24"/>
          <w:lang w:bidi="ar"/>
        </w:rPr>
        <w:t>,</w:t>
      </w:r>
      <w:r>
        <w:rPr>
          <w:rFonts w:cs="宋体" w:hint="eastAsia"/>
          <w:color w:val="000000"/>
          <w:kern w:val="0"/>
          <w:sz w:val="24"/>
          <w:szCs w:val="24"/>
          <w:lang w:bidi="ar"/>
        </w:rPr>
        <w:t>183</w:t>
      </w:r>
      <w:r>
        <w:rPr>
          <w:rFonts w:cs="宋体"/>
          <w:color w:val="000000"/>
          <w:kern w:val="0"/>
          <w:sz w:val="24"/>
          <w:szCs w:val="24"/>
          <w:lang w:bidi="ar"/>
        </w:rPr>
        <w:t>.00</w:t>
      </w:r>
      <w:r>
        <w:rPr>
          <w:rFonts w:cs="宋体" w:hint="eastAsia"/>
          <w:color w:val="000000"/>
          <w:kern w:val="0"/>
          <w:sz w:val="24"/>
          <w:szCs w:val="24"/>
          <w:lang w:bidi="ar"/>
        </w:rPr>
        <w:t>万元人民币（含</w:t>
      </w:r>
      <w:r>
        <w:rPr>
          <w:rFonts w:cs="宋体"/>
          <w:color w:val="000000"/>
          <w:kern w:val="0"/>
          <w:sz w:val="24"/>
          <w:szCs w:val="24"/>
          <w:lang w:bidi="ar"/>
        </w:rPr>
        <w:t>3</w:t>
      </w:r>
      <w:r>
        <w:rPr>
          <w:rFonts w:cs="宋体" w:hint="eastAsia"/>
          <w:color w:val="000000"/>
          <w:kern w:val="0"/>
          <w:sz w:val="24"/>
          <w:szCs w:val="24"/>
          <w:lang w:bidi="ar"/>
        </w:rPr>
        <w:t>2</w:t>
      </w:r>
      <w:r>
        <w:rPr>
          <w:rFonts w:cs="宋体"/>
          <w:color w:val="000000"/>
          <w:kern w:val="0"/>
          <w:sz w:val="24"/>
          <w:szCs w:val="24"/>
          <w:lang w:bidi="ar"/>
        </w:rPr>
        <w:t>,</w:t>
      </w:r>
      <w:r>
        <w:rPr>
          <w:rFonts w:cs="宋体" w:hint="eastAsia"/>
          <w:color w:val="000000"/>
          <w:kern w:val="0"/>
          <w:sz w:val="24"/>
          <w:szCs w:val="24"/>
          <w:lang w:bidi="ar"/>
        </w:rPr>
        <w:t>183</w:t>
      </w:r>
      <w:r>
        <w:rPr>
          <w:rFonts w:cs="宋体"/>
          <w:color w:val="000000"/>
          <w:kern w:val="0"/>
          <w:sz w:val="24"/>
          <w:szCs w:val="24"/>
          <w:lang w:bidi="ar"/>
        </w:rPr>
        <w:t>.00</w:t>
      </w:r>
      <w:r>
        <w:rPr>
          <w:rFonts w:cs="宋体" w:hint="eastAsia"/>
          <w:color w:val="000000"/>
          <w:kern w:val="0"/>
          <w:sz w:val="24"/>
          <w:szCs w:val="24"/>
          <w:lang w:bidi="ar"/>
        </w:rPr>
        <w:t>万元），扣除发行费用后的募集资金净额</w:t>
      </w:r>
      <w:proofErr w:type="gramStart"/>
      <w:r>
        <w:rPr>
          <w:rFonts w:cs="宋体" w:hint="eastAsia"/>
          <w:color w:val="000000"/>
          <w:kern w:val="0"/>
          <w:sz w:val="24"/>
          <w:szCs w:val="24"/>
          <w:lang w:bidi="ar"/>
        </w:rPr>
        <w:t>拟全部</w:t>
      </w:r>
      <w:proofErr w:type="gramEnd"/>
      <w:r>
        <w:rPr>
          <w:rFonts w:cs="宋体" w:hint="eastAsia"/>
          <w:color w:val="000000"/>
          <w:kern w:val="0"/>
          <w:sz w:val="24"/>
          <w:szCs w:val="24"/>
          <w:lang w:bidi="ar"/>
        </w:rPr>
        <w:t>投入以下项目：</w:t>
      </w:r>
    </w:p>
    <w:p w14:paraId="59802FE0" w14:textId="77777777" w:rsidR="00116C0B" w:rsidRDefault="00000000">
      <w:pPr>
        <w:jc w:val="right"/>
        <w:rPr>
          <w:rFonts w:cs="宋体"/>
          <w:color w:val="333333"/>
          <w:szCs w:val="21"/>
        </w:rPr>
      </w:pPr>
      <w:r>
        <w:rPr>
          <w:rFonts w:cs="宋体" w:hint="eastAsia"/>
          <w:color w:val="333333"/>
          <w:szCs w:val="21"/>
        </w:rPr>
        <w:t>单位：万元</w:t>
      </w:r>
    </w:p>
    <w:tbl>
      <w:tblPr>
        <w:tblW w:w="86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ook w:val="0000" w:firstRow="0" w:lastRow="0" w:firstColumn="0" w:lastColumn="0" w:noHBand="0" w:noVBand="0"/>
      </w:tblPr>
      <w:tblGrid>
        <w:gridCol w:w="845"/>
        <w:gridCol w:w="3547"/>
        <w:gridCol w:w="2126"/>
        <w:gridCol w:w="2123"/>
      </w:tblGrid>
      <w:tr w:rsidR="00116C0B" w14:paraId="4F926E37" w14:textId="77777777">
        <w:trPr>
          <w:trHeight w:val="397"/>
          <w:tblHeader/>
          <w:jc w:val="center"/>
        </w:trPr>
        <w:tc>
          <w:tcPr>
            <w:tcW w:w="845" w:type="dxa"/>
            <w:shd w:val="clear" w:color="auto" w:fill="D9D9D9"/>
            <w:tcMar>
              <w:top w:w="0" w:type="dxa"/>
              <w:left w:w="30" w:type="dxa"/>
              <w:bottom w:w="0" w:type="dxa"/>
              <w:right w:w="30" w:type="dxa"/>
            </w:tcMar>
            <w:vAlign w:val="center"/>
          </w:tcPr>
          <w:p w14:paraId="25B9790C" w14:textId="77777777" w:rsidR="00116C0B" w:rsidRDefault="00000000">
            <w:pPr>
              <w:jc w:val="center"/>
              <w:rPr>
                <w:b/>
                <w:bCs/>
                <w:color w:val="333333"/>
                <w:szCs w:val="21"/>
              </w:rPr>
            </w:pPr>
            <w:r>
              <w:rPr>
                <w:rFonts w:hint="eastAsia"/>
                <w:b/>
                <w:bCs/>
                <w:color w:val="333333"/>
                <w:szCs w:val="21"/>
              </w:rPr>
              <w:t>序号</w:t>
            </w:r>
          </w:p>
        </w:tc>
        <w:tc>
          <w:tcPr>
            <w:tcW w:w="3547" w:type="dxa"/>
            <w:shd w:val="clear" w:color="auto" w:fill="D9D9D9"/>
            <w:tcMar>
              <w:top w:w="0" w:type="dxa"/>
              <w:left w:w="30" w:type="dxa"/>
              <w:bottom w:w="0" w:type="dxa"/>
              <w:right w:w="30" w:type="dxa"/>
            </w:tcMar>
            <w:vAlign w:val="center"/>
          </w:tcPr>
          <w:p w14:paraId="57657E93" w14:textId="77777777" w:rsidR="00116C0B" w:rsidRDefault="00000000">
            <w:pPr>
              <w:jc w:val="center"/>
              <w:rPr>
                <w:b/>
                <w:bCs/>
                <w:color w:val="333333"/>
                <w:szCs w:val="21"/>
              </w:rPr>
            </w:pPr>
            <w:r>
              <w:rPr>
                <w:rFonts w:hint="eastAsia"/>
                <w:b/>
                <w:bCs/>
                <w:color w:val="333333"/>
                <w:szCs w:val="21"/>
              </w:rPr>
              <w:t>项目名称</w:t>
            </w:r>
          </w:p>
        </w:tc>
        <w:tc>
          <w:tcPr>
            <w:tcW w:w="2126" w:type="dxa"/>
            <w:shd w:val="clear" w:color="auto" w:fill="D9D9D9"/>
            <w:tcMar>
              <w:top w:w="0" w:type="dxa"/>
              <w:left w:w="30" w:type="dxa"/>
              <w:bottom w:w="0" w:type="dxa"/>
              <w:right w:w="30" w:type="dxa"/>
            </w:tcMar>
            <w:vAlign w:val="center"/>
          </w:tcPr>
          <w:p w14:paraId="6BB5B699" w14:textId="77777777" w:rsidR="00116C0B" w:rsidRDefault="00000000">
            <w:pPr>
              <w:jc w:val="center"/>
              <w:rPr>
                <w:b/>
                <w:bCs/>
                <w:color w:val="333333"/>
                <w:szCs w:val="21"/>
              </w:rPr>
            </w:pPr>
            <w:r>
              <w:rPr>
                <w:rFonts w:hint="eastAsia"/>
                <w:b/>
                <w:bCs/>
                <w:color w:val="333333"/>
                <w:szCs w:val="21"/>
              </w:rPr>
              <w:t>项目投资总额</w:t>
            </w:r>
          </w:p>
        </w:tc>
        <w:tc>
          <w:tcPr>
            <w:tcW w:w="2123" w:type="dxa"/>
            <w:shd w:val="clear" w:color="auto" w:fill="D9D9D9"/>
            <w:tcMar>
              <w:top w:w="0" w:type="dxa"/>
              <w:left w:w="30" w:type="dxa"/>
              <w:bottom w:w="0" w:type="dxa"/>
              <w:right w:w="30" w:type="dxa"/>
            </w:tcMar>
            <w:vAlign w:val="center"/>
          </w:tcPr>
          <w:p w14:paraId="352B0CAF" w14:textId="77777777" w:rsidR="00116C0B" w:rsidRDefault="00000000">
            <w:pPr>
              <w:jc w:val="center"/>
              <w:rPr>
                <w:b/>
                <w:bCs/>
                <w:color w:val="333333"/>
                <w:szCs w:val="21"/>
              </w:rPr>
            </w:pPr>
            <w:r>
              <w:rPr>
                <w:rFonts w:hint="eastAsia"/>
                <w:b/>
                <w:bCs/>
                <w:color w:val="333333"/>
                <w:szCs w:val="21"/>
              </w:rPr>
              <w:t>拟使用</w:t>
            </w:r>
            <w:r>
              <w:rPr>
                <w:b/>
                <w:bCs/>
                <w:color w:val="333333"/>
                <w:szCs w:val="21"/>
              </w:rPr>
              <w:t>募集资金金额</w:t>
            </w:r>
          </w:p>
        </w:tc>
      </w:tr>
      <w:tr w:rsidR="00116C0B" w14:paraId="2F66C3A3" w14:textId="77777777">
        <w:trPr>
          <w:trHeight w:val="397"/>
          <w:jc w:val="center"/>
        </w:trPr>
        <w:tc>
          <w:tcPr>
            <w:tcW w:w="845" w:type="dxa"/>
            <w:shd w:val="clear" w:color="auto" w:fill="FFFFFF"/>
            <w:tcMar>
              <w:top w:w="0" w:type="dxa"/>
              <w:left w:w="30" w:type="dxa"/>
              <w:bottom w:w="0" w:type="dxa"/>
              <w:right w:w="30" w:type="dxa"/>
            </w:tcMar>
            <w:vAlign w:val="center"/>
          </w:tcPr>
          <w:p w14:paraId="3F9B0940" w14:textId="77777777" w:rsidR="00116C0B" w:rsidRDefault="00000000">
            <w:pPr>
              <w:jc w:val="center"/>
              <w:rPr>
                <w:color w:val="333333"/>
                <w:szCs w:val="21"/>
              </w:rPr>
            </w:pPr>
            <w:r>
              <w:rPr>
                <w:color w:val="333333"/>
                <w:szCs w:val="21"/>
              </w:rPr>
              <w:t>1</w:t>
            </w:r>
          </w:p>
        </w:tc>
        <w:tc>
          <w:tcPr>
            <w:tcW w:w="3547" w:type="dxa"/>
            <w:shd w:val="clear" w:color="auto" w:fill="FFFFFF"/>
            <w:tcMar>
              <w:top w:w="0" w:type="dxa"/>
              <w:left w:w="30" w:type="dxa"/>
              <w:bottom w:w="0" w:type="dxa"/>
              <w:right w:w="30" w:type="dxa"/>
            </w:tcMar>
            <w:vAlign w:val="center"/>
          </w:tcPr>
          <w:p w14:paraId="39BEAADA" w14:textId="77777777" w:rsidR="00116C0B" w:rsidRDefault="00000000">
            <w:pPr>
              <w:rPr>
                <w:color w:val="333333"/>
                <w:szCs w:val="21"/>
              </w:rPr>
            </w:pPr>
            <w:r>
              <w:rPr>
                <w:rFonts w:hint="eastAsia"/>
                <w:bCs/>
                <w:szCs w:val="21"/>
              </w:rPr>
              <w:t>智慧节能阀门建设项目</w:t>
            </w:r>
          </w:p>
        </w:tc>
        <w:tc>
          <w:tcPr>
            <w:tcW w:w="2126" w:type="dxa"/>
            <w:shd w:val="clear" w:color="auto" w:fill="FFFFFF"/>
            <w:tcMar>
              <w:top w:w="0" w:type="dxa"/>
              <w:left w:w="30" w:type="dxa"/>
              <w:bottom w:w="0" w:type="dxa"/>
              <w:right w:w="30" w:type="dxa"/>
            </w:tcMar>
            <w:vAlign w:val="center"/>
          </w:tcPr>
          <w:p w14:paraId="62AD356D" w14:textId="77777777" w:rsidR="00116C0B" w:rsidRDefault="00000000">
            <w:pPr>
              <w:jc w:val="right"/>
              <w:rPr>
                <w:color w:val="333333"/>
                <w:szCs w:val="21"/>
              </w:rPr>
            </w:pPr>
            <w:r>
              <w:rPr>
                <w:color w:val="000000"/>
              </w:rPr>
              <w:t>29,377.91</w:t>
            </w:r>
          </w:p>
        </w:tc>
        <w:tc>
          <w:tcPr>
            <w:tcW w:w="2123" w:type="dxa"/>
            <w:shd w:val="clear" w:color="auto" w:fill="FFFFFF"/>
            <w:tcMar>
              <w:top w:w="0" w:type="dxa"/>
              <w:left w:w="30" w:type="dxa"/>
              <w:bottom w:w="0" w:type="dxa"/>
              <w:right w:w="30" w:type="dxa"/>
            </w:tcMar>
            <w:vAlign w:val="center"/>
          </w:tcPr>
          <w:p w14:paraId="29E77456" w14:textId="77777777" w:rsidR="00116C0B" w:rsidRDefault="00000000">
            <w:pPr>
              <w:jc w:val="right"/>
              <w:rPr>
                <w:color w:val="333333"/>
                <w:szCs w:val="21"/>
              </w:rPr>
            </w:pPr>
            <w:r>
              <w:rPr>
                <w:color w:val="000000"/>
              </w:rPr>
              <w:t>27,800.00</w:t>
            </w:r>
          </w:p>
        </w:tc>
      </w:tr>
      <w:tr w:rsidR="00116C0B" w14:paraId="792F0B36" w14:textId="77777777">
        <w:trPr>
          <w:trHeight w:val="397"/>
          <w:jc w:val="center"/>
        </w:trPr>
        <w:tc>
          <w:tcPr>
            <w:tcW w:w="845" w:type="dxa"/>
            <w:shd w:val="clear" w:color="auto" w:fill="FFFFFF"/>
            <w:tcMar>
              <w:top w:w="0" w:type="dxa"/>
              <w:left w:w="30" w:type="dxa"/>
              <w:bottom w:w="0" w:type="dxa"/>
              <w:right w:w="30" w:type="dxa"/>
            </w:tcMar>
            <w:vAlign w:val="center"/>
          </w:tcPr>
          <w:p w14:paraId="146C0721" w14:textId="77777777" w:rsidR="00116C0B" w:rsidRDefault="00000000">
            <w:pPr>
              <w:jc w:val="center"/>
              <w:rPr>
                <w:color w:val="333333"/>
                <w:szCs w:val="21"/>
              </w:rPr>
            </w:pPr>
            <w:r>
              <w:rPr>
                <w:color w:val="333333"/>
                <w:szCs w:val="21"/>
              </w:rPr>
              <w:t>2</w:t>
            </w:r>
          </w:p>
        </w:tc>
        <w:tc>
          <w:tcPr>
            <w:tcW w:w="3547" w:type="dxa"/>
            <w:shd w:val="clear" w:color="auto" w:fill="FFFFFF"/>
            <w:tcMar>
              <w:top w:w="0" w:type="dxa"/>
              <w:left w:w="30" w:type="dxa"/>
              <w:bottom w:w="0" w:type="dxa"/>
              <w:right w:w="30" w:type="dxa"/>
            </w:tcMar>
            <w:vAlign w:val="center"/>
          </w:tcPr>
          <w:p w14:paraId="0F5A3856" w14:textId="77777777" w:rsidR="00116C0B" w:rsidRDefault="00000000">
            <w:pPr>
              <w:rPr>
                <w:color w:val="333333"/>
                <w:szCs w:val="21"/>
              </w:rPr>
            </w:pPr>
            <w:r>
              <w:rPr>
                <w:rFonts w:hint="eastAsia"/>
                <w:color w:val="333333"/>
                <w:szCs w:val="21"/>
              </w:rPr>
              <w:t>补充流动资金</w:t>
            </w:r>
          </w:p>
        </w:tc>
        <w:tc>
          <w:tcPr>
            <w:tcW w:w="2126" w:type="dxa"/>
            <w:shd w:val="clear" w:color="auto" w:fill="FFFFFF"/>
            <w:tcMar>
              <w:top w:w="0" w:type="dxa"/>
              <w:left w:w="30" w:type="dxa"/>
              <w:bottom w:w="0" w:type="dxa"/>
              <w:right w:w="30" w:type="dxa"/>
            </w:tcMar>
            <w:vAlign w:val="center"/>
          </w:tcPr>
          <w:p w14:paraId="132FE953" w14:textId="77777777" w:rsidR="00116C0B" w:rsidRDefault="00000000">
            <w:pPr>
              <w:jc w:val="right"/>
              <w:rPr>
                <w:color w:val="333333"/>
                <w:szCs w:val="21"/>
              </w:rPr>
            </w:pPr>
            <w:r>
              <w:rPr>
                <w:color w:val="000000"/>
              </w:rPr>
              <w:t xml:space="preserve">4,383.00 </w:t>
            </w:r>
          </w:p>
        </w:tc>
        <w:tc>
          <w:tcPr>
            <w:tcW w:w="2123" w:type="dxa"/>
            <w:shd w:val="clear" w:color="auto" w:fill="FFFFFF"/>
            <w:tcMar>
              <w:top w:w="0" w:type="dxa"/>
              <w:left w:w="30" w:type="dxa"/>
              <w:bottom w:w="0" w:type="dxa"/>
              <w:right w:w="30" w:type="dxa"/>
            </w:tcMar>
            <w:vAlign w:val="center"/>
          </w:tcPr>
          <w:p w14:paraId="3016E3D4" w14:textId="77777777" w:rsidR="00116C0B" w:rsidRDefault="00000000">
            <w:pPr>
              <w:jc w:val="right"/>
              <w:rPr>
                <w:color w:val="333333"/>
                <w:szCs w:val="21"/>
              </w:rPr>
            </w:pPr>
            <w:r>
              <w:rPr>
                <w:color w:val="000000"/>
              </w:rPr>
              <w:t xml:space="preserve">4,383.00 </w:t>
            </w:r>
          </w:p>
        </w:tc>
      </w:tr>
      <w:tr w:rsidR="00116C0B" w14:paraId="0538CD19" w14:textId="77777777">
        <w:trPr>
          <w:trHeight w:val="397"/>
          <w:jc w:val="center"/>
        </w:trPr>
        <w:tc>
          <w:tcPr>
            <w:tcW w:w="4392" w:type="dxa"/>
            <w:gridSpan w:val="2"/>
            <w:shd w:val="clear" w:color="auto" w:fill="FFFFFF"/>
            <w:tcMar>
              <w:top w:w="0" w:type="dxa"/>
              <w:left w:w="30" w:type="dxa"/>
              <w:bottom w:w="0" w:type="dxa"/>
              <w:right w:w="30" w:type="dxa"/>
            </w:tcMar>
            <w:vAlign w:val="center"/>
          </w:tcPr>
          <w:p w14:paraId="1CCE1699" w14:textId="77777777" w:rsidR="00116C0B" w:rsidRDefault="00000000">
            <w:pPr>
              <w:jc w:val="center"/>
              <w:rPr>
                <w:b/>
                <w:bCs/>
                <w:color w:val="333333"/>
                <w:szCs w:val="21"/>
              </w:rPr>
            </w:pPr>
            <w:r>
              <w:rPr>
                <w:rFonts w:hint="eastAsia"/>
                <w:b/>
                <w:bCs/>
                <w:color w:val="333333"/>
                <w:szCs w:val="21"/>
              </w:rPr>
              <w:t>合计</w:t>
            </w:r>
          </w:p>
        </w:tc>
        <w:tc>
          <w:tcPr>
            <w:tcW w:w="2126" w:type="dxa"/>
            <w:shd w:val="clear" w:color="auto" w:fill="FFFFFF"/>
            <w:tcMar>
              <w:top w:w="0" w:type="dxa"/>
              <w:left w:w="30" w:type="dxa"/>
              <w:bottom w:w="0" w:type="dxa"/>
              <w:right w:w="30" w:type="dxa"/>
            </w:tcMar>
            <w:vAlign w:val="center"/>
          </w:tcPr>
          <w:p w14:paraId="2945A85A" w14:textId="77777777" w:rsidR="00116C0B" w:rsidRDefault="00000000">
            <w:pPr>
              <w:jc w:val="right"/>
              <w:rPr>
                <w:b/>
                <w:bCs/>
                <w:color w:val="333333"/>
                <w:szCs w:val="21"/>
              </w:rPr>
            </w:pPr>
            <w:r>
              <w:rPr>
                <w:b/>
                <w:bCs/>
                <w:color w:val="000000"/>
              </w:rPr>
              <w:t xml:space="preserve">33,760.91 </w:t>
            </w:r>
          </w:p>
        </w:tc>
        <w:tc>
          <w:tcPr>
            <w:tcW w:w="2123" w:type="dxa"/>
            <w:shd w:val="clear" w:color="auto" w:fill="FFFFFF"/>
            <w:tcMar>
              <w:top w:w="0" w:type="dxa"/>
              <w:left w:w="30" w:type="dxa"/>
              <w:bottom w:w="0" w:type="dxa"/>
              <w:right w:w="30" w:type="dxa"/>
            </w:tcMar>
            <w:vAlign w:val="center"/>
          </w:tcPr>
          <w:p w14:paraId="70584415" w14:textId="77777777" w:rsidR="00116C0B" w:rsidRDefault="00000000">
            <w:pPr>
              <w:jc w:val="right"/>
              <w:rPr>
                <w:b/>
                <w:bCs/>
                <w:color w:val="333333"/>
                <w:szCs w:val="21"/>
              </w:rPr>
            </w:pPr>
            <w:r>
              <w:rPr>
                <w:b/>
                <w:bCs/>
                <w:color w:val="000000"/>
              </w:rPr>
              <w:t xml:space="preserve">32,183.00 </w:t>
            </w:r>
          </w:p>
        </w:tc>
      </w:tr>
    </w:tbl>
    <w:p w14:paraId="6F20E81C" w14:textId="77777777" w:rsidR="00116C0B" w:rsidRDefault="00000000">
      <w:pPr>
        <w:widowControl/>
        <w:spacing w:beforeLines="50" w:before="120" w:line="360" w:lineRule="auto"/>
        <w:ind w:firstLineChars="200" w:firstLine="480"/>
        <w:rPr>
          <w:rFonts w:cs="宋体"/>
          <w:color w:val="000000"/>
          <w:kern w:val="0"/>
          <w:sz w:val="24"/>
          <w:szCs w:val="24"/>
          <w:lang w:bidi="ar"/>
        </w:rPr>
      </w:pPr>
      <w:r>
        <w:rPr>
          <w:rFonts w:cs="宋体" w:hint="eastAsia"/>
          <w:color w:val="000000"/>
          <w:kern w:val="0"/>
          <w:sz w:val="24"/>
          <w:szCs w:val="24"/>
          <w:lang w:bidi="ar"/>
        </w:rPr>
        <w:t>若实际募集资金净额少于上述项目拟投入募集资金总额，在最终确定的本次</w:t>
      </w:r>
      <w:proofErr w:type="gramStart"/>
      <w:r>
        <w:rPr>
          <w:rFonts w:cs="宋体" w:hint="eastAsia"/>
          <w:color w:val="000000"/>
          <w:kern w:val="0"/>
          <w:sz w:val="24"/>
          <w:szCs w:val="24"/>
          <w:lang w:bidi="ar"/>
        </w:rPr>
        <w:t>募投项目</w:t>
      </w:r>
      <w:proofErr w:type="gramEnd"/>
      <w:r>
        <w:rPr>
          <w:rFonts w:cs="宋体" w:hint="eastAsia"/>
          <w:color w:val="000000"/>
          <w:kern w:val="0"/>
          <w:sz w:val="24"/>
          <w:szCs w:val="24"/>
          <w:lang w:bidi="ar"/>
        </w:rPr>
        <w:t>范围内，公司董事会将根据实际募集资金数额，按照项目的轻重缓急等情况，调整并最终决定募集资金的具体投资项目、优先顺序及各项目的具体投资额，募集资金不足部分由公司自筹解决。</w:t>
      </w:r>
    </w:p>
    <w:p w14:paraId="5C756492" w14:textId="77777777" w:rsidR="00116C0B" w:rsidRDefault="00000000">
      <w:pPr>
        <w:widowControl/>
        <w:spacing w:beforeLines="50" w:before="120" w:line="360" w:lineRule="auto"/>
        <w:ind w:firstLineChars="200" w:firstLine="480"/>
        <w:rPr>
          <w:rFonts w:cs="宋体"/>
          <w:color w:val="000000"/>
          <w:kern w:val="0"/>
          <w:sz w:val="24"/>
          <w:szCs w:val="24"/>
          <w:lang w:bidi="ar"/>
        </w:rPr>
      </w:pPr>
      <w:r>
        <w:rPr>
          <w:rFonts w:cs="宋体" w:hint="eastAsia"/>
          <w:color w:val="000000"/>
          <w:kern w:val="0"/>
          <w:sz w:val="24"/>
          <w:szCs w:val="24"/>
          <w:lang w:bidi="ar"/>
        </w:rPr>
        <w:t>本次发行可转债募集资金到位之前，如公司以自筹资金先行投入上述项目建设，公司将在募集资金到位后按照相关法律、法规规定的程序予以置换。</w:t>
      </w:r>
    </w:p>
    <w:p w14:paraId="1EA00C2F" w14:textId="77777777" w:rsidR="00116C0B" w:rsidRDefault="00000000">
      <w:pPr>
        <w:pStyle w:val="1"/>
        <w:spacing w:beforeLines="50" w:before="120" w:afterLines="50" w:after="120" w:line="360" w:lineRule="auto"/>
        <w:rPr>
          <w:sz w:val="28"/>
          <w:szCs w:val="28"/>
        </w:rPr>
      </w:pPr>
      <w:bookmarkStart w:id="1" w:name="_Toc84680893"/>
      <w:bookmarkStart w:id="2" w:name="_Toc83652416"/>
      <w:bookmarkStart w:id="3" w:name="_Toc84680633"/>
      <w:r>
        <w:rPr>
          <w:rFonts w:hint="eastAsia"/>
          <w:sz w:val="28"/>
          <w:szCs w:val="28"/>
        </w:rPr>
        <w:t>二、本次募集资金投资项目</w:t>
      </w:r>
      <w:bookmarkEnd w:id="1"/>
      <w:bookmarkEnd w:id="2"/>
      <w:bookmarkEnd w:id="3"/>
      <w:r>
        <w:rPr>
          <w:rFonts w:hint="eastAsia"/>
          <w:sz w:val="28"/>
          <w:szCs w:val="28"/>
        </w:rPr>
        <w:t>的必要性和可行性分析</w:t>
      </w:r>
    </w:p>
    <w:p w14:paraId="7D002410" w14:textId="77777777" w:rsidR="00116C0B" w:rsidRDefault="00000000">
      <w:pPr>
        <w:widowControl/>
        <w:spacing w:beforeLines="50" w:before="120" w:line="360" w:lineRule="auto"/>
        <w:ind w:firstLineChars="200" w:firstLine="482"/>
        <w:outlineLvl w:val="2"/>
        <w:rPr>
          <w:b/>
          <w:sz w:val="24"/>
          <w:lang w:val="zh-CN"/>
        </w:rPr>
      </w:pPr>
      <w:r>
        <w:rPr>
          <w:rFonts w:hint="eastAsia"/>
          <w:b/>
          <w:sz w:val="24"/>
          <w:lang w:val="zh-CN"/>
        </w:rPr>
        <w:t>（一）智慧节能阀门建设项目</w:t>
      </w:r>
    </w:p>
    <w:p w14:paraId="09747479"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1</w:t>
      </w:r>
      <w:r>
        <w:rPr>
          <w:rFonts w:hint="eastAsia"/>
          <w:b/>
          <w:kern w:val="0"/>
          <w:sz w:val="24"/>
          <w:szCs w:val="24"/>
        </w:rPr>
        <w:t>、项目基本情况</w:t>
      </w:r>
    </w:p>
    <w:p w14:paraId="53A506C5"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本项目总投资</w:t>
      </w:r>
      <w:r>
        <w:rPr>
          <w:rFonts w:cs="宋体" w:hint="eastAsia"/>
          <w:kern w:val="0"/>
          <w:sz w:val="24"/>
          <w:szCs w:val="24"/>
        </w:rPr>
        <w:t>29,377.91</w:t>
      </w:r>
      <w:r>
        <w:rPr>
          <w:rFonts w:cs="宋体" w:hint="eastAsia"/>
          <w:kern w:val="0"/>
          <w:sz w:val="24"/>
          <w:szCs w:val="24"/>
        </w:rPr>
        <w:t>万元，建设期</w:t>
      </w:r>
      <w:r>
        <w:rPr>
          <w:rFonts w:cs="宋体"/>
          <w:kern w:val="0"/>
          <w:sz w:val="24"/>
          <w:szCs w:val="24"/>
        </w:rPr>
        <w:t>3</w:t>
      </w:r>
      <w:r>
        <w:rPr>
          <w:rFonts w:cs="宋体" w:hint="eastAsia"/>
          <w:kern w:val="0"/>
          <w:sz w:val="24"/>
          <w:szCs w:val="24"/>
        </w:rPr>
        <w:t>年。本项目拟新建厂房并购置各类生产监测软硬件设备，以进行智慧节能阀门产品生产。本项目建成后，公司智慧节能阀门产品达产年新增产能预计将达到</w:t>
      </w:r>
      <w:r>
        <w:rPr>
          <w:rFonts w:cs="宋体" w:hint="eastAsia"/>
          <w:kern w:val="0"/>
          <w:sz w:val="24"/>
          <w:szCs w:val="24"/>
        </w:rPr>
        <w:t>6</w:t>
      </w:r>
      <w:r>
        <w:rPr>
          <w:rFonts w:cs="宋体" w:hint="eastAsia"/>
          <w:kern w:val="0"/>
          <w:sz w:val="24"/>
          <w:szCs w:val="24"/>
        </w:rPr>
        <w:t>万套</w:t>
      </w:r>
      <w:r>
        <w:rPr>
          <w:rFonts w:cs="宋体" w:hint="eastAsia"/>
          <w:kern w:val="0"/>
          <w:sz w:val="24"/>
          <w:szCs w:val="24"/>
        </w:rPr>
        <w:t>/</w:t>
      </w:r>
      <w:r>
        <w:rPr>
          <w:rFonts w:cs="宋体" w:hint="eastAsia"/>
          <w:kern w:val="0"/>
          <w:sz w:val="24"/>
          <w:szCs w:val="24"/>
        </w:rPr>
        <w:t>年。本项目拟依托公司成熟技术与生产工艺，升级现有产品种类，为客户提供高附加值产品和服务，树立企业技术竞争优势和品牌影响力，拓展盈利空间；另一方面，通过智能制造软件、智慧园区平台等智能软硬件设备在生产过程中的应用，带动公司制造基础转型升级，从根本上提高智能制造水平。本项目的实施是公司在当前机遇下，基于目前的技术优势和质量优势，进一步开拓高端智能市场，扩大市场占有率，巩固行业领先地位的重要举措。</w:t>
      </w:r>
    </w:p>
    <w:p w14:paraId="7D0191F9"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本项目实施主体为青岛伟隆阀门股份有限公司。</w:t>
      </w:r>
    </w:p>
    <w:p w14:paraId="4049F891"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2</w:t>
      </w:r>
      <w:r>
        <w:rPr>
          <w:rFonts w:hint="eastAsia"/>
          <w:b/>
          <w:kern w:val="0"/>
          <w:sz w:val="24"/>
          <w:szCs w:val="24"/>
        </w:rPr>
        <w:t>、项目投资概算</w:t>
      </w:r>
    </w:p>
    <w:p w14:paraId="70D196EF"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lastRenderedPageBreak/>
        <w:t>本项目总投资</w:t>
      </w:r>
      <w:r>
        <w:rPr>
          <w:rFonts w:cs="宋体" w:hint="eastAsia"/>
          <w:kern w:val="0"/>
          <w:sz w:val="24"/>
          <w:szCs w:val="24"/>
        </w:rPr>
        <w:t>29,377.91</w:t>
      </w:r>
      <w:r>
        <w:rPr>
          <w:rFonts w:cs="宋体" w:hint="eastAsia"/>
          <w:kern w:val="0"/>
          <w:sz w:val="24"/>
          <w:szCs w:val="24"/>
        </w:rPr>
        <w:t>万元，拟使用募集资金投入</w:t>
      </w:r>
      <w:r>
        <w:rPr>
          <w:rFonts w:cs="宋体"/>
          <w:kern w:val="0"/>
          <w:sz w:val="24"/>
          <w:szCs w:val="24"/>
        </w:rPr>
        <w:t>27,800.00</w:t>
      </w:r>
      <w:r>
        <w:rPr>
          <w:rFonts w:cs="宋体" w:hint="eastAsia"/>
          <w:kern w:val="0"/>
          <w:sz w:val="24"/>
          <w:szCs w:val="24"/>
        </w:rPr>
        <w:t>万元，具体构成如下：</w:t>
      </w:r>
    </w:p>
    <w:p w14:paraId="33983ADF" w14:textId="77777777" w:rsidR="00116C0B" w:rsidRDefault="00000000">
      <w:pPr>
        <w:widowControl/>
        <w:spacing w:beforeLines="50" w:before="120"/>
        <w:jc w:val="right"/>
        <w:rPr>
          <w:kern w:val="0"/>
          <w:szCs w:val="21"/>
        </w:rPr>
      </w:pPr>
      <w:r>
        <w:rPr>
          <w:rFonts w:hint="eastAsia"/>
          <w:kern w:val="0"/>
          <w:szCs w:val="21"/>
        </w:rPr>
        <w:t>单位：万元</w:t>
      </w:r>
    </w:p>
    <w:tbl>
      <w:tblPr>
        <w:tblW w:w="878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000" w:firstRow="0" w:lastRow="0" w:firstColumn="0" w:lastColumn="0" w:noHBand="0" w:noVBand="0"/>
      </w:tblPr>
      <w:tblGrid>
        <w:gridCol w:w="794"/>
        <w:gridCol w:w="3003"/>
        <w:gridCol w:w="2492"/>
        <w:gridCol w:w="2493"/>
      </w:tblGrid>
      <w:tr w:rsidR="00116C0B" w14:paraId="4F82772C" w14:textId="77777777">
        <w:trPr>
          <w:trHeight w:val="397"/>
          <w:tblHeader/>
          <w:jc w:val="center"/>
        </w:trPr>
        <w:tc>
          <w:tcPr>
            <w:tcW w:w="794" w:type="dxa"/>
            <w:shd w:val="clear" w:color="auto" w:fill="D9D9D9"/>
            <w:noWrap/>
            <w:vAlign w:val="center"/>
          </w:tcPr>
          <w:p w14:paraId="72175427" w14:textId="77777777" w:rsidR="00116C0B" w:rsidRDefault="00000000">
            <w:pPr>
              <w:pStyle w:val="afe"/>
              <w:widowControl/>
              <w:textAlignment w:val="center"/>
              <w:rPr>
                <w:rFonts w:ascii="Times New Roman" w:eastAsia="宋体" w:hAnsi="Times New Roman"/>
                <w:b/>
                <w:kern w:val="0"/>
                <w:szCs w:val="21"/>
              </w:rPr>
            </w:pPr>
            <w:r>
              <w:rPr>
                <w:rFonts w:ascii="Times New Roman" w:eastAsia="宋体" w:hAnsi="Times New Roman"/>
                <w:b/>
                <w:kern w:val="0"/>
                <w:szCs w:val="21"/>
              </w:rPr>
              <w:t>序号</w:t>
            </w:r>
          </w:p>
        </w:tc>
        <w:tc>
          <w:tcPr>
            <w:tcW w:w="3003" w:type="dxa"/>
            <w:shd w:val="clear" w:color="auto" w:fill="D9D9D9"/>
            <w:noWrap/>
            <w:vAlign w:val="center"/>
          </w:tcPr>
          <w:p w14:paraId="04043F87" w14:textId="77777777" w:rsidR="00116C0B" w:rsidRDefault="00000000">
            <w:pPr>
              <w:pStyle w:val="afe"/>
              <w:widowControl/>
              <w:textAlignment w:val="center"/>
              <w:rPr>
                <w:rFonts w:ascii="Times New Roman" w:eastAsia="宋体" w:hAnsi="Times New Roman"/>
                <w:b/>
                <w:kern w:val="0"/>
                <w:szCs w:val="21"/>
              </w:rPr>
            </w:pPr>
            <w:r>
              <w:rPr>
                <w:rFonts w:ascii="Times New Roman" w:eastAsia="宋体" w:hAnsi="Times New Roman"/>
                <w:b/>
                <w:kern w:val="0"/>
                <w:szCs w:val="21"/>
              </w:rPr>
              <w:t>名称</w:t>
            </w:r>
          </w:p>
        </w:tc>
        <w:tc>
          <w:tcPr>
            <w:tcW w:w="2492" w:type="dxa"/>
            <w:shd w:val="clear" w:color="auto" w:fill="D9D9D9"/>
            <w:noWrap/>
            <w:vAlign w:val="center"/>
          </w:tcPr>
          <w:p w14:paraId="3205CC20" w14:textId="77777777" w:rsidR="00116C0B" w:rsidRDefault="00000000">
            <w:pPr>
              <w:pStyle w:val="afe"/>
              <w:widowControl/>
              <w:textAlignment w:val="center"/>
              <w:rPr>
                <w:rFonts w:ascii="Times New Roman" w:eastAsia="宋体" w:hAnsi="Times New Roman"/>
                <w:b/>
                <w:kern w:val="0"/>
                <w:szCs w:val="21"/>
              </w:rPr>
            </w:pPr>
            <w:r>
              <w:rPr>
                <w:rFonts w:ascii="Times New Roman" w:eastAsia="宋体" w:hAnsi="Times New Roman" w:hint="eastAsia"/>
                <w:b/>
                <w:kern w:val="0"/>
                <w:szCs w:val="21"/>
              </w:rPr>
              <w:t>总投资额</w:t>
            </w:r>
          </w:p>
        </w:tc>
        <w:tc>
          <w:tcPr>
            <w:tcW w:w="2493" w:type="dxa"/>
            <w:shd w:val="clear" w:color="auto" w:fill="D9D9D9"/>
            <w:noWrap/>
            <w:vAlign w:val="center"/>
          </w:tcPr>
          <w:p w14:paraId="2374B64D" w14:textId="77777777" w:rsidR="00116C0B" w:rsidRDefault="00000000">
            <w:pPr>
              <w:pStyle w:val="afe"/>
              <w:widowControl/>
              <w:textAlignment w:val="center"/>
              <w:rPr>
                <w:rFonts w:ascii="Times New Roman" w:eastAsia="宋体" w:hAnsi="Times New Roman"/>
                <w:b/>
                <w:kern w:val="0"/>
                <w:szCs w:val="21"/>
              </w:rPr>
            </w:pPr>
            <w:r>
              <w:rPr>
                <w:rFonts w:ascii="Times New Roman" w:eastAsia="宋体" w:hAnsi="Times New Roman" w:hint="eastAsia"/>
                <w:b/>
                <w:kern w:val="0"/>
                <w:szCs w:val="21"/>
              </w:rPr>
              <w:t>拟使用募集资金金额</w:t>
            </w:r>
          </w:p>
        </w:tc>
      </w:tr>
      <w:tr w:rsidR="00116C0B" w14:paraId="3329C5DB" w14:textId="77777777">
        <w:trPr>
          <w:trHeight w:val="397"/>
          <w:jc w:val="center"/>
        </w:trPr>
        <w:tc>
          <w:tcPr>
            <w:tcW w:w="794" w:type="dxa"/>
            <w:noWrap/>
            <w:vAlign w:val="center"/>
          </w:tcPr>
          <w:p w14:paraId="5B22AC99" w14:textId="77777777" w:rsidR="00116C0B" w:rsidRDefault="00000000">
            <w:pPr>
              <w:widowControl/>
              <w:jc w:val="center"/>
              <w:rPr>
                <w:kern w:val="0"/>
                <w:szCs w:val="21"/>
              </w:rPr>
            </w:pPr>
            <w:r>
              <w:rPr>
                <w:rFonts w:hint="eastAsia"/>
                <w:kern w:val="0"/>
                <w:szCs w:val="21"/>
              </w:rPr>
              <w:t>1</w:t>
            </w:r>
          </w:p>
        </w:tc>
        <w:tc>
          <w:tcPr>
            <w:tcW w:w="3003" w:type="dxa"/>
            <w:noWrap/>
            <w:vAlign w:val="center"/>
          </w:tcPr>
          <w:p w14:paraId="5C444CB6" w14:textId="77777777" w:rsidR="00116C0B" w:rsidRDefault="00000000">
            <w:pPr>
              <w:widowControl/>
              <w:jc w:val="left"/>
              <w:rPr>
                <w:kern w:val="0"/>
                <w:szCs w:val="21"/>
              </w:rPr>
            </w:pPr>
            <w:r>
              <w:rPr>
                <w:rFonts w:hint="eastAsia"/>
                <w:kern w:val="0"/>
                <w:szCs w:val="21"/>
              </w:rPr>
              <w:t>建筑工程费</w:t>
            </w:r>
          </w:p>
        </w:tc>
        <w:tc>
          <w:tcPr>
            <w:tcW w:w="2492" w:type="dxa"/>
            <w:noWrap/>
            <w:vAlign w:val="center"/>
          </w:tcPr>
          <w:p w14:paraId="433FC7DF" w14:textId="77777777" w:rsidR="00116C0B" w:rsidRDefault="00000000">
            <w:pPr>
              <w:widowControl/>
              <w:jc w:val="right"/>
              <w:rPr>
                <w:kern w:val="0"/>
                <w:szCs w:val="21"/>
              </w:rPr>
            </w:pPr>
            <w:r>
              <w:rPr>
                <w:rFonts w:hint="eastAsia"/>
                <w:kern w:val="0"/>
                <w:szCs w:val="21"/>
              </w:rPr>
              <w:t>11,849.00</w:t>
            </w:r>
          </w:p>
        </w:tc>
        <w:tc>
          <w:tcPr>
            <w:tcW w:w="2493" w:type="dxa"/>
            <w:noWrap/>
            <w:vAlign w:val="center"/>
          </w:tcPr>
          <w:p w14:paraId="00E3831E" w14:textId="77777777" w:rsidR="00116C0B" w:rsidRDefault="00000000">
            <w:pPr>
              <w:widowControl/>
              <w:jc w:val="right"/>
              <w:rPr>
                <w:kern w:val="0"/>
                <w:szCs w:val="21"/>
              </w:rPr>
            </w:pPr>
            <w:r>
              <w:rPr>
                <w:rFonts w:hint="eastAsia"/>
                <w:kern w:val="0"/>
                <w:szCs w:val="21"/>
              </w:rPr>
              <w:t>1</w:t>
            </w:r>
            <w:r>
              <w:rPr>
                <w:kern w:val="0"/>
                <w:szCs w:val="21"/>
              </w:rPr>
              <w:t>1</w:t>
            </w:r>
            <w:r>
              <w:rPr>
                <w:rFonts w:hint="eastAsia"/>
                <w:kern w:val="0"/>
                <w:szCs w:val="21"/>
              </w:rPr>
              <w:t>,</w:t>
            </w:r>
            <w:r>
              <w:rPr>
                <w:kern w:val="0"/>
                <w:szCs w:val="21"/>
              </w:rPr>
              <w:t>800</w:t>
            </w:r>
            <w:r>
              <w:rPr>
                <w:rFonts w:hint="eastAsia"/>
                <w:kern w:val="0"/>
                <w:szCs w:val="21"/>
              </w:rPr>
              <w:t>.00</w:t>
            </w:r>
          </w:p>
        </w:tc>
      </w:tr>
      <w:tr w:rsidR="00116C0B" w14:paraId="62867C74" w14:textId="77777777">
        <w:trPr>
          <w:trHeight w:val="397"/>
          <w:jc w:val="center"/>
        </w:trPr>
        <w:tc>
          <w:tcPr>
            <w:tcW w:w="794" w:type="dxa"/>
            <w:noWrap/>
            <w:vAlign w:val="center"/>
          </w:tcPr>
          <w:p w14:paraId="64981FA0" w14:textId="77777777" w:rsidR="00116C0B" w:rsidRDefault="00000000">
            <w:pPr>
              <w:widowControl/>
              <w:jc w:val="center"/>
              <w:rPr>
                <w:kern w:val="0"/>
                <w:szCs w:val="21"/>
              </w:rPr>
            </w:pPr>
            <w:r>
              <w:rPr>
                <w:rFonts w:hint="eastAsia"/>
                <w:kern w:val="0"/>
                <w:szCs w:val="21"/>
              </w:rPr>
              <w:t>2</w:t>
            </w:r>
          </w:p>
        </w:tc>
        <w:tc>
          <w:tcPr>
            <w:tcW w:w="3003" w:type="dxa"/>
            <w:noWrap/>
            <w:vAlign w:val="center"/>
          </w:tcPr>
          <w:p w14:paraId="3B0223E4" w14:textId="77777777" w:rsidR="00116C0B" w:rsidRDefault="00000000">
            <w:pPr>
              <w:widowControl/>
              <w:jc w:val="left"/>
              <w:rPr>
                <w:kern w:val="0"/>
                <w:szCs w:val="21"/>
              </w:rPr>
            </w:pPr>
            <w:r>
              <w:rPr>
                <w:rFonts w:hint="eastAsia"/>
                <w:kern w:val="0"/>
                <w:szCs w:val="21"/>
              </w:rPr>
              <w:t>设备购置费</w:t>
            </w:r>
          </w:p>
        </w:tc>
        <w:tc>
          <w:tcPr>
            <w:tcW w:w="2492" w:type="dxa"/>
            <w:noWrap/>
            <w:vAlign w:val="center"/>
          </w:tcPr>
          <w:p w14:paraId="5C27AD0E" w14:textId="77777777" w:rsidR="00116C0B" w:rsidRDefault="00000000">
            <w:pPr>
              <w:widowControl/>
              <w:jc w:val="right"/>
              <w:rPr>
                <w:kern w:val="0"/>
                <w:szCs w:val="21"/>
              </w:rPr>
            </w:pPr>
            <w:r>
              <w:rPr>
                <w:rFonts w:hint="eastAsia"/>
                <w:kern w:val="0"/>
                <w:szCs w:val="21"/>
              </w:rPr>
              <w:t>15,014.84</w:t>
            </w:r>
          </w:p>
        </w:tc>
        <w:tc>
          <w:tcPr>
            <w:tcW w:w="2493" w:type="dxa"/>
            <w:noWrap/>
            <w:vAlign w:val="center"/>
          </w:tcPr>
          <w:p w14:paraId="7926DA02" w14:textId="77777777" w:rsidR="00116C0B" w:rsidRDefault="00000000">
            <w:pPr>
              <w:widowControl/>
              <w:jc w:val="right"/>
              <w:rPr>
                <w:kern w:val="0"/>
                <w:szCs w:val="21"/>
              </w:rPr>
            </w:pPr>
            <w:r>
              <w:rPr>
                <w:rFonts w:hint="eastAsia"/>
                <w:kern w:val="0"/>
                <w:szCs w:val="21"/>
              </w:rPr>
              <w:t>15,</w:t>
            </w:r>
            <w:r>
              <w:rPr>
                <w:kern w:val="0"/>
                <w:szCs w:val="21"/>
              </w:rPr>
              <w:t>000</w:t>
            </w:r>
            <w:r>
              <w:rPr>
                <w:rFonts w:hint="eastAsia"/>
                <w:kern w:val="0"/>
                <w:szCs w:val="21"/>
              </w:rPr>
              <w:t>.00</w:t>
            </w:r>
          </w:p>
        </w:tc>
      </w:tr>
      <w:tr w:rsidR="00116C0B" w14:paraId="44ED4E2B" w14:textId="77777777">
        <w:trPr>
          <w:trHeight w:val="397"/>
          <w:jc w:val="center"/>
        </w:trPr>
        <w:tc>
          <w:tcPr>
            <w:tcW w:w="794" w:type="dxa"/>
            <w:noWrap/>
            <w:vAlign w:val="center"/>
          </w:tcPr>
          <w:p w14:paraId="5C61668D" w14:textId="77777777" w:rsidR="00116C0B" w:rsidRDefault="00000000">
            <w:pPr>
              <w:widowControl/>
              <w:jc w:val="center"/>
              <w:rPr>
                <w:kern w:val="0"/>
                <w:szCs w:val="21"/>
              </w:rPr>
            </w:pPr>
            <w:r>
              <w:rPr>
                <w:kern w:val="0"/>
                <w:szCs w:val="21"/>
              </w:rPr>
              <w:t>3</w:t>
            </w:r>
          </w:p>
        </w:tc>
        <w:tc>
          <w:tcPr>
            <w:tcW w:w="3003" w:type="dxa"/>
            <w:noWrap/>
            <w:vAlign w:val="center"/>
          </w:tcPr>
          <w:p w14:paraId="1FA80518" w14:textId="77777777" w:rsidR="00116C0B" w:rsidRDefault="00000000">
            <w:pPr>
              <w:widowControl/>
              <w:jc w:val="left"/>
              <w:rPr>
                <w:kern w:val="0"/>
                <w:szCs w:val="21"/>
              </w:rPr>
            </w:pPr>
            <w:r>
              <w:rPr>
                <w:rFonts w:hint="eastAsia"/>
                <w:kern w:val="0"/>
                <w:szCs w:val="21"/>
              </w:rPr>
              <w:t>工程建设其他费用</w:t>
            </w:r>
          </w:p>
        </w:tc>
        <w:tc>
          <w:tcPr>
            <w:tcW w:w="2492" w:type="dxa"/>
            <w:noWrap/>
            <w:vAlign w:val="center"/>
          </w:tcPr>
          <w:p w14:paraId="0BD82358" w14:textId="77777777" w:rsidR="00116C0B" w:rsidRDefault="00000000">
            <w:pPr>
              <w:widowControl/>
              <w:jc w:val="right"/>
              <w:rPr>
                <w:kern w:val="0"/>
                <w:szCs w:val="21"/>
              </w:rPr>
            </w:pPr>
            <w:r>
              <w:rPr>
                <w:rFonts w:hint="eastAsia"/>
                <w:kern w:val="0"/>
                <w:szCs w:val="21"/>
              </w:rPr>
              <w:t>1,076.71</w:t>
            </w:r>
          </w:p>
        </w:tc>
        <w:tc>
          <w:tcPr>
            <w:tcW w:w="2493" w:type="dxa"/>
            <w:noWrap/>
            <w:vAlign w:val="center"/>
          </w:tcPr>
          <w:p w14:paraId="7DD08E3A" w14:textId="77777777" w:rsidR="00116C0B" w:rsidRDefault="00000000">
            <w:pPr>
              <w:widowControl/>
              <w:jc w:val="right"/>
              <w:rPr>
                <w:kern w:val="0"/>
                <w:szCs w:val="21"/>
              </w:rPr>
            </w:pPr>
            <w:r>
              <w:rPr>
                <w:kern w:val="0"/>
                <w:szCs w:val="21"/>
              </w:rPr>
              <w:t>1,000.00</w:t>
            </w:r>
          </w:p>
        </w:tc>
      </w:tr>
      <w:tr w:rsidR="00116C0B" w14:paraId="30533B92" w14:textId="77777777">
        <w:trPr>
          <w:trHeight w:val="397"/>
          <w:jc w:val="center"/>
        </w:trPr>
        <w:tc>
          <w:tcPr>
            <w:tcW w:w="794" w:type="dxa"/>
            <w:noWrap/>
            <w:vAlign w:val="center"/>
          </w:tcPr>
          <w:p w14:paraId="5EDC8E47" w14:textId="77777777" w:rsidR="00116C0B" w:rsidRDefault="00000000">
            <w:pPr>
              <w:widowControl/>
              <w:jc w:val="center"/>
              <w:rPr>
                <w:kern w:val="0"/>
                <w:szCs w:val="21"/>
              </w:rPr>
            </w:pPr>
            <w:r>
              <w:rPr>
                <w:kern w:val="0"/>
                <w:szCs w:val="21"/>
              </w:rPr>
              <w:t>4</w:t>
            </w:r>
          </w:p>
        </w:tc>
        <w:tc>
          <w:tcPr>
            <w:tcW w:w="3003" w:type="dxa"/>
            <w:noWrap/>
            <w:vAlign w:val="center"/>
          </w:tcPr>
          <w:p w14:paraId="4E4B1EA5" w14:textId="77777777" w:rsidR="00116C0B" w:rsidRDefault="00000000">
            <w:pPr>
              <w:widowControl/>
              <w:jc w:val="left"/>
              <w:rPr>
                <w:kern w:val="0"/>
                <w:szCs w:val="21"/>
              </w:rPr>
            </w:pPr>
            <w:r>
              <w:rPr>
                <w:rFonts w:hint="eastAsia"/>
                <w:kern w:val="0"/>
                <w:szCs w:val="21"/>
              </w:rPr>
              <w:t>预备费用</w:t>
            </w:r>
          </w:p>
        </w:tc>
        <w:tc>
          <w:tcPr>
            <w:tcW w:w="2492" w:type="dxa"/>
            <w:noWrap/>
            <w:vAlign w:val="center"/>
          </w:tcPr>
          <w:p w14:paraId="32E38C83" w14:textId="77777777" w:rsidR="00116C0B" w:rsidRDefault="00000000">
            <w:pPr>
              <w:widowControl/>
              <w:jc w:val="right"/>
              <w:rPr>
                <w:kern w:val="0"/>
                <w:szCs w:val="21"/>
              </w:rPr>
            </w:pPr>
            <w:r>
              <w:rPr>
                <w:rFonts w:hint="eastAsia"/>
                <w:kern w:val="0"/>
                <w:szCs w:val="21"/>
              </w:rPr>
              <w:t>279.41</w:t>
            </w:r>
          </w:p>
        </w:tc>
        <w:tc>
          <w:tcPr>
            <w:tcW w:w="2493" w:type="dxa"/>
            <w:noWrap/>
            <w:vAlign w:val="center"/>
          </w:tcPr>
          <w:p w14:paraId="5E925EFF" w14:textId="77777777" w:rsidR="00116C0B" w:rsidRDefault="00000000">
            <w:pPr>
              <w:widowControl/>
              <w:jc w:val="right"/>
              <w:rPr>
                <w:kern w:val="0"/>
                <w:szCs w:val="21"/>
              </w:rPr>
            </w:pPr>
            <w:r>
              <w:rPr>
                <w:kern w:val="0"/>
                <w:szCs w:val="21"/>
              </w:rPr>
              <w:t>-</w:t>
            </w:r>
          </w:p>
        </w:tc>
      </w:tr>
      <w:tr w:rsidR="00116C0B" w14:paraId="727CC196" w14:textId="77777777">
        <w:trPr>
          <w:trHeight w:val="397"/>
          <w:jc w:val="center"/>
        </w:trPr>
        <w:tc>
          <w:tcPr>
            <w:tcW w:w="794" w:type="dxa"/>
            <w:noWrap/>
            <w:vAlign w:val="center"/>
          </w:tcPr>
          <w:p w14:paraId="04212F34" w14:textId="77777777" w:rsidR="00116C0B" w:rsidRDefault="00000000">
            <w:pPr>
              <w:widowControl/>
              <w:jc w:val="center"/>
              <w:rPr>
                <w:kern w:val="0"/>
                <w:szCs w:val="21"/>
              </w:rPr>
            </w:pPr>
            <w:r>
              <w:rPr>
                <w:kern w:val="0"/>
                <w:szCs w:val="21"/>
              </w:rPr>
              <w:t>5</w:t>
            </w:r>
          </w:p>
        </w:tc>
        <w:tc>
          <w:tcPr>
            <w:tcW w:w="3003" w:type="dxa"/>
            <w:noWrap/>
            <w:vAlign w:val="center"/>
          </w:tcPr>
          <w:p w14:paraId="081C853B" w14:textId="77777777" w:rsidR="00116C0B" w:rsidRDefault="00000000">
            <w:pPr>
              <w:widowControl/>
              <w:jc w:val="left"/>
              <w:rPr>
                <w:kern w:val="0"/>
                <w:szCs w:val="21"/>
              </w:rPr>
            </w:pPr>
            <w:r>
              <w:rPr>
                <w:rFonts w:hint="eastAsia"/>
                <w:kern w:val="0"/>
                <w:szCs w:val="21"/>
              </w:rPr>
              <w:t>铺底流动资金</w:t>
            </w:r>
          </w:p>
        </w:tc>
        <w:tc>
          <w:tcPr>
            <w:tcW w:w="2492" w:type="dxa"/>
            <w:noWrap/>
            <w:vAlign w:val="center"/>
          </w:tcPr>
          <w:p w14:paraId="492FE9C5" w14:textId="77777777" w:rsidR="00116C0B" w:rsidRDefault="00000000">
            <w:pPr>
              <w:widowControl/>
              <w:jc w:val="right"/>
              <w:rPr>
                <w:kern w:val="0"/>
                <w:szCs w:val="21"/>
              </w:rPr>
            </w:pPr>
            <w:r>
              <w:rPr>
                <w:rFonts w:hint="eastAsia"/>
                <w:kern w:val="0"/>
                <w:szCs w:val="21"/>
              </w:rPr>
              <w:t>1,157.95</w:t>
            </w:r>
          </w:p>
        </w:tc>
        <w:tc>
          <w:tcPr>
            <w:tcW w:w="2493" w:type="dxa"/>
            <w:noWrap/>
            <w:vAlign w:val="center"/>
          </w:tcPr>
          <w:p w14:paraId="4E281364" w14:textId="77777777" w:rsidR="00116C0B" w:rsidRDefault="00000000">
            <w:pPr>
              <w:widowControl/>
              <w:jc w:val="right"/>
              <w:rPr>
                <w:kern w:val="0"/>
                <w:szCs w:val="21"/>
              </w:rPr>
            </w:pPr>
            <w:r>
              <w:rPr>
                <w:kern w:val="0"/>
                <w:szCs w:val="21"/>
              </w:rPr>
              <w:t>-</w:t>
            </w:r>
          </w:p>
        </w:tc>
      </w:tr>
      <w:tr w:rsidR="00116C0B" w14:paraId="007F1878" w14:textId="77777777">
        <w:trPr>
          <w:trHeight w:val="397"/>
          <w:jc w:val="center"/>
        </w:trPr>
        <w:tc>
          <w:tcPr>
            <w:tcW w:w="3797" w:type="dxa"/>
            <w:gridSpan w:val="2"/>
            <w:noWrap/>
            <w:vAlign w:val="center"/>
          </w:tcPr>
          <w:p w14:paraId="371B84AA" w14:textId="77777777" w:rsidR="00116C0B" w:rsidRDefault="00000000">
            <w:pPr>
              <w:widowControl/>
              <w:jc w:val="center"/>
              <w:rPr>
                <w:b/>
                <w:bCs/>
                <w:szCs w:val="21"/>
              </w:rPr>
            </w:pPr>
            <w:r>
              <w:rPr>
                <w:rFonts w:hint="eastAsia"/>
                <w:b/>
                <w:bCs/>
                <w:kern w:val="0"/>
                <w:szCs w:val="21"/>
              </w:rPr>
              <w:t>合计</w:t>
            </w:r>
          </w:p>
        </w:tc>
        <w:tc>
          <w:tcPr>
            <w:tcW w:w="2492" w:type="dxa"/>
            <w:noWrap/>
            <w:vAlign w:val="center"/>
          </w:tcPr>
          <w:p w14:paraId="35BD3A43" w14:textId="77777777" w:rsidR="00116C0B" w:rsidRDefault="00000000">
            <w:pPr>
              <w:widowControl/>
              <w:jc w:val="right"/>
              <w:rPr>
                <w:b/>
                <w:bCs/>
                <w:kern w:val="0"/>
                <w:szCs w:val="21"/>
              </w:rPr>
            </w:pPr>
            <w:r>
              <w:rPr>
                <w:rFonts w:hint="eastAsia"/>
                <w:b/>
                <w:bCs/>
                <w:kern w:val="0"/>
                <w:szCs w:val="21"/>
              </w:rPr>
              <w:t>29,377.91</w:t>
            </w:r>
          </w:p>
        </w:tc>
        <w:tc>
          <w:tcPr>
            <w:tcW w:w="2493" w:type="dxa"/>
            <w:noWrap/>
            <w:vAlign w:val="center"/>
          </w:tcPr>
          <w:p w14:paraId="3770E146" w14:textId="77777777" w:rsidR="00116C0B" w:rsidRDefault="00000000">
            <w:pPr>
              <w:widowControl/>
              <w:jc w:val="right"/>
              <w:rPr>
                <w:b/>
                <w:bCs/>
                <w:kern w:val="0"/>
                <w:szCs w:val="21"/>
              </w:rPr>
            </w:pPr>
            <w:r>
              <w:rPr>
                <w:b/>
                <w:bCs/>
                <w:kern w:val="0"/>
                <w:szCs w:val="21"/>
              </w:rPr>
              <w:t>27,800.00</w:t>
            </w:r>
          </w:p>
        </w:tc>
      </w:tr>
    </w:tbl>
    <w:p w14:paraId="26DA657F"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3</w:t>
      </w:r>
      <w:r>
        <w:rPr>
          <w:rFonts w:hint="eastAsia"/>
          <w:b/>
          <w:kern w:val="0"/>
          <w:sz w:val="24"/>
          <w:szCs w:val="24"/>
        </w:rPr>
        <w:t>、项目建设的必要性</w:t>
      </w:r>
    </w:p>
    <w:p w14:paraId="237491EE"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hint="eastAsia"/>
          <w:kern w:val="0"/>
          <w:sz w:val="24"/>
          <w:szCs w:val="24"/>
        </w:rPr>
        <w:t>1</w:t>
      </w:r>
      <w:r>
        <w:rPr>
          <w:rFonts w:cs="宋体" w:hint="eastAsia"/>
          <w:kern w:val="0"/>
          <w:sz w:val="24"/>
          <w:szCs w:val="24"/>
        </w:rPr>
        <w:t>）</w:t>
      </w:r>
      <w:r>
        <w:rPr>
          <w:rFonts w:cs="宋体"/>
          <w:kern w:val="0"/>
          <w:sz w:val="24"/>
          <w:szCs w:val="24"/>
        </w:rPr>
        <w:t>适应国家</w:t>
      </w:r>
      <w:r>
        <w:rPr>
          <w:rFonts w:cs="宋体" w:hint="eastAsia"/>
          <w:kern w:val="0"/>
          <w:sz w:val="24"/>
          <w:szCs w:val="24"/>
        </w:rPr>
        <w:t>智能制造</w:t>
      </w:r>
      <w:r>
        <w:rPr>
          <w:rFonts w:cs="宋体"/>
          <w:kern w:val="0"/>
          <w:sz w:val="24"/>
          <w:szCs w:val="24"/>
        </w:rPr>
        <w:t>发展的需要</w:t>
      </w:r>
    </w:p>
    <w:p w14:paraId="4A0F1FCE"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根据国务院颁布的《中国制造</w:t>
      </w:r>
      <w:r>
        <w:rPr>
          <w:rFonts w:cs="宋体" w:hint="eastAsia"/>
          <w:kern w:val="0"/>
          <w:sz w:val="24"/>
          <w:szCs w:val="24"/>
        </w:rPr>
        <w:t>2025</w:t>
      </w:r>
      <w:r>
        <w:rPr>
          <w:rFonts w:cs="宋体" w:hint="eastAsia"/>
          <w:kern w:val="0"/>
          <w:sz w:val="24"/>
          <w:szCs w:val="24"/>
        </w:rPr>
        <w:t>》、</w:t>
      </w:r>
      <w:r>
        <w:rPr>
          <w:rFonts w:cs="宋体"/>
          <w:kern w:val="0"/>
          <w:sz w:val="24"/>
          <w:szCs w:val="24"/>
        </w:rPr>
        <w:t>工信部</w:t>
      </w:r>
      <w:r>
        <w:rPr>
          <w:rFonts w:cs="宋体" w:hint="eastAsia"/>
          <w:kern w:val="0"/>
          <w:sz w:val="24"/>
          <w:szCs w:val="24"/>
        </w:rPr>
        <w:t>颁布的</w:t>
      </w:r>
      <w:r>
        <w:rPr>
          <w:rFonts w:cs="宋体"/>
          <w:kern w:val="0"/>
          <w:sz w:val="24"/>
          <w:szCs w:val="24"/>
        </w:rPr>
        <w:t>《工业和信息化部关于促进制造业产品和服务质量提升的实施意见》</w:t>
      </w:r>
      <w:r>
        <w:rPr>
          <w:rFonts w:cs="宋体" w:hint="eastAsia"/>
          <w:kern w:val="0"/>
          <w:sz w:val="24"/>
          <w:szCs w:val="24"/>
        </w:rPr>
        <w:t>及</w:t>
      </w:r>
      <w:proofErr w:type="gramStart"/>
      <w:r>
        <w:rPr>
          <w:rFonts w:cs="宋体"/>
          <w:kern w:val="0"/>
          <w:sz w:val="24"/>
          <w:szCs w:val="24"/>
        </w:rPr>
        <w:t>国家发改委</w:t>
      </w:r>
      <w:proofErr w:type="gramEnd"/>
      <w:r>
        <w:rPr>
          <w:rFonts w:cs="宋体"/>
          <w:kern w:val="0"/>
          <w:sz w:val="24"/>
          <w:szCs w:val="24"/>
        </w:rPr>
        <w:t>、工信部等八部</w:t>
      </w:r>
      <w:r>
        <w:rPr>
          <w:rFonts w:cs="宋体" w:hint="eastAsia"/>
          <w:kern w:val="0"/>
          <w:sz w:val="24"/>
          <w:szCs w:val="24"/>
        </w:rPr>
        <w:t>颁布的</w:t>
      </w:r>
      <w:r>
        <w:rPr>
          <w:rFonts w:cs="宋体"/>
          <w:kern w:val="0"/>
          <w:sz w:val="24"/>
          <w:szCs w:val="24"/>
        </w:rPr>
        <w:t>《</w:t>
      </w:r>
      <w:r>
        <w:rPr>
          <w:rFonts w:cs="宋体"/>
          <w:kern w:val="0"/>
          <w:sz w:val="24"/>
          <w:szCs w:val="24"/>
        </w:rPr>
        <w:t>“</w:t>
      </w:r>
      <w:r>
        <w:rPr>
          <w:rFonts w:cs="宋体"/>
          <w:kern w:val="0"/>
          <w:sz w:val="24"/>
          <w:szCs w:val="24"/>
        </w:rPr>
        <w:t>十四五</w:t>
      </w:r>
      <w:r>
        <w:rPr>
          <w:rFonts w:cs="宋体"/>
          <w:kern w:val="0"/>
          <w:sz w:val="24"/>
          <w:szCs w:val="24"/>
        </w:rPr>
        <w:t>”</w:t>
      </w:r>
      <w:r>
        <w:rPr>
          <w:rFonts w:cs="宋体"/>
          <w:kern w:val="0"/>
          <w:sz w:val="24"/>
          <w:szCs w:val="24"/>
        </w:rPr>
        <w:t>智能制造发展规划》</w:t>
      </w:r>
      <w:r>
        <w:rPr>
          <w:rFonts w:cs="宋体" w:hint="eastAsia"/>
          <w:kern w:val="0"/>
          <w:sz w:val="24"/>
          <w:szCs w:val="24"/>
        </w:rPr>
        <w:t>等相关产业政策，制造强国的落脚点均立足于高端装备制造产业，充分体现了国家对高端制造及相关产业的大力扶持。随着智能制造领域政策密集出台，我国的阀门行业向智能化方向转型已是大势所趋。智能化发展能够提高生产效率和产品质量，降低运营成本和资源、能源消耗。同时，该行业需要具备较高技术水平和实践能力的</w:t>
      </w:r>
      <w:r>
        <w:rPr>
          <w:rFonts w:cs="宋体"/>
          <w:kern w:val="0"/>
          <w:sz w:val="24"/>
          <w:szCs w:val="24"/>
        </w:rPr>
        <w:t>研发技术、铸造工艺、生产加工等</w:t>
      </w:r>
      <w:r>
        <w:rPr>
          <w:rFonts w:cs="宋体" w:hint="eastAsia"/>
          <w:kern w:val="0"/>
          <w:sz w:val="24"/>
          <w:szCs w:val="24"/>
        </w:rPr>
        <w:t>方面</w:t>
      </w:r>
      <w:r>
        <w:rPr>
          <w:rFonts w:cs="宋体"/>
          <w:kern w:val="0"/>
          <w:sz w:val="24"/>
          <w:szCs w:val="24"/>
        </w:rPr>
        <w:t>人才</w:t>
      </w:r>
      <w:r>
        <w:rPr>
          <w:rFonts w:cs="宋体" w:hint="eastAsia"/>
          <w:kern w:val="0"/>
          <w:sz w:val="24"/>
          <w:szCs w:val="24"/>
        </w:rPr>
        <w:t>，以及相应用于购置国外先进生产设备的资金投入，以提升产品加工精度和加工效率，从而使公司具备绿色、智能化生产等综合运营能力。</w:t>
      </w:r>
    </w:p>
    <w:p w14:paraId="4143F6D8"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此外，</w:t>
      </w:r>
      <w:r>
        <w:rPr>
          <w:rFonts w:cs="宋体"/>
          <w:kern w:val="0"/>
          <w:sz w:val="24"/>
          <w:szCs w:val="24"/>
        </w:rPr>
        <w:t>随着城市建设快速发展和人民生活水平的不断提高，人们对城市</w:t>
      </w:r>
      <w:r>
        <w:rPr>
          <w:rFonts w:cs="宋体" w:hint="eastAsia"/>
          <w:kern w:val="0"/>
          <w:sz w:val="24"/>
          <w:szCs w:val="24"/>
        </w:rPr>
        <w:t>供气供水</w:t>
      </w:r>
      <w:r>
        <w:rPr>
          <w:rFonts w:cs="宋体"/>
          <w:kern w:val="0"/>
          <w:sz w:val="24"/>
          <w:szCs w:val="24"/>
        </w:rPr>
        <w:t>的服务质量提出了越来越高的要求。目前，城市</w:t>
      </w:r>
      <w:r>
        <w:rPr>
          <w:rFonts w:cs="宋体" w:hint="eastAsia"/>
          <w:kern w:val="0"/>
          <w:sz w:val="24"/>
          <w:szCs w:val="24"/>
        </w:rPr>
        <w:t>供水供气</w:t>
      </w:r>
      <w:r>
        <w:rPr>
          <w:rFonts w:cs="宋体"/>
          <w:kern w:val="0"/>
          <w:sz w:val="24"/>
          <w:szCs w:val="24"/>
        </w:rPr>
        <w:t>输配管网中，各调压箱、调压柜地理位置分散，且</w:t>
      </w:r>
      <w:r>
        <w:rPr>
          <w:rFonts w:cs="宋体" w:hint="eastAsia"/>
          <w:kern w:val="0"/>
          <w:sz w:val="24"/>
          <w:szCs w:val="24"/>
        </w:rPr>
        <w:t>仍采用</w:t>
      </w:r>
      <w:r>
        <w:rPr>
          <w:rFonts w:cs="宋体"/>
          <w:kern w:val="0"/>
          <w:sz w:val="24"/>
          <w:szCs w:val="24"/>
        </w:rPr>
        <w:t>人工记录</w:t>
      </w:r>
      <w:r>
        <w:rPr>
          <w:rFonts w:cs="宋体" w:hint="eastAsia"/>
          <w:kern w:val="0"/>
          <w:sz w:val="24"/>
          <w:szCs w:val="24"/>
        </w:rPr>
        <w:t>、</w:t>
      </w:r>
      <w:r>
        <w:rPr>
          <w:rFonts w:cs="宋体"/>
          <w:kern w:val="0"/>
          <w:sz w:val="24"/>
          <w:szCs w:val="24"/>
        </w:rPr>
        <w:t>逐级汇报的方法</w:t>
      </w:r>
      <w:r>
        <w:rPr>
          <w:rFonts w:cs="宋体" w:hint="eastAsia"/>
          <w:kern w:val="0"/>
          <w:sz w:val="24"/>
          <w:szCs w:val="24"/>
        </w:rPr>
        <w:t>进行数据读取，因而</w:t>
      </w:r>
      <w:r>
        <w:rPr>
          <w:rFonts w:cs="宋体"/>
          <w:kern w:val="0"/>
          <w:sz w:val="24"/>
          <w:szCs w:val="24"/>
        </w:rPr>
        <w:t>存在上报数据不及时，</w:t>
      </w:r>
      <w:r>
        <w:rPr>
          <w:rFonts w:cs="宋体" w:hint="eastAsia"/>
          <w:kern w:val="0"/>
          <w:sz w:val="24"/>
          <w:szCs w:val="24"/>
        </w:rPr>
        <w:t>监测</w:t>
      </w:r>
      <w:r>
        <w:rPr>
          <w:rFonts w:cs="宋体"/>
          <w:kern w:val="0"/>
          <w:sz w:val="24"/>
          <w:szCs w:val="24"/>
        </w:rPr>
        <w:t>事故</w:t>
      </w:r>
      <w:r>
        <w:rPr>
          <w:rFonts w:cs="宋体" w:hint="eastAsia"/>
          <w:kern w:val="0"/>
          <w:sz w:val="24"/>
          <w:szCs w:val="24"/>
        </w:rPr>
        <w:t>延迟</w:t>
      </w:r>
      <w:r>
        <w:rPr>
          <w:rFonts w:cs="宋体"/>
          <w:kern w:val="0"/>
          <w:sz w:val="24"/>
          <w:szCs w:val="24"/>
        </w:rPr>
        <w:t>等安全隐患。</w:t>
      </w:r>
      <w:r>
        <w:rPr>
          <w:rFonts w:cs="宋体" w:hint="eastAsia"/>
          <w:kern w:val="0"/>
          <w:sz w:val="24"/>
          <w:szCs w:val="24"/>
        </w:rPr>
        <w:t>通过人工智能、物联网等先进技术，使阀门具有自适应、自调节、自诊断、远程监控等功能，取代人工操作方式，不仅可以节约相关维护成本，也可以避免人工操作可能导致的失误。因此，公司进行</w:t>
      </w:r>
      <w:r>
        <w:rPr>
          <w:rFonts w:cs="宋体"/>
          <w:kern w:val="0"/>
          <w:sz w:val="24"/>
          <w:szCs w:val="24"/>
        </w:rPr>
        <w:t>智慧节能类</w:t>
      </w:r>
      <w:r>
        <w:rPr>
          <w:rFonts w:cs="宋体" w:hint="eastAsia"/>
          <w:kern w:val="0"/>
          <w:sz w:val="24"/>
          <w:szCs w:val="24"/>
        </w:rPr>
        <w:t>阀门相关产品生产符合阀门行业智能化的发展方向。</w:t>
      </w:r>
    </w:p>
    <w:p w14:paraId="676185E5"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本项目将以构建智能化、自动化、数字化制造体系为目标，着力提升关键技术装备安全可控能力，集成国际先进的装备，引进各类监测管理系统、搭建智慧</w:t>
      </w:r>
      <w:r>
        <w:rPr>
          <w:rFonts w:cs="宋体" w:hint="eastAsia"/>
          <w:kern w:val="0"/>
          <w:sz w:val="24"/>
          <w:szCs w:val="24"/>
        </w:rPr>
        <w:lastRenderedPageBreak/>
        <w:t>园区平台，</w:t>
      </w:r>
      <w:r>
        <w:rPr>
          <w:rFonts w:cs="宋体"/>
          <w:kern w:val="0"/>
          <w:sz w:val="24"/>
          <w:szCs w:val="24"/>
        </w:rPr>
        <w:t>实现数据采集、实时控制</w:t>
      </w:r>
      <w:r>
        <w:rPr>
          <w:rFonts w:cs="宋体" w:hint="eastAsia"/>
          <w:kern w:val="0"/>
          <w:sz w:val="24"/>
          <w:szCs w:val="24"/>
        </w:rPr>
        <w:t>、全生命周期监控</w:t>
      </w:r>
      <w:r>
        <w:rPr>
          <w:rFonts w:cs="宋体"/>
          <w:kern w:val="0"/>
          <w:sz w:val="24"/>
          <w:szCs w:val="24"/>
        </w:rPr>
        <w:t>、报警和分析、数据库管理等多种功能</w:t>
      </w:r>
      <w:r>
        <w:rPr>
          <w:rFonts w:cs="宋体" w:hint="eastAsia"/>
          <w:kern w:val="0"/>
          <w:sz w:val="24"/>
          <w:szCs w:val="24"/>
        </w:rPr>
        <w:t>，进行智慧节能阀门生产，为公司打造竞争新优势奠定坚实的基础。</w:t>
      </w:r>
    </w:p>
    <w:p w14:paraId="235AA2B2"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hint="eastAsia"/>
          <w:kern w:val="0"/>
          <w:sz w:val="24"/>
          <w:szCs w:val="24"/>
        </w:rPr>
        <w:t>2</w:t>
      </w:r>
      <w:r>
        <w:rPr>
          <w:rFonts w:cs="宋体" w:hint="eastAsia"/>
          <w:kern w:val="0"/>
          <w:sz w:val="24"/>
          <w:szCs w:val="24"/>
        </w:rPr>
        <w:t>）满足市场对</w:t>
      </w:r>
      <w:r>
        <w:rPr>
          <w:rFonts w:cs="宋体"/>
          <w:kern w:val="0"/>
          <w:sz w:val="24"/>
          <w:szCs w:val="24"/>
        </w:rPr>
        <w:t>高性能产品</w:t>
      </w:r>
      <w:r>
        <w:rPr>
          <w:rFonts w:cs="宋体" w:hint="eastAsia"/>
          <w:kern w:val="0"/>
          <w:sz w:val="24"/>
          <w:szCs w:val="24"/>
        </w:rPr>
        <w:t>需求</w:t>
      </w:r>
    </w:p>
    <w:p w14:paraId="67204DD8"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阀门产品已广泛应用于社会经济发展的各个领域，包括石油天然气、化工、水利水电、冶金、制药、城镇给排水等领域，下游行业的发展带动了阀门行业的不断发展。公司产品以出口为主导，根据</w:t>
      </w:r>
      <w:r>
        <w:rPr>
          <w:rFonts w:cs="宋体" w:hint="eastAsia"/>
          <w:kern w:val="0"/>
          <w:sz w:val="24"/>
          <w:szCs w:val="24"/>
        </w:rPr>
        <w:t>Research and Markets</w:t>
      </w:r>
      <w:r>
        <w:rPr>
          <w:rFonts w:cs="宋体" w:hint="eastAsia"/>
          <w:kern w:val="0"/>
          <w:sz w:val="24"/>
          <w:szCs w:val="24"/>
        </w:rPr>
        <w:t>统计数据，</w:t>
      </w:r>
      <w:r>
        <w:rPr>
          <w:rFonts w:cs="宋体" w:hint="eastAsia"/>
          <w:kern w:val="0"/>
          <w:sz w:val="24"/>
          <w:szCs w:val="24"/>
        </w:rPr>
        <w:t>2021</w:t>
      </w:r>
      <w:r>
        <w:rPr>
          <w:rFonts w:cs="宋体" w:hint="eastAsia"/>
          <w:kern w:val="0"/>
          <w:sz w:val="24"/>
          <w:szCs w:val="24"/>
        </w:rPr>
        <w:t>年全球工业阀门市场的市场规模约</w:t>
      </w:r>
      <w:r>
        <w:rPr>
          <w:rFonts w:cs="宋体" w:hint="eastAsia"/>
          <w:kern w:val="0"/>
          <w:sz w:val="24"/>
          <w:szCs w:val="24"/>
        </w:rPr>
        <w:t>730</w:t>
      </w:r>
      <w:r>
        <w:rPr>
          <w:rFonts w:cs="宋体" w:hint="eastAsia"/>
          <w:kern w:val="0"/>
          <w:sz w:val="24"/>
          <w:szCs w:val="24"/>
        </w:rPr>
        <w:t>亿美元，</w:t>
      </w:r>
      <w:r>
        <w:rPr>
          <w:rFonts w:cs="宋体" w:hint="eastAsia"/>
          <w:kern w:val="0"/>
          <w:sz w:val="24"/>
          <w:szCs w:val="24"/>
        </w:rPr>
        <w:t>2026</w:t>
      </w:r>
      <w:r>
        <w:rPr>
          <w:rFonts w:cs="宋体" w:hint="eastAsia"/>
          <w:kern w:val="0"/>
          <w:sz w:val="24"/>
          <w:szCs w:val="24"/>
        </w:rPr>
        <w:t>年市场规模预计达到</w:t>
      </w:r>
      <w:r>
        <w:rPr>
          <w:rFonts w:cs="宋体" w:hint="eastAsia"/>
          <w:kern w:val="0"/>
          <w:sz w:val="24"/>
          <w:szCs w:val="24"/>
        </w:rPr>
        <w:t>905</w:t>
      </w:r>
      <w:r>
        <w:rPr>
          <w:rFonts w:cs="宋体" w:hint="eastAsia"/>
          <w:kern w:val="0"/>
          <w:sz w:val="24"/>
          <w:szCs w:val="24"/>
        </w:rPr>
        <w:t>亿美元，</w:t>
      </w:r>
      <w:r>
        <w:rPr>
          <w:rFonts w:cs="宋体" w:hint="eastAsia"/>
          <w:kern w:val="0"/>
          <w:sz w:val="24"/>
          <w:szCs w:val="24"/>
        </w:rPr>
        <w:t>2021</w:t>
      </w:r>
      <w:r>
        <w:rPr>
          <w:rFonts w:cs="宋体" w:hint="eastAsia"/>
          <w:kern w:val="0"/>
          <w:sz w:val="24"/>
          <w:szCs w:val="24"/>
        </w:rPr>
        <w:t>年</w:t>
      </w:r>
      <w:r>
        <w:rPr>
          <w:rFonts w:cs="宋体" w:hint="eastAsia"/>
          <w:kern w:val="0"/>
          <w:sz w:val="24"/>
          <w:szCs w:val="24"/>
        </w:rPr>
        <w:t>-2026</w:t>
      </w:r>
      <w:r>
        <w:rPr>
          <w:rFonts w:cs="宋体" w:hint="eastAsia"/>
          <w:kern w:val="0"/>
          <w:sz w:val="24"/>
          <w:szCs w:val="24"/>
        </w:rPr>
        <w:t>年复合增长率达到</w:t>
      </w:r>
      <w:r>
        <w:rPr>
          <w:rFonts w:cs="宋体" w:hint="eastAsia"/>
          <w:kern w:val="0"/>
          <w:sz w:val="24"/>
          <w:szCs w:val="24"/>
        </w:rPr>
        <w:t>4.4%</w:t>
      </w:r>
      <w:r>
        <w:rPr>
          <w:rFonts w:cs="宋体" w:hint="eastAsia"/>
          <w:kern w:val="0"/>
          <w:sz w:val="24"/>
          <w:szCs w:val="24"/>
        </w:rPr>
        <w:t>。</w:t>
      </w:r>
      <w:r>
        <w:rPr>
          <w:rFonts w:cs="宋体"/>
          <w:kern w:val="0"/>
          <w:sz w:val="24"/>
          <w:szCs w:val="24"/>
        </w:rPr>
        <w:t>未来几年核电站</w:t>
      </w:r>
      <w:r>
        <w:rPr>
          <w:rFonts w:cs="宋体" w:hint="eastAsia"/>
          <w:kern w:val="0"/>
          <w:sz w:val="24"/>
          <w:szCs w:val="24"/>
        </w:rPr>
        <w:t>和天然气管道</w:t>
      </w:r>
      <w:r>
        <w:rPr>
          <w:rFonts w:cs="宋体"/>
          <w:kern w:val="0"/>
          <w:sz w:val="24"/>
          <w:szCs w:val="24"/>
        </w:rPr>
        <w:t>新建和改造需求、工业设备维护需求以及全球智慧城市发展的需求</w:t>
      </w:r>
      <w:r>
        <w:rPr>
          <w:rFonts w:cs="宋体" w:hint="eastAsia"/>
          <w:kern w:val="0"/>
          <w:sz w:val="24"/>
          <w:szCs w:val="24"/>
        </w:rPr>
        <w:t>将持续</w:t>
      </w:r>
      <w:r>
        <w:rPr>
          <w:rFonts w:cs="宋体"/>
          <w:kern w:val="0"/>
          <w:sz w:val="24"/>
          <w:szCs w:val="24"/>
        </w:rPr>
        <w:t>推动阀门市场发展。</w:t>
      </w:r>
    </w:p>
    <w:p w14:paraId="5D5746BC" w14:textId="77777777" w:rsidR="00116C0B" w:rsidRDefault="00000000">
      <w:pPr>
        <w:widowControl/>
        <w:spacing w:beforeLines="50" w:before="120" w:line="360" w:lineRule="auto"/>
        <w:ind w:firstLineChars="200" w:firstLine="420"/>
        <w:jc w:val="center"/>
        <w:rPr>
          <w:rFonts w:cs="宋体"/>
          <w:kern w:val="0"/>
          <w:szCs w:val="21"/>
        </w:rPr>
      </w:pPr>
      <w:r>
        <w:rPr>
          <w:rFonts w:cs="宋体" w:hint="eastAsia"/>
          <w:kern w:val="0"/>
          <w:szCs w:val="21"/>
        </w:rPr>
        <w:t>图表</w:t>
      </w:r>
      <w:r>
        <w:rPr>
          <w:rFonts w:cs="宋体" w:hint="eastAsia"/>
          <w:kern w:val="0"/>
          <w:szCs w:val="21"/>
        </w:rPr>
        <w:t xml:space="preserve"> </w:t>
      </w:r>
      <w:r>
        <w:rPr>
          <w:rFonts w:cs="宋体" w:hint="eastAsia"/>
          <w:kern w:val="0"/>
          <w:szCs w:val="21"/>
        </w:rPr>
        <w:t>：</w:t>
      </w:r>
      <w:r>
        <w:rPr>
          <w:rFonts w:cs="宋体" w:hint="eastAsia"/>
          <w:kern w:val="0"/>
          <w:szCs w:val="21"/>
        </w:rPr>
        <w:t>2021-2026</w:t>
      </w:r>
      <w:r>
        <w:rPr>
          <w:rFonts w:cs="宋体" w:hint="eastAsia"/>
          <w:kern w:val="0"/>
          <w:szCs w:val="21"/>
        </w:rPr>
        <w:t>全球工业阀门行业市场规模及预测（单位：亿美元）</w:t>
      </w:r>
    </w:p>
    <w:p w14:paraId="78419061" w14:textId="03D3F328" w:rsidR="00116C0B" w:rsidRDefault="00E2342B">
      <w:pPr>
        <w:tabs>
          <w:tab w:val="left" w:pos="630"/>
        </w:tabs>
        <w:jc w:val="center"/>
        <w:rPr>
          <w:rFonts w:hAnsi="微软雅黑"/>
        </w:rPr>
      </w:pPr>
      <w:r>
        <w:rPr>
          <w:rFonts w:eastAsia="微软雅黑" w:hAnsi="微软雅黑" w:hint="eastAsia"/>
          <w:noProof/>
        </w:rPr>
        <w:drawing>
          <wp:inline distT="0" distB="0" distL="0" distR="0" wp14:anchorId="6B650B2C" wp14:editId="4DEFCE8E">
            <wp:extent cx="5083810" cy="3808095"/>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4CE3A2" w14:textId="77777777" w:rsidR="00116C0B" w:rsidRDefault="00000000">
      <w:pPr>
        <w:widowControl/>
        <w:spacing w:beforeLines="50" w:before="120" w:line="360" w:lineRule="auto"/>
        <w:ind w:firstLineChars="200" w:firstLine="420"/>
        <w:rPr>
          <w:rFonts w:cs="宋体"/>
          <w:kern w:val="0"/>
          <w:szCs w:val="21"/>
        </w:rPr>
      </w:pPr>
      <w:r>
        <w:rPr>
          <w:rFonts w:cs="宋体" w:hint="eastAsia"/>
          <w:kern w:val="0"/>
          <w:szCs w:val="21"/>
        </w:rPr>
        <w:t>数据来源：</w:t>
      </w:r>
      <w:r>
        <w:rPr>
          <w:rFonts w:cs="宋体" w:hint="eastAsia"/>
          <w:kern w:val="0"/>
          <w:szCs w:val="21"/>
        </w:rPr>
        <w:t xml:space="preserve">Research </w:t>
      </w:r>
      <w:r>
        <w:rPr>
          <w:rFonts w:cs="宋体"/>
          <w:kern w:val="0"/>
          <w:szCs w:val="21"/>
        </w:rPr>
        <w:t>and</w:t>
      </w:r>
      <w:r>
        <w:rPr>
          <w:rFonts w:cs="宋体" w:hint="eastAsia"/>
          <w:kern w:val="0"/>
          <w:szCs w:val="21"/>
        </w:rPr>
        <w:t xml:space="preserve"> </w:t>
      </w:r>
      <w:r>
        <w:rPr>
          <w:rFonts w:cs="宋体"/>
          <w:kern w:val="0"/>
          <w:szCs w:val="21"/>
        </w:rPr>
        <w:t>Markets</w:t>
      </w:r>
    </w:p>
    <w:p w14:paraId="4EC58435"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从下游场景看，本项目产品可应用于天然气和水处理市场。</w:t>
      </w:r>
      <w:r>
        <w:rPr>
          <w:rFonts w:cs="宋体"/>
          <w:kern w:val="0"/>
          <w:sz w:val="24"/>
          <w:szCs w:val="24"/>
        </w:rPr>
        <w:t>2021</w:t>
      </w:r>
      <w:r>
        <w:rPr>
          <w:rFonts w:cs="宋体"/>
          <w:kern w:val="0"/>
          <w:sz w:val="24"/>
          <w:szCs w:val="24"/>
        </w:rPr>
        <w:t>年</w:t>
      </w:r>
      <w:r>
        <w:rPr>
          <w:rFonts w:cs="宋体" w:hint="eastAsia"/>
          <w:kern w:val="0"/>
          <w:sz w:val="24"/>
          <w:szCs w:val="24"/>
        </w:rPr>
        <w:t>世界</w:t>
      </w:r>
      <w:r>
        <w:rPr>
          <w:rFonts w:cs="宋体"/>
          <w:kern w:val="0"/>
          <w:sz w:val="24"/>
          <w:szCs w:val="24"/>
        </w:rPr>
        <w:t>天然气消费量</w:t>
      </w:r>
      <w:r>
        <w:rPr>
          <w:rFonts w:cs="宋体" w:hint="eastAsia"/>
          <w:kern w:val="0"/>
          <w:sz w:val="24"/>
          <w:szCs w:val="24"/>
        </w:rPr>
        <w:t>约</w:t>
      </w:r>
      <w:r>
        <w:rPr>
          <w:rFonts w:cs="宋体" w:hint="eastAsia"/>
          <w:kern w:val="0"/>
          <w:sz w:val="24"/>
          <w:szCs w:val="24"/>
        </w:rPr>
        <w:t>41,67</w:t>
      </w:r>
      <w:r>
        <w:rPr>
          <w:rFonts w:cs="宋体"/>
          <w:kern w:val="0"/>
          <w:sz w:val="24"/>
          <w:szCs w:val="24"/>
        </w:rPr>
        <w:t>0</w:t>
      </w:r>
      <w:r>
        <w:rPr>
          <w:rFonts w:cs="宋体"/>
          <w:kern w:val="0"/>
          <w:sz w:val="24"/>
          <w:szCs w:val="24"/>
        </w:rPr>
        <w:t>亿立方米，同比增长</w:t>
      </w:r>
      <w:r>
        <w:rPr>
          <w:rFonts w:cs="宋体" w:hint="eastAsia"/>
          <w:kern w:val="0"/>
          <w:sz w:val="24"/>
          <w:szCs w:val="24"/>
        </w:rPr>
        <w:t>4</w:t>
      </w:r>
      <w:r>
        <w:rPr>
          <w:rFonts w:cs="宋体"/>
          <w:kern w:val="0"/>
          <w:sz w:val="24"/>
          <w:szCs w:val="24"/>
        </w:rPr>
        <w:t>.</w:t>
      </w:r>
      <w:r>
        <w:rPr>
          <w:rFonts w:cs="宋体" w:hint="eastAsia"/>
          <w:kern w:val="0"/>
          <w:sz w:val="24"/>
          <w:szCs w:val="24"/>
        </w:rPr>
        <w:t>80</w:t>
      </w:r>
      <w:r>
        <w:rPr>
          <w:rFonts w:cs="宋体"/>
          <w:kern w:val="0"/>
          <w:sz w:val="24"/>
          <w:szCs w:val="24"/>
        </w:rPr>
        <w:t>%</w:t>
      </w:r>
      <w:r>
        <w:rPr>
          <w:rFonts w:cs="宋体" w:hint="eastAsia"/>
          <w:kern w:val="0"/>
          <w:sz w:val="24"/>
          <w:szCs w:val="24"/>
        </w:rPr>
        <w:t>；中国天然气消费量约</w:t>
      </w:r>
      <w:r>
        <w:rPr>
          <w:rFonts w:cs="宋体" w:hint="eastAsia"/>
          <w:kern w:val="0"/>
          <w:sz w:val="24"/>
          <w:szCs w:val="24"/>
        </w:rPr>
        <w:t>3,690</w:t>
      </w:r>
      <w:r>
        <w:rPr>
          <w:rFonts w:cs="宋体" w:hint="eastAsia"/>
          <w:kern w:val="0"/>
          <w:sz w:val="24"/>
          <w:szCs w:val="24"/>
        </w:rPr>
        <w:t>亿立方米，同比增长</w:t>
      </w:r>
      <w:r>
        <w:rPr>
          <w:rFonts w:cs="宋体" w:hint="eastAsia"/>
          <w:kern w:val="0"/>
          <w:sz w:val="24"/>
          <w:szCs w:val="24"/>
        </w:rPr>
        <w:t>12.5%</w:t>
      </w:r>
      <w:r>
        <w:rPr>
          <w:rFonts w:cs="宋体" w:hint="eastAsia"/>
          <w:kern w:val="0"/>
          <w:sz w:val="24"/>
          <w:szCs w:val="24"/>
        </w:rPr>
        <w:t>。</w:t>
      </w:r>
      <w:r>
        <w:rPr>
          <w:rFonts w:cs="宋体" w:hint="eastAsia"/>
          <w:kern w:val="0"/>
          <w:sz w:val="24"/>
          <w:szCs w:val="24"/>
        </w:rPr>
        <w:t>2021</w:t>
      </w:r>
      <w:r>
        <w:rPr>
          <w:rFonts w:cs="宋体" w:hint="eastAsia"/>
          <w:kern w:val="0"/>
          <w:sz w:val="24"/>
          <w:szCs w:val="24"/>
        </w:rPr>
        <w:t>年全球水处理市场规模约为</w:t>
      </w:r>
      <w:r>
        <w:rPr>
          <w:rFonts w:cs="宋体" w:hint="eastAsia"/>
          <w:kern w:val="0"/>
          <w:sz w:val="24"/>
          <w:szCs w:val="24"/>
        </w:rPr>
        <w:t>2,814.40</w:t>
      </w:r>
      <w:r>
        <w:rPr>
          <w:rFonts w:cs="宋体" w:hint="eastAsia"/>
          <w:kern w:val="0"/>
          <w:sz w:val="24"/>
          <w:szCs w:val="24"/>
        </w:rPr>
        <w:t>亿美元，增长率</w:t>
      </w:r>
      <w:r>
        <w:rPr>
          <w:rFonts w:cs="宋体" w:hint="eastAsia"/>
          <w:kern w:val="0"/>
          <w:sz w:val="24"/>
          <w:szCs w:val="24"/>
        </w:rPr>
        <w:lastRenderedPageBreak/>
        <w:t>约</w:t>
      </w:r>
      <w:r>
        <w:rPr>
          <w:rFonts w:cs="宋体" w:hint="eastAsia"/>
          <w:kern w:val="0"/>
          <w:sz w:val="24"/>
          <w:szCs w:val="24"/>
        </w:rPr>
        <w:t>6.54%</w:t>
      </w:r>
      <w:r>
        <w:rPr>
          <w:rFonts w:cs="宋体" w:hint="eastAsia"/>
          <w:kern w:val="0"/>
          <w:sz w:val="24"/>
          <w:szCs w:val="24"/>
        </w:rPr>
        <w:t>；国内水利工程</w:t>
      </w:r>
      <w:r>
        <w:rPr>
          <w:rFonts w:cs="宋体"/>
          <w:kern w:val="0"/>
          <w:sz w:val="24"/>
          <w:szCs w:val="24"/>
        </w:rPr>
        <w:t>、城镇给排水、</w:t>
      </w:r>
      <w:r>
        <w:rPr>
          <w:rFonts w:cs="宋体" w:hint="eastAsia"/>
          <w:kern w:val="0"/>
          <w:sz w:val="24"/>
          <w:szCs w:val="24"/>
        </w:rPr>
        <w:t>污水处理和数据中心冷却系统市场规模都大幅增加。随着下游市场的扩大，必将带来应用场景设备中阀门需求的增加。</w:t>
      </w:r>
    </w:p>
    <w:p w14:paraId="0A6DD49A"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而在整个工业市场中，随着物联网、人工智能、大数据、</w:t>
      </w:r>
      <w:proofErr w:type="gramStart"/>
      <w:r>
        <w:rPr>
          <w:rFonts w:cs="宋体" w:hint="eastAsia"/>
          <w:kern w:val="0"/>
          <w:sz w:val="24"/>
          <w:szCs w:val="24"/>
        </w:rPr>
        <w:t>云计算</w:t>
      </w:r>
      <w:proofErr w:type="gramEnd"/>
      <w:r>
        <w:rPr>
          <w:rFonts w:cs="宋体" w:hint="eastAsia"/>
          <w:kern w:val="0"/>
          <w:sz w:val="24"/>
          <w:szCs w:val="24"/>
        </w:rPr>
        <w:t>等技术的不断发展，以及工业</w:t>
      </w:r>
      <w:r>
        <w:rPr>
          <w:rFonts w:cs="宋体" w:hint="eastAsia"/>
          <w:kern w:val="0"/>
          <w:sz w:val="24"/>
          <w:szCs w:val="24"/>
        </w:rPr>
        <w:t>4.0</w:t>
      </w:r>
      <w:r>
        <w:rPr>
          <w:rFonts w:cs="宋体" w:hint="eastAsia"/>
          <w:kern w:val="0"/>
          <w:sz w:val="24"/>
          <w:szCs w:val="24"/>
        </w:rPr>
        <w:t>的推行与变革，工业自动化水平进一步提升，与之相应的工业自动化设备需求也不断增长。随着工业自动化的不断升级，工业生产对精度、效率、可靠性等方面提出更高的要求，也带来了阀门行业技术更新换代的趋势。同时，近年来随着节能减排、绿色环保问题的日益严峻，阀门行业也开始进行整体转型，向低碳化节能方向进行探索。阀门产品技术升级、低碳化需求的不断增长将为智慧节能阀门带来巨大的市场发展空间，未来在产品智能化方面具有优势的企业有望获得更多的市场份额。</w:t>
      </w:r>
    </w:p>
    <w:p w14:paraId="3281C846"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本项目将聚焦于</w:t>
      </w:r>
      <w:r>
        <w:rPr>
          <w:rFonts w:cs="宋体"/>
          <w:kern w:val="0"/>
          <w:sz w:val="24"/>
          <w:szCs w:val="24"/>
        </w:rPr>
        <w:t>智慧节能阀门生产线建设</w:t>
      </w:r>
      <w:r>
        <w:rPr>
          <w:rFonts w:cs="宋体" w:hint="eastAsia"/>
          <w:kern w:val="0"/>
          <w:sz w:val="24"/>
          <w:szCs w:val="24"/>
        </w:rPr>
        <w:t>，借助</w:t>
      </w:r>
      <w:r>
        <w:rPr>
          <w:rFonts w:cs="宋体"/>
          <w:kern w:val="0"/>
          <w:sz w:val="24"/>
          <w:szCs w:val="24"/>
        </w:rPr>
        <w:t>信息化管理、计算机管理和网络技术</w:t>
      </w:r>
      <w:r>
        <w:rPr>
          <w:rFonts w:cs="宋体" w:hint="eastAsia"/>
          <w:kern w:val="0"/>
          <w:sz w:val="24"/>
          <w:szCs w:val="24"/>
        </w:rPr>
        <w:t>等先进技术，以期抓住行业技术升级的市场需求，获得更多市场份额。</w:t>
      </w:r>
    </w:p>
    <w:p w14:paraId="37ED0557"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hint="eastAsia"/>
          <w:kern w:val="0"/>
          <w:sz w:val="24"/>
          <w:szCs w:val="24"/>
        </w:rPr>
        <w:t>3</w:t>
      </w:r>
      <w:r>
        <w:rPr>
          <w:rFonts w:cs="宋体" w:hint="eastAsia"/>
          <w:kern w:val="0"/>
          <w:sz w:val="24"/>
          <w:szCs w:val="24"/>
        </w:rPr>
        <w:t>）提升公司竞争力，把握国产化机遇</w:t>
      </w:r>
    </w:p>
    <w:p w14:paraId="1AF2A144"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随着中国经济继续平稳运行，工业化程度越来越高，对于高性能阀门的需求也日益增长。部分油气行业、化工行业和发电行业等工业领域对工业阀门的性能有很高的要求。过去，由于我国阀门产业的生产技术不足，在高性能阀门方面我国较多地依赖于进口国外产品。未来，随着中国工业阀门企业研发能力的增强和技术的进步，中国高性能阀门产品的国产化率将会提高。</w:t>
      </w:r>
    </w:p>
    <w:p w14:paraId="69216C31"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智慧节能阀门因其加工制造工艺先进、性能指标优异等特点，被广泛应用于各类复杂工况，其市场需求增长迅速，国产化的总趋势前景向好。但相关产品生产技术难度大、产品精度要求高、质量标准严，往往需要更为现代化、自动化的生产流水线以及更先进、更高效的加工、检测、实验设备。公司现有设备条件难以满足智慧节能阀门的生产要求，影响公司阀门向高端化阀门的升级和转型。</w:t>
      </w:r>
    </w:p>
    <w:p w14:paraId="4240805F"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将购置更先进的生产检测设备，改善生产技术和工艺水平，进一步提高生产效率，确保产品质量的可靠性、稳定性；同时，本项目将通过产品升级丰富产品结构，增强公司盈利能力；此外，其将提升为客户提供高附加值产品和服务的能力，树立企业技术竞争优势和品牌影响力，增强公司整体核心竞争能力，拓展盈利空间，抢占高性能阀门国产化的市场先机。</w:t>
      </w:r>
    </w:p>
    <w:p w14:paraId="3F899DEB"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lastRenderedPageBreak/>
        <w:t>4</w:t>
      </w:r>
      <w:r>
        <w:rPr>
          <w:rFonts w:hint="eastAsia"/>
          <w:b/>
          <w:kern w:val="0"/>
          <w:sz w:val="24"/>
          <w:szCs w:val="24"/>
        </w:rPr>
        <w:t>、项目建设的可行性</w:t>
      </w:r>
    </w:p>
    <w:p w14:paraId="1D7C1F4F" w14:textId="77777777" w:rsidR="00116C0B" w:rsidRDefault="00000000">
      <w:pPr>
        <w:widowControl/>
        <w:spacing w:beforeLines="50" w:before="120" w:line="360" w:lineRule="auto"/>
        <w:ind w:firstLineChars="200" w:firstLine="480"/>
        <w:rPr>
          <w:rFonts w:cs="宋体"/>
          <w:kern w:val="0"/>
          <w:sz w:val="24"/>
          <w:szCs w:val="24"/>
        </w:rPr>
      </w:pPr>
      <w:bookmarkStart w:id="4" w:name="_Toc54950381"/>
      <w:bookmarkStart w:id="5" w:name="_Toc465788332"/>
      <w:bookmarkStart w:id="6" w:name="_Toc399779089"/>
      <w:bookmarkStart w:id="7" w:name="_Toc457186896"/>
      <w:r>
        <w:rPr>
          <w:rFonts w:cs="宋体" w:hint="eastAsia"/>
          <w:kern w:val="0"/>
          <w:sz w:val="24"/>
          <w:szCs w:val="24"/>
        </w:rPr>
        <w:t>（</w:t>
      </w:r>
      <w:r>
        <w:rPr>
          <w:rFonts w:cs="宋体" w:hint="eastAsia"/>
          <w:kern w:val="0"/>
          <w:sz w:val="24"/>
          <w:szCs w:val="24"/>
        </w:rPr>
        <w:t>1</w:t>
      </w:r>
      <w:r>
        <w:rPr>
          <w:rFonts w:cs="宋体" w:hint="eastAsia"/>
          <w:kern w:val="0"/>
          <w:sz w:val="24"/>
          <w:szCs w:val="24"/>
        </w:rPr>
        <w:t>）国家政策的大力支持</w:t>
      </w:r>
    </w:p>
    <w:p w14:paraId="3DC9D27F"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根据国务院发布的《中国制造</w:t>
      </w:r>
      <w:r>
        <w:rPr>
          <w:rFonts w:cs="宋体" w:hint="eastAsia"/>
          <w:kern w:val="0"/>
          <w:sz w:val="24"/>
          <w:szCs w:val="24"/>
        </w:rPr>
        <w:t>2025</w:t>
      </w:r>
      <w:r>
        <w:rPr>
          <w:rFonts w:cs="宋体" w:hint="eastAsia"/>
          <w:kern w:val="0"/>
          <w:sz w:val="24"/>
          <w:szCs w:val="24"/>
        </w:rPr>
        <w:t>》《“十四五”智能制造发展规划》等政策，我国正迫切需要从制造业大国向制造业强国转型，制造业的发展方向将重点体现在提升国产化率、提高国产工业产品质量、优化产业结构以及鼓励发展智能制造。在国家相关政策的不断发布以及新一轮科技革命影响下，以智能制造作为主攻方向，大力推进数字化、自动化、智能化已经成为各个行业下一发展阶段的重要任务。</w:t>
      </w:r>
    </w:p>
    <w:p w14:paraId="029D1FD7"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2022</w:t>
      </w:r>
      <w:r>
        <w:rPr>
          <w:rFonts w:cs="宋体" w:hint="eastAsia"/>
          <w:kern w:val="0"/>
          <w:sz w:val="24"/>
          <w:szCs w:val="24"/>
        </w:rPr>
        <w:t>年</w:t>
      </w:r>
      <w:r>
        <w:rPr>
          <w:rFonts w:cs="宋体" w:hint="eastAsia"/>
          <w:kern w:val="0"/>
          <w:sz w:val="24"/>
          <w:szCs w:val="24"/>
        </w:rPr>
        <w:t>1</w:t>
      </w:r>
      <w:r>
        <w:rPr>
          <w:rFonts w:cs="宋体" w:hint="eastAsia"/>
          <w:kern w:val="0"/>
          <w:sz w:val="24"/>
          <w:szCs w:val="24"/>
        </w:rPr>
        <w:t>月，住房城乡建设部办公厅、发展改革委办公厅联合发布《关于加强公共供水管网漏损控制的通知》，强调</w:t>
      </w:r>
      <w:r>
        <w:rPr>
          <w:rFonts w:cs="宋体"/>
          <w:kern w:val="0"/>
          <w:sz w:val="24"/>
          <w:szCs w:val="24"/>
        </w:rPr>
        <w:t>在管线建设改造、设备安装及分区计量系统建设中，积极推广采用先进的流量计量设备、阀门、水压水质监测设备和数据采集与传输装置，逐步实现供水管网网格化、精细化管理</w:t>
      </w:r>
      <w:r>
        <w:rPr>
          <w:rFonts w:cs="宋体" w:hint="eastAsia"/>
          <w:kern w:val="0"/>
          <w:sz w:val="24"/>
          <w:szCs w:val="24"/>
        </w:rPr>
        <w:t>。此外，《产业结构调整指导目录（</w:t>
      </w:r>
      <w:r>
        <w:rPr>
          <w:rFonts w:cs="宋体" w:hint="eastAsia"/>
          <w:kern w:val="0"/>
          <w:sz w:val="24"/>
          <w:szCs w:val="24"/>
        </w:rPr>
        <w:t>2019</w:t>
      </w:r>
      <w:r>
        <w:rPr>
          <w:rFonts w:cs="宋体" w:hint="eastAsia"/>
          <w:kern w:val="0"/>
          <w:sz w:val="24"/>
          <w:szCs w:val="24"/>
        </w:rPr>
        <w:t>年本）》还将“节能、节水、节材环保及资源综合利用等技术开发、应用及设备制造”列入鼓励类产业。以上政策推动了阀门产品不断向智能化、节能化发展。国家政策对于制造过程智能化以及阀门产品智能化、节能化的大力支持，为本项目的实施提供了良好的政策保障。</w:t>
      </w:r>
    </w:p>
    <w:p w14:paraId="60DB3C71"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kern w:val="0"/>
          <w:sz w:val="24"/>
          <w:szCs w:val="24"/>
        </w:rPr>
        <w:t>2</w:t>
      </w:r>
      <w:r>
        <w:rPr>
          <w:rFonts w:cs="宋体" w:hint="eastAsia"/>
          <w:kern w:val="0"/>
          <w:sz w:val="24"/>
          <w:szCs w:val="24"/>
        </w:rPr>
        <w:t>）公司具备项目所需的人员及技术储备</w:t>
      </w:r>
    </w:p>
    <w:p w14:paraId="55AAA3E0"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在人员储备方面，公司坚持内部培养和外部引进相结合，建立人才引进及培养机制，不断壮大技术人才队伍和优化人才结构，保障公司拥有充足的人才储备，是公司实现持续研发及产品规模化生产的必要支撑。在技术储备方面，公司在研发和生产方面积累了多项专利和核心技术，覆盖产品设计、生产工艺等领域，是产品性能提升、工艺改进及新产品开发的重要保障。公司拥有的人员团队及技术力量，为本项目的顺利实施打下了坚实的基础。</w:t>
      </w:r>
    </w:p>
    <w:bookmarkEnd w:id="4"/>
    <w:p w14:paraId="0E5DBDA4"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kern w:val="0"/>
          <w:sz w:val="24"/>
          <w:szCs w:val="24"/>
        </w:rPr>
        <w:t>3</w:t>
      </w:r>
      <w:r>
        <w:rPr>
          <w:rFonts w:cs="宋体" w:hint="eastAsia"/>
          <w:kern w:val="0"/>
          <w:sz w:val="24"/>
          <w:szCs w:val="24"/>
        </w:rPr>
        <w:t>）公司拥有完善的销售网络布局</w:t>
      </w:r>
    </w:p>
    <w:p w14:paraId="3D40FA52"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公司在英国、美国和香港设有全资子公司作为国际市场销售平台，在亚洲、欧洲、美洲、大洋洲及非洲等多个国家和地区积累了一批优质的品牌客户，并形成了稳定的合作关系。此外，公司在专注国际市场的同时开始逐步开拓国内市场，先后在全国建立了多个销售办事处，服务区域覆盖了除港澳台外的大部分地区，</w:t>
      </w:r>
      <w:r>
        <w:rPr>
          <w:rFonts w:cs="宋体" w:hint="eastAsia"/>
          <w:kern w:val="0"/>
          <w:sz w:val="24"/>
          <w:szCs w:val="24"/>
        </w:rPr>
        <w:lastRenderedPageBreak/>
        <w:t>形成了集市场开拓、销售和售后服务、信息反馈“三位一体”的市场营销服务网络。因此，公司拥有的销售网络布局为本项目新增产能的消化提供了保证。</w:t>
      </w:r>
      <w:bookmarkEnd w:id="5"/>
      <w:bookmarkEnd w:id="6"/>
      <w:bookmarkEnd w:id="7"/>
    </w:p>
    <w:p w14:paraId="00CFE90B"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5</w:t>
      </w:r>
      <w:r>
        <w:rPr>
          <w:rFonts w:hint="eastAsia"/>
          <w:b/>
          <w:kern w:val="0"/>
          <w:sz w:val="24"/>
          <w:szCs w:val="24"/>
        </w:rPr>
        <w:t>、项目经济效益</w:t>
      </w:r>
    </w:p>
    <w:p w14:paraId="432C08E3"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本项目投资总额</w:t>
      </w:r>
      <w:r>
        <w:rPr>
          <w:rFonts w:cs="宋体" w:hint="eastAsia"/>
          <w:kern w:val="0"/>
          <w:sz w:val="24"/>
          <w:szCs w:val="24"/>
        </w:rPr>
        <w:t>29,377.91</w:t>
      </w:r>
      <w:r>
        <w:rPr>
          <w:rFonts w:cs="宋体" w:hint="eastAsia"/>
          <w:kern w:val="0"/>
          <w:sz w:val="24"/>
          <w:szCs w:val="24"/>
        </w:rPr>
        <w:t>万元，项目工程建成达产后静态投资回收期（税后）为</w:t>
      </w:r>
      <w:r>
        <w:rPr>
          <w:rFonts w:cs="宋体" w:hint="eastAsia"/>
          <w:kern w:val="0"/>
          <w:sz w:val="24"/>
          <w:szCs w:val="24"/>
        </w:rPr>
        <w:t>7.58</w:t>
      </w:r>
      <w:r>
        <w:rPr>
          <w:rFonts w:cs="宋体" w:hint="eastAsia"/>
          <w:kern w:val="0"/>
          <w:sz w:val="24"/>
          <w:szCs w:val="24"/>
        </w:rPr>
        <w:t>年（包括建设期），具有良好的经济效益。</w:t>
      </w:r>
    </w:p>
    <w:p w14:paraId="0B5DC7A8"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6</w:t>
      </w:r>
      <w:r>
        <w:rPr>
          <w:rFonts w:hint="eastAsia"/>
          <w:b/>
          <w:kern w:val="0"/>
          <w:sz w:val="24"/>
          <w:szCs w:val="24"/>
        </w:rPr>
        <w:t>、项目用地情况</w:t>
      </w:r>
    </w:p>
    <w:p w14:paraId="27C13925"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本项目拟建设地点位于青岛市</w:t>
      </w:r>
      <w:proofErr w:type="gramStart"/>
      <w:r>
        <w:rPr>
          <w:rFonts w:cs="宋体" w:hint="eastAsia"/>
          <w:kern w:val="0"/>
          <w:sz w:val="24"/>
          <w:szCs w:val="24"/>
        </w:rPr>
        <w:t>高新技术产业开发区科韵路东</w:t>
      </w:r>
      <w:proofErr w:type="gramEnd"/>
      <w:r>
        <w:rPr>
          <w:rFonts w:cs="宋体" w:hint="eastAsia"/>
          <w:kern w:val="0"/>
          <w:sz w:val="24"/>
          <w:szCs w:val="24"/>
        </w:rPr>
        <w:t>延长线以南、</w:t>
      </w:r>
      <w:proofErr w:type="gramStart"/>
      <w:r>
        <w:rPr>
          <w:rFonts w:cs="宋体" w:hint="eastAsia"/>
          <w:kern w:val="0"/>
          <w:sz w:val="24"/>
          <w:szCs w:val="24"/>
        </w:rPr>
        <w:t>春阳路</w:t>
      </w:r>
      <w:proofErr w:type="gramEnd"/>
      <w:r>
        <w:rPr>
          <w:rFonts w:cs="宋体" w:hint="eastAsia"/>
          <w:kern w:val="0"/>
          <w:sz w:val="24"/>
          <w:szCs w:val="24"/>
        </w:rPr>
        <w:t>以北、华贯路以东、规划华东路以西地块。截至报告出具之日，本项目已取得土地使用权。</w:t>
      </w:r>
    </w:p>
    <w:p w14:paraId="3ABA145D" w14:textId="77777777" w:rsidR="00116C0B" w:rsidRDefault="00000000">
      <w:pPr>
        <w:widowControl/>
        <w:spacing w:beforeLines="50" w:before="120" w:line="360" w:lineRule="auto"/>
        <w:ind w:firstLine="465"/>
        <w:outlineLvl w:val="3"/>
        <w:rPr>
          <w:b/>
          <w:kern w:val="0"/>
          <w:sz w:val="24"/>
          <w:szCs w:val="24"/>
        </w:rPr>
      </w:pPr>
      <w:r>
        <w:rPr>
          <w:b/>
          <w:kern w:val="0"/>
          <w:sz w:val="24"/>
          <w:szCs w:val="24"/>
        </w:rPr>
        <w:t>7</w:t>
      </w:r>
      <w:r>
        <w:rPr>
          <w:rFonts w:hint="eastAsia"/>
          <w:b/>
          <w:kern w:val="0"/>
          <w:sz w:val="24"/>
          <w:szCs w:val="24"/>
        </w:rPr>
        <w:t>、项目涉及备案、环评等审批情况</w:t>
      </w:r>
    </w:p>
    <w:p w14:paraId="0FABF80C"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截至报告出具之日，本项目已取得青岛高</w:t>
      </w:r>
      <w:proofErr w:type="gramStart"/>
      <w:r>
        <w:rPr>
          <w:rFonts w:cs="宋体" w:hint="eastAsia"/>
          <w:kern w:val="0"/>
          <w:sz w:val="24"/>
          <w:szCs w:val="24"/>
        </w:rPr>
        <w:t>新区管委行政审批局</w:t>
      </w:r>
      <w:proofErr w:type="gramEnd"/>
      <w:r>
        <w:rPr>
          <w:rFonts w:cs="宋体" w:hint="eastAsia"/>
          <w:kern w:val="0"/>
          <w:sz w:val="24"/>
          <w:szCs w:val="24"/>
        </w:rPr>
        <w:t>出具的《企业投资项目备案证明》（项目统一编码为</w:t>
      </w:r>
      <w:r>
        <w:rPr>
          <w:rFonts w:cs="宋体"/>
          <w:kern w:val="0"/>
          <w:sz w:val="24"/>
          <w:szCs w:val="24"/>
        </w:rPr>
        <w:t>2302-370271-89-01-271613</w:t>
      </w:r>
      <w:r>
        <w:rPr>
          <w:rFonts w:cs="宋体" w:hint="eastAsia"/>
          <w:kern w:val="0"/>
          <w:sz w:val="24"/>
          <w:szCs w:val="24"/>
        </w:rPr>
        <w:t>），并取得青岛市生态环境局出具的《关于青岛伟隆阀门股份有限公司智慧节能阀门建设项目环境影响评价文件告知承诺审批的意见》（</w:t>
      </w:r>
      <w:proofErr w:type="gramStart"/>
      <w:r>
        <w:rPr>
          <w:rFonts w:cs="宋体" w:hint="eastAsia"/>
          <w:kern w:val="0"/>
          <w:sz w:val="24"/>
          <w:szCs w:val="24"/>
        </w:rPr>
        <w:t>青环承诺审</w:t>
      </w:r>
      <w:proofErr w:type="gramEnd"/>
      <w:r>
        <w:rPr>
          <w:rFonts w:cs="宋体" w:hint="eastAsia"/>
          <w:kern w:val="0"/>
          <w:sz w:val="24"/>
          <w:szCs w:val="24"/>
        </w:rPr>
        <w:t>（高新）【</w:t>
      </w:r>
      <w:r>
        <w:rPr>
          <w:rFonts w:cs="宋体" w:hint="eastAsia"/>
          <w:kern w:val="0"/>
          <w:sz w:val="24"/>
          <w:szCs w:val="24"/>
        </w:rPr>
        <w:t>2</w:t>
      </w:r>
      <w:r>
        <w:rPr>
          <w:rFonts w:cs="宋体"/>
          <w:kern w:val="0"/>
          <w:sz w:val="24"/>
          <w:szCs w:val="24"/>
        </w:rPr>
        <w:t>023</w:t>
      </w:r>
      <w:r>
        <w:rPr>
          <w:rFonts w:cs="宋体" w:hint="eastAsia"/>
          <w:kern w:val="0"/>
          <w:sz w:val="24"/>
          <w:szCs w:val="24"/>
        </w:rPr>
        <w:t>】</w:t>
      </w:r>
      <w:r>
        <w:rPr>
          <w:rFonts w:cs="宋体" w:hint="eastAsia"/>
          <w:kern w:val="0"/>
          <w:sz w:val="24"/>
          <w:szCs w:val="24"/>
        </w:rPr>
        <w:t>4</w:t>
      </w:r>
      <w:r>
        <w:rPr>
          <w:rFonts w:cs="宋体" w:hint="eastAsia"/>
          <w:kern w:val="0"/>
          <w:sz w:val="24"/>
          <w:szCs w:val="24"/>
        </w:rPr>
        <w:t>号）。</w:t>
      </w:r>
    </w:p>
    <w:p w14:paraId="5357AA0B" w14:textId="77777777" w:rsidR="00116C0B" w:rsidRDefault="00000000">
      <w:pPr>
        <w:widowControl/>
        <w:spacing w:beforeLines="50" w:before="120" w:line="360" w:lineRule="auto"/>
        <w:ind w:firstLineChars="200" w:firstLine="482"/>
        <w:outlineLvl w:val="2"/>
        <w:rPr>
          <w:b/>
          <w:sz w:val="24"/>
          <w:lang w:val="zh-CN"/>
        </w:rPr>
      </w:pPr>
      <w:r>
        <w:rPr>
          <w:rFonts w:hint="eastAsia"/>
          <w:b/>
          <w:sz w:val="24"/>
          <w:lang w:val="zh-CN"/>
        </w:rPr>
        <w:t>（二）补充流动资金</w:t>
      </w:r>
    </w:p>
    <w:p w14:paraId="65233EFC"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1</w:t>
      </w:r>
      <w:r>
        <w:rPr>
          <w:rFonts w:hint="eastAsia"/>
          <w:b/>
          <w:kern w:val="0"/>
          <w:sz w:val="24"/>
          <w:szCs w:val="24"/>
        </w:rPr>
        <w:t>、项目基本情况</w:t>
      </w:r>
    </w:p>
    <w:p w14:paraId="14344555"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公司拟使用不超过</w:t>
      </w:r>
      <w:r>
        <w:rPr>
          <w:rFonts w:cs="宋体" w:hint="eastAsia"/>
          <w:kern w:val="0"/>
          <w:sz w:val="24"/>
          <w:szCs w:val="24"/>
        </w:rPr>
        <w:t>4,383</w:t>
      </w:r>
      <w:r>
        <w:rPr>
          <w:rFonts w:cs="宋体"/>
          <w:kern w:val="0"/>
          <w:sz w:val="24"/>
          <w:szCs w:val="24"/>
        </w:rPr>
        <w:t>.00</w:t>
      </w:r>
      <w:r>
        <w:rPr>
          <w:rFonts w:cs="宋体" w:hint="eastAsia"/>
          <w:kern w:val="0"/>
          <w:sz w:val="24"/>
          <w:szCs w:val="24"/>
        </w:rPr>
        <w:t>万元的募集资金用于补充流动资金，以满足公司未来业务发展以及</w:t>
      </w:r>
      <w:r>
        <w:rPr>
          <w:rFonts w:cs="宋体"/>
          <w:kern w:val="0"/>
          <w:sz w:val="24"/>
          <w:szCs w:val="24"/>
        </w:rPr>
        <w:t>运营的日常资金周转需要</w:t>
      </w:r>
      <w:r>
        <w:rPr>
          <w:rFonts w:cs="宋体" w:hint="eastAsia"/>
          <w:kern w:val="0"/>
          <w:sz w:val="24"/>
          <w:szCs w:val="24"/>
        </w:rPr>
        <w:t>，优化公司资本结构，</w:t>
      </w:r>
      <w:r>
        <w:rPr>
          <w:rFonts w:cs="宋体"/>
          <w:kern w:val="0"/>
          <w:sz w:val="24"/>
          <w:szCs w:val="24"/>
        </w:rPr>
        <w:t>降低财务风险和经营风险</w:t>
      </w:r>
      <w:r>
        <w:rPr>
          <w:rFonts w:cs="宋体" w:hint="eastAsia"/>
          <w:kern w:val="0"/>
          <w:sz w:val="24"/>
          <w:szCs w:val="24"/>
        </w:rPr>
        <w:t>，增强公司资本实力。</w:t>
      </w:r>
    </w:p>
    <w:p w14:paraId="3454840E" w14:textId="77777777" w:rsidR="00116C0B" w:rsidRDefault="00000000">
      <w:pPr>
        <w:widowControl/>
        <w:spacing w:beforeLines="50" w:before="120" w:line="360" w:lineRule="auto"/>
        <w:ind w:firstLine="465"/>
        <w:outlineLvl w:val="3"/>
        <w:rPr>
          <w:b/>
          <w:kern w:val="0"/>
          <w:sz w:val="24"/>
          <w:szCs w:val="24"/>
        </w:rPr>
      </w:pPr>
      <w:r>
        <w:rPr>
          <w:rFonts w:hint="eastAsia"/>
          <w:b/>
          <w:kern w:val="0"/>
          <w:sz w:val="24"/>
          <w:szCs w:val="24"/>
        </w:rPr>
        <w:t>2</w:t>
      </w:r>
      <w:r>
        <w:rPr>
          <w:rFonts w:hint="eastAsia"/>
          <w:b/>
          <w:kern w:val="0"/>
          <w:sz w:val="24"/>
          <w:szCs w:val="24"/>
        </w:rPr>
        <w:t>、项目实施的必要性</w:t>
      </w:r>
    </w:p>
    <w:p w14:paraId="295ACD14"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hint="eastAsia"/>
          <w:kern w:val="0"/>
          <w:sz w:val="24"/>
          <w:szCs w:val="24"/>
        </w:rPr>
        <w:t>1</w:t>
      </w:r>
      <w:r>
        <w:rPr>
          <w:rFonts w:cs="宋体" w:hint="eastAsia"/>
          <w:kern w:val="0"/>
          <w:sz w:val="24"/>
          <w:szCs w:val="24"/>
        </w:rPr>
        <w:t>）满足营运资金需求，助力公司经营发展</w:t>
      </w:r>
    </w:p>
    <w:p w14:paraId="1B7A3064"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近年来，公司经营业绩整体呈现快速增长趋势，随着公司经营规模的扩大，大宗原材料价格不断上涨，对公司主要原材料的采购和成本都造成了一定压力，市场开拓、日常经营等环节对营运资金的需求也将进一步扩大，且随着本次募集资金投资项目的推进实施，公司生产经营的流动资金需求也随之上升。将本次部分募集资金用于补充流动资金可有效满足公司经营规模扩大所带来的新增营运资</w:t>
      </w:r>
      <w:r>
        <w:rPr>
          <w:rFonts w:cs="宋体" w:hint="eastAsia"/>
          <w:kern w:val="0"/>
          <w:sz w:val="24"/>
          <w:szCs w:val="24"/>
        </w:rPr>
        <w:lastRenderedPageBreak/>
        <w:t>金需求，缓解公司资金需求压力，从而集中更多的资源为优势业务的发展提供资金保障。</w:t>
      </w:r>
    </w:p>
    <w:p w14:paraId="399F21AE"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kern w:val="0"/>
          <w:sz w:val="24"/>
          <w:szCs w:val="24"/>
        </w:rPr>
        <w:t>2</w:t>
      </w:r>
      <w:r>
        <w:rPr>
          <w:rFonts w:cs="宋体" w:hint="eastAsia"/>
          <w:kern w:val="0"/>
          <w:sz w:val="24"/>
          <w:szCs w:val="24"/>
        </w:rPr>
        <w:t>）拓宽融资渠道，优化财务结构，增强公司抗风险能力</w:t>
      </w:r>
    </w:p>
    <w:p w14:paraId="28DBD047"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近年来，公司为了满足业务发展的资金需求，除通过经营活动补充流动资金外，主要通过银行借款等外部融资方式筹集资金以满足日常经营之需，致使公司资产负债</w:t>
      </w:r>
      <w:proofErr w:type="gramStart"/>
      <w:r>
        <w:rPr>
          <w:rFonts w:cs="宋体" w:hint="eastAsia"/>
          <w:kern w:val="0"/>
          <w:sz w:val="24"/>
          <w:szCs w:val="24"/>
        </w:rPr>
        <w:t>率整体</w:t>
      </w:r>
      <w:proofErr w:type="gramEnd"/>
      <w:r>
        <w:rPr>
          <w:rFonts w:cs="宋体" w:hint="eastAsia"/>
          <w:kern w:val="0"/>
          <w:sz w:val="24"/>
          <w:szCs w:val="24"/>
        </w:rPr>
        <w:t>有所上涨。将本次部分募集资金用于补充流动资金将有助于公司拓宽融资渠道，优化财务结构，控制经营风险，增强抗风险能力。</w:t>
      </w:r>
    </w:p>
    <w:p w14:paraId="13D1F2E3" w14:textId="77777777" w:rsidR="00116C0B" w:rsidRDefault="00000000">
      <w:pPr>
        <w:widowControl/>
        <w:spacing w:beforeLines="50" w:before="120" w:line="360" w:lineRule="auto"/>
        <w:ind w:firstLine="465"/>
        <w:outlineLvl w:val="3"/>
        <w:rPr>
          <w:b/>
          <w:kern w:val="0"/>
          <w:sz w:val="24"/>
          <w:szCs w:val="24"/>
        </w:rPr>
      </w:pPr>
      <w:r>
        <w:rPr>
          <w:b/>
          <w:kern w:val="0"/>
          <w:sz w:val="24"/>
          <w:szCs w:val="24"/>
        </w:rPr>
        <w:t>3</w:t>
      </w:r>
      <w:r>
        <w:rPr>
          <w:rFonts w:hint="eastAsia"/>
          <w:b/>
          <w:kern w:val="0"/>
          <w:sz w:val="24"/>
          <w:szCs w:val="24"/>
        </w:rPr>
        <w:t>、项目实施的可行性</w:t>
      </w:r>
    </w:p>
    <w:p w14:paraId="785F9FB1"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hint="eastAsia"/>
          <w:kern w:val="0"/>
          <w:sz w:val="24"/>
          <w:szCs w:val="24"/>
        </w:rPr>
        <w:t>1</w:t>
      </w:r>
      <w:r>
        <w:rPr>
          <w:rFonts w:cs="宋体" w:hint="eastAsia"/>
          <w:kern w:val="0"/>
          <w:sz w:val="24"/>
          <w:szCs w:val="24"/>
        </w:rPr>
        <w:t>）</w:t>
      </w:r>
      <w:r>
        <w:rPr>
          <w:rFonts w:cs="宋体"/>
          <w:kern w:val="0"/>
          <w:sz w:val="24"/>
          <w:szCs w:val="24"/>
        </w:rPr>
        <w:t>本次募集资金数额及使用符合相关法律法规和规范性文件规定的条件</w:t>
      </w:r>
    </w:p>
    <w:p w14:paraId="077E301B"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项目募集资金用于补充流动资金符合相关法律法规的规定，具备可行性。募集资金到位后，可进一步改善资本结构，提高公司抗风险能力，有效缓解公司经营活动扩展的资金需求压力，确保公司业务持续、健康、快速发展，符合公司及全体股东利益。</w:t>
      </w:r>
    </w:p>
    <w:p w14:paraId="0F083761"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w:t>
      </w:r>
      <w:r>
        <w:rPr>
          <w:rFonts w:cs="宋体" w:hint="eastAsia"/>
          <w:kern w:val="0"/>
          <w:sz w:val="24"/>
          <w:szCs w:val="24"/>
        </w:rPr>
        <w:t>2</w:t>
      </w:r>
      <w:r>
        <w:rPr>
          <w:rFonts w:cs="宋体" w:hint="eastAsia"/>
          <w:kern w:val="0"/>
          <w:sz w:val="24"/>
          <w:szCs w:val="24"/>
        </w:rPr>
        <w:t>）</w:t>
      </w:r>
      <w:r>
        <w:rPr>
          <w:rFonts w:cs="宋体"/>
          <w:kern w:val="0"/>
          <w:sz w:val="24"/>
          <w:szCs w:val="24"/>
        </w:rPr>
        <w:t>本次发行的发行人治理规范、内控完善</w:t>
      </w:r>
    </w:p>
    <w:p w14:paraId="49414739"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公司已按照上市公司的治理标准建立了以法人治理结构为核心的现代企业制度，并通过不断改进和完善，形成了较为规范的公司治理体系和完善的内部控制环境。在募集资金管理方面，公司按照监管要求建立了《青岛伟隆阀门股份有限公司募集资金管理制度》，对募集资金的存储、使用、投向变更、检查与监督等进行了明确规定。本次发行募集资金到位后，公司董事会将持续监督公司对募集资金的存储及使用，以保证募集资金合理规范使用，防范募集资金使用风险。</w:t>
      </w:r>
    </w:p>
    <w:p w14:paraId="68563E61" w14:textId="77777777" w:rsidR="00116C0B" w:rsidRDefault="00000000">
      <w:pPr>
        <w:pStyle w:val="1"/>
        <w:spacing w:beforeLines="50" w:before="120" w:afterLines="50" w:after="120" w:line="360" w:lineRule="auto"/>
        <w:rPr>
          <w:sz w:val="28"/>
          <w:szCs w:val="28"/>
        </w:rPr>
      </w:pPr>
      <w:bookmarkStart w:id="8" w:name="_Toc35110982"/>
      <w:r>
        <w:rPr>
          <w:rFonts w:hint="eastAsia"/>
          <w:sz w:val="28"/>
          <w:szCs w:val="28"/>
        </w:rPr>
        <w:t>三、本次发行对公司经营管理和财务状况的影响</w:t>
      </w:r>
      <w:bookmarkEnd w:id="8"/>
    </w:p>
    <w:p w14:paraId="4FA405ED" w14:textId="77777777" w:rsidR="00116C0B" w:rsidRDefault="00000000">
      <w:pPr>
        <w:widowControl/>
        <w:spacing w:beforeLines="50" w:before="120" w:line="360" w:lineRule="auto"/>
        <w:ind w:firstLineChars="200" w:firstLine="482"/>
        <w:outlineLvl w:val="2"/>
        <w:rPr>
          <w:b/>
          <w:sz w:val="24"/>
          <w:lang w:val="zh-CN"/>
        </w:rPr>
      </w:pPr>
      <w:bookmarkStart w:id="9" w:name="_Toc1946"/>
      <w:bookmarkStart w:id="10" w:name="_Toc16487"/>
      <w:bookmarkStart w:id="11" w:name="_Toc11305"/>
      <w:bookmarkStart w:id="12" w:name="_Toc6257"/>
      <w:bookmarkStart w:id="13" w:name="_Toc6230"/>
      <w:r>
        <w:rPr>
          <w:rFonts w:hint="eastAsia"/>
          <w:b/>
          <w:sz w:val="24"/>
          <w:lang w:val="zh-CN"/>
        </w:rPr>
        <w:t>（一）本次发行</w:t>
      </w:r>
      <w:proofErr w:type="gramStart"/>
      <w:r>
        <w:rPr>
          <w:rFonts w:hint="eastAsia"/>
          <w:b/>
          <w:sz w:val="24"/>
          <w:lang w:val="zh-CN"/>
        </w:rPr>
        <w:t>可转债对公司</w:t>
      </w:r>
      <w:proofErr w:type="gramEnd"/>
      <w:r>
        <w:rPr>
          <w:rFonts w:hint="eastAsia"/>
          <w:b/>
          <w:sz w:val="24"/>
          <w:lang w:val="zh-CN"/>
        </w:rPr>
        <w:t>经营管理的影响</w:t>
      </w:r>
      <w:bookmarkEnd w:id="9"/>
      <w:bookmarkEnd w:id="10"/>
      <w:bookmarkEnd w:id="11"/>
      <w:bookmarkEnd w:id="12"/>
      <w:bookmarkEnd w:id="13"/>
    </w:p>
    <w:p w14:paraId="62842425"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本次发行</w:t>
      </w:r>
      <w:proofErr w:type="gramStart"/>
      <w:r>
        <w:rPr>
          <w:rFonts w:cs="宋体" w:hint="eastAsia"/>
          <w:kern w:val="0"/>
          <w:sz w:val="24"/>
          <w:szCs w:val="24"/>
        </w:rPr>
        <w:t>募投项目</w:t>
      </w:r>
      <w:proofErr w:type="gramEnd"/>
      <w:r>
        <w:rPr>
          <w:rFonts w:cs="宋体" w:hint="eastAsia"/>
          <w:kern w:val="0"/>
          <w:sz w:val="24"/>
          <w:szCs w:val="24"/>
        </w:rPr>
        <w:t>符合国家相关的产业政策以及公司整体战略发展方向，具有良好的市场发展前景和经济效益。本项目实施后公司主营业务的产能将得到进一步释放，为公司进一步提升自身竞争优势、强化市场地位奠定基础。本次募集资金有利于公司向市场提供更具竞争力和综合性的产品及服务，有利于提升资本</w:t>
      </w:r>
      <w:r>
        <w:rPr>
          <w:rFonts w:cs="宋体" w:hint="eastAsia"/>
          <w:kern w:val="0"/>
          <w:sz w:val="24"/>
          <w:szCs w:val="24"/>
        </w:rPr>
        <w:lastRenderedPageBreak/>
        <w:t>实力和抗风险能力，进一步提升公司的整体竞争实力，符合公司长期发展需求及</w:t>
      </w:r>
      <w:r>
        <w:rPr>
          <w:rFonts w:cs="宋体"/>
          <w:kern w:val="0"/>
          <w:sz w:val="24"/>
          <w:szCs w:val="24"/>
        </w:rPr>
        <w:t>全体股东的</w:t>
      </w:r>
      <w:r>
        <w:rPr>
          <w:rFonts w:cs="宋体" w:hint="eastAsia"/>
          <w:kern w:val="0"/>
          <w:sz w:val="24"/>
          <w:szCs w:val="24"/>
        </w:rPr>
        <w:t>利益。</w:t>
      </w:r>
    </w:p>
    <w:p w14:paraId="026B917D" w14:textId="77777777" w:rsidR="00116C0B" w:rsidRDefault="00000000">
      <w:pPr>
        <w:widowControl/>
        <w:spacing w:beforeLines="50" w:before="120" w:line="360" w:lineRule="auto"/>
        <w:ind w:firstLineChars="200" w:firstLine="482"/>
        <w:outlineLvl w:val="2"/>
        <w:rPr>
          <w:b/>
          <w:sz w:val="24"/>
          <w:lang w:val="zh-CN"/>
        </w:rPr>
      </w:pPr>
      <w:bookmarkStart w:id="14" w:name="_Toc32148"/>
      <w:bookmarkStart w:id="15" w:name="_Toc6376"/>
      <w:bookmarkStart w:id="16" w:name="_Toc3528"/>
      <w:bookmarkStart w:id="17" w:name="_Toc25464"/>
      <w:bookmarkStart w:id="18" w:name="_Toc12833"/>
      <w:r>
        <w:rPr>
          <w:rFonts w:hint="eastAsia"/>
          <w:b/>
          <w:sz w:val="24"/>
          <w:lang w:val="zh-CN"/>
        </w:rPr>
        <w:t>（二）本次发行</w:t>
      </w:r>
      <w:proofErr w:type="gramStart"/>
      <w:r>
        <w:rPr>
          <w:rFonts w:hint="eastAsia"/>
          <w:b/>
          <w:sz w:val="24"/>
          <w:lang w:val="zh-CN"/>
        </w:rPr>
        <w:t>可转债对公司</w:t>
      </w:r>
      <w:proofErr w:type="gramEnd"/>
      <w:r>
        <w:rPr>
          <w:rFonts w:hint="eastAsia"/>
          <w:b/>
          <w:sz w:val="24"/>
          <w:lang w:val="zh-CN"/>
        </w:rPr>
        <w:t>财务状况的影响</w:t>
      </w:r>
      <w:bookmarkEnd w:id="14"/>
      <w:bookmarkEnd w:id="15"/>
      <w:bookmarkEnd w:id="16"/>
      <w:bookmarkEnd w:id="17"/>
      <w:bookmarkEnd w:id="18"/>
    </w:p>
    <w:p w14:paraId="73B9070E" w14:textId="77777777" w:rsidR="00116C0B" w:rsidRDefault="00000000">
      <w:pPr>
        <w:widowControl/>
        <w:spacing w:beforeLines="50" w:before="120" w:line="360" w:lineRule="auto"/>
        <w:ind w:firstLineChars="200" w:firstLine="480"/>
        <w:rPr>
          <w:rFonts w:cs="宋体"/>
          <w:kern w:val="0"/>
          <w:sz w:val="24"/>
          <w:szCs w:val="24"/>
        </w:rPr>
      </w:pPr>
      <w:r>
        <w:rPr>
          <w:rFonts w:cs="宋体" w:hint="eastAsia"/>
          <w:kern w:val="0"/>
          <w:sz w:val="24"/>
          <w:szCs w:val="24"/>
        </w:rPr>
        <w:t>本次发行将进一步扩大公司的资产规模，如本次发行的可转</w:t>
      </w:r>
      <w:proofErr w:type="gramStart"/>
      <w:r>
        <w:rPr>
          <w:rFonts w:cs="宋体" w:hint="eastAsia"/>
          <w:kern w:val="0"/>
          <w:sz w:val="24"/>
          <w:szCs w:val="24"/>
        </w:rPr>
        <w:t>债逐渐</w:t>
      </w:r>
      <w:proofErr w:type="gramEnd"/>
      <w:r>
        <w:rPr>
          <w:rFonts w:cs="宋体" w:hint="eastAsia"/>
          <w:kern w:val="0"/>
          <w:sz w:val="24"/>
          <w:szCs w:val="24"/>
        </w:rPr>
        <w:t>转股，公司的资产负债率将逐步降低，净资产提高，财务结构进一步优化，抗风险能力将得到提升。</w:t>
      </w:r>
    </w:p>
    <w:p w14:paraId="1C508918" w14:textId="77777777" w:rsidR="00116C0B" w:rsidRDefault="00000000">
      <w:pPr>
        <w:widowControl/>
        <w:spacing w:beforeLines="50" w:before="120" w:line="360" w:lineRule="auto"/>
        <w:ind w:firstLineChars="200" w:firstLine="480"/>
        <w:rPr>
          <w:rFonts w:cs="宋体"/>
          <w:kern w:val="0"/>
          <w:sz w:val="24"/>
          <w:szCs w:val="24"/>
        </w:rPr>
      </w:pPr>
      <w:proofErr w:type="gramStart"/>
      <w:r>
        <w:rPr>
          <w:rFonts w:cs="宋体" w:hint="eastAsia"/>
          <w:kern w:val="0"/>
          <w:sz w:val="24"/>
          <w:szCs w:val="24"/>
        </w:rPr>
        <w:t>募投项目</w:t>
      </w:r>
      <w:proofErr w:type="gramEnd"/>
      <w:r>
        <w:rPr>
          <w:rFonts w:cs="宋体" w:hint="eastAsia"/>
          <w:kern w:val="0"/>
          <w:sz w:val="24"/>
          <w:szCs w:val="24"/>
        </w:rPr>
        <w:t>产生效益需要一定的过程和时间，若本次发行的可转债转股较快，</w:t>
      </w:r>
      <w:proofErr w:type="gramStart"/>
      <w:r>
        <w:rPr>
          <w:rFonts w:cs="宋体" w:hint="eastAsia"/>
          <w:kern w:val="0"/>
          <w:sz w:val="24"/>
          <w:szCs w:val="24"/>
        </w:rPr>
        <w:t>募投项目</w:t>
      </w:r>
      <w:proofErr w:type="gramEnd"/>
      <w:r>
        <w:rPr>
          <w:rFonts w:cs="宋体" w:hint="eastAsia"/>
          <w:kern w:val="0"/>
          <w:sz w:val="24"/>
          <w:szCs w:val="24"/>
        </w:rPr>
        <w:t>效益尚未完全实现，则可能出现每股收益等财务指标在短期内小幅下滑的情况。但是，随着本次募集资金投资项目的有序开展，公司的发展战略将得以有效实施，公司未来的盈利能力、经营业绩将会得到提升。</w:t>
      </w:r>
    </w:p>
    <w:p w14:paraId="58A82294" w14:textId="77777777" w:rsidR="00116C0B" w:rsidRDefault="00116C0B">
      <w:pPr>
        <w:adjustRightInd w:val="0"/>
        <w:spacing w:beforeLines="50" w:before="120" w:line="360" w:lineRule="auto"/>
        <w:ind w:firstLineChars="200" w:firstLine="480"/>
        <w:rPr>
          <w:sz w:val="24"/>
          <w:szCs w:val="24"/>
        </w:rPr>
      </w:pPr>
    </w:p>
    <w:p w14:paraId="45435ED5" w14:textId="77777777" w:rsidR="00116C0B" w:rsidRDefault="00000000">
      <w:pPr>
        <w:widowControl/>
        <w:spacing w:beforeLines="50" w:before="120" w:line="360" w:lineRule="auto"/>
        <w:ind w:firstLineChars="200" w:firstLine="480"/>
        <w:jc w:val="right"/>
        <w:rPr>
          <w:rFonts w:cs="宋体"/>
          <w:kern w:val="0"/>
          <w:sz w:val="24"/>
          <w:szCs w:val="24"/>
        </w:rPr>
      </w:pPr>
      <w:r>
        <w:rPr>
          <w:rFonts w:cs="宋体" w:hint="eastAsia"/>
          <w:kern w:val="0"/>
          <w:sz w:val="24"/>
          <w:szCs w:val="24"/>
        </w:rPr>
        <w:t>青岛伟隆阀门股份有限公司董事会</w:t>
      </w:r>
    </w:p>
    <w:p w14:paraId="4499EDC4" w14:textId="77777777" w:rsidR="00A8495E" w:rsidRDefault="00000000">
      <w:pPr>
        <w:widowControl/>
        <w:spacing w:beforeLines="50" w:before="120" w:line="360" w:lineRule="auto"/>
        <w:ind w:firstLineChars="200" w:firstLine="480"/>
        <w:jc w:val="right"/>
        <w:rPr>
          <w:sz w:val="24"/>
          <w:szCs w:val="24"/>
        </w:rPr>
      </w:pPr>
      <w:r>
        <w:rPr>
          <w:rFonts w:cs="宋体" w:hint="eastAsia"/>
          <w:kern w:val="0"/>
          <w:sz w:val="24"/>
          <w:szCs w:val="24"/>
        </w:rPr>
        <w:t>2023</w:t>
      </w:r>
      <w:r>
        <w:rPr>
          <w:rFonts w:cs="宋体" w:hint="eastAsia"/>
          <w:kern w:val="0"/>
          <w:sz w:val="24"/>
          <w:szCs w:val="24"/>
        </w:rPr>
        <w:t>年</w:t>
      </w:r>
      <w:r>
        <w:rPr>
          <w:rFonts w:cs="宋体"/>
          <w:kern w:val="0"/>
          <w:sz w:val="24"/>
          <w:szCs w:val="24"/>
        </w:rPr>
        <w:t>12</w:t>
      </w:r>
      <w:r>
        <w:rPr>
          <w:rFonts w:cs="宋体" w:hint="eastAsia"/>
          <w:kern w:val="0"/>
          <w:sz w:val="24"/>
          <w:szCs w:val="24"/>
        </w:rPr>
        <w:t>月</w:t>
      </w:r>
      <w:r>
        <w:rPr>
          <w:rFonts w:cs="宋体" w:hint="eastAsia"/>
          <w:kern w:val="0"/>
          <w:sz w:val="24"/>
          <w:szCs w:val="24"/>
        </w:rPr>
        <w:t>29</w:t>
      </w:r>
      <w:r>
        <w:rPr>
          <w:rFonts w:cs="宋体" w:hint="eastAsia"/>
          <w:kern w:val="0"/>
          <w:sz w:val="24"/>
          <w:szCs w:val="24"/>
        </w:rPr>
        <w:t>日</w:t>
      </w:r>
    </w:p>
    <w:sectPr w:rsidR="00A8495E">
      <w:footerReference w:type="default" r:id="rId8"/>
      <w:pgSz w:w="11920" w:h="16860"/>
      <w:pgMar w:top="1540" w:right="1680" w:bottom="1160" w:left="1680" w:header="0" w:footer="77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C2D4" w14:textId="77777777" w:rsidR="009A6056" w:rsidRDefault="009A6056">
      <w:r>
        <w:separator/>
      </w:r>
    </w:p>
  </w:endnote>
  <w:endnote w:type="continuationSeparator" w:id="0">
    <w:p w14:paraId="29A39423" w14:textId="77777777" w:rsidR="009A6056" w:rsidRDefault="009A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BF05" w14:textId="77777777" w:rsidR="00116C0B" w:rsidRDefault="00000000">
    <w:pPr>
      <w:pStyle w:val="ac"/>
      <w:jc w:val="center"/>
    </w:pPr>
    <w:r>
      <w:rPr>
        <w:sz w:val="21"/>
        <w:szCs w:val="21"/>
      </w:rPr>
      <w:fldChar w:fldCharType="begin"/>
    </w:r>
    <w:r>
      <w:rPr>
        <w:sz w:val="21"/>
        <w:szCs w:val="21"/>
      </w:rPr>
      <w:instrText>PAGE   \* MERGEFORMAT</w:instrText>
    </w:r>
    <w:r>
      <w:rPr>
        <w:sz w:val="21"/>
        <w:szCs w:val="21"/>
      </w:rPr>
      <w:fldChar w:fldCharType="separate"/>
    </w:r>
    <w:r>
      <w:rPr>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F6EB" w14:textId="77777777" w:rsidR="009A6056" w:rsidRDefault="009A6056">
      <w:r>
        <w:separator/>
      </w:r>
    </w:p>
  </w:footnote>
  <w:footnote w:type="continuationSeparator" w:id="0">
    <w:p w14:paraId="1E90F3B3" w14:textId="77777777" w:rsidR="009A6056" w:rsidRDefault="009A60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czMDk0NGNiYTAzMzJiY2IzNjYyZDU0Y2MzYzFhYWIifQ=="/>
  </w:docVars>
  <w:rsids>
    <w:rsidRoot w:val="000F4F54"/>
    <w:rsid w:val="00000D95"/>
    <w:rsid w:val="0000166F"/>
    <w:rsid w:val="00001CC5"/>
    <w:rsid w:val="000021A2"/>
    <w:rsid w:val="000023BA"/>
    <w:rsid w:val="00003292"/>
    <w:rsid w:val="000035E9"/>
    <w:rsid w:val="000039AA"/>
    <w:rsid w:val="00003C8A"/>
    <w:rsid w:val="000044C2"/>
    <w:rsid w:val="0000485B"/>
    <w:rsid w:val="0000791B"/>
    <w:rsid w:val="000113EE"/>
    <w:rsid w:val="00011C65"/>
    <w:rsid w:val="0001615A"/>
    <w:rsid w:val="000163E8"/>
    <w:rsid w:val="00016E67"/>
    <w:rsid w:val="00016EA6"/>
    <w:rsid w:val="00017307"/>
    <w:rsid w:val="0001760F"/>
    <w:rsid w:val="0002030A"/>
    <w:rsid w:val="000206CB"/>
    <w:rsid w:val="00021510"/>
    <w:rsid w:val="00022239"/>
    <w:rsid w:val="00022870"/>
    <w:rsid w:val="00022B2A"/>
    <w:rsid w:val="000237BB"/>
    <w:rsid w:val="000239C5"/>
    <w:rsid w:val="0002456F"/>
    <w:rsid w:val="000257D6"/>
    <w:rsid w:val="00026F8F"/>
    <w:rsid w:val="00027959"/>
    <w:rsid w:val="00031531"/>
    <w:rsid w:val="00031EEE"/>
    <w:rsid w:val="0003258B"/>
    <w:rsid w:val="00033140"/>
    <w:rsid w:val="00033626"/>
    <w:rsid w:val="00033AFC"/>
    <w:rsid w:val="00033CB5"/>
    <w:rsid w:val="00034012"/>
    <w:rsid w:val="00034175"/>
    <w:rsid w:val="000341B3"/>
    <w:rsid w:val="000355CB"/>
    <w:rsid w:val="00041BCE"/>
    <w:rsid w:val="0004216A"/>
    <w:rsid w:val="0004271A"/>
    <w:rsid w:val="00043991"/>
    <w:rsid w:val="00043CE3"/>
    <w:rsid w:val="00044D06"/>
    <w:rsid w:val="000461A5"/>
    <w:rsid w:val="00046291"/>
    <w:rsid w:val="000468D6"/>
    <w:rsid w:val="00046AA9"/>
    <w:rsid w:val="00047CB4"/>
    <w:rsid w:val="00047F52"/>
    <w:rsid w:val="00050C75"/>
    <w:rsid w:val="0005458D"/>
    <w:rsid w:val="0005743D"/>
    <w:rsid w:val="0006141A"/>
    <w:rsid w:val="0006160C"/>
    <w:rsid w:val="00064B20"/>
    <w:rsid w:val="00065604"/>
    <w:rsid w:val="0006574D"/>
    <w:rsid w:val="000700C6"/>
    <w:rsid w:val="00071DD0"/>
    <w:rsid w:val="00072225"/>
    <w:rsid w:val="00072D45"/>
    <w:rsid w:val="0007339E"/>
    <w:rsid w:val="00073E37"/>
    <w:rsid w:val="0007459A"/>
    <w:rsid w:val="0007467C"/>
    <w:rsid w:val="000756BE"/>
    <w:rsid w:val="000759DB"/>
    <w:rsid w:val="000764F6"/>
    <w:rsid w:val="00076DD7"/>
    <w:rsid w:val="00077D8F"/>
    <w:rsid w:val="000807A5"/>
    <w:rsid w:val="00080BC0"/>
    <w:rsid w:val="0008105C"/>
    <w:rsid w:val="0008263B"/>
    <w:rsid w:val="00082B2E"/>
    <w:rsid w:val="00082D5A"/>
    <w:rsid w:val="00082E8E"/>
    <w:rsid w:val="00083018"/>
    <w:rsid w:val="0008340F"/>
    <w:rsid w:val="00083C1A"/>
    <w:rsid w:val="000849DA"/>
    <w:rsid w:val="0008542A"/>
    <w:rsid w:val="00086F31"/>
    <w:rsid w:val="00087391"/>
    <w:rsid w:val="0009280D"/>
    <w:rsid w:val="000932BA"/>
    <w:rsid w:val="0009555E"/>
    <w:rsid w:val="00095E97"/>
    <w:rsid w:val="00095F24"/>
    <w:rsid w:val="00096E8D"/>
    <w:rsid w:val="00096F38"/>
    <w:rsid w:val="00097675"/>
    <w:rsid w:val="000A08E8"/>
    <w:rsid w:val="000A29ED"/>
    <w:rsid w:val="000A3799"/>
    <w:rsid w:val="000A7505"/>
    <w:rsid w:val="000A7E9D"/>
    <w:rsid w:val="000B007F"/>
    <w:rsid w:val="000B0EC7"/>
    <w:rsid w:val="000B1CC2"/>
    <w:rsid w:val="000B1EC6"/>
    <w:rsid w:val="000B3582"/>
    <w:rsid w:val="000B3F1C"/>
    <w:rsid w:val="000B46BC"/>
    <w:rsid w:val="000B4EF2"/>
    <w:rsid w:val="000B5347"/>
    <w:rsid w:val="000B61E9"/>
    <w:rsid w:val="000B7A34"/>
    <w:rsid w:val="000B7D47"/>
    <w:rsid w:val="000C0E28"/>
    <w:rsid w:val="000C1DE0"/>
    <w:rsid w:val="000C315B"/>
    <w:rsid w:val="000C31A3"/>
    <w:rsid w:val="000C331A"/>
    <w:rsid w:val="000C4F4C"/>
    <w:rsid w:val="000C65DF"/>
    <w:rsid w:val="000C751F"/>
    <w:rsid w:val="000D03A6"/>
    <w:rsid w:val="000D07B7"/>
    <w:rsid w:val="000D0A73"/>
    <w:rsid w:val="000D17E0"/>
    <w:rsid w:val="000D1A0C"/>
    <w:rsid w:val="000D448C"/>
    <w:rsid w:val="000D4CEA"/>
    <w:rsid w:val="000D5212"/>
    <w:rsid w:val="000D67C1"/>
    <w:rsid w:val="000D7259"/>
    <w:rsid w:val="000E023E"/>
    <w:rsid w:val="000E0506"/>
    <w:rsid w:val="000E176B"/>
    <w:rsid w:val="000E2330"/>
    <w:rsid w:val="000E24D8"/>
    <w:rsid w:val="000E33EB"/>
    <w:rsid w:val="000E42FA"/>
    <w:rsid w:val="000E5B86"/>
    <w:rsid w:val="000E5BCD"/>
    <w:rsid w:val="000E5F43"/>
    <w:rsid w:val="000E62AF"/>
    <w:rsid w:val="000E7BD6"/>
    <w:rsid w:val="000F0376"/>
    <w:rsid w:val="000F182F"/>
    <w:rsid w:val="000F218F"/>
    <w:rsid w:val="000F47A9"/>
    <w:rsid w:val="000F4F54"/>
    <w:rsid w:val="000F50D1"/>
    <w:rsid w:val="000F6102"/>
    <w:rsid w:val="000F7695"/>
    <w:rsid w:val="001001DC"/>
    <w:rsid w:val="001011A1"/>
    <w:rsid w:val="00101985"/>
    <w:rsid w:val="00102E8E"/>
    <w:rsid w:val="00105430"/>
    <w:rsid w:val="00105773"/>
    <w:rsid w:val="00106B36"/>
    <w:rsid w:val="001078BC"/>
    <w:rsid w:val="001105C0"/>
    <w:rsid w:val="00111A96"/>
    <w:rsid w:val="0011375F"/>
    <w:rsid w:val="00115B56"/>
    <w:rsid w:val="00116C0B"/>
    <w:rsid w:val="0012029C"/>
    <w:rsid w:val="001218A3"/>
    <w:rsid w:val="00123FEB"/>
    <w:rsid w:val="00124E12"/>
    <w:rsid w:val="001257AD"/>
    <w:rsid w:val="00125E56"/>
    <w:rsid w:val="00126619"/>
    <w:rsid w:val="00127C1E"/>
    <w:rsid w:val="001310A6"/>
    <w:rsid w:val="001312CA"/>
    <w:rsid w:val="001322F3"/>
    <w:rsid w:val="00133588"/>
    <w:rsid w:val="001341C4"/>
    <w:rsid w:val="00135641"/>
    <w:rsid w:val="00136687"/>
    <w:rsid w:val="001418F1"/>
    <w:rsid w:val="00143BE0"/>
    <w:rsid w:val="00144B25"/>
    <w:rsid w:val="0014698B"/>
    <w:rsid w:val="001475C3"/>
    <w:rsid w:val="00150629"/>
    <w:rsid w:val="00150701"/>
    <w:rsid w:val="0015096A"/>
    <w:rsid w:val="0015111E"/>
    <w:rsid w:val="00151A86"/>
    <w:rsid w:val="00153064"/>
    <w:rsid w:val="0015331A"/>
    <w:rsid w:val="00153F11"/>
    <w:rsid w:val="00155080"/>
    <w:rsid w:val="001571FB"/>
    <w:rsid w:val="001576DA"/>
    <w:rsid w:val="001578A1"/>
    <w:rsid w:val="00160B16"/>
    <w:rsid w:val="00160C9B"/>
    <w:rsid w:val="00161BF2"/>
    <w:rsid w:val="00161D68"/>
    <w:rsid w:val="00162518"/>
    <w:rsid w:val="001642BD"/>
    <w:rsid w:val="0016465A"/>
    <w:rsid w:val="0016470D"/>
    <w:rsid w:val="00164B37"/>
    <w:rsid w:val="00165939"/>
    <w:rsid w:val="001673F6"/>
    <w:rsid w:val="00167A4E"/>
    <w:rsid w:val="0017125B"/>
    <w:rsid w:val="00171E96"/>
    <w:rsid w:val="001729AD"/>
    <w:rsid w:val="0017467B"/>
    <w:rsid w:val="0017500B"/>
    <w:rsid w:val="00176222"/>
    <w:rsid w:val="0017790D"/>
    <w:rsid w:val="00180AEA"/>
    <w:rsid w:val="00182197"/>
    <w:rsid w:val="00185427"/>
    <w:rsid w:val="00187469"/>
    <w:rsid w:val="00191940"/>
    <w:rsid w:val="00191D7F"/>
    <w:rsid w:val="00191ED9"/>
    <w:rsid w:val="00192BB5"/>
    <w:rsid w:val="00192FB7"/>
    <w:rsid w:val="00193B0D"/>
    <w:rsid w:val="001940A8"/>
    <w:rsid w:val="001949A6"/>
    <w:rsid w:val="0019534D"/>
    <w:rsid w:val="001964F2"/>
    <w:rsid w:val="001A0A08"/>
    <w:rsid w:val="001A1675"/>
    <w:rsid w:val="001A1ACA"/>
    <w:rsid w:val="001A37FD"/>
    <w:rsid w:val="001A4610"/>
    <w:rsid w:val="001A52BC"/>
    <w:rsid w:val="001A552D"/>
    <w:rsid w:val="001A6D19"/>
    <w:rsid w:val="001B0A34"/>
    <w:rsid w:val="001B2187"/>
    <w:rsid w:val="001B21A1"/>
    <w:rsid w:val="001B2683"/>
    <w:rsid w:val="001B6E63"/>
    <w:rsid w:val="001B7184"/>
    <w:rsid w:val="001C0E91"/>
    <w:rsid w:val="001C2467"/>
    <w:rsid w:val="001C27A0"/>
    <w:rsid w:val="001C3A28"/>
    <w:rsid w:val="001C3AE3"/>
    <w:rsid w:val="001C57BE"/>
    <w:rsid w:val="001C6039"/>
    <w:rsid w:val="001C65A7"/>
    <w:rsid w:val="001C6794"/>
    <w:rsid w:val="001C6F01"/>
    <w:rsid w:val="001C737B"/>
    <w:rsid w:val="001D03B8"/>
    <w:rsid w:val="001D1825"/>
    <w:rsid w:val="001D23C8"/>
    <w:rsid w:val="001D41DA"/>
    <w:rsid w:val="001D577F"/>
    <w:rsid w:val="001D661B"/>
    <w:rsid w:val="001D6730"/>
    <w:rsid w:val="001E0E09"/>
    <w:rsid w:val="001E10D1"/>
    <w:rsid w:val="001E1180"/>
    <w:rsid w:val="001E1C06"/>
    <w:rsid w:val="001E1E0B"/>
    <w:rsid w:val="001E2023"/>
    <w:rsid w:val="001E2E1A"/>
    <w:rsid w:val="001E4A9F"/>
    <w:rsid w:val="001E6731"/>
    <w:rsid w:val="001E73FD"/>
    <w:rsid w:val="001E7C84"/>
    <w:rsid w:val="001F2042"/>
    <w:rsid w:val="001F2559"/>
    <w:rsid w:val="001F34D1"/>
    <w:rsid w:val="001F44E0"/>
    <w:rsid w:val="001F4CA6"/>
    <w:rsid w:val="001F5254"/>
    <w:rsid w:val="001F55A8"/>
    <w:rsid w:val="001F56D4"/>
    <w:rsid w:val="001F5E7D"/>
    <w:rsid w:val="001F705F"/>
    <w:rsid w:val="00200E9F"/>
    <w:rsid w:val="00201533"/>
    <w:rsid w:val="00202748"/>
    <w:rsid w:val="0020371E"/>
    <w:rsid w:val="00204639"/>
    <w:rsid w:val="00205FBB"/>
    <w:rsid w:val="002074B5"/>
    <w:rsid w:val="00207639"/>
    <w:rsid w:val="002077B4"/>
    <w:rsid w:val="00212071"/>
    <w:rsid w:val="0021242D"/>
    <w:rsid w:val="00212772"/>
    <w:rsid w:val="00213EB8"/>
    <w:rsid w:val="00214B26"/>
    <w:rsid w:val="00215155"/>
    <w:rsid w:val="0021546E"/>
    <w:rsid w:val="00221293"/>
    <w:rsid w:val="00222208"/>
    <w:rsid w:val="002224EC"/>
    <w:rsid w:val="00222E72"/>
    <w:rsid w:val="00223C01"/>
    <w:rsid w:val="002245BF"/>
    <w:rsid w:val="00224C07"/>
    <w:rsid w:val="00225BE4"/>
    <w:rsid w:val="00225FA7"/>
    <w:rsid w:val="00226681"/>
    <w:rsid w:val="00227922"/>
    <w:rsid w:val="00230484"/>
    <w:rsid w:val="0023072F"/>
    <w:rsid w:val="00231575"/>
    <w:rsid w:val="002315DA"/>
    <w:rsid w:val="0023293F"/>
    <w:rsid w:val="00233711"/>
    <w:rsid w:val="00235011"/>
    <w:rsid w:val="00235DB0"/>
    <w:rsid w:val="00236A38"/>
    <w:rsid w:val="00237BC6"/>
    <w:rsid w:val="002412FF"/>
    <w:rsid w:val="00243DF2"/>
    <w:rsid w:val="0024404A"/>
    <w:rsid w:val="00244E05"/>
    <w:rsid w:val="00245692"/>
    <w:rsid w:val="0024651C"/>
    <w:rsid w:val="00246551"/>
    <w:rsid w:val="002500AE"/>
    <w:rsid w:val="00250AFA"/>
    <w:rsid w:val="00253678"/>
    <w:rsid w:val="002537A3"/>
    <w:rsid w:val="0025388E"/>
    <w:rsid w:val="002543D8"/>
    <w:rsid w:val="00255300"/>
    <w:rsid w:val="00255321"/>
    <w:rsid w:val="00255707"/>
    <w:rsid w:val="0025688E"/>
    <w:rsid w:val="00256DA7"/>
    <w:rsid w:val="00257453"/>
    <w:rsid w:val="002617B3"/>
    <w:rsid w:val="00262A51"/>
    <w:rsid w:val="00262CDA"/>
    <w:rsid w:val="0026567E"/>
    <w:rsid w:val="00265C72"/>
    <w:rsid w:val="00266F2C"/>
    <w:rsid w:val="002671C0"/>
    <w:rsid w:val="00272757"/>
    <w:rsid w:val="00273268"/>
    <w:rsid w:val="00273A4C"/>
    <w:rsid w:val="00275719"/>
    <w:rsid w:val="00276233"/>
    <w:rsid w:val="002801F5"/>
    <w:rsid w:val="00281B9F"/>
    <w:rsid w:val="00282560"/>
    <w:rsid w:val="0028328A"/>
    <w:rsid w:val="00283723"/>
    <w:rsid w:val="00284077"/>
    <w:rsid w:val="002858F0"/>
    <w:rsid w:val="00286F64"/>
    <w:rsid w:val="002875E6"/>
    <w:rsid w:val="002878A3"/>
    <w:rsid w:val="002878A6"/>
    <w:rsid w:val="00291282"/>
    <w:rsid w:val="0029171E"/>
    <w:rsid w:val="0029345E"/>
    <w:rsid w:val="002935B2"/>
    <w:rsid w:val="00293F47"/>
    <w:rsid w:val="00294679"/>
    <w:rsid w:val="00294E98"/>
    <w:rsid w:val="0029507D"/>
    <w:rsid w:val="0029775A"/>
    <w:rsid w:val="002A030C"/>
    <w:rsid w:val="002A0F7D"/>
    <w:rsid w:val="002A105E"/>
    <w:rsid w:val="002A1F79"/>
    <w:rsid w:val="002A20C6"/>
    <w:rsid w:val="002A2484"/>
    <w:rsid w:val="002A2B8C"/>
    <w:rsid w:val="002A470B"/>
    <w:rsid w:val="002A591C"/>
    <w:rsid w:val="002A5C41"/>
    <w:rsid w:val="002A6C7E"/>
    <w:rsid w:val="002A6FC6"/>
    <w:rsid w:val="002B0729"/>
    <w:rsid w:val="002B1AC6"/>
    <w:rsid w:val="002B2270"/>
    <w:rsid w:val="002B3BA4"/>
    <w:rsid w:val="002B3EED"/>
    <w:rsid w:val="002B6047"/>
    <w:rsid w:val="002B7E06"/>
    <w:rsid w:val="002C01A0"/>
    <w:rsid w:val="002C35A6"/>
    <w:rsid w:val="002C3C12"/>
    <w:rsid w:val="002C5F00"/>
    <w:rsid w:val="002C63F3"/>
    <w:rsid w:val="002C6F69"/>
    <w:rsid w:val="002C7788"/>
    <w:rsid w:val="002D1C35"/>
    <w:rsid w:val="002D4C97"/>
    <w:rsid w:val="002D503D"/>
    <w:rsid w:val="002D50CF"/>
    <w:rsid w:val="002D5387"/>
    <w:rsid w:val="002D53A9"/>
    <w:rsid w:val="002E06A9"/>
    <w:rsid w:val="002E1567"/>
    <w:rsid w:val="002E1BA4"/>
    <w:rsid w:val="002E1C94"/>
    <w:rsid w:val="002E2AA1"/>
    <w:rsid w:val="002E36CC"/>
    <w:rsid w:val="002E3820"/>
    <w:rsid w:val="002E3A05"/>
    <w:rsid w:val="002E3F15"/>
    <w:rsid w:val="002E5DF5"/>
    <w:rsid w:val="002E5F0B"/>
    <w:rsid w:val="002E6C65"/>
    <w:rsid w:val="002F246B"/>
    <w:rsid w:val="002F28BE"/>
    <w:rsid w:val="002F297C"/>
    <w:rsid w:val="002F2C03"/>
    <w:rsid w:val="002F557C"/>
    <w:rsid w:val="002F586E"/>
    <w:rsid w:val="002F5F63"/>
    <w:rsid w:val="002F6036"/>
    <w:rsid w:val="002F7060"/>
    <w:rsid w:val="002F7912"/>
    <w:rsid w:val="00300745"/>
    <w:rsid w:val="00301AF6"/>
    <w:rsid w:val="00302CF0"/>
    <w:rsid w:val="00302CF4"/>
    <w:rsid w:val="00302F87"/>
    <w:rsid w:val="00303E36"/>
    <w:rsid w:val="003059B4"/>
    <w:rsid w:val="00310508"/>
    <w:rsid w:val="00313476"/>
    <w:rsid w:val="00314333"/>
    <w:rsid w:val="0031581D"/>
    <w:rsid w:val="00315CA7"/>
    <w:rsid w:val="00317783"/>
    <w:rsid w:val="00320491"/>
    <w:rsid w:val="00322258"/>
    <w:rsid w:val="003225DC"/>
    <w:rsid w:val="00323D3D"/>
    <w:rsid w:val="00323D7B"/>
    <w:rsid w:val="003240EA"/>
    <w:rsid w:val="0032510F"/>
    <w:rsid w:val="003265C5"/>
    <w:rsid w:val="00327510"/>
    <w:rsid w:val="00330A8D"/>
    <w:rsid w:val="00331385"/>
    <w:rsid w:val="00333E5C"/>
    <w:rsid w:val="003357E1"/>
    <w:rsid w:val="003360BA"/>
    <w:rsid w:val="003379BD"/>
    <w:rsid w:val="00340B91"/>
    <w:rsid w:val="003412A6"/>
    <w:rsid w:val="00345F9F"/>
    <w:rsid w:val="0034691A"/>
    <w:rsid w:val="00347AA6"/>
    <w:rsid w:val="003500B6"/>
    <w:rsid w:val="0035011D"/>
    <w:rsid w:val="003505A2"/>
    <w:rsid w:val="003508D7"/>
    <w:rsid w:val="00350E9E"/>
    <w:rsid w:val="00351AB7"/>
    <w:rsid w:val="00352CB3"/>
    <w:rsid w:val="00353AB9"/>
    <w:rsid w:val="00354B7B"/>
    <w:rsid w:val="00354EED"/>
    <w:rsid w:val="00355787"/>
    <w:rsid w:val="00356A8E"/>
    <w:rsid w:val="003578B6"/>
    <w:rsid w:val="00360BAD"/>
    <w:rsid w:val="00360C8C"/>
    <w:rsid w:val="00362E91"/>
    <w:rsid w:val="003642DC"/>
    <w:rsid w:val="00364CDA"/>
    <w:rsid w:val="00365918"/>
    <w:rsid w:val="00366C37"/>
    <w:rsid w:val="00367BBA"/>
    <w:rsid w:val="0037084E"/>
    <w:rsid w:val="00374B88"/>
    <w:rsid w:val="003751E5"/>
    <w:rsid w:val="00375FD5"/>
    <w:rsid w:val="00377923"/>
    <w:rsid w:val="00377F60"/>
    <w:rsid w:val="00380683"/>
    <w:rsid w:val="003818D0"/>
    <w:rsid w:val="003821C8"/>
    <w:rsid w:val="0038294E"/>
    <w:rsid w:val="00382F5F"/>
    <w:rsid w:val="003833CF"/>
    <w:rsid w:val="003841A8"/>
    <w:rsid w:val="00384C98"/>
    <w:rsid w:val="00384F14"/>
    <w:rsid w:val="00386CC1"/>
    <w:rsid w:val="00386DFD"/>
    <w:rsid w:val="00387A02"/>
    <w:rsid w:val="00390CA3"/>
    <w:rsid w:val="00392FFC"/>
    <w:rsid w:val="0039413A"/>
    <w:rsid w:val="003958AB"/>
    <w:rsid w:val="00397A2B"/>
    <w:rsid w:val="003A0A0C"/>
    <w:rsid w:val="003A12B2"/>
    <w:rsid w:val="003A14D1"/>
    <w:rsid w:val="003A16B1"/>
    <w:rsid w:val="003A30D8"/>
    <w:rsid w:val="003A5D6B"/>
    <w:rsid w:val="003A61E7"/>
    <w:rsid w:val="003A645D"/>
    <w:rsid w:val="003A653D"/>
    <w:rsid w:val="003A780E"/>
    <w:rsid w:val="003A7BB6"/>
    <w:rsid w:val="003B0DAE"/>
    <w:rsid w:val="003B3F19"/>
    <w:rsid w:val="003B431B"/>
    <w:rsid w:val="003B49AE"/>
    <w:rsid w:val="003B5C41"/>
    <w:rsid w:val="003B6974"/>
    <w:rsid w:val="003B7376"/>
    <w:rsid w:val="003B77B3"/>
    <w:rsid w:val="003C04B4"/>
    <w:rsid w:val="003C164A"/>
    <w:rsid w:val="003C16C0"/>
    <w:rsid w:val="003C37BF"/>
    <w:rsid w:val="003C37C2"/>
    <w:rsid w:val="003C6AEA"/>
    <w:rsid w:val="003C7F02"/>
    <w:rsid w:val="003C7F0A"/>
    <w:rsid w:val="003D0427"/>
    <w:rsid w:val="003D048D"/>
    <w:rsid w:val="003D072F"/>
    <w:rsid w:val="003D2A2C"/>
    <w:rsid w:val="003D3589"/>
    <w:rsid w:val="003D4389"/>
    <w:rsid w:val="003D52D6"/>
    <w:rsid w:val="003D5E9C"/>
    <w:rsid w:val="003D5EC2"/>
    <w:rsid w:val="003D75C7"/>
    <w:rsid w:val="003E0708"/>
    <w:rsid w:val="003E1787"/>
    <w:rsid w:val="003E21B3"/>
    <w:rsid w:val="003E2332"/>
    <w:rsid w:val="003E25D4"/>
    <w:rsid w:val="003E2FFD"/>
    <w:rsid w:val="003E341B"/>
    <w:rsid w:val="003E713C"/>
    <w:rsid w:val="003E78F1"/>
    <w:rsid w:val="003E7E48"/>
    <w:rsid w:val="003F0D34"/>
    <w:rsid w:val="003F28A8"/>
    <w:rsid w:val="003F2FE5"/>
    <w:rsid w:val="003F51CE"/>
    <w:rsid w:val="00400FE6"/>
    <w:rsid w:val="0040141C"/>
    <w:rsid w:val="00401540"/>
    <w:rsid w:val="004018FA"/>
    <w:rsid w:val="00402D66"/>
    <w:rsid w:val="004040AB"/>
    <w:rsid w:val="00404DB6"/>
    <w:rsid w:val="00405E67"/>
    <w:rsid w:val="004061AA"/>
    <w:rsid w:val="00406FD4"/>
    <w:rsid w:val="00407D22"/>
    <w:rsid w:val="0041216C"/>
    <w:rsid w:val="00412E26"/>
    <w:rsid w:val="0041359A"/>
    <w:rsid w:val="00415697"/>
    <w:rsid w:val="0041602B"/>
    <w:rsid w:val="004169F2"/>
    <w:rsid w:val="00416B7A"/>
    <w:rsid w:val="00416E10"/>
    <w:rsid w:val="00420CB1"/>
    <w:rsid w:val="004243F4"/>
    <w:rsid w:val="004264B1"/>
    <w:rsid w:val="004270B5"/>
    <w:rsid w:val="00431AAD"/>
    <w:rsid w:val="00434FB8"/>
    <w:rsid w:val="004352AF"/>
    <w:rsid w:val="004353BD"/>
    <w:rsid w:val="00436057"/>
    <w:rsid w:val="0043614C"/>
    <w:rsid w:val="00436428"/>
    <w:rsid w:val="004369BB"/>
    <w:rsid w:val="004370B0"/>
    <w:rsid w:val="00441ABF"/>
    <w:rsid w:val="004425F3"/>
    <w:rsid w:val="00442BBF"/>
    <w:rsid w:val="0044335A"/>
    <w:rsid w:val="0044437D"/>
    <w:rsid w:val="00444EB4"/>
    <w:rsid w:val="00445CE4"/>
    <w:rsid w:val="00445CF0"/>
    <w:rsid w:val="00446ED8"/>
    <w:rsid w:val="00447FB9"/>
    <w:rsid w:val="00450418"/>
    <w:rsid w:val="0045259A"/>
    <w:rsid w:val="00452A53"/>
    <w:rsid w:val="00452D6B"/>
    <w:rsid w:val="004537A1"/>
    <w:rsid w:val="00453F3D"/>
    <w:rsid w:val="00455643"/>
    <w:rsid w:val="0045638C"/>
    <w:rsid w:val="0045725E"/>
    <w:rsid w:val="00462FEC"/>
    <w:rsid w:val="0046351B"/>
    <w:rsid w:val="004636FF"/>
    <w:rsid w:val="00463A23"/>
    <w:rsid w:val="00464553"/>
    <w:rsid w:val="00464AB1"/>
    <w:rsid w:val="004654D7"/>
    <w:rsid w:val="00467316"/>
    <w:rsid w:val="00467620"/>
    <w:rsid w:val="0046780F"/>
    <w:rsid w:val="00470E16"/>
    <w:rsid w:val="00470F08"/>
    <w:rsid w:val="00471016"/>
    <w:rsid w:val="0047223F"/>
    <w:rsid w:val="00472632"/>
    <w:rsid w:val="00473AFB"/>
    <w:rsid w:val="0047429B"/>
    <w:rsid w:val="00475020"/>
    <w:rsid w:val="0047739B"/>
    <w:rsid w:val="0048085B"/>
    <w:rsid w:val="00483584"/>
    <w:rsid w:val="00485012"/>
    <w:rsid w:val="004854D7"/>
    <w:rsid w:val="0048668B"/>
    <w:rsid w:val="0048723D"/>
    <w:rsid w:val="00487B0B"/>
    <w:rsid w:val="0049064E"/>
    <w:rsid w:val="00490F58"/>
    <w:rsid w:val="00492662"/>
    <w:rsid w:val="004926EC"/>
    <w:rsid w:val="00492758"/>
    <w:rsid w:val="00493168"/>
    <w:rsid w:val="00496048"/>
    <w:rsid w:val="00496E4D"/>
    <w:rsid w:val="00497429"/>
    <w:rsid w:val="00497434"/>
    <w:rsid w:val="00497B4D"/>
    <w:rsid w:val="004A0F95"/>
    <w:rsid w:val="004A1210"/>
    <w:rsid w:val="004A13A0"/>
    <w:rsid w:val="004A1827"/>
    <w:rsid w:val="004A1E4A"/>
    <w:rsid w:val="004A21BA"/>
    <w:rsid w:val="004A4564"/>
    <w:rsid w:val="004A4AB7"/>
    <w:rsid w:val="004A5AD0"/>
    <w:rsid w:val="004A5C9B"/>
    <w:rsid w:val="004A7861"/>
    <w:rsid w:val="004B1B7C"/>
    <w:rsid w:val="004B2361"/>
    <w:rsid w:val="004B251B"/>
    <w:rsid w:val="004B262F"/>
    <w:rsid w:val="004B2926"/>
    <w:rsid w:val="004B312B"/>
    <w:rsid w:val="004B31E5"/>
    <w:rsid w:val="004B3425"/>
    <w:rsid w:val="004B40A8"/>
    <w:rsid w:val="004B6735"/>
    <w:rsid w:val="004B6D25"/>
    <w:rsid w:val="004B6F3D"/>
    <w:rsid w:val="004B770A"/>
    <w:rsid w:val="004C1EB8"/>
    <w:rsid w:val="004C24CC"/>
    <w:rsid w:val="004C33EB"/>
    <w:rsid w:val="004C3834"/>
    <w:rsid w:val="004C3CA6"/>
    <w:rsid w:val="004C59F1"/>
    <w:rsid w:val="004C6060"/>
    <w:rsid w:val="004C6621"/>
    <w:rsid w:val="004C6B95"/>
    <w:rsid w:val="004C6DE5"/>
    <w:rsid w:val="004D04B6"/>
    <w:rsid w:val="004D42B4"/>
    <w:rsid w:val="004D57CD"/>
    <w:rsid w:val="004E0838"/>
    <w:rsid w:val="004E1A1D"/>
    <w:rsid w:val="004E1B7D"/>
    <w:rsid w:val="004E227B"/>
    <w:rsid w:val="004E2340"/>
    <w:rsid w:val="004E5CBF"/>
    <w:rsid w:val="004E5E25"/>
    <w:rsid w:val="004E636C"/>
    <w:rsid w:val="004F102D"/>
    <w:rsid w:val="004F10C4"/>
    <w:rsid w:val="004F18B4"/>
    <w:rsid w:val="004F1D79"/>
    <w:rsid w:val="004F3E6C"/>
    <w:rsid w:val="004F4FB5"/>
    <w:rsid w:val="00500E99"/>
    <w:rsid w:val="00501B11"/>
    <w:rsid w:val="00501C79"/>
    <w:rsid w:val="00501EF9"/>
    <w:rsid w:val="0050304B"/>
    <w:rsid w:val="00504AE9"/>
    <w:rsid w:val="00504AEE"/>
    <w:rsid w:val="00504F7D"/>
    <w:rsid w:val="0050663D"/>
    <w:rsid w:val="00506D4F"/>
    <w:rsid w:val="00506F1B"/>
    <w:rsid w:val="00507129"/>
    <w:rsid w:val="00507AA4"/>
    <w:rsid w:val="00507B18"/>
    <w:rsid w:val="005109E7"/>
    <w:rsid w:val="00511218"/>
    <w:rsid w:val="00512685"/>
    <w:rsid w:val="005128A8"/>
    <w:rsid w:val="00512EF5"/>
    <w:rsid w:val="005131EF"/>
    <w:rsid w:val="005133F1"/>
    <w:rsid w:val="0051368B"/>
    <w:rsid w:val="00513E9C"/>
    <w:rsid w:val="0051457D"/>
    <w:rsid w:val="00514961"/>
    <w:rsid w:val="00514E72"/>
    <w:rsid w:val="00515E3E"/>
    <w:rsid w:val="005166A2"/>
    <w:rsid w:val="00517259"/>
    <w:rsid w:val="0052118E"/>
    <w:rsid w:val="005216EC"/>
    <w:rsid w:val="00524D2A"/>
    <w:rsid w:val="005266A5"/>
    <w:rsid w:val="00526808"/>
    <w:rsid w:val="0052680B"/>
    <w:rsid w:val="00526BF8"/>
    <w:rsid w:val="00531524"/>
    <w:rsid w:val="00531862"/>
    <w:rsid w:val="005339D8"/>
    <w:rsid w:val="0053591C"/>
    <w:rsid w:val="0053639A"/>
    <w:rsid w:val="0053780A"/>
    <w:rsid w:val="00537C71"/>
    <w:rsid w:val="00540842"/>
    <w:rsid w:val="00540A01"/>
    <w:rsid w:val="00541ED3"/>
    <w:rsid w:val="005451B7"/>
    <w:rsid w:val="00546965"/>
    <w:rsid w:val="0055124E"/>
    <w:rsid w:val="005513A8"/>
    <w:rsid w:val="0055156D"/>
    <w:rsid w:val="00553552"/>
    <w:rsid w:val="00553971"/>
    <w:rsid w:val="00555860"/>
    <w:rsid w:val="00555D30"/>
    <w:rsid w:val="00556336"/>
    <w:rsid w:val="005566FB"/>
    <w:rsid w:val="00556989"/>
    <w:rsid w:val="005578B3"/>
    <w:rsid w:val="0056082C"/>
    <w:rsid w:val="00561F66"/>
    <w:rsid w:val="00562FED"/>
    <w:rsid w:val="00565584"/>
    <w:rsid w:val="00565D55"/>
    <w:rsid w:val="00567668"/>
    <w:rsid w:val="005704FA"/>
    <w:rsid w:val="00573585"/>
    <w:rsid w:val="005736C3"/>
    <w:rsid w:val="005752C1"/>
    <w:rsid w:val="00575F65"/>
    <w:rsid w:val="0057659D"/>
    <w:rsid w:val="00576864"/>
    <w:rsid w:val="00580155"/>
    <w:rsid w:val="00580454"/>
    <w:rsid w:val="005809A4"/>
    <w:rsid w:val="0058116D"/>
    <w:rsid w:val="00581C33"/>
    <w:rsid w:val="0058270E"/>
    <w:rsid w:val="005851AA"/>
    <w:rsid w:val="00585274"/>
    <w:rsid w:val="005852EF"/>
    <w:rsid w:val="00586027"/>
    <w:rsid w:val="00586CC6"/>
    <w:rsid w:val="00590723"/>
    <w:rsid w:val="00590755"/>
    <w:rsid w:val="0059097F"/>
    <w:rsid w:val="00590FAC"/>
    <w:rsid w:val="00591B3B"/>
    <w:rsid w:val="0059281D"/>
    <w:rsid w:val="00596008"/>
    <w:rsid w:val="005973A8"/>
    <w:rsid w:val="005973B6"/>
    <w:rsid w:val="00597597"/>
    <w:rsid w:val="005A2A78"/>
    <w:rsid w:val="005A2FEF"/>
    <w:rsid w:val="005A32BE"/>
    <w:rsid w:val="005A54EC"/>
    <w:rsid w:val="005A54FB"/>
    <w:rsid w:val="005A6C86"/>
    <w:rsid w:val="005A6E45"/>
    <w:rsid w:val="005B066E"/>
    <w:rsid w:val="005B0702"/>
    <w:rsid w:val="005B172A"/>
    <w:rsid w:val="005B2077"/>
    <w:rsid w:val="005B2936"/>
    <w:rsid w:val="005B5BCE"/>
    <w:rsid w:val="005C2345"/>
    <w:rsid w:val="005C410D"/>
    <w:rsid w:val="005C54A7"/>
    <w:rsid w:val="005C559E"/>
    <w:rsid w:val="005C73B2"/>
    <w:rsid w:val="005C7842"/>
    <w:rsid w:val="005C788B"/>
    <w:rsid w:val="005C7931"/>
    <w:rsid w:val="005C7B21"/>
    <w:rsid w:val="005C7B46"/>
    <w:rsid w:val="005D08AD"/>
    <w:rsid w:val="005D08C8"/>
    <w:rsid w:val="005D0B6A"/>
    <w:rsid w:val="005D1CBB"/>
    <w:rsid w:val="005D29CB"/>
    <w:rsid w:val="005D36D4"/>
    <w:rsid w:val="005D4A68"/>
    <w:rsid w:val="005D50C9"/>
    <w:rsid w:val="005E0E1F"/>
    <w:rsid w:val="005E18FA"/>
    <w:rsid w:val="005E2AB9"/>
    <w:rsid w:val="005E3B69"/>
    <w:rsid w:val="005E469F"/>
    <w:rsid w:val="005E7A27"/>
    <w:rsid w:val="005E7E0E"/>
    <w:rsid w:val="005F07AB"/>
    <w:rsid w:val="005F2ADA"/>
    <w:rsid w:val="005F3015"/>
    <w:rsid w:val="005F3FF5"/>
    <w:rsid w:val="005F412D"/>
    <w:rsid w:val="005F4966"/>
    <w:rsid w:val="005F5196"/>
    <w:rsid w:val="005F5641"/>
    <w:rsid w:val="005F73CE"/>
    <w:rsid w:val="005F7DC7"/>
    <w:rsid w:val="005F7EEA"/>
    <w:rsid w:val="00600222"/>
    <w:rsid w:val="006069D4"/>
    <w:rsid w:val="00607938"/>
    <w:rsid w:val="00610EFE"/>
    <w:rsid w:val="0061170F"/>
    <w:rsid w:val="00611BB1"/>
    <w:rsid w:val="0061223C"/>
    <w:rsid w:val="00612C97"/>
    <w:rsid w:val="00613E16"/>
    <w:rsid w:val="00615A03"/>
    <w:rsid w:val="00616095"/>
    <w:rsid w:val="006160AC"/>
    <w:rsid w:val="00620FA9"/>
    <w:rsid w:val="006214A2"/>
    <w:rsid w:val="006215C0"/>
    <w:rsid w:val="00621665"/>
    <w:rsid w:val="00621E35"/>
    <w:rsid w:val="00622ABC"/>
    <w:rsid w:val="00622DAE"/>
    <w:rsid w:val="00623389"/>
    <w:rsid w:val="0062504B"/>
    <w:rsid w:val="0062644F"/>
    <w:rsid w:val="006273D8"/>
    <w:rsid w:val="006314C2"/>
    <w:rsid w:val="0063227A"/>
    <w:rsid w:val="00633687"/>
    <w:rsid w:val="0063716B"/>
    <w:rsid w:val="00637653"/>
    <w:rsid w:val="00642951"/>
    <w:rsid w:val="00642B32"/>
    <w:rsid w:val="006474C5"/>
    <w:rsid w:val="0065047F"/>
    <w:rsid w:val="00650764"/>
    <w:rsid w:val="006516C1"/>
    <w:rsid w:val="00651F55"/>
    <w:rsid w:val="00652396"/>
    <w:rsid w:val="00653342"/>
    <w:rsid w:val="006534D1"/>
    <w:rsid w:val="0065373C"/>
    <w:rsid w:val="00654187"/>
    <w:rsid w:val="00654E80"/>
    <w:rsid w:val="00655944"/>
    <w:rsid w:val="0065644F"/>
    <w:rsid w:val="006565FF"/>
    <w:rsid w:val="0066088F"/>
    <w:rsid w:val="00660D13"/>
    <w:rsid w:val="006615B9"/>
    <w:rsid w:val="006617AB"/>
    <w:rsid w:val="00662CB7"/>
    <w:rsid w:val="00665ACB"/>
    <w:rsid w:val="00666344"/>
    <w:rsid w:val="006675A8"/>
    <w:rsid w:val="006701D7"/>
    <w:rsid w:val="00674338"/>
    <w:rsid w:val="006749EB"/>
    <w:rsid w:val="00675D92"/>
    <w:rsid w:val="00675E12"/>
    <w:rsid w:val="006765D9"/>
    <w:rsid w:val="00676C9F"/>
    <w:rsid w:val="00676D82"/>
    <w:rsid w:val="00677E47"/>
    <w:rsid w:val="00682E9B"/>
    <w:rsid w:val="00684068"/>
    <w:rsid w:val="00685E8F"/>
    <w:rsid w:val="00686752"/>
    <w:rsid w:val="00687C4A"/>
    <w:rsid w:val="00690CA7"/>
    <w:rsid w:val="00690D2E"/>
    <w:rsid w:val="006913DB"/>
    <w:rsid w:val="00691716"/>
    <w:rsid w:val="00691A65"/>
    <w:rsid w:val="00691CC8"/>
    <w:rsid w:val="006921B3"/>
    <w:rsid w:val="00692D56"/>
    <w:rsid w:val="006A20E5"/>
    <w:rsid w:val="006A23CB"/>
    <w:rsid w:val="006A3C1B"/>
    <w:rsid w:val="006A4234"/>
    <w:rsid w:val="006A65D2"/>
    <w:rsid w:val="006A7724"/>
    <w:rsid w:val="006B25E7"/>
    <w:rsid w:val="006B4E11"/>
    <w:rsid w:val="006B61FC"/>
    <w:rsid w:val="006B6FD8"/>
    <w:rsid w:val="006C00CA"/>
    <w:rsid w:val="006C1B27"/>
    <w:rsid w:val="006C2708"/>
    <w:rsid w:val="006C3242"/>
    <w:rsid w:val="006C3DF9"/>
    <w:rsid w:val="006C4A21"/>
    <w:rsid w:val="006C5349"/>
    <w:rsid w:val="006C54A4"/>
    <w:rsid w:val="006C6FF5"/>
    <w:rsid w:val="006D055C"/>
    <w:rsid w:val="006D0BCE"/>
    <w:rsid w:val="006D14DA"/>
    <w:rsid w:val="006D2000"/>
    <w:rsid w:val="006D2417"/>
    <w:rsid w:val="006D2EE9"/>
    <w:rsid w:val="006D3A74"/>
    <w:rsid w:val="006D4218"/>
    <w:rsid w:val="006D546E"/>
    <w:rsid w:val="006D5BD8"/>
    <w:rsid w:val="006D64A4"/>
    <w:rsid w:val="006D6A16"/>
    <w:rsid w:val="006D7222"/>
    <w:rsid w:val="006E0B66"/>
    <w:rsid w:val="006E1409"/>
    <w:rsid w:val="006E2429"/>
    <w:rsid w:val="006E25CE"/>
    <w:rsid w:val="006E3C66"/>
    <w:rsid w:val="006E5385"/>
    <w:rsid w:val="006E677D"/>
    <w:rsid w:val="006E6FA1"/>
    <w:rsid w:val="006E7563"/>
    <w:rsid w:val="006E7BDA"/>
    <w:rsid w:val="006E7D68"/>
    <w:rsid w:val="006F0250"/>
    <w:rsid w:val="006F0570"/>
    <w:rsid w:val="006F0C12"/>
    <w:rsid w:val="006F0E47"/>
    <w:rsid w:val="006F255A"/>
    <w:rsid w:val="006F29B9"/>
    <w:rsid w:val="006F2DF4"/>
    <w:rsid w:val="006F4560"/>
    <w:rsid w:val="006F5397"/>
    <w:rsid w:val="006F5C5D"/>
    <w:rsid w:val="006F5CE4"/>
    <w:rsid w:val="006F6226"/>
    <w:rsid w:val="006F71B1"/>
    <w:rsid w:val="006F77EE"/>
    <w:rsid w:val="006F79D0"/>
    <w:rsid w:val="00700D04"/>
    <w:rsid w:val="00701C22"/>
    <w:rsid w:val="00702460"/>
    <w:rsid w:val="0070484B"/>
    <w:rsid w:val="00704ECA"/>
    <w:rsid w:val="00706209"/>
    <w:rsid w:val="00707919"/>
    <w:rsid w:val="00707C03"/>
    <w:rsid w:val="0071023B"/>
    <w:rsid w:val="00710D5B"/>
    <w:rsid w:val="00710DD1"/>
    <w:rsid w:val="00712B3F"/>
    <w:rsid w:val="00713B85"/>
    <w:rsid w:val="00713DDE"/>
    <w:rsid w:val="007166EF"/>
    <w:rsid w:val="007174B9"/>
    <w:rsid w:val="00720A17"/>
    <w:rsid w:val="00722F35"/>
    <w:rsid w:val="00724536"/>
    <w:rsid w:val="00724D48"/>
    <w:rsid w:val="00725535"/>
    <w:rsid w:val="007308C7"/>
    <w:rsid w:val="0073312B"/>
    <w:rsid w:val="0073598A"/>
    <w:rsid w:val="00735F96"/>
    <w:rsid w:val="00736EBE"/>
    <w:rsid w:val="00737574"/>
    <w:rsid w:val="00741019"/>
    <w:rsid w:val="0074280C"/>
    <w:rsid w:val="007430D7"/>
    <w:rsid w:val="007431C8"/>
    <w:rsid w:val="00743EDE"/>
    <w:rsid w:val="00744DC8"/>
    <w:rsid w:val="0074611A"/>
    <w:rsid w:val="007467A8"/>
    <w:rsid w:val="00747A70"/>
    <w:rsid w:val="00747E4E"/>
    <w:rsid w:val="00751310"/>
    <w:rsid w:val="00751547"/>
    <w:rsid w:val="0075158A"/>
    <w:rsid w:val="007538D0"/>
    <w:rsid w:val="00754767"/>
    <w:rsid w:val="00754982"/>
    <w:rsid w:val="00755D5D"/>
    <w:rsid w:val="00757C85"/>
    <w:rsid w:val="007639CA"/>
    <w:rsid w:val="007647C1"/>
    <w:rsid w:val="00764ADA"/>
    <w:rsid w:val="00765170"/>
    <w:rsid w:val="00765307"/>
    <w:rsid w:val="00767326"/>
    <w:rsid w:val="00770B14"/>
    <w:rsid w:val="00771057"/>
    <w:rsid w:val="0077222F"/>
    <w:rsid w:val="00773CC5"/>
    <w:rsid w:val="0077511D"/>
    <w:rsid w:val="007753CC"/>
    <w:rsid w:val="00775AB6"/>
    <w:rsid w:val="00776280"/>
    <w:rsid w:val="00776B85"/>
    <w:rsid w:val="007814EF"/>
    <w:rsid w:val="00781C0B"/>
    <w:rsid w:val="00786B39"/>
    <w:rsid w:val="00786CBD"/>
    <w:rsid w:val="0079003D"/>
    <w:rsid w:val="00790D9A"/>
    <w:rsid w:val="007919B9"/>
    <w:rsid w:val="00791BEF"/>
    <w:rsid w:val="00792379"/>
    <w:rsid w:val="00793ED4"/>
    <w:rsid w:val="007A0AA3"/>
    <w:rsid w:val="007A1426"/>
    <w:rsid w:val="007A1CBE"/>
    <w:rsid w:val="007A1D42"/>
    <w:rsid w:val="007A3C78"/>
    <w:rsid w:val="007A4845"/>
    <w:rsid w:val="007A7102"/>
    <w:rsid w:val="007A795A"/>
    <w:rsid w:val="007B04C3"/>
    <w:rsid w:val="007B28C3"/>
    <w:rsid w:val="007B3474"/>
    <w:rsid w:val="007B5498"/>
    <w:rsid w:val="007B627B"/>
    <w:rsid w:val="007B6C9C"/>
    <w:rsid w:val="007C00B8"/>
    <w:rsid w:val="007C20B7"/>
    <w:rsid w:val="007C20F1"/>
    <w:rsid w:val="007C28F7"/>
    <w:rsid w:val="007C2D23"/>
    <w:rsid w:val="007C311C"/>
    <w:rsid w:val="007C50F5"/>
    <w:rsid w:val="007C6A83"/>
    <w:rsid w:val="007C7122"/>
    <w:rsid w:val="007D01A0"/>
    <w:rsid w:val="007D17F9"/>
    <w:rsid w:val="007D243E"/>
    <w:rsid w:val="007D33F5"/>
    <w:rsid w:val="007D3EFD"/>
    <w:rsid w:val="007D564F"/>
    <w:rsid w:val="007D5F25"/>
    <w:rsid w:val="007D6B7E"/>
    <w:rsid w:val="007D6EA6"/>
    <w:rsid w:val="007D7AF6"/>
    <w:rsid w:val="007E0354"/>
    <w:rsid w:val="007E13A5"/>
    <w:rsid w:val="007E18DC"/>
    <w:rsid w:val="007E270D"/>
    <w:rsid w:val="007E3A28"/>
    <w:rsid w:val="007E644F"/>
    <w:rsid w:val="007E7D44"/>
    <w:rsid w:val="007F0361"/>
    <w:rsid w:val="007F2234"/>
    <w:rsid w:val="007F43FE"/>
    <w:rsid w:val="007F4597"/>
    <w:rsid w:val="007F4BA6"/>
    <w:rsid w:val="007F68FC"/>
    <w:rsid w:val="007F6DAA"/>
    <w:rsid w:val="008016B6"/>
    <w:rsid w:val="0080312F"/>
    <w:rsid w:val="0080401C"/>
    <w:rsid w:val="00804279"/>
    <w:rsid w:val="008062A4"/>
    <w:rsid w:val="00806675"/>
    <w:rsid w:val="00806717"/>
    <w:rsid w:val="0080675E"/>
    <w:rsid w:val="00807AE6"/>
    <w:rsid w:val="00807DBA"/>
    <w:rsid w:val="008104FF"/>
    <w:rsid w:val="008125FB"/>
    <w:rsid w:val="0081606E"/>
    <w:rsid w:val="00817000"/>
    <w:rsid w:val="008177B5"/>
    <w:rsid w:val="00817F6C"/>
    <w:rsid w:val="00822C82"/>
    <w:rsid w:val="0082696E"/>
    <w:rsid w:val="00827E20"/>
    <w:rsid w:val="00830B02"/>
    <w:rsid w:val="00830CAE"/>
    <w:rsid w:val="008324E8"/>
    <w:rsid w:val="00833491"/>
    <w:rsid w:val="00834DC9"/>
    <w:rsid w:val="00835035"/>
    <w:rsid w:val="00836C34"/>
    <w:rsid w:val="00836F76"/>
    <w:rsid w:val="00840463"/>
    <w:rsid w:val="0084076B"/>
    <w:rsid w:val="00840F64"/>
    <w:rsid w:val="00841270"/>
    <w:rsid w:val="008418BE"/>
    <w:rsid w:val="00842668"/>
    <w:rsid w:val="0084410B"/>
    <w:rsid w:val="00844A9C"/>
    <w:rsid w:val="0084522E"/>
    <w:rsid w:val="00845261"/>
    <w:rsid w:val="0084564C"/>
    <w:rsid w:val="00846CD4"/>
    <w:rsid w:val="00847482"/>
    <w:rsid w:val="00851058"/>
    <w:rsid w:val="00851AD6"/>
    <w:rsid w:val="00853673"/>
    <w:rsid w:val="00855E7D"/>
    <w:rsid w:val="00855EFE"/>
    <w:rsid w:val="00856B75"/>
    <w:rsid w:val="00860618"/>
    <w:rsid w:val="00860BEF"/>
    <w:rsid w:val="0086152C"/>
    <w:rsid w:val="00861C0D"/>
    <w:rsid w:val="00861C92"/>
    <w:rsid w:val="00862C3B"/>
    <w:rsid w:val="00863B5E"/>
    <w:rsid w:val="008648DB"/>
    <w:rsid w:val="008649FD"/>
    <w:rsid w:val="0086596C"/>
    <w:rsid w:val="00866534"/>
    <w:rsid w:val="008666D6"/>
    <w:rsid w:val="00866FDA"/>
    <w:rsid w:val="00870A71"/>
    <w:rsid w:val="008731CB"/>
    <w:rsid w:val="00874C3F"/>
    <w:rsid w:val="00880145"/>
    <w:rsid w:val="008801FA"/>
    <w:rsid w:val="008810FC"/>
    <w:rsid w:val="0088271C"/>
    <w:rsid w:val="0088304E"/>
    <w:rsid w:val="00883380"/>
    <w:rsid w:val="00884636"/>
    <w:rsid w:val="00884A1E"/>
    <w:rsid w:val="0088745F"/>
    <w:rsid w:val="00890D02"/>
    <w:rsid w:val="00892A3F"/>
    <w:rsid w:val="00894906"/>
    <w:rsid w:val="00895A75"/>
    <w:rsid w:val="008A00F2"/>
    <w:rsid w:val="008A03FB"/>
    <w:rsid w:val="008A0695"/>
    <w:rsid w:val="008A0EA6"/>
    <w:rsid w:val="008A13F2"/>
    <w:rsid w:val="008A1D53"/>
    <w:rsid w:val="008A1FE3"/>
    <w:rsid w:val="008A2396"/>
    <w:rsid w:val="008A2C1E"/>
    <w:rsid w:val="008A2DF5"/>
    <w:rsid w:val="008A51F8"/>
    <w:rsid w:val="008A7AC9"/>
    <w:rsid w:val="008B0492"/>
    <w:rsid w:val="008B0B22"/>
    <w:rsid w:val="008B2281"/>
    <w:rsid w:val="008B28B6"/>
    <w:rsid w:val="008B2D9F"/>
    <w:rsid w:val="008B6875"/>
    <w:rsid w:val="008B75E2"/>
    <w:rsid w:val="008B789E"/>
    <w:rsid w:val="008B79BE"/>
    <w:rsid w:val="008B7B95"/>
    <w:rsid w:val="008B7BC5"/>
    <w:rsid w:val="008C0502"/>
    <w:rsid w:val="008C067D"/>
    <w:rsid w:val="008C2FCE"/>
    <w:rsid w:val="008C32C4"/>
    <w:rsid w:val="008C44E3"/>
    <w:rsid w:val="008C5A3C"/>
    <w:rsid w:val="008D06DE"/>
    <w:rsid w:val="008D2729"/>
    <w:rsid w:val="008D30B6"/>
    <w:rsid w:val="008D4BC1"/>
    <w:rsid w:val="008D64C3"/>
    <w:rsid w:val="008E0AC6"/>
    <w:rsid w:val="008E3CB2"/>
    <w:rsid w:val="008E4B48"/>
    <w:rsid w:val="008E4C23"/>
    <w:rsid w:val="008E529D"/>
    <w:rsid w:val="008E6810"/>
    <w:rsid w:val="008E7DEA"/>
    <w:rsid w:val="008E7EDB"/>
    <w:rsid w:val="008F006C"/>
    <w:rsid w:val="008F0138"/>
    <w:rsid w:val="008F251B"/>
    <w:rsid w:val="008F2FA3"/>
    <w:rsid w:val="008F4E01"/>
    <w:rsid w:val="008F532B"/>
    <w:rsid w:val="008F5623"/>
    <w:rsid w:val="008F5C1D"/>
    <w:rsid w:val="008F6096"/>
    <w:rsid w:val="009011B4"/>
    <w:rsid w:val="00901450"/>
    <w:rsid w:val="00901B18"/>
    <w:rsid w:val="00901CFD"/>
    <w:rsid w:val="00905B56"/>
    <w:rsid w:val="0090764C"/>
    <w:rsid w:val="00910298"/>
    <w:rsid w:val="00910DE7"/>
    <w:rsid w:val="00911853"/>
    <w:rsid w:val="00911921"/>
    <w:rsid w:val="00911DE2"/>
    <w:rsid w:val="00911E15"/>
    <w:rsid w:val="009123EF"/>
    <w:rsid w:val="009132CF"/>
    <w:rsid w:val="009143F5"/>
    <w:rsid w:val="009148BC"/>
    <w:rsid w:val="00915965"/>
    <w:rsid w:val="00916751"/>
    <w:rsid w:val="00916E58"/>
    <w:rsid w:val="00917E2D"/>
    <w:rsid w:val="0092286A"/>
    <w:rsid w:val="009257A3"/>
    <w:rsid w:val="00927C9D"/>
    <w:rsid w:val="009302A3"/>
    <w:rsid w:val="009312DC"/>
    <w:rsid w:val="00932F5B"/>
    <w:rsid w:val="009341B6"/>
    <w:rsid w:val="00935B94"/>
    <w:rsid w:val="00935EE8"/>
    <w:rsid w:val="0093647B"/>
    <w:rsid w:val="00937108"/>
    <w:rsid w:val="009401C3"/>
    <w:rsid w:val="00940C32"/>
    <w:rsid w:val="0094418E"/>
    <w:rsid w:val="0094609B"/>
    <w:rsid w:val="00946B12"/>
    <w:rsid w:val="009475A3"/>
    <w:rsid w:val="00947C9A"/>
    <w:rsid w:val="00947F00"/>
    <w:rsid w:val="0095073C"/>
    <w:rsid w:val="009507FE"/>
    <w:rsid w:val="009533F2"/>
    <w:rsid w:val="00953CC2"/>
    <w:rsid w:val="00954952"/>
    <w:rsid w:val="009569A2"/>
    <w:rsid w:val="00957775"/>
    <w:rsid w:val="00962990"/>
    <w:rsid w:val="00964096"/>
    <w:rsid w:val="00964192"/>
    <w:rsid w:val="00965336"/>
    <w:rsid w:val="00965482"/>
    <w:rsid w:val="00965774"/>
    <w:rsid w:val="009662F7"/>
    <w:rsid w:val="009677CF"/>
    <w:rsid w:val="00970AAA"/>
    <w:rsid w:val="009723CB"/>
    <w:rsid w:val="0097307A"/>
    <w:rsid w:val="00973B22"/>
    <w:rsid w:val="0097702A"/>
    <w:rsid w:val="00980A8C"/>
    <w:rsid w:val="0098142E"/>
    <w:rsid w:val="009815E6"/>
    <w:rsid w:val="00981ACE"/>
    <w:rsid w:val="00981EE7"/>
    <w:rsid w:val="009847A1"/>
    <w:rsid w:val="00984B49"/>
    <w:rsid w:val="009850C0"/>
    <w:rsid w:val="009858BB"/>
    <w:rsid w:val="00985CF8"/>
    <w:rsid w:val="00986FF7"/>
    <w:rsid w:val="00991EE8"/>
    <w:rsid w:val="00992A66"/>
    <w:rsid w:val="00993CC4"/>
    <w:rsid w:val="00993F6E"/>
    <w:rsid w:val="00994AA8"/>
    <w:rsid w:val="0099501F"/>
    <w:rsid w:val="0099701E"/>
    <w:rsid w:val="009A03FD"/>
    <w:rsid w:val="009A2BC6"/>
    <w:rsid w:val="009A37F3"/>
    <w:rsid w:val="009A5F68"/>
    <w:rsid w:val="009A6056"/>
    <w:rsid w:val="009A6D15"/>
    <w:rsid w:val="009A72D2"/>
    <w:rsid w:val="009B01D6"/>
    <w:rsid w:val="009B09E9"/>
    <w:rsid w:val="009B1564"/>
    <w:rsid w:val="009B54A3"/>
    <w:rsid w:val="009B6DD0"/>
    <w:rsid w:val="009B705B"/>
    <w:rsid w:val="009C179E"/>
    <w:rsid w:val="009C1B49"/>
    <w:rsid w:val="009C2435"/>
    <w:rsid w:val="009C2983"/>
    <w:rsid w:val="009C3499"/>
    <w:rsid w:val="009C44EF"/>
    <w:rsid w:val="009C5E93"/>
    <w:rsid w:val="009C5F47"/>
    <w:rsid w:val="009C673A"/>
    <w:rsid w:val="009C70B3"/>
    <w:rsid w:val="009C7AC5"/>
    <w:rsid w:val="009D15ED"/>
    <w:rsid w:val="009D1824"/>
    <w:rsid w:val="009D1A00"/>
    <w:rsid w:val="009D3D2A"/>
    <w:rsid w:val="009D56D3"/>
    <w:rsid w:val="009D57F1"/>
    <w:rsid w:val="009D5B4C"/>
    <w:rsid w:val="009D737A"/>
    <w:rsid w:val="009D7C0F"/>
    <w:rsid w:val="009E0033"/>
    <w:rsid w:val="009E03EC"/>
    <w:rsid w:val="009E2308"/>
    <w:rsid w:val="009E3408"/>
    <w:rsid w:val="009E35F7"/>
    <w:rsid w:val="009E3774"/>
    <w:rsid w:val="009E6738"/>
    <w:rsid w:val="009E7081"/>
    <w:rsid w:val="009E7F71"/>
    <w:rsid w:val="009F0BC8"/>
    <w:rsid w:val="009F51A6"/>
    <w:rsid w:val="009F5B4E"/>
    <w:rsid w:val="009F6359"/>
    <w:rsid w:val="009F6765"/>
    <w:rsid w:val="00A01E1E"/>
    <w:rsid w:val="00A0264A"/>
    <w:rsid w:val="00A0279A"/>
    <w:rsid w:val="00A02BD5"/>
    <w:rsid w:val="00A03792"/>
    <w:rsid w:val="00A03FB3"/>
    <w:rsid w:val="00A04174"/>
    <w:rsid w:val="00A06954"/>
    <w:rsid w:val="00A06B98"/>
    <w:rsid w:val="00A0741D"/>
    <w:rsid w:val="00A07C76"/>
    <w:rsid w:val="00A102D7"/>
    <w:rsid w:val="00A11019"/>
    <w:rsid w:val="00A13C51"/>
    <w:rsid w:val="00A13C6D"/>
    <w:rsid w:val="00A148F8"/>
    <w:rsid w:val="00A1609A"/>
    <w:rsid w:val="00A1698C"/>
    <w:rsid w:val="00A16CFB"/>
    <w:rsid w:val="00A17E35"/>
    <w:rsid w:val="00A22593"/>
    <w:rsid w:val="00A22A70"/>
    <w:rsid w:val="00A24400"/>
    <w:rsid w:val="00A25538"/>
    <w:rsid w:val="00A25616"/>
    <w:rsid w:val="00A25BF9"/>
    <w:rsid w:val="00A27629"/>
    <w:rsid w:val="00A27C3B"/>
    <w:rsid w:val="00A302E8"/>
    <w:rsid w:val="00A30308"/>
    <w:rsid w:val="00A3073A"/>
    <w:rsid w:val="00A31435"/>
    <w:rsid w:val="00A31717"/>
    <w:rsid w:val="00A32DC5"/>
    <w:rsid w:val="00A32DF4"/>
    <w:rsid w:val="00A3347D"/>
    <w:rsid w:val="00A34584"/>
    <w:rsid w:val="00A37C7B"/>
    <w:rsid w:val="00A41129"/>
    <w:rsid w:val="00A438B0"/>
    <w:rsid w:val="00A46020"/>
    <w:rsid w:val="00A50B07"/>
    <w:rsid w:val="00A52A3F"/>
    <w:rsid w:val="00A541A0"/>
    <w:rsid w:val="00A55977"/>
    <w:rsid w:val="00A55D17"/>
    <w:rsid w:val="00A615E2"/>
    <w:rsid w:val="00A6253F"/>
    <w:rsid w:val="00A62EF4"/>
    <w:rsid w:val="00A63511"/>
    <w:rsid w:val="00A63706"/>
    <w:rsid w:val="00A64901"/>
    <w:rsid w:val="00A65B0E"/>
    <w:rsid w:val="00A67183"/>
    <w:rsid w:val="00A67D41"/>
    <w:rsid w:val="00A74886"/>
    <w:rsid w:val="00A74AC9"/>
    <w:rsid w:val="00A74C1C"/>
    <w:rsid w:val="00A759DB"/>
    <w:rsid w:val="00A76B2B"/>
    <w:rsid w:val="00A76D82"/>
    <w:rsid w:val="00A770C1"/>
    <w:rsid w:val="00A773EE"/>
    <w:rsid w:val="00A806DC"/>
    <w:rsid w:val="00A80C34"/>
    <w:rsid w:val="00A818B1"/>
    <w:rsid w:val="00A8304D"/>
    <w:rsid w:val="00A83784"/>
    <w:rsid w:val="00A84446"/>
    <w:rsid w:val="00A844B9"/>
    <w:rsid w:val="00A8456A"/>
    <w:rsid w:val="00A8495E"/>
    <w:rsid w:val="00A8650F"/>
    <w:rsid w:val="00A90178"/>
    <w:rsid w:val="00A92922"/>
    <w:rsid w:val="00A92C0A"/>
    <w:rsid w:val="00A936EF"/>
    <w:rsid w:val="00A941F3"/>
    <w:rsid w:val="00A9460D"/>
    <w:rsid w:val="00A95CC5"/>
    <w:rsid w:val="00A97D12"/>
    <w:rsid w:val="00AA0EE2"/>
    <w:rsid w:val="00AA11AA"/>
    <w:rsid w:val="00AA15DB"/>
    <w:rsid w:val="00AA197A"/>
    <w:rsid w:val="00AA2A06"/>
    <w:rsid w:val="00AA3553"/>
    <w:rsid w:val="00AA3C84"/>
    <w:rsid w:val="00AA3C89"/>
    <w:rsid w:val="00AA5D35"/>
    <w:rsid w:val="00AA6B05"/>
    <w:rsid w:val="00AB0251"/>
    <w:rsid w:val="00AB0B95"/>
    <w:rsid w:val="00AB14C1"/>
    <w:rsid w:val="00AB1BD4"/>
    <w:rsid w:val="00AB26CF"/>
    <w:rsid w:val="00AB3438"/>
    <w:rsid w:val="00AB4980"/>
    <w:rsid w:val="00AB56EF"/>
    <w:rsid w:val="00AB5961"/>
    <w:rsid w:val="00AB59D8"/>
    <w:rsid w:val="00AB5F06"/>
    <w:rsid w:val="00AB6C36"/>
    <w:rsid w:val="00AC0B50"/>
    <w:rsid w:val="00AC0D51"/>
    <w:rsid w:val="00AC0EA9"/>
    <w:rsid w:val="00AC1C31"/>
    <w:rsid w:val="00AC2144"/>
    <w:rsid w:val="00AC284D"/>
    <w:rsid w:val="00AC3813"/>
    <w:rsid w:val="00AC3A5E"/>
    <w:rsid w:val="00AC3F18"/>
    <w:rsid w:val="00AC3F66"/>
    <w:rsid w:val="00AC42EF"/>
    <w:rsid w:val="00AC4529"/>
    <w:rsid w:val="00AC47DE"/>
    <w:rsid w:val="00AC4A9C"/>
    <w:rsid w:val="00AC4DA8"/>
    <w:rsid w:val="00AC55C3"/>
    <w:rsid w:val="00AC5A0D"/>
    <w:rsid w:val="00AC61FB"/>
    <w:rsid w:val="00AC6429"/>
    <w:rsid w:val="00AC6DB4"/>
    <w:rsid w:val="00AC74DD"/>
    <w:rsid w:val="00AD15E4"/>
    <w:rsid w:val="00AD1CA8"/>
    <w:rsid w:val="00AD2CB5"/>
    <w:rsid w:val="00AD5197"/>
    <w:rsid w:val="00AD6DCB"/>
    <w:rsid w:val="00AD74C4"/>
    <w:rsid w:val="00AE0481"/>
    <w:rsid w:val="00AE226B"/>
    <w:rsid w:val="00AE2B0E"/>
    <w:rsid w:val="00AE3749"/>
    <w:rsid w:val="00AE3763"/>
    <w:rsid w:val="00AE40A5"/>
    <w:rsid w:val="00AE4608"/>
    <w:rsid w:val="00AF0869"/>
    <w:rsid w:val="00AF14B1"/>
    <w:rsid w:val="00AF16D4"/>
    <w:rsid w:val="00AF2C61"/>
    <w:rsid w:val="00AF3481"/>
    <w:rsid w:val="00AF3C26"/>
    <w:rsid w:val="00AF5512"/>
    <w:rsid w:val="00AF707F"/>
    <w:rsid w:val="00AF7E7B"/>
    <w:rsid w:val="00B00DBD"/>
    <w:rsid w:val="00B02BEB"/>
    <w:rsid w:val="00B02BF7"/>
    <w:rsid w:val="00B03347"/>
    <w:rsid w:val="00B0531F"/>
    <w:rsid w:val="00B05782"/>
    <w:rsid w:val="00B05D28"/>
    <w:rsid w:val="00B079A7"/>
    <w:rsid w:val="00B10FFD"/>
    <w:rsid w:val="00B11875"/>
    <w:rsid w:val="00B119C0"/>
    <w:rsid w:val="00B11FBF"/>
    <w:rsid w:val="00B13D12"/>
    <w:rsid w:val="00B1529C"/>
    <w:rsid w:val="00B1546A"/>
    <w:rsid w:val="00B172F2"/>
    <w:rsid w:val="00B1751A"/>
    <w:rsid w:val="00B17E00"/>
    <w:rsid w:val="00B216DD"/>
    <w:rsid w:val="00B22613"/>
    <w:rsid w:val="00B22EA2"/>
    <w:rsid w:val="00B2385B"/>
    <w:rsid w:val="00B23A1F"/>
    <w:rsid w:val="00B24892"/>
    <w:rsid w:val="00B26289"/>
    <w:rsid w:val="00B26BB0"/>
    <w:rsid w:val="00B26FED"/>
    <w:rsid w:val="00B2776A"/>
    <w:rsid w:val="00B30D88"/>
    <w:rsid w:val="00B319FD"/>
    <w:rsid w:val="00B31F95"/>
    <w:rsid w:val="00B3224C"/>
    <w:rsid w:val="00B325F4"/>
    <w:rsid w:val="00B335C4"/>
    <w:rsid w:val="00B341E8"/>
    <w:rsid w:val="00B360B2"/>
    <w:rsid w:val="00B374DB"/>
    <w:rsid w:val="00B37900"/>
    <w:rsid w:val="00B4002A"/>
    <w:rsid w:val="00B406FC"/>
    <w:rsid w:val="00B407E8"/>
    <w:rsid w:val="00B41863"/>
    <w:rsid w:val="00B41AD4"/>
    <w:rsid w:val="00B432CE"/>
    <w:rsid w:val="00B43EE2"/>
    <w:rsid w:val="00B457C5"/>
    <w:rsid w:val="00B459D5"/>
    <w:rsid w:val="00B46E48"/>
    <w:rsid w:val="00B50BBF"/>
    <w:rsid w:val="00B515B0"/>
    <w:rsid w:val="00B51605"/>
    <w:rsid w:val="00B51D19"/>
    <w:rsid w:val="00B527BD"/>
    <w:rsid w:val="00B52B10"/>
    <w:rsid w:val="00B53286"/>
    <w:rsid w:val="00B53389"/>
    <w:rsid w:val="00B535A2"/>
    <w:rsid w:val="00B55BDF"/>
    <w:rsid w:val="00B561E2"/>
    <w:rsid w:val="00B56251"/>
    <w:rsid w:val="00B5641B"/>
    <w:rsid w:val="00B56EF0"/>
    <w:rsid w:val="00B57182"/>
    <w:rsid w:val="00B60964"/>
    <w:rsid w:val="00B6115F"/>
    <w:rsid w:val="00B61CC4"/>
    <w:rsid w:val="00B63308"/>
    <w:rsid w:val="00B63586"/>
    <w:rsid w:val="00B63803"/>
    <w:rsid w:val="00B654D5"/>
    <w:rsid w:val="00B660FB"/>
    <w:rsid w:val="00B67712"/>
    <w:rsid w:val="00B67D18"/>
    <w:rsid w:val="00B67F60"/>
    <w:rsid w:val="00B70259"/>
    <w:rsid w:val="00B70FAB"/>
    <w:rsid w:val="00B71134"/>
    <w:rsid w:val="00B73AF9"/>
    <w:rsid w:val="00B73C43"/>
    <w:rsid w:val="00B7513E"/>
    <w:rsid w:val="00B75A06"/>
    <w:rsid w:val="00B75A09"/>
    <w:rsid w:val="00B7605D"/>
    <w:rsid w:val="00B760EE"/>
    <w:rsid w:val="00B762AE"/>
    <w:rsid w:val="00B77C9F"/>
    <w:rsid w:val="00B80701"/>
    <w:rsid w:val="00B81477"/>
    <w:rsid w:val="00B83D08"/>
    <w:rsid w:val="00B84092"/>
    <w:rsid w:val="00B844D5"/>
    <w:rsid w:val="00B84BB2"/>
    <w:rsid w:val="00B85EBA"/>
    <w:rsid w:val="00B868F1"/>
    <w:rsid w:val="00B87A69"/>
    <w:rsid w:val="00B90107"/>
    <w:rsid w:val="00B90620"/>
    <w:rsid w:val="00B91995"/>
    <w:rsid w:val="00B920B2"/>
    <w:rsid w:val="00B9286C"/>
    <w:rsid w:val="00B9296E"/>
    <w:rsid w:val="00B92A00"/>
    <w:rsid w:val="00B92B88"/>
    <w:rsid w:val="00B93C88"/>
    <w:rsid w:val="00B940E7"/>
    <w:rsid w:val="00B965EE"/>
    <w:rsid w:val="00B969FF"/>
    <w:rsid w:val="00B97E1C"/>
    <w:rsid w:val="00BA1607"/>
    <w:rsid w:val="00BA2501"/>
    <w:rsid w:val="00BA3583"/>
    <w:rsid w:val="00BA4522"/>
    <w:rsid w:val="00BA4541"/>
    <w:rsid w:val="00BA4896"/>
    <w:rsid w:val="00BA4B10"/>
    <w:rsid w:val="00BA5FB2"/>
    <w:rsid w:val="00BA6084"/>
    <w:rsid w:val="00BA7BA4"/>
    <w:rsid w:val="00BB083E"/>
    <w:rsid w:val="00BB268B"/>
    <w:rsid w:val="00BB30E5"/>
    <w:rsid w:val="00BB3139"/>
    <w:rsid w:val="00BB4B94"/>
    <w:rsid w:val="00BB606B"/>
    <w:rsid w:val="00BB6140"/>
    <w:rsid w:val="00BB62E1"/>
    <w:rsid w:val="00BB6B59"/>
    <w:rsid w:val="00BB6ED8"/>
    <w:rsid w:val="00BB7153"/>
    <w:rsid w:val="00BC33D7"/>
    <w:rsid w:val="00BC489A"/>
    <w:rsid w:val="00BC5D95"/>
    <w:rsid w:val="00BC5E69"/>
    <w:rsid w:val="00BC6005"/>
    <w:rsid w:val="00BC6D50"/>
    <w:rsid w:val="00BC7376"/>
    <w:rsid w:val="00BC7667"/>
    <w:rsid w:val="00BD04DA"/>
    <w:rsid w:val="00BD3418"/>
    <w:rsid w:val="00BD4585"/>
    <w:rsid w:val="00BD492A"/>
    <w:rsid w:val="00BD55BA"/>
    <w:rsid w:val="00BD61B1"/>
    <w:rsid w:val="00BE298A"/>
    <w:rsid w:val="00BE2C55"/>
    <w:rsid w:val="00BE3904"/>
    <w:rsid w:val="00BE403F"/>
    <w:rsid w:val="00BE62E8"/>
    <w:rsid w:val="00BE759E"/>
    <w:rsid w:val="00BF09D9"/>
    <w:rsid w:val="00BF0CA1"/>
    <w:rsid w:val="00BF0DF6"/>
    <w:rsid w:val="00BF1DD4"/>
    <w:rsid w:val="00BF37BA"/>
    <w:rsid w:val="00BF5067"/>
    <w:rsid w:val="00C0122C"/>
    <w:rsid w:val="00C01A72"/>
    <w:rsid w:val="00C01F3C"/>
    <w:rsid w:val="00C03AD2"/>
    <w:rsid w:val="00C03C4E"/>
    <w:rsid w:val="00C0420F"/>
    <w:rsid w:val="00C06391"/>
    <w:rsid w:val="00C0738E"/>
    <w:rsid w:val="00C12B10"/>
    <w:rsid w:val="00C14A27"/>
    <w:rsid w:val="00C14F3F"/>
    <w:rsid w:val="00C2325E"/>
    <w:rsid w:val="00C23C51"/>
    <w:rsid w:val="00C2485A"/>
    <w:rsid w:val="00C25B31"/>
    <w:rsid w:val="00C25DA6"/>
    <w:rsid w:val="00C269B1"/>
    <w:rsid w:val="00C27709"/>
    <w:rsid w:val="00C31C7B"/>
    <w:rsid w:val="00C355C3"/>
    <w:rsid w:val="00C362E4"/>
    <w:rsid w:val="00C367CC"/>
    <w:rsid w:val="00C36ACF"/>
    <w:rsid w:val="00C4098B"/>
    <w:rsid w:val="00C40CF1"/>
    <w:rsid w:val="00C41BF7"/>
    <w:rsid w:val="00C42E4D"/>
    <w:rsid w:val="00C430F7"/>
    <w:rsid w:val="00C4315C"/>
    <w:rsid w:val="00C438AE"/>
    <w:rsid w:val="00C4594F"/>
    <w:rsid w:val="00C473F6"/>
    <w:rsid w:val="00C47631"/>
    <w:rsid w:val="00C52C36"/>
    <w:rsid w:val="00C53B81"/>
    <w:rsid w:val="00C53F0B"/>
    <w:rsid w:val="00C54C41"/>
    <w:rsid w:val="00C552F3"/>
    <w:rsid w:val="00C57329"/>
    <w:rsid w:val="00C60197"/>
    <w:rsid w:val="00C6083E"/>
    <w:rsid w:val="00C63389"/>
    <w:rsid w:val="00C70C66"/>
    <w:rsid w:val="00C71A8D"/>
    <w:rsid w:val="00C7327A"/>
    <w:rsid w:val="00C75982"/>
    <w:rsid w:val="00C75A2C"/>
    <w:rsid w:val="00C77197"/>
    <w:rsid w:val="00C810F4"/>
    <w:rsid w:val="00C830C5"/>
    <w:rsid w:val="00C83BB4"/>
    <w:rsid w:val="00C8580C"/>
    <w:rsid w:val="00C8623F"/>
    <w:rsid w:val="00C91823"/>
    <w:rsid w:val="00C9232A"/>
    <w:rsid w:val="00C930D8"/>
    <w:rsid w:val="00C9389B"/>
    <w:rsid w:val="00C9670F"/>
    <w:rsid w:val="00C97540"/>
    <w:rsid w:val="00C976A0"/>
    <w:rsid w:val="00CA0080"/>
    <w:rsid w:val="00CA06CD"/>
    <w:rsid w:val="00CA40F5"/>
    <w:rsid w:val="00CA5DF6"/>
    <w:rsid w:val="00CA672D"/>
    <w:rsid w:val="00CB0343"/>
    <w:rsid w:val="00CB03DA"/>
    <w:rsid w:val="00CB07C7"/>
    <w:rsid w:val="00CB1449"/>
    <w:rsid w:val="00CB200A"/>
    <w:rsid w:val="00CB2456"/>
    <w:rsid w:val="00CB2495"/>
    <w:rsid w:val="00CB495B"/>
    <w:rsid w:val="00CB4D54"/>
    <w:rsid w:val="00CB5B44"/>
    <w:rsid w:val="00CB6499"/>
    <w:rsid w:val="00CC07BC"/>
    <w:rsid w:val="00CC2757"/>
    <w:rsid w:val="00CC31B4"/>
    <w:rsid w:val="00CC31D0"/>
    <w:rsid w:val="00CC33FE"/>
    <w:rsid w:val="00CC681F"/>
    <w:rsid w:val="00CD0E42"/>
    <w:rsid w:val="00CD17E4"/>
    <w:rsid w:val="00CD262C"/>
    <w:rsid w:val="00CD3FA6"/>
    <w:rsid w:val="00CD4974"/>
    <w:rsid w:val="00CD5297"/>
    <w:rsid w:val="00CD5694"/>
    <w:rsid w:val="00CD7319"/>
    <w:rsid w:val="00CD7ABB"/>
    <w:rsid w:val="00CE0AA9"/>
    <w:rsid w:val="00CE1502"/>
    <w:rsid w:val="00CE1ECA"/>
    <w:rsid w:val="00CE21C7"/>
    <w:rsid w:val="00CE3513"/>
    <w:rsid w:val="00CE40E1"/>
    <w:rsid w:val="00CE4380"/>
    <w:rsid w:val="00CE4759"/>
    <w:rsid w:val="00CE5B59"/>
    <w:rsid w:val="00CE5DCB"/>
    <w:rsid w:val="00CE6482"/>
    <w:rsid w:val="00CE66C8"/>
    <w:rsid w:val="00CE6BA8"/>
    <w:rsid w:val="00CE6F80"/>
    <w:rsid w:val="00CF11F4"/>
    <w:rsid w:val="00CF1B50"/>
    <w:rsid w:val="00CF2862"/>
    <w:rsid w:val="00CF2BED"/>
    <w:rsid w:val="00CF67DF"/>
    <w:rsid w:val="00CF70BC"/>
    <w:rsid w:val="00D00441"/>
    <w:rsid w:val="00D00E04"/>
    <w:rsid w:val="00D02B4A"/>
    <w:rsid w:val="00D036BD"/>
    <w:rsid w:val="00D039DB"/>
    <w:rsid w:val="00D04E05"/>
    <w:rsid w:val="00D05005"/>
    <w:rsid w:val="00D05B2E"/>
    <w:rsid w:val="00D074AA"/>
    <w:rsid w:val="00D075E4"/>
    <w:rsid w:val="00D10A9C"/>
    <w:rsid w:val="00D10E01"/>
    <w:rsid w:val="00D11ECB"/>
    <w:rsid w:val="00D11F4C"/>
    <w:rsid w:val="00D12DFC"/>
    <w:rsid w:val="00D130FB"/>
    <w:rsid w:val="00D13439"/>
    <w:rsid w:val="00D139F2"/>
    <w:rsid w:val="00D140D5"/>
    <w:rsid w:val="00D14A4D"/>
    <w:rsid w:val="00D16232"/>
    <w:rsid w:val="00D16911"/>
    <w:rsid w:val="00D169AD"/>
    <w:rsid w:val="00D2080C"/>
    <w:rsid w:val="00D20912"/>
    <w:rsid w:val="00D21842"/>
    <w:rsid w:val="00D21CDF"/>
    <w:rsid w:val="00D22B6B"/>
    <w:rsid w:val="00D23C2B"/>
    <w:rsid w:val="00D25739"/>
    <w:rsid w:val="00D25817"/>
    <w:rsid w:val="00D26B26"/>
    <w:rsid w:val="00D27070"/>
    <w:rsid w:val="00D276B8"/>
    <w:rsid w:val="00D30080"/>
    <w:rsid w:val="00D305E0"/>
    <w:rsid w:val="00D3111B"/>
    <w:rsid w:val="00D31926"/>
    <w:rsid w:val="00D32045"/>
    <w:rsid w:val="00D327E0"/>
    <w:rsid w:val="00D344EE"/>
    <w:rsid w:val="00D34568"/>
    <w:rsid w:val="00D34DDE"/>
    <w:rsid w:val="00D35021"/>
    <w:rsid w:val="00D3628A"/>
    <w:rsid w:val="00D36A05"/>
    <w:rsid w:val="00D37F86"/>
    <w:rsid w:val="00D41EBA"/>
    <w:rsid w:val="00D44AD4"/>
    <w:rsid w:val="00D50D6A"/>
    <w:rsid w:val="00D5167A"/>
    <w:rsid w:val="00D51EFF"/>
    <w:rsid w:val="00D54D27"/>
    <w:rsid w:val="00D55EE2"/>
    <w:rsid w:val="00D55F0F"/>
    <w:rsid w:val="00D60E9B"/>
    <w:rsid w:val="00D61603"/>
    <w:rsid w:val="00D62073"/>
    <w:rsid w:val="00D620DE"/>
    <w:rsid w:val="00D64173"/>
    <w:rsid w:val="00D6540D"/>
    <w:rsid w:val="00D663DC"/>
    <w:rsid w:val="00D66E23"/>
    <w:rsid w:val="00D672F5"/>
    <w:rsid w:val="00D7054E"/>
    <w:rsid w:val="00D7125F"/>
    <w:rsid w:val="00D720AD"/>
    <w:rsid w:val="00D76305"/>
    <w:rsid w:val="00D81C06"/>
    <w:rsid w:val="00D8383F"/>
    <w:rsid w:val="00D84454"/>
    <w:rsid w:val="00D84A7A"/>
    <w:rsid w:val="00D85A82"/>
    <w:rsid w:val="00D85B94"/>
    <w:rsid w:val="00D902B3"/>
    <w:rsid w:val="00D90FE1"/>
    <w:rsid w:val="00D90FE4"/>
    <w:rsid w:val="00D916CA"/>
    <w:rsid w:val="00D918AA"/>
    <w:rsid w:val="00D91CC2"/>
    <w:rsid w:val="00D930CA"/>
    <w:rsid w:val="00D93447"/>
    <w:rsid w:val="00D9367E"/>
    <w:rsid w:val="00D93B55"/>
    <w:rsid w:val="00D9438D"/>
    <w:rsid w:val="00D94827"/>
    <w:rsid w:val="00D94D4C"/>
    <w:rsid w:val="00D94F9B"/>
    <w:rsid w:val="00D9511C"/>
    <w:rsid w:val="00D95A78"/>
    <w:rsid w:val="00DA0024"/>
    <w:rsid w:val="00DA091E"/>
    <w:rsid w:val="00DA1A21"/>
    <w:rsid w:val="00DA2A30"/>
    <w:rsid w:val="00DA3D55"/>
    <w:rsid w:val="00DA428B"/>
    <w:rsid w:val="00DA5BA9"/>
    <w:rsid w:val="00DA7067"/>
    <w:rsid w:val="00DB08C9"/>
    <w:rsid w:val="00DB1817"/>
    <w:rsid w:val="00DB1D75"/>
    <w:rsid w:val="00DB227E"/>
    <w:rsid w:val="00DB259C"/>
    <w:rsid w:val="00DB2C72"/>
    <w:rsid w:val="00DB53B6"/>
    <w:rsid w:val="00DB6D38"/>
    <w:rsid w:val="00DB6F0B"/>
    <w:rsid w:val="00DB78EF"/>
    <w:rsid w:val="00DB79DA"/>
    <w:rsid w:val="00DC0AF6"/>
    <w:rsid w:val="00DC3DB2"/>
    <w:rsid w:val="00DC52A1"/>
    <w:rsid w:val="00DC53EF"/>
    <w:rsid w:val="00DC687F"/>
    <w:rsid w:val="00DC733D"/>
    <w:rsid w:val="00DC7453"/>
    <w:rsid w:val="00DC76CD"/>
    <w:rsid w:val="00DC7931"/>
    <w:rsid w:val="00DD06D4"/>
    <w:rsid w:val="00DD2771"/>
    <w:rsid w:val="00DD278A"/>
    <w:rsid w:val="00DD298B"/>
    <w:rsid w:val="00DD3735"/>
    <w:rsid w:val="00DD3F4B"/>
    <w:rsid w:val="00DD6AF6"/>
    <w:rsid w:val="00DE2346"/>
    <w:rsid w:val="00DE3C2A"/>
    <w:rsid w:val="00DE3D8D"/>
    <w:rsid w:val="00DE516E"/>
    <w:rsid w:val="00DE5E34"/>
    <w:rsid w:val="00DE63D6"/>
    <w:rsid w:val="00DE6458"/>
    <w:rsid w:val="00DE645A"/>
    <w:rsid w:val="00DE6950"/>
    <w:rsid w:val="00DE6E92"/>
    <w:rsid w:val="00DE79A9"/>
    <w:rsid w:val="00DF2489"/>
    <w:rsid w:val="00DF34E5"/>
    <w:rsid w:val="00DF47BF"/>
    <w:rsid w:val="00DF596C"/>
    <w:rsid w:val="00DF5C07"/>
    <w:rsid w:val="00DF5C4C"/>
    <w:rsid w:val="00DF618A"/>
    <w:rsid w:val="00E000EB"/>
    <w:rsid w:val="00E00F0F"/>
    <w:rsid w:val="00E01558"/>
    <w:rsid w:val="00E0155E"/>
    <w:rsid w:val="00E02441"/>
    <w:rsid w:val="00E03EE5"/>
    <w:rsid w:val="00E04F25"/>
    <w:rsid w:val="00E05B80"/>
    <w:rsid w:val="00E0616B"/>
    <w:rsid w:val="00E06769"/>
    <w:rsid w:val="00E06F8E"/>
    <w:rsid w:val="00E074A5"/>
    <w:rsid w:val="00E10807"/>
    <w:rsid w:val="00E10F79"/>
    <w:rsid w:val="00E11E6F"/>
    <w:rsid w:val="00E12415"/>
    <w:rsid w:val="00E13F4F"/>
    <w:rsid w:val="00E14CA9"/>
    <w:rsid w:val="00E15967"/>
    <w:rsid w:val="00E15B55"/>
    <w:rsid w:val="00E15CCA"/>
    <w:rsid w:val="00E163A1"/>
    <w:rsid w:val="00E169AC"/>
    <w:rsid w:val="00E17668"/>
    <w:rsid w:val="00E179DC"/>
    <w:rsid w:val="00E17F0B"/>
    <w:rsid w:val="00E2011D"/>
    <w:rsid w:val="00E20F97"/>
    <w:rsid w:val="00E2342B"/>
    <w:rsid w:val="00E239D8"/>
    <w:rsid w:val="00E2585D"/>
    <w:rsid w:val="00E263FB"/>
    <w:rsid w:val="00E31BE5"/>
    <w:rsid w:val="00E32AFD"/>
    <w:rsid w:val="00E3324E"/>
    <w:rsid w:val="00E33749"/>
    <w:rsid w:val="00E33E85"/>
    <w:rsid w:val="00E35DB3"/>
    <w:rsid w:val="00E36612"/>
    <w:rsid w:val="00E367DC"/>
    <w:rsid w:val="00E40A3A"/>
    <w:rsid w:val="00E40F03"/>
    <w:rsid w:val="00E41E53"/>
    <w:rsid w:val="00E41EC7"/>
    <w:rsid w:val="00E43C2B"/>
    <w:rsid w:val="00E444D6"/>
    <w:rsid w:val="00E458C3"/>
    <w:rsid w:val="00E5025D"/>
    <w:rsid w:val="00E5209F"/>
    <w:rsid w:val="00E52176"/>
    <w:rsid w:val="00E5286D"/>
    <w:rsid w:val="00E53288"/>
    <w:rsid w:val="00E5587B"/>
    <w:rsid w:val="00E55FF7"/>
    <w:rsid w:val="00E56076"/>
    <w:rsid w:val="00E56352"/>
    <w:rsid w:val="00E5651A"/>
    <w:rsid w:val="00E56D0C"/>
    <w:rsid w:val="00E57367"/>
    <w:rsid w:val="00E57BA2"/>
    <w:rsid w:val="00E60996"/>
    <w:rsid w:val="00E636CB"/>
    <w:rsid w:val="00E6417B"/>
    <w:rsid w:val="00E64536"/>
    <w:rsid w:val="00E6472D"/>
    <w:rsid w:val="00E65219"/>
    <w:rsid w:val="00E65CBD"/>
    <w:rsid w:val="00E65E73"/>
    <w:rsid w:val="00E66D3F"/>
    <w:rsid w:val="00E67FD8"/>
    <w:rsid w:val="00E703D8"/>
    <w:rsid w:val="00E70542"/>
    <w:rsid w:val="00E70778"/>
    <w:rsid w:val="00E70E41"/>
    <w:rsid w:val="00E712D9"/>
    <w:rsid w:val="00E725EB"/>
    <w:rsid w:val="00E7328B"/>
    <w:rsid w:val="00E738BB"/>
    <w:rsid w:val="00E744E2"/>
    <w:rsid w:val="00E74FD8"/>
    <w:rsid w:val="00E755DB"/>
    <w:rsid w:val="00E75F11"/>
    <w:rsid w:val="00E76103"/>
    <w:rsid w:val="00E76703"/>
    <w:rsid w:val="00E76FC9"/>
    <w:rsid w:val="00E7754E"/>
    <w:rsid w:val="00E779DE"/>
    <w:rsid w:val="00E80B22"/>
    <w:rsid w:val="00E81999"/>
    <w:rsid w:val="00E8207C"/>
    <w:rsid w:val="00E820F4"/>
    <w:rsid w:val="00E82B60"/>
    <w:rsid w:val="00E82DA1"/>
    <w:rsid w:val="00E84752"/>
    <w:rsid w:val="00E85279"/>
    <w:rsid w:val="00E85365"/>
    <w:rsid w:val="00E85649"/>
    <w:rsid w:val="00E87830"/>
    <w:rsid w:val="00E90A6B"/>
    <w:rsid w:val="00E90E3A"/>
    <w:rsid w:val="00E92959"/>
    <w:rsid w:val="00E92EAE"/>
    <w:rsid w:val="00E9393F"/>
    <w:rsid w:val="00E93B8B"/>
    <w:rsid w:val="00E9451C"/>
    <w:rsid w:val="00E94BE0"/>
    <w:rsid w:val="00E96C7C"/>
    <w:rsid w:val="00E976D0"/>
    <w:rsid w:val="00EA0D6C"/>
    <w:rsid w:val="00EA157B"/>
    <w:rsid w:val="00EA227C"/>
    <w:rsid w:val="00EA4D5A"/>
    <w:rsid w:val="00EA5851"/>
    <w:rsid w:val="00EA68FE"/>
    <w:rsid w:val="00EB0185"/>
    <w:rsid w:val="00EB01CF"/>
    <w:rsid w:val="00EB0799"/>
    <w:rsid w:val="00EB2391"/>
    <w:rsid w:val="00EB2B27"/>
    <w:rsid w:val="00EB3377"/>
    <w:rsid w:val="00EB3CA9"/>
    <w:rsid w:val="00EB410A"/>
    <w:rsid w:val="00EB5B52"/>
    <w:rsid w:val="00EB64A0"/>
    <w:rsid w:val="00EB689F"/>
    <w:rsid w:val="00EB6CB5"/>
    <w:rsid w:val="00EB7B6E"/>
    <w:rsid w:val="00EC0B4A"/>
    <w:rsid w:val="00EC1462"/>
    <w:rsid w:val="00EC1FAF"/>
    <w:rsid w:val="00EC24CC"/>
    <w:rsid w:val="00EC34B5"/>
    <w:rsid w:val="00EC66C4"/>
    <w:rsid w:val="00EC7256"/>
    <w:rsid w:val="00ED2121"/>
    <w:rsid w:val="00ED2840"/>
    <w:rsid w:val="00ED2EC8"/>
    <w:rsid w:val="00ED361D"/>
    <w:rsid w:val="00ED5C86"/>
    <w:rsid w:val="00ED5DD7"/>
    <w:rsid w:val="00ED61E6"/>
    <w:rsid w:val="00ED68B0"/>
    <w:rsid w:val="00ED758A"/>
    <w:rsid w:val="00ED7CF9"/>
    <w:rsid w:val="00EE1410"/>
    <w:rsid w:val="00EE1630"/>
    <w:rsid w:val="00EE2337"/>
    <w:rsid w:val="00EE256A"/>
    <w:rsid w:val="00EE2986"/>
    <w:rsid w:val="00EE29C2"/>
    <w:rsid w:val="00EE29EF"/>
    <w:rsid w:val="00EE39A5"/>
    <w:rsid w:val="00EE6664"/>
    <w:rsid w:val="00EF2CC2"/>
    <w:rsid w:val="00EF3405"/>
    <w:rsid w:val="00EF5077"/>
    <w:rsid w:val="00EF6C6C"/>
    <w:rsid w:val="00EF6F04"/>
    <w:rsid w:val="00EF7909"/>
    <w:rsid w:val="00F00094"/>
    <w:rsid w:val="00F02102"/>
    <w:rsid w:val="00F022D0"/>
    <w:rsid w:val="00F0291D"/>
    <w:rsid w:val="00F05079"/>
    <w:rsid w:val="00F05ABA"/>
    <w:rsid w:val="00F1032A"/>
    <w:rsid w:val="00F106C4"/>
    <w:rsid w:val="00F12418"/>
    <w:rsid w:val="00F125E9"/>
    <w:rsid w:val="00F13937"/>
    <w:rsid w:val="00F13E99"/>
    <w:rsid w:val="00F141F0"/>
    <w:rsid w:val="00F14405"/>
    <w:rsid w:val="00F14ECD"/>
    <w:rsid w:val="00F15157"/>
    <w:rsid w:val="00F1554C"/>
    <w:rsid w:val="00F16509"/>
    <w:rsid w:val="00F2071A"/>
    <w:rsid w:val="00F212D1"/>
    <w:rsid w:val="00F21AE5"/>
    <w:rsid w:val="00F22E6F"/>
    <w:rsid w:val="00F24219"/>
    <w:rsid w:val="00F24F10"/>
    <w:rsid w:val="00F261F9"/>
    <w:rsid w:val="00F26E27"/>
    <w:rsid w:val="00F3008E"/>
    <w:rsid w:val="00F338B0"/>
    <w:rsid w:val="00F345E9"/>
    <w:rsid w:val="00F36333"/>
    <w:rsid w:val="00F37C6A"/>
    <w:rsid w:val="00F419D4"/>
    <w:rsid w:val="00F41BEB"/>
    <w:rsid w:val="00F42682"/>
    <w:rsid w:val="00F43936"/>
    <w:rsid w:val="00F44463"/>
    <w:rsid w:val="00F45090"/>
    <w:rsid w:val="00F51020"/>
    <w:rsid w:val="00F51847"/>
    <w:rsid w:val="00F51E21"/>
    <w:rsid w:val="00F52EF9"/>
    <w:rsid w:val="00F53082"/>
    <w:rsid w:val="00F54EB8"/>
    <w:rsid w:val="00F5526F"/>
    <w:rsid w:val="00F55C95"/>
    <w:rsid w:val="00F56678"/>
    <w:rsid w:val="00F600E0"/>
    <w:rsid w:val="00F61C02"/>
    <w:rsid w:val="00F639F4"/>
    <w:rsid w:val="00F6531A"/>
    <w:rsid w:val="00F65BDB"/>
    <w:rsid w:val="00F66DAA"/>
    <w:rsid w:val="00F671AA"/>
    <w:rsid w:val="00F67FC3"/>
    <w:rsid w:val="00F7175B"/>
    <w:rsid w:val="00F7283E"/>
    <w:rsid w:val="00F72B1C"/>
    <w:rsid w:val="00F75010"/>
    <w:rsid w:val="00F75908"/>
    <w:rsid w:val="00F76E56"/>
    <w:rsid w:val="00F80F89"/>
    <w:rsid w:val="00F810B7"/>
    <w:rsid w:val="00F8169F"/>
    <w:rsid w:val="00F816D5"/>
    <w:rsid w:val="00F84374"/>
    <w:rsid w:val="00F85723"/>
    <w:rsid w:val="00F85823"/>
    <w:rsid w:val="00F85D1F"/>
    <w:rsid w:val="00F866C9"/>
    <w:rsid w:val="00F86CA3"/>
    <w:rsid w:val="00F90013"/>
    <w:rsid w:val="00F903A8"/>
    <w:rsid w:val="00F91B84"/>
    <w:rsid w:val="00F93371"/>
    <w:rsid w:val="00F93909"/>
    <w:rsid w:val="00F94F88"/>
    <w:rsid w:val="00F96461"/>
    <w:rsid w:val="00F966CA"/>
    <w:rsid w:val="00F97FE1"/>
    <w:rsid w:val="00FA2E71"/>
    <w:rsid w:val="00FA5160"/>
    <w:rsid w:val="00FA618C"/>
    <w:rsid w:val="00FA6BBA"/>
    <w:rsid w:val="00FA77A2"/>
    <w:rsid w:val="00FA7B72"/>
    <w:rsid w:val="00FA7B79"/>
    <w:rsid w:val="00FB06BE"/>
    <w:rsid w:val="00FB07B1"/>
    <w:rsid w:val="00FB07E9"/>
    <w:rsid w:val="00FB19D9"/>
    <w:rsid w:val="00FB1BE3"/>
    <w:rsid w:val="00FB1CD3"/>
    <w:rsid w:val="00FB20DC"/>
    <w:rsid w:val="00FB2B5A"/>
    <w:rsid w:val="00FB3061"/>
    <w:rsid w:val="00FB36D4"/>
    <w:rsid w:val="00FB3E85"/>
    <w:rsid w:val="00FB48C7"/>
    <w:rsid w:val="00FB544B"/>
    <w:rsid w:val="00FB5774"/>
    <w:rsid w:val="00FB6189"/>
    <w:rsid w:val="00FB6610"/>
    <w:rsid w:val="00FC1060"/>
    <w:rsid w:val="00FC58CE"/>
    <w:rsid w:val="00FC6C00"/>
    <w:rsid w:val="00FC717E"/>
    <w:rsid w:val="00FD0080"/>
    <w:rsid w:val="00FD03E4"/>
    <w:rsid w:val="00FD04F5"/>
    <w:rsid w:val="00FD097E"/>
    <w:rsid w:val="00FD35F3"/>
    <w:rsid w:val="00FD39A1"/>
    <w:rsid w:val="00FD39DA"/>
    <w:rsid w:val="00FD4F6B"/>
    <w:rsid w:val="00FD595E"/>
    <w:rsid w:val="00FD7343"/>
    <w:rsid w:val="00FD7D4F"/>
    <w:rsid w:val="00FE057A"/>
    <w:rsid w:val="00FE0585"/>
    <w:rsid w:val="00FE06A2"/>
    <w:rsid w:val="00FE0A9D"/>
    <w:rsid w:val="00FE0AAF"/>
    <w:rsid w:val="00FE180C"/>
    <w:rsid w:val="00FE48E6"/>
    <w:rsid w:val="00FE4A60"/>
    <w:rsid w:val="00FE4CF5"/>
    <w:rsid w:val="00FE6357"/>
    <w:rsid w:val="00FE666F"/>
    <w:rsid w:val="00FE7404"/>
    <w:rsid w:val="00FE76E1"/>
    <w:rsid w:val="00FF06AC"/>
    <w:rsid w:val="00FF0A9D"/>
    <w:rsid w:val="00FF204A"/>
    <w:rsid w:val="00FF2529"/>
    <w:rsid w:val="00FF33CE"/>
    <w:rsid w:val="00FF3D20"/>
    <w:rsid w:val="00FF3D6F"/>
    <w:rsid w:val="00FF7A7E"/>
    <w:rsid w:val="0242441C"/>
    <w:rsid w:val="0986681C"/>
    <w:rsid w:val="0DC43F13"/>
    <w:rsid w:val="12D656C8"/>
    <w:rsid w:val="131D659F"/>
    <w:rsid w:val="17FE1322"/>
    <w:rsid w:val="18E37943"/>
    <w:rsid w:val="1D2D20E6"/>
    <w:rsid w:val="1ED020C6"/>
    <w:rsid w:val="1EF97297"/>
    <w:rsid w:val="1FBA3C01"/>
    <w:rsid w:val="21DA38AD"/>
    <w:rsid w:val="23BF7609"/>
    <w:rsid w:val="273133CF"/>
    <w:rsid w:val="379323FF"/>
    <w:rsid w:val="38D824D3"/>
    <w:rsid w:val="397C2F24"/>
    <w:rsid w:val="39A774D3"/>
    <w:rsid w:val="43CA57C8"/>
    <w:rsid w:val="475813C6"/>
    <w:rsid w:val="4C8B224F"/>
    <w:rsid w:val="4F1D75FD"/>
    <w:rsid w:val="50D57A22"/>
    <w:rsid w:val="539078E6"/>
    <w:rsid w:val="58627B7D"/>
    <w:rsid w:val="60B53DBD"/>
    <w:rsid w:val="6110298B"/>
    <w:rsid w:val="6183104F"/>
    <w:rsid w:val="65A15240"/>
    <w:rsid w:val="66562CF4"/>
    <w:rsid w:val="6A3944D6"/>
    <w:rsid w:val="6C746DE0"/>
    <w:rsid w:val="6D130785"/>
    <w:rsid w:val="6D8714E4"/>
    <w:rsid w:val="6DD751EE"/>
    <w:rsid w:val="70332C34"/>
    <w:rsid w:val="745F38FB"/>
    <w:rsid w:val="751A5150"/>
    <w:rsid w:val="75FE0A8D"/>
    <w:rsid w:val="77B614DE"/>
    <w:rsid w:val="79276269"/>
    <w:rsid w:val="79761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1F17A"/>
  <w15:chartTrackingRefBased/>
  <w15:docId w15:val="{7658871F-C53A-4DCD-98A3-A434E85D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iPriority="0" w:unhideWhenUsed="1" w:qFormat="1"/>
    <w:lsdException w:name="annotation text"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spacing w:before="240" w:after="60"/>
      <w:outlineLvl w:val="3"/>
    </w:pPr>
    <w:rPr>
      <w:rFonts w:ascii="Calibri" w:eastAsia="等线" w:hAnsi="Calibri"/>
      <w:b/>
      <w:bCs/>
      <w:sz w:val="28"/>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paragraph" w:styleId="9">
    <w:name w:val="heading 9"/>
    <w:basedOn w:val="a"/>
    <w:next w:val="a"/>
    <w:link w:val="90"/>
    <w:uiPriority w:val="9"/>
    <w:qFormat/>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Pr>
      <w:rFonts w:ascii="Times New Roman" w:eastAsia="宋体" w:hAnsi="Times New Roman"/>
      <w:b/>
      <w:bCs/>
      <w:kern w:val="44"/>
      <w:sz w:val="44"/>
      <w:szCs w:val="44"/>
    </w:rPr>
  </w:style>
  <w:style w:type="character" w:customStyle="1" w:styleId="20">
    <w:name w:val="标题 2 字符"/>
    <w:link w:val="2"/>
    <w:uiPriority w:val="9"/>
    <w:semiHidden/>
    <w:rPr>
      <w:rFonts w:ascii="等线 Light" w:eastAsia="等线 Light" w:hAnsi="等线 Light" w:cs="Times New Roman"/>
      <w:b/>
      <w:bCs/>
      <w:kern w:val="2"/>
      <w:sz w:val="32"/>
      <w:szCs w:val="32"/>
    </w:rPr>
  </w:style>
  <w:style w:type="character" w:customStyle="1" w:styleId="30">
    <w:name w:val="标题 3 字符"/>
    <w:link w:val="3"/>
    <w:uiPriority w:val="9"/>
    <w:semiHidden/>
    <w:rPr>
      <w:b/>
      <w:bCs/>
      <w:kern w:val="2"/>
      <w:sz w:val="32"/>
      <w:szCs w:val="32"/>
    </w:rPr>
  </w:style>
  <w:style w:type="character" w:customStyle="1" w:styleId="40">
    <w:name w:val="标题 4 字符"/>
    <w:link w:val="4"/>
    <w:uiPriority w:val="9"/>
    <w:semiHidden/>
    <w:rPr>
      <w:rFonts w:ascii="Calibri" w:eastAsia="等线" w:hAnsi="Calibri" w:cs="Times New Roman"/>
      <w:b/>
      <w:bCs/>
      <w:kern w:val="2"/>
      <w:sz w:val="28"/>
      <w:szCs w:val="28"/>
    </w:rPr>
  </w:style>
  <w:style w:type="character" w:customStyle="1" w:styleId="50">
    <w:name w:val="标题 5 字符"/>
    <w:link w:val="5"/>
    <w:uiPriority w:val="9"/>
    <w:semiHidden/>
    <w:rPr>
      <w:b/>
      <w:bCs/>
      <w:kern w:val="2"/>
      <w:sz w:val="28"/>
      <w:szCs w:val="28"/>
    </w:rPr>
  </w:style>
  <w:style w:type="character" w:customStyle="1" w:styleId="90">
    <w:name w:val="标题 9 字符"/>
    <w:link w:val="9"/>
    <w:uiPriority w:val="9"/>
    <w:semiHidden/>
    <w:rPr>
      <w:rFonts w:ascii="等线 Light" w:eastAsia="等线 Light" w:hAnsi="等线 Light" w:cs="Times New Roman"/>
      <w:kern w:val="2"/>
      <w:sz w:val="21"/>
      <w:szCs w:val="21"/>
    </w:rPr>
  </w:style>
  <w:style w:type="paragraph" w:styleId="TOC7">
    <w:name w:val="toc 7"/>
    <w:basedOn w:val="a"/>
    <w:next w:val="a"/>
    <w:uiPriority w:val="39"/>
    <w:unhideWhenUsed/>
    <w:pPr>
      <w:ind w:leftChars="1200" w:left="2520"/>
    </w:pPr>
    <w:rPr>
      <w:rFonts w:ascii="等线" w:eastAsia="等线" w:hAnsi="等线"/>
    </w:rPr>
  </w:style>
  <w:style w:type="paragraph" w:styleId="a3">
    <w:name w:val="caption"/>
    <w:basedOn w:val="a"/>
    <w:next w:val="a"/>
    <w:link w:val="a4"/>
    <w:uiPriority w:val="35"/>
    <w:qFormat/>
    <w:pPr>
      <w:adjustRightInd w:val="0"/>
      <w:snapToGrid w:val="0"/>
      <w:spacing w:line="360" w:lineRule="auto"/>
      <w:jc w:val="center"/>
    </w:pPr>
    <w:rPr>
      <w:rFonts w:ascii="微软雅黑" w:eastAsia="微软雅黑" w:hAnsi="Cambria"/>
      <w:b/>
      <w:color w:val="000000"/>
      <w:szCs w:val="20"/>
    </w:rPr>
  </w:style>
  <w:style w:type="character" w:customStyle="1" w:styleId="a4">
    <w:name w:val="题注 字符"/>
    <w:link w:val="a3"/>
    <w:uiPriority w:val="35"/>
    <w:qFormat/>
    <w:rPr>
      <w:rFonts w:ascii="微软雅黑" w:eastAsia="微软雅黑" w:hAnsi="Cambria"/>
      <w:b/>
      <w:color w:val="000000"/>
      <w:kern w:val="2"/>
      <w:sz w:val="21"/>
    </w:rPr>
  </w:style>
  <w:style w:type="paragraph" w:styleId="a5">
    <w:name w:val="annotation text"/>
    <w:basedOn w:val="a"/>
    <w:link w:val="a6"/>
    <w:uiPriority w:val="99"/>
    <w:unhideWhenUsed/>
    <w:pPr>
      <w:jc w:val="left"/>
    </w:pPr>
  </w:style>
  <w:style w:type="character" w:customStyle="1" w:styleId="a6">
    <w:name w:val="批注文字 字符"/>
    <w:link w:val="a5"/>
    <w:uiPriority w:val="99"/>
    <w:semiHidden/>
    <w:rPr>
      <w:kern w:val="2"/>
      <w:sz w:val="21"/>
      <w:szCs w:val="22"/>
    </w:rPr>
  </w:style>
  <w:style w:type="paragraph" w:styleId="a7">
    <w:name w:val="Body Text"/>
    <w:basedOn w:val="a"/>
    <w:link w:val="10"/>
    <w:unhideWhenUsed/>
    <w:pPr>
      <w:spacing w:after="120" w:line="360" w:lineRule="auto"/>
      <w:ind w:firstLineChars="200" w:firstLine="200"/>
      <w:jc w:val="left"/>
    </w:pPr>
    <w:rPr>
      <w:rFonts w:ascii="Arial" w:hAnsi="Arial"/>
      <w:sz w:val="24"/>
      <w:szCs w:val="21"/>
    </w:rPr>
  </w:style>
  <w:style w:type="character" w:customStyle="1" w:styleId="10">
    <w:name w:val="正文文本 字符1"/>
    <w:link w:val="a7"/>
    <w:rPr>
      <w:rFonts w:ascii="Arial" w:eastAsia="宋体" w:hAnsi="Arial"/>
      <w:kern w:val="2"/>
      <w:sz w:val="24"/>
      <w:szCs w:val="21"/>
    </w:rPr>
  </w:style>
  <w:style w:type="paragraph" w:styleId="TOC5">
    <w:name w:val="toc 5"/>
    <w:basedOn w:val="a"/>
    <w:next w:val="a"/>
    <w:uiPriority w:val="39"/>
    <w:unhideWhenUsed/>
    <w:pPr>
      <w:ind w:leftChars="800" w:left="1680"/>
    </w:pPr>
    <w:rPr>
      <w:rFonts w:ascii="等线" w:eastAsia="等线" w:hAnsi="等线"/>
    </w:rPr>
  </w:style>
  <w:style w:type="paragraph" w:styleId="TOC3">
    <w:name w:val="toc 3"/>
    <w:basedOn w:val="a"/>
    <w:next w:val="a"/>
    <w:uiPriority w:val="39"/>
    <w:unhideWhenUsed/>
    <w:pPr>
      <w:ind w:leftChars="400" w:left="840"/>
    </w:pPr>
  </w:style>
  <w:style w:type="paragraph" w:styleId="TOC8">
    <w:name w:val="toc 8"/>
    <w:basedOn w:val="a"/>
    <w:next w:val="a"/>
    <w:uiPriority w:val="39"/>
    <w:unhideWhenUsed/>
    <w:pPr>
      <w:ind w:leftChars="1400" w:left="2940"/>
    </w:pPr>
    <w:rPr>
      <w:rFonts w:ascii="等线" w:eastAsia="等线" w:hAnsi="等线"/>
    </w:rPr>
  </w:style>
  <w:style w:type="paragraph" w:styleId="a8">
    <w:name w:val="Date"/>
    <w:basedOn w:val="a"/>
    <w:next w:val="a"/>
    <w:link w:val="a9"/>
    <w:uiPriority w:val="99"/>
    <w:unhideWhenUsed/>
    <w:pPr>
      <w:ind w:leftChars="2500" w:left="100"/>
    </w:pPr>
  </w:style>
  <w:style w:type="character" w:customStyle="1" w:styleId="a9">
    <w:name w:val="日期 字符"/>
    <w:link w:val="a8"/>
    <w:uiPriority w:val="99"/>
    <w:semiHidden/>
    <w:rPr>
      <w:kern w:val="2"/>
      <w:sz w:val="21"/>
      <w:szCs w:val="22"/>
    </w:rPr>
  </w:style>
  <w:style w:type="paragraph" w:styleId="aa">
    <w:name w:val="Balloon Text"/>
    <w:basedOn w:val="a"/>
    <w:link w:val="ab"/>
    <w:uiPriority w:val="99"/>
    <w:unhideWhenUsed/>
    <w:rPr>
      <w:sz w:val="18"/>
      <w:szCs w:val="18"/>
    </w:rPr>
  </w:style>
  <w:style w:type="character" w:customStyle="1" w:styleId="ab">
    <w:name w:val="批注框文本 字符"/>
    <w:link w:val="aa"/>
    <w:uiPriority w:val="99"/>
    <w:semiHidden/>
    <w:rPr>
      <w:kern w:val="2"/>
      <w:sz w:val="18"/>
      <w:szCs w:val="18"/>
    </w:rPr>
  </w:style>
  <w:style w:type="paragraph" w:styleId="ac">
    <w:name w:val="footer"/>
    <w:basedOn w:val="a"/>
    <w:link w:val="ad"/>
    <w:uiPriority w:val="99"/>
    <w:unhideWhenUsed/>
    <w:pPr>
      <w:tabs>
        <w:tab w:val="center" w:pos="4153"/>
        <w:tab w:val="right" w:pos="8306"/>
      </w:tabs>
      <w:snapToGrid w:val="0"/>
      <w:jc w:val="left"/>
    </w:pPr>
    <w:rPr>
      <w:kern w:val="0"/>
      <w:sz w:val="18"/>
      <w:szCs w:val="18"/>
    </w:rPr>
  </w:style>
  <w:style w:type="character" w:customStyle="1" w:styleId="ad">
    <w:name w:val="页脚 字符"/>
    <w:link w:val="ac"/>
    <w:uiPriority w:val="99"/>
    <w:rPr>
      <w:sz w:val="18"/>
      <w:szCs w:val="18"/>
    </w:rPr>
  </w:style>
  <w:style w:type="paragraph" w:styleId="ae">
    <w:name w:val="header"/>
    <w:basedOn w:val="a"/>
    <w:link w:val="af"/>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af">
    <w:name w:val="页眉 字符"/>
    <w:link w:val="ae"/>
    <w:uiPriority w:val="99"/>
    <w:rPr>
      <w:sz w:val="18"/>
      <w:szCs w:val="18"/>
    </w:rPr>
  </w:style>
  <w:style w:type="paragraph" w:styleId="TOC1">
    <w:name w:val="toc 1"/>
    <w:basedOn w:val="a"/>
    <w:next w:val="a"/>
    <w:uiPriority w:val="39"/>
    <w:unhideWhenUsed/>
    <w:pPr>
      <w:tabs>
        <w:tab w:val="right" w:leader="dot" w:pos="8550"/>
      </w:tabs>
      <w:spacing w:beforeLines="50" w:before="120"/>
    </w:pPr>
    <w:rPr>
      <w:b/>
      <w:bCs/>
      <w:kern w:val="44"/>
      <w:sz w:val="24"/>
      <w:szCs w:val="24"/>
    </w:rPr>
  </w:style>
  <w:style w:type="paragraph" w:styleId="TOC4">
    <w:name w:val="toc 4"/>
    <w:basedOn w:val="a"/>
    <w:next w:val="a"/>
    <w:uiPriority w:val="39"/>
    <w:unhideWhenUsed/>
    <w:pPr>
      <w:ind w:leftChars="600" w:left="1260"/>
    </w:pPr>
    <w:rPr>
      <w:rFonts w:ascii="等线" w:eastAsia="等线" w:hAnsi="等线"/>
    </w:rPr>
  </w:style>
  <w:style w:type="paragraph" w:styleId="af0">
    <w:name w:val="footnote text"/>
    <w:basedOn w:val="a"/>
    <w:link w:val="af1"/>
    <w:unhideWhenUsed/>
    <w:qFormat/>
    <w:pPr>
      <w:adjustRightInd w:val="0"/>
      <w:snapToGrid w:val="0"/>
      <w:spacing w:line="360" w:lineRule="auto"/>
      <w:jc w:val="left"/>
    </w:pPr>
    <w:rPr>
      <w:rFonts w:ascii="微软雅黑" w:eastAsia="微软雅黑" w:hAnsi="Calibri"/>
      <w:sz w:val="18"/>
      <w:szCs w:val="18"/>
    </w:rPr>
  </w:style>
  <w:style w:type="character" w:customStyle="1" w:styleId="af1">
    <w:name w:val="脚注文本 字符"/>
    <w:link w:val="af0"/>
    <w:qFormat/>
    <w:rPr>
      <w:rFonts w:ascii="微软雅黑" w:eastAsia="微软雅黑" w:hAnsi="Calibri"/>
      <w:kern w:val="2"/>
      <w:sz w:val="18"/>
      <w:szCs w:val="18"/>
    </w:rPr>
  </w:style>
  <w:style w:type="paragraph" w:styleId="TOC6">
    <w:name w:val="toc 6"/>
    <w:basedOn w:val="a"/>
    <w:next w:val="a"/>
    <w:uiPriority w:val="39"/>
    <w:unhideWhenUsed/>
    <w:pPr>
      <w:ind w:leftChars="1000" w:left="2100"/>
    </w:pPr>
    <w:rPr>
      <w:rFonts w:ascii="等线" w:eastAsia="等线" w:hAnsi="等线"/>
    </w:rPr>
  </w:style>
  <w:style w:type="paragraph" w:styleId="TOC2">
    <w:name w:val="toc 2"/>
    <w:basedOn w:val="a"/>
    <w:next w:val="a"/>
    <w:uiPriority w:val="39"/>
    <w:unhideWhenUsed/>
    <w:pPr>
      <w:ind w:leftChars="200" w:left="420"/>
    </w:pPr>
  </w:style>
  <w:style w:type="paragraph" w:styleId="TOC9">
    <w:name w:val="toc 9"/>
    <w:basedOn w:val="a"/>
    <w:next w:val="a"/>
    <w:uiPriority w:val="39"/>
    <w:unhideWhenUsed/>
    <w:pPr>
      <w:ind w:leftChars="1600" w:left="3360"/>
    </w:pPr>
    <w:rPr>
      <w:rFonts w:ascii="等线" w:eastAsia="等线" w:hAnsi="等线"/>
    </w:rPr>
  </w:style>
  <w:style w:type="paragraph" w:styleId="af2">
    <w:name w:val="Normal (Web)"/>
    <w:basedOn w:val="a"/>
    <w:uiPriority w:val="99"/>
    <w:unhideWhenUsed/>
    <w:pPr>
      <w:spacing w:before="100" w:beforeAutospacing="1" w:after="100" w:afterAutospacing="1"/>
      <w:jc w:val="left"/>
    </w:pPr>
    <w:rPr>
      <w:kern w:val="0"/>
      <w:sz w:val="24"/>
    </w:rPr>
  </w:style>
  <w:style w:type="paragraph" w:styleId="af3">
    <w:name w:val="annotation subject"/>
    <w:basedOn w:val="a5"/>
    <w:next w:val="a5"/>
    <w:link w:val="af4"/>
    <w:uiPriority w:val="99"/>
    <w:unhideWhenUsed/>
    <w:rPr>
      <w:b/>
      <w:bCs/>
    </w:rPr>
  </w:style>
  <w:style w:type="character" w:customStyle="1" w:styleId="af4">
    <w:name w:val="批注主题 字符"/>
    <w:link w:val="af3"/>
    <w:uiPriority w:val="99"/>
    <w:semiHidden/>
    <w:rPr>
      <w:b/>
      <w:bCs/>
      <w:kern w:val="2"/>
      <w:sz w:val="21"/>
      <w:szCs w:val="22"/>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uiPriority w:val="20"/>
    <w:qFormat/>
    <w:rPr>
      <w:i/>
      <w:iCs/>
    </w:rPr>
  </w:style>
  <w:style w:type="character" w:styleId="af7">
    <w:name w:val="Hyperlink"/>
    <w:uiPriority w:val="99"/>
    <w:unhideWhenUsed/>
    <w:rPr>
      <w:color w:val="0563C1"/>
      <w:u w:val="single"/>
    </w:rPr>
  </w:style>
  <w:style w:type="character" w:styleId="af8">
    <w:name w:val="annotation reference"/>
    <w:uiPriority w:val="99"/>
    <w:rPr>
      <w:sz w:val="21"/>
      <w:szCs w:val="21"/>
    </w:rPr>
  </w:style>
  <w:style w:type="character" w:styleId="af9">
    <w:name w:val="footnote reference"/>
    <w:unhideWhenUsed/>
    <w:qFormat/>
    <w:rPr>
      <w:vertAlign w:val="superscript"/>
    </w:rPr>
  </w:style>
  <w:style w:type="character" w:customStyle="1" w:styleId="12">
    <w:name w:val="标题 1 字符"/>
    <w:uiPriority w:val="9"/>
    <w:qFormat/>
    <w:rPr>
      <w:b/>
      <w:bCs/>
      <w:kern w:val="44"/>
      <w:sz w:val="44"/>
      <w:szCs w:val="44"/>
    </w:rPr>
  </w:style>
  <w:style w:type="paragraph" w:customStyle="1" w:styleId="31">
    <w:name w:val="尚普3"/>
    <w:basedOn w:val="a"/>
    <w:next w:val="a"/>
    <w:link w:val="32"/>
    <w:qFormat/>
    <w:pPr>
      <w:keepNext/>
      <w:keepLines/>
      <w:adjustRightInd w:val="0"/>
      <w:snapToGrid w:val="0"/>
      <w:spacing w:line="360" w:lineRule="auto"/>
      <w:outlineLvl w:val="2"/>
    </w:pPr>
    <w:rPr>
      <w:rFonts w:ascii="微软雅黑" w:eastAsia="微软雅黑" w:hAnsi="微软雅黑"/>
      <w:b/>
      <w:bCs/>
      <w:color w:val="000000"/>
      <w:szCs w:val="28"/>
    </w:rPr>
  </w:style>
  <w:style w:type="character" w:customStyle="1" w:styleId="32">
    <w:name w:val="尚普3 字符"/>
    <w:link w:val="31"/>
    <w:qFormat/>
    <w:rPr>
      <w:rFonts w:ascii="微软雅黑" w:eastAsia="微软雅黑" w:hAnsi="微软雅黑"/>
      <w:b/>
      <w:bCs/>
      <w:color w:val="000000"/>
      <w:kern w:val="2"/>
      <w:sz w:val="21"/>
      <w:szCs w:val="28"/>
    </w:rPr>
  </w:style>
  <w:style w:type="paragraph" w:customStyle="1" w:styleId="41">
    <w:name w:val="尚普4"/>
    <w:basedOn w:val="a"/>
    <w:next w:val="afa"/>
    <w:link w:val="42"/>
    <w:qFormat/>
    <w:pPr>
      <w:keepNext/>
      <w:keepLines/>
      <w:adjustRightInd w:val="0"/>
      <w:snapToGrid w:val="0"/>
      <w:spacing w:line="360" w:lineRule="auto"/>
      <w:outlineLvl w:val="3"/>
    </w:pPr>
    <w:rPr>
      <w:rFonts w:ascii="微软雅黑" w:eastAsia="微软雅黑" w:hAnsi="微软雅黑"/>
      <w:b/>
      <w:bCs/>
      <w:color w:val="000000"/>
      <w:szCs w:val="28"/>
    </w:rPr>
  </w:style>
  <w:style w:type="character" w:customStyle="1" w:styleId="42">
    <w:name w:val="尚普4 字符"/>
    <w:link w:val="41"/>
    <w:qFormat/>
    <w:rPr>
      <w:rFonts w:ascii="微软雅黑" w:eastAsia="微软雅黑" w:hAnsi="微软雅黑"/>
      <w:b/>
      <w:bCs/>
      <w:color w:val="000000"/>
      <w:kern w:val="2"/>
      <w:sz w:val="21"/>
      <w:szCs w:val="28"/>
    </w:rPr>
  </w:style>
  <w:style w:type="paragraph" w:customStyle="1" w:styleId="afa">
    <w:name w:val="尚普正文"/>
    <w:basedOn w:val="a"/>
    <w:link w:val="afb"/>
    <w:qFormat/>
    <w:pPr>
      <w:adjustRightInd w:val="0"/>
      <w:snapToGrid w:val="0"/>
      <w:spacing w:line="360" w:lineRule="auto"/>
      <w:ind w:firstLineChars="200" w:firstLine="200"/>
    </w:pPr>
    <w:rPr>
      <w:rFonts w:ascii="微软雅黑" w:eastAsia="微软雅黑" w:hAnsi="微软雅黑" w:cs="黑体"/>
      <w:color w:val="000000"/>
      <w:szCs w:val="21"/>
    </w:rPr>
  </w:style>
  <w:style w:type="character" w:customStyle="1" w:styleId="afb">
    <w:name w:val="尚普正文 字符"/>
    <w:link w:val="afa"/>
    <w:qFormat/>
    <w:rPr>
      <w:rFonts w:ascii="微软雅黑" w:eastAsia="微软雅黑" w:hAnsi="微软雅黑" w:cs="黑体"/>
      <w:color w:val="000000"/>
      <w:kern w:val="2"/>
      <w:sz w:val="21"/>
      <w:szCs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页眉 Char"/>
    <w:rPr>
      <w:sz w:val="18"/>
      <w:szCs w:val="18"/>
    </w:rPr>
  </w:style>
  <w:style w:type="character" w:customStyle="1" w:styleId="Char0">
    <w:name w:val="页脚 Char"/>
    <w:uiPriority w:val="99"/>
    <w:rPr>
      <w:sz w:val="18"/>
      <w:szCs w:val="18"/>
    </w:rPr>
  </w:style>
  <w:style w:type="character" w:customStyle="1" w:styleId="Char1">
    <w:name w:val="正文文本 Char"/>
    <w:uiPriority w:val="99"/>
    <w:semiHidden/>
    <w:rPr>
      <w:kern w:val="2"/>
      <w:sz w:val="21"/>
      <w:szCs w:val="22"/>
    </w:rPr>
  </w:style>
  <w:style w:type="paragraph" w:styleId="afc">
    <w:name w:val="Revision"/>
    <w:uiPriority w:val="99"/>
    <w:semiHidden/>
    <w:rPr>
      <w:kern w:val="2"/>
      <w:sz w:val="21"/>
      <w:szCs w:val="22"/>
    </w:rPr>
  </w:style>
  <w:style w:type="table" w:customStyle="1" w:styleId="13">
    <w:name w:val="网格型1"/>
    <w:basedOn w:val="a1"/>
    <w:uiPriority w:val="39"/>
    <w:rPr>
      <w:rFonts w:ascii="Courier" w:hAnsi="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样式1"/>
    <w:basedOn w:val="9"/>
    <w:next w:val="9"/>
    <w:link w:val="15"/>
    <w:qFormat/>
    <w:pPr>
      <w:spacing w:beforeLines="50" w:before="120" w:afterLines="50" w:after="120" w:line="360" w:lineRule="auto"/>
      <w:ind w:firstLineChars="200" w:firstLine="480"/>
      <w:outlineLvl w:val="2"/>
    </w:pPr>
    <w:rPr>
      <w:rFonts w:ascii="Times New Roman" w:eastAsia="宋体" w:hAnsi="Times New Roman"/>
      <w:b/>
      <w:sz w:val="24"/>
    </w:rPr>
  </w:style>
  <w:style w:type="character" w:customStyle="1" w:styleId="15">
    <w:name w:val="样式1 字符"/>
    <w:link w:val="14"/>
    <w:rPr>
      <w:rFonts w:ascii="Times New Roman" w:eastAsia="宋体" w:hAnsi="Times New Roman" w:cs="Times New Roman"/>
      <w:b/>
      <w:bCs w:val="0"/>
      <w:kern w:val="2"/>
      <w:sz w:val="24"/>
      <w:szCs w:val="21"/>
    </w:rPr>
  </w:style>
  <w:style w:type="character" w:customStyle="1" w:styleId="afd">
    <w:name w:val="正文文本 字符"/>
    <w:uiPriority w:val="99"/>
    <w:semiHidden/>
    <w:rPr>
      <w:kern w:val="2"/>
      <w:sz w:val="21"/>
      <w:szCs w:val="22"/>
    </w:rPr>
  </w:style>
  <w:style w:type="paragraph" w:styleId="TOC">
    <w:name w:val="TOC Heading"/>
    <w:basedOn w:val="1"/>
    <w:next w:val="a"/>
    <w:uiPriority w:val="39"/>
    <w:qFormat/>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customStyle="1" w:styleId="jin2">
    <w:name w:val="jin2"/>
    <w:basedOn w:val="2"/>
    <w:link w:val="jin2Char"/>
    <w:qFormat/>
    <w:pPr>
      <w:widowControl/>
      <w:spacing w:before="120" w:after="120" w:line="410" w:lineRule="auto"/>
      <w:jc w:val="left"/>
    </w:pPr>
    <w:rPr>
      <w:rFonts w:ascii="Times New Roman" w:eastAsia="宋体" w:hAnsi="Times New Roman"/>
      <w:kern w:val="0"/>
      <w:sz w:val="28"/>
      <w:szCs w:val="28"/>
    </w:rPr>
  </w:style>
  <w:style w:type="character" w:customStyle="1" w:styleId="jin2Char">
    <w:name w:val="jin2 Char"/>
    <w:link w:val="jin2"/>
    <w:rPr>
      <w:b/>
      <w:bCs/>
      <w:sz w:val="28"/>
      <w:szCs w:val="28"/>
    </w:rPr>
  </w:style>
  <w:style w:type="paragraph" w:customStyle="1" w:styleId="afe">
    <w:name w:val="图表"/>
    <w:basedOn w:val="a"/>
    <w:link w:val="Char2"/>
    <w:qFormat/>
    <w:pPr>
      <w:adjustRightInd w:val="0"/>
      <w:snapToGrid w:val="0"/>
      <w:jc w:val="center"/>
    </w:pPr>
    <w:rPr>
      <w:rFonts w:ascii="微软雅黑" w:eastAsia="微软雅黑" w:hAnsi="微软雅黑"/>
      <w:color w:val="000000"/>
    </w:rPr>
  </w:style>
  <w:style w:type="character" w:customStyle="1" w:styleId="Char2">
    <w:name w:val="图表 Char"/>
    <w:link w:val="afe"/>
    <w:qFormat/>
    <w:rPr>
      <w:rFonts w:ascii="微软雅黑" w:eastAsia="微软雅黑" w:hAnsi="微软雅黑"/>
      <w:color w:val="000000"/>
      <w:kern w:val="2"/>
      <w:sz w:val="21"/>
      <w:szCs w:val="22"/>
    </w:rPr>
  </w:style>
  <w:style w:type="paragraph" w:customStyle="1" w:styleId="aff">
    <w:name w:val="尙普正文"/>
    <w:basedOn w:val="a"/>
    <w:next w:val="a"/>
    <w:link w:val="Char3"/>
    <w:qFormat/>
    <w:pPr>
      <w:adjustRightInd w:val="0"/>
      <w:snapToGrid w:val="0"/>
      <w:spacing w:line="360" w:lineRule="auto"/>
      <w:ind w:firstLineChars="200" w:firstLine="640"/>
    </w:pPr>
    <w:rPr>
      <w:rFonts w:ascii="微软雅黑" w:eastAsia="微软雅黑" w:hAnsi="微软雅黑" w:cs="微软雅黑"/>
      <w:szCs w:val="21"/>
    </w:rPr>
  </w:style>
  <w:style w:type="character" w:customStyle="1" w:styleId="Char3">
    <w:name w:val="尙普正文 Char"/>
    <w:link w:val="aff"/>
    <w:qFormat/>
    <w:rPr>
      <w:rFonts w:ascii="微软雅黑" w:eastAsia="微软雅黑" w:hAnsi="微软雅黑" w:cs="微软雅黑"/>
      <w:kern w:val="2"/>
      <w:sz w:val="21"/>
      <w:szCs w:val="21"/>
    </w:rPr>
  </w:style>
  <w:style w:type="character" w:customStyle="1" w:styleId="cf01">
    <w:name w:val="cf01"/>
    <w:rPr>
      <w:rFonts w:ascii="Microsoft YaHei UI" w:eastAsia="Microsoft YaHei UI" w:hAnsi="Microsoft YaHei UI" w:hint="eastAsia"/>
      <w:sz w:val="18"/>
      <w:szCs w:val="18"/>
    </w:rPr>
  </w:style>
  <w:style w:type="character" w:customStyle="1" w:styleId="005Char">
    <w:name w:val="005正文 Char"/>
    <w:link w:val="005"/>
    <w:qFormat/>
    <w:rPr>
      <w:kern w:val="2"/>
      <w:sz w:val="24"/>
      <w:szCs w:val="22"/>
    </w:rPr>
  </w:style>
  <w:style w:type="paragraph" w:customStyle="1" w:styleId="005">
    <w:name w:val="005正文"/>
    <w:basedOn w:val="a"/>
    <w:link w:val="005Char"/>
    <w:qFormat/>
    <w:pPr>
      <w:spacing w:beforeLines="50" w:before="50" w:line="360" w:lineRule="auto"/>
      <w:ind w:firstLineChars="200" w:firstLine="2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市场规模</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A6A6A6">
                          <a:lumMod val="35000"/>
                          <a:lumOff val="65000"/>
                        </a:srgbClr>
                      </a:solidFill>
                      <a:round/>
                    </a:ln>
                    <a:effectLst/>
                  </c:spPr>
                </c15:leaderLines>
              </c:ext>
            </c:extLst>
          </c:dLbls>
          <c:cat>
            <c:strRef>
              <c:f>Sheet1!$A$2:$A$7</c:f>
              <c:strCache>
                <c:ptCount val="6"/>
                <c:pt idx="0">
                  <c:v>2021</c:v>
                </c:pt>
                <c:pt idx="1">
                  <c:v>2022E</c:v>
                </c:pt>
                <c:pt idx="2">
                  <c:v>2023E</c:v>
                </c:pt>
                <c:pt idx="3">
                  <c:v>2024E</c:v>
                </c:pt>
                <c:pt idx="4">
                  <c:v>2025E</c:v>
                </c:pt>
                <c:pt idx="5">
                  <c:v>2026E</c:v>
                </c:pt>
              </c:strCache>
            </c:strRef>
          </c:cat>
          <c:val>
            <c:numRef>
              <c:f>Sheet1!$B$2:$B$7</c:f>
              <c:numCache>
                <c:formatCode>#,##0_ </c:formatCode>
                <c:ptCount val="6"/>
                <c:pt idx="0">
                  <c:v>730</c:v>
                </c:pt>
                <c:pt idx="1">
                  <c:v>762.12</c:v>
                </c:pt>
                <c:pt idx="2">
                  <c:v>795.65328</c:v>
                </c:pt>
                <c:pt idx="3">
                  <c:v>830.66202432</c:v>
                </c:pt>
                <c:pt idx="4">
                  <c:v>867.21115339007997</c:v>
                </c:pt>
                <c:pt idx="5">
                  <c:v>905.36844413924405</c:v>
                </c:pt>
              </c:numCache>
            </c:numRef>
          </c:val>
          <c:extLst>
            <c:ext xmlns:c16="http://schemas.microsoft.com/office/drawing/2014/chart" uri="{C3380CC4-5D6E-409C-BE32-E72D297353CC}">
              <c16:uniqueId val="{00000000-47AA-4EF8-ABB6-82146387C830}"/>
            </c:ext>
          </c:extLst>
        </c:ser>
        <c:dLbls>
          <c:showLegendKey val="0"/>
          <c:showVal val="1"/>
          <c:showCatName val="0"/>
          <c:showSerName val="0"/>
          <c:showPercent val="0"/>
          <c:showBubbleSize val="0"/>
        </c:dLbls>
        <c:gapWidth val="219"/>
        <c:overlap val="-27"/>
        <c:axId val="299704882"/>
        <c:axId val="565078541"/>
      </c:barChart>
      <c:catAx>
        <c:axId val="299704882"/>
        <c:scaling>
          <c:orientation val="minMax"/>
        </c:scaling>
        <c:delete val="0"/>
        <c:axPos val="b"/>
        <c:numFmt formatCode="General" sourceLinked="0"/>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565078541"/>
        <c:crosses val="autoZero"/>
        <c:auto val="1"/>
        <c:lblAlgn val="ctr"/>
        <c:lblOffset val="100"/>
        <c:noMultiLvlLbl val="0"/>
      </c:catAx>
      <c:valAx>
        <c:axId val="565078541"/>
        <c:scaling>
          <c:orientation val="minMax"/>
        </c:scaling>
        <c:delete val="0"/>
        <c:axPos val="l"/>
        <c:majorGridlines>
          <c:spPr>
            <a:ln w="9525" cap="flat" cmpd="sng" algn="ctr">
              <a:solidFill>
                <a:srgbClr val="D9D9D9">
                  <a:lumMod val="15000"/>
                  <a:lumOff val="85000"/>
                </a:srgbClr>
              </a:solidFill>
              <a:round/>
            </a:ln>
            <a:effectLst/>
          </c:spPr>
        </c:majorGridlines>
        <c:numFmt formatCode="#,##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endParaRPr lang="zh-CN"/>
          </a:p>
        </c:txPr>
        <c:crossAx val="29970488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solidFill>
            <a:sysClr val="windowText" lastClr="000000"/>
          </a:solidFill>
          <a:latin typeface="宋体" panose="02010600030101010101" charset="-122"/>
          <a:ea typeface="宋体" panose="02010600030101010101" charset="-122"/>
          <a:cs typeface="宋体" panose="02010600030101010101" charset="-122"/>
          <a:sym typeface="宋体" panose="02010600030101010101" charset="-122"/>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杨锐彬027449</dc:creator>
  <cp:keywords/>
  <cp:lastModifiedBy>何帅047185</cp:lastModifiedBy>
  <cp:revision>4</cp:revision>
  <cp:lastPrinted>2019-04-26T06:12:00Z</cp:lastPrinted>
  <dcterms:created xsi:type="dcterms:W3CDTF">2023-12-28T08:39:00Z</dcterms:created>
  <dcterms:modified xsi:type="dcterms:W3CDTF">2023-12-28T08:40:00Z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FCA0D114369C45A0A88A88461E9EE63C</vt:lpwstr>
  </property>
</Properties>
</file>