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D491" w14:textId="076C3AA2" w:rsidR="002E5712" w:rsidRDefault="00000000">
      <w:pPr>
        <w:autoSpaceDE w:val="0"/>
        <w:autoSpaceDN w:val="0"/>
        <w:adjustRightInd w:val="0"/>
        <w:jc w:val="left"/>
        <w:rPr>
          <w:rFonts w:ascii="Times New Roman" w:hAnsi="Times New Roman"/>
          <w:sz w:val="24"/>
          <w:szCs w:val="21"/>
        </w:rPr>
      </w:pPr>
      <w:bookmarkStart w:id="0" w:name="_Toc61989120"/>
      <w:r>
        <w:rPr>
          <w:rFonts w:ascii="Times New Roman" w:hAnsi="Times New Roman"/>
          <w:sz w:val="24"/>
          <w:szCs w:val="21"/>
        </w:rPr>
        <w:t>证券代码：</w:t>
      </w:r>
      <w:r>
        <w:rPr>
          <w:rFonts w:ascii="Times New Roman" w:hAnsi="Times New Roman"/>
          <w:sz w:val="24"/>
          <w:szCs w:val="21"/>
        </w:rPr>
        <w:t xml:space="preserve">002871                                   </w:t>
      </w:r>
      <w:r>
        <w:rPr>
          <w:rFonts w:ascii="Times New Roman" w:hAnsi="Times New Roman"/>
          <w:sz w:val="24"/>
          <w:szCs w:val="21"/>
        </w:rPr>
        <w:t>证券简称：伟隆</w:t>
      </w:r>
      <w:r w:rsidR="00FC572E">
        <w:rPr>
          <w:rFonts w:ascii="Times New Roman" w:hAnsi="Times New Roman" w:hint="eastAsia"/>
          <w:sz w:val="24"/>
          <w:szCs w:val="21"/>
        </w:rPr>
        <w:t>股份</w:t>
      </w:r>
    </w:p>
    <w:p w14:paraId="0BCF9632" w14:textId="77777777" w:rsidR="002E5712" w:rsidRDefault="002E5712">
      <w:pPr>
        <w:widowControl/>
        <w:jc w:val="center"/>
        <w:rPr>
          <w:rFonts w:ascii="Times New Roman" w:hAnsi="Times New Roman"/>
        </w:rPr>
      </w:pPr>
    </w:p>
    <w:p w14:paraId="35C1B5A3" w14:textId="77777777" w:rsidR="002E5712" w:rsidRDefault="002E5712">
      <w:pPr>
        <w:widowControl/>
        <w:jc w:val="center"/>
        <w:rPr>
          <w:rFonts w:ascii="Times New Roman" w:hAnsi="Times New Roman"/>
        </w:rPr>
      </w:pPr>
    </w:p>
    <w:p w14:paraId="6361EDE7" w14:textId="77777777" w:rsidR="002E5712" w:rsidRDefault="002E5712">
      <w:pPr>
        <w:widowControl/>
        <w:jc w:val="center"/>
        <w:rPr>
          <w:rFonts w:ascii="Times New Roman" w:hAnsi="Times New Roman"/>
        </w:rPr>
      </w:pPr>
    </w:p>
    <w:p w14:paraId="3EF09FE5" w14:textId="77777777" w:rsidR="002E5712" w:rsidRDefault="002E5712">
      <w:pPr>
        <w:widowControl/>
        <w:jc w:val="center"/>
        <w:rPr>
          <w:rFonts w:ascii="Times New Roman" w:hAnsi="Times New Roman"/>
        </w:rPr>
      </w:pPr>
    </w:p>
    <w:p w14:paraId="3032DA07" w14:textId="54A50784" w:rsidR="002E5712" w:rsidRDefault="001F7F41">
      <w:pPr>
        <w:widowControl/>
        <w:jc w:val="center"/>
        <w:rPr>
          <w:rFonts w:ascii="Times New Roman" w:hAnsi="Times New Roman"/>
        </w:rPr>
      </w:pPr>
      <w:r>
        <w:rPr>
          <w:rFonts w:ascii="Times New Roman" w:hAnsi="Times New Roman"/>
          <w:noProof/>
        </w:rPr>
        <w:drawing>
          <wp:inline distT="0" distB="0" distL="0" distR="0" wp14:anchorId="0B0BA988" wp14:editId="5A1E47FD">
            <wp:extent cx="2560320" cy="576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576580"/>
                    </a:xfrm>
                    <a:prstGeom prst="rect">
                      <a:avLst/>
                    </a:prstGeom>
                    <a:noFill/>
                    <a:ln>
                      <a:noFill/>
                    </a:ln>
                  </pic:spPr>
                </pic:pic>
              </a:graphicData>
            </a:graphic>
          </wp:inline>
        </w:drawing>
      </w:r>
    </w:p>
    <w:p w14:paraId="29E2FD1C" w14:textId="77777777" w:rsidR="002E5712" w:rsidRDefault="002E5712">
      <w:pPr>
        <w:widowControl/>
        <w:rPr>
          <w:rFonts w:ascii="Times New Roman" w:hAnsi="Times New Roman"/>
        </w:rPr>
      </w:pPr>
    </w:p>
    <w:p w14:paraId="0414E85A" w14:textId="77777777" w:rsidR="002E5712" w:rsidRDefault="00000000">
      <w:pPr>
        <w:autoSpaceDE w:val="0"/>
        <w:autoSpaceDN w:val="0"/>
        <w:adjustRightInd w:val="0"/>
        <w:jc w:val="center"/>
        <w:rPr>
          <w:rFonts w:ascii="Times New Roman" w:hAnsi="Times New Roman"/>
          <w:b/>
          <w:bCs/>
          <w:color w:val="000000"/>
          <w:sz w:val="52"/>
          <w:szCs w:val="52"/>
        </w:rPr>
      </w:pPr>
      <w:r>
        <w:rPr>
          <w:rFonts w:ascii="Times New Roman" w:hAnsi="Times New Roman"/>
          <w:b/>
          <w:bCs/>
          <w:color w:val="000000"/>
          <w:sz w:val="52"/>
          <w:szCs w:val="52"/>
        </w:rPr>
        <w:t>青岛伟隆阀门股份有限公司</w:t>
      </w:r>
    </w:p>
    <w:p w14:paraId="31227B9E" w14:textId="77777777" w:rsidR="002E5712" w:rsidRDefault="00000000">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（注册地址：山东省青岛市高新区</w:t>
      </w:r>
      <w:proofErr w:type="gramStart"/>
      <w:r>
        <w:rPr>
          <w:rFonts w:ascii="Times New Roman" w:hAnsi="Times New Roman"/>
          <w:color w:val="000000"/>
          <w:sz w:val="24"/>
          <w:szCs w:val="24"/>
        </w:rPr>
        <w:t>春阳路</w:t>
      </w:r>
      <w:proofErr w:type="gramEnd"/>
      <w:r>
        <w:rPr>
          <w:rFonts w:ascii="Times New Roman" w:hAnsi="Times New Roman"/>
          <w:color w:val="000000"/>
          <w:sz w:val="24"/>
          <w:szCs w:val="24"/>
        </w:rPr>
        <w:t>789</w:t>
      </w:r>
      <w:r>
        <w:rPr>
          <w:rFonts w:ascii="Times New Roman" w:hAnsi="Times New Roman"/>
          <w:color w:val="000000"/>
          <w:sz w:val="24"/>
          <w:szCs w:val="24"/>
        </w:rPr>
        <w:t>号）</w:t>
      </w:r>
    </w:p>
    <w:p w14:paraId="12ED3BB6" w14:textId="77777777" w:rsidR="002E5712" w:rsidRDefault="002E5712">
      <w:pPr>
        <w:widowControl/>
        <w:jc w:val="center"/>
        <w:rPr>
          <w:rFonts w:ascii="Times New Roman" w:hAnsi="Times New Roman"/>
          <w:b/>
          <w:sz w:val="24"/>
          <w:szCs w:val="24"/>
        </w:rPr>
      </w:pPr>
    </w:p>
    <w:p w14:paraId="32186A64" w14:textId="77777777" w:rsidR="002E5712" w:rsidRDefault="002E5712">
      <w:pPr>
        <w:widowControl/>
        <w:jc w:val="center"/>
        <w:rPr>
          <w:rFonts w:ascii="Times New Roman" w:hAnsi="Times New Roman"/>
          <w:b/>
          <w:sz w:val="24"/>
          <w:szCs w:val="24"/>
        </w:rPr>
      </w:pPr>
    </w:p>
    <w:p w14:paraId="6DB65DC9" w14:textId="77777777" w:rsidR="002E5712" w:rsidRDefault="002E5712">
      <w:pPr>
        <w:widowControl/>
        <w:jc w:val="center"/>
        <w:rPr>
          <w:rFonts w:ascii="Times New Roman" w:hAnsi="Times New Roman"/>
          <w:b/>
          <w:sz w:val="24"/>
          <w:szCs w:val="24"/>
        </w:rPr>
      </w:pPr>
    </w:p>
    <w:p w14:paraId="0838D199" w14:textId="77777777" w:rsidR="002E5712" w:rsidRDefault="002E5712">
      <w:pPr>
        <w:widowControl/>
        <w:jc w:val="center"/>
        <w:rPr>
          <w:rFonts w:ascii="Times New Roman" w:hAnsi="Times New Roman"/>
          <w:b/>
          <w:sz w:val="24"/>
          <w:szCs w:val="24"/>
        </w:rPr>
      </w:pPr>
    </w:p>
    <w:p w14:paraId="06CD8B84" w14:textId="77777777" w:rsidR="002E5712" w:rsidRDefault="002E5712">
      <w:pPr>
        <w:widowControl/>
        <w:jc w:val="center"/>
        <w:rPr>
          <w:rFonts w:ascii="Times New Roman" w:hAnsi="Times New Roman"/>
          <w:b/>
          <w:sz w:val="24"/>
          <w:szCs w:val="24"/>
        </w:rPr>
      </w:pPr>
    </w:p>
    <w:p w14:paraId="166DEB85" w14:textId="77777777" w:rsidR="002E5712" w:rsidRDefault="002E5712">
      <w:pPr>
        <w:widowControl/>
        <w:jc w:val="center"/>
        <w:rPr>
          <w:rFonts w:ascii="Times New Roman" w:hAnsi="Times New Roman"/>
          <w:b/>
          <w:sz w:val="24"/>
          <w:szCs w:val="24"/>
        </w:rPr>
      </w:pPr>
    </w:p>
    <w:p w14:paraId="11F1195F" w14:textId="77777777" w:rsidR="002E5712" w:rsidRDefault="00000000">
      <w:pPr>
        <w:widowControl/>
        <w:jc w:val="center"/>
        <w:rPr>
          <w:rFonts w:ascii="Times New Roman" w:hAnsi="Times New Roman"/>
          <w:b/>
          <w:sz w:val="48"/>
          <w:szCs w:val="48"/>
        </w:rPr>
      </w:pPr>
      <w:r>
        <w:rPr>
          <w:rFonts w:ascii="Times New Roman" w:hAnsi="Times New Roman"/>
          <w:b/>
          <w:sz w:val="48"/>
          <w:szCs w:val="48"/>
        </w:rPr>
        <w:t>向不特定对象发行可转换公司债</w:t>
      </w:r>
      <w:proofErr w:type="gramStart"/>
      <w:r>
        <w:rPr>
          <w:rFonts w:ascii="Times New Roman" w:hAnsi="Times New Roman"/>
          <w:b/>
          <w:sz w:val="48"/>
          <w:szCs w:val="48"/>
        </w:rPr>
        <w:t>券</w:t>
      </w:r>
      <w:proofErr w:type="gramEnd"/>
    </w:p>
    <w:p w14:paraId="696712FF" w14:textId="77777777" w:rsidR="002E5712" w:rsidRDefault="00000000">
      <w:pPr>
        <w:widowControl/>
        <w:jc w:val="center"/>
        <w:rPr>
          <w:rFonts w:ascii="Times New Roman" w:hAnsi="Times New Roman"/>
          <w:b/>
          <w:sz w:val="48"/>
          <w:szCs w:val="48"/>
        </w:rPr>
      </w:pPr>
      <w:r>
        <w:rPr>
          <w:rFonts w:ascii="Times New Roman" w:hAnsi="Times New Roman"/>
          <w:b/>
          <w:sz w:val="48"/>
          <w:szCs w:val="48"/>
        </w:rPr>
        <w:t>方案的论证分析报告（修订稿）</w:t>
      </w:r>
    </w:p>
    <w:p w14:paraId="3250B766" w14:textId="77777777" w:rsidR="002E5712" w:rsidRDefault="002E5712">
      <w:pPr>
        <w:widowControl/>
        <w:jc w:val="center"/>
        <w:rPr>
          <w:rFonts w:ascii="Times New Roman" w:hAnsi="Times New Roman"/>
        </w:rPr>
      </w:pPr>
    </w:p>
    <w:p w14:paraId="5D989A12" w14:textId="77777777" w:rsidR="002E5712" w:rsidRDefault="002E5712">
      <w:pPr>
        <w:widowControl/>
        <w:jc w:val="center"/>
        <w:rPr>
          <w:rFonts w:ascii="Times New Roman" w:hAnsi="Times New Roman"/>
        </w:rPr>
      </w:pPr>
    </w:p>
    <w:p w14:paraId="425B9276" w14:textId="77777777" w:rsidR="002E5712" w:rsidRDefault="002E5712">
      <w:pPr>
        <w:widowControl/>
        <w:jc w:val="center"/>
        <w:rPr>
          <w:rFonts w:ascii="Times New Roman" w:hAnsi="Times New Roman"/>
        </w:rPr>
      </w:pPr>
    </w:p>
    <w:p w14:paraId="4E0E7E40" w14:textId="77777777" w:rsidR="002E5712" w:rsidRDefault="002E5712">
      <w:pPr>
        <w:widowControl/>
        <w:jc w:val="center"/>
        <w:rPr>
          <w:rFonts w:ascii="Times New Roman" w:hAnsi="Times New Roman"/>
        </w:rPr>
      </w:pPr>
    </w:p>
    <w:p w14:paraId="1D0E3EBC" w14:textId="77777777" w:rsidR="002E5712" w:rsidRDefault="002E5712">
      <w:pPr>
        <w:widowControl/>
        <w:jc w:val="center"/>
        <w:rPr>
          <w:rFonts w:ascii="Times New Roman" w:hAnsi="Times New Roman"/>
        </w:rPr>
      </w:pPr>
    </w:p>
    <w:p w14:paraId="468971D6" w14:textId="77777777" w:rsidR="002E5712" w:rsidRDefault="002E5712">
      <w:pPr>
        <w:widowControl/>
        <w:jc w:val="center"/>
        <w:rPr>
          <w:rFonts w:ascii="Times New Roman" w:hAnsi="Times New Roman"/>
        </w:rPr>
      </w:pPr>
    </w:p>
    <w:p w14:paraId="21E0F9C8" w14:textId="77777777" w:rsidR="002E5712" w:rsidRDefault="002E5712">
      <w:pPr>
        <w:widowControl/>
        <w:jc w:val="center"/>
        <w:rPr>
          <w:rFonts w:ascii="Times New Roman" w:hAnsi="Times New Roman"/>
        </w:rPr>
      </w:pPr>
    </w:p>
    <w:p w14:paraId="4EDB3BBB" w14:textId="77777777" w:rsidR="002E5712" w:rsidRDefault="002E5712">
      <w:pPr>
        <w:widowControl/>
        <w:jc w:val="center"/>
        <w:rPr>
          <w:rFonts w:ascii="Times New Roman" w:hAnsi="Times New Roman"/>
        </w:rPr>
      </w:pPr>
    </w:p>
    <w:p w14:paraId="4B8F591D" w14:textId="77777777" w:rsidR="002E5712" w:rsidRDefault="002E5712">
      <w:pPr>
        <w:widowControl/>
        <w:jc w:val="center"/>
        <w:rPr>
          <w:rFonts w:ascii="Times New Roman" w:hAnsi="Times New Roman"/>
        </w:rPr>
      </w:pPr>
    </w:p>
    <w:p w14:paraId="555A81C1" w14:textId="77777777" w:rsidR="002E5712" w:rsidRDefault="002E5712">
      <w:pPr>
        <w:widowControl/>
        <w:jc w:val="center"/>
        <w:rPr>
          <w:rFonts w:ascii="Times New Roman" w:hAnsi="Times New Roman"/>
        </w:rPr>
      </w:pPr>
    </w:p>
    <w:p w14:paraId="0C30A940" w14:textId="77777777" w:rsidR="002E5712" w:rsidRDefault="00000000">
      <w:pPr>
        <w:widowControl/>
        <w:jc w:val="center"/>
        <w:rPr>
          <w:rFonts w:ascii="Times New Roman" w:hAnsi="Times New Roman"/>
          <w:b/>
          <w:sz w:val="36"/>
          <w:szCs w:val="36"/>
        </w:rPr>
        <w:sectPr w:rsidR="002E5712">
          <w:headerReference w:type="default" r:id="rId8"/>
          <w:footerReference w:type="default" r:id="rId9"/>
          <w:headerReference w:type="first" r:id="rId10"/>
          <w:pgSz w:w="11906" w:h="16838"/>
          <w:pgMar w:top="1440" w:right="1800" w:bottom="1440" w:left="1800" w:header="851" w:footer="992" w:gutter="0"/>
          <w:cols w:space="720"/>
          <w:titlePg/>
          <w:docGrid w:type="lines" w:linePitch="312"/>
        </w:sectPr>
      </w:pPr>
      <w:r>
        <w:rPr>
          <w:rFonts w:ascii="Times New Roman" w:hAnsi="Times New Roman"/>
          <w:b/>
          <w:sz w:val="36"/>
          <w:szCs w:val="36"/>
        </w:rPr>
        <w:t>二〇二三年十二月</w:t>
      </w:r>
    </w:p>
    <w:p w14:paraId="41D9B173" w14:textId="77777777" w:rsidR="002E5712" w:rsidRDefault="00000000">
      <w:pPr>
        <w:pStyle w:val="000"/>
        <w:rPr>
          <w:color w:val="000000"/>
          <w:lang w:eastAsia="zh-Hans"/>
        </w:rPr>
      </w:pPr>
      <w:r>
        <w:rPr>
          <w:color w:val="000000"/>
          <w:lang w:eastAsia="zh-Hans"/>
        </w:rPr>
        <w:lastRenderedPageBreak/>
        <w:t>青岛伟隆阀门股份有限公司（以下简称</w:t>
      </w:r>
      <w:r>
        <w:rPr>
          <w:color w:val="000000"/>
          <w:lang w:eastAsia="zh-Hans"/>
        </w:rPr>
        <w:t>“</w:t>
      </w:r>
      <w:r>
        <w:rPr>
          <w:color w:val="000000"/>
          <w:lang w:eastAsia="zh-Hans"/>
        </w:rPr>
        <w:t>公司</w:t>
      </w:r>
      <w:r>
        <w:rPr>
          <w:color w:val="000000"/>
          <w:lang w:eastAsia="zh-Hans"/>
        </w:rPr>
        <w:t>”</w:t>
      </w:r>
      <w:r>
        <w:rPr>
          <w:color w:val="000000"/>
          <w:lang w:eastAsia="zh-Hans"/>
        </w:rPr>
        <w:t>或</w:t>
      </w:r>
      <w:r>
        <w:rPr>
          <w:color w:val="000000"/>
          <w:lang w:eastAsia="zh-Hans"/>
        </w:rPr>
        <w:t>“</w:t>
      </w:r>
      <w:r>
        <w:rPr>
          <w:color w:val="000000"/>
        </w:rPr>
        <w:t>伟隆股份</w:t>
      </w:r>
      <w:r>
        <w:rPr>
          <w:color w:val="000000"/>
          <w:lang w:eastAsia="zh-Hans"/>
        </w:rPr>
        <w:t>”</w:t>
      </w:r>
      <w:r>
        <w:rPr>
          <w:color w:val="000000"/>
          <w:lang w:eastAsia="zh-Hans"/>
        </w:rPr>
        <w:t>）于</w:t>
      </w:r>
      <w:r>
        <w:rPr>
          <w:color w:val="000000"/>
          <w:lang w:eastAsia="zh-Hans"/>
        </w:rPr>
        <w:t>2017</w:t>
      </w:r>
      <w:r>
        <w:rPr>
          <w:color w:val="000000"/>
          <w:lang w:eastAsia="zh-Hans"/>
        </w:rPr>
        <w:t>年</w:t>
      </w:r>
      <w:r>
        <w:rPr>
          <w:color w:val="000000"/>
          <w:lang w:eastAsia="zh-Hans"/>
        </w:rPr>
        <w:t>5</w:t>
      </w:r>
      <w:r>
        <w:rPr>
          <w:color w:val="000000"/>
          <w:lang w:eastAsia="zh-Hans"/>
        </w:rPr>
        <w:t>月</w:t>
      </w:r>
      <w:r>
        <w:rPr>
          <w:color w:val="000000"/>
          <w:lang w:eastAsia="zh-Hans"/>
        </w:rPr>
        <w:t>11</w:t>
      </w:r>
      <w:r>
        <w:rPr>
          <w:color w:val="000000"/>
          <w:lang w:eastAsia="zh-Hans"/>
        </w:rPr>
        <w:t>日在深圳证券交易所中小企业板上市。为满足公司业务发展的资金需求，增强公司资本实力，提升盈利能力，根据《</w:t>
      </w:r>
      <w:r>
        <w:t>中华人民共和国</w:t>
      </w:r>
      <w:r>
        <w:rPr>
          <w:color w:val="000000"/>
          <w:lang w:eastAsia="zh-Hans"/>
        </w:rPr>
        <w:t>公司法》</w:t>
      </w:r>
      <w:r>
        <w:rPr>
          <w:color w:val="000000"/>
        </w:rPr>
        <w:t>（以下简称</w:t>
      </w:r>
      <w:r>
        <w:rPr>
          <w:color w:val="000000"/>
        </w:rPr>
        <w:t>“</w:t>
      </w:r>
      <w:r>
        <w:rPr>
          <w:color w:val="000000"/>
        </w:rPr>
        <w:t>公司法</w:t>
      </w:r>
      <w:r>
        <w:rPr>
          <w:color w:val="000000"/>
        </w:rPr>
        <w:t>”</w:t>
      </w:r>
      <w:r>
        <w:rPr>
          <w:color w:val="000000"/>
        </w:rPr>
        <w:t>）、</w:t>
      </w:r>
      <w:r>
        <w:rPr>
          <w:color w:val="000000"/>
          <w:lang w:eastAsia="zh-Hans"/>
        </w:rPr>
        <w:t>《</w:t>
      </w:r>
      <w:r>
        <w:t>中华人民共和国</w:t>
      </w:r>
      <w:r>
        <w:rPr>
          <w:color w:val="000000"/>
          <w:lang w:eastAsia="zh-Hans"/>
        </w:rPr>
        <w:t>证券法》</w:t>
      </w:r>
      <w:r>
        <w:rPr>
          <w:color w:val="000000"/>
        </w:rPr>
        <w:t>（以下简称</w:t>
      </w:r>
      <w:r>
        <w:rPr>
          <w:color w:val="000000"/>
        </w:rPr>
        <w:t>“</w:t>
      </w:r>
      <w:r>
        <w:rPr>
          <w:color w:val="000000"/>
        </w:rPr>
        <w:t>证券法</w:t>
      </w:r>
      <w:r>
        <w:rPr>
          <w:color w:val="000000"/>
        </w:rPr>
        <w:t>”</w:t>
      </w:r>
      <w:r>
        <w:rPr>
          <w:color w:val="000000"/>
        </w:rPr>
        <w:t>）</w:t>
      </w:r>
      <w:r>
        <w:rPr>
          <w:color w:val="000000"/>
          <w:lang w:eastAsia="zh-Hans"/>
        </w:rPr>
        <w:t>等有关法律、法规和规范性文件</w:t>
      </w:r>
      <w:r>
        <w:rPr>
          <w:color w:val="000000"/>
        </w:rPr>
        <w:t>及《</w:t>
      </w:r>
      <w:r>
        <w:rPr>
          <w:color w:val="000000"/>
          <w:kern w:val="0"/>
        </w:rPr>
        <w:t>青岛伟隆阀门股份有限公司公司章程</w:t>
      </w:r>
      <w:r>
        <w:rPr>
          <w:color w:val="000000"/>
        </w:rPr>
        <w:t>》（以下简称</w:t>
      </w:r>
      <w:r>
        <w:rPr>
          <w:color w:val="000000"/>
        </w:rPr>
        <w:t>“</w:t>
      </w:r>
      <w:r>
        <w:rPr>
          <w:color w:val="000000"/>
          <w:lang w:eastAsia="zh-Hans"/>
        </w:rPr>
        <w:t>《公司章程》</w:t>
      </w:r>
      <w:r>
        <w:rPr>
          <w:color w:val="000000"/>
        </w:rPr>
        <w:t>”</w:t>
      </w:r>
      <w:r>
        <w:rPr>
          <w:color w:val="000000"/>
        </w:rPr>
        <w:t>）</w:t>
      </w:r>
      <w:r>
        <w:rPr>
          <w:color w:val="000000"/>
          <w:lang w:eastAsia="zh-Hans"/>
        </w:rPr>
        <w:t>的规定，公司编制了本次向不特定对象发行可转换公司债券方案的论证分析报告。</w:t>
      </w:r>
    </w:p>
    <w:p w14:paraId="57796144" w14:textId="77777777" w:rsidR="002E5712" w:rsidRDefault="00000000">
      <w:pPr>
        <w:pStyle w:val="000"/>
        <w:rPr>
          <w:color w:val="000000"/>
        </w:rPr>
      </w:pPr>
      <w:r>
        <w:rPr>
          <w:color w:val="000000"/>
          <w:lang w:eastAsia="zh-Hans"/>
        </w:rPr>
        <w:t>本报告中如无特别说明，相关</w:t>
      </w:r>
      <w:r>
        <w:rPr>
          <w:color w:val="000000"/>
        </w:rPr>
        <w:t>用</w:t>
      </w:r>
      <w:r>
        <w:rPr>
          <w:color w:val="000000"/>
          <w:lang w:eastAsia="zh-Hans"/>
        </w:rPr>
        <w:t>语具有与《青岛伟隆阀门股份有限公司向不特定对象发行可转换公司债券预案（修订稿）》中相同的含义</w:t>
      </w:r>
      <w:r>
        <w:rPr>
          <w:color w:val="000000"/>
        </w:rPr>
        <w:t>。</w:t>
      </w:r>
    </w:p>
    <w:p w14:paraId="66955B65" w14:textId="77777777" w:rsidR="002E5712" w:rsidRDefault="00000000">
      <w:pPr>
        <w:pStyle w:val="002"/>
        <w:keepNext/>
        <w:keepLines/>
        <w:spacing w:before="156" w:after="156"/>
        <w:ind w:firstLineChars="0" w:firstLine="0"/>
        <w:outlineLvl w:val="1"/>
      </w:pPr>
      <w:bookmarkStart w:id="1" w:name="_Toc83147252"/>
      <w:bookmarkStart w:id="2" w:name="_Toc61989113"/>
      <w:r>
        <w:t>一、本次向不特定对象发行可转换公司债</w:t>
      </w:r>
      <w:proofErr w:type="gramStart"/>
      <w:r>
        <w:t>券</w:t>
      </w:r>
      <w:proofErr w:type="gramEnd"/>
      <w:r>
        <w:t>的背景和目的</w:t>
      </w:r>
      <w:bookmarkEnd w:id="1"/>
      <w:bookmarkEnd w:id="2"/>
    </w:p>
    <w:p w14:paraId="0AE02EE6" w14:textId="77777777" w:rsidR="002E5712" w:rsidRDefault="00000000">
      <w:pPr>
        <w:spacing w:beforeLines="50" w:before="156" w:afterLines="50" w:after="156" w:line="360" w:lineRule="auto"/>
        <w:ind w:firstLineChars="200" w:firstLine="482"/>
        <w:outlineLvl w:val="2"/>
        <w:rPr>
          <w:rFonts w:ascii="Times New Roman" w:hAnsi="Times New Roman"/>
          <w:b/>
          <w:sz w:val="24"/>
          <w:szCs w:val="24"/>
        </w:rPr>
      </w:pPr>
      <w:bookmarkStart w:id="3" w:name="_Hlk62950274"/>
      <w:bookmarkStart w:id="4" w:name="_Hlk60596464"/>
      <w:bookmarkEnd w:id="0"/>
      <w:r>
        <w:rPr>
          <w:rFonts w:ascii="Times New Roman" w:hAnsi="Times New Roman"/>
          <w:b/>
          <w:sz w:val="24"/>
          <w:szCs w:val="24"/>
        </w:rPr>
        <w:t>（一）本次向不特定对象发行可转换公司债</w:t>
      </w:r>
      <w:proofErr w:type="gramStart"/>
      <w:r>
        <w:rPr>
          <w:rFonts w:ascii="Times New Roman" w:hAnsi="Times New Roman"/>
          <w:b/>
          <w:sz w:val="24"/>
          <w:szCs w:val="24"/>
        </w:rPr>
        <w:t>券</w:t>
      </w:r>
      <w:proofErr w:type="gramEnd"/>
      <w:r>
        <w:rPr>
          <w:rFonts w:ascii="Times New Roman" w:hAnsi="Times New Roman"/>
          <w:b/>
          <w:sz w:val="24"/>
          <w:szCs w:val="24"/>
        </w:rPr>
        <w:t>的背景</w:t>
      </w:r>
    </w:p>
    <w:p w14:paraId="5573F509" w14:textId="77777777" w:rsidR="002E5712" w:rsidRDefault="00000000">
      <w:pPr>
        <w:spacing w:beforeLines="50" w:before="156" w:afterLines="50" w:after="156" w:line="360" w:lineRule="auto"/>
        <w:ind w:firstLineChars="200" w:firstLine="482"/>
        <w:outlineLvl w:val="3"/>
        <w:rPr>
          <w:rFonts w:ascii="Times New Roman" w:hAnsi="Times New Roman"/>
          <w:b/>
          <w:bCs/>
          <w:sz w:val="24"/>
          <w:szCs w:val="24"/>
        </w:rPr>
      </w:pPr>
      <w:bookmarkStart w:id="5" w:name="_Hlk98939241"/>
      <w:r>
        <w:rPr>
          <w:rFonts w:ascii="Times New Roman" w:hAnsi="Times New Roman"/>
          <w:b/>
          <w:bCs/>
          <w:sz w:val="24"/>
          <w:szCs w:val="24"/>
        </w:rPr>
        <w:t>1</w:t>
      </w:r>
      <w:r>
        <w:rPr>
          <w:rFonts w:ascii="Times New Roman" w:hAnsi="Times New Roman"/>
          <w:b/>
          <w:bCs/>
          <w:sz w:val="24"/>
          <w:szCs w:val="24"/>
        </w:rPr>
        <w:t>、国家智能制造高速发展</w:t>
      </w:r>
    </w:p>
    <w:p w14:paraId="5C8C3F0C" w14:textId="77777777" w:rsidR="002E5712" w:rsidRDefault="00000000">
      <w:pPr>
        <w:pStyle w:val="000"/>
        <w:rPr>
          <w:color w:val="000000"/>
          <w:lang w:eastAsia="zh-Hans"/>
        </w:rPr>
      </w:pPr>
      <w:r>
        <w:rPr>
          <w:color w:val="000000"/>
          <w:lang w:eastAsia="zh-Hans"/>
        </w:rPr>
        <w:t>根据国务院颁布的《中国制造</w:t>
      </w:r>
      <w:r>
        <w:rPr>
          <w:color w:val="000000"/>
          <w:lang w:eastAsia="zh-Hans"/>
        </w:rPr>
        <w:t>2025</w:t>
      </w:r>
      <w:r>
        <w:rPr>
          <w:color w:val="000000"/>
          <w:lang w:eastAsia="zh-Hans"/>
        </w:rPr>
        <w:t>》、工信部颁布的《工业和信息化部关于促进制造业产品和服务质量提升的实施意见》及国家发改委、工信部等八部颁布的《</w:t>
      </w:r>
      <w:r>
        <w:rPr>
          <w:color w:val="000000"/>
          <w:lang w:eastAsia="zh-Hans"/>
        </w:rPr>
        <w:t>“</w:t>
      </w:r>
      <w:r>
        <w:rPr>
          <w:color w:val="000000"/>
          <w:lang w:eastAsia="zh-Hans"/>
        </w:rPr>
        <w:t>十四五</w:t>
      </w:r>
      <w:r>
        <w:rPr>
          <w:color w:val="000000"/>
          <w:lang w:eastAsia="zh-Hans"/>
        </w:rPr>
        <w:t>”</w:t>
      </w:r>
      <w:r>
        <w:rPr>
          <w:color w:val="000000"/>
          <w:lang w:eastAsia="zh-Hans"/>
        </w:rPr>
        <w:t>智能制造发展规划》等相关产业政策，制造强国的落脚点均立足于高端装备制造产业，充分体现了国家对高端制造及相关产业的大力扶持。随着智能制造领域政策密集出台，我国的阀门行业呈现向智能化方向转型的趋势。智能化发展能够提高生产效率和产品质量，降低运营成本和资源、能源消耗。同时，该行业需要具备较高技术水平和实践能力的研发技术、铸造工艺、生产加工等方面人才，以及相应用于购置国外先进生产设备的资金投入，以提升产品加工精度和加工效率，从而使公司具备绿色、智能化生产等综合运营能力。</w:t>
      </w:r>
    </w:p>
    <w:p w14:paraId="0B5B94F7" w14:textId="77777777" w:rsidR="002E5712" w:rsidRDefault="00000000">
      <w:pPr>
        <w:pStyle w:val="000"/>
        <w:rPr>
          <w:color w:val="000000"/>
          <w:lang w:eastAsia="zh-Hans"/>
        </w:rPr>
      </w:pPr>
      <w:r>
        <w:rPr>
          <w:color w:val="000000"/>
          <w:lang w:eastAsia="zh-Hans"/>
        </w:rPr>
        <w:t>此外，随着城市建设快速发展和人民生活水平的不断提高，人们对城市供气供水的服务质量提出了越来越高的要求。目前，城市供水供气输配管网中，各调压箱、调压柜地理位置分散，且仍采用人工记录、逐级汇报的方法进行数据读取，因而存在上报数据不及时，监测事故延迟等安全隐患。通过人工智能、物联网等先进技术，使阀门具有自适应、自调节、自诊断、远程监控等功能，取代人工操作方式，不仅可以节约相关维护成本，也可以避免人工操作可能导致的失误。因此，公司进行智慧节能类阀门相关产品生产符合阀门行业智能化的发展方向。</w:t>
      </w:r>
    </w:p>
    <w:p w14:paraId="536E86E5" w14:textId="77777777" w:rsidR="002E5712" w:rsidRDefault="00000000">
      <w:pPr>
        <w:pStyle w:val="000"/>
        <w:rPr>
          <w:color w:val="000000"/>
          <w:lang w:eastAsia="zh-Hans"/>
        </w:rPr>
      </w:pPr>
      <w:r>
        <w:rPr>
          <w:color w:val="000000"/>
          <w:lang w:eastAsia="zh-Hans"/>
        </w:rPr>
        <w:lastRenderedPageBreak/>
        <w:t>本次发行募集资金投资项目将以构建智能化、自动化、数字化制造体系为目标，着力提升关键技术装备安全可控能力，集成国际先进的装备，引进各类监测管理系统、搭建智慧园区平台，实现数据采集、实时控制、全生命周期监控、报警和分析、数据库管理等多种功能，进行智慧节能阀门生产，为公司打造竞争新优势奠定坚实的基础。</w:t>
      </w:r>
    </w:p>
    <w:p w14:paraId="5239DDC0" w14:textId="77777777" w:rsidR="002E5712" w:rsidRDefault="00000000">
      <w:pPr>
        <w:spacing w:beforeLines="50" w:before="156" w:afterLines="50" w:after="156" w:line="360" w:lineRule="auto"/>
        <w:ind w:firstLineChars="200" w:firstLine="482"/>
        <w:outlineLvl w:val="3"/>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、市场对高性能阀门产品需求不断增加</w:t>
      </w:r>
    </w:p>
    <w:p w14:paraId="10FCF16F" w14:textId="77777777" w:rsidR="002E5712" w:rsidRDefault="00000000">
      <w:pPr>
        <w:pStyle w:val="000"/>
        <w:rPr>
          <w:color w:val="000000"/>
          <w:lang w:eastAsia="zh-Hans"/>
        </w:rPr>
      </w:pPr>
      <w:r>
        <w:rPr>
          <w:color w:val="000000"/>
          <w:lang w:eastAsia="zh-Hans"/>
        </w:rPr>
        <w:t>阀门产品已广泛应用于社会经济发展的各个领域，包括石油天然气、化工、水利水电、冶金、制药、城镇给排水等领域，下游行业的发展带动了阀门行业的不断发展。公司产品以出口为主导，根据</w:t>
      </w:r>
      <w:r>
        <w:rPr>
          <w:color w:val="000000"/>
          <w:lang w:eastAsia="zh-Hans"/>
        </w:rPr>
        <w:t>Research and Markets</w:t>
      </w:r>
      <w:r>
        <w:rPr>
          <w:color w:val="000000"/>
          <w:lang w:eastAsia="zh-Hans"/>
        </w:rPr>
        <w:t>统计数据，</w:t>
      </w:r>
      <w:r>
        <w:rPr>
          <w:color w:val="000000"/>
          <w:lang w:eastAsia="zh-Hans"/>
        </w:rPr>
        <w:t>2021</w:t>
      </w:r>
      <w:r>
        <w:rPr>
          <w:color w:val="000000"/>
          <w:lang w:eastAsia="zh-Hans"/>
        </w:rPr>
        <w:t>年全球工业阀门市场的市场规模约</w:t>
      </w:r>
      <w:r>
        <w:rPr>
          <w:color w:val="000000"/>
          <w:lang w:eastAsia="zh-Hans"/>
        </w:rPr>
        <w:t>730</w:t>
      </w:r>
      <w:r>
        <w:rPr>
          <w:color w:val="000000"/>
          <w:lang w:eastAsia="zh-Hans"/>
        </w:rPr>
        <w:t>亿美元，</w:t>
      </w:r>
      <w:r>
        <w:rPr>
          <w:color w:val="000000"/>
          <w:lang w:eastAsia="zh-Hans"/>
        </w:rPr>
        <w:t>2026</w:t>
      </w:r>
      <w:r>
        <w:rPr>
          <w:color w:val="000000"/>
          <w:lang w:eastAsia="zh-Hans"/>
        </w:rPr>
        <w:t>年市场规模预计达到</w:t>
      </w:r>
      <w:r>
        <w:rPr>
          <w:color w:val="000000"/>
          <w:lang w:eastAsia="zh-Hans"/>
        </w:rPr>
        <w:t>905</w:t>
      </w:r>
      <w:r>
        <w:rPr>
          <w:color w:val="000000"/>
          <w:lang w:eastAsia="zh-Hans"/>
        </w:rPr>
        <w:t>亿美元，</w:t>
      </w:r>
      <w:r>
        <w:rPr>
          <w:color w:val="000000"/>
          <w:lang w:eastAsia="zh-Hans"/>
        </w:rPr>
        <w:t>2021</w:t>
      </w:r>
      <w:r>
        <w:rPr>
          <w:color w:val="000000"/>
          <w:lang w:eastAsia="zh-Hans"/>
        </w:rPr>
        <w:t>年</w:t>
      </w:r>
      <w:r>
        <w:rPr>
          <w:color w:val="000000"/>
          <w:lang w:eastAsia="zh-Hans"/>
        </w:rPr>
        <w:t>-2026</w:t>
      </w:r>
      <w:r>
        <w:rPr>
          <w:color w:val="000000"/>
          <w:lang w:eastAsia="zh-Hans"/>
        </w:rPr>
        <w:t>年复合增长率达到</w:t>
      </w:r>
      <w:r>
        <w:rPr>
          <w:color w:val="000000"/>
          <w:lang w:eastAsia="zh-Hans"/>
        </w:rPr>
        <w:t>4.4%</w:t>
      </w:r>
      <w:r>
        <w:rPr>
          <w:color w:val="000000"/>
          <w:lang w:eastAsia="zh-Hans"/>
        </w:rPr>
        <w:t>。未来几年核电站和天然气管道新建和改造需求、工业设备维护需求以及全球智慧城市发展的需求将持续推动阀门市场发展。</w:t>
      </w:r>
    </w:p>
    <w:p w14:paraId="52C6EB44" w14:textId="77777777" w:rsidR="002E5712" w:rsidRDefault="00000000">
      <w:pPr>
        <w:widowControl/>
        <w:spacing w:beforeLines="50" w:before="156" w:line="360" w:lineRule="auto"/>
        <w:ind w:firstLineChars="200" w:firstLine="420"/>
        <w:jc w:val="center"/>
        <w:rPr>
          <w:rFonts w:ascii="Times New Roman" w:hAnsi="Times New Roman"/>
          <w:kern w:val="0"/>
          <w:szCs w:val="21"/>
        </w:rPr>
      </w:pPr>
      <w:r>
        <w:rPr>
          <w:rFonts w:ascii="Times New Roman" w:hAnsi="Times New Roman"/>
          <w:kern w:val="0"/>
          <w:szCs w:val="21"/>
        </w:rPr>
        <w:t>图表：</w:t>
      </w:r>
      <w:r>
        <w:rPr>
          <w:rFonts w:ascii="Times New Roman" w:hAnsi="Times New Roman"/>
          <w:kern w:val="0"/>
          <w:szCs w:val="21"/>
        </w:rPr>
        <w:t>2021-2026</w:t>
      </w:r>
      <w:r>
        <w:rPr>
          <w:rFonts w:ascii="Times New Roman" w:hAnsi="Times New Roman"/>
          <w:kern w:val="0"/>
          <w:szCs w:val="21"/>
        </w:rPr>
        <w:t>全球工业阀门行业市场规模及预测（单位：亿美元）</w:t>
      </w:r>
    </w:p>
    <w:p w14:paraId="343C7588" w14:textId="6A2B0528" w:rsidR="002E5712" w:rsidRDefault="001F7F41">
      <w:pPr>
        <w:tabs>
          <w:tab w:val="left" w:pos="630"/>
        </w:tabs>
        <w:jc w:val="center"/>
        <w:rPr>
          <w:rFonts w:ascii="Times New Roman" w:hAnsi="Times New Roman"/>
        </w:rPr>
      </w:pPr>
      <w:r>
        <w:rPr>
          <w:rFonts w:ascii="Times New Roman" w:eastAsia="微软雅黑" w:hAnsi="Times New Roman"/>
          <w:noProof/>
        </w:rPr>
        <w:drawing>
          <wp:inline distT="0" distB="0" distL="0" distR="0" wp14:anchorId="59737693" wp14:editId="04346C4A">
            <wp:extent cx="5080000" cy="3806825"/>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75B67B" w14:textId="77777777" w:rsidR="002E5712" w:rsidRDefault="00000000">
      <w:pPr>
        <w:widowControl/>
        <w:spacing w:beforeLines="50" w:before="156" w:line="360" w:lineRule="auto"/>
        <w:ind w:firstLineChars="200" w:firstLine="420"/>
        <w:rPr>
          <w:rFonts w:ascii="Times New Roman" w:hAnsi="Times New Roman"/>
          <w:kern w:val="0"/>
          <w:szCs w:val="21"/>
        </w:rPr>
      </w:pPr>
      <w:r>
        <w:rPr>
          <w:rFonts w:ascii="Times New Roman" w:hAnsi="Times New Roman"/>
          <w:kern w:val="0"/>
          <w:szCs w:val="21"/>
        </w:rPr>
        <w:t>数据来源：</w:t>
      </w:r>
      <w:r>
        <w:rPr>
          <w:rFonts w:ascii="Times New Roman" w:hAnsi="Times New Roman"/>
          <w:kern w:val="0"/>
          <w:szCs w:val="21"/>
        </w:rPr>
        <w:t>Research and Markets</w:t>
      </w:r>
    </w:p>
    <w:p w14:paraId="54E63884" w14:textId="77777777" w:rsidR="002E5712" w:rsidRDefault="00000000">
      <w:pPr>
        <w:pStyle w:val="000"/>
        <w:rPr>
          <w:color w:val="000000"/>
          <w:lang w:eastAsia="zh-Hans"/>
        </w:rPr>
      </w:pPr>
      <w:r>
        <w:rPr>
          <w:color w:val="000000"/>
          <w:lang w:eastAsia="zh-Hans"/>
        </w:rPr>
        <w:lastRenderedPageBreak/>
        <w:t>下游天然气和水处理市场应用前景广阔。</w:t>
      </w:r>
      <w:r>
        <w:rPr>
          <w:color w:val="000000"/>
          <w:lang w:eastAsia="zh-Hans"/>
        </w:rPr>
        <w:t>2021</w:t>
      </w:r>
      <w:r>
        <w:rPr>
          <w:color w:val="000000"/>
          <w:lang w:eastAsia="zh-Hans"/>
        </w:rPr>
        <w:t>年世界天然气消费量约</w:t>
      </w:r>
      <w:r>
        <w:rPr>
          <w:color w:val="000000"/>
          <w:lang w:eastAsia="zh-Hans"/>
        </w:rPr>
        <w:t>41,670</w:t>
      </w:r>
      <w:r>
        <w:rPr>
          <w:color w:val="000000"/>
          <w:lang w:eastAsia="zh-Hans"/>
        </w:rPr>
        <w:t>亿立方米，同比增长</w:t>
      </w:r>
      <w:r>
        <w:rPr>
          <w:color w:val="000000"/>
          <w:lang w:eastAsia="zh-Hans"/>
        </w:rPr>
        <w:t>4.80%</w:t>
      </w:r>
      <w:r>
        <w:rPr>
          <w:color w:val="000000"/>
          <w:lang w:eastAsia="zh-Hans"/>
        </w:rPr>
        <w:t>；中国天然气消费量约</w:t>
      </w:r>
      <w:r>
        <w:rPr>
          <w:color w:val="000000"/>
          <w:lang w:eastAsia="zh-Hans"/>
        </w:rPr>
        <w:t>3,690</w:t>
      </w:r>
      <w:r>
        <w:rPr>
          <w:color w:val="000000"/>
          <w:lang w:eastAsia="zh-Hans"/>
        </w:rPr>
        <w:t>亿立方米，同比增长</w:t>
      </w:r>
      <w:r>
        <w:rPr>
          <w:color w:val="000000"/>
          <w:lang w:eastAsia="zh-Hans"/>
        </w:rPr>
        <w:t>12.5%</w:t>
      </w:r>
      <w:r>
        <w:rPr>
          <w:color w:val="000000"/>
          <w:lang w:eastAsia="zh-Hans"/>
        </w:rPr>
        <w:t>。</w:t>
      </w:r>
      <w:r>
        <w:rPr>
          <w:color w:val="000000"/>
          <w:lang w:eastAsia="zh-Hans"/>
        </w:rPr>
        <w:t>2021</w:t>
      </w:r>
      <w:r>
        <w:rPr>
          <w:color w:val="000000"/>
          <w:lang w:eastAsia="zh-Hans"/>
        </w:rPr>
        <w:t>年全球水处理市场规模约为</w:t>
      </w:r>
      <w:r>
        <w:rPr>
          <w:color w:val="000000"/>
          <w:lang w:eastAsia="zh-Hans"/>
        </w:rPr>
        <w:t>2,814.40</w:t>
      </w:r>
      <w:r>
        <w:rPr>
          <w:color w:val="000000"/>
          <w:lang w:eastAsia="zh-Hans"/>
        </w:rPr>
        <w:t>亿美元，增长率约</w:t>
      </w:r>
      <w:r>
        <w:rPr>
          <w:color w:val="000000"/>
          <w:lang w:eastAsia="zh-Hans"/>
        </w:rPr>
        <w:t>6.54%</w:t>
      </w:r>
      <w:r>
        <w:rPr>
          <w:color w:val="000000"/>
          <w:lang w:eastAsia="zh-Hans"/>
        </w:rPr>
        <w:t>；国内水利工程、城镇给排水、污水处理和数据中心冷却系统市场规模都大幅增加。随着下游市场的扩大，对高性能阀门产品需求也在不断增加。</w:t>
      </w:r>
    </w:p>
    <w:p w14:paraId="1F1303C3" w14:textId="77777777" w:rsidR="002E5712" w:rsidRDefault="00000000">
      <w:pPr>
        <w:pStyle w:val="000"/>
        <w:rPr>
          <w:color w:val="000000"/>
          <w:lang w:eastAsia="zh-Hans"/>
        </w:rPr>
      </w:pPr>
      <w:r>
        <w:rPr>
          <w:color w:val="000000"/>
          <w:lang w:eastAsia="zh-Hans"/>
        </w:rPr>
        <w:t>而在整个工业市场中，随着物联网、人工智能、大数据、云计算等技术的不断发展，以及工业</w:t>
      </w:r>
      <w:r>
        <w:rPr>
          <w:color w:val="000000"/>
          <w:lang w:eastAsia="zh-Hans"/>
        </w:rPr>
        <w:t>4.0</w:t>
      </w:r>
      <w:r>
        <w:rPr>
          <w:color w:val="000000"/>
          <w:lang w:eastAsia="zh-Hans"/>
        </w:rPr>
        <w:t>的推行与变革，工业自动化水平进一步提升，与之相应的工业自动化设备需求也不断增长。随着工业自动化的不断升级，工业生产对精度、效率、可靠性等方面提出更高的要求，也带来了阀门行业技术更新换代的趋势。同时，近年来随着节能减排、绿色环保问题的日益严峻，阀门行业也开始进行整体转型，向低碳化节能方向进行探索。阀门产品技术升级、低碳化需求的不断增长将为智慧节能阀门带来巨大的市场发展空间，未来在产品智能化方面具有优势的企业有望获得更多的市场份额。</w:t>
      </w:r>
    </w:p>
    <w:p w14:paraId="37840138" w14:textId="77777777" w:rsidR="002E5712" w:rsidRDefault="00000000">
      <w:pPr>
        <w:spacing w:beforeLines="50" w:before="156" w:afterLines="50" w:after="156" w:line="360" w:lineRule="auto"/>
        <w:ind w:firstLineChars="200" w:firstLine="482"/>
        <w:outlineLvl w:val="3"/>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、阀门行业国产化机遇出现，国产替代进口成为行业趋势</w:t>
      </w:r>
    </w:p>
    <w:bookmarkEnd w:id="5"/>
    <w:p w14:paraId="5E2F8FB8" w14:textId="77777777" w:rsidR="002E5712" w:rsidRDefault="00000000">
      <w:pPr>
        <w:pStyle w:val="000"/>
        <w:rPr>
          <w:color w:val="000000"/>
          <w:lang w:eastAsia="zh-Hans"/>
        </w:rPr>
      </w:pPr>
      <w:r>
        <w:rPr>
          <w:color w:val="000000"/>
          <w:lang w:eastAsia="zh-Hans"/>
        </w:rPr>
        <w:t>随着中国经济继续平稳运行，工业化程度越来越高，对于高性能阀门的需求也日益增长。部分油气行业、化工行业和发电行业等工业领域对工业阀门的性能有很高的要求。过去，由于中国阀门产业的生产技术不足，在高性能阀门方面较多地依赖于进口国外产品。未来，随着中国工业阀门企业研发能力的增强和技术的进步，中国高性能阀门产品的国产化率将不断提高。</w:t>
      </w:r>
    </w:p>
    <w:p w14:paraId="61A95F88" w14:textId="77777777" w:rsidR="002E5712" w:rsidRDefault="00000000">
      <w:pPr>
        <w:pStyle w:val="000"/>
        <w:rPr>
          <w:color w:val="000000"/>
          <w:lang w:eastAsia="zh-Hans"/>
        </w:rPr>
      </w:pPr>
      <w:r>
        <w:rPr>
          <w:color w:val="000000"/>
          <w:lang w:eastAsia="zh-Hans"/>
        </w:rPr>
        <w:t>智慧节能阀门因其加工制造工艺先进、性能指标优异等特点，被广泛应用于各类复杂工况，其市场需求增长迅速，国产化的总趋势前景向好。但相关产品生产技术难度大、产品精度要求高、质量标准严，往往需要更为现代化、自动化的生产流水线以及更先进、更高效的加工、检测、实验设备。公司现有设备条件难以满足智慧节能阀门的生产要求，影响公司阀门向高端化阀门的升级和转型。</w:t>
      </w:r>
    </w:p>
    <w:p w14:paraId="39C2CE81" w14:textId="77777777" w:rsidR="002E5712" w:rsidRDefault="00000000">
      <w:pPr>
        <w:pStyle w:val="000"/>
        <w:rPr>
          <w:color w:val="000000"/>
          <w:lang w:eastAsia="zh-Hans"/>
        </w:rPr>
      </w:pPr>
      <w:r>
        <w:rPr>
          <w:color w:val="000000"/>
          <w:lang w:eastAsia="zh-Hans"/>
        </w:rPr>
        <w:t>本次发行募集资金投资项目将购置更先进的生产检测设备，改善生产技术和工艺水平，进一步提高生产效率，确保产品质量的可靠性、稳定性；同时，募集资金投资项目将通过产品升级丰富产品结构，增强公司盈利能力；此外，其将提升为客户提供高附加值产品和服务的能力，树立企业技术竞争优势和品牌影响力，</w:t>
      </w:r>
      <w:r>
        <w:rPr>
          <w:color w:val="000000"/>
          <w:lang w:eastAsia="zh-Hans"/>
        </w:rPr>
        <w:lastRenderedPageBreak/>
        <w:t>增强公司整体核心竞争能力，拓展盈利空间，抢占高性能阀门国产化的市场先机。</w:t>
      </w:r>
    </w:p>
    <w:p w14:paraId="01790C80" w14:textId="77777777" w:rsidR="002E5712" w:rsidRDefault="00000000">
      <w:pPr>
        <w:pStyle w:val="000"/>
        <w:rPr>
          <w:color w:val="000000"/>
          <w:lang w:eastAsia="zh-Hans"/>
        </w:rPr>
      </w:pPr>
      <w:r>
        <w:rPr>
          <w:color w:val="000000"/>
          <w:lang w:eastAsia="zh-Hans"/>
        </w:rPr>
        <w:t>综上，在此行业发展背景下，公司启动本次发行融资实施募投项目，系顺应发展趋势、把握历史机遇之必然举措，以进一步提升公司产能、阶段性满足下游客户快速增长产品需求的有效手段。</w:t>
      </w:r>
    </w:p>
    <w:bookmarkEnd w:id="3"/>
    <w:bookmarkEnd w:id="4"/>
    <w:p w14:paraId="1BE1319D" w14:textId="77777777" w:rsidR="002E5712" w:rsidRDefault="00000000">
      <w:pPr>
        <w:spacing w:beforeLines="50" w:before="156" w:afterLines="50" w:after="156" w:line="360" w:lineRule="auto"/>
        <w:ind w:firstLineChars="200" w:firstLine="482"/>
        <w:outlineLvl w:val="2"/>
        <w:rPr>
          <w:rFonts w:ascii="Times New Roman" w:hAnsi="Times New Roman"/>
          <w:b/>
          <w:sz w:val="24"/>
          <w:szCs w:val="24"/>
        </w:rPr>
      </w:pPr>
      <w:r>
        <w:rPr>
          <w:rFonts w:ascii="Times New Roman" w:hAnsi="Times New Roman"/>
          <w:b/>
          <w:sz w:val="24"/>
          <w:szCs w:val="24"/>
        </w:rPr>
        <w:t>（二）本次向不特定对象发行可转换公司债</w:t>
      </w:r>
      <w:proofErr w:type="gramStart"/>
      <w:r>
        <w:rPr>
          <w:rFonts w:ascii="Times New Roman" w:hAnsi="Times New Roman"/>
          <w:b/>
          <w:sz w:val="24"/>
          <w:szCs w:val="24"/>
        </w:rPr>
        <w:t>券</w:t>
      </w:r>
      <w:proofErr w:type="gramEnd"/>
      <w:r>
        <w:rPr>
          <w:rFonts w:ascii="Times New Roman" w:hAnsi="Times New Roman"/>
          <w:b/>
          <w:sz w:val="24"/>
          <w:szCs w:val="24"/>
        </w:rPr>
        <w:t>的目的</w:t>
      </w:r>
    </w:p>
    <w:p w14:paraId="293926D5" w14:textId="77777777" w:rsidR="002E5712" w:rsidRDefault="00000000">
      <w:pPr>
        <w:pStyle w:val="000"/>
        <w:rPr>
          <w:color w:val="000000"/>
          <w:lang w:eastAsia="zh-Hans"/>
        </w:rPr>
      </w:pPr>
      <w:r>
        <w:rPr>
          <w:color w:val="000000"/>
          <w:lang w:eastAsia="zh-Hans"/>
        </w:rPr>
        <w:t>在阀门产业蓬勃发展的时代背景下，公司通过本次向不特定对象发行可转换债券募集资金，用于实施</w:t>
      </w:r>
      <w:r>
        <w:rPr>
          <w:color w:val="000000"/>
          <w:lang w:eastAsia="zh-Hans"/>
        </w:rPr>
        <w:t>“</w:t>
      </w:r>
      <w:r>
        <w:rPr>
          <w:color w:val="000000"/>
          <w:lang w:eastAsia="zh-Hans"/>
        </w:rPr>
        <w:t>智慧节能阀门建设项目</w:t>
      </w:r>
      <w:r>
        <w:rPr>
          <w:color w:val="000000"/>
          <w:lang w:eastAsia="zh-Hans"/>
        </w:rPr>
        <w:t>”</w:t>
      </w:r>
      <w:r>
        <w:rPr>
          <w:color w:val="000000"/>
          <w:lang w:eastAsia="zh-Hans"/>
        </w:rPr>
        <w:t>。募投项目达产后，将形成年产约</w:t>
      </w:r>
      <w:r>
        <w:rPr>
          <w:color w:val="000000"/>
          <w:lang w:eastAsia="zh-Hans"/>
        </w:rPr>
        <w:t>6</w:t>
      </w:r>
      <w:r>
        <w:rPr>
          <w:color w:val="000000"/>
          <w:lang w:eastAsia="zh-Hans"/>
        </w:rPr>
        <w:t>万套的智慧节能阀门产品产能。通过本次募投项目建设，公司的智慧节能阀门产能将得到进一步补充，有利于缓解产能供给不足压力，阶段性满足较为紧迫的客户交付需求，进一步巩固公司市场领先地位，确保公司战略的稳步实施。</w:t>
      </w:r>
    </w:p>
    <w:p w14:paraId="109393B5" w14:textId="77777777" w:rsidR="002E5712" w:rsidRDefault="00000000">
      <w:pPr>
        <w:pStyle w:val="002"/>
        <w:keepNext/>
        <w:keepLines/>
        <w:spacing w:before="156" w:after="156"/>
        <w:ind w:firstLineChars="0" w:firstLine="0"/>
        <w:outlineLvl w:val="1"/>
      </w:pPr>
      <w:r>
        <w:t>二、本次发行证券及其品种选择的必要性</w:t>
      </w:r>
    </w:p>
    <w:p w14:paraId="08964C2E" w14:textId="77777777" w:rsidR="002E5712" w:rsidRDefault="00000000">
      <w:pPr>
        <w:pStyle w:val="002"/>
        <w:spacing w:before="156" w:after="156"/>
        <w:ind w:firstLine="482"/>
      </w:pPr>
      <w:r>
        <w:t>（一）本次发行证券的品种</w:t>
      </w:r>
    </w:p>
    <w:p w14:paraId="08F52C23" w14:textId="77777777" w:rsidR="002E5712" w:rsidRDefault="00000000">
      <w:pPr>
        <w:pStyle w:val="000"/>
        <w:rPr>
          <w:color w:val="000000"/>
          <w:lang w:eastAsia="zh-Hans"/>
        </w:rPr>
      </w:pPr>
      <w:r>
        <w:rPr>
          <w:color w:val="000000"/>
          <w:lang w:eastAsia="zh-Hans"/>
        </w:rPr>
        <w:t>本次发行证券的种类为可转换为公司</w:t>
      </w:r>
      <w:r>
        <w:rPr>
          <w:color w:val="000000"/>
          <w:lang w:eastAsia="zh-Hans"/>
        </w:rPr>
        <w:t>A</w:t>
      </w:r>
      <w:r>
        <w:rPr>
          <w:color w:val="000000"/>
          <w:lang w:eastAsia="zh-Hans"/>
        </w:rPr>
        <w:t>股股票的可转换公司债券。本次发行的可转换公司债券按面值发行，每张面值为人民币</w:t>
      </w:r>
      <w:r>
        <w:rPr>
          <w:color w:val="000000"/>
          <w:lang w:eastAsia="zh-Hans"/>
        </w:rPr>
        <w:t>100</w:t>
      </w:r>
      <w:r>
        <w:rPr>
          <w:color w:val="000000"/>
          <w:lang w:eastAsia="zh-Hans"/>
        </w:rPr>
        <w:t>元。</w:t>
      </w:r>
    </w:p>
    <w:p w14:paraId="40AAE503" w14:textId="77777777" w:rsidR="002E5712" w:rsidRDefault="00000000">
      <w:pPr>
        <w:pStyle w:val="002"/>
        <w:spacing w:before="156" w:after="156"/>
        <w:ind w:firstLine="482"/>
      </w:pPr>
      <w:r>
        <w:t>（二）本次发行证券品种选择的必要性</w:t>
      </w:r>
    </w:p>
    <w:p w14:paraId="77207F50" w14:textId="77777777" w:rsidR="002E5712" w:rsidRDefault="00000000">
      <w:pPr>
        <w:pStyle w:val="0040"/>
        <w:autoSpaceDE/>
        <w:autoSpaceDN/>
        <w:spacing w:before="156" w:after="156"/>
        <w:ind w:firstLine="482"/>
        <w:rPr>
          <w:rFonts w:cs="Times New Roman"/>
          <w:kern w:val="2"/>
          <w:szCs w:val="24"/>
          <w:lang w:val="en-US" w:eastAsia="zh-Hans"/>
        </w:rPr>
      </w:pPr>
      <w:r>
        <w:rPr>
          <w:rFonts w:cs="Times New Roman"/>
          <w:kern w:val="2"/>
          <w:szCs w:val="24"/>
          <w:lang w:val="en-US" w:eastAsia="zh-Hans"/>
        </w:rPr>
        <w:t>1</w:t>
      </w:r>
      <w:r>
        <w:rPr>
          <w:rFonts w:cs="Times New Roman"/>
          <w:kern w:val="2"/>
          <w:szCs w:val="24"/>
          <w:lang w:val="en-US" w:eastAsia="zh-Hans"/>
        </w:rPr>
        <w:t>、满足本次募集资金投资项目的资金需求</w:t>
      </w:r>
    </w:p>
    <w:p w14:paraId="34C112B4" w14:textId="77777777" w:rsidR="002E5712" w:rsidRDefault="00000000">
      <w:pPr>
        <w:pStyle w:val="000"/>
        <w:rPr>
          <w:color w:val="000000"/>
          <w:lang w:eastAsia="zh-Hans"/>
        </w:rPr>
      </w:pPr>
      <w:r>
        <w:rPr>
          <w:color w:val="000000"/>
          <w:lang w:eastAsia="zh-Hans"/>
        </w:rPr>
        <w:t>公司拟投资</w:t>
      </w:r>
      <w:r>
        <w:rPr>
          <w:color w:val="000000"/>
          <w:lang w:eastAsia="zh-Hans"/>
        </w:rPr>
        <w:t>“</w:t>
      </w:r>
      <w:r>
        <w:rPr>
          <w:color w:val="000000"/>
          <w:lang w:eastAsia="zh-Hans"/>
        </w:rPr>
        <w:t>智慧节能阀门建设项目</w:t>
      </w:r>
      <w:r>
        <w:rPr>
          <w:color w:val="000000"/>
          <w:lang w:eastAsia="zh-Hans"/>
        </w:rPr>
        <w:t>”</w:t>
      </w:r>
      <w:r>
        <w:rPr>
          <w:color w:val="000000"/>
          <w:lang w:eastAsia="zh-Hans"/>
        </w:rPr>
        <w:t>，项目资金总需求为</w:t>
      </w:r>
      <w:r>
        <w:rPr>
          <w:color w:val="000000"/>
          <w:lang w:eastAsia="zh-Hans"/>
        </w:rPr>
        <w:t>29,377.91</w:t>
      </w:r>
      <w:r>
        <w:rPr>
          <w:color w:val="000000"/>
          <w:lang w:eastAsia="zh-Hans"/>
        </w:rPr>
        <w:t>万元。公司现有资金无法满足项目建设的资金需求，并且公司需保留一定资金量用于未来经营和投资需求，因此公司需要外部融资以支持项目建设。</w:t>
      </w:r>
    </w:p>
    <w:p w14:paraId="6DF759EE" w14:textId="77777777" w:rsidR="002E5712" w:rsidRDefault="00000000">
      <w:pPr>
        <w:pStyle w:val="0040"/>
        <w:autoSpaceDE/>
        <w:autoSpaceDN/>
        <w:spacing w:before="156" w:after="156"/>
        <w:ind w:firstLine="482"/>
        <w:rPr>
          <w:rFonts w:cs="Times New Roman"/>
          <w:kern w:val="2"/>
          <w:szCs w:val="24"/>
          <w:lang w:val="en-US" w:eastAsia="zh-Hans"/>
        </w:rPr>
      </w:pPr>
      <w:r>
        <w:rPr>
          <w:rFonts w:cs="Times New Roman"/>
          <w:kern w:val="2"/>
          <w:szCs w:val="24"/>
          <w:lang w:val="en-US" w:eastAsia="zh-Hans"/>
        </w:rPr>
        <w:t>2</w:t>
      </w:r>
      <w:r>
        <w:rPr>
          <w:rFonts w:cs="Times New Roman"/>
          <w:kern w:val="2"/>
          <w:szCs w:val="24"/>
          <w:lang w:val="en-US" w:eastAsia="zh-Hans"/>
        </w:rPr>
        <w:t>、本次募投项目主要为资本性支出，需要长期资金支持</w:t>
      </w:r>
    </w:p>
    <w:p w14:paraId="4541F7CC" w14:textId="77777777" w:rsidR="002E5712" w:rsidRDefault="00000000">
      <w:pPr>
        <w:pStyle w:val="000"/>
        <w:rPr>
          <w:color w:val="000000"/>
          <w:lang w:eastAsia="zh-Hans"/>
        </w:rPr>
      </w:pPr>
      <w:r>
        <w:rPr>
          <w:color w:val="000000"/>
          <w:lang w:eastAsia="zh-Hans"/>
        </w:rPr>
        <w:t>本次募集资金投资项目整体规划周期较长，从项目建设到效益显现以及资金回收需要一定时间，而银行借款等债务融资具有期限较短、融资规模受信贷政策影响较大风险，采用发行可转换公司债券方式融资，可以解决公司的长期资金需求。</w:t>
      </w:r>
    </w:p>
    <w:p w14:paraId="0ECC1C29" w14:textId="77777777" w:rsidR="002E5712" w:rsidRDefault="00000000">
      <w:pPr>
        <w:pStyle w:val="0040"/>
        <w:autoSpaceDE/>
        <w:autoSpaceDN/>
        <w:spacing w:before="156" w:after="156"/>
        <w:ind w:firstLine="482"/>
        <w:rPr>
          <w:rFonts w:cs="Times New Roman"/>
          <w:kern w:val="2"/>
          <w:szCs w:val="24"/>
          <w:lang w:val="en-US" w:eastAsia="zh-Hans"/>
        </w:rPr>
      </w:pPr>
      <w:r>
        <w:rPr>
          <w:rFonts w:cs="Times New Roman"/>
          <w:kern w:val="2"/>
          <w:szCs w:val="24"/>
          <w:lang w:val="en-US" w:eastAsia="zh-Hans"/>
        </w:rPr>
        <w:lastRenderedPageBreak/>
        <w:t>3</w:t>
      </w:r>
      <w:r>
        <w:rPr>
          <w:rFonts w:cs="Times New Roman"/>
          <w:kern w:val="2"/>
          <w:szCs w:val="24"/>
          <w:lang w:val="en-US" w:eastAsia="zh-Hans"/>
        </w:rPr>
        <w:t>、公司银行贷款融资存在局限性</w:t>
      </w:r>
    </w:p>
    <w:p w14:paraId="47611C92" w14:textId="77777777" w:rsidR="002E5712" w:rsidRDefault="00000000">
      <w:pPr>
        <w:pStyle w:val="000"/>
        <w:rPr>
          <w:color w:val="000000"/>
          <w:lang w:eastAsia="zh-Hans"/>
        </w:rPr>
      </w:pPr>
      <w:r>
        <w:rPr>
          <w:color w:val="000000"/>
          <w:lang w:eastAsia="zh-Hans"/>
        </w:rPr>
        <w:t>银行贷款的融资额度相对有限，且将会产生较高的财务成本。若公司后续业务发展所需资金完全借助银行贷款，一方面将会导致公司的资产负债率攀升，加大公司的财务风险，另一方面较高的利息支出将会侵蚀公司整体利润水平，降低公司资金使用的灵活性，不利于公司实现稳健经营。</w:t>
      </w:r>
    </w:p>
    <w:p w14:paraId="7391F869" w14:textId="77777777" w:rsidR="002E5712" w:rsidRDefault="00000000">
      <w:pPr>
        <w:pStyle w:val="0040"/>
        <w:autoSpaceDE/>
        <w:autoSpaceDN/>
        <w:spacing w:before="156" w:after="156"/>
        <w:ind w:firstLine="482"/>
        <w:rPr>
          <w:rFonts w:cs="Times New Roman"/>
          <w:kern w:val="2"/>
          <w:szCs w:val="24"/>
          <w:lang w:val="en-US" w:eastAsia="zh-Hans"/>
        </w:rPr>
      </w:pPr>
      <w:r>
        <w:rPr>
          <w:rFonts w:cs="Times New Roman"/>
          <w:kern w:val="2"/>
          <w:szCs w:val="24"/>
          <w:lang w:val="en-US" w:eastAsia="zh-Hans"/>
        </w:rPr>
        <w:t>4</w:t>
      </w:r>
      <w:r>
        <w:rPr>
          <w:rFonts w:cs="Times New Roman"/>
          <w:kern w:val="2"/>
          <w:szCs w:val="24"/>
          <w:lang w:val="en-US" w:eastAsia="zh-Hans"/>
        </w:rPr>
        <w:t>、向不特定对象发行可转换公司债券是适合公司现阶段选择的融资方式</w:t>
      </w:r>
    </w:p>
    <w:p w14:paraId="41F3B926" w14:textId="77777777" w:rsidR="002E5712" w:rsidRDefault="00000000">
      <w:pPr>
        <w:pStyle w:val="000"/>
        <w:rPr>
          <w:color w:val="000000"/>
          <w:lang w:eastAsia="zh-Hans"/>
        </w:rPr>
      </w:pPr>
      <w:r>
        <w:rPr>
          <w:color w:val="000000"/>
          <w:lang w:eastAsia="zh-Hans"/>
        </w:rPr>
        <w:t>向不特定对象发行可转换公司债券具有较好的规划及协调性，能够更好地配合和支持公司战略目标的实现，提升公司融资能力。</w:t>
      </w:r>
    </w:p>
    <w:p w14:paraId="3E12BAF3" w14:textId="77777777" w:rsidR="002E5712" w:rsidRDefault="00000000">
      <w:pPr>
        <w:pStyle w:val="000"/>
        <w:rPr>
          <w:color w:val="000000"/>
          <w:lang w:eastAsia="zh-Hans"/>
        </w:rPr>
      </w:pPr>
      <w:r>
        <w:rPr>
          <w:color w:val="000000"/>
          <w:lang w:eastAsia="zh-Hans"/>
        </w:rPr>
        <w:t>随着公司经营业绩的快速增长及募集资金投资项目的陆续实施，公司有能力消化潜在的股本扩张对即期收益的摊薄影响，保障公司原股东的利益。通过向不特定对象发行可转换公司债券募集资金，公司进一步增强资金实力，为后续发展提供有力保障；同时，促进公司的稳健经营，增强抵御财务风险的能力。</w:t>
      </w:r>
    </w:p>
    <w:p w14:paraId="6F9AD570" w14:textId="77777777" w:rsidR="002E5712" w:rsidRDefault="00000000">
      <w:pPr>
        <w:pStyle w:val="000"/>
        <w:rPr>
          <w:color w:val="000000"/>
          <w:lang w:eastAsia="zh-Hans"/>
        </w:rPr>
      </w:pPr>
      <w:r>
        <w:rPr>
          <w:color w:val="000000"/>
          <w:lang w:eastAsia="zh-Hans"/>
        </w:rPr>
        <w:t>综上所述，公司本次向不特定对象发行可转换公司债券是必要的。</w:t>
      </w:r>
    </w:p>
    <w:p w14:paraId="21FB2FBD" w14:textId="77777777" w:rsidR="002E5712" w:rsidRDefault="00000000">
      <w:pPr>
        <w:pStyle w:val="002"/>
        <w:keepNext/>
        <w:keepLines/>
        <w:spacing w:before="156" w:after="156"/>
        <w:ind w:firstLineChars="0" w:firstLine="0"/>
        <w:outlineLvl w:val="1"/>
      </w:pPr>
      <w:r>
        <w:t>三、本次发行对象的选择范围、数量和标准的适当性</w:t>
      </w:r>
    </w:p>
    <w:p w14:paraId="3C63177D" w14:textId="77777777" w:rsidR="002E5712" w:rsidRDefault="00000000">
      <w:pPr>
        <w:pStyle w:val="002"/>
        <w:spacing w:before="156" w:after="156"/>
        <w:ind w:firstLine="482"/>
      </w:pPr>
      <w:r>
        <w:t>（一）本次发行对象选择范围的适当性</w:t>
      </w:r>
    </w:p>
    <w:p w14:paraId="4088E83B" w14:textId="77777777" w:rsidR="002E5712" w:rsidRDefault="00000000">
      <w:pPr>
        <w:pStyle w:val="000"/>
        <w:rPr>
          <w:color w:val="000000"/>
          <w:lang w:eastAsia="zh-Hans"/>
        </w:rPr>
      </w:pPr>
      <w:r>
        <w:rPr>
          <w:color w:val="000000"/>
          <w:lang w:eastAsia="zh-Hans"/>
        </w:rPr>
        <w:t>本次可转换公司债券的具体发行方式由股东大会授权董事会与本次发行的保荐机构（主承销商）在发行前协商确定。本次可转换公司债券的发行对象为持有中国证券登记结算有限责任公司深圳分公司证券账户的自然人、法人、证券投资基金、符合法律规定的其他投资者等（国家法律、法规禁止者除外）。若国家法律、法规对向不特定对象发行可转换公司债券的发行对象有新的规定，公司将按新的规定进行调整。</w:t>
      </w:r>
    </w:p>
    <w:p w14:paraId="5F4206C2" w14:textId="77777777" w:rsidR="002E5712" w:rsidRDefault="00000000">
      <w:pPr>
        <w:pStyle w:val="000"/>
        <w:rPr>
          <w:color w:val="000000"/>
          <w:lang w:eastAsia="zh-Hans"/>
        </w:rPr>
      </w:pPr>
      <w:r>
        <w:rPr>
          <w:color w:val="000000"/>
          <w:lang w:eastAsia="zh-Hans"/>
        </w:rPr>
        <w:t>本次发行对象的选择范围符合《管理办法》等法律法规的相关规定，选择范围适当。</w:t>
      </w:r>
    </w:p>
    <w:p w14:paraId="030A2CD4" w14:textId="77777777" w:rsidR="002E5712" w:rsidRDefault="00000000">
      <w:pPr>
        <w:pStyle w:val="002"/>
        <w:spacing w:before="156" w:after="156"/>
        <w:ind w:firstLine="482"/>
      </w:pPr>
      <w:r>
        <w:t>（二）本次发行对象的数量的适当性</w:t>
      </w:r>
    </w:p>
    <w:p w14:paraId="38666728" w14:textId="77777777" w:rsidR="002E5712" w:rsidRDefault="00000000">
      <w:pPr>
        <w:pStyle w:val="000"/>
        <w:rPr>
          <w:color w:val="000000"/>
          <w:lang w:eastAsia="zh-Hans"/>
        </w:rPr>
      </w:pPr>
      <w:r>
        <w:rPr>
          <w:color w:val="000000"/>
          <w:lang w:eastAsia="zh-Hans"/>
        </w:rPr>
        <w:t>公司本次发行可转换公司债券采取向不特定对象发行方式。本次发行对象的数量符合《管理办法》等法律法规的相关规定，发行对象数量适当。</w:t>
      </w:r>
    </w:p>
    <w:p w14:paraId="4B902E78" w14:textId="77777777" w:rsidR="002E5712" w:rsidRDefault="00000000">
      <w:pPr>
        <w:pStyle w:val="002"/>
        <w:spacing w:before="156" w:after="156"/>
        <w:ind w:firstLine="482"/>
      </w:pPr>
      <w:r>
        <w:lastRenderedPageBreak/>
        <w:t>（三）本次发行对象的标准的适当性</w:t>
      </w:r>
    </w:p>
    <w:p w14:paraId="75538044" w14:textId="77777777" w:rsidR="002E5712" w:rsidRDefault="00000000">
      <w:pPr>
        <w:pStyle w:val="000"/>
        <w:rPr>
          <w:color w:val="000000"/>
          <w:lang w:eastAsia="zh-Hans"/>
        </w:rPr>
      </w:pPr>
      <w:r>
        <w:rPr>
          <w:color w:val="000000"/>
          <w:lang w:eastAsia="zh-Hans"/>
        </w:rPr>
        <w:t>本次发行对象应具有一定风险识别能力和风险承担能力，并具备相应的资金实力。本次发行对象的标准符合《管理办法》等法律法规的相关规定，本次发行对象的标准适当。</w:t>
      </w:r>
    </w:p>
    <w:p w14:paraId="1F6CA645" w14:textId="77777777" w:rsidR="002E5712" w:rsidRDefault="00000000">
      <w:pPr>
        <w:keepNext/>
        <w:keepLines/>
        <w:spacing w:beforeLines="50" w:before="156" w:afterLines="50" w:after="156" w:line="360" w:lineRule="auto"/>
        <w:outlineLvl w:val="1"/>
        <w:rPr>
          <w:rFonts w:ascii="Times New Roman" w:hAnsi="Times New Roman"/>
          <w:b/>
          <w:sz w:val="24"/>
          <w:szCs w:val="24"/>
        </w:rPr>
      </w:pPr>
      <w:r>
        <w:rPr>
          <w:rFonts w:ascii="Times New Roman" w:hAnsi="Times New Roman"/>
          <w:b/>
          <w:sz w:val="24"/>
          <w:szCs w:val="24"/>
        </w:rPr>
        <w:t>四、本次发行的定价基准日、发行价格及定价原则</w:t>
      </w:r>
    </w:p>
    <w:p w14:paraId="26335865" w14:textId="77777777" w:rsidR="002E5712" w:rsidRDefault="00000000">
      <w:pPr>
        <w:pStyle w:val="002"/>
        <w:spacing w:before="156" w:after="156"/>
        <w:ind w:firstLine="482"/>
      </w:pPr>
      <w:r>
        <w:t>（一）本次发行定价的原则合理</w:t>
      </w:r>
    </w:p>
    <w:p w14:paraId="1AD2DE6E" w14:textId="77777777" w:rsidR="002E5712" w:rsidRDefault="00000000">
      <w:pPr>
        <w:pStyle w:val="000"/>
        <w:rPr>
          <w:color w:val="000000"/>
          <w:lang w:eastAsia="zh-Hans"/>
        </w:rPr>
      </w:pPr>
      <w:r>
        <w:rPr>
          <w:color w:val="000000"/>
          <w:lang w:eastAsia="zh-Hans"/>
        </w:rPr>
        <w:t>公司将经深圳证券交易所审核并在中国证监会完成注册后，经与保荐机构（主承销商）协商后确定发行期。</w:t>
      </w:r>
    </w:p>
    <w:p w14:paraId="26ABDD3B" w14:textId="77777777" w:rsidR="002E5712" w:rsidRDefault="00000000">
      <w:pPr>
        <w:pStyle w:val="000"/>
        <w:rPr>
          <w:color w:val="000000"/>
          <w:lang w:eastAsia="zh-Hans"/>
        </w:rPr>
      </w:pPr>
      <w:r>
        <w:rPr>
          <w:color w:val="000000"/>
          <w:lang w:eastAsia="zh-Hans"/>
        </w:rPr>
        <w:t>本次发行的定价原则：</w:t>
      </w:r>
    </w:p>
    <w:p w14:paraId="2A52EDE9" w14:textId="77777777" w:rsidR="002E5712" w:rsidRDefault="00000000">
      <w:pPr>
        <w:pStyle w:val="000"/>
        <w:rPr>
          <w:color w:val="000000"/>
          <w:lang w:eastAsia="zh-Hans"/>
        </w:rPr>
      </w:pPr>
      <w:r>
        <w:rPr>
          <w:color w:val="000000"/>
          <w:lang w:eastAsia="zh-Hans"/>
        </w:rPr>
        <w:t>1</w:t>
      </w:r>
      <w:r>
        <w:rPr>
          <w:color w:val="000000"/>
          <w:lang w:eastAsia="zh-Hans"/>
        </w:rPr>
        <w:t>、债券利率</w:t>
      </w:r>
    </w:p>
    <w:p w14:paraId="4A7DD671" w14:textId="77777777" w:rsidR="002E5712" w:rsidRDefault="00000000">
      <w:pPr>
        <w:pStyle w:val="000"/>
        <w:rPr>
          <w:color w:val="000000"/>
          <w:lang w:eastAsia="zh-Hans"/>
        </w:rPr>
      </w:pPr>
      <w:r>
        <w:rPr>
          <w:color w:val="000000"/>
          <w:lang w:eastAsia="zh-Hans"/>
        </w:rPr>
        <w:t>本次发行的可转换公司债券票面利率的确定方式及每一计息年度的最终利率水平，提请公司股东大会授权公司董事会（或由董事会授权的人士）在发行前根据国家政策、市场状况和公司具体情况与保荐机构（主承销商）协商确定。</w:t>
      </w:r>
    </w:p>
    <w:p w14:paraId="58987BE0" w14:textId="77777777" w:rsidR="002E5712" w:rsidRDefault="00000000">
      <w:pPr>
        <w:pStyle w:val="000"/>
        <w:rPr>
          <w:color w:val="000000"/>
          <w:lang w:eastAsia="zh-Hans"/>
        </w:rPr>
      </w:pPr>
      <w:r>
        <w:rPr>
          <w:color w:val="000000"/>
          <w:lang w:eastAsia="zh-Hans"/>
        </w:rPr>
        <w:t>2</w:t>
      </w:r>
      <w:r>
        <w:rPr>
          <w:color w:val="000000"/>
          <w:lang w:eastAsia="zh-Hans"/>
        </w:rPr>
        <w:t>、转股价格</w:t>
      </w:r>
    </w:p>
    <w:p w14:paraId="6CD51D82" w14:textId="77777777" w:rsidR="002E5712" w:rsidRDefault="00000000">
      <w:pPr>
        <w:pStyle w:val="000"/>
        <w:rPr>
          <w:color w:val="000000"/>
          <w:lang w:eastAsia="zh-Hans"/>
        </w:rPr>
      </w:pPr>
      <w:r>
        <w:rPr>
          <w:color w:val="000000"/>
          <w:lang w:eastAsia="zh-Hans"/>
        </w:rPr>
        <w:t>（</w:t>
      </w:r>
      <w:r>
        <w:rPr>
          <w:color w:val="000000"/>
          <w:lang w:eastAsia="zh-Hans"/>
        </w:rPr>
        <w:t>1</w:t>
      </w:r>
      <w:r>
        <w:rPr>
          <w:color w:val="000000"/>
          <w:lang w:eastAsia="zh-Hans"/>
        </w:rPr>
        <w:t>）初始转股价格的确定</w:t>
      </w:r>
    </w:p>
    <w:p w14:paraId="46D9FBF6" w14:textId="77777777" w:rsidR="002E5712" w:rsidRDefault="00000000">
      <w:pPr>
        <w:pStyle w:val="000"/>
        <w:rPr>
          <w:color w:val="000000"/>
          <w:lang w:eastAsia="zh-Hans"/>
        </w:rPr>
      </w:pPr>
      <w:r>
        <w:rPr>
          <w:color w:val="000000"/>
          <w:lang w:eastAsia="zh-Hans"/>
        </w:rPr>
        <w:t>本次发行的可转换公司债券的初始转股价格不低于募集说明书公告日前二十个交易日公司</w:t>
      </w:r>
      <w:r>
        <w:rPr>
          <w:color w:val="000000"/>
          <w:lang w:eastAsia="zh-Hans"/>
        </w:rPr>
        <w:t>A</w:t>
      </w:r>
      <w:r>
        <w:rPr>
          <w:color w:val="000000"/>
          <w:lang w:eastAsia="zh-Hans"/>
        </w:rPr>
        <w:t>股股票交易均价（若在该二十个交易日内发生过因除权、除息引起股价调整的情形，则对调整前交易日的收盘价按经过相应除权、除息调整后的价格计算）和前一个交易日公司股票交易均价，且不得向上修正，具体初始转股价格提请公司股东大会授权公司董事会（或由董事会授权的人士）在发行前根据市场和公司具体情况与保荐机构（主承销商）协商确定。</w:t>
      </w:r>
    </w:p>
    <w:p w14:paraId="33A3F066" w14:textId="77777777" w:rsidR="002E5712" w:rsidRDefault="00000000">
      <w:pPr>
        <w:pStyle w:val="000"/>
        <w:rPr>
          <w:color w:val="000000"/>
          <w:lang w:eastAsia="zh-Hans"/>
        </w:rPr>
      </w:pPr>
      <w:r>
        <w:rPr>
          <w:color w:val="000000"/>
          <w:lang w:eastAsia="zh-Hans"/>
        </w:rPr>
        <w:t>前二十个交易日公司股票交易均价</w:t>
      </w:r>
      <w:r>
        <w:rPr>
          <w:color w:val="000000"/>
          <w:lang w:eastAsia="zh-Hans"/>
        </w:rPr>
        <w:t>=</w:t>
      </w:r>
      <w:r>
        <w:rPr>
          <w:color w:val="000000"/>
          <w:lang w:eastAsia="zh-Hans"/>
        </w:rPr>
        <w:t>前二十个交易日公司股票交易总额</w:t>
      </w:r>
      <w:r>
        <w:rPr>
          <w:color w:val="000000"/>
          <w:lang w:eastAsia="zh-Hans"/>
        </w:rPr>
        <w:t>/</w:t>
      </w:r>
      <w:r>
        <w:rPr>
          <w:color w:val="000000"/>
          <w:lang w:eastAsia="zh-Hans"/>
        </w:rPr>
        <w:t>该二十个交易日公司股票交易总量；前一交易日公司股票交易均价</w:t>
      </w:r>
      <w:r>
        <w:rPr>
          <w:color w:val="000000"/>
          <w:lang w:eastAsia="zh-Hans"/>
        </w:rPr>
        <w:t>=</w:t>
      </w:r>
      <w:r>
        <w:rPr>
          <w:color w:val="000000"/>
          <w:lang w:eastAsia="zh-Hans"/>
        </w:rPr>
        <w:t>前一交易日公司股票交易总额</w:t>
      </w:r>
      <w:r>
        <w:rPr>
          <w:color w:val="000000"/>
          <w:lang w:eastAsia="zh-Hans"/>
        </w:rPr>
        <w:t>/</w:t>
      </w:r>
      <w:r>
        <w:rPr>
          <w:color w:val="000000"/>
          <w:lang w:eastAsia="zh-Hans"/>
        </w:rPr>
        <w:t>该日公司股票交易总量。</w:t>
      </w:r>
    </w:p>
    <w:p w14:paraId="334A3F57" w14:textId="77777777" w:rsidR="002E5712" w:rsidRDefault="00000000">
      <w:pPr>
        <w:pStyle w:val="000"/>
        <w:rPr>
          <w:color w:val="000000"/>
          <w:lang w:eastAsia="zh-Hans"/>
        </w:rPr>
      </w:pPr>
      <w:r>
        <w:rPr>
          <w:color w:val="000000"/>
          <w:lang w:eastAsia="zh-Hans"/>
        </w:rPr>
        <w:t>（</w:t>
      </w:r>
      <w:r>
        <w:rPr>
          <w:color w:val="000000"/>
          <w:lang w:eastAsia="zh-Hans"/>
        </w:rPr>
        <w:t>2</w:t>
      </w:r>
      <w:r>
        <w:rPr>
          <w:color w:val="000000"/>
          <w:lang w:eastAsia="zh-Hans"/>
        </w:rPr>
        <w:t>）转股价格的调整方法及计算公式</w:t>
      </w:r>
    </w:p>
    <w:p w14:paraId="426CAE9E" w14:textId="77777777" w:rsidR="002E5712" w:rsidRDefault="00000000">
      <w:pPr>
        <w:pStyle w:val="000"/>
        <w:rPr>
          <w:color w:val="000000"/>
          <w:lang w:eastAsia="zh-Hans"/>
        </w:rPr>
      </w:pPr>
      <w:r>
        <w:rPr>
          <w:color w:val="000000"/>
          <w:lang w:eastAsia="zh-Hans"/>
        </w:rPr>
        <w:lastRenderedPageBreak/>
        <w:t>在本次发行之后，当公司发生派送股票股利、转增股本、增发新股或配股、派送现金股利等情况（不包括因本次发行的可转换公司债券转股而增加的股本）使公司股份发生变化时，将按下述公式进行转股价格的调整（保留小数点后两位，最后一位四舍五入）：</w:t>
      </w:r>
    </w:p>
    <w:p w14:paraId="5E73BE36" w14:textId="77777777" w:rsidR="002E5712" w:rsidRDefault="00000000">
      <w:pPr>
        <w:pStyle w:val="000"/>
        <w:rPr>
          <w:color w:val="000000"/>
          <w:lang w:eastAsia="zh-Hans"/>
        </w:rPr>
      </w:pPr>
      <w:r>
        <w:rPr>
          <w:color w:val="000000"/>
          <w:lang w:eastAsia="zh-Hans"/>
        </w:rPr>
        <w:t>派送股票股利或转增股本：</w:t>
      </w:r>
      <w:r>
        <w:rPr>
          <w:color w:val="000000"/>
          <w:lang w:eastAsia="zh-Hans"/>
        </w:rPr>
        <w:t>P1=P0/</w:t>
      </w:r>
      <w:r>
        <w:rPr>
          <w:color w:val="000000"/>
          <w:lang w:eastAsia="zh-Hans"/>
        </w:rPr>
        <w:t>（</w:t>
      </w:r>
      <w:r>
        <w:rPr>
          <w:color w:val="000000"/>
          <w:lang w:eastAsia="zh-Hans"/>
        </w:rPr>
        <w:t>1+n</w:t>
      </w:r>
      <w:r>
        <w:rPr>
          <w:color w:val="000000"/>
          <w:lang w:eastAsia="zh-Hans"/>
        </w:rPr>
        <w:t>）；</w:t>
      </w:r>
    </w:p>
    <w:p w14:paraId="1954FD27" w14:textId="77777777" w:rsidR="002E5712" w:rsidRDefault="00000000">
      <w:pPr>
        <w:pStyle w:val="000"/>
        <w:rPr>
          <w:color w:val="000000"/>
          <w:lang w:eastAsia="zh-Hans"/>
        </w:rPr>
      </w:pPr>
      <w:r>
        <w:rPr>
          <w:color w:val="000000"/>
          <w:lang w:eastAsia="zh-Hans"/>
        </w:rPr>
        <w:t>增发新股或配股：</w:t>
      </w:r>
      <w:r>
        <w:rPr>
          <w:color w:val="000000"/>
          <w:lang w:eastAsia="zh-Hans"/>
        </w:rPr>
        <w:t>P1=</w:t>
      </w:r>
      <w:r>
        <w:rPr>
          <w:color w:val="000000"/>
          <w:lang w:eastAsia="zh-Hans"/>
        </w:rPr>
        <w:t>（</w:t>
      </w:r>
      <w:r>
        <w:rPr>
          <w:color w:val="000000"/>
          <w:lang w:eastAsia="zh-Hans"/>
        </w:rPr>
        <w:t>P0+A×k</w:t>
      </w:r>
      <w:r>
        <w:rPr>
          <w:color w:val="000000"/>
          <w:lang w:eastAsia="zh-Hans"/>
        </w:rPr>
        <w:t>）</w:t>
      </w:r>
      <w:r>
        <w:rPr>
          <w:color w:val="000000"/>
          <w:lang w:eastAsia="zh-Hans"/>
        </w:rPr>
        <w:t>/</w:t>
      </w:r>
      <w:r>
        <w:rPr>
          <w:color w:val="000000"/>
          <w:lang w:eastAsia="zh-Hans"/>
        </w:rPr>
        <w:t>（</w:t>
      </w:r>
      <w:r>
        <w:rPr>
          <w:color w:val="000000"/>
          <w:lang w:eastAsia="zh-Hans"/>
        </w:rPr>
        <w:t>1+k</w:t>
      </w:r>
      <w:r>
        <w:rPr>
          <w:color w:val="000000"/>
          <w:lang w:eastAsia="zh-Hans"/>
        </w:rPr>
        <w:t>）；</w:t>
      </w:r>
    </w:p>
    <w:p w14:paraId="6C808B58" w14:textId="77777777" w:rsidR="002E5712" w:rsidRDefault="00000000">
      <w:pPr>
        <w:pStyle w:val="000"/>
        <w:rPr>
          <w:color w:val="000000"/>
          <w:lang w:eastAsia="zh-Hans"/>
        </w:rPr>
      </w:pPr>
      <w:r>
        <w:rPr>
          <w:color w:val="000000"/>
          <w:lang w:eastAsia="zh-Hans"/>
        </w:rPr>
        <w:t>上述两项同时进行：</w:t>
      </w:r>
      <w:r>
        <w:rPr>
          <w:color w:val="000000"/>
          <w:lang w:eastAsia="zh-Hans"/>
        </w:rPr>
        <w:t>P1=</w:t>
      </w:r>
      <w:r>
        <w:rPr>
          <w:color w:val="000000"/>
          <w:lang w:eastAsia="zh-Hans"/>
        </w:rPr>
        <w:t>（</w:t>
      </w:r>
      <w:r>
        <w:rPr>
          <w:color w:val="000000"/>
          <w:lang w:eastAsia="zh-Hans"/>
        </w:rPr>
        <w:t>P0+A×k</w:t>
      </w:r>
      <w:r>
        <w:rPr>
          <w:color w:val="000000"/>
          <w:lang w:eastAsia="zh-Hans"/>
        </w:rPr>
        <w:t>）</w:t>
      </w:r>
      <w:r>
        <w:rPr>
          <w:color w:val="000000"/>
          <w:lang w:eastAsia="zh-Hans"/>
        </w:rPr>
        <w:t>/</w:t>
      </w:r>
      <w:r>
        <w:rPr>
          <w:color w:val="000000"/>
          <w:lang w:eastAsia="zh-Hans"/>
        </w:rPr>
        <w:t>（</w:t>
      </w:r>
      <w:r>
        <w:rPr>
          <w:color w:val="000000"/>
          <w:lang w:eastAsia="zh-Hans"/>
        </w:rPr>
        <w:t>1+n+k</w:t>
      </w:r>
      <w:r>
        <w:rPr>
          <w:color w:val="000000"/>
          <w:lang w:eastAsia="zh-Hans"/>
        </w:rPr>
        <w:t>）；</w:t>
      </w:r>
    </w:p>
    <w:p w14:paraId="1A6EA86E" w14:textId="77777777" w:rsidR="002E5712" w:rsidRDefault="00000000">
      <w:pPr>
        <w:pStyle w:val="000"/>
        <w:rPr>
          <w:color w:val="000000"/>
          <w:lang w:eastAsia="zh-Hans"/>
        </w:rPr>
      </w:pPr>
      <w:r>
        <w:rPr>
          <w:color w:val="000000"/>
          <w:lang w:eastAsia="zh-Hans"/>
        </w:rPr>
        <w:t>派送现金股利：</w:t>
      </w:r>
      <w:r>
        <w:rPr>
          <w:color w:val="000000"/>
          <w:lang w:eastAsia="zh-Hans"/>
        </w:rPr>
        <w:t>P1=P0</w:t>
      </w:r>
      <w:r>
        <w:rPr>
          <w:color w:val="000000"/>
          <w:lang w:eastAsia="zh-Hans"/>
        </w:rPr>
        <w:t>－</w:t>
      </w:r>
      <w:r>
        <w:rPr>
          <w:color w:val="000000"/>
          <w:lang w:eastAsia="zh-Hans"/>
        </w:rPr>
        <w:t>D</w:t>
      </w:r>
      <w:r>
        <w:rPr>
          <w:color w:val="000000"/>
          <w:lang w:eastAsia="zh-Hans"/>
        </w:rPr>
        <w:t>；</w:t>
      </w:r>
    </w:p>
    <w:p w14:paraId="2240485F" w14:textId="77777777" w:rsidR="002E5712" w:rsidRDefault="00000000">
      <w:pPr>
        <w:pStyle w:val="000"/>
        <w:rPr>
          <w:color w:val="000000"/>
          <w:lang w:eastAsia="zh-Hans"/>
        </w:rPr>
      </w:pPr>
      <w:r>
        <w:rPr>
          <w:color w:val="000000"/>
          <w:lang w:eastAsia="zh-Hans"/>
        </w:rPr>
        <w:t>上述三项同时进行：</w:t>
      </w:r>
      <w:r>
        <w:rPr>
          <w:color w:val="000000"/>
          <w:lang w:eastAsia="zh-Hans"/>
        </w:rPr>
        <w:t>P1</w:t>
      </w:r>
      <w:r>
        <w:rPr>
          <w:color w:val="000000"/>
          <w:lang w:eastAsia="zh-Hans"/>
        </w:rPr>
        <w:t>＝（</w:t>
      </w:r>
      <w:r>
        <w:rPr>
          <w:color w:val="000000"/>
          <w:lang w:eastAsia="zh-Hans"/>
        </w:rPr>
        <w:t>P0</w:t>
      </w:r>
      <w:r>
        <w:rPr>
          <w:color w:val="000000"/>
          <w:lang w:eastAsia="zh-Hans"/>
        </w:rPr>
        <w:t>－</w:t>
      </w:r>
      <w:r>
        <w:rPr>
          <w:color w:val="000000"/>
          <w:lang w:eastAsia="zh-Hans"/>
        </w:rPr>
        <w:t>D+A×k</w:t>
      </w:r>
      <w:r>
        <w:rPr>
          <w:color w:val="000000"/>
          <w:lang w:eastAsia="zh-Hans"/>
        </w:rPr>
        <w:t>）</w:t>
      </w:r>
      <w:r>
        <w:rPr>
          <w:color w:val="000000"/>
          <w:lang w:eastAsia="zh-Hans"/>
        </w:rPr>
        <w:t>/</w:t>
      </w:r>
      <w:r>
        <w:rPr>
          <w:color w:val="000000"/>
          <w:lang w:eastAsia="zh-Hans"/>
        </w:rPr>
        <w:t>（</w:t>
      </w:r>
      <w:r>
        <w:rPr>
          <w:color w:val="000000"/>
          <w:lang w:eastAsia="zh-Hans"/>
        </w:rPr>
        <w:t>1+n+k</w:t>
      </w:r>
      <w:r>
        <w:rPr>
          <w:color w:val="000000"/>
          <w:lang w:eastAsia="zh-Hans"/>
        </w:rPr>
        <w:t>）</w:t>
      </w:r>
    </w:p>
    <w:p w14:paraId="17253822" w14:textId="77777777" w:rsidR="002E5712" w:rsidRDefault="00000000">
      <w:pPr>
        <w:pStyle w:val="000"/>
        <w:rPr>
          <w:color w:val="000000"/>
          <w:lang w:eastAsia="zh-Hans"/>
        </w:rPr>
      </w:pPr>
      <w:r>
        <w:rPr>
          <w:color w:val="000000"/>
          <w:lang w:eastAsia="zh-Hans"/>
        </w:rPr>
        <w:t>其中：</w:t>
      </w:r>
      <w:r>
        <w:rPr>
          <w:color w:val="000000"/>
          <w:lang w:eastAsia="zh-Hans"/>
        </w:rPr>
        <w:t>P0</w:t>
      </w:r>
      <w:r>
        <w:rPr>
          <w:color w:val="000000"/>
          <w:lang w:eastAsia="zh-Hans"/>
        </w:rPr>
        <w:t>为调整前转股价，</w:t>
      </w:r>
      <w:r>
        <w:rPr>
          <w:color w:val="000000"/>
          <w:lang w:eastAsia="zh-Hans"/>
        </w:rPr>
        <w:t>n</w:t>
      </w:r>
      <w:r>
        <w:rPr>
          <w:color w:val="000000"/>
          <w:lang w:eastAsia="zh-Hans"/>
        </w:rPr>
        <w:t>为派送股票股利或转增股本率，</w:t>
      </w:r>
      <w:r>
        <w:rPr>
          <w:color w:val="000000"/>
          <w:lang w:eastAsia="zh-Hans"/>
        </w:rPr>
        <w:t>k</w:t>
      </w:r>
      <w:r>
        <w:rPr>
          <w:color w:val="000000"/>
          <w:lang w:eastAsia="zh-Hans"/>
        </w:rPr>
        <w:t>为增发新股或配股率，</w:t>
      </w:r>
      <w:r>
        <w:rPr>
          <w:color w:val="000000"/>
          <w:lang w:eastAsia="zh-Hans"/>
        </w:rPr>
        <w:t>A</w:t>
      </w:r>
      <w:r>
        <w:rPr>
          <w:color w:val="000000"/>
          <w:lang w:eastAsia="zh-Hans"/>
        </w:rPr>
        <w:t>为增发新股价或配股价，</w:t>
      </w:r>
      <w:r>
        <w:rPr>
          <w:color w:val="000000"/>
          <w:lang w:eastAsia="zh-Hans"/>
        </w:rPr>
        <w:t>D</w:t>
      </w:r>
      <w:r>
        <w:rPr>
          <w:color w:val="000000"/>
          <w:lang w:eastAsia="zh-Hans"/>
        </w:rPr>
        <w:t>为每股派送现金股利，</w:t>
      </w:r>
      <w:r>
        <w:rPr>
          <w:color w:val="000000"/>
          <w:lang w:eastAsia="zh-Hans"/>
        </w:rPr>
        <w:t>P1</w:t>
      </w:r>
      <w:r>
        <w:rPr>
          <w:color w:val="000000"/>
          <w:lang w:eastAsia="zh-Hans"/>
        </w:rPr>
        <w:t>为调整后转股价。</w:t>
      </w:r>
    </w:p>
    <w:p w14:paraId="09E73F1B" w14:textId="77777777" w:rsidR="002E5712" w:rsidRDefault="00000000">
      <w:pPr>
        <w:pStyle w:val="000"/>
        <w:rPr>
          <w:color w:val="000000"/>
          <w:lang w:eastAsia="zh-Hans"/>
        </w:rPr>
      </w:pPr>
      <w:r>
        <w:rPr>
          <w:color w:val="000000"/>
          <w:lang w:eastAsia="zh-Hans"/>
        </w:rPr>
        <w:t>当公司出现上述股份和</w:t>
      </w:r>
      <w:r>
        <w:rPr>
          <w:color w:val="000000"/>
          <w:lang w:eastAsia="zh-Hans"/>
        </w:rPr>
        <w:t>/</w:t>
      </w:r>
      <w:r>
        <w:rPr>
          <w:color w:val="000000"/>
          <w:lang w:eastAsia="zh-Hans"/>
        </w:rPr>
        <w:t>或股东权益变化情况时，将依次进行转股价格调整，并在中国证监会指定的上市公司信息披露媒体上刊登董事会决议公告，并于公告中载明转股价格调整日、调整办法及暂停转股期间（如需）；当转股价格调整日为本次发行的可转换公司债券持有人转股申请日或之后，转换股份登记日之前，则该持有人的转股申请按公司调整后的转股价格执行。</w:t>
      </w:r>
    </w:p>
    <w:p w14:paraId="076C9E9E" w14:textId="77777777" w:rsidR="002E5712" w:rsidRDefault="00000000">
      <w:pPr>
        <w:pStyle w:val="000"/>
        <w:rPr>
          <w:color w:val="000000"/>
          <w:lang w:eastAsia="zh-Hans"/>
        </w:rPr>
      </w:pPr>
      <w:r>
        <w:rPr>
          <w:color w:val="000000"/>
          <w:lang w:eastAsia="zh-Hans"/>
        </w:rPr>
        <w:t>当公司可能发生股份回购、合并、分立或任何其他情形使公司股份类别、数量和</w:t>
      </w:r>
      <w:r>
        <w:rPr>
          <w:color w:val="000000"/>
          <w:lang w:eastAsia="zh-Hans"/>
        </w:rPr>
        <w:t>/</w:t>
      </w:r>
      <w:r>
        <w:rPr>
          <w:color w:val="000000"/>
          <w:lang w:eastAsia="zh-Hans"/>
        </w:rPr>
        <w:t>或股东权益发生变化从而可能影响本次发行的可转换公司债券持有人的债权利益或转股衍生权益时，公司将视具体情况按照公平、公正、公允的原则以及充分保护本次发行的可转换公司债券持有人权益的原则调整转股价格。有关转股价格调整内容及操作办法将依据当时国家有关法律法规及证券监管部门的相关规定来制订。</w:t>
      </w:r>
    </w:p>
    <w:p w14:paraId="6D0DC287" w14:textId="77777777" w:rsidR="002E5712" w:rsidRDefault="00000000">
      <w:pPr>
        <w:pStyle w:val="002"/>
        <w:spacing w:before="156" w:after="156"/>
        <w:ind w:firstLine="482"/>
      </w:pPr>
      <w:r>
        <w:t>（二）本次发行的定价依据合理</w:t>
      </w:r>
    </w:p>
    <w:p w14:paraId="43EC988C" w14:textId="77777777" w:rsidR="002E5712" w:rsidRDefault="00000000">
      <w:pPr>
        <w:pStyle w:val="000"/>
        <w:rPr>
          <w:color w:val="000000"/>
          <w:lang w:eastAsia="zh-Hans"/>
        </w:rPr>
      </w:pPr>
      <w:r>
        <w:rPr>
          <w:color w:val="000000"/>
          <w:lang w:eastAsia="zh-Hans"/>
        </w:rPr>
        <w:t>本次发行的可转换公司债券的初始转股价格不低于募集说明书公告日前二十个交易日公司</w:t>
      </w:r>
      <w:r>
        <w:rPr>
          <w:color w:val="000000"/>
          <w:lang w:eastAsia="zh-Hans"/>
        </w:rPr>
        <w:t>A</w:t>
      </w:r>
      <w:r>
        <w:rPr>
          <w:color w:val="000000"/>
          <w:lang w:eastAsia="zh-Hans"/>
        </w:rPr>
        <w:t>股股票交易均价（若在该二十个交易日内发生过因除权、除</w:t>
      </w:r>
      <w:r>
        <w:rPr>
          <w:color w:val="000000"/>
          <w:lang w:eastAsia="zh-Hans"/>
        </w:rPr>
        <w:lastRenderedPageBreak/>
        <w:t>息引起股价调整的情形，则对调整前交易日的收盘价按经过相应除权、除息调整后的价格计算）和前一个交易日公司股票交易均价，</w:t>
      </w:r>
      <w:r>
        <w:t>且不得向上修正，</w:t>
      </w:r>
      <w:r>
        <w:rPr>
          <w:color w:val="000000"/>
          <w:lang w:eastAsia="zh-Hans"/>
        </w:rPr>
        <w:t>具体初始转股价格提请公司股东大会授权公司董事会（或由董事会授权的人士）在发行前根据市场和公司具体情况与保荐机构（主承销商）协商确定。</w:t>
      </w:r>
    </w:p>
    <w:p w14:paraId="66A51517" w14:textId="77777777" w:rsidR="002E5712" w:rsidRDefault="00000000">
      <w:pPr>
        <w:pStyle w:val="000"/>
        <w:rPr>
          <w:color w:val="000000"/>
          <w:lang w:eastAsia="zh-Hans"/>
        </w:rPr>
      </w:pPr>
      <w:r>
        <w:rPr>
          <w:color w:val="000000"/>
          <w:lang w:eastAsia="zh-Hans"/>
        </w:rPr>
        <w:t>前二十个交易日公司股票交易均价</w:t>
      </w:r>
      <w:r>
        <w:rPr>
          <w:color w:val="000000"/>
          <w:lang w:eastAsia="zh-Hans"/>
        </w:rPr>
        <w:t>=</w:t>
      </w:r>
      <w:r>
        <w:rPr>
          <w:color w:val="000000"/>
          <w:lang w:eastAsia="zh-Hans"/>
        </w:rPr>
        <w:t>前二十个交易日公司股票交易总额</w:t>
      </w:r>
      <w:r>
        <w:rPr>
          <w:color w:val="000000"/>
          <w:lang w:eastAsia="zh-Hans"/>
        </w:rPr>
        <w:t>/</w:t>
      </w:r>
      <w:r>
        <w:rPr>
          <w:color w:val="000000"/>
          <w:lang w:eastAsia="zh-Hans"/>
        </w:rPr>
        <w:t>该二十个交易日公司股票交易总量；前一交易日公司股票交易均价</w:t>
      </w:r>
      <w:r>
        <w:rPr>
          <w:color w:val="000000"/>
          <w:lang w:eastAsia="zh-Hans"/>
        </w:rPr>
        <w:t>=</w:t>
      </w:r>
      <w:r>
        <w:rPr>
          <w:color w:val="000000"/>
          <w:lang w:eastAsia="zh-Hans"/>
        </w:rPr>
        <w:t>前一交易日公司股票交易总额</w:t>
      </w:r>
      <w:r>
        <w:rPr>
          <w:color w:val="000000"/>
          <w:lang w:eastAsia="zh-Hans"/>
        </w:rPr>
        <w:t>/</w:t>
      </w:r>
      <w:r>
        <w:rPr>
          <w:color w:val="000000"/>
          <w:lang w:eastAsia="zh-Hans"/>
        </w:rPr>
        <w:t>该日公司股票交易总量。</w:t>
      </w:r>
    </w:p>
    <w:p w14:paraId="6626F236" w14:textId="77777777" w:rsidR="002E5712" w:rsidRDefault="00000000">
      <w:pPr>
        <w:pStyle w:val="000"/>
        <w:rPr>
          <w:color w:val="000000"/>
          <w:lang w:eastAsia="zh-Hans"/>
        </w:rPr>
      </w:pPr>
      <w:r>
        <w:rPr>
          <w:color w:val="000000"/>
          <w:lang w:eastAsia="zh-Hans"/>
        </w:rPr>
        <w:t>本次发行定价的依据符合《管理办法》等相关法律法规、规范性文件的相关规定，发行定价的依据合理。</w:t>
      </w:r>
    </w:p>
    <w:p w14:paraId="7F27002B" w14:textId="77777777" w:rsidR="002E5712" w:rsidRDefault="00000000">
      <w:pPr>
        <w:pStyle w:val="002"/>
        <w:spacing w:before="156" w:after="156"/>
        <w:ind w:firstLine="482"/>
      </w:pPr>
      <w:r>
        <w:t>（三）本次发行定价的方法和程序合理</w:t>
      </w:r>
    </w:p>
    <w:p w14:paraId="163E69CF" w14:textId="77777777" w:rsidR="002E5712" w:rsidRDefault="00000000">
      <w:pPr>
        <w:pStyle w:val="000"/>
        <w:rPr>
          <w:color w:val="000000"/>
          <w:lang w:eastAsia="zh-Hans"/>
        </w:rPr>
      </w:pPr>
      <w:r>
        <w:rPr>
          <w:color w:val="000000"/>
          <w:lang w:eastAsia="zh-Hans"/>
        </w:rPr>
        <w:t>本次向不特定对象发行可转换公司债券的定价方法和程序均根据《管理办法》等法律法规的相关规定，召开董事会并将相关公告在交易所网站及指定的信息披露媒体上进行披露，并将提交公司股东大会审议。</w:t>
      </w:r>
    </w:p>
    <w:p w14:paraId="736DEB29" w14:textId="77777777" w:rsidR="002E5712" w:rsidRDefault="00000000">
      <w:pPr>
        <w:pStyle w:val="000"/>
        <w:rPr>
          <w:color w:val="000000"/>
          <w:lang w:eastAsia="zh-Hans"/>
        </w:rPr>
      </w:pPr>
      <w:r>
        <w:rPr>
          <w:color w:val="000000"/>
          <w:lang w:eastAsia="zh-Hans"/>
        </w:rPr>
        <w:t>本次发行定价的方法和程序符合《管理办法》等法律法规的相关规定，本次发行定价的方法和程序合理。</w:t>
      </w:r>
    </w:p>
    <w:p w14:paraId="5AE3703D" w14:textId="77777777" w:rsidR="002E5712" w:rsidRDefault="00000000">
      <w:pPr>
        <w:pStyle w:val="000"/>
        <w:rPr>
          <w:color w:val="000000"/>
          <w:lang w:eastAsia="zh-Hans"/>
        </w:rPr>
      </w:pPr>
      <w:r>
        <w:rPr>
          <w:color w:val="000000"/>
          <w:lang w:eastAsia="zh-Hans"/>
        </w:rPr>
        <w:t>综上所述，本次发行定价的原则、依据、方法和程序均符合相关法律法规的要求，合规合理。</w:t>
      </w:r>
    </w:p>
    <w:p w14:paraId="6255C72C" w14:textId="77777777" w:rsidR="002E5712" w:rsidRDefault="00000000">
      <w:pPr>
        <w:keepNext/>
        <w:keepLines/>
        <w:spacing w:beforeLines="50" w:before="156" w:afterLines="50" w:after="156" w:line="360" w:lineRule="auto"/>
        <w:outlineLvl w:val="1"/>
        <w:rPr>
          <w:rFonts w:ascii="Times New Roman" w:hAnsi="Times New Roman"/>
          <w:b/>
          <w:sz w:val="24"/>
          <w:szCs w:val="24"/>
        </w:rPr>
      </w:pPr>
      <w:r>
        <w:rPr>
          <w:rFonts w:ascii="Times New Roman" w:hAnsi="Times New Roman"/>
          <w:b/>
          <w:sz w:val="24"/>
          <w:szCs w:val="24"/>
        </w:rPr>
        <w:t>五、本次发行的可行性</w:t>
      </w:r>
    </w:p>
    <w:p w14:paraId="0FC6DC39" w14:textId="77777777" w:rsidR="002E5712" w:rsidRDefault="00000000">
      <w:pPr>
        <w:spacing w:beforeLines="50" w:before="156" w:afterLines="50" w:after="156" w:line="360" w:lineRule="auto"/>
        <w:ind w:firstLineChars="200" w:firstLine="482"/>
        <w:outlineLvl w:val="2"/>
        <w:rPr>
          <w:rFonts w:ascii="Times New Roman" w:hAnsi="Times New Roman"/>
          <w:b/>
          <w:sz w:val="24"/>
          <w:szCs w:val="24"/>
        </w:rPr>
      </w:pPr>
      <w:r>
        <w:rPr>
          <w:rFonts w:ascii="Times New Roman" w:hAnsi="Times New Roman"/>
          <w:b/>
          <w:sz w:val="24"/>
          <w:szCs w:val="24"/>
        </w:rPr>
        <w:t>（一）本次发行方式合法合</w:t>
      </w:r>
      <w:proofErr w:type="gramStart"/>
      <w:r>
        <w:rPr>
          <w:rFonts w:ascii="Times New Roman" w:hAnsi="Times New Roman"/>
          <w:b/>
          <w:sz w:val="24"/>
          <w:szCs w:val="24"/>
        </w:rPr>
        <w:t>规</w:t>
      </w:r>
      <w:proofErr w:type="gramEnd"/>
    </w:p>
    <w:p w14:paraId="5AFB2623" w14:textId="77777777" w:rsidR="002E5712" w:rsidRDefault="00000000">
      <w:pPr>
        <w:spacing w:beforeLines="50" w:before="156" w:after="50" w:line="360" w:lineRule="auto"/>
        <w:ind w:firstLineChars="200" w:firstLine="482"/>
        <w:outlineLvl w:val="3"/>
        <w:rPr>
          <w:rFonts w:ascii="Times New Roman" w:hAnsi="Times New Roman"/>
          <w:b/>
          <w:bCs/>
          <w:sz w:val="24"/>
          <w:szCs w:val="24"/>
        </w:rPr>
      </w:pPr>
      <w:bookmarkStart w:id="6" w:name="2、公司具备完善的法人治理结构和内部控制体系"/>
      <w:bookmarkEnd w:id="6"/>
      <w:r>
        <w:rPr>
          <w:rFonts w:ascii="Times New Roman" w:hAnsi="Times New Roman"/>
          <w:b/>
          <w:bCs/>
          <w:sz w:val="24"/>
          <w:szCs w:val="24"/>
        </w:rPr>
        <w:t>1</w:t>
      </w:r>
      <w:r>
        <w:rPr>
          <w:rFonts w:ascii="Times New Roman" w:hAnsi="Times New Roman"/>
          <w:b/>
          <w:bCs/>
          <w:sz w:val="24"/>
          <w:szCs w:val="24"/>
        </w:rPr>
        <w:t>、公司本次发行符合《公司法》规定的发行条件</w:t>
      </w:r>
    </w:p>
    <w:p w14:paraId="6FF2E5BA" w14:textId="77777777" w:rsidR="002E5712" w:rsidRDefault="00000000">
      <w:pPr>
        <w:pStyle w:val="000"/>
        <w:rPr>
          <w:color w:val="000000"/>
          <w:lang w:eastAsia="zh-Hans"/>
        </w:rPr>
      </w:pPr>
      <w:r>
        <w:rPr>
          <w:color w:val="000000"/>
          <w:lang w:eastAsia="zh-Hans"/>
        </w:rPr>
        <w:t>（</w:t>
      </w:r>
      <w:r>
        <w:rPr>
          <w:color w:val="000000"/>
          <w:lang w:eastAsia="zh-Hans"/>
        </w:rPr>
        <w:t>1</w:t>
      </w:r>
      <w:r>
        <w:rPr>
          <w:color w:val="000000"/>
          <w:lang w:eastAsia="zh-Hans"/>
        </w:rPr>
        <w:t>）本次发行符合《公司法》第一百二十六条、第一百二十七条的规定</w:t>
      </w:r>
    </w:p>
    <w:p w14:paraId="546408AE" w14:textId="77777777" w:rsidR="002E5712" w:rsidRDefault="00000000">
      <w:pPr>
        <w:pStyle w:val="000"/>
        <w:rPr>
          <w:color w:val="000000"/>
          <w:lang w:eastAsia="zh-Hans"/>
        </w:rPr>
      </w:pPr>
      <w:r>
        <w:rPr>
          <w:color w:val="000000"/>
          <w:lang w:eastAsia="zh-Hans"/>
        </w:rPr>
        <w:t>公司本次拟发行的可转债每张面值为人民币</w:t>
      </w:r>
      <w:r>
        <w:rPr>
          <w:color w:val="000000"/>
          <w:lang w:eastAsia="zh-Hans"/>
        </w:rPr>
        <w:t>100</w:t>
      </w:r>
      <w:r>
        <w:rPr>
          <w:color w:val="000000"/>
          <w:lang w:eastAsia="zh-Hans"/>
        </w:rPr>
        <w:t>元，按面值发行，转股后的股份与公司已经发行的股份同股同权，符合《公司法》第一百二十六条、第一百二十七条的规定。</w:t>
      </w:r>
    </w:p>
    <w:p w14:paraId="1CADDBA5" w14:textId="77777777" w:rsidR="002E5712" w:rsidRDefault="00000000">
      <w:pPr>
        <w:pStyle w:val="000"/>
        <w:rPr>
          <w:color w:val="000000"/>
          <w:lang w:eastAsia="zh-Hans"/>
        </w:rPr>
      </w:pPr>
      <w:r>
        <w:rPr>
          <w:color w:val="000000"/>
          <w:lang w:eastAsia="zh-Hans"/>
        </w:rPr>
        <w:t>（</w:t>
      </w:r>
      <w:r>
        <w:rPr>
          <w:color w:val="000000"/>
          <w:lang w:eastAsia="zh-Hans"/>
        </w:rPr>
        <w:t>2</w:t>
      </w:r>
      <w:r>
        <w:rPr>
          <w:color w:val="000000"/>
          <w:lang w:eastAsia="zh-Hans"/>
        </w:rPr>
        <w:t>）本次发行符合《公司法》第一百三十三条的规定</w:t>
      </w:r>
    </w:p>
    <w:p w14:paraId="54D01A03" w14:textId="77777777" w:rsidR="002E5712" w:rsidRDefault="00000000">
      <w:pPr>
        <w:pStyle w:val="000"/>
        <w:rPr>
          <w:color w:val="000000"/>
          <w:lang w:eastAsia="zh-Hans"/>
        </w:rPr>
      </w:pPr>
      <w:r>
        <w:rPr>
          <w:color w:val="000000"/>
          <w:lang w:eastAsia="zh-Hans"/>
        </w:rPr>
        <w:lastRenderedPageBreak/>
        <w:t>发行人本次发行方案已经（发行人内部决策程序）批准，符合《公司法》第一百三十三条的规定。</w:t>
      </w:r>
    </w:p>
    <w:p w14:paraId="4E82D375" w14:textId="77777777" w:rsidR="002E5712" w:rsidRDefault="00000000">
      <w:pPr>
        <w:spacing w:beforeLines="50" w:before="156" w:after="50" w:line="360" w:lineRule="auto"/>
        <w:ind w:firstLineChars="200" w:firstLine="482"/>
        <w:outlineLvl w:val="3"/>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、公司本次发行符合《中华人民共和国证券法》规定的相关条件</w:t>
      </w:r>
    </w:p>
    <w:p w14:paraId="0BF71EB3" w14:textId="77777777" w:rsidR="002E5712" w:rsidRDefault="00000000">
      <w:pPr>
        <w:pStyle w:val="000"/>
        <w:rPr>
          <w:color w:val="000000"/>
          <w:lang w:eastAsia="zh-Hans"/>
        </w:rPr>
      </w:pPr>
      <w:r>
        <w:rPr>
          <w:color w:val="000000"/>
          <w:lang w:eastAsia="zh-Hans"/>
        </w:rPr>
        <w:t>（</w:t>
      </w:r>
      <w:r>
        <w:rPr>
          <w:color w:val="000000"/>
          <w:lang w:eastAsia="zh-Hans"/>
        </w:rPr>
        <w:t>1</w:t>
      </w:r>
      <w:r>
        <w:rPr>
          <w:color w:val="000000"/>
          <w:lang w:eastAsia="zh-Hans"/>
        </w:rPr>
        <w:t>）本次发行符合《中华人民共和国证券法》（以下简称</w:t>
      </w:r>
      <w:r>
        <w:rPr>
          <w:color w:val="000000"/>
          <w:lang w:eastAsia="zh-Hans"/>
        </w:rPr>
        <w:t>“</w:t>
      </w:r>
      <w:r>
        <w:rPr>
          <w:color w:val="000000"/>
          <w:lang w:eastAsia="zh-Hans"/>
        </w:rPr>
        <w:t>《证券法》</w:t>
      </w:r>
      <w:r>
        <w:rPr>
          <w:color w:val="000000"/>
          <w:lang w:eastAsia="zh-Hans"/>
        </w:rPr>
        <w:t>”</w:t>
      </w:r>
      <w:r>
        <w:rPr>
          <w:color w:val="000000"/>
          <w:lang w:eastAsia="zh-Hans"/>
        </w:rPr>
        <w:t>）第十五条的规定</w:t>
      </w:r>
    </w:p>
    <w:p w14:paraId="226181C9" w14:textId="77777777" w:rsidR="002E5712" w:rsidRDefault="00000000">
      <w:pPr>
        <w:pStyle w:val="000"/>
        <w:rPr>
          <w:color w:val="000000"/>
          <w:lang w:eastAsia="zh-Hans"/>
        </w:rPr>
      </w:pPr>
      <w:r>
        <w:rPr>
          <w:color w:val="000000"/>
          <w:lang w:eastAsia="zh-Hans"/>
        </w:rPr>
        <w:t>1</w:t>
      </w:r>
      <w:r>
        <w:rPr>
          <w:color w:val="000000"/>
          <w:lang w:eastAsia="zh-Hans"/>
        </w:rPr>
        <w:t>）具备健全且运行良好的组织机构</w:t>
      </w:r>
    </w:p>
    <w:p w14:paraId="11BCBDCF" w14:textId="77777777" w:rsidR="002E5712" w:rsidRDefault="00000000">
      <w:pPr>
        <w:pStyle w:val="000"/>
        <w:rPr>
          <w:color w:val="000000"/>
          <w:lang w:eastAsia="zh-Hans"/>
        </w:rPr>
      </w:pPr>
      <w:r>
        <w:rPr>
          <w:color w:val="000000"/>
          <w:lang w:eastAsia="zh-Hans"/>
        </w:rPr>
        <w:t>公司严格按照《公司法》《证券法》和其它的有关法律法规、规范性文件的要求，建立了健全的公司经营组织结构。公司组织结构清晰，各部门和岗位职责明确，并已建立了专门的部门工作职责，运行良好。符合《证券法》第十五条第一款</w:t>
      </w:r>
      <w:r>
        <w:rPr>
          <w:color w:val="000000"/>
          <w:lang w:eastAsia="zh-Hans"/>
        </w:rPr>
        <w:t>“</w:t>
      </w:r>
      <w:r>
        <w:rPr>
          <w:color w:val="000000"/>
          <w:lang w:eastAsia="zh-Hans"/>
        </w:rPr>
        <w:t>（一）具备健全且运行良好的组织机构</w:t>
      </w:r>
      <w:r>
        <w:rPr>
          <w:color w:val="000000"/>
          <w:lang w:eastAsia="zh-Hans"/>
        </w:rPr>
        <w:t>”</w:t>
      </w:r>
      <w:r>
        <w:rPr>
          <w:color w:val="000000"/>
          <w:lang w:eastAsia="zh-Hans"/>
        </w:rPr>
        <w:t>的规定。</w:t>
      </w:r>
    </w:p>
    <w:p w14:paraId="10CA741C" w14:textId="77777777" w:rsidR="002E5712" w:rsidRDefault="00000000">
      <w:pPr>
        <w:pStyle w:val="000"/>
        <w:rPr>
          <w:color w:val="000000"/>
          <w:lang w:eastAsia="zh-Hans"/>
        </w:rPr>
      </w:pPr>
      <w:r>
        <w:rPr>
          <w:color w:val="000000"/>
          <w:lang w:eastAsia="zh-Hans"/>
        </w:rPr>
        <w:t>2</w:t>
      </w:r>
      <w:r>
        <w:rPr>
          <w:color w:val="000000"/>
          <w:lang w:eastAsia="zh-Hans"/>
        </w:rPr>
        <w:t>）最近三年平均可分配利润足以支付公司债券一年的利息</w:t>
      </w:r>
    </w:p>
    <w:p w14:paraId="41D51BB5" w14:textId="77777777" w:rsidR="002E5712" w:rsidRDefault="00000000">
      <w:pPr>
        <w:pStyle w:val="000"/>
        <w:rPr>
          <w:color w:val="000000"/>
          <w:lang w:eastAsia="zh-Hans"/>
        </w:rPr>
      </w:pPr>
      <w:r>
        <w:rPr>
          <w:color w:val="000000"/>
          <w:lang w:eastAsia="zh-Hans"/>
        </w:rPr>
        <w:t>2020</w:t>
      </w:r>
      <w:r>
        <w:rPr>
          <w:color w:val="000000"/>
          <w:lang w:eastAsia="zh-Hans"/>
        </w:rPr>
        <w:t>年度、</w:t>
      </w:r>
      <w:r>
        <w:rPr>
          <w:color w:val="000000"/>
          <w:lang w:eastAsia="zh-Hans"/>
        </w:rPr>
        <w:t>2021</w:t>
      </w:r>
      <w:r>
        <w:rPr>
          <w:color w:val="000000"/>
          <w:lang w:eastAsia="zh-Hans"/>
        </w:rPr>
        <w:t>年度以及</w:t>
      </w:r>
      <w:r>
        <w:rPr>
          <w:color w:val="000000"/>
          <w:lang w:eastAsia="zh-Hans"/>
        </w:rPr>
        <w:t>2022</w:t>
      </w:r>
      <w:r>
        <w:rPr>
          <w:color w:val="000000"/>
          <w:lang w:eastAsia="zh-Hans"/>
        </w:rPr>
        <w:t>年度公司归属于母公司所有者的净利润分别为</w:t>
      </w:r>
      <w:r>
        <w:rPr>
          <w:color w:val="000000"/>
          <w:lang w:eastAsia="zh-Hans"/>
        </w:rPr>
        <w:t>5,796.81</w:t>
      </w:r>
      <w:r>
        <w:rPr>
          <w:color w:val="000000"/>
          <w:lang w:eastAsia="zh-Hans"/>
        </w:rPr>
        <w:t>万元、</w:t>
      </w:r>
      <w:r>
        <w:rPr>
          <w:color w:val="000000"/>
          <w:lang w:eastAsia="zh-Hans"/>
        </w:rPr>
        <w:t>6,099.35</w:t>
      </w:r>
      <w:r>
        <w:rPr>
          <w:color w:val="000000"/>
          <w:lang w:eastAsia="zh-Hans"/>
        </w:rPr>
        <w:t>万元、</w:t>
      </w:r>
      <w:r>
        <w:rPr>
          <w:color w:val="000000"/>
          <w:lang w:eastAsia="zh-Hans"/>
        </w:rPr>
        <w:t>13,620.51</w:t>
      </w:r>
      <w:r>
        <w:rPr>
          <w:color w:val="000000"/>
          <w:lang w:eastAsia="zh-Hans"/>
        </w:rPr>
        <w:t>万元，平均可分配利润</w:t>
      </w:r>
      <w:r>
        <w:rPr>
          <w:color w:val="000000"/>
          <w:lang w:eastAsia="zh-Hans"/>
        </w:rPr>
        <w:t>8,505.56</w:t>
      </w:r>
      <w:r>
        <w:rPr>
          <w:color w:val="000000"/>
          <w:lang w:eastAsia="zh-Hans"/>
        </w:rPr>
        <w:t>万元。参考近期债券市场的发行利率水平并经合理估计，公司最近三年平均可分配利润足以支付公司债券一年的利息。符合《证券法》第十五条第一款</w:t>
      </w:r>
      <w:r>
        <w:rPr>
          <w:color w:val="000000"/>
          <w:lang w:eastAsia="zh-Hans"/>
        </w:rPr>
        <w:t>“</w:t>
      </w:r>
      <w:r>
        <w:rPr>
          <w:color w:val="000000"/>
          <w:lang w:eastAsia="zh-Hans"/>
        </w:rPr>
        <w:t>（二）最近三年平均可分配利润足以支付公司债券一年利息</w:t>
      </w:r>
      <w:r>
        <w:rPr>
          <w:color w:val="000000"/>
          <w:lang w:eastAsia="zh-Hans"/>
        </w:rPr>
        <w:t>”</w:t>
      </w:r>
      <w:r>
        <w:rPr>
          <w:color w:val="000000"/>
          <w:lang w:eastAsia="zh-Hans"/>
        </w:rPr>
        <w:t>的规定。</w:t>
      </w:r>
    </w:p>
    <w:p w14:paraId="2794B7D0" w14:textId="77777777" w:rsidR="002E5712" w:rsidRDefault="00000000">
      <w:pPr>
        <w:pStyle w:val="000"/>
        <w:rPr>
          <w:color w:val="000000"/>
          <w:lang w:eastAsia="zh-Hans"/>
        </w:rPr>
      </w:pPr>
      <w:r>
        <w:rPr>
          <w:color w:val="000000"/>
          <w:lang w:eastAsia="zh-Hans"/>
        </w:rPr>
        <w:t>3</w:t>
      </w:r>
      <w:r>
        <w:rPr>
          <w:color w:val="000000"/>
          <w:lang w:eastAsia="zh-Hans"/>
        </w:rPr>
        <w:t>）募集资金使用符合规定</w:t>
      </w:r>
    </w:p>
    <w:p w14:paraId="0F5C5DDD" w14:textId="77777777" w:rsidR="002E5712" w:rsidRDefault="00000000">
      <w:pPr>
        <w:pStyle w:val="000"/>
        <w:rPr>
          <w:color w:val="000000"/>
          <w:lang w:eastAsia="zh-Hans"/>
        </w:rPr>
      </w:pPr>
      <w:bookmarkStart w:id="7" w:name="_Hlk132102849"/>
      <w:r>
        <w:rPr>
          <w:color w:val="000000"/>
          <w:lang w:eastAsia="zh-Hans"/>
        </w:rPr>
        <w:t>本次发行的募集资金总额为不超过人民币</w:t>
      </w:r>
      <w:r>
        <w:rPr>
          <w:color w:val="000000"/>
          <w:lang w:eastAsia="zh-Hans"/>
        </w:rPr>
        <w:t>3</w:t>
      </w:r>
      <w:r>
        <w:rPr>
          <w:color w:val="000000"/>
        </w:rPr>
        <w:t>2</w:t>
      </w:r>
      <w:r>
        <w:rPr>
          <w:color w:val="000000"/>
          <w:lang w:eastAsia="zh-Hans"/>
        </w:rPr>
        <w:t>,</w:t>
      </w:r>
      <w:r>
        <w:rPr>
          <w:color w:val="000000"/>
        </w:rPr>
        <w:t>183</w:t>
      </w:r>
      <w:r>
        <w:rPr>
          <w:color w:val="000000"/>
          <w:lang w:eastAsia="zh-Hans"/>
        </w:rPr>
        <w:t>.00</w:t>
      </w:r>
      <w:r>
        <w:rPr>
          <w:color w:val="000000"/>
          <w:lang w:eastAsia="zh-Hans"/>
        </w:rPr>
        <w:t>万元（含本数），募集资金在扣除相关发行费用后拟全部投资于智慧节能阀门建设项目和补充流动资金项目，公司已经制定《募集资金管理制度》及约定债券持有人会议相关事项</w:t>
      </w:r>
      <w:bookmarkEnd w:id="7"/>
      <w:r>
        <w:rPr>
          <w:color w:val="000000"/>
          <w:lang w:eastAsia="zh-Hans"/>
        </w:rPr>
        <w:t>，符合《证券法》第十五条第二款</w:t>
      </w:r>
      <w:r>
        <w:rPr>
          <w:color w:val="000000"/>
          <w:lang w:eastAsia="zh-Hans"/>
        </w:rPr>
        <w:t>“</w:t>
      </w:r>
      <w:r>
        <w:rPr>
          <w:color w:val="000000"/>
          <w:lang w:eastAsia="zh-Hans"/>
        </w:rPr>
        <w:t>公开发行公司债券筹集的资金，必须按照公司债券募集办法所列资金用途使用；改变资金用途，必须经债券持有人会议作出决议。公开发行公司债券筹集的资金，不得用于弥补亏损和非生产性支出</w:t>
      </w:r>
      <w:r>
        <w:rPr>
          <w:color w:val="000000"/>
          <w:lang w:eastAsia="zh-Hans"/>
        </w:rPr>
        <w:t>”</w:t>
      </w:r>
      <w:r>
        <w:rPr>
          <w:color w:val="000000"/>
          <w:lang w:eastAsia="zh-Hans"/>
        </w:rPr>
        <w:t>的规定。</w:t>
      </w:r>
    </w:p>
    <w:p w14:paraId="65899CB5" w14:textId="77777777" w:rsidR="002E5712" w:rsidRDefault="00000000">
      <w:pPr>
        <w:pStyle w:val="000"/>
        <w:rPr>
          <w:color w:val="000000"/>
          <w:lang w:eastAsia="zh-Hans"/>
        </w:rPr>
      </w:pPr>
      <w:r>
        <w:rPr>
          <w:color w:val="000000"/>
          <w:lang w:eastAsia="zh-Hans"/>
        </w:rPr>
        <w:t>（</w:t>
      </w:r>
      <w:r>
        <w:rPr>
          <w:color w:val="000000"/>
          <w:lang w:eastAsia="zh-Hans"/>
        </w:rPr>
        <w:t>2</w:t>
      </w:r>
      <w:r>
        <w:rPr>
          <w:color w:val="000000"/>
          <w:lang w:eastAsia="zh-Hans"/>
        </w:rPr>
        <w:t>）不存在《证券法》第十七条规定的情形</w:t>
      </w:r>
    </w:p>
    <w:p w14:paraId="6B4DB926" w14:textId="77777777" w:rsidR="002E5712" w:rsidRDefault="00000000">
      <w:pPr>
        <w:pStyle w:val="000"/>
        <w:rPr>
          <w:color w:val="000000"/>
          <w:lang w:eastAsia="zh-Hans"/>
        </w:rPr>
      </w:pPr>
      <w:r>
        <w:rPr>
          <w:color w:val="000000"/>
          <w:lang w:eastAsia="zh-Hans"/>
        </w:rPr>
        <w:t>发行人不存在《证券法》第十七条规定的如下情形，符合《证券法》第十七条的规定：</w:t>
      </w:r>
    </w:p>
    <w:p w14:paraId="1FC4C824" w14:textId="77777777" w:rsidR="002E5712" w:rsidRDefault="00000000">
      <w:pPr>
        <w:pStyle w:val="000"/>
        <w:rPr>
          <w:color w:val="000000"/>
          <w:lang w:eastAsia="zh-Hans"/>
        </w:rPr>
      </w:pPr>
      <w:r>
        <w:rPr>
          <w:color w:val="000000"/>
          <w:lang w:eastAsia="zh-Hans"/>
        </w:rPr>
        <w:lastRenderedPageBreak/>
        <w:t>1</w:t>
      </w:r>
      <w:r>
        <w:rPr>
          <w:color w:val="000000"/>
          <w:lang w:eastAsia="zh-Hans"/>
        </w:rPr>
        <w:t>）对已公开发行的公司债券或者其他债务有违约或者延迟支付本息的事实，仍处于继续状态；</w:t>
      </w:r>
    </w:p>
    <w:p w14:paraId="5B3EBEC1" w14:textId="77777777" w:rsidR="002E5712" w:rsidRDefault="00000000">
      <w:pPr>
        <w:pStyle w:val="000"/>
        <w:rPr>
          <w:color w:val="000000"/>
          <w:lang w:eastAsia="zh-Hans"/>
        </w:rPr>
      </w:pPr>
      <w:r>
        <w:rPr>
          <w:color w:val="000000"/>
          <w:lang w:eastAsia="zh-Hans"/>
        </w:rPr>
        <w:t>2</w:t>
      </w:r>
      <w:r>
        <w:rPr>
          <w:color w:val="000000"/>
          <w:lang w:eastAsia="zh-Hans"/>
        </w:rPr>
        <w:t>）违反《证券法》规定，改变公开发行公司债券所募资金的用途。</w:t>
      </w:r>
      <w:r>
        <w:rPr>
          <w:color w:val="000000"/>
          <w:lang w:eastAsia="zh-Hans"/>
        </w:rPr>
        <w:t xml:space="preserve"> </w:t>
      </w:r>
    </w:p>
    <w:p w14:paraId="1128DC5D" w14:textId="77777777" w:rsidR="002E5712" w:rsidRDefault="00000000">
      <w:pPr>
        <w:spacing w:beforeLines="50" w:before="156" w:after="50" w:line="360" w:lineRule="auto"/>
        <w:ind w:firstLineChars="200" w:firstLine="482"/>
        <w:outlineLvl w:val="3"/>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、公司本次发行符合《上市公司证券发行注册管理办法》规定的相关条件</w:t>
      </w:r>
    </w:p>
    <w:p w14:paraId="679AA4FD" w14:textId="77777777" w:rsidR="002E5712" w:rsidRDefault="00000000">
      <w:pPr>
        <w:pStyle w:val="000"/>
        <w:rPr>
          <w:color w:val="000000"/>
          <w:lang w:eastAsia="zh-Hans"/>
        </w:rPr>
      </w:pPr>
      <w:r>
        <w:rPr>
          <w:color w:val="000000"/>
          <w:lang w:eastAsia="zh-Hans"/>
        </w:rPr>
        <w:t>（</w:t>
      </w:r>
      <w:r>
        <w:rPr>
          <w:color w:val="000000"/>
          <w:lang w:eastAsia="zh-Hans"/>
        </w:rPr>
        <w:t>1</w:t>
      </w:r>
      <w:r>
        <w:rPr>
          <w:color w:val="000000"/>
          <w:lang w:eastAsia="zh-Hans"/>
        </w:rPr>
        <w:t>）公司本次发行符合《上市公司证券发行注册管理办法》（以下简称</w:t>
      </w:r>
      <w:r>
        <w:rPr>
          <w:color w:val="000000"/>
          <w:lang w:eastAsia="zh-Hans"/>
        </w:rPr>
        <w:t>“</w:t>
      </w:r>
      <w:r>
        <w:rPr>
          <w:color w:val="000000"/>
          <w:lang w:eastAsia="zh-Hans"/>
        </w:rPr>
        <w:t>《注册管理办法》</w:t>
      </w:r>
      <w:r>
        <w:rPr>
          <w:color w:val="000000"/>
          <w:lang w:eastAsia="zh-Hans"/>
        </w:rPr>
        <w:t>”</w:t>
      </w:r>
      <w:r>
        <w:rPr>
          <w:color w:val="000000"/>
          <w:lang w:eastAsia="zh-Hans"/>
        </w:rPr>
        <w:t>）第九条第（二）项至第（五）项的规定</w:t>
      </w:r>
    </w:p>
    <w:p w14:paraId="32B86982" w14:textId="77777777" w:rsidR="002E5712" w:rsidRDefault="00000000">
      <w:pPr>
        <w:pStyle w:val="000"/>
        <w:rPr>
          <w:color w:val="000000"/>
          <w:lang w:eastAsia="zh-Hans"/>
        </w:rPr>
      </w:pPr>
      <w:r>
        <w:rPr>
          <w:color w:val="000000"/>
          <w:lang w:eastAsia="zh-Hans"/>
        </w:rPr>
        <w:t>1</w:t>
      </w:r>
      <w:r>
        <w:rPr>
          <w:color w:val="000000"/>
          <w:lang w:eastAsia="zh-Hans"/>
        </w:rPr>
        <w:t>）公司的现任董事、监事和高级管理人员具备任职资格，符合法律、行政法规规定的任职要求，符合《注册管理办法》第九条第（二）项的规定；</w:t>
      </w:r>
    </w:p>
    <w:p w14:paraId="67B473C5" w14:textId="77777777" w:rsidR="002E5712" w:rsidRDefault="00000000">
      <w:pPr>
        <w:pStyle w:val="000"/>
        <w:rPr>
          <w:color w:val="000000"/>
          <w:lang w:eastAsia="zh-Hans"/>
        </w:rPr>
      </w:pPr>
      <w:r>
        <w:rPr>
          <w:color w:val="000000"/>
          <w:lang w:eastAsia="zh-Hans"/>
        </w:rPr>
        <w:t>2</w:t>
      </w:r>
      <w:r>
        <w:rPr>
          <w:color w:val="000000"/>
          <w:lang w:eastAsia="zh-Hans"/>
        </w:rPr>
        <w:t>）公司在业务、资产、人员、机构、财务等方面具备独立性，具有完整的业务体系和直接面向市场独立经营的能力，不存在对持续经营有重大不利影响的情形，符合《注册管理办法》第九条第（三）项的规定；</w:t>
      </w:r>
    </w:p>
    <w:p w14:paraId="10CA3AB7" w14:textId="77777777" w:rsidR="002E5712" w:rsidRDefault="00000000">
      <w:pPr>
        <w:pStyle w:val="000"/>
        <w:rPr>
          <w:color w:val="000000"/>
          <w:lang w:eastAsia="zh-Hans"/>
        </w:rPr>
      </w:pPr>
      <w:r>
        <w:rPr>
          <w:color w:val="000000"/>
          <w:lang w:eastAsia="zh-Hans"/>
        </w:rPr>
        <w:t>3</w:t>
      </w:r>
      <w:r>
        <w:rPr>
          <w:color w:val="000000"/>
          <w:lang w:eastAsia="zh-Hans"/>
        </w:rPr>
        <w:t>）公司的会计基础工作规范，内部控制制度健全且有效执行，财务报表的编制和披露符合企业会计准则和相关信息披露规则的规定，在所有重大方面公允反映了上市公司的财务状况、经营成果和现金流量，最近三年财务会计报告被出具无保留意见审计报告，符合《注册管理办法》第九条第（四）项的规定；</w:t>
      </w:r>
    </w:p>
    <w:p w14:paraId="393B3268" w14:textId="77777777" w:rsidR="002E5712" w:rsidRDefault="00000000">
      <w:pPr>
        <w:pStyle w:val="000"/>
        <w:rPr>
          <w:color w:val="000000"/>
          <w:lang w:eastAsia="zh-Hans"/>
        </w:rPr>
      </w:pPr>
      <w:r>
        <w:rPr>
          <w:color w:val="000000"/>
          <w:lang w:eastAsia="zh-Hans"/>
        </w:rPr>
        <w:t>4</w:t>
      </w:r>
      <w:r>
        <w:rPr>
          <w:color w:val="000000"/>
          <w:lang w:eastAsia="zh-Hans"/>
        </w:rPr>
        <w:t>）公司最近一期末不存在金额较大的财务性投资，符合《注册管理办法》第九条第（五）项的规定。</w:t>
      </w:r>
    </w:p>
    <w:p w14:paraId="2F0994E7" w14:textId="77777777" w:rsidR="002E5712" w:rsidRDefault="00000000">
      <w:pPr>
        <w:pStyle w:val="000"/>
        <w:rPr>
          <w:color w:val="000000"/>
          <w:lang w:eastAsia="zh-Hans"/>
        </w:rPr>
      </w:pPr>
      <w:r>
        <w:rPr>
          <w:color w:val="000000"/>
          <w:lang w:eastAsia="zh-Hans"/>
        </w:rPr>
        <w:t>（</w:t>
      </w:r>
      <w:r>
        <w:rPr>
          <w:color w:val="000000"/>
          <w:lang w:eastAsia="zh-Hans"/>
        </w:rPr>
        <w:t>2</w:t>
      </w:r>
      <w:r>
        <w:rPr>
          <w:color w:val="000000"/>
          <w:lang w:eastAsia="zh-Hans"/>
        </w:rPr>
        <w:t>）公司本次发行符合《注册管理办法》第十条的规定</w:t>
      </w:r>
    </w:p>
    <w:p w14:paraId="1DA22295" w14:textId="77777777" w:rsidR="002E5712" w:rsidRDefault="00000000">
      <w:pPr>
        <w:pStyle w:val="000"/>
        <w:rPr>
          <w:color w:val="000000"/>
          <w:lang w:eastAsia="zh-Hans"/>
        </w:rPr>
      </w:pPr>
      <w:r>
        <w:rPr>
          <w:color w:val="000000"/>
          <w:lang w:eastAsia="zh-Hans"/>
        </w:rPr>
        <w:t>1</w:t>
      </w:r>
      <w:r>
        <w:rPr>
          <w:color w:val="000000"/>
          <w:lang w:eastAsia="zh-Hans"/>
        </w:rPr>
        <w:t>）公司不存在擅自改变前次募集资金用途未作纠正或者未经股东大会认可的情形，符合《证券法》第十七条第（二）项以及《注册管理办法》第十条第（一）项的规定；</w:t>
      </w:r>
    </w:p>
    <w:p w14:paraId="70157E99" w14:textId="77777777" w:rsidR="002E5712" w:rsidRDefault="00000000">
      <w:pPr>
        <w:pStyle w:val="000"/>
        <w:rPr>
          <w:color w:val="000000"/>
          <w:lang w:eastAsia="zh-Hans"/>
        </w:rPr>
      </w:pPr>
      <w:r>
        <w:rPr>
          <w:color w:val="000000"/>
          <w:lang w:eastAsia="zh-Hans"/>
        </w:rPr>
        <w:t>2</w:t>
      </w:r>
      <w:r>
        <w:rPr>
          <w:color w:val="000000"/>
          <w:lang w:eastAsia="zh-Hans"/>
        </w:rPr>
        <w:t>）公司及其现任董事、监事和高级管理人员最近三年不存在受到中国证监会行政处罚，或者最近一年受到证券交易所公开谴责，或者因涉嫌犯罪正在被司法机关立案侦查或者涉嫌违法违规正在被中国证监会立案调查的情形，符合《注册管理办法》第十条第（二）项的规定；</w:t>
      </w:r>
    </w:p>
    <w:p w14:paraId="03A6B6EF" w14:textId="77777777" w:rsidR="002E5712" w:rsidRDefault="00000000">
      <w:pPr>
        <w:pStyle w:val="000"/>
        <w:rPr>
          <w:color w:val="000000"/>
          <w:lang w:eastAsia="zh-Hans"/>
        </w:rPr>
      </w:pPr>
      <w:r>
        <w:rPr>
          <w:color w:val="000000"/>
          <w:lang w:eastAsia="zh-Hans"/>
        </w:rPr>
        <w:t>3</w:t>
      </w:r>
      <w:r>
        <w:rPr>
          <w:color w:val="000000"/>
          <w:lang w:eastAsia="zh-Hans"/>
        </w:rPr>
        <w:t>）公司的控股股东、实际控制人及主要股东最近一年不存在未履行向投资</w:t>
      </w:r>
      <w:r>
        <w:rPr>
          <w:color w:val="000000"/>
          <w:lang w:eastAsia="zh-Hans"/>
        </w:rPr>
        <w:lastRenderedPageBreak/>
        <w:t>者作出的公开承诺的情形，符合《注册管理办法》第十条第（三）项的规定；</w:t>
      </w:r>
    </w:p>
    <w:p w14:paraId="2DC4B256" w14:textId="77777777" w:rsidR="002E5712" w:rsidRDefault="00000000">
      <w:pPr>
        <w:pStyle w:val="000"/>
        <w:rPr>
          <w:color w:val="000000"/>
          <w:lang w:eastAsia="zh-Hans"/>
        </w:rPr>
      </w:pPr>
      <w:r>
        <w:rPr>
          <w:color w:val="000000"/>
          <w:lang w:eastAsia="zh-Hans"/>
        </w:rPr>
        <w:t>4</w:t>
      </w:r>
      <w:r>
        <w:rPr>
          <w:color w:val="000000"/>
          <w:lang w:eastAsia="zh-Hans"/>
        </w:rPr>
        <w:t>）公司及其主要股东最近三年不存在贪污、贿赂、侵占财产、挪用财产或者破坏社会主义市场经济秩序的刑事犯罪，或者严重损害上市公司利益、投资者合法权益、社会公共利益的重大违法行为，符合《注册管理办法》第十条第（四）项的规定。</w:t>
      </w:r>
    </w:p>
    <w:p w14:paraId="6DFA59F7" w14:textId="77777777" w:rsidR="002E5712" w:rsidRDefault="00000000">
      <w:pPr>
        <w:pStyle w:val="000"/>
        <w:rPr>
          <w:color w:val="000000"/>
          <w:lang w:eastAsia="zh-Hans"/>
        </w:rPr>
      </w:pPr>
      <w:r>
        <w:rPr>
          <w:color w:val="000000"/>
          <w:lang w:eastAsia="zh-Hans"/>
        </w:rPr>
        <w:t>（</w:t>
      </w:r>
      <w:r>
        <w:rPr>
          <w:color w:val="000000"/>
          <w:lang w:eastAsia="zh-Hans"/>
        </w:rPr>
        <w:t>3</w:t>
      </w:r>
      <w:r>
        <w:rPr>
          <w:color w:val="000000"/>
          <w:lang w:eastAsia="zh-Hans"/>
        </w:rPr>
        <w:t>）公司本次发行符合《注册管理办法》第十二条的规定</w:t>
      </w:r>
    </w:p>
    <w:p w14:paraId="385A58EF" w14:textId="77777777" w:rsidR="002E5712" w:rsidRDefault="00000000">
      <w:pPr>
        <w:pStyle w:val="000"/>
        <w:rPr>
          <w:color w:val="000000"/>
          <w:lang w:eastAsia="zh-Hans"/>
        </w:rPr>
      </w:pPr>
      <w:r>
        <w:rPr>
          <w:color w:val="000000"/>
          <w:lang w:eastAsia="zh-Hans"/>
        </w:rPr>
        <w:t>1</w:t>
      </w:r>
      <w:r>
        <w:rPr>
          <w:color w:val="000000"/>
          <w:lang w:eastAsia="zh-Hans"/>
        </w:rPr>
        <w:t>）公司本次发行的募集资金总额为不超过人民币</w:t>
      </w:r>
      <w:r>
        <w:rPr>
          <w:color w:val="000000"/>
          <w:lang w:eastAsia="zh-Hans"/>
        </w:rPr>
        <w:t>3</w:t>
      </w:r>
      <w:r>
        <w:rPr>
          <w:color w:val="000000"/>
        </w:rPr>
        <w:t>2</w:t>
      </w:r>
      <w:r>
        <w:rPr>
          <w:color w:val="000000"/>
          <w:lang w:eastAsia="zh-Hans"/>
        </w:rPr>
        <w:t>,</w:t>
      </w:r>
      <w:r>
        <w:rPr>
          <w:color w:val="000000"/>
        </w:rPr>
        <w:t>183</w:t>
      </w:r>
      <w:r>
        <w:rPr>
          <w:color w:val="000000"/>
          <w:lang w:eastAsia="zh-Hans"/>
        </w:rPr>
        <w:t>.00</w:t>
      </w:r>
      <w:r>
        <w:rPr>
          <w:color w:val="000000"/>
          <w:lang w:eastAsia="zh-Hans"/>
        </w:rPr>
        <w:t>万元（含本数），募集资金在扣除相关发行费用后拟全部投资于智慧节能阀门建设项目和补充流动资金项目。公司募集资金用途符合国家产业政策和有关环境保护、土地管理等法律、行政法规的规定，符合《注册管理办法》第十二条第（一）项的规定；</w:t>
      </w:r>
    </w:p>
    <w:p w14:paraId="7D129A91" w14:textId="77777777" w:rsidR="002E5712" w:rsidRDefault="00000000">
      <w:pPr>
        <w:pStyle w:val="000"/>
        <w:rPr>
          <w:color w:val="000000"/>
          <w:lang w:eastAsia="zh-Hans"/>
        </w:rPr>
      </w:pPr>
      <w:r>
        <w:rPr>
          <w:color w:val="000000"/>
          <w:lang w:eastAsia="zh-Hans"/>
        </w:rPr>
        <w:t>2</w:t>
      </w:r>
      <w:r>
        <w:rPr>
          <w:color w:val="000000"/>
          <w:lang w:eastAsia="zh-Hans"/>
        </w:rPr>
        <w:t>）本次发行募集资金使用不存在为持有财务性投资的情形，不存在直接或者间接投资于以买卖有价证券为主要业务的公司的情形，符合《注册管理办法》第十二条第（二）项的规定；</w:t>
      </w:r>
    </w:p>
    <w:p w14:paraId="4DC0B365" w14:textId="77777777" w:rsidR="002E5712" w:rsidRDefault="00000000">
      <w:pPr>
        <w:pStyle w:val="000"/>
        <w:rPr>
          <w:color w:val="000000"/>
          <w:lang w:eastAsia="zh-Hans"/>
        </w:rPr>
      </w:pPr>
      <w:r>
        <w:rPr>
          <w:color w:val="000000"/>
          <w:lang w:eastAsia="zh-Hans"/>
        </w:rPr>
        <w:t>3</w:t>
      </w:r>
      <w:r>
        <w:rPr>
          <w:color w:val="000000"/>
          <w:lang w:eastAsia="zh-Hans"/>
        </w:rPr>
        <w:t>）本次发行募集资金将用于公司主营业务，募集资金项目实施后，不会与主要股东及其控制的其他企业新增构成重大不利影响的同业竞争、显失公平的关联交易，或者严重影响公司生产经营的独立性，符合《注册管理办法》第十二条第（三）项的规定。</w:t>
      </w:r>
    </w:p>
    <w:p w14:paraId="74AF1A4E" w14:textId="77777777" w:rsidR="002E5712" w:rsidRDefault="00000000">
      <w:pPr>
        <w:pStyle w:val="000"/>
        <w:rPr>
          <w:color w:val="000000"/>
          <w:lang w:eastAsia="zh-Hans"/>
        </w:rPr>
      </w:pPr>
      <w:r>
        <w:rPr>
          <w:color w:val="000000"/>
          <w:lang w:eastAsia="zh-Hans"/>
        </w:rPr>
        <w:t>（</w:t>
      </w:r>
      <w:r>
        <w:rPr>
          <w:color w:val="000000"/>
          <w:lang w:eastAsia="zh-Hans"/>
        </w:rPr>
        <w:t>4</w:t>
      </w:r>
      <w:r>
        <w:rPr>
          <w:color w:val="000000"/>
          <w:lang w:eastAsia="zh-Hans"/>
        </w:rPr>
        <w:t>）公司本次发行符合《注册管理办法》第十三条的规定</w:t>
      </w:r>
    </w:p>
    <w:p w14:paraId="7C9122C2" w14:textId="77777777" w:rsidR="002E5712" w:rsidRDefault="00000000">
      <w:pPr>
        <w:pStyle w:val="000"/>
        <w:rPr>
          <w:color w:val="000000"/>
          <w:lang w:eastAsia="zh-Hans"/>
        </w:rPr>
      </w:pPr>
      <w:r>
        <w:rPr>
          <w:color w:val="000000"/>
          <w:lang w:eastAsia="zh-Hans"/>
        </w:rPr>
        <w:t>1</w:t>
      </w:r>
      <w:r>
        <w:rPr>
          <w:color w:val="000000"/>
          <w:lang w:eastAsia="zh-Hans"/>
        </w:rPr>
        <w:t>）公司具备健全且运行良好的组织机构，设立了股东大会、董事会、监事会以及经营管理层，并制定了相关管理制度，符合《注册管理办法》第十三条第一款第（一）项的规定；</w:t>
      </w:r>
    </w:p>
    <w:p w14:paraId="66EF7991" w14:textId="77777777" w:rsidR="002E5712" w:rsidRDefault="00000000">
      <w:pPr>
        <w:pStyle w:val="000"/>
        <w:rPr>
          <w:color w:val="000000"/>
          <w:lang w:eastAsia="zh-Hans"/>
        </w:rPr>
      </w:pPr>
      <w:r>
        <w:rPr>
          <w:color w:val="000000"/>
          <w:lang w:eastAsia="zh-Hans"/>
        </w:rPr>
        <w:t>2</w:t>
      </w:r>
      <w:r>
        <w:rPr>
          <w:color w:val="000000"/>
          <w:lang w:eastAsia="zh-Hans"/>
        </w:rPr>
        <w:t>）公司</w:t>
      </w:r>
      <w:r>
        <w:rPr>
          <w:color w:val="000000"/>
          <w:lang w:eastAsia="zh-Hans"/>
        </w:rPr>
        <w:t>2020</w:t>
      </w:r>
      <w:r>
        <w:rPr>
          <w:color w:val="000000"/>
          <w:lang w:eastAsia="zh-Hans"/>
        </w:rPr>
        <w:t>年度、</w:t>
      </w:r>
      <w:r>
        <w:rPr>
          <w:color w:val="000000"/>
          <w:lang w:eastAsia="zh-Hans"/>
        </w:rPr>
        <w:t>2021</w:t>
      </w:r>
      <w:r>
        <w:rPr>
          <w:color w:val="000000"/>
          <w:lang w:eastAsia="zh-Hans"/>
        </w:rPr>
        <w:t>年度以及</w:t>
      </w:r>
      <w:r>
        <w:rPr>
          <w:color w:val="000000"/>
          <w:lang w:eastAsia="zh-Hans"/>
        </w:rPr>
        <w:t>2022</w:t>
      </w:r>
      <w:r>
        <w:rPr>
          <w:color w:val="000000"/>
          <w:lang w:eastAsia="zh-Hans"/>
        </w:rPr>
        <w:t>年度公司归属于母公司所有者的净利润分别为</w:t>
      </w:r>
      <w:r>
        <w:rPr>
          <w:color w:val="000000"/>
          <w:lang w:eastAsia="zh-Hans"/>
        </w:rPr>
        <w:t>5,796.81</w:t>
      </w:r>
      <w:r>
        <w:rPr>
          <w:color w:val="000000"/>
          <w:lang w:eastAsia="zh-Hans"/>
        </w:rPr>
        <w:t>万元、</w:t>
      </w:r>
      <w:r>
        <w:rPr>
          <w:color w:val="000000"/>
          <w:lang w:eastAsia="zh-Hans"/>
        </w:rPr>
        <w:t>6,099.35</w:t>
      </w:r>
      <w:r>
        <w:rPr>
          <w:color w:val="000000"/>
          <w:lang w:eastAsia="zh-Hans"/>
        </w:rPr>
        <w:t>万元、</w:t>
      </w:r>
      <w:r>
        <w:rPr>
          <w:color w:val="000000"/>
          <w:lang w:eastAsia="zh-Hans"/>
        </w:rPr>
        <w:t>13,620.51</w:t>
      </w:r>
      <w:r>
        <w:rPr>
          <w:color w:val="000000"/>
          <w:lang w:eastAsia="zh-Hans"/>
        </w:rPr>
        <w:t>万元，平均可分配利润</w:t>
      </w:r>
      <w:r>
        <w:rPr>
          <w:color w:val="000000"/>
          <w:lang w:eastAsia="zh-Hans"/>
        </w:rPr>
        <w:t>8,505.56</w:t>
      </w:r>
      <w:r>
        <w:rPr>
          <w:color w:val="000000"/>
          <w:lang w:eastAsia="zh-Hans"/>
        </w:rPr>
        <w:t>万元。公司本次拟发行可转债金额不超过</w:t>
      </w:r>
      <w:r>
        <w:rPr>
          <w:color w:val="000000"/>
          <w:lang w:eastAsia="zh-Hans"/>
        </w:rPr>
        <w:t>3</w:t>
      </w:r>
      <w:r>
        <w:rPr>
          <w:color w:val="000000"/>
        </w:rPr>
        <w:t>2</w:t>
      </w:r>
      <w:r>
        <w:rPr>
          <w:color w:val="000000"/>
          <w:lang w:eastAsia="zh-Hans"/>
        </w:rPr>
        <w:t>,</w:t>
      </w:r>
      <w:r>
        <w:rPr>
          <w:color w:val="000000"/>
        </w:rPr>
        <w:t>183</w:t>
      </w:r>
      <w:r>
        <w:rPr>
          <w:color w:val="000000"/>
          <w:lang w:eastAsia="zh-Hans"/>
        </w:rPr>
        <w:t>.00</w:t>
      </w:r>
      <w:r>
        <w:rPr>
          <w:color w:val="000000"/>
          <w:lang w:eastAsia="zh-Hans"/>
        </w:rPr>
        <w:t>万元（含本数），参考近期债券市场的发行利率水平并经合理估计，公司最近三年平均可分配利润足以支付公司债券一年的利息，符合《注册管理办法》第十三条第一款第（二）项的规定；</w:t>
      </w:r>
    </w:p>
    <w:p w14:paraId="0C178AB8" w14:textId="77777777" w:rsidR="002E5712" w:rsidRDefault="00000000">
      <w:pPr>
        <w:pStyle w:val="000"/>
        <w:rPr>
          <w:color w:val="000000"/>
          <w:lang w:eastAsia="zh-Hans"/>
        </w:rPr>
      </w:pPr>
      <w:r>
        <w:rPr>
          <w:color w:val="000000"/>
          <w:lang w:eastAsia="zh-Hans"/>
        </w:rPr>
        <w:lastRenderedPageBreak/>
        <w:t>3</w:t>
      </w:r>
      <w:r>
        <w:rPr>
          <w:color w:val="000000"/>
          <w:lang w:eastAsia="zh-Hans"/>
        </w:rPr>
        <w:t>）公司具有合理的资产负债结构和正常的现金流量；</w:t>
      </w:r>
      <w:r>
        <w:rPr>
          <w:color w:val="000000"/>
          <w:lang w:eastAsia="zh-Hans"/>
        </w:rPr>
        <w:t>2020</w:t>
      </w:r>
      <w:r>
        <w:rPr>
          <w:color w:val="000000"/>
          <w:lang w:eastAsia="zh-Hans"/>
        </w:rPr>
        <w:t>年末、</w:t>
      </w:r>
      <w:r>
        <w:rPr>
          <w:color w:val="000000"/>
          <w:lang w:eastAsia="zh-Hans"/>
        </w:rPr>
        <w:t>2021</w:t>
      </w:r>
      <w:r>
        <w:rPr>
          <w:color w:val="000000"/>
          <w:lang w:eastAsia="zh-Hans"/>
        </w:rPr>
        <w:t>年末、</w:t>
      </w:r>
      <w:r>
        <w:rPr>
          <w:color w:val="000000"/>
          <w:lang w:eastAsia="zh-Hans"/>
        </w:rPr>
        <w:t>2022</w:t>
      </w:r>
      <w:r>
        <w:rPr>
          <w:color w:val="000000"/>
          <w:lang w:eastAsia="zh-Hans"/>
        </w:rPr>
        <w:t>年末、</w:t>
      </w:r>
      <w:r>
        <w:rPr>
          <w:color w:val="000000"/>
          <w:lang w:eastAsia="zh-Hans"/>
        </w:rPr>
        <w:t>2023</w:t>
      </w:r>
      <w:r>
        <w:rPr>
          <w:color w:val="000000"/>
          <w:lang w:eastAsia="zh-Hans"/>
        </w:rPr>
        <w:t>年</w:t>
      </w:r>
      <w:r>
        <w:rPr>
          <w:color w:val="000000"/>
        </w:rPr>
        <w:t>9</w:t>
      </w:r>
      <w:r>
        <w:rPr>
          <w:color w:val="000000"/>
          <w:lang w:eastAsia="zh-Hans"/>
        </w:rPr>
        <w:t>月末，公司资产负债率（合并口径）分别为</w:t>
      </w:r>
      <w:r>
        <w:rPr>
          <w:color w:val="000000"/>
          <w:lang w:eastAsia="zh-Hans"/>
        </w:rPr>
        <w:t>23.74%</w:t>
      </w:r>
      <w:r>
        <w:rPr>
          <w:color w:val="000000"/>
          <w:lang w:eastAsia="zh-Hans"/>
        </w:rPr>
        <w:t>、</w:t>
      </w:r>
      <w:r>
        <w:rPr>
          <w:color w:val="000000"/>
          <w:lang w:eastAsia="zh-Hans"/>
        </w:rPr>
        <w:t>27.41%</w:t>
      </w:r>
      <w:r>
        <w:rPr>
          <w:color w:val="000000"/>
          <w:lang w:eastAsia="zh-Hans"/>
        </w:rPr>
        <w:t>、</w:t>
      </w:r>
      <w:r>
        <w:rPr>
          <w:color w:val="000000"/>
          <w:lang w:eastAsia="zh-Hans"/>
        </w:rPr>
        <w:t>22.40%</w:t>
      </w:r>
      <w:r>
        <w:rPr>
          <w:color w:val="000000"/>
          <w:lang w:eastAsia="zh-Hans"/>
        </w:rPr>
        <w:t>、</w:t>
      </w:r>
      <w:r>
        <w:rPr>
          <w:color w:val="000000"/>
        </w:rPr>
        <w:t>17.98</w:t>
      </w:r>
      <w:r>
        <w:rPr>
          <w:color w:val="000000"/>
          <w:lang w:eastAsia="zh-Hans"/>
        </w:rPr>
        <w:t>%</w:t>
      </w:r>
      <w:r>
        <w:rPr>
          <w:color w:val="000000"/>
          <w:lang w:eastAsia="zh-Hans"/>
        </w:rPr>
        <w:t>，整体处于合理水平，符合公司生产经营情况特点。</w:t>
      </w:r>
      <w:r>
        <w:rPr>
          <w:color w:val="000000"/>
          <w:lang w:eastAsia="zh-Hans"/>
        </w:rPr>
        <w:t>2020</w:t>
      </w:r>
      <w:r>
        <w:rPr>
          <w:color w:val="000000"/>
          <w:lang w:eastAsia="zh-Hans"/>
        </w:rPr>
        <w:t>年度、</w:t>
      </w:r>
      <w:r>
        <w:rPr>
          <w:color w:val="000000"/>
          <w:lang w:eastAsia="zh-Hans"/>
        </w:rPr>
        <w:t>2021</w:t>
      </w:r>
      <w:r>
        <w:rPr>
          <w:color w:val="000000"/>
          <w:lang w:eastAsia="zh-Hans"/>
        </w:rPr>
        <w:t>年度、</w:t>
      </w:r>
      <w:r>
        <w:rPr>
          <w:color w:val="000000"/>
          <w:lang w:eastAsia="zh-Hans"/>
        </w:rPr>
        <w:t>2022</w:t>
      </w:r>
      <w:r>
        <w:rPr>
          <w:color w:val="000000"/>
          <w:lang w:eastAsia="zh-Hans"/>
        </w:rPr>
        <w:t>年度、</w:t>
      </w:r>
      <w:r>
        <w:rPr>
          <w:color w:val="000000"/>
          <w:lang w:eastAsia="zh-Hans"/>
        </w:rPr>
        <w:t>2023</w:t>
      </w:r>
      <w:r>
        <w:rPr>
          <w:color w:val="000000"/>
          <w:lang w:eastAsia="zh-Hans"/>
        </w:rPr>
        <w:t>年</w:t>
      </w:r>
      <w:r>
        <w:rPr>
          <w:color w:val="000000"/>
          <w:lang w:eastAsia="zh-Hans"/>
        </w:rPr>
        <w:t>1-</w:t>
      </w:r>
      <w:r>
        <w:rPr>
          <w:color w:val="000000"/>
        </w:rPr>
        <w:t>9</w:t>
      </w:r>
      <w:r>
        <w:rPr>
          <w:color w:val="000000"/>
          <w:lang w:eastAsia="zh-Hans"/>
        </w:rPr>
        <w:t>月，公司每股经营活动现金流量净额分别为</w:t>
      </w:r>
      <w:r>
        <w:rPr>
          <w:color w:val="000000"/>
          <w:lang w:eastAsia="zh-Hans"/>
        </w:rPr>
        <w:t>0.77</w:t>
      </w:r>
      <w:r>
        <w:rPr>
          <w:color w:val="000000"/>
          <w:lang w:eastAsia="zh-Hans"/>
        </w:rPr>
        <w:t>元、</w:t>
      </w:r>
      <w:r>
        <w:rPr>
          <w:color w:val="000000"/>
          <w:lang w:eastAsia="zh-Hans"/>
        </w:rPr>
        <w:t>0.07</w:t>
      </w:r>
      <w:r>
        <w:rPr>
          <w:color w:val="000000"/>
          <w:lang w:eastAsia="zh-Hans"/>
        </w:rPr>
        <w:t>元、</w:t>
      </w:r>
      <w:r>
        <w:rPr>
          <w:color w:val="000000"/>
          <w:lang w:eastAsia="zh-Hans"/>
        </w:rPr>
        <w:t>0.80</w:t>
      </w:r>
      <w:r>
        <w:rPr>
          <w:color w:val="000000"/>
          <w:lang w:eastAsia="zh-Hans"/>
        </w:rPr>
        <w:t>元、</w:t>
      </w:r>
      <w:r>
        <w:rPr>
          <w:color w:val="000000"/>
          <w:lang w:eastAsia="zh-Hans"/>
        </w:rPr>
        <w:t>0.</w:t>
      </w:r>
      <w:r>
        <w:rPr>
          <w:color w:val="000000"/>
        </w:rPr>
        <w:t>45</w:t>
      </w:r>
      <w:r>
        <w:rPr>
          <w:color w:val="000000"/>
          <w:lang w:eastAsia="zh-Hans"/>
        </w:rPr>
        <w:t>元，符合公司业务模式特点，现金流量情况正常。公司本次可转换公司债券发行后累计公司债券余额占最近一期末净资产额的比例不超过</w:t>
      </w:r>
      <w:r>
        <w:rPr>
          <w:color w:val="000000"/>
          <w:lang w:eastAsia="zh-Hans"/>
        </w:rPr>
        <w:t>50%</w:t>
      </w:r>
      <w:r>
        <w:rPr>
          <w:color w:val="000000"/>
          <w:lang w:eastAsia="zh-Hans"/>
        </w:rPr>
        <w:t>，符合《注册管理办法》第十三条</w:t>
      </w:r>
      <w:r>
        <w:rPr>
          <w:color w:val="000000"/>
          <w:lang w:eastAsia="zh-Hans"/>
        </w:rPr>
        <w:t>“</w:t>
      </w:r>
      <w:r>
        <w:rPr>
          <w:color w:val="000000"/>
          <w:lang w:eastAsia="zh-Hans"/>
        </w:rPr>
        <w:t>（三）具有合理的资产负债结构和正常的现金流量</w:t>
      </w:r>
      <w:r>
        <w:rPr>
          <w:color w:val="000000"/>
          <w:lang w:eastAsia="zh-Hans"/>
        </w:rPr>
        <w:t>”</w:t>
      </w:r>
      <w:r>
        <w:rPr>
          <w:color w:val="000000"/>
          <w:lang w:eastAsia="zh-Hans"/>
        </w:rPr>
        <w:t>的规定；</w:t>
      </w:r>
    </w:p>
    <w:p w14:paraId="7E315C8D" w14:textId="77777777" w:rsidR="002E5712" w:rsidRDefault="00000000">
      <w:pPr>
        <w:pStyle w:val="000"/>
        <w:rPr>
          <w:color w:val="000000"/>
          <w:lang w:eastAsia="zh-Hans"/>
        </w:rPr>
      </w:pPr>
      <w:r>
        <w:rPr>
          <w:color w:val="000000"/>
          <w:lang w:eastAsia="zh-Hans"/>
        </w:rPr>
        <w:t>4</w:t>
      </w:r>
      <w:r>
        <w:rPr>
          <w:color w:val="000000"/>
          <w:lang w:eastAsia="zh-Hans"/>
        </w:rPr>
        <w:t>）</w:t>
      </w:r>
      <w:r>
        <w:rPr>
          <w:color w:val="000000"/>
          <w:lang w:eastAsia="zh-Hans"/>
        </w:rPr>
        <w:t>2020</w:t>
      </w:r>
      <w:r>
        <w:rPr>
          <w:color w:val="000000"/>
          <w:lang w:eastAsia="zh-Hans"/>
        </w:rPr>
        <w:t>年末、</w:t>
      </w:r>
      <w:r>
        <w:rPr>
          <w:color w:val="000000"/>
          <w:lang w:eastAsia="zh-Hans"/>
        </w:rPr>
        <w:t>2021</w:t>
      </w:r>
      <w:r>
        <w:rPr>
          <w:color w:val="000000"/>
          <w:lang w:eastAsia="zh-Hans"/>
        </w:rPr>
        <w:t>年末、</w:t>
      </w:r>
      <w:r>
        <w:rPr>
          <w:color w:val="000000"/>
          <w:lang w:eastAsia="zh-Hans"/>
        </w:rPr>
        <w:t>2022</w:t>
      </w:r>
      <w:r>
        <w:rPr>
          <w:color w:val="000000"/>
          <w:lang w:eastAsia="zh-Hans"/>
        </w:rPr>
        <w:t>年末，公司净利润为</w:t>
      </w:r>
      <w:r>
        <w:rPr>
          <w:color w:val="000000"/>
          <w:lang w:eastAsia="zh-Hans"/>
        </w:rPr>
        <w:t>5,796.81</w:t>
      </w:r>
      <w:r>
        <w:rPr>
          <w:color w:val="000000"/>
          <w:lang w:eastAsia="zh-Hans"/>
        </w:rPr>
        <w:t>万元、</w:t>
      </w:r>
      <w:r>
        <w:rPr>
          <w:color w:val="000000"/>
          <w:lang w:eastAsia="zh-Hans"/>
        </w:rPr>
        <w:t>6,099.35</w:t>
      </w:r>
      <w:r>
        <w:rPr>
          <w:color w:val="000000"/>
          <w:lang w:eastAsia="zh-Hans"/>
        </w:rPr>
        <w:t>万元、</w:t>
      </w:r>
      <w:r>
        <w:rPr>
          <w:color w:val="000000"/>
          <w:lang w:eastAsia="zh-Hans"/>
        </w:rPr>
        <w:t>13,362.71</w:t>
      </w:r>
      <w:r>
        <w:rPr>
          <w:color w:val="000000"/>
          <w:lang w:eastAsia="zh-Hans"/>
        </w:rPr>
        <w:t>万元，扣除非经常性损益后净利润为</w:t>
      </w:r>
      <w:r>
        <w:rPr>
          <w:color w:val="000000"/>
          <w:lang w:eastAsia="zh-Hans"/>
        </w:rPr>
        <w:t>4,243.37</w:t>
      </w:r>
      <w:r>
        <w:rPr>
          <w:color w:val="000000"/>
          <w:lang w:eastAsia="zh-Hans"/>
        </w:rPr>
        <w:t>万元、</w:t>
      </w:r>
      <w:r>
        <w:rPr>
          <w:color w:val="000000"/>
          <w:lang w:eastAsia="zh-Hans"/>
        </w:rPr>
        <w:t>4,684.77</w:t>
      </w:r>
      <w:r>
        <w:rPr>
          <w:color w:val="000000"/>
          <w:lang w:eastAsia="zh-Hans"/>
        </w:rPr>
        <w:t>万元、</w:t>
      </w:r>
      <w:r>
        <w:rPr>
          <w:color w:val="000000"/>
          <w:lang w:eastAsia="zh-Hans"/>
        </w:rPr>
        <w:t>9,793.92</w:t>
      </w:r>
      <w:r>
        <w:rPr>
          <w:color w:val="000000"/>
          <w:lang w:eastAsia="zh-Hans"/>
        </w:rPr>
        <w:t>万元，以扣除非经常性损益前后孰低的净利润计算，公司</w:t>
      </w:r>
      <w:r>
        <w:rPr>
          <w:color w:val="000000"/>
          <w:lang w:eastAsia="zh-Hans"/>
        </w:rPr>
        <w:t>2020</w:t>
      </w:r>
      <w:r>
        <w:rPr>
          <w:color w:val="000000"/>
          <w:lang w:eastAsia="zh-Hans"/>
        </w:rPr>
        <w:t>年度、</w:t>
      </w:r>
      <w:r>
        <w:rPr>
          <w:color w:val="000000"/>
          <w:lang w:eastAsia="zh-Hans"/>
        </w:rPr>
        <w:t>2021</w:t>
      </w:r>
      <w:r>
        <w:rPr>
          <w:color w:val="000000"/>
          <w:lang w:eastAsia="zh-Hans"/>
        </w:rPr>
        <w:t>年度和</w:t>
      </w:r>
      <w:r>
        <w:rPr>
          <w:color w:val="000000"/>
          <w:lang w:eastAsia="zh-Hans"/>
        </w:rPr>
        <w:t>2022</w:t>
      </w:r>
      <w:r>
        <w:rPr>
          <w:color w:val="000000"/>
          <w:lang w:eastAsia="zh-Hans"/>
        </w:rPr>
        <w:t>年度的加权平均净资产收益率分别为</w:t>
      </w:r>
      <w:r>
        <w:rPr>
          <w:color w:val="000000"/>
          <w:lang w:eastAsia="zh-Hans"/>
        </w:rPr>
        <w:t>6.51%</w:t>
      </w:r>
      <w:r>
        <w:rPr>
          <w:color w:val="000000"/>
          <w:lang w:eastAsia="zh-Hans"/>
        </w:rPr>
        <w:t>、</w:t>
      </w:r>
      <w:r>
        <w:rPr>
          <w:color w:val="000000"/>
          <w:lang w:eastAsia="zh-Hans"/>
        </w:rPr>
        <w:t>7.19%</w:t>
      </w:r>
      <w:r>
        <w:rPr>
          <w:color w:val="000000"/>
          <w:lang w:eastAsia="zh-Hans"/>
        </w:rPr>
        <w:t>和</w:t>
      </w:r>
      <w:r>
        <w:rPr>
          <w:color w:val="000000"/>
          <w:lang w:eastAsia="zh-Hans"/>
        </w:rPr>
        <w:t>14.34%</w:t>
      </w:r>
      <w:r>
        <w:rPr>
          <w:color w:val="000000"/>
          <w:lang w:eastAsia="zh-Hans"/>
        </w:rPr>
        <w:t>，最近三年平均为</w:t>
      </w:r>
      <w:r>
        <w:rPr>
          <w:color w:val="000000"/>
          <w:lang w:eastAsia="zh-Hans"/>
        </w:rPr>
        <w:t>9.35%</w:t>
      </w:r>
      <w:r>
        <w:rPr>
          <w:color w:val="000000"/>
          <w:lang w:eastAsia="zh-Hans"/>
        </w:rPr>
        <w:t>，高于</w:t>
      </w:r>
      <w:r>
        <w:rPr>
          <w:color w:val="000000"/>
          <w:lang w:eastAsia="zh-Hans"/>
        </w:rPr>
        <w:t>6%</w:t>
      </w:r>
      <w:r>
        <w:rPr>
          <w:color w:val="000000"/>
          <w:lang w:eastAsia="zh-Hans"/>
        </w:rPr>
        <w:t>。符合《注册管理办法》第十三条</w:t>
      </w:r>
      <w:r>
        <w:rPr>
          <w:color w:val="000000"/>
          <w:lang w:eastAsia="zh-Hans"/>
        </w:rPr>
        <w:t>“</w:t>
      </w:r>
      <w:r>
        <w:rPr>
          <w:color w:val="000000"/>
          <w:lang w:eastAsia="zh-Hans"/>
        </w:rPr>
        <w:t>（四）交易所主板上市公司向不特定对象发行可转债的，应当最近三个会计年度盈利，且最近三个会计年度加权平均净资产收益率平均不低于百分之六；净利润以扣除非经常性损益前后孰低者为计算依据。</w:t>
      </w:r>
      <w:r>
        <w:rPr>
          <w:color w:val="000000"/>
          <w:lang w:eastAsia="zh-Hans"/>
        </w:rPr>
        <w:t>”</w:t>
      </w:r>
      <w:r>
        <w:rPr>
          <w:color w:val="000000"/>
          <w:lang w:eastAsia="zh-Hans"/>
        </w:rPr>
        <w:t>的规定。</w:t>
      </w:r>
    </w:p>
    <w:p w14:paraId="46B897C4" w14:textId="77777777" w:rsidR="002E5712" w:rsidRDefault="00000000">
      <w:pPr>
        <w:pStyle w:val="000"/>
        <w:rPr>
          <w:color w:val="000000"/>
          <w:lang w:eastAsia="zh-Hans"/>
        </w:rPr>
      </w:pPr>
      <w:r>
        <w:rPr>
          <w:color w:val="000000"/>
          <w:lang w:eastAsia="zh-Hans"/>
        </w:rPr>
        <w:t>（</w:t>
      </w:r>
      <w:r>
        <w:rPr>
          <w:color w:val="000000"/>
          <w:lang w:eastAsia="zh-Hans"/>
        </w:rPr>
        <w:t>5</w:t>
      </w:r>
      <w:r>
        <w:rPr>
          <w:color w:val="000000"/>
          <w:lang w:eastAsia="zh-Hans"/>
        </w:rPr>
        <w:t>）公司本次发行符合《注册管理办法》第十四条的规定</w:t>
      </w:r>
    </w:p>
    <w:p w14:paraId="32A30E80" w14:textId="77777777" w:rsidR="002E5712" w:rsidRDefault="00000000">
      <w:pPr>
        <w:pStyle w:val="000"/>
        <w:rPr>
          <w:color w:val="000000"/>
          <w:lang w:eastAsia="zh-Hans"/>
        </w:rPr>
      </w:pPr>
      <w:r>
        <w:rPr>
          <w:color w:val="000000"/>
          <w:lang w:eastAsia="zh-Hans"/>
        </w:rPr>
        <w:t>公司不存在对已公开发行的公司债券或者其他债务有违约或者延迟支付本息的事实，不存在改变公开发行债券所募资金用途的情形，符合《注册管理办法》第十四条的规定。</w:t>
      </w:r>
    </w:p>
    <w:p w14:paraId="3470053D" w14:textId="77777777" w:rsidR="002E5712" w:rsidRDefault="00000000">
      <w:pPr>
        <w:pStyle w:val="000"/>
        <w:rPr>
          <w:color w:val="000000"/>
          <w:lang w:eastAsia="zh-Hans"/>
        </w:rPr>
      </w:pPr>
      <w:r>
        <w:rPr>
          <w:color w:val="000000"/>
          <w:lang w:eastAsia="zh-Hans"/>
        </w:rPr>
        <w:t>（</w:t>
      </w:r>
      <w:r>
        <w:rPr>
          <w:color w:val="000000"/>
          <w:lang w:eastAsia="zh-Hans"/>
        </w:rPr>
        <w:t>6</w:t>
      </w:r>
      <w:r>
        <w:rPr>
          <w:color w:val="000000"/>
          <w:lang w:eastAsia="zh-Hans"/>
        </w:rPr>
        <w:t>）公司本次发行符合《注册管理办法》第十五条的规定</w:t>
      </w:r>
    </w:p>
    <w:p w14:paraId="4885CC9A" w14:textId="77777777" w:rsidR="002E5712" w:rsidRDefault="00000000">
      <w:pPr>
        <w:pStyle w:val="000"/>
        <w:rPr>
          <w:color w:val="000000"/>
          <w:lang w:eastAsia="zh-Hans"/>
        </w:rPr>
      </w:pPr>
      <w:r>
        <w:rPr>
          <w:color w:val="000000"/>
          <w:lang w:eastAsia="zh-Hans"/>
        </w:rPr>
        <w:t>本次发行的可转债募集资金总额（含发行费用）不超过人民币</w:t>
      </w:r>
      <w:r>
        <w:rPr>
          <w:color w:val="000000"/>
          <w:lang w:eastAsia="zh-Hans"/>
        </w:rPr>
        <w:t>3</w:t>
      </w:r>
      <w:r>
        <w:rPr>
          <w:color w:val="000000"/>
        </w:rPr>
        <w:t>2</w:t>
      </w:r>
      <w:r>
        <w:rPr>
          <w:color w:val="000000"/>
          <w:lang w:eastAsia="zh-Hans"/>
        </w:rPr>
        <w:t>,</w:t>
      </w:r>
      <w:r>
        <w:rPr>
          <w:color w:val="000000"/>
        </w:rPr>
        <w:t>183</w:t>
      </w:r>
      <w:r>
        <w:rPr>
          <w:color w:val="000000"/>
          <w:lang w:eastAsia="zh-Hans"/>
        </w:rPr>
        <w:t>.00</w:t>
      </w:r>
      <w:r>
        <w:rPr>
          <w:color w:val="000000"/>
          <w:lang w:eastAsia="zh-Hans"/>
        </w:rPr>
        <w:t>万元（含本数），扣除发行费用后的募集资金净额将用于智慧节能阀门建设项目和补充流动资金项目。本次发行不存在用于弥补亏损和非生产性支出的情形，符合《注册管理办法》第十五条的规定。</w:t>
      </w:r>
    </w:p>
    <w:p w14:paraId="500708CF" w14:textId="77777777" w:rsidR="002E5712" w:rsidRDefault="00000000">
      <w:pPr>
        <w:pStyle w:val="000"/>
        <w:rPr>
          <w:color w:val="000000"/>
          <w:lang w:eastAsia="zh-Hans"/>
        </w:rPr>
      </w:pPr>
      <w:r>
        <w:rPr>
          <w:color w:val="000000"/>
          <w:lang w:eastAsia="zh-Hans"/>
        </w:rPr>
        <w:t>（</w:t>
      </w:r>
      <w:r>
        <w:rPr>
          <w:color w:val="000000"/>
          <w:lang w:eastAsia="zh-Hans"/>
        </w:rPr>
        <w:t>7</w:t>
      </w:r>
      <w:r>
        <w:rPr>
          <w:color w:val="000000"/>
          <w:lang w:eastAsia="zh-Hans"/>
        </w:rPr>
        <w:t>）公司本次发行符合《注册管理办法》关于上市公司发行可转债的其他规定</w:t>
      </w:r>
    </w:p>
    <w:p w14:paraId="38E9D760" w14:textId="77777777" w:rsidR="002E5712" w:rsidRDefault="00000000">
      <w:pPr>
        <w:pStyle w:val="000"/>
        <w:rPr>
          <w:color w:val="000000"/>
          <w:lang w:eastAsia="zh-Hans"/>
        </w:rPr>
      </w:pPr>
      <w:r>
        <w:rPr>
          <w:color w:val="000000"/>
          <w:lang w:eastAsia="zh-Hans"/>
        </w:rPr>
        <w:lastRenderedPageBreak/>
        <w:t>1</w:t>
      </w:r>
      <w:r>
        <w:rPr>
          <w:color w:val="000000"/>
          <w:lang w:eastAsia="zh-Hans"/>
        </w:rPr>
        <w:t>）公司本次可转债发行方案具有期限、面值、利率、评级、债券持有人权利、转股价格及调整原则、赎回及回售、转股价格向下修正等要素，且本次发行的利率已由公司股东大会授权公司董事会在发行前根据国家政策、市场状况和公司具体情况与保荐人及主承销商协商确定，符合《注册管理办法》第六十一条第一款和第二款的规定；</w:t>
      </w:r>
    </w:p>
    <w:p w14:paraId="7DF8401C" w14:textId="77777777" w:rsidR="002E5712" w:rsidRDefault="00000000">
      <w:pPr>
        <w:pStyle w:val="000"/>
        <w:rPr>
          <w:color w:val="000000"/>
          <w:lang w:eastAsia="zh-Hans"/>
        </w:rPr>
      </w:pPr>
      <w:r>
        <w:rPr>
          <w:color w:val="000000"/>
          <w:lang w:eastAsia="zh-Hans"/>
        </w:rPr>
        <w:t>2</w:t>
      </w:r>
      <w:r>
        <w:rPr>
          <w:color w:val="000000"/>
          <w:lang w:eastAsia="zh-Hans"/>
        </w:rPr>
        <w:t>）根据本次发行方案，自发行结束之日起满六个月后的第一个交易日起至可转债到期日止为转股期，符合《注册管理办法》第六十二条的规定；</w:t>
      </w:r>
    </w:p>
    <w:p w14:paraId="37C061E4" w14:textId="77777777" w:rsidR="002E5712" w:rsidRDefault="00000000">
      <w:pPr>
        <w:pStyle w:val="000"/>
        <w:rPr>
          <w:color w:val="000000"/>
          <w:lang w:eastAsia="zh-Hans"/>
        </w:rPr>
      </w:pPr>
      <w:r>
        <w:rPr>
          <w:color w:val="000000"/>
          <w:lang w:eastAsia="zh-Hans"/>
        </w:rPr>
        <w:t>3</w:t>
      </w:r>
      <w:r>
        <w:rPr>
          <w:color w:val="000000"/>
          <w:lang w:eastAsia="zh-Hans"/>
        </w:rPr>
        <w:t>）根据本次发行方案，本次发行的可转债的初始转股价格不低于《募集说明书》公告日前二十个交易日公司股票交易均价（若在该二十个交易日内发生过因除权、除息等引起股价调整的情形，则对调整前交易日的交易价格按经过相应除权、除息调整后的价格计算）和前一个交易日公司股票交易均价，</w:t>
      </w:r>
      <w:r>
        <w:t>且不得向上修正，</w:t>
      </w:r>
      <w:r>
        <w:rPr>
          <w:color w:val="000000"/>
          <w:lang w:eastAsia="zh-Hans"/>
        </w:rPr>
        <w:t>符合《注册管理办法》第六十四条第一款的规定。</w:t>
      </w:r>
    </w:p>
    <w:p w14:paraId="6A783B12" w14:textId="77777777" w:rsidR="002E5712" w:rsidRDefault="00000000">
      <w:pPr>
        <w:spacing w:beforeLines="50" w:before="156" w:after="50" w:line="360" w:lineRule="auto"/>
        <w:ind w:firstLineChars="200" w:firstLine="482"/>
        <w:outlineLvl w:val="3"/>
        <w:rPr>
          <w:rFonts w:ascii="Times New Roman" w:hAnsi="Times New Roman"/>
          <w:b/>
          <w:bCs/>
          <w:sz w:val="24"/>
          <w:szCs w:val="24"/>
        </w:rPr>
      </w:pPr>
      <w:r>
        <w:rPr>
          <w:rFonts w:ascii="Times New Roman" w:hAnsi="Times New Roman"/>
          <w:b/>
          <w:bCs/>
          <w:sz w:val="24"/>
          <w:szCs w:val="24"/>
        </w:rPr>
        <w:t>4</w:t>
      </w:r>
      <w:r>
        <w:rPr>
          <w:rFonts w:ascii="Times New Roman" w:hAnsi="Times New Roman"/>
          <w:b/>
          <w:bCs/>
          <w:sz w:val="24"/>
          <w:szCs w:val="24"/>
        </w:rPr>
        <w:t>、公司本次发行符合《可转换公司债券管理办法》规定的相关条件</w:t>
      </w:r>
    </w:p>
    <w:p w14:paraId="217F1A2D" w14:textId="77777777" w:rsidR="002E5712" w:rsidRDefault="00000000">
      <w:pPr>
        <w:pStyle w:val="000"/>
        <w:rPr>
          <w:color w:val="000000"/>
          <w:lang w:eastAsia="zh-Hans"/>
        </w:rPr>
      </w:pPr>
      <w:r>
        <w:rPr>
          <w:color w:val="000000"/>
          <w:lang w:eastAsia="zh-Hans"/>
        </w:rPr>
        <w:t>（</w:t>
      </w:r>
      <w:r>
        <w:rPr>
          <w:color w:val="000000"/>
          <w:lang w:eastAsia="zh-Hans"/>
        </w:rPr>
        <w:t>1</w:t>
      </w:r>
      <w:r>
        <w:rPr>
          <w:color w:val="000000"/>
          <w:lang w:eastAsia="zh-Hans"/>
        </w:rPr>
        <w:t>）本次发行符合《可转换公司债券管理办法》第三条第一款的规定</w:t>
      </w:r>
    </w:p>
    <w:p w14:paraId="241BF4C2" w14:textId="77777777" w:rsidR="002E5712" w:rsidRDefault="00000000">
      <w:pPr>
        <w:pStyle w:val="000"/>
        <w:rPr>
          <w:color w:val="000000"/>
          <w:lang w:eastAsia="zh-Hans"/>
        </w:rPr>
      </w:pPr>
      <w:r>
        <w:rPr>
          <w:color w:val="000000"/>
          <w:lang w:eastAsia="zh-Hans"/>
        </w:rPr>
        <w:t>本次发行的证券类型为可转换为公司股票的可转换公司债券，该可转换公司债券及未来转换的公司股票将在深圳证券交易所上市交易，符合《可转换公司债券管理办法》第三条第一款的规定。</w:t>
      </w:r>
    </w:p>
    <w:p w14:paraId="5F898A18" w14:textId="77777777" w:rsidR="002E5712" w:rsidRDefault="00000000">
      <w:pPr>
        <w:pStyle w:val="000"/>
        <w:rPr>
          <w:color w:val="000000"/>
          <w:lang w:eastAsia="zh-Hans"/>
        </w:rPr>
      </w:pPr>
      <w:r>
        <w:rPr>
          <w:color w:val="000000"/>
          <w:lang w:eastAsia="zh-Hans"/>
        </w:rPr>
        <w:t>（</w:t>
      </w:r>
      <w:r>
        <w:rPr>
          <w:color w:val="000000"/>
          <w:lang w:eastAsia="zh-Hans"/>
        </w:rPr>
        <w:t>2</w:t>
      </w:r>
      <w:r>
        <w:rPr>
          <w:color w:val="000000"/>
          <w:lang w:eastAsia="zh-Hans"/>
        </w:rPr>
        <w:t>）本次发行符合《可转换公司债券管理办法》第八条的规定</w:t>
      </w:r>
    </w:p>
    <w:p w14:paraId="3A83AFD5" w14:textId="77777777" w:rsidR="002E5712" w:rsidRDefault="00000000">
      <w:pPr>
        <w:pStyle w:val="000"/>
        <w:rPr>
          <w:color w:val="000000"/>
          <w:lang w:eastAsia="zh-Hans"/>
        </w:rPr>
      </w:pPr>
      <w:r>
        <w:rPr>
          <w:color w:val="000000"/>
          <w:lang w:eastAsia="zh-Hans"/>
        </w:rPr>
        <w:t>本次发行的可转换公司债券转股期自可转换公司债券发行结束之日起满六个月后的第一个交易日起至可转换公司债券到期日止。本次发行的可转换公司债券期限为六年。以上情况符合《可转换公司债券管理办法》第八条的规定。</w:t>
      </w:r>
    </w:p>
    <w:p w14:paraId="68FD548B" w14:textId="77777777" w:rsidR="002E5712" w:rsidRDefault="00000000">
      <w:pPr>
        <w:pStyle w:val="000"/>
        <w:rPr>
          <w:color w:val="000000"/>
          <w:lang w:eastAsia="zh-Hans"/>
        </w:rPr>
      </w:pPr>
      <w:r>
        <w:rPr>
          <w:color w:val="000000"/>
          <w:lang w:eastAsia="zh-Hans"/>
        </w:rPr>
        <w:t>（</w:t>
      </w:r>
      <w:r>
        <w:rPr>
          <w:color w:val="000000"/>
          <w:lang w:eastAsia="zh-Hans"/>
        </w:rPr>
        <w:t>3</w:t>
      </w:r>
      <w:r>
        <w:rPr>
          <w:color w:val="000000"/>
          <w:lang w:eastAsia="zh-Hans"/>
        </w:rPr>
        <w:t>）本次发行符合《可转换公司债券管理办法》第九条第一款的规定</w:t>
      </w:r>
    </w:p>
    <w:p w14:paraId="59A1545A" w14:textId="77777777" w:rsidR="002E5712" w:rsidRDefault="00000000">
      <w:pPr>
        <w:pStyle w:val="000"/>
        <w:rPr>
          <w:color w:val="000000"/>
          <w:lang w:eastAsia="zh-Hans"/>
        </w:rPr>
      </w:pPr>
      <w:r>
        <w:rPr>
          <w:color w:val="000000"/>
          <w:lang w:eastAsia="zh-Hans"/>
        </w:rPr>
        <w:t>本次发行的可转债初始转股价格不低于募集说明书公告日前二十个交易日公司股票交易均价（若在该二十个交易日内发生过因除权、除息引起股价调整的情形，则对调整前交易日的交易均价按经过相应除权、除息调整后的价格计算）和前一个交易日公司股票交易均价，</w:t>
      </w:r>
      <w:r>
        <w:t>且不得向上修正，</w:t>
      </w:r>
      <w:r>
        <w:rPr>
          <w:color w:val="000000"/>
          <w:lang w:eastAsia="zh-Hans"/>
        </w:rPr>
        <w:t>具体初始转股价格由公司股东大会授权公司董事会在发行前根据市场和公司具体情况与保荐人及主承销</w:t>
      </w:r>
      <w:r>
        <w:rPr>
          <w:color w:val="000000"/>
          <w:lang w:eastAsia="zh-Hans"/>
        </w:rPr>
        <w:lastRenderedPageBreak/>
        <w:t>商协商确定。发行人已在募集说明书中详细披露了发行价格的修正方式，不存在向上修正的条款。以上情况符合《可转换公司债券管理办法》第九条第一款的规定。</w:t>
      </w:r>
    </w:p>
    <w:p w14:paraId="1D2DE434" w14:textId="77777777" w:rsidR="002E5712" w:rsidRDefault="00000000">
      <w:pPr>
        <w:pStyle w:val="000"/>
        <w:rPr>
          <w:color w:val="000000"/>
          <w:lang w:eastAsia="zh-Hans"/>
        </w:rPr>
      </w:pPr>
      <w:r>
        <w:rPr>
          <w:color w:val="000000"/>
          <w:lang w:eastAsia="zh-Hans"/>
        </w:rPr>
        <w:t>（</w:t>
      </w:r>
      <w:r>
        <w:rPr>
          <w:color w:val="000000"/>
          <w:lang w:eastAsia="zh-Hans"/>
        </w:rPr>
        <w:t>4</w:t>
      </w:r>
      <w:r>
        <w:rPr>
          <w:color w:val="000000"/>
          <w:lang w:eastAsia="zh-Hans"/>
        </w:rPr>
        <w:t>）本次发行符合《可转换公司债券管理办法》第十条的规定</w:t>
      </w:r>
    </w:p>
    <w:p w14:paraId="04985AC3" w14:textId="77777777" w:rsidR="002E5712" w:rsidRDefault="00000000">
      <w:pPr>
        <w:pStyle w:val="000"/>
        <w:rPr>
          <w:color w:val="000000"/>
          <w:lang w:eastAsia="zh-Hans"/>
        </w:rPr>
      </w:pPr>
      <w:r>
        <w:rPr>
          <w:color w:val="000000"/>
          <w:lang w:eastAsia="zh-Hans"/>
        </w:rPr>
        <w:t>在本次发行之后，若公司发生派送股票股利、转增股本、增发新股（不包括因本次发行的可转债转股而增加的股本）、配股以及派发现金股利等情况，将按上述情况出现的先后顺序，按照下述公式依次对转股价格进行调整（保留小数点后两位，最后一位四舍五入）：</w:t>
      </w:r>
    </w:p>
    <w:p w14:paraId="63DEA355" w14:textId="77777777" w:rsidR="002E5712" w:rsidRDefault="00000000">
      <w:pPr>
        <w:pStyle w:val="000"/>
        <w:rPr>
          <w:color w:val="000000"/>
          <w:lang w:eastAsia="zh-Hans"/>
        </w:rPr>
      </w:pPr>
      <w:r>
        <w:rPr>
          <w:color w:val="000000"/>
          <w:lang w:eastAsia="zh-Hans"/>
        </w:rPr>
        <w:t>派送股票股利或转增股本：</w:t>
      </w:r>
      <w:r>
        <w:rPr>
          <w:color w:val="000000"/>
          <w:lang w:eastAsia="zh-Hans"/>
        </w:rPr>
        <w:t>P1=P0/(1+n)</w:t>
      </w:r>
      <w:r>
        <w:rPr>
          <w:color w:val="000000"/>
          <w:lang w:eastAsia="zh-Hans"/>
        </w:rPr>
        <w:t>；</w:t>
      </w:r>
    </w:p>
    <w:p w14:paraId="6F2CF26E" w14:textId="77777777" w:rsidR="002E5712" w:rsidRDefault="00000000">
      <w:pPr>
        <w:pStyle w:val="000"/>
        <w:rPr>
          <w:color w:val="000000"/>
          <w:lang w:eastAsia="zh-Hans"/>
        </w:rPr>
      </w:pPr>
      <w:r>
        <w:rPr>
          <w:color w:val="000000"/>
          <w:lang w:eastAsia="zh-Hans"/>
        </w:rPr>
        <w:t>增发新股或配股：</w:t>
      </w:r>
      <w:r>
        <w:rPr>
          <w:color w:val="000000"/>
          <w:lang w:eastAsia="zh-Hans"/>
        </w:rPr>
        <w:t>P1=(P0+A×k)/(1+k)</w:t>
      </w:r>
      <w:r>
        <w:rPr>
          <w:color w:val="000000"/>
          <w:lang w:eastAsia="zh-Hans"/>
        </w:rPr>
        <w:t>；</w:t>
      </w:r>
    </w:p>
    <w:p w14:paraId="2A5D5E26" w14:textId="77777777" w:rsidR="002E5712" w:rsidRDefault="00000000">
      <w:pPr>
        <w:pStyle w:val="000"/>
        <w:rPr>
          <w:color w:val="000000"/>
          <w:lang w:eastAsia="zh-Hans"/>
        </w:rPr>
      </w:pPr>
      <w:r>
        <w:rPr>
          <w:color w:val="000000"/>
          <w:lang w:eastAsia="zh-Hans"/>
        </w:rPr>
        <w:t>上述两项同时进行：</w:t>
      </w:r>
      <w:r>
        <w:rPr>
          <w:color w:val="000000"/>
          <w:lang w:eastAsia="zh-Hans"/>
        </w:rPr>
        <w:t>P1=(P0+A×k)/(1+n+k)</w:t>
      </w:r>
      <w:r>
        <w:rPr>
          <w:color w:val="000000"/>
          <w:lang w:eastAsia="zh-Hans"/>
        </w:rPr>
        <w:t>；</w:t>
      </w:r>
    </w:p>
    <w:p w14:paraId="5AF198C4" w14:textId="77777777" w:rsidR="002E5712" w:rsidRDefault="00000000">
      <w:pPr>
        <w:pStyle w:val="000"/>
        <w:rPr>
          <w:color w:val="000000"/>
          <w:lang w:eastAsia="zh-Hans"/>
        </w:rPr>
      </w:pPr>
      <w:r>
        <w:rPr>
          <w:color w:val="000000"/>
          <w:lang w:eastAsia="zh-Hans"/>
        </w:rPr>
        <w:t>派发现金股利：</w:t>
      </w:r>
      <w:r>
        <w:rPr>
          <w:color w:val="000000"/>
          <w:lang w:eastAsia="zh-Hans"/>
        </w:rPr>
        <w:t>P1=P0-D</w:t>
      </w:r>
      <w:r>
        <w:rPr>
          <w:color w:val="000000"/>
          <w:lang w:eastAsia="zh-Hans"/>
        </w:rPr>
        <w:t>；</w:t>
      </w:r>
    </w:p>
    <w:p w14:paraId="017E838E" w14:textId="77777777" w:rsidR="002E5712" w:rsidRDefault="00000000">
      <w:pPr>
        <w:pStyle w:val="000"/>
        <w:rPr>
          <w:color w:val="000000"/>
          <w:lang w:eastAsia="zh-Hans"/>
        </w:rPr>
      </w:pPr>
      <w:r>
        <w:rPr>
          <w:color w:val="000000"/>
          <w:lang w:eastAsia="zh-Hans"/>
        </w:rPr>
        <w:t>上述三项同时进行：</w:t>
      </w:r>
      <w:r>
        <w:rPr>
          <w:color w:val="000000"/>
          <w:lang w:eastAsia="zh-Hans"/>
        </w:rPr>
        <w:t>P1</w:t>
      </w:r>
      <w:r>
        <w:rPr>
          <w:color w:val="000000"/>
          <w:lang w:eastAsia="zh-Hans"/>
        </w:rPr>
        <w:t>＝</w:t>
      </w:r>
      <w:r>
        <w:rPr>
          <w:color w:val="000000"/>
          <w:lang w:eastAsia="zh-Hans"/>
        </w:rPr>
        <w:t>(P0-D</w:t>
      </w:r>
      <w:r>
        <w:rPr>
          <w:color w:val="000000"/>
          <w:lang w:eastAsia="zh-Hans"/>
        </w:rPr>
        <w:t>＋</w:t>
      </w:r>
      <w:r>
        <w:rPr>
          <w:color w:val="000000"/>
          <w:lang w:eastAsia="zh-Hans"/>
        </w:rPr>
        <w:t>A×k)/(1+n+k)</w:t>
      </w:r>
      <w:r>
        <w:rPr>
          <w:color w:val="000000"/>
          <w:lang w:eastAsia="zh-Hans"/>
        </w:rPr>
        <w:t>。</w:t>
      </w:r>
    </w:p>
    <w:p w14:paraId="6D8984B9" w14:textId="77777777" w:rsidR="002E5712" w:rsidRDefault="00000000">
      <w:pPr>
        <w:pStyle w:val="000"/>
        <w:rPr>
          <w:color w:val="000000"/>
          <w:lang w:eastAsia="zh-Hans"/>
        </w:rPr>
      </w:pPr>
      <w:r>
        <w:rPr>
          <w:color w:val="000000"/>
          <w:lang w:eastAsia="zh-Hans"/>
        </w:rPr>
        <w:t>其中：</w:t>
      </w:r>
      <w:r>
        <w:rPr>
          <w:color w:val="000000"/>
          <w:lang w:eastAsia="zh-Hans"/>
        </w:rPr>
        <w:t>P1</w:t>
      </w:r>
      <w:r>
        <w:rPr>
          <w:color w:val="000000"/>
          <w:lang w:eastAsia="zh-Hans"/>
        </w:rPr>
        <w:t>为调整后转股价，</w:t>
      </w:r>
      <w:r>
        <w:rPr>
          <w:color w:val="000000"/>
          <w:lang w:eastAsia="zh-Hans"/>
        </w:rPr>
        <w:t>P0-</w:t>
      </w:r>
      <w:r>
        <w:rPr>
          <w:color w:val="000000"/>
          <w:lang w:eastAsia="zh-Hans"/>
        </w:rPr>
        <w:t>为调整前转股价，</w:t>
      </w:r>
      <w:r>
        <w:rPr>
          <w:color w:val="000000"/>
          <w:lang w:eastAsia="zh-Hans"/>
        </w:rPr>
        <w:t>n</w:t>
      </w:r>
      <w:r>
        <w:rPr>
          <w:color w:val="000000"/>
          <w:lang w:eastAsia="zh-Hans"/>
        </w:rPr>
        <w:t>为派送股票股利或转增股本率，</w:t>
      </w:r>
      <w:r>
        <w:rPr>
          <w:color w:val="000000"/>
          <w:lang w:eastAsia="zh-Hans"/>
        </w:rPr>
        <w:t>A</w:t>
      </w:r>
      <w:r>
        <w:rPr>
          <w:color w:val="000000"/>
          <w:lang w:eastAsia="zh-Hans"/>
        </w:rPr>
        <w:t>为增发新股价或配股价，</w:t>
      </w:r>
      <w:r>
        <w:rPr>
          <w:color w:val="000000"/>
          <w:lang w:eastAsia="zh-Hans"/>
        </w:rPr>
        <w:t>k</w:t>
      </w:r>
      <w:r>
        <w:rPr>
          <w:color w:val="000000"/>
          <w:lang w:eastAsia="zh-Hans"/>
        </w:rPr>
        <w:t>为增发新股率或配股率，</w:t>
      </w:r>
      <w:r>
        <w:rPr>
          <w:color w:val="000000"/>
          <w:lang w:eastAsia="zh-Hans"/>
        </w:rPr>
        <w:t>D</w:t>
      </w:r>
      <w:r>
        <w:rPr>
          <w:color w:val="000000"/>
          <w:lang w:eastAsia="zh-Hans"/>
        </w:rPr>
        <w:t>为每股派发现金股利。</w:t>
      </w:r>
    </w:p>
    <w:p w14:paraId="4FB59881" w14:textId="77777777" w:rsidR="002E5712" w:rsidRDefault="00000000">
      <w:pPr>
        <w:pStyle w:val="000"/>
        <w:rPr>
          <w:color w:val="000000"/>
          <w:lang w:eastAsia="zh-Hans"/>
        </w:rPr>
      </w:pPr>
      <w:r>
        <w:rPr>
          <w:color w:val="000000"/>
          <w:lang w:eastAsia="zh-Hans"/>
        </w:rPr>
        <w:t>发行人已在募集说明书中详细披露了转股价格调整的原则及方式，符合《可转换公司债券管理办法》第十条的规定。</w:t>
      </w:r>
    </w:p>
    <w:p w14:paraId="04A87671" w14:textId="77777777" w:rsidR="002E5712" w:rsidRDefault="00000000">
      <w:pPr>
        <w:pStyle w:val="000"/>
        <w:rPr>
          <w:color w:val="000000"/>
          <w:lang w:eastAsia="zh-Hans"/>
        </w:rPr>
      </w:pPr>
      <w:r>
        <w:rPr>
          <w:color w:val="000000"/>
          <w:lang w:eastAsia="zh-Hans"/>
        </w:rPr>
        <w:t>（</w:t>
      </w:r>
      <w:r>
        <w:rPr>
          <w:color w:val="000000"/>
          <w:lang w:eastAsia="zh-Hans"/>
        </w:rPr>
        <w:t>5</w:t>
      </w:r>
      <w:r>
        <w:rPr>
          <w:color w:val="000000"/>
          <w:lang w:eastAsia="zh-Hans"/>
        </w:rPr>
        <w:t>）本次发行符合《可转换公司债券管理办法》第十一条的规定</w:t>
      </w:r>
    </w:p>
    <w:p w14:paraId="4DD47DE7" w14:textId="77777777" w:rsidR="002E5712" w:rsidRDefault="00000000">
      <w:pPr>
        <w:pStyle w:val="000"/>
        <w:rPr>
          <w:color w:val="000000"/>
          <w:lang w:eastAsia="zh-Hans"/>
        </w:rPr>
      </w:pPr>
      <w:r>
        <w:rPr>
          <w:color w:val="000000"/>
          <w:lang w:eastAsia="zh-Hans"/>
        </w:rPr>
        <w:t>发行人已在募集说明书中详细披露了本次发行的赎回条款，包括到期赎回和有条件赎回；回售条款，包括有条件回售条款和附加回售条款。以上情况符合《可转换公司债券管理办法》第十一条的规定。</w:t>
      </w:r>
    </w:p>
    <w:p w14:paraId="6BEEF13D" w14:textId="77777777" w:rsidR="002E5712" w:rsidRDefault="00000000">
      <w:pPr>
        <w:pStyle w:val="000"/>
        <w:rPr>
          <w:color w:val="000000"/>
          <w:lang w:eastAsia="zh-Hans"/>
        </w:rPr>
      </w:pPr>
      <w:r>
        <w:rPr>
          <w:color w:val="000000"/>
          <w:lang w:eastAsia="zh-Hans"/>
        </w:rPr>
        <w:t>（</w:t>
      </w:r>
      <w:r>
        <w:rPr>
          <w:color w:val="000000"/>
          <w:lang w:eastAsia="zh-Hans"/>
        </w:rPr>
        <w:t>6</w:t>
      </w:r>
      <w:r>
        <w:rPr>
          <w:color w:val="000000"/>
          <w:lang w:eastAsia="zh-Hans"/>
        </w:rPr>
        <w:t>）本次发行符合《可转换公司债券管理办法》第十六条的规定</w:t>
      </w:r>
    </w:p>
    <w:p w14:paraId="48A9A7B2" w14:textId="77777777" w:rsidR="002E5712" w:rsidRDefault="00000000">
      <w:pPr>
        <w:pStyle w:val="000"/>
        <w:rPr>
          <w:color w:val="000000"/>
          <w:lang w:eastAsia="zh-Hans"/>
        </w:rPr>
      </w:pPr>
      <w:r>
        <w:rPr>
          <w:color w:val="000000"/>
          <w:lang w:eastAsia="zh-Hans"/>
        </w:rPr>
        <w:t>为维护本次债券全体债券持有人的权益，公司已签署受托管理协议，聘任中信证券作为本次债券的受托管理人，并同意接受中信证券的监督。中信证券接受</w:t>
      </w:r>
      <w:r>
        <w:rPr>
          <w:color w:val="000000"/>
          <w:lang w:eastAsia="zh-Hans"/>
        </w:rPr>
        <w:lastRenderedPageBreak/>
        <w:t>全体债券持有人的委托，行使受托管理职责。在本次债券存续期内，中信证券应当勤勉尽责，根据相关法律法规、部门规章、行政规范性文件与自律规则的规定以及募集说明书、《受托管理协议》及《债券持有人会议规则》的约定，行使权利和履行义务，维护债券持有人合法权益。以上情况符合《可转换公司债券管理办法》第十六条的规定。</w:t>
      </w:r>
    </w:p>
    <w:p w14:paraId="2F933F4B" w14:textId="77777777" w:rsidR="002E5712" w:rsidRDefault="00000000">
      <w:pPr>
        <w:pStyle w:val="000"/>
        <w:rPr>
          <w:color w:val="000000"/>
          <w:lang w:eastAsia="zh-Hans"/>
        </w:rPr>
      </w:pPr>
      <w:r>
        <w:rPr>
          <w:color w:val="000000"/>
          <w:lang w:eastAsia="zh-Hans"/>
        </w:rPr>
        <w:t>（</w:t>
      </w:r>
      <w:r>
        <w:rPr>
          <w:color w:val="000000"/>
          <w:lang w:eastAsia="zh-Hans"/>
        </w:rPr>
        <w:t>7</w:t>
      </w:r>
      <w:r>
        <w:rPr>
          <w:color w:val="000000"/>
          <w:lang w:eastAsia="zh-Hans"/>
        </w:rPr>
        <w:t>）本次发行符合《可转换公司债券管理办法》第十七条的规定</w:t>
      </w:r>
    </w:p>
    <w:p w14:paraId="3EEFDBBD" w14:textId="77777777" w:rsidR="002E5712" w:rsidRDefault="00000000">
      <w:pPr>
        <w:pStyle w:val="000"/>
        <w:rPr>
          <w:color w:val="000000"/>
          <w:lang w:eastAsia="zh-Hans"/>
        </w:rPr>
      </w:pPr>
      <w:r>
        <w:rPr>
          <w:color w:val="000000"/>
          <w:lang w:eastAsia="zh-Hans"/>
        </w:rPr>
        <w:t>发行人已在募集说明书中详细披露了债券持有人会议相关事项，包括可转换公司债券持有人的权利、可转换公司债券持有人的义务、在本次可转债存续期间内应召集债券持有人会议的情形、可以书面提议召开债券持有人会议的机构或人士等。以上情况符合《可转换公司债券管理办法》第十七条的规定。</w:t>
      </w:r>
    </w:p>
    <w:p w14:paraId="12CDC40B" w14:textId="77777777" w:rsidR="002E5712" w:rsidRDefault="00000000">
      <w:pPr>
        <w:pStyle w:val="000"/>
        <w:rPr>
          <w:color w:val="000000"/>
          <w:lang w:eastAsia="zh-Hans"/>
        </w:rPr>
      </w:pPr>
      <w:r>
        <w:rPr>
          <w:color w:val="000000"/>
          <w:lang w:eastAsia="zh-Hans"/>
        </w:rPr>
        <w:t>（</w:t>
      </w:r>
      <w:r>
        <w:rPr>
          <w:color w:val="000000"/>
          <w:lang w:eastAsia="zh-Hans"/>
        </w:rPr>
        <w:t>8</w:t>
      </w:r>
      <w:r>
        <w:rPr>
          <w:color w:val="000000"/>
          <w:lang w:eastAsia="zh-Hans"/>
        </w:rPr>
        <w:t>）本次发行符合《可转换公司债券管理办法》第十九条的规定</w:t>
      </w:r>
    </w:p>
    <w:p w14:paraId="7AE6A06D" w14:textId="77777777" w:rsidR="002E5712" w:rsidRDefault="00000000">
      <w:pPr>
        <w:pStyle w:val="000"/>
        <w:rPr>
          <w:color w:val="000000"/>
          <w:lang w:eastAsia="zh-Hans"/>
        </w:rPr>
      </w:pPr>
      <w:r>
        <w:rPr>
          <w:color w:val="000000"/>
          <w:lang w:eastAsia="zh-Hans"/>
        </w:rPr>
        <w:t>发行人已在募集说明书中详细披露了违约责任及争议解决机制，包括构成可转债违约的情形、违约责任的承担方式、争议解决机制等。本次债券发行适用中国法律并依其解释。本次债券发行和存续期间所产生的争议，首先应在争议各方之间协商解决。如果协商解决不成，争议各方有权按照受托管理协议、债券持有人会议规则等规定，向有管辖权的人民法院提起诉讼。当产生任何争议及任何争议正按前条约定进行解决时，除争议事项外，各方有权继续行使本次债券发行及存续期的其他权利，并应履行其他义务。以上情况符合《可转换公司债券管理办法》第十九条的规定。</w:t>
      </w:r>
    </w:p>
    <w:p w14:paraId="7CA56BE8" w14:textId="77777777" w:rsidR="002E5712" w:rsidRDefault="00000000">
      <w:pPr>
        <w:spacing w:beforeLines="50" w:before="156" w:afterLines="50" w:after="156" w:line="360" w:lineRule="auto"/>
        <w:ind w:firstLineChars="200" w:firstLine="482"/>
        <w:outlineLvl w:val="2"/>
        <w:rPr>
          <w:rFonts w:ascii="Times New Roman" w:hAnsi="Times New Roman"/>
          <w:b/>
          <w:sz w:val="24"/>
          <w:szCs w:val="24"/>
        </w:rPr>
      </w:pPr>
      <w:r>
        <w:rPr>
          <w:rFonts w:ascii="Times New Roman" w:hAnsi="Times New Roman"/>
          <w:b/>
          <w:sz w:val="24"/>
          <w:szCs w:val="24"/>
        </w:rPr>
        <w:t>（二）确定发行方式的程序合法合</w:t>
      </w:r>
      <w:proofErr w:type="gramStart"/>
      <w:r>
        <w:rPr>
          <w:rFonts w:ascii="Times New Roman" w:hAnsi="Times New Roman"/>
          <w:b/>
          <w:sz w:val="24"/>
          <w:szCs w:val="24"/>
        </w:rPr>
        <w:t>规</w:t>
      </w:r>
      <w:proofErr w:type="gramEnd"/>
    </w:p>
    <w:p w14:paraId="71299C4A" w14:textId="77777777" w:rsidR="002E5712" w:rsidRDefault="00000000">
      <w:pPr>
        <w:pStyle w:val="000"/>
        <w:rPr>
          <w:color w:val="000000"/>
          <w:lang w:eastAsia="zh-Hans"/>
        </w:rPr>
      </w:pPr>
      <w:r>
        <w:rPr>
          <w:color w:val="000000"/>
          <w:lang w:eastAsia="zh-Hans"/>
        </w:rPr>
        <w:t>本次向不特定对象发行可转换公司债券方案已经公司第四届董事会第十七次会议、第四届董事会第二十次会议、第四届董事会第二十三次会议、</w:t>
      </w:r>
      <w:r>
        <w:rPr>
          <w:color w:val="000000"/>
        </w:rPr>
        <w:t>第四届董事会第</w:t>
      </w:r>
      <w:r>
        <w:rPr>
          <w:rFonts w:hint="eastAsia"/>
          <w:color w:val="000000"/>
        </w:rPr>
        <w:t>二十九</w:t>
      </w:r>
      <w:r>
        <w:rPr>
          <w:color w:val="000000"/>
        </w:rPr>
        <w:t>次会议、</w:t>
      </w:r>
      <w:r>
        <w:rPr>
          <w:color w:val="000000"/>
          <w:lang w:eastAsia="zh-Hans"/>
        </w:rPr>
        <w:t>2023</w:t>
      </w:r>
      <w:r>
        <w:rPr>
          <w:color w:val="000000"/>
          <w:lang w:eastAsia="zh-Hans"/>
        </w:rPr>
        <w:t>年第一次临时股东大会和</w:t>
      </w:r>
      <w:r>
        <w:rPr>
          <w:color w:val="000000"/>
          <w:lang w:eastAsia="zh-Hans"/>
        </w:rPr>
        <w:t>2023</w:t>
      </w:r>
      <w:r>
        <w:rPr>
          <w:color w:val="000000"/>
          <w:lang w:eastAsia="zh-Hans"/>
        </w:rPr>
        <w:t>年第二次临时股东大会审议通过，相关文件均在深交所网站及符合中国证监会规定条件的媒体上进行披露，履行了现阶段必要的审议程序和信息披露程序。</w:t>
      </w:r>
    </w:p>
    <w:p w14:paraId="645DAA35" w14:textId="77777777" w:rsidR="002E5712" w:rsidRDefault="00000000">
      <w:pPr>
        <w:pStyle w:val="000"/>
        <w:rPr>
          <w:color w:val="000000"/>
          <w:lang w:eastAsia="zh-Hans"/>
        </w:rPr>
      </w:pPr>
      <w:r>
        <w:rPr>
          <w:color w:val="000000"/>
          <w:lang w:eastAsia="zh-Hans"/>
        </w:rPr>
        <w:t>根据有关法律法规规定，本次向不特定对象发行可转换公司债券尚需获得深圳证券交易所审核通过并经中国证监会同意注册后方可实施。</w:t>
      </w:r>
    </w:p>
    <w:p w14:paraId="78579FAC" w14:textId="77777777" w:rsidR="002E5712" w:rsidRDefault="00000000">
      <w:pPr>
        <w:pStyle w:val="000"/>
        <w:rPr>
          <w:color w:val="000000"/>
          <w:lang w:eastAsia="zh-Hans"/>
        </w:rPr>
      </w:pPr>
      <w:r>
        <w:rPr>
          <w:color w:val="000000"/>
          <w:lang w:eastAsia="zh-Hans"/>
        </w:rPr>
        <w:lastRenderedPageBreak/>
        <w:t>综上所述，本次向不特定对象发行可转换公司债券的审议程序合法合规，发行方式可行。</w:t>
      </w:r>
    </w:p>
    <w:p w14:paraId="54958351" w14:textId="77777777" w:rsidR="002E5712" w:rsidRDefault="00000000">
      <w:pPr>
        <w:keepNext/>
        <w:keepLines/>
        <w:spacing w:beforeLines="50" w:before="156" w:afterLines="50" w:after="156" w:line="360" w:lineRule="auto"/>
        <w:outlineLvl w:val="1"/>
        <w:rPr>
          <w:rFonts w:ascii="Times New Roman" w:hAnsi="Times New Roman"/>
          <w:b/>
          <w:sz w:val="24"/>
          <w:szCs w:val="24"/>
        </w:rPr>
      </w:pPr>
      <w:r>
        <w:rPr>
          <w:rFonts w:ascii="Times New Roman" w:hAnsi="Times New Roman"/>
          <w:b/>
          <w:sz w:val="24"/>
          <w:szCs w:val="24"/>
        </w:rPr>
        <w:t>六、本次发行方案的公平性、合理性</w:t>
      </w:r>
    </w:p>
    <w:p w14:paraId="06DBA1C1" w14:textId="77777777" w:rsidR="002E5712" w:rsidRDefault="00000000">
      <w:pPr>
        <w:pStyle w:val="000"/>
        <w:rPr>
          <w:color w:val="000000"/>
          <w:lang w:eastAsia="zh-Hans"/>
        </w:rPr>
      </w:pPr>
      <w:r>
        <w:rPr>
          <w:color w:val="000000"/>
          <w:lang w:eastAsia="zh-Hans"/>
        </w:rPr>
        <w:t>本次发行方案已经公司第四届董事会第十七次会议、第四届董事会第二十次会议、第四届董事会第二十三次会议、</w:t>
      </w:r>
      <w:r>
        <w:rPr>
          <w:color w:val="000000"/>
        </w:rPr>
        <w:t>第四届董事会第</w:t>
      </w:r>
      <w:r>
        <w:rPr>
          <w:rFonts w:hint="eastAsia"/>
          <w:color w:val="000000"/>
        </w:rPr>
        <w:t>二十九</w:t>
      </w:r>
      <w:r>
        <w:rPr>
          <w:color w:val="000000"/>
        </w:rPr>
        <w:t>次会议、</w:t>
      </w:r>
      <w:r>
        <w:rPr>
          <w:color w:val="000000"/>
          <w:lang w:eastAsia="zh-Hans"/>
        </w:rPr>
        <w:t>2023</w:t>
      </w:r>
      <w:r>
        <w:rPr>
          <w:color w:val="000000"/>
          <w:lang w:eastAsia="zh-Hans"/>
        </w:rPr>
        <w:t>年第一次临时股东大会和</w:t>
      </w:r>
      <w:r>
        <w:rPr>
          <w:color w:val="000000"/>
          <w:lang w:eastAsia="zh-Hans"/>
        </w:rPr>
        <w:t>2023</w:t>
      </w:r>
      <w:r>
        <w:rPr>
          <w:color w:val="000000"/>
          <w:lang w:eastAsia="zh-Hans"/>
        </w:rPr>
        <w:t>年第二次临时股东大会审议通过。公司将召开股东大会对修订后的相关议案进行审议。股东将按照同股同权的方式进行公平的表决。股东大会就本次向不特定对象发行可转换公司债券相关事项作出决议，必须经出席会议的股东所持有表决权的三分之二以上通过，中小投资者表决情况应当单独计票。同时，公司股东可通过现场或网络表决的方式行使股东权利。发行方案的实施将有利于公司业务规模的扩大和盈利能力的提升，有利于增加全体股东的权益。</w:t>
      </w:r>
    </w:p>
    <w:p w14:paraId="32D92F19" w14:textId="77777777" w:rsidR="002E5712" w:rsidRDefault="00000000">
      <w:pPr>
        <w:pStyle w:val="000"/>
        <w:rPr>
          <w:color w:val="000000"/>
          <w:lang w:eastAsia="zh-Hans"/>
        </w:rPr>
      </w:pPr>
      <w:r>
        <w:rPr>
          <w:color w:val="000000"/>
          <w:lang w:eastAsia="zh-Hans"/>
        </w:rPr>
        <w:t>本次向不特定对象发行可转换公司债券方案及相关文件在交易所网站及指定的信息披露媒体上进行披露，保证了全体股东的知情权。</w:t>
      </w:r>
    </w:p>
    <w:p w14:paraId="50F09E95" w14:textId="77777777" w:rsidR="002E5712" w:rsidRDefault="00000000">
      <w:pPr>
        <w:pStyle w:val="000"/>
        <w:rPr>
          <w:color w:val="000000"/>
          <w:lang w:eastAsia="zh-Hans"/>
        </w:rPr>
      </w:pPr>
      <w:r>
        <w:rPr>
          <w:color w:val="000000"/>
          <w:lang w:eastAsia="zh-Hans"/>
        </w:rPr>
        <w:t>综上所述，本次向不特定对象发行可转换公司债券方案已经过董事会审慎研究，认为该方案符合全体股东的利益，本次发行方案及相关文件已履行了相关披露程序，保障了股东的知情权，并且本次向不特定对象发行可转换公司债券方案已经</w:t>
      </w:r>
      <w:r>
        <w:rPr>
          <w:color w:val="000000"/>
          <w:lang w:eastAsia="zh-Hans"/>
        </w:rPr>
        <w:t>2023</w:t>
      </w:r>
      <w:r>
        <w:rPr>
          <w:color w:val="000000"/>
          <w:lang w:eastAsia="zh-Hans"/>
        </w:rPr>
        <w:t>年第一次临时股东大会和</w:t>
      </w:r>
      <w:r>
        <w:rPr>
          <w:color w:val="000000"/>
          <w:lang w:eastAsia="zh-Hans"/>
        </w:rPr>
        <w:t>2023</w:t>
      </w:r>
      <w:r>
        <w:rPr>
          <w:color w:val="000000"/>
          <w:lang w:eastAsia="zh-Hans"/>
        </w:rPr>
        <w:t>年第二次临时股东大会审议通过，本次方案的修订议案在股东大会上接受参会股东的公平表决，具备公平性和合理性。</w:t>
      </w:r>
    </w:p>
    <w:p w14:paraId="3A00A56D" w14:textId="77777777" w:rsidR="002E5712" w:rsidRDefault="00000000">
      <w:pPr>
        <w:keepNext/>
        <w:keepLines/>
        <w:spacing w:beforeLines="50" w:before="156" w:afterLines="50" w:after="156" w:line="360" w:lineRule="auto"/>
        <w:outlineLvl w:val="1"/>
        <w:rPr>
          <w:rFonts w:ascii="Times New Roman" w:hAnsi="Times New Roman"/>
          <w:b/>
          <w:sz w:val="24"/>
          <w:szCs w:val="24"/>
        </w:rPr>
      </w:pPr>
      <w:r>
        <w:rPr>
          <w:rFonts w:ascii="Times New Roman" w:hAnsi="Times New Roman"/>
          <w:b/>
          <w:sz w:val="24"/>
          <w:szCs w:val="24"/>
        </w:rPr>
        <w:t>七、本次向不特定对象发行可转换公司债</w:t>
      </w:r>
      <w:proofErr w:type="gramStart"/>
      <w:r>
        <w:rPr>
          <w:rFonts w:ascii="Times New Roman" w:hAnsi="Times New Roman"/>
          <w:b/>
          <w:sz w:val="24"/>
          <w:szCs w:val="24"/>
        </w:rPr>
        <w:t>券</w:t>
      </w:r>
      <w:proofErr w:type="gramEnd"/>
      <w:r>
        <w:rPr>
          <w:rFonts w:ascii="Times New Roman" w:hAnsi="Times New Roman"/>
          <w:b/>
          <w:sz w:val="24"/>
          <w:szCs w:val="24"/>
        </w:rPr>
        <w:t>摊薄即期回报对公司主要财务指标的潜在影响以及填补的具体措施</w:t>
      </w:r>
    </w:p>
    <w:p w14:paraId="45D724A2" w14:textId="77777777" w:rsidR="002E5712" w:rsidRDefault="00000000">
      <w:pPr>
        <w:pStyle w:val="000"/>
        <w:rPr>
          <w:color w:val="000000"/>
          <w:lang w:eastAsia="zh-Hans"/>
        </w:rPr>
      </w:pPr>
      <w:r>
        <w:rPr>
          <w:color w:val="000000"/>
          <w:lang w:eastAsia="zh-Hans"/>
        </w:rPr>
        <w:t>根据《国务院办公厅关于进一步加强资本市场中小投资者合法权益保护工作的意见》（国办发</w:t>
      </w:r>
      <w:r>
        <w:rPr>
          <w:color w:val="000000"/>
          <w:lang w:eastAsia="zh-Hans"/>
        </w:rPr>
        <w:t>[2013]110</w:t>
      </w:r>
      <w:r>
        <w:rPr>
          <w:color w:val="000000"/>
          <w:lang w:eastAsia="zh-Hans"/>
        </w:rPr>
        <w:t>号）《国务院关于进一步促进资本市场健康发展的若干意见》（国发</w:t>
      </w:r>
      <w:r>
        <w:rPr>
          <w:color w:val="000000"/>
          <w:lang w:eastAsia="zh-Hans"/>
        </w:rPr>
        <w:t>[2014]17</w:t>
      </w:r>
      <w:r>
        <w:rPr>
          <w:color w:val="000000"/>
          <w:lang w:eastAsia="zh-Hans"/>
        </w:rPr>
        <w:t>号）和《关于首发及再融资、重大资产重组摊薄即期回报有关事项的指导意见》（证监会公告</w:t>
      </w:r>
      <w:r>
        <w:rPr>
          <w:color w:val="000000"/>
          <w:lang w:eastAsia="zh-Hans"/>
        </w:rPr>
        <w:t>[2015]31</w:t>
      </w:r>
      <w:r>
        <w:rPr>
          <w:color w:val="000000"/>
          <w:lang w:eastAsia="zh-Hans"/>
        </w:rPr>
        <w:t>号）等文件的相关规定，为保障中小投资者知情权、维护中小投资者利益，公司就本次向不特定对象发行可转换公司债券事宜对即期回报摊薄的影响进行了分析，提出了具体的填补回报措施，公司控股股东、实际控制人及全体董事、高级管理人员对公司填补回报措施能够</w:t>
      </w:r>
      <w:r>
        <w:rPr>
          <w:color w:val="000000"/>
          <w:lang w:eastAsia="zh-Hans"/>
        </w:rPr>
        <w:lastRenderedPageBreak/>
        <w:t>得到切实履行做出了承诺。具体情况如下：</w:t>
      </w:r>
    </w:p>
    <w:p w14:paraId="69A5331D" w14:textId="77777777" w:rsidR="002E5712" w:rsidRDefault="00000000">
      <w:pPr>
        <w:keepNext/>
        <w:keepLines/>
        <w:widowControl/>
        <w:spacing w:beforeLines="50" w:before="156" w:afterLines="50" w:after="156" w:line="360" w:lineRule="auto"/>
        <w:jc w:val="left"/>
        <w:outlineLvl w:val="2"/>
        <w:rPr>
          <w:rFonts w:ascii="Times New Roman" w:hAnsi="Times New Roman"/>
          <w:b/>
          <w:bCs/>
          <w:color w:val="000000"/>
          <w:kern w:val="0"/>
          <w:sz w:val="24"/>
          <w:szCs w:val="24"/>
        </w:rPr>
      </w:pPr>
      <w:bookmarkStart w:id="8" w:name="_Toc5802771"/>
      <w:bookmarkStart w:id="9" w:name="_Toc21171"/>
      <w:bookmarkStart w:id="10" w:name="_Toc530673807"/>
      <w:bookmarkStart w:id="11" w:name="_Toc5125732"/>
      <w:bookmarkStart w:id="12" w:name="_Toc5802691"/>
      <w:bookmarkStart w:id="13" w:name="_Toc10015"/>
      <w:bookmarkStart w:id="14" w:name="_Toc83651124"/>
      <w:bookmarkStart w:id="15" w:name="_Toc33123750"/>
      <w:bookmarkStart w:id="16" w:name="_Toc30053"/>
      <w:bookmarkStart w:id="17" w:name="_Toc28192"/>
      <w:r>
        <w:rPr>
          <w:rFonts w:ascii="Times New Roman" w:hAnsi="Times New Roman"/>
          <w:b/>
          <w:bCs/>
          <w:color w:val="000000"/>
          <w:kern w:val="0"/>
          <w:sz w:val="24"/>
          <w:szCs w:val="24"/>
        </w:rPr>
        <w:t>（一）本次发行对公司主要财务指标的影响分析</w:t>
      </w:r>
    </w:p>
    <w:p w14:paraId="01A6DEB1" w14:textId="77777777" w:rsidR="002E5712" w:rsidRDefault="00000000">
      <w:pPr>
        <w:widowControl/>
        <w:spacing w:beforeLines="50" w:before="156" w:line="360" w:lineRule="auto"/>
        <w:ind w:firstLineChars="200" w:firstLine="482"/>
        <w:outlineLvl w:val="3"/>
        <w:rPr>
          <w:rFonts w:ascii="Times New Roman" w:hAnsi="Times New Roman"/>
          <w:b/>
          <w:kern w:val="0"/>
          <w:sz w:val="24"/>
          <w:szCs w:val="24"/>
        </w:rPr>
      </w:pPr>
      <w:r>
        <w:rPr>
          <w:rFonts w:ascii="Times New Roman" w:hAnsi="Times New Roman"/>
          <w:b/>
          <w:kern w:val="0"/>
          <w:sz w:val="24"/>
          <w:szCs w:val="24"/>
        </w:rPr>
        <w:t>1</w:t>
      </w:r>
      <w:r>
        <w:rPr>
          <w:rFonts w:ascii="Times New Roman" w:hAnsi="Times New Roman"/>
          <w:b/>
          <w:kern w:val="0"/>
          <w:sz w:val="24"/>
          <w:szCs w:val="24"/>
        </w:rPr>
        <w:t>、主要假设</w:t>
      </w:r>
      <w:bookmarkEnd w:id="8"/>
      <w:bookmarkEnd w:id="9"/>
      <w:bookmarkEnd w:id="10"/>
      <w:bookmarkEnd w:id="11"/>
      <w:bookmarkEnd w:id="12"/>
      <w:bookmarkEnd w:id="13"/>
      <w:bookmarkEnd w:id="14"/>
      <w:bookmarkEnd w:id="15"/>
      <w:bookmarkEnd w:id="16"/>
      <w:bookmarkEnd w:id="17"/>
      <w:r>
        <w:rPr>
          <w:rFonts w:ascii="Times New Roman" w:hAnsi="Times New Roman"/>
          <w:b/>
          <w:kern w:val="0"/>
          <w:sz w:val="24"/>
          <w:szCs w:val="24"/>
        </w:rPr>
        <w:t>和前提条件</w:t>
      </w:r>
    </w:p>
    <w:p w14:paraId="79B9E924"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bookmarkStart w:id="18" w:name="_Hlk132665871"/>
      <w:bookmarkStart w:id="19" w:name="_Toc5802692"/>
      <w:bookmarkStart w:id="20" w:name="_Toc530673808"/>
      <w:bookmarkStart w:id="21" w:name="_Toc83651125"/>
      <w:bookmarkStart w:id="22" w:name="_Toc5125733"/>
      <w:bookmarkStart w:id="23" w:name="_Toc11119"/>
      <w:bookmarkStart w:id="24" w:name="_Toc15048"/>
      <w:bookmarkStart w:id="25" w:name="_Toc30405"/>
      <w:bookmarkStart w:id="26" w:name="_Toc5802772"/>
      <w:bookmarkStart w:id="27" w:name="_Toc8181"/>
      <w:bookmarkStart w:id="28" w:name="_Toc33123751"/>
      <w:r>
        <w:rPr>
          <w:rFonts w:ascii="Times New Roman" w:hAnsi="Times New Roman"/>
          <w:sz w:val="24"/>
        </w:rPr>
        <w:t>1</w:t>
      </w:r>
      <w:r>
        <w:rPr>
          <w:rFonts w:ascii="Times New Roman" w:hAnsi="Times New Roman"/>
          <w:sz w:val="24"/>
        </w:rPr>
        <w:t>、假设宏观经济环境、产业政策、产品市场情况及公司经营环境等方面没有发生重大变化；</w:t>
      </w:r>
    </w:p>
    <w:p w14:paraId="6C31F6CC"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、假设本次发行可转换公司债</w:t>
      </w:r>
      <w:proofErr w:type="gramStart"/>
      <w:r>
        <w:rPr>
          <w:rFonts w:ascii="Times New Roman" w:hAnsi="Times New Roman"/>
          <w:sz w:val="24"/>
        </w:rPr>
        <w:t>券</w:t>
      </w:r>
      <w:proofErr w:type="gramEnd"/>
      <w:r>
        <w:rPr>
          <w:rFonts w:ascii="Times New Roman" w:hAnsi="Times New Roman"/>
          <w:sz w:val="24"/>
        </w:rPr>
        <w:t>募集资金总额为</w:t>
      </w:r>
      <w:r>
        <w:rPr>
          <w:rFonts w:ascii="Times New Roman" w:hAnsi="Times New Roman"/>
          <w:sz w:val="24"/>
        </w:rPr>
        <w:t>32,183.00</w:t>
      </w:r>
      <w:r>
        <w:rPr>
          <w:rFonts w:ascii="Times New Roman" w:hAnsi="Times New Roman"/>
          <w:sz w:val="24"/>
        </w:rPr>
        <w:t>万元，且不考虑发行费用的影响。本次可转换公司债</w:t>
      </w:r>
      <w:proofErr w:type="gramStart"/>
      <w:r>
        <w:rPr>
          <w:rFonts w:ascii="Times New Roman" w:hAnsi="Times New Roman"/>
          <w:sz w:val="24"/>
        </w:rPr>
        <w:t>券</w:t>
      </w:r>
      <w:proofErr w:type="gramEnd"/>
      <w:r>
        <w:rPr>
          <w:rFonts w:ascii="Times New Roman" w:hAnsi="Times New Roman"/>
          <w:sz w:val="24"/>
        </w:rPr>
        <w:t>发行实际到账的募集资金规模及时间将根据监管部门审核、发行认购情况以及发行费用等情况最终确定；</w:t>
      </w:r>
    </w:p>
    <w:p w14:paraId="53D5EB11"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、假设本次发行可转换公司债</w:t>
      </w:r>
      <w:proofErr w:type="gramStart"/>
      <w:r>
        <w:rPr>
          <w:rFonts w:ascii="Times New Roman" w:hAnsi="Times New Roman"/>
          <w:sz w:val="24"/>
        </w:rPr>
        <w:t>券</w:t>
      </w:r>
      <w:proofErr w:type="gramEnd"/>
      <w:r>
        <w:rPr>
          <w:rFonts w:ascii="Times New Roman" w:hAnsi="Times New Roman"/>
          <w:sz w:val="24"/>
        </w:rPr>
        <w:t>于</w:t>
      </w:r>
      <w:r>
        <w:rPr>
          <w:rFonts w:ascii="Times New Roman" w:hAnsi="Times New Roman"/>
          <w:sz w:val="24"/>
        </w:rPr>
        <w:t>2023</w:t>
      </w:r>
      <w:r>
        <w:rPr>
          <w:rFonts w:ascii="Times New Roman" w:hAnsi="Times New Roman"/>
          <w:sz w:val="24"/>
        </w:rPr>
        <w:t>年</w:t>
      </w:r>
      <w:r>
        <w:rPr>
          <w:rFonts w:ascii="Times New Roman" w:hAnsi="Times New Roman"/>
          <w:sz w:val="24"/>
        </w:rPr>
        <w:t>12</w:t>
      </w:r>
      <w:r>
        <w:rPr>
          <w:rFonts w:ascii="Times New Roman" w:hAnsi="Times New Roman"/>
          <w:sz w:val="24"/>
        </w:rPr>
        <w:t>月底实施完毕，于</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月底达到转股条件，且分别假设所有可转债持有人于</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日全部转股和</w:t>
      </w:r>
      <w:r>
        <w:rPr>
          <w:rFonts w:ascii="Times New Roman" w:hAnsi="Times New Roman"/>
          <w:sz w:val="24"/>
        </w:rPr>
        <w:t>2024</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日全部未转股两种情况。上述发行方案实施完毕的时间和转股完成时间仅用于测算本次可转换公司债</w:t>
      </w:r>
      <w:proofErr w:type="gramStart"/>
      <w:r>
        <w:rPr>
          <w:rFonts w:ascii="Times New Roman" w:hAnsi="Times New Roman"/>
          <w:sz w:val="24"/>
        </w:rPr>
        <w:t>券</w:t>
      </w:r>
      <w:proofErr w:type="gramEnd"/>
      <w:r>
        <w:rPr>
          <w:rFonts w:ascii="Times New Roman" w:hAnsi="Times New Roman"/>
          <w:sz w:val="24"/>
        </w:rPr>
        <w:t>发行摊薄即期回报对主要财务指标的影响，最终以经深圳证券交易所审核通过、并经中国证监会同意注册的发行数量和本次发行方案的实际完成时间及债券持有人完成转股的实际时间为准；</w:t>
      </w:r>
    </w:p>
    <w:p w14:paraId="50A7C7DD"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、在预测公司总股本时，</w:t>
      </w:r>
      <w:r w:rsidR="00133E13" w:rsidRPr="00133E13">
        <w:rPr>
          <w:rFonts w:ascii="Times New Roman" w:hAnsi="Times New Roman" w:hint="eastAsia"/>
          <w:sz w:val="24"/>
        </w:rPr>
        <w:t>以截至</w:t>
      </w:r>
      <w:r w:rsidR="00133E13" w:rsidRPr="00133E13">
        <w:rPr>
          <w:rFonts w:ascii="Times New Roman" w:hAnsi="Times New Roman" w:hint="eastAsia"/>
          <w:sz w:val="24"/>
        </w:rPr>
        <w:t>2023</w:t>
      </w:r>
      <w:r w:rsidR="00133E13" w:rsidRPr="00133E13">
        <w:rPr>
          <w:rFonts w:ascii="Times New Roman" w:hAnsi="Times New Roman" w:hint="eastAsia"/>
          <w:sz w:val="24"/>
        </w:rPr>
        <w:t>年</w:t>
      </w:r>
      <w:r w:rsidR="00133E13" w:rsidRPr="00133E13">
        <w:rPr>
          <w:rFonts w:ascii="Times New Roman" w:hAnsi="Times New Roman" w:hint="eastAsia"/>
          <w:sz w:val="24"/>
        </w:rPr>
        <w:t>4</w:t>
      </w:r>
      <w:r w:rsidR="00133E13" w:rsidRPr="00133E13">
        <w:rPr>
          <w:rFonts w:ascii="Times New Roman" w:hAnsi="Times New Roman" w:hint="eastAsia"/>
          <w:sz w:val="24"/>
        </w:rPr>
        <w:t>月</w:t>
      </w:r>
      <w:r w:rsidR="00133E13" w:rsidRPr="00133E13">
        <w:rPr>
          <w:rFonts w:ascii="Times New Roman" w:hAnsi="Times New Roman" w:hint="eastAsia"/>
          <w:sz w:val="24"/>
        </w:rPr>
        <w:t>20</w:t>
      </w:r>
      <w:r w:rsidR="00133E13" w:rsidRPr="00133E13">
        <w:rPr>
          <w:rFonts w:ascii="Times New Roman" w:hAnsi="Times New Roman" w:hint="eastAsia"/>
          <w:sz w:val="24"/>
        </w:rPr>
        <w:t>日公司总股本</w:t>
      </w:r>
      <w:r w:rsidR="00133E13" w:rsidRPr="00133E13">
        <w:rPr>
          <w:rFonts w:ascii="Times New Roman" w:hAnsi="Times New Roman" w:hint="eastAsia"/>
          <w:sz w:val="24"/>
        </w:rPr>
        <w:t>168,877,148</w:t>
      </w:r>
      <w:r w:rsidR="00133E13" w:rsidRPr="00133E13">
        <w:rPr>
          <w:rFonts w:ascii="Times New Roman" w:hAnsi="Times New Roman" w:hint="eastAsia"/>
          <w:sz w:val="24"/>
        </w:rPr>
        <w:t>股为基础</w:t>
      </w:r>
      <w:r>
        <w:rPr>
          <w:rFonts w:ascii="Times New Roman" w:hAnsi="Times New Roman"/>
          <w:sz w:val="24"/>
        </w:rPr>
        <w:t>，仅考虑本次发行完成并全部转股后的股票数对股本的影响，不考虑股权激励等其他因素导致股本发生的变化。假设除本次发行外，公司不会实施其他会对公司总股本发生影响或潜在影响的行为；</w:t>
      </w:r>
    </w:p>
    <w:p w14:paraId="4FAB3736"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5</w:t>
      </w:r>
      <w:r>
        <w:rPr>
          <w:rFonts w:ascii="Times New Roman" w:hAnsi="Times New Roman"/>
          <w:sz w:val="24"/>
        </w:rPr>
        <w:t>、假设本次可转债的转股价格为人民币</w:t>
      </w:r>
      <w:r>
        <w:rPr>
          <w:rFonts w:ascii="Times New Roman" w:hAnsi="Times New Roman"/>
          <w:sz w:val="24"/>
        </w:rPr>
        <w:t>13.65</w:t>
      </w:r>
      <w:r>
        <w:rPr>
          <w:rFonts w:ascii="Times New Roman" w:hAnsi="Times New Roman"/>
          <w:sz w:val="24"/>
        </w:rPr>
        <w:t>元</w:t>
      </w:r>
      <w:r>
        <w:rPr>
          <w:rFonts w:ascii="Times New Roman" w:hAnsi="Times New Roman"/>
          <w:sz w:val="24"/>
        </w:rPr>
        <w:t>/</w:t>
      </w:r>
      <w:r>
        <w:rPr>
          <w:rFonts w:ascii="Times New Roman" w:hAnsi="Times New Roman"/>
          <w:sz w:val="24"/>
        </w:rPr>
        <w:t>股，该价格为公司第四届董事会第十七次会议召开日（</w:t>
      </w:r>
      <w:r>
        <w:rPr>
          <w:rFonts w:ascii="Times New Roman" w:hAnsi="Times New Roman"/>
          <w:sz w:val="24"/>
        </w:rPr>
        <w:t>2023</w:t>
      </w:r>
      <w:r>
        <w:rPr>
          <w:rFonts w:ascii="Times New Roman" w:hAnsi="Times New Roman"/>
          <w:sz w:val="24"/>
        </w:rPr>
        <w:t>年</w:t>
      </w:r>
      <w:r>
        <w:rPr>
          <w:rFonts w:ascii="Times New Roman" w:hAnsi="Times New Roman"/>
          <w:sz w:val="24"/>
        </w:rPr>
        <w:t>1</w:t>
      </w:r>
      <w:r>
        <w:rPr>
          <w:rFonts w:ascii="Times New Roman" w:hAnsi="Times New Roman"/>
          <w:sz w:val="24"/>
        </w:rPr>
        <w:t>月</w:t>
      </w:r>
      <w:r>
        <w:rPr>
          <w:rFonts w:ascii="Times New Roman" w:hAnsi="Times New Roman"/>
          <w:sz w:val="24"/>
        </w:rPr>
        <w:t>16</w:t>
      </w:r>
      <w:r>
        <w:rPr>
          <w:rFonts w:ascii="Times New Roman" w:hAnsi="Times New Roman"/>
          <w:sz w:val="24"/>
        </w:rPr>
        <w:t>日）前二十个交易日交易均价与前一交易日交易均价的较高者，转股数量上限约为</w:t>
      </w:r>
      <w:r>
        <w:rPr>
          <w:rFonts w:ascii="Times New Roman" w:hAnsi="Times New Roman"/>
          <w:sz w:val="24"/>
        </w:rPr>
        <w:t>23,577,289</w:t>
      </w:r>
      <w:r>
        <w:rPr>
          <w:rFonts w:ascii="Times New Roman" w:hAnsi="Times New Roman"/>
          <w:sz w:val="24"/>
        </w:rPr>
        <w:t>股。（该转</w:t>
      </w:r>
      <w:proofErr w:type="gramStart"/>
      <w:r>
        <w:rPr>
          <w:rFonts w:ascii="Times New Roman" w:hAnsi="Times New Roman"/>
          <w:sz w:val="24"/>
        </w:rPr>
        <w:t>股价格仅用于</w:t>
      </w:r>
      <w:proofErr w:type="gramEnd"/>
      <w:r>
        <w:rPr>
          <w:rFonts w:ascii="Times New Roman" w:hAnsi="Times New Roman"/>
          <w:sz w:val="24"/>
        </w:rPr>
        <w:t>计算本次发行摊薄即期回报对公司主要财务指标的影响，最终的转股价格由公司董事会根据股东大会授权，在发行前根据市场状况和公司具体情况与保荐机构（主承销商）协商确定，并可能进行除权、除息调整或向下修正）；</w:t>
      </w:r>
    </w:p>
    <w:p w14:paraId="7671E8DB"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6</w:t>
      </w:r>
      <w:r>
        <w:rPr>
          <w:rFonts w:ascii="Times New Roman" w:hAnsi="Times New Roman"/>
          <w:sz w:val="24"/>
        </w:rPr>
        <w:t>、根据公司</w:t>
      </w:r>
      <w:r>
        <w:rPr>
          <w:rFonts w:ascii="Times New Roman" w:hAnsi="Times New Roman"/>
          <w:sz w:val="24"/>
        </w:rPr>
        <w:t>2022</w:t>
      </w:r>
      <w:r>
        <w:rPr>
          <w:rFonts w:ascii="Times New Roman" w:hAnsi="Times New Roman"/>
          <w:sz w:val="24"/>
        </w:rPr>
        <w:t>年度股东大会审议通过的《关于</w:t>
      </w:r>
      <w:r>
        <w:rPr>
          <w:rFonts w:ascii="Times New Roman" w:hAnsi="Times New Roman"/>
          <w:sz w:val="24"/>
        </w:rPr>
        <w:t>2022</w:t>
      </w:r>
      <w:r>
        <w:rPr>
          <w:rFonts w:ascii="Times New Roman" w:hAnsi="Times New Roman"/>
          <w:sz w:val="24"/>
        </w:rPr>
        <w:t>年度利润分配及资本公积金转增股本预案的议案》，公司</w:t>
      </w:r>
      <w:r>
        <w:rPr>
          <w:rFonts w:ascii="Times New Roman" w:hAnsi="Times New Roman"/>
          <w:sz w:val="24"/>
        </w:rPr>
        <w:t>2022</w:t>
      </w:r>
      <w:r>
        <w:rPr>
          <w:rFonts w:ascii="Times New Roman" w:hAnsi="Times New Roman"/>
          <w:sz w:val="24"/>
        </w:rPr>
        <w:t>年度派发现金红利为</w:t>
      </w:r>
      <w:r>
        <w:rPr>
          <w:rFonts w:ascii="Times New Roman" w:hAnsi="Times New Roman"/>
          <w:sz w:val="24"/>
        </w:rPr>
        <w:t>50,663,144.40</w:t>
      </w:r>
      <w:r>
        <w:rPr>
          <w:rFonts w:ascii="Times New Roman" w:hAnsi="Times New Roman"/>
          <w:sz w:val="24"/>
        </w:rPr>
        <w:t>元（含税）。不考虑公司</w:t>
      </w:r>
      <w:r>
        <w:rPr>
          <w:rFonts w:ascii="Times New Roman" w:hAnsi="Times New Roman"/>
          <w:sz w:val="24"/>
        </w:rPr>
        <w:t>2022</w:t>
      </w:r>
      <w:r>
        <w:rPr>
          <w:rFonts w:ascii="Times New Roman" w:hAnsi="Times New Roman"/>
          <w:sz w:val="24"/>
        </w:rPr>
        <w:t>年度资本公积金转增股本的影响，不考虑公司</w:t>
      </w:r>
      <w:r>
        <w:rPr>
          <w:rFonts w:ascii="Times New Roman" w:hAnsi="Times New Roman"/>
          <w:sz w:val="24"/>
        </w:rPr>
        <w:t>2023</w:t>
      </w:r>
      <w:r>
        <w:rPr>
          <w:rFonts w:ascii="Times New Roman" w:hAnsi="Times New Roman"/>
          <w:sz w:val="24"/>
        </w:rPr>
        <w:t>年度利润分配因素的影响；</w:t>
      </w:r>
    </w:p>
    <w:p w14:paraId="0AFF1C63"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lastRenderedPageBreak/>
        <w:t>7</w:t>
      </w:r>
      <w:r>
        <w:rPr>
          <w:rFonts w:ascii="Times New Roman" w:hAnsi="Times New Roman"/>
          <w:sz w:val="24"/>
        </w:rPr>
        <w:t>、根据公司</w:t>
      </w:r>
      <w:r>
        <w:rPr>
          <w:rFonts w:ascii="Times New Roman" w:hAnsi="Times New Roman"/>
          <w:sz w:val="24"/>
        </w:rPr>
        <w:t>2022</w:t>
      </w:r>
      <w:r>
        <w:rPr>
          <w:rFonts w:ascii="Times New Roman" w:hAnsi="Times New Roman"/>
          <w:sz w:val="24"/>
        </w:rPr>
        <w:t>年报，公司</w:t>
      </w:r>
      <w:r>
        <w:rPr>
          <w:rFonts w:ascii="Times New Roman" w:hAnsi="Times New Roman"/>
          <w:sz w:val="24"/>
        </w:rPr>
        <w:t>2022</w:t>
      </w:r>
      <w:r>
        <w:rPr>
          <w:rFonts w:ascii="Times New Roman" w:hAnsi="Times New Roman"/>
          <w:sz w:val="24"/>
        </w:rPr>
        <w:t>年年度归属于母公司股东的净利润为</w:t>
      </w:r>
      <w:r>
        <w:rPr>
          <w:rFonts w:ascii="Times New Roman" w:hAnsi="Times New Roman"/>
          <w:sz w:val="24"/>
        </w:rPr>
        <w:t>136,205,068.76</w:t>
      </w:r>
      <w:r>
        <w:rPr>
          <w:rFonts w:ascii="Times New Roman" w:hAnsi="Times New Roman"/>
          <w:sz w:val="24"/>
        </w:rPr>
        <w:t>元，扣除非经常性损益后归属于母公司股东的净利润为</w:t>
      </w:r>
      <w:r>
        <w:rPr>
          <w:rFonts w:ascii="Times New Roman" w:hAnsi="Times New Roman"/>
          <w:sz w:val="24"/>
        </w:rPr>
        <w:t>97,939,171.27</w:t>
      </w:r>
      <w:r>
        <w:rPr>
          <w:rFonts w:ascii="Times New Roman" w:hAnsi="Times New Roman"/>
          <w:sz w:val="24"/>
        </w:rPr>
        <w:t>元；</w:t>
      </w:r>
    </w:p>
    <w:p w14:paraId="77F0BB22"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2023</w:t>
      </w:r>
      <w:r>
        <w:rPr>
          <w:rFonts w:ascii="Times New Roman" w:hAnsi="Times New Roman"/>
          <w:sz w:val="24"/>
        </w:rPr>
        <w:t>年度、</w:t>
      </w:r>
      <w:r>
        <w:rPr>
          <w:rFonts w:ascii="Times New Roman" w:hAnsi="Times New Roman"/>
          <w:sz w:val="24"/>
        </w:rPr>
        <w:t>2024</w:t>
      </w:r>
      <w:r>
        <w:rPr>
          <w:rFonts w:ascii="Times New Roman" w:hAnsi="Times New Roman"/>
          <w:sz w:val="24"/>
        </w:rPr>
        <w:t>年度归属于上市公司股东的扣除非经常性损益前</w:t>
      </w:r>
      <w:r>
        <w:rPr>
          <w:rFonts w:ascii="Times New Roman" w:hAnsi="Times New Roman"/>
          <w:sz w:val="24"/>
        </w:rPr>
        <w:t>/</w:t>
      </w:r>
      <w:r>
        <w:rPr>
          <w:rFonts w:ascii="Times New Roman" w:hAnsi="Times New Roman"/>
          <w:sz w:val="24"/>
        </w:rPr>
        <w:t>后的净利润分别按以下三种情况进行测算：（</w:t>
      </w:r>
      <w:r>
        <w:rPr>
          <w:rFonts w:ascii="Times New Roman" w:hAnsi="Times New Roman"/>
          <w:sz w:val="24"/>
        </w:rPr>
        <w:t>1</w:t>
      </w:r>
      <w:r>
        <w:rPr>
          <w:rFonts w:ascii="Times New Roman" w:hAnsi="Times New Roman"/>
          <w:sz w:val="24"/>
        </w:rPr>
        <w:t>）同比增长</w:t>
      </w:r>
      <w:r>
        <w:rPr>
          <w:rFonts w:ascii="Times New Roman" w:hAnsi="Times New Roman"/>
          <w:sz w:val="24"/>
        </w:rPr>
        <w:t>15%</w:t>
      </w:r>
      <w:r>
        <w:rPr>
          <w:rFonts w:ascii="Times New Roman" w:hAnsi="Times New Roman"/>
          <w:sz w:val="24"/>
        </w:rPr>
        <w:t>；（</w:t>
      </w:r>
      <w:r>
        <w:rPr>
          <w:rFonts w:ascii="Times New Roman" w:hAnsi="Times New Roman"/>
          <w:sz w:val="24"/>
        </w:rPr>
        <w:t>2</w:t>
      </w:r>
      <w:r>
        <w:rPr>
          <w:rFonts w:ascii="Times New Roman" w:hAnsi="Times New Roman"/>
          <w:sz w:val="24"/>
        </w:rPr>
        <w:t>）同比持平；（</w:t>
      </w:r>
      <w:r>
        <w:rPr>
          <w:rFonts w:ascii="Times New Roman" w:hAnsi="Times New Roman"/>
          <w:sz w:val="24"/>
        </w:rPr>
        <w:t>3</w:t>
      </w:r>
      <w:r>
        <w:rPr>
          <w:rFonts w:ascii="Times New Roman" w:hAnsi="Times New Roman"/>
          <w:sz w:val="24"/>
        </w:rPr>
        <w:t>）同比下降</w:t>
      </w:r>
      <w:r>
        <w:rPr>
          <w:rFonts w:ascii="Times New Roman" w:hAnsi="Times New Roman"/>
          <w:sz w:val="24"/>
        </w:rPr>
        <w:t>15%</w:t>
      </w:r>
      <w:r>
        <w:rPr>
          <w:rFonts w:ascii="Times New Roman" w:hAnsi="Times New Roman"/>
          <w:sz w:val="24"/>
        </w:rPr>
        <w:t>。上述假设仅用于计算本次发行</w:t>
      </w:r>
      <w:proofErr w:type="gramStart"/>
      <w:r>
        <w:rPr>
          <w:rFonts w:ascii="Times New Roman" w:hAnsi="Times New Roman"/>
          <w:sz w:val="24"/>
        </w:rPr>
        <w:t>可转债摊薄</w:t>
      </w:r>
      <w:proofErr w:type="gramEnd"/>
      <w:r>
        <w:rPr>
          <w:rFonts w:ascii="Times New Roman" w:hAnsi="Times New Roman"/>
          <w:sz w:val="24"/>
        </w:rPr>
        <w:t>即期回报对公司主要财务指标的影响，并不代表公司对未来经营情况及趋势的判断，亦不构成公司盈利预测，盈利情况及所有者权益数据最终以会计师事务所审计的金额为准；</w:t>
      </w:r>
    </w:p>
    <w:p w14:paraId="6947F7E4"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8</w:t>
      </w:r>
      <w:r>
        <w:rPr>
          <w:rFonts w:ascii="Times New Roman" w:hAnsi="Times New Roman"/>
          <w:sz w:val="24"/>
        </w:rPr>
        <w:t>、假设</w:t>
      </w:r>
      <w:r>
        <w:rPr>
          <w:rFonts w:ascii="Times New Roman" w:hAnsi="Times New Roman"/>
          <w:sz w:val="24"/>
        </w:rPr>
        <w:t>2023</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日归属于母公司所有者权益</w:t>
      </w:r>
      <w:r>
        <w:rPr>
          <w:rFonts w:ascii="Times New Roman" w:hAnsi="Times New Roman"/>
          <w:sz w:val="24"/>
        </w:rPr>
        <w:t>=2023</w:t>
      </w:r>
      <w:r>
        <w:rPr>
          <w:rFonts w:ascii="Times New Roman" w:hAnsi="Times New Roman"/>
          <w:sz w:val="24"/>
        </w:rPr>
        <w:t>年期初归属于母公司所有者权益＋</w:t>
      </w:r>
      <w:r>
        <w:rPr>
          <w:rFonts w:ascii="Times New Roman" w:hAnsi="Times New Roman"/>
          <w:sz w:val="24"/>
        </w:rPr>
        <w:t>2023</w:t>
      </w:r>
      <w:r>
        <w:rPr>
          <w:rFonts w:ascii="Times New Roman" w:hAnsi="Times New Roman"/>
          <w:sz w:val="24"/>
        </w:rPr>
        <w:t>年归属于母公司所有者的净利润－当期现金分红金额；</w:t>
      </w:r>
    </w:p>
    <w:p w14:paraId="08FDDF71"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假设</w:t>
      </w:r>
      <w:r>
        <w:rPr>
          <w:rFonts w:ascii="Times New Roman" w:hAnsi="Times New Roman"/>
          <w:sz w:val="24"/>
        </w:rPr>
        <w:t>2024</w:t>
      </w:r>
      <w:r>
        <w:rPr>
          <w:rFonts w:ascii="Times New Roman" w:hAnsi="Times New Roman"/>
          <w:sz w:val="24"/>
        </w:rPr>
        <w:t>年</w:t>
      </w:r>
      <w:r>
        <w:rPr>
          <w:rFonts w:ascii="Times New Roman" w:hAnsi="Times New Roman"/>
          <w:sz w:val="24"/>
        </w:rPr>
        <w:t>12</w:t>
      </w:r>
      <w:r>
        <w:rPr>
          <w:rFonts w:ascii="Times New Roman" w:hAnsi="Times New Roman"/>
          <w:sz w:val="24"/>
        </w:rPr>
        <w:t>月</w:t>
      </w:r>
      <w:r>
        <w:rPr>
          <w:rFonts w:ascii="Times New Roman" w:hAnsi="Times New Roman"/>
          <w:sz w:val="24"/>
        </w:rPr>
        <w:t>31</w:t>
      </w:r>
      <w:r>
        <w:rPr>
          <w:rFonts w:ascii="Times New Roman" w:hAnsi="Times New Roman"/>
          <w:sz w:val="24"/>
        </w:rPr>
        <w:t>日归属于母公司所有者权益</w:t>
      </w:r>
      <w:r>
        <w:rPr>
          <w:rFonts w:ascii="Times New Roman" w:hAnsi="Times New Roman"/>
          <w:sz w:val="24"/>
        </w:rPr>
        <w:t>=2024</w:t>
      </w:r>
      <w:r>
        <w:rPr>
          <w:rFonts w:ascii="Times New Roman" w:hAnsi="Times New Roman"/>
          <w:sz w:val="24"/>
        </w:rPr>
        <w:t>年期初归属于母公司所有者权益＋</w:t>
      </w:r>
      <w:r>
        <w:rPr>
          <w:rFonts w:ascii="Times New Roman" w:hAnsi="Times New Roman"/>
          <w:sz w:val="24"/>
        </w:rPr>
        <w:t>2024</w:t>
      </w:r>
      <w:r>
        <w:rPr>
          <w:rFonts w:ascii="Times New Roman" w:hAnsi="Times New Roman"/>
          <w:sz w:val="24"/>
        </w:rPr>
        <w:t>年归属于母公司所有者的净利润；</w:t>
      </w:r>
    </w:p>
    <w:p w14:paraId="0E719DF6"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9</w:t>
      </w:r>
      <w:r>
        <w:rPr>
          <w:rFonts w:ascii="Times New Roman" w:hAnsi="Times New Roman"/>
          <w:sz w:val="24"/>
        </w:rPr>
        <w:t>、在预测公司发行后净资产时，未考虑除募集资金和净利润之外的其他因素对净资产的影响；</w:t>
      </w:r>
    </w:p>
    <w:p w14:paraId="37C5AAC7"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10</w:t>
      </w:r>
      <w:r>
        <w:rPr>
          <w:rFonts w:ascii="Times New Roman" w:hAnsi="Times New Roman"/>
          <w:sz w:val="24"/>
        </w:rPr>
        <w:t>、假设不考虑本次可转债票面利率的影响，仅为模拟测算需要，不构成对实际票面利率的数值预测；</w:t>
      </w:r>
    </w:p>
    <w:p w14:paraId="353567EA"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11</w:t>
      </w:r>
      <w:r>
        <w:rPr>
          <w:rFonts w:ascii="Times New Roman" w:hAnsi="Times New Roman"/>
          <w:sz w:val="24"/>
        </w:rPr>
        <w:t>、假设本次可转债在发行完成后全部以负债项目在财务报表中列示。该假设仅为模拟测算财务指标使用，具体情况以发行完成后的实际会计处理为准。</w:t>
      </w:r>
    </w:p>
    <w:p w14:paraId="5CE04AC2" w14:textId="77777777" w:rsidR="002E5712" w:rsidRDefault="00000000">
      <w:pPr>
        <w:autoSpaceDE w:val="0"/>
        <w:autoSpaceDN w:val="0"/>
        <w:adjustRightInd w:val="0"/>
        <w:spacing w:before="50" w:line="360" w:lineRule="auto"/>
        <w:ind w:firstLineChars="200" w:firstLine="480"/>
        <w:rPr>
          <w:rFonts w:ascii="Times New Roman" w:hAnsi="Times New Roman"/>
          <w:sz w:val="24"/>
        </w:rPr>
      </w:pPr>
      <w:r>
        <w:rPr>
          <w:rFonts w:ascii="Times New Roman" w:hAnsi="Times New Roman"/>
          <w:sz w:val="24"/>
        </w:rPr>
        <w:t>上述假设仅为测算本次发行摊薄即期回报对公司主要财务指标的影响，不代表公司对</w:t>
      </w:r>
      <w:r>
        <w:rPr>
          <w:rFonts w:ascii="Times New Roman" w:hAnsi="Times New Roman"/>
          <w:sz w:val="24"/>
        </w:rPr>
        <w:t>2023</w:t>
      </w:r>
      <w:r>
        <w:rPr>
          <w:rFonts w:ascii="Times New Roman" w:hAnsi="Times New Roman"/>
          <w:sz w:val="24"/>
        </w:rPr>
        <w:t>年度及</w:t>
      </w:r>
      <w:r>
        <w:rPr>
          <w:rFonts w:ascii="Times New Roman" w:hAnsi="Times New Roman"/>
          <w:sz w:val="24"/>
        </w:rPr>
        <w:t>2024</w:t>
      </w:r>
      <w:r>
        <w:rPr>
          <w:rFonts w:ascii="Times New Roman" w:hAnsi="Times New Roman"/>
          <w:sz w:val="24"/>
        </w:rPr>
        <w:t>年度经营情况及趋势的判断，亦不构成任何盈利预测及承诺事项。投资者不应据此进行投资决策，投资者据此进行投资决策造成损失的，公司不承担赔偿责任。</w:t>
      </w:r>
    </w:p>
    <w:bookmarkEnd w:id="18"/>
    <w:p w14:paraId="23A0CAA5" w14:textId="77777777" w:rsidR="002E5712" w:rsidRDefault="00000000">
      <w:pPr>
        <w:widowControl/>
        <w:spacing w:beforeLines="50" w:before="156" w:line="360" w:lineRule="auto"/>
        <w:ind w:firstLineChars="200" w:firstLine="482"/>
        <w:outlineLvl w:val="3"/>
        <w:rPr>
          <w:rFonts w:ascii="Times New Roman" w:hAnsi="Times New Roman"/>
          <w:b/>
          <w:kern w:val="0"/>
          <w:sz w:val="24"/>
          <w:szCs w:val="24"/>
        </w:rPr>
      </w:pPr>
      <w:r>
        <w:rPr>
          <w:rFonts w:ascii="Times New Roman" w:hAnsi="Times New Roman"/>
          <w:b/>
          <w:kern w:val="0"/>
          <w:sz w:val="24"/>
          <w:szCs w:val="24"/>
        </w:rPr>
        <w:t>2</w:t>
      </w:r>
      <w:r>
        <w:rPr>
          <w:rFonts w:ascii="Times New Roman" w:hAnsi="Times New Roman"/>
          <w:b/>
          <w:kern w:val="0"/>
          <w:sz w:val="24"/>
          <w:szCs w:val="24"/>
        </w:rPr>
        <w:t>、对公司主要财务指标的影响</w:t>
      </w:r>
      <w:bookmarkEnd w:id="19"/>
      <w:bookmarkEnd w:id="20"/>
      <w:bookmarkEnd w:id="21"/>
      <w:bookmarkEnd w:id="22"/>
      <w:bookmarkEnd w:id="23"/>
      <w:bookmarkEnd w:id="24"/>
      <w:bookmarkEnd w:id="25"/>
      <w:bookmarkEnd w:id="26"/>
      <w:bookmarkEnd w:id="27"/>
      <w:bookmarkEnd w:id="28"/>
    </w:p>
    <w:p w14:paraId="6A8AF16F" w14:textId="77777777" w:rsidR="002E5712" w:rsidRDefault="00000000">
      <w:pPr>
        <w:pStyle w:val="000"/>
        <w:rPr>
          <w:color w:val="000000"/>
          <w:lang w:eastAsia="zh-Hans"/>
        </w:rPr>
      </w:pPr>
      <w:r>
        <w:rPr>
          <w:color w:val="000000"/>
          <w:lang w:eastAsia="zh-Hans"/>
        </w:rPr>
        <w:t>基于上述假设，公司测算了本次发行摊薄即期回报对每股收益的影响，具体情况如下：</w:t>
      </w:r>
    </w:p>
    <w:tbl>
      <w:tblPr>
        <w:tblW w:w="115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000" w:firstRow="0" w:lastRow="0" w:firstColumn="0" w:lastColumn="0" w:noHBand="0" w:noVBand="0"/>
      </w:tblPr>
      <w:tblGrid>
        <w:gridCol w:w="2917"/>
        <w:gridCol w:w="1873"/>
        <w:gridCol w:w="2266"/>
        <w:gridCol w:w="10"/>
        <w:gridCol w:w="2256"/>
        <w:gridCol w:w="2266"/>
      </w:tblGrid>
      <w:tr w:rsidR="002E5712" w14:paraId="698BA07A" w14:textId="77777777">
        <w:trPr>
          <w:trHeight w:val="397"/>
          <w:tblHeader/>
          <w:jc w:val="center"/>
        </w:trPr>
        <w:tc>
          <w:tcPr>
            <w:tcW w:w="2917" w:type="dxa"/>
            <w:vMerge w:val="restart"/>
            <w:shd w:val="clear" w:color="auto" w:fill="D9D9D9"/>
            <w:vAlign w:val="center"/>
          </w:tcPr>
          <w:p w14:paraId="6F5D12D4" w14:textId="77777777" w:rsidR="002E5712" w:rsidRDefault="00000000">
            <w:pPr>
              <w:jc w:val="center"/>
              <w:rPr>
                <w:rFonts w:ascii="Times New Roman" w:hAnsi="Times New Roman"/>
                <w:b/>
                <w:bCs/>
                <w:color w:val="000000"/>
                <w:kern w:val="0"/>
                <w:szCs w:val="21"/>
              </w:rPr>
            </w:pPr>
            <w:bookmarkStart w:id="29" w:name="_Hlk132666045"/>
            <w:r>
              <w:rPr>
                <w:rFonts w:ascii="Times New Roman" w:hAnsi="Times New Roman"/>
                <w:b/>
                <w:bCs/>
                <w:color w:val="000000"/>
                <w:kern w:val="0"/>
                <w:szCs w:val="21"/>
              </w:rPr>
              <w:t>项目</w:t>
            </w:r>
          </w:p>
        </w:tc>
        <w:tc>
          <w:tcPr>
            <w:tcW w:w="1873" w:type="dxa"/>
            <w:vMerge w:val="restart"/>
            <w:shd w:val="clear" w:color="auto" w:fill="D9D9D9"/>
            <w:vAlign w:val="center"/>
          </w:tcPr>
          <w:p w14:paraId="60A8313F" w14:textId="77777777" w:rsidR="002E5712" w:rsidRDefault="00000000">
            <w:pPr>
              <w:jc w:val="center"/>
              <w:rPr>
                <w:rFonts w:ascii="Times New Roman" w:hAnsi="Times New Roman"/>
                <w:b/>
                <w:bCs/>
                <w:color w:val="000000"/>
                <w:kern w:val="0"/>
                <w:szCs w:val="21"/>
              </w:rPr>
            </w:pPr>
            <w:r>
              <w:rPr>
                <w:rFonts w:ascii="Times New Roman" w:hAnsi="Times New Roman"/>
                <w:b/>
                <w:bCs/>
                <w:color w:val="000000"/>
                <w:kern w:val="0"/>
                <w:szCs w:val="21"/>
              </w:rPr>
              <w:t>2022</w:t>
            </w:r>
            <w:r>
              <w:rPr>
                <w:rFonts w:ascii="Times New Roman" w:hAnsi="Times New Roman"/>
                <w:b/>
                <w:bCs/>
                <w:color w:val="000000"/>
                <w:kern w:val="0"/>
                <w:szCs w:val="21"/>
              </w:rPr>
              <w:t>年度</w:t>
            </w:r>
            <w:r>
              <w:rPr>
                <w:rFonts w:ascii="Times New Roman" w:hAnsi="Times New Roman"/>
                <w:b/>
                <w:bCs/>
                <w:color w:val="000000"/>
                <w:kern w:val="0"/>
                <w:szCs w:val="21"/>
              </w:rPr>
              <w:t>/2022</w:t>
            </w:r>
            <w:r>
              <w:rPr>
                <w:rFonts w:ascii="Times New Roman" w:hAnsi="Times New Roman"/>
                <w:b/>
                <w:bCs/>
                <w:color w:val="000000"/>
                <w:kern w:val="0"/>
                <w:szCs w:val="21"/>
              </w:rPr>
              <w:t>年</w:t>
            </w:r>
            <w:r>
              <w:rPr>
                <w:rFonts w:ascii="Times New Roman" w:hAnsi="Times New Roman"/>
                <w:b/>
                <w:bCs/>
                <w:color w:val="000000"/>
                <w:kern w:val="0"/>
                <w:szCs w:val="21"/>
              </w:rPr>
              <w:t>12</w:t>
            </w:r>
            <w:r>
              <w:rPr>
                <w:rFonts w:ascii="Times New Roman" w:hAnsi="Times New Roman"/>
                <w:b/>
                <w:bCs/>
                <w:color w:val="000000"/>
                <w:kern w:val="0"/>
                <w:szCs w:val="21"/>
              </w:rPr>
              <w:t>月</w:t>
            </w:r>
            <w:r>
              <w:rPr>
                <w:rFonts w:ascii="Times New Roman" w:hAnsi="Times New Roman"/>
                <w:b/>
                <w:bCs/>
                <w:color w:val="000000"/>
                <w:kern w:val="0"/>
                <w:szCs w:val="21"/>
              </w:rPr>
              <w:t>31</w:t>
            </w:r>
            <w:r>
              <w:rPr>
                <w:rFonts w:ascii="Times New Roman" w:hAnsi="Times New Roman"/>
                <w:b/>
                <w:bCs/>
                <w:color w:val="000000"/>
                <w:kern w:val="0"/>
                <w:szCs w:val="21"/>
              </w:rPr>
              <w:t>日</w:t>
            </w:r>
          </w:p>
        </w:tc>
        <w:tc>
          <w:tcPr>
            <w:tcW w:w="2276" w:type="dxa"/>
            <w:gridSpan w:val="2"/>
            <w:vMerge w:val="restart"/>
            <w:shd w:val="clear" w:color="auto" w:fill="D9D9D9"/>
            <w:vAlign w:val="center"/>
          </w:tcPr>
          <w:p w14:paraId="2F761CD2" w14:textId="77777777" w:rsidR="002E5712" w:rsidRDefault="00000000">
            <w:pPr>
              <w:rPr>
                <w:rFonts w:ascii="Times New Roman" w:hAnsi="Times New Roman"/>
                <w:b/>
                <w:bCs/>
                <w:color w:val="000000"/>
                <w:kern w:val="0"/>
                <w:szCs w:val="21"/>
              </w:rPr>
            </w:pPr>
            <w:r>
              <w:rPr>
                <w:rFonts w:ascii="Times New Roman" w:hAnsi="Times New Roman"/>
                <w:b/>
                <w:bCs/>
                <w:color w:val="000000"/>
                <w:kern w:val="0"/>
                <w:szCs w:val="21"/>
              </w:rPr>
              <w:t>2023</w:t>
            </w:r>
            <w:r>
              <w:rPr>
                <w:rFonts w:ascii="Times New Roman" w:hAnsi="Times New Roman"/>
                <w:b/>
                <w:bCs/>
                <w:color w:val="000000"/>
                <w:kern w:val="0"/>
                <w:szCs w:val="21"/>
              </w:rPr>
              <w:t>年度</w:t>
            </w:r>
            <w:r>
              <w:rPr>
                <w:rFonts w:ascii="Times New Roman" w:hAnsi="Times New Roman"/>
                <w:b/>
                <w:bCs/>
                <w:color w:val="000000"/>
                <w:kern w:val="0"/>
                <w:szCs w:val="21"/>
              </w:rPr>
              <w:t>/2023</w:t>
            </w:r>
            <w:r>
              <w:rPr>
                <w:rFonts w:ascii="Times New Roman" w:hAnsi="Times New Roman"/>
                <w:b/>
                <w:bCs/>
                <w:color w:val="000000"/>
                <w:kern w:val="0"/>
                <w:szCs w:val="21"/>
              </w:rPr>
              <w:t>年</w:t>
            </w:r>
            <w:r>
              <w:rPr>
                <w:rFonts w:ascii="Times New Roman" w:hAnsi="Times New Roman"/>
                <w:b/>
                <w:bCs/>
                <w:color w:val="000000"/>
                <w:kern w:val="0"/>
                <w:szCs w:val="21"/>
              </w:rPr>
              <w:t>12</w:t>
            </w:r>
            <w:r>
              <w:rPr>
                <w:rFonts w:ascii="Times New Roman" w:hAnsi="Times New Roman"/>
                <w:b/>
                <w:bCs/>
                <w:color w:val="000000"/>
                <w:kern w:val="0"/>
                <w:szCs w:val="21"/>
              </w:rPr>
              <w:t>月</w:t>
            </w:r>
            <w:r>
              <w:rPr>
                <w:rFonts w:ascii="Times New Roman" w:hAnsi="Times New Roman"/>
                <w:b/>
                <w:bCs/>
                <w:color w:val="000000"/>
                <w:kern w:val="0"/>
                <w:szCs w:val="21"/>
              </w:rPr>
              <w:t>31</w:t>
            </w:r>
            <w:r>
              <w:rPr>
                <w:rFonts w:ascii="Times New Roman" w:hAnsi="Times New Roman"/>
                <w:b/>
                <w:bCs/>
                <w:color w:val="000000"/>
                <w:kern w:val="0"/>
                <w:szCs w:val="21"/>
              </w:rPr>
              <w:t>日</w:t>
            </w:r>
          </w:p>
        </w:tc>
        <w:tc>
          <w:tcPr>
            <w:tcW w:w="4522" w:type="dxa"/>
            <w:gridSpan w:val="2"/>
            <w:shd w:val="clear" w:color="auto" w:fill="D9D9D9"/>
            <w:vAlign w:val="center"/>
          </w:tcPr>
          <w:p w14:paraId="613C8372" w14:textId="77777777" w:rsidR="002E5712" w:rsidRDefault="00000000">
            <w:pPr>
              <w:widowControl/>
              <w:jc w:val="center"/>
              <w:rPr>
                <w:rFonts w:ascii="Times New Roman" w:hAnsi="Times New Roman"/>
                <w:b/>
                <w:bCs/>
                <w:color w:val="000000"/>
                <w:kern w:val="0"/>
                <w:szCs w:val="21"/>
              </w:rPr>
            </w:pPr>
            <w:r>
              <w:rPr>
                <w:rFonts w:ascii="Times New Roman" w:hAnsi="Times New Roman"/>
                <w:b/>
                <w:bCs/>
                <w:color w:val="000000"/>
                <w:kern w:val="0"/>
                <w:szCs w:val="21"/>
              </w:rPr>
              <w:t>2024</w:t>
            </w:r>
            <w:r>
              <w:rPr>
                <w:rFonts w:ascii="Times New Roman" w:hAnsi="Times New Roman"/>
                <w:b/>
                <w:bCs/>
                <w:color w:val="000000"/>
                <w:kern w:val="0"/>
                <w:szCs w:val="21"/>
              </w:rPr>
              <w:t>年度</w:t>
            </w:r>
            <w:r>
              <w:rPr>
                <w:rFonts w:ascii="Times New Roman" w:hAnsi="Times New Roman"/>
                <w:b/>
                <w:bCs/>
                <w:color w:val="000000"/>
                <w:kern w:val="0"/>
                <w:szCs w:val="21"/>
              </w:rPr>
              <w:t>/2024</w:t>
            </w:r>
            <w:r>
              <w:rPr>
                <w:rFonts w:ascii="Times New Roman" w:hAnsi="Times New Roman"/>
                <w:b/>
                <w:bCs/>
                <w:color w:val="000000"/>
                <w:kern w:val="0"/>
                <w:szCs w:val="21"/>
              </w:rPr>
              <w:t>年</w:t>
            </w:r>
            <w:r>
              <w:rPr>
                <w:rFonts w:ascii="Times New Roman" w:hAnsi="Times New Roman"/>
                <w:b/>
                <w:bCs/>
                <w:color w:val="000000"/>
                <w:kern w:val="0"/>
                <w:szCs w:val="21"/>
              </w:rPr>
              <w:t>12</w:t>
            </w:r>
            <w:r>
              <w:rPr>
                <w:rFonts w:ascii="Times New Roman" w:hAnsi="Times New Roman"/>
                <w:b/>
                <w:bCs/>
                <w:color w:val="000000"/>
                <w:kern w:val="0"/>
                <w:szCs w:val="21"/>
              </w:rPr>
              <w:t>月</w:t>
            </w:r>
            <w:r>
              <w:rPr>
                <w:rFonts w:ascii="Times New Roman" w:hAnsi="Times New Roman"/>
                <w:b/>
                <w:bCs/>
                <w:color w:val="000000"/>
                <w:kern w:val="0"/>
                <w:szCs w:val="21"/>
              </w:rPr>
              <w:t>31</w:t>
            </w:r>
            <w:r>
              <w:rPr>
                <w:rFonts w:ascii="Times New Roman" w:hAnsi="Times New Roman"/>
                <w:b/>
                <w:bCs/>
                <w:color w:val="000000"/>
                <w:kern w:val="0"/>
                <w:szCs w:val="21"/>
              </w:rPr>
              <w:t>日</w:t>
            </w:r>
          </w:p>
        </w:tc>
      </w:tr>
      <w:tr w:rsidR="002E5712" w14:paraId="29ABAAA8" w14:textId="77777777">
        <w:trPr>
          <w:trHeight w:val="397"/>
          <w:tblHeader/>
          <w:jc w:val="center"/>
        </w:trPr>
        <w:tc>
          <w:tcPr>
            <w:tcW w:w="2917" w:type="dxa"/>
            <w:vMerge/>
            <w:shd w:val="clear" w:color="auto" w:fill="D9D9D9"/>
            <w:vAlign w:val="center"/>
          </w:tcPr>
          <w:p w14:paraId="2C985006" w14:textId="77777777" w:rsidR="002E5712" w:rsidRDefault="002E5712">
            <w:pPr>
              <w:widowControl/>
              <w:jc w:val="center"/>
              <w:rPr>
                <w:rFonts w:ascii="Times New Roman" w:hAnsi="Times New Roman"/>
                <w:b/>
                <w:bCs/>
                <w:color w:val="000000"/>
                <w:kern w:val="0"/>
                <w:szCs w:val="21"/>
              </w:rPr>
            </w:pPr>
          </w:p>
        </w:tc>
        <w:tc>
          <w:tcPr>
            <w:tcW w:w="1873" w:type="dxa"/>
            <w:vMerge/>
            <w:shd w:val="clear" w:color="auto" w:fill="D9D9D9"/>
            <w:vAlign w:val="center"/>
          </w:tcPr>
          <w:p w14:paraId="6A42B8A4" w14:textId="77777777" w:rsidR="002E5712" w:rsidRDefault="002E5712">
            <w:pPr>
              <w:widowControl/>
              <w:rPr>
                <w:rFonts w:ascii="Times New Roman" w:hAnsi="Times New Roman"/>
                <w:b/>
                <w:bCs/>
                <w:color w:val="000000"/>
                <w:kern w:val="0"/>
                <w:szCs w:val="21"/>
              </w:rPr>
            </w:pPr>
          </w:p>
        </w:tc>
        <w:tc>
          <w:tcPr>
            <w:tcW w:w="2276" w:type="dxa"/>
            <w:gridSpan w:val="2"/>
            <w:vMerge/>
            <w:shd w:val="clear" w:color="auto" w:fill="D9D9D9"/>
            <w:vAlign w:val="center"/>
          </w:tcPr>
          <w:p w14:paraId="1CB249D7" w14:textId="77777777" w:rsidR="002E5712" w:rsidRDefault="002E5712">
            <w:pPr>
              <w:widowControl/>
              <w:rPr>
                <w:rFonts w:ascii="Times New Roman" w:hAnsi="Times New Roman"/>
                <w:b/>
                <w:bCs/>
                <w:color w:val="000000"/>
                <w:kern w:val="0"/>
                <w:szCs w:val="21"/>
              </w:rPr>
            </w:pPr>
          </w:p>
        </w:tc>
        <w:tc>
          <w:tcPr>
            <w:tcW w:w="2256" w:type="dxa"/>
            <w:shd w:val="clear" w:color="auto" w:fill="D9D9D9"/>
            <w:vAlign w:val="center"/>
          </w:tcPr>
          <w:p w14:paraId="7EC783E9" w14:textId="77777777" w:rsidR="002E5712" w:rsidRDefault="00000000">
            <w:pPr>
              <w:widowControl/>
              <w:jc w:val="center"/>
              <w:rPr>
                <w:rFonts w:ascii="Times New Roman" w:hAnsi="Times New Roman"/>
                <w:b/>
                <w:bCs/>
                <w:color w:val="000000"/>
                <w:kern w:val="0"/>
                <w:szCs w:val="21"/>
              </w:rPr>
            </w:pPr>
            <w:r>
              <w:rPr>
                <w:rFonts w:ascii="Times New Roman" w:hAnsi="Times New Roman"/>
                <w:b/>
                <w:bCs/>
                <w:color w:val="000000"/>
                <w:kern w:val="0"/>
                <w:szCs w:val="21"/>
              </w:rPr>
              <w:t>2024</w:t>
            </w:r>
            <w:r>
              <w:rPr>
                <w:rFonts w:ascii="Times New Roman" w:hAnsi="Times New Roman"/>
                <w:b/>
                <w:bCs/>
                <w:color w:val="000000"/>
                <w:kern w:val="0"/>
                <w:szCs w:val="21"/>
              </w:rPr>
              <w:t>年</w:t>
            </w:r>
            <w:r>
              <w:rPr>
                <w:rFonts w:ascii="Times New Roman" w:hAnsi="Times New Roman"/>
                <w:b/>
                <w:bCs/>
                <w:color w:val="000000"/>
                <w:kern w:val="0"/>
                <w:szCs w:val="21"/>
              </w:rPr>
              <w:t>6</w:t>
            </w:r>
            <w:r>
              <w:rPr>
                <w:rFonts w:ascii="Times New Roman" w:hAnsi="Times New Roman"/>
                <w:b/>
                <w:bCs/>
                <w:color w:val="000000"/>
                <w:kern w:val="0"/>
                <w:szCs w:val="21"/>
              </w:rPr>
              <w:t>月</w:t>
            </w:r>
            <w:r>
              <w:rPr>
                <w:rFonts w:ascii="Times New Roman" w:hAnsi="Times New Roman"/>
                <w:b/>
                <w:bCs/>
                <w:color w:val="000000"/>
                <w:kern w:val="0"/>
                <w:szCs w:val="21"/>
              </w:rPr>
              <w:t>30</w:t>
            </w:r>
            <w:r>
              <w:rPr>
                <w:rFonts w:ascii="Times New Roman" w:hAnsi="Times New Roman"/>
                <w:b/>
                <w:bCs/>
                <w:color w:val="000000"/>
                <w:kern w:val="0"/>
                <w:szCs w:val="21"/>
              </w:rPr>
              <w:t>日全部转股</w:t>
            </w:r>
          </w:p>
        </w:tc>
        <w:tc>
          <w:tcPr>
            <w:tcW w:w="2266" w:type="dxa"/>
            <w:shd w:val="clear" w:color="auto" w:fill="D9D9D9"/>
            <w:vAlign w:val="center"/>
          </w:tcPr>
          <w:p w14:paraId="471C746F" w14:textId="77777777" w:rsidR="002E5712" w:rsidRDefault="00000000">
            <w:pPr>
              <w:widowControl/>
              <w:jc w:val="center"/>
              <w:rPr>
                <w:rFonts w:ascii="Times New Roman" w:hAnsi="Times New Roman"/>
                <w:b/>
                <w:bCs/>
                <w:color w:val="000000"/>
                <w:kern w:val="0"/>
                <w:szCs w:val="21"/>
              </w:rPr>
            </w:pPr>
            <w:r>
              <w:rPr>
                <w:rFonts w:ascii="Times New Roman" w:hAnsi="Times New Roman"/>
                <w:b/>
                <w:bCs/>
                <w:color w:val="000000"/>
                <w:kern w:val="0"/>
                <w:szCs w:val="21"/>
              </w:rPr>
              <w:t>2024</w:t>
            </w:r>
            <w:r>
              <w:rPr>
                <w:rFonts w:ascii="Times New Roman" w:hAnsi="Times New Roman"/>
                <w:b/>
                <w:bCs/>
                <w:color w:val="000000"/>
                <w:kern w:val="0"/>
                <w:szCs w:val="21"/>
              </w:rPr>
              <w:t>年</w:t>
            </w:r>
            <w:r>
              <w:rPr>
                <w:rFonts w:ascii="Times New Roman" w:hAnsi="Times New Roman"/>
                <w:b/>
                <w:bCs/>
                <w:color w:val="000000"/>
                <w:kern w:val="0"/>
                <w:szCs w:val="21"/>
              </w:rPr>
              <w:t>12</w:t>
            </w:r>
            <w:r>
              <w:rPr>
                <w:rFonts w:ascii="Times New Roman" w:hAnsi="Times New Roman"/>
                <w:b/>
                <w:bCs/>
                <w:color w:val="000000"/>
                <w:kern w:val="0"/>
                <w:szCs w:val="21"/>
              </w:rPr>
              <w:t>月</w:t>
            </w:r>
            <w:r>
              <w:rPr>
                <w:rFonts w:ascii="Times New Roman" w:hAnsi="Times New Roman"/>
                <w:b/>
                <w:bCs/>
                <w:color w:val="000000"/>
                <w:kern w:val="0"/>
                <w:szCs w:val="21"/>
              </w:rPr>
              <w:t>31</w:t>
            </w:r>
            <w:r>
              <w:rPr>
                <w:rFonts w:ascii="Times New Roman" w:hAnsi="Times New Roman"/>
                <w:b/>
                <w:bCs/>
                <w:color w:val="000000"/>
                <w:kern w:val="0"/>
                <w:szCs w:val="21"/>
              </w:rPr>
              <w:t>日全部未转股</w:t>
            </w:r>
          </w:p>
        </w:tc>
      </w:tr>
      <w:tr w:rsidR="002E5712" w14:paraId="2CE2E1F9" w14:textId="77777777">
        <w:trPr>
          <w:trHeight w:val="397"/>
          <w:jc w:val="center"/>
        </w:trPr>
        <w:tc>
          <w:tcPr>
            <w:tcW w:w="2917" w:type="dxa"/>
            <w:shd w:val="clear" w:color="auto" w:fill="FFFFFF"/>
            <w:vAlign w:val="center"/>
          </w:tcPr>
          <w:p w14:paraId="39BEAAD3"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总股本（股）</w:t>
            </w:r>
          </w:p>
        </w:tc>
        <w:tc>
          <w:tcPr>
            <w:tcW w:w="1873" w:type="dxa"/>
            <w:shd w:val="clear" w:color="auto" w:fill="FFFFFF"/>
            <w:vAlign w:val="center"/>
          </w:tcPr>
          <w:p w14:paraId="62AC388B" w14:textId="77777777" w:rsidR="002E5712" w:rsidRDefault="00000000">
            <w:pPr>
              <w:widowControl/>
              <w:jc w:val="right"/>
              <w:rPr>
                <w:rFonts w:ascii="Times New Roman" w:eastAsia="等线" w:hAnsi="Times New Roman"/>
                <w:color w:val="000000"/>
                <w:sz w:val="20"/>
                <w:szCs w:val="20"/>
                <w:highlight w:val="yellow"/>
              </w:rPr>
            </w:pPr>
            <w:r>
              <w:rPr>
                <w:rFonts w:ascii="Times New Roman" w:hAnsi="Times New Roman"/>
              </w:rPr>
              <w:t>168,877,148</w:t>
            </w:r>
          </w:p>
        </w:tc>
        <w:tc>
          <w:tcPr>
            <w:tcW w:w="2266" w:type="dxa"/>
            <w:shd w:val="clear" w:color="auto" w:fill="FFFFFF"/>
            <w:vAlign w:val="center"/>
          </w:tcPr>
          <w:p w14:paraId="040208D0" w14:textId="77777777" w:rsidR="002E5712" w:rsidRDefault="00000000">
            <w:pPr>
              <w:widowControl/>
              <w:jc w:val="right"/>
              <w:rPr>
                <w:rFonts w:ascii="Times New Roman" w:eastAsia="等线" w:hAnsi="Times New Roman"/>
                <w:color w:val="000000"/>
                <w:kern w:val="0"/>
                <w:sz w:val="20"/>
                <w:szCs w:val="20"/>
                <w:highlight w:val="yellow"/>
              </w:rPr>
            </w:pPr>
            <w:r>
              <w:rPr>
                <w:rFonts w:ascii="Times New Roman" w:hAnsi="Times New Roman"/>
              </w:rPr>
              <w:t>168,877,148</w:t>
            </w:r>
          </w:p>
        </w:tc>
        <w:tc>
          <w:tcPr>
            <w:tcW w:w="2266" w:type="dxa"/>
            <w:gridSpan w:val="2"/>
            <w:shd w:val="clear" w:color="auto" w:fill="FFFFFF"/>
            <w:vAlign w:val="center"/>
          </w:tcPr>
          <w:p w14:paraId="5D18BEA5"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192,454,437</w:t>
            </w:r>
          </w:p>
        </w:tc>
        <w:tc>
          <w:tcPr>
            <w:tcW w:w="2266" w:type="dxa"/>
            <w:shd w:val="clear" w:color="auto" w:fill="FFFFFF"/>
            <w:vAlign w:val="center"/>
          </w:tcPr>
          <w:p w14:paraId="1956AACB"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168,877,148</w:t>
            </w:r>
          </w:p>
        </w:tc>
      </w:tr>
      <w:tr w:rsidR="002E5712" w14:paraId="09859A8A" w14:textId="77777777">
        <w:trPr>
          <w:trHeight w:val="397"/>
          <w:jc w:val="center"/>
        </w:trPr>
        <w:tc>
          <w:tcPr>
            <w:tcW w:w="11588" w:type="dxa"/>
            <w:gridSpan w:val="6"/>
            <w:shd w:val="clear" w:color="auto" w:fill="FFFFFF"/>
            <w:vAlign w:val="center"/>
          </w:tcPr>
          <w:p w14:paraId="1703D817" w14:textId="77777777" w:rsidR="002E5712" w:rsidRDefault="00000000">
            <w:pPr>
              <w:widowControl/>
              <w:rPr>
                <w:rFonts w:ascii="Times New Roman" w:hAnsi="Times New Roman"/>
                <w:b/>
                <w:bCs/>
                <w:color w:val="000000"/>
                <w:kern w:val="0"/>
                <w:szCs w:val="21"/>
              </w:rPr>
            </w:pPr>
            <w:r>
              <w:rPr>
                <w:rFonts w:ascii="Times New Roman" w:hAnsi="Times New Roman"/>
                <w:b/>
                <w:bCs/>
                <w:color w:val="000000"/>
                <w:kern w:val="0"/>
                <w:szCs w:val="21"/>
              </w:rPr>
              <w:lastRenderedPageBreak/>
              <w:t>假设</w:t>
            </w:r>
            <w:r>
              <w:rPr>
                <w:rFonts w:ascii="Times New Roman" w:hAnsi="Times New Roman"/>
                <w:b/>
                <w:bCs/>
                <w:color w:val="000000"/>
                <w:kern w:val="0"/>
                <w:szCs w:val="21"/>
              </w:rPr>
              <w:t>1</w:t>
            </w:r>
            <w:r>
              <w:rPr>
                <w:rFonts w:ascii="Times New Roman" w:hAnsi="Times New Roman"/>
                <w:b/>
                <w:bCs/>
                <w:color w:val="000000"/>
                <w:kern w:val="0"/>
                <w:szCs w:val="21"/>
              </w:rPr>
              <w:t>：假设</w:t>
            </w:r>
            <w:r>
              <w:rPr>
                <w:rFonts w:ascii="Times New Roman" w:hAnsi="Times New Roman"/>
                <w:b/>
                <w:bCs/>
                <w:color w:val="000000"/>
                <w:kern w:val="0"/>
                <w:szCs w:val="21"/>
              </w:rPr>
              <w:t>2024</w:t>
            </w:r>
            <w:r>
              <w:rPr>
                <w:rFonts w:ascii="Times New Roman" w:hAnsi="Times New Roman"/>
                <w:b/>
                <w:bCs/>
                <w:color w:val="000000"/>
                <w:kern w:val="0"/>
                <w:szCs w:val="21"/>
              </w:rPr>
              <w:t>年度扣除非经常性损益前</w:t>
            </w:r>
            <w:r>
              <w:rPr>
                <w:rFonts w:ascii="Times New Roman" w:hAnsi="Times New Roman"/>
                <w:b/>
                <w:bCs/>
                <w:color w:val="000000"/>
                <w:kern w:val="0"/>
                <w:szCs w:val="21"/>
              </w:rPr>
              <w:t>/</w:t>
            </w:r>
            <w:r>
              <w:rPr>
                <w:rFonts w:ascii="Times New Roman" w:hAnsi="Times New Roman"/>
                <w:b/>
                <w:bCs/>
                <w:color w:val="000000"/>
                <w:kern w:val="0"/>
                <w:szCs w:val="21"/>
              </w:rPr>
              <w:t>后归属于母公司股东的净利润同比下降</w:t>
            </w:r>
            <w:r>
              <w:rPr>
                <w:rFonts w:ascii="Times New Roman" w:hAnsi="Times New Roman"/>
                <w:b/>
                <w:bCs/>
                <w:color w:val="000000"/>
                <w:kern w:val="0"/>
                <w:szCs w:val="21"/>
              </w:rPr>
              <w:t>15%</w:t>
            </w:r>
          </w:p>
        </w:tc>
      </w:tr>
      <w:tr w:rsidR="002E5712" w14:paraId="3E347B40" w14:textId="77777777">
        <w:trPr>
          <w:trHeight w:val="397"/>
          <w:jc w:val="center"/>
        </w:trPr>
        <w:tc>
          <w:tcPr>
            <w:tcW w:w="2917" w:type="dxa"/>
            <w:shd w:val="clear" w:color="auto" w:fill="FFFFFF"/>
            <w:vAlign w:val="center"/>
          </w:tcPr>
          <w:p w14:paraId="65864BBD" w14:textId="77777777" w:rsidR="002E5712" w:rsidRDefault="00000000">
            <w:pPr>
              <w:widowControl/>
              <w:jc w:val="left"/>
              <w:rPr>
                <w:rFonts w:ascii="Times New Roman" w:hAnsi="Times New Roman"/>
                <w:color w:val="000000"/>
                <w:kern w:val="0"/>
                <w:szCs w:val="21"/>
              </w:rPr>
            </w:pP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6C1486EC" w14:textId="77777777" w:rsidR="002E5712" w:rsidRDefault="00000000">
            <w:pPr>
              <w:widowControl/>
              <w:jc w:val="right"/>
              <w:rPr>
                <w:rFonts w:ascii="Times New Roman" w:eastAsia="等线" w:hAnsi="Times New Roman"/>
                <w:color w:val="000000"/>
                <w:sz w:val="20"/>
                <w:szCs w:val="20"/>
                <w:highlight w:val="yellow"/>
              </w:rPr>
            </w:pPr>
            <w:r>
              <w:rPr>
                <w:rFonts w:ascii="Times New Roman" w:hAnsi="Times New Roman"/>
              </w:rPr>
              <w:t>136,205,068.76</w:t>
            </w:r>
          </w:p>
        </w:tc>
        <w:tc>
          <w:tcPr>
            <w:tcW w:w="2266" w:type="dxa"/>
            <w:shd w:val="clear" w:color="auto" w:fill="FFFFFF"/>
            <w:vAlign w:val="center"/>
          </w:tcPr>
          <w:p w14:paraId="6A88EFD6" w14:textId="77777777" w:rsidR="002E5712" w:rsidRDefault="00000000">
            <w:pPr>
              <w:widowControl/>
              <w:jc w:val="right"/>
              <w:rPr>
                <w:rFonts w:ascii="Times New Roman" w:eastAsia="等线" w:hAnsi="Times New Roman"/>
                <w:color w:val="000000"/>
                <w:kern w:val="0"/>
                <w:sz w:val="20"/>
                <w:szCs w:val="20"/>
                <w:highlight w:val="yellow"/>
              </w:rPr>
            </w:pPr>
            <w:r>
              <w:rPr>
                <w:rFonts w:ascii="Times New Roman" w:hAnsi="Times New Roman"/>
              </w:rPr>
              <w:t xml:space="preserve">115,774,308.45 </w:t>
            </w:r>
          </w:p>
        </w:tc>
        <w:tc>
          <w:tcPr>
            <w:tcW w:w="2266" w:type="dxa"/>
            <w:gridSpan w:val="2"/>
            <w:shd w:val="clear" w:color="auto" w:fill="FFFFFF"/>
            <w:vAlign w:val="center"/>
          </w:tcPr>
          <w:p w14:paraId="2265D85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98,408,162.18</w:t>
            </w:r>
          </w:p>
        </w:tc>
        <w:tc>
          <w:tcPr>
            <w:tcW w:w="2266" w:type="dxa"/>
            <w:shd w:val="clear" w:color="auto" w:fill="FFFFFF"/>
            <w:vAlign w:val="center"/>
          </w:tcPr>
          <w:p w14:paraId="3829FF50"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98,408,162.18 </w:t>
            </w:r>
          </w:p>
        </w:tc>
      </w:tr>
      <w:tr w:rsidR="002E5712" w14:paraId="75C372C9" w14:textId="77777777">
        <w:trPr>
          <w:trHeight w:val="397"/>
          <w:jc w:val="center"/>
        </w:trPr>
        <w:tc>
          <w:tcPr>
            <w:tcW w:w="2917" w:type="dxa"/>
            <w:shd w:val="clear" w:color="auto" w:fill="FFFFFF"/>
            <w:vAlign w:val="center"/>
          </w:tcPr>
          <w:p w14:paraId="7E692242"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w:t>
            </w: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22544047"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97,939,171.27</w:t>
            </w:r>
          </w:p>
        </w:tc>
        <w:tc>
          <w:tcPr>
            <w:tcW w:w="2266" w:type="dxa"/>
            <w:shd w:val="clear" w:color="auto" w:fill="FFFFFF"/>
            <w:vAlign w:val="center"/>
          </w:tcPr>
          <w:p w14:paraId="1532B8D7"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83,248,295.58 </w:t>
            </w:r>
          </w:p>
        </w:tc>
        <w:tc>
          <w:tcPr>
            <w:tcW w:w="2266" w:type="dxa"/>
            <w:gridSpan w:val="2"/>
            <w:shd w:val="clear" w:color="auto" w:fill="FFFFFF"/>
            <w:vAlign w:val="center"/>
          </w:tcPr>
          <w:p w14:paraId="55E9C9CD"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70,761,051.24</w:t>
            </w:r>
          </w:p>
        </w:tc>
        <w:tc>
          <w:tcPr>
            <w:tcW w:w="2266" w:type="dxa"/>
            <w:shd w:val="clear" w:color="auto" w:fill="FFFFFF"/>
            <w:vAlign w:val="center"/>
          </w:tcPr>
          <w:p w14:paraId="04EF9212"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70,761,051.24 </w:t>
            </w:r>
          </w:p>
        </w:tc>
      </w:tr>
      <w:tr w:rsidR="002E5712" w14:paraId="29A0D5B9" w14:textId="77777777">
        <w:trPr>
          <w:trHeight w:val="397"/>
          <w:jc w:val="center"/>
        </w:trPr>
        <w:tc>
          <w:tcPr>
            <w:tcW w:w="2917" w:type="dxa"/>
            <w:shd w:val="clear" w:color="auto" w:fill="FFFFFF"/>
            <w:vAlign w:val="center"/>
          </w:tcPr>
          <w:p w14:paraId="66177657"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归属于母公司所有者权益（元）</w:t>
            </w:r>
          </w:p>
        </w:tc>
        <w:tc>
          <w:tcPr>
            <w:tcW w:w="1873" w:type="dxa"/>
            <w:shd w:val="clear" w:color="auto" w:fill="FFFFFF"/>
            <w:vAlign w:val="center"/>
          </w:tcPr>
          <w:p w14:paraId="2D23C20C"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733,889,514.15</w:t>
            </w:r>
          </w:p>
        </w:tc>
        <w:tc>
          <w:tcPr>
            <w:tcW w:w="2266" w:type="dxa"/>
            <w:shd w:val="clear" w:color="auto" w:fill="FFFFFF"/>
            <w:vAlign w:val="center"/>
          </w:tcPr>
          <w:p w14:paraId="4FD8030D"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799,000,678.20 </w:t>
            </w:r>
          </w:p>
        </w:tc>
        <w:tc>
          <w:tcPr>
            <w:tcW w:w="2266" w:type="dxa"/>
            <w:gridSpan w:val="2"/>
            <w:shd w:val="clear" w:color="auto" w:fill="FFFFFF"/>
            <w:vAlign w:val="center"/>
          </w:tcPr>
          <w:p w14:paraId="2CF9E882"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1,219,238,840.38</w:t>
            </w:r>
          </w:p>
        </w:tc>
        <w:tc>
          <w:tcPr>
            <w:tcW w:w="2266" w:type="dxa"/>
            <w:shd w:val="clear" w:color="auto" w:fill="FFFFFF"/>
            <w:vAlign w:val="center"/>
          </w:tcPr>
          <w:p w14:paraId="0A599474"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897,408,840.38 </w:t>
            </w:r>
          </w:p>
        </w:tc>
      </w:tr>
      <w:tr w:rsidR="002E5712" w14:paraId="6437A0A4" w14:textId="77777777">
        <w:trPr>
          <w:trHeight w:val="397"/>
          <w:jc w:val="center"/>
        </w:trPr>
        <w:tc>
          <w:tcPr>
            <w:tcW w:w="2917" w:type="dxa"/>
            <w:shd w:val="clear" w:color="auto" w:fill="FFFFFF"/>
            <w:vAlign w:val="center"/>
          </w:tcPr>
          <w:p w14:paraId="1A33DACC"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525D8D9D"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0.81</w:t>
            </w:r>
          </w:p>
        </w:tc>
        <w:tc>
          <w:tcPr>
            <w:tcW w:w="2266" w:type="dxa"/>
            <w:shd w:val="clear" w:color="auto" w:fill="FFFFFF"/>
            <w:vAlign w:val="center"/>
          </w:tcPr>
          <w:p w14:paraId="6A0EA124"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0.69 </w:t>
            </w:r>
          </w:p>
        </w:tc>
        <w:tc>
          <w:tcPr>
            <w:tcW w:w="2266" w:type="dxa"/>
            <w:gridSpan w:val="2"/>
            <w:shd w:val="clear" w:color="auto" w:fill="FFFFFF"/>
            <w:vAlign w:val="center"/>
          </w:tcPr>
          <w:p w14:paraId="4E48CB80"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0.54</w:t>
            </w:r>
          </w:p>
        </w:tc>
        <w:tc>
          <w:tcPr>
            <w:tcW w:w="2266" w:type="dxa"/>
            <w:shd w:val="clear" w:color="auto" w:fill="FFFFFF"/>
            <w:vAlign w:val="center"/>
          </w:tcPr>
          <w:p w14:paraId="59B3DD24"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0.58 </w:t>
            </w:r>
          </w:p>
        </w:tc>
      </w:tr>
      <w:tr w:rsidR="002E5712" w14:paraId="1D87D10A" w14:textId="77777777">
        <w:trPr>
          <w:trHeight w:val="397"/>
          <w:jc w:val="center"/>
        </w:trPr>
        <w:tc>
          <w:tcPr>
            <w:tcW w:w="2917" w:type="dxa"/>
            <w:shd w:val="clear" w:color="auto" w:fill="FFFFFF"/>
            <w:vAlign w:val="center"/>
          </w:tcPr>
          <w:p w14:paraId="451AA95E"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2AE0434E"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0.80</w:t>
            </w:r>
          </w:p>
        </w:tc>
        <w:tc>
          <w:tcPr>
            <w:tcW w:w="2266" w:type="dxa"/>
            <w:shd w:val="clear" w:color="auto" w:fill="FFFFFF"/>
            <w:vAlign w:val="center"/>
          </w:tcPr>
          <w:p w14:paraId="7882DE1A"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0.69 </w:t>
            </w:r>
          </w:p>
        </w:tc>
        <w:tc>
          <w:tcPr>
            <w:tcW w:w="2266" w:type="dxa"/>
            <w:gridSpan w:val="2"/>
            <w:shd w:val="clear" w:color="auto" w:fill="FFFFFF"/>
            <w:vAlign w:val="center"/>
          </w:tcPr>
          <w:p w14:paraId="4F8F7252"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0.51</w:t>
            </w:r>
          </w:p>
        </w:tc>
        <w:tc>
          <w:tcPr>
            <w:tcW w:w="2266" w:type="dxa"/>
            <w:shd w:val="clear" w:color="auto" w:fill="FFFFFF"/>
            <w:vAlign w:val="center"/>
          </w:tcPr>
          <w:p w14:paraId="4D219CC3"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0.51 </w:t>
            </w:r>
          </w:p>
        </w:tc>
      </w:tr>
      <w:tr w:rsidR="002E5712" w14:paraId="5125D73F" w14:textId="77777777">
        <w:trPr>
          <w:trHeight w:val="397"/>
          <w:jc w:val="center"/>
        </w:trPr>
        <w:tc>
          <w:tcPr>
            <w:tcW w:w="2917" w:type="dxa"/>
            <w:shd w:val="clear" w:color="auto" w:fill="FFFFFF"/>
            <w:vAlign w:val="center"/>
          </w:tcPr>
          <w:p w14:paraId="7E6B2B32"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706510B3"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0.58</w:t>
            </w:r>
          </w:p>
        </w:tc>
        <w:tc>
          <w:tcPr>
            <w:tcW w:w="2266" w:type="dxa"/>
            <w:shd w:val="clear" w:color="auto" w:fill="FFFFFF"/>
            <w:vAlign w:val="center"/>
          </w:tcPr>
          <w:p w14:paraId="703EA6D3"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0.49 </w:t>
            </w:r>
          </w:p>
        </w:tc>
        <w:tc>
          <w:tcPr>
            <w:tcW w:w="2266" w:type="dxa"/>
            <w:gridSpan w:val="2"/>
            <w:shd w:val="clear" w:color="auto" w:fill="FFFFFF"/>
            <w:vAlign w:val="center"/>
          </w:tcPr>
          <w:p w14:paraId="2E92D9F9"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0.39</w:t>
            </w:r>
          </w:p>
        </w:tc>
        <w:tc>
          <w:tcPr>
            <w:tcW w:w="2266" w:type="dxa"/>
            <w:shd w:val="clear" w:color="auto" w:fill="FFFFFF"/>
            <w:vAlign w:val="center"/>
          </w:tcPr>
          <w:p w14:paraId="52C0FFE5"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0.42 </w:t>
            </w:r>
          </w:p>
        </w:tc>
      </w:tr>
      <w:tr w:rsidR="002E5712" w14:paraId="5D0AFA06" w14:textId="77777777">
        <w:trPr>
          <w:trHeight w:val="397"/>
          <w:jc w:val="center"/>
        </w:trPr>
        <w:tc>
          <w:tcPr>
            <w:tcW w:w="2917" w:type="dxa"/>
            <w:shd w:val="clear" w:color="auto" w:fill="FFFFFF"/>
            <w:vAlign w:val="center"/>
          </w:tcPr>
          <w:p w14:paraId="33BF6AAC"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516C19B5"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0.58</w:t>
            </w:r>
          </w:p>
        </w:tc>
        <w:tc>
          <w:tcPr>
            <w:tcW w:w="2266" w:type="dxa"/>
            <w:shd w:val="clear" w:color="auto" w:fill="FFFFFF"/>
            <w:vAlign w:val="center"/>
          </w:tcPr>
          <w:p w14:paraId="3B230AB3"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0.49 </w:t>
            </w:r>
          </w:p>
        </w:tc>
        <w:tc>
          <w:tcPr>
            <w:tcW w:w="2266" w:type="dxa"/>
            <w:gridSpan w:val="2"/>
            <w:shd w:val="clear" w:color="auto" w:fill="FFFFFF"/>
            <w:vAlign w:val="center"/>
          </w:tcPr>
          <w:p w14:paraId="4A5E359D"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0.37</w:t>
            </w:r>
          </w:p>
        </w:tc>
        <w:tc>
          <w:tcPr>
            <w:tcW w:w="2266" w:type="dxa"/>
            <w:shd w:val="clear" w:color="auto" w:fill="FFFFFF"/>
            <w:vAlign w:val="center"/>
          </w:tcPr>
          <w:p w14:paraId="1B3BB7E8"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 xml:space="preserve">0.37 </w:t>
            </w:r>
          </w:p>
        </w:tc>
      </w:tr>
      <w:tr w:rsidR="002E5712" w14:paraId="00C92C2D" w14:textId="77777777">
        <w:trPr>
          <w:trHeight w:val="397"/>
          <w:jc w:val="center"/>
        </w:trPr>
        <w:tc>
          <w:tcPr>
            <w:tcW w:w="2917" w:type="dxa"/>
            <w:shd w:val="clear" w:color="auto" w:fill="FFFFFF"/>
            <w:vAlign w:val="center"/>
          </w:tcPr>
          <w:p w14:paraId="0926A19C"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加权平均净资产收益率</w:t>
            </w:r>
          </w:p>
        </w:tc>
        <w:tc>
          <w:tcPr>
            <w:tcW w:w="1873" w:type="dxa"/>
            <w:shd w:val="clear" w:color="auto" w:fill="FFFFFF"/>
            <w:vAlign w:val="center"/>
          </w:tcPr>
          <w:p w14:paraId="2A128097"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19.94%</w:t>
            </w:r>
          </w:p>
        </w:tc>
        <w:tc>
          <w:tcPr>
            <w:tcW w:w="2266" w:type="dxa"/>
            <w:shd w:val="clear" w:color="auto" w:fill="FFFFFF"/>
            <w:vAlign w:val="center"/>
          </w:tcPr>
          <w:p w14:paraId="22DBED0F"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15.11%</w:t>
            </w:r>
          </w:p>
        </w:tc>
        <w:tc>
          <w:tcPr>
            <w:tcW w:w="2266" w:type="dxa"/>
            <w:gridSpan w:val="2"/>
            <w:shd w:val="clear" w:color="auto" w:fill="FFFFFF"/>
            <w:vAlign w:val="center"/>
          </w:tcPr>
          <w:p w14:paraId="6A2227D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9.75%</w:t>
            </w:r>
          </w:p>
        </w:tc>
        <w:tc>
          <w:tcPr>
            <w:tcW w:w="2266" w:type="dxa"/>
            <w:shd w:val="clear" w:color="auto" w:fill="FFFFFF"/>
            <w:vAlign w:val="center"/>
          </w:tcPr>
          <w:p w14:paraId="3B608488"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11.60%</w:t>
            </w:r>
          </w:p>
        </w:tc>
      </w:tr>
      <w:tr w:rsidR="002E5712" w14:paraId="37DFFE17" w14:textId="77777777">
        <w:trPr>
          <w:trHeight w:val="397"/>
          <w:jc w:val="center"/>
        </w:trPr>
        <w:tc>
          <w:tcPr>
            <w:tcW w:w="2917" w:type="dxa"/>
            <w:shd w:val="clear" w:color="auto" w:fill="FFFFFF"/>
            <w:vAlign w:val="center"/>
          </w:tcPr>
          <w:p w14:paraId="40B07ADC"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扣除非经常性损益后加权平均净资产收益率</w:t>
            </w:r>
          </w:p>
        </w:tc>
        <w:tc>
          <w:tcPr>
            <w:tcW w:w="1873" w:type="dxa"/>
            <w:shd w:val="clear" w:color="auto" w:fill="FFFFFF"/>
            <w:vAlign w:val="center"/>
          </w:tcPr>
          <w:p w14:paraId="4D6632D2"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14.34%</w:t>
            </w:r>
          </w:p>
        </w:tc>
        <w:tc>
          <w:tcPr>
            <w:tcW w:w="2266" w:type="dxa"/>
            <w:shd w:val="clear" w:color="auto" w:fill="FFFFFF"/>
            <w:vAlign w:val="center"/>
          </w:tcPr>
          <w:p w14:paraId="64B892FB"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10.86%</w:t>
            </w:r>
          </w:p>
        </w:tc>
        <w:tc>
          <w:tcPr>
            <w:tcW w:w="2266" w:type="dxa"/>
            <w:gridSpan w:val="2"/>
            <w:shd w:val="clear" w:color="auto" w:fill="FFFFFF"/>
            <w:vAlign w:val="center"/>
          </w:tcPr>
          <w:p w14:paraId="17EB883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7.01%</w:t>
            </w:r>
          </w:p>
        </w:tc>
        <w:tc>
          <w:tcPr>
            <w:tcW w:w="2266" w:type="dxa"/>
            <w:shd w:val="clear" w:color="auto" w:fill="FFFFFF"/>
            <w:vAlign w:val="center"/>
          </w:tcPr>
          <w:p w14:paraId="41D58870" w14:textId="77777777" w:rsidR="002E5712" w:rsidRDefault="00000000">
            <w:pPr>
              <w:jc w:val="right"/>
              <w:rPr>
                <w:rFonts w:ascii="Times New Roman" w:eastAsia="等线" w:hAnsi="Times New Roman"/>
                <w:color w:val="000000"/>
                <w:sz w:val="20"/>
                <w:szCs w:val="20"/>
                <w:highlight w:val="yellow"/>
              </w:rPr>
            </w:pPr>
            <w:r>
              <w:rPr>
                <w:rFonts w:ascii="Times New Roman" w:hAnsi="Times New Roman"/>
              </w:rPr>
              <w:t>8.34%</w:t>
            </w:r>
          </w:p>
        </w:tc>
      </w:tr>
      <w:tr w:rsidR="002E5712" w14:paraId="1892D206" w14:textId="77777777">
        <w:trPr>
          <w:trHeight w:val="397"/>
          <w:jc w:val="center"/>
        </w:trPr>
        <w:tc>
          <w:tcPr>
            <w:tcW w:w="11588" w:type="dxa"/>
            <w:gridSpan w:val="6"/>
            <w:shd w:val="clear" w:color="auto" w:fill="FFFFFF"/>
            <w:vAlign w:val="center"/>
          </w:tcPr>
          <w:p w14:paraId="2723842F" w14:textId="77777777" w:rsidR="002E5712" w:rsidRDefault="00000000">
            <w:pPr>
              <w:widowControl/>
              <w:rPr>
                <w:rFonts w:ascii="Times New Roman" w:hAnsi="Times New Roman"/>
                <w:b/>
                <w:bCs/>
                <w:color w:val="000000"/>
                <w:kern w:val="0"/>
                <w:szCs w:val="21"/>
              </w:rPr>
            </w:pPr>
            <w:r>
              <w:rPr>
                <w:rFonts w:ascii="Times New Roman" w:hAnsi="Times New Roman"/>
                <w:b/>
                <w:bCs/>
                <w:color w:val="000000"/>
                <w:kern w:val="0"/>
                <w:szCs w:val="21"/>
              </w:rPr>
              <w:t>假设</w:t>
            </w:r>
            <w:r>
              <w:rPr>
                <w:rFonts w:ascii="Times New Roman" w:hAnsi="Times New Roman"/>
                <w:b/>
                <w:bCs/>
                <w:color w:val="000000"/>
                <w:kern w:val="0"/>
                <w:szCs w:val="21"/>
              </w:rPr>
              <w:t>2</w:t>
            </w:r>
            <w:r>
              <w:rPr>
                <w:rFonts w:ascii="Times New Roman" w:hAnsi="Times New Roman"/>
                <w:b/>
                <w:bCs/>
                <w:color w:val="000000"/>
                <w:kern w:val="0"/>
                <w:szCs w:val="21"/>
              </w:rPr>
              <w:t>：假设</w:t>
            </w:r>
            <w:r>
              <w:rPr>
                <w:rFonts w:ascii="Times New Roman" w:hAnsi="Times New Roman"/>
                <w:b/>
                <w:bCs/>
                <w:color w:val="000000"/>
                <w:kern w:val="0"/>
                <w:szCs w:val="21"/>
              </w:rPr>
              <w:t>2023</w:t>
            </w:r>
            <w:r>
              <w:rPr>
                <w:rFonts w:ascii="Times New Roman" w:hAnsi="Times New Roman"/>
                <w:b/>
                <w:bCs/>
                <w:color w:val="000000"/>
                <w:kern w:val="0"/>
                <w:szCs w:val="21"/>
              </w:rPr>
              <w:t>年度扣除非经常性损益前</w:t>
            </w:r>
            <w:r>
              <w:rPr>
                <w:rFonts w:ascii="Times New Roman" w:hAnsi="Times New Roman"/>
                <w:b/>
                <w:bCs/>
                <w:color w:val="000000"/>
                <w:kern w:val="0"/>
                <w:szCs w:val="21"/>
              </w:rPr>
              <w:t>/</w:t>
            </w:r>
            <w:r>
              <w:rPr>
                <w:rFonts w:ascii="Times New Roman" w:hAnsi="Times New Roman"/>
                <w:b/>
                <w:bCs/>
                <w:color w:val="000000"/>
                <w:kern w:val="0"/>
                <w:szCs w:val="21"/>
              </w:rPr>
              <w:t>后归属于母公司股东的净利润同比持平</w:t>
            </w:r>
          </w:p>
        </w:tc>
      </w:tr>
      <w:tr w:rsidR="002E5712" w14:paraId="508548E3" w14:textId="77777777">
        <w:trPr>
          <w:trHeight w:val="397"/>
          <w:jc w:val="center"/>
        </w:trPr>
        <w:tc>
          <w:tcPr>
            <w:tcW w:w="2917" w:type="dxa"/>
            <w:shd w:val="clear" w:color="auto" w:fill="FFFFFF"/>
            <w:vAlign w:val="center"/>
          </w:tcPr>
          <w:p w14:paraId="538FE694" w14:textId="77777777" w:rsidR="002E5712" w:rsidRDefault="00000000">
            <w:pPr>
              <w:widowControl/>
              <w:jc w:val="left"/>
              <w:rPr>
                <w:rFonts w:ascii="Times New Roman" w:hAnsi="Times New Roman"/>
                <w:color w:val="000000"/>
                <w:kern w:val="0"/>
                <w:szCs w:val="21"/>
              </w:rPr>
            </w:pP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528D90A9" w14:textId="77777777" w:rsidR="002E5712" w:rsidRDefault="00000000">
            <w:pPr>
              <w:widowControl/>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136,205,068.76</w:t>
            </w:r>
          </w:p>
        </w:tc>
        <w:tc>
          <w:tcPr>
            <w:tcW w:w="2266" w:type="dxa"/>
            <w:shd w:val="clear" w:color="auto" w:fill="FFFFFF"/>
            <w:vAlign w:val="center"/>
          </w:tcPr>
          <w:p w14:paraId="1BF37585" w14:textId="77777777" w:rsidR="002E5712" w:rsidRDefault="00000000">
            <w:pPr>
              <w:widowControl/>
              <w:jc w:val="right"/>
              <w:rPr>
                <w:rFonts w:ascii="Times New Roman" w:eastAsia="等线" w:hAnsi="Times New Roman"/>
                <w:color w:val="000000"/>
                <w:kern w:val="0"/>
                <w:sz w:val="20"/>
                <w:szCs w:val="20"/>
                <w:highlight w:val="yellow"/>
              </w:rPr>
            </w:pPr>
            <w:r>
              <w:rPr>
                <w:rFonts w:ascii="Times New Roman" w:eastAsia="等线" w:hAnsi="Times New Roman"/>
                <w:color w:val="000000"/>
                <w:sz w:val="20"/>
                <w:szCs w:val="20"/>
              </w:rPr>
              <w:t xml:space="preserve">136,205,068.76 </w:t>
            </w:r>
          </w:p>
        </w:tc>
        <w:tc>
          <w:tcPr>
            <w:tcW w:w="2266" w:type="dxa"/>
            <w:gridSpan w:val="2"/>
            <w:shd w:val="clear" w:color="auto" w:fill="FFFFFF"/>
            <w:vAlign w:val="center"/>
          </w:tcPr>
          <w:p w14:paraId="65F025CA"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136,205,068.76</w:t>
            </w:r>
          </w:p>
        </w:tc>
        <w:tc>
          <w:tcPr>
            <w:tcW w:w="2266" w:type="dxa"/>
            <w:shd w:val="clear" w:color="auto" w:fill="FFFFFF"/>
            <w:vAlign w:val="center"/>
          </w:tcPr>
          <w:p w14:paraId="48E6923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136,205,068.76 </w:t>
            </w:r>
          </w:p>
        </w:tc>
      </w:tr>
      <w:tr w:rsidR="002E5712" w14:paraId="2382D602" w14:textId="77777777">
        <w:trPr>
          <w:trHeight w:val="397"/>
          <w:jc w:val="center"/>
        </w:trPr>
        <w:tc>
          <w:tcPr>
            <w:tcW w:w="2917" w:type="dxa"/>
            <w:shd w:val="clear" w:color="auto" w:fill="FFFFFF"/>
            <w:vAlign w:val="center"/>
          </w:tcPr>
          <w:p w14:paraId="244A09AD"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w:t>
            </w: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47620A30"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97,939,171.27</w:t>
            </w:r>
          </w:p>
        </w:tc>
        <w:tc>
          <w:tcPr>
            <w:tcW w:w="2266" w:type="dxa"/>
            <w:shd w:val="clear" w:color="auto" w:fill="FFFFFF"/>
            <w:vAlign w:val="center"/>
          </w:tcPr>
          <w:p w14:paraId="172DB333"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97,939,171.27 </w:t>
            </w:r>
          </w:p>
        </w:tc>
        <w:tc>
          <w:tcPr>
            <w:tcW w:w="2266" w:type="dxa"/>
            <w:gridSpan w:val="2"/>
            <w:shd w:val="clear" w:color="auto" w:fill="FFFFFF"/>
            <w:vAlign w:val="center"/>
          </w:tcPr>
          <w:p w14:paraId="4F40643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97,939,171.27</w:t>
            </w:r>
          </w:p>
        </w:tc>
        <w:tc>
          <w:tcPr>
            <w:tcW w:w="2266" w:type="dxa"/>
            <w:shd w:val="clear" w:color="auto" w:fill="FFFFFF"/>
            <w:vAlign w:val="center"/>
          </w:tcPr>
          <w:p w14:paraId="7452B1F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97,939,171.27 </w:t>
            </w:r>
          </w:p>
        </w:tc>
      </w:tr>
      <w:tr w:rsidR="002E5712" w14:paraId="37E08D83" w14:textId="77777777">
        <w:trPr>
          <w:trHeight w:val="397"/>
          <w:jc w:val="center"/>
        </w:trPr>
        <w:tc>
          <w:tcPr>
            <w:tcW w:w="2917" w:type="dxa"/>
            <w:shd w:val="clear" w:color="auto" w:fill="FFFFFF"/>
            <w:vAlign w:val="center"/>
          </w:tcPr>
          <w:p w14:paraId="6D58CCE3"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归属于母公司所有者权益（元）</w:t>
            </w:r>
          </w:p>
        </w:tc>
        <w:tc>
          <w:tcPr>
            <w:tcW w:w="1873" w:type="dxa"/>
            <w:shd w:val="clear" w:color="auto" w:fill="FFFFFF"/>
            <w:vAlign w:val="center"/>
          </w:tcPr>
          <w:p w14:paraId="02B9093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733,889,514.15</w:t>
            </w:r>
          </w:p>
        </w:tc>
        <w:tc>
          <w:tcPr>
            <w:tcW w:w="2266" w:type="dxa"/>
            <w:shd w:val="clear" w:color="auto" w:fill="FFFFFF"/>
            <w:vAlign w:val="center"/>
          </w:tcPr>
          <w:p w14:paraId="0FA35A6D"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819,431,438.51 </w:t>
            </w:r>
          </w:p>
        </w:tc>
        <w:tc>
          <w:tcPr>
            <w:tcW w:w="2266" w:type="dxa"/>
            <w:gridSpan w:val="2"/>
            <w:shd w:val="clear" w:color="auto" w:fill="FFFFFF"/>
            <w:vAlign w:val="center"/>
          </w:tcPr>
          <w:p w14:paraId="08D0BA1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1,277,466,507.27</w:t>
            </w:r>
          </w:p>
        </w:tc>
        <w:tc>
          <w:tcPr>
            <w:tcW w:w="2266" w:type="dxa"/>
            <w:shd w:val="clear" w:color="auto" w:fill="FFFFFF"/>
            <w:vAlign w:val="center"/>
          </w:tcPr>
          <w:p w14:paraId="4A805242"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955,636,507.27 </w:t>
            </w:r>
          </w:p>
        </w:tc>
      </w:tr>
      <w:tr w:rsidR="002E5712" w14:paraId="34D82765" w14:textId="77777777">
        <w:trPr>
          <w:trHeight w:val="397"/>
          <w:jc w:val="center"/>
        </w:trPr>
        <w:tc>
          <w:tcPr>
            <w:tcW w:w="2917" w:type="dxa"/>
            <w:shd w:val="clear" w:color="auto" w:fill="FFFFFF"/>
            <w:vAlign w:val="center"/>
          </w:tcPr>
          <w:p w14:paraId="3CA1A4C5"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203AECAA"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0.81</w:t>
            </w:r>
          </w:p>
        </w:tc>
        <w:tc>
          <w:tcPr>
            <w:tcW w:w="2266" w:type="dxa"/>
            <w:shd w:val="clear" w:color="auto" w:fill="FFFFFF"/>
            <w:vAlign w:val="center"/>
          </w:tcPr>
          <w:p w14:paraId="0F95FA1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0.81 </w:t>
            </w:r>
          </w:p>
        </w:tc>
        <w:tc>
          <w:tcPr>
            <w:tcW w:w="2266" w:type="dxa"/>
            <w:gridSpan w:val="2"/>
            <w:shd w:val="clear" w:color="auto" w:fill="FFFFFF"/>
            <w:vAlign w:val="center"/>
          </w:tcPr>
          <w:p w14:paraId="07A83760"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0.75</w:t>
            </w:r>
          </w:p>
        </w:tc>
        <w:tc>
          <w:tcPr>
            <w:tcW w:w="2266" w:type="dxa"/>
            <w:shd w:val="clear" w:color="auto" w:fill="FFFFFF"/>
            <w:vAlign w:val="center"/>
          </w:tcPr>
          <w:p w14:paraId="5B610A62"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0.81 </w:t>
            </w:r>
          </w:p>
        </w:tc>
      </w:tr>
      <w:tr w:rsidR="002E5712" w14:paraId="1F8F8DF1" w14:textId="77777777">
        <w:trPr>
          <w:trHeight w:val="397"/>
          <w:jc w:val="center"/>
        </w:trPr>
        <w:tc>
          <w:tcPr>
            <w:tcW w:w="2917" w:type="dxa"/>
            <w:shd w:val="clear" w:color="auto" w:fill="FFFFFF"/>
            <w:vAlign w:val="center"/>
          </w:tcPr>
          <w:p w14:paraId="636C26B4"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4715BF80"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0.80</w:t>
            </w:r>
          </w:p>
        </w:tc>
        <w:tc>
          <w:tcPr>
            <w:tcW w:w="2266" w:type="dxa"/>
            <w:shd w:val="clear" w:color="auto" w:fill="FFFFFF"/>
            <w:vAlign w:val="center"/>
          </w:tcPr>
          <w:p w14:paraId="286071D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0.81 </w:t>
            </w:r>
          </w:p>
        </w:tc>
        <w:tc>
          <w:tcPr>
            <w:tcW w:w="2266" w:type="dxa"/>
            <w:gridSpan w:val="2"/>
            <w:shd w:val="clear" w:color="auto" w:fill="FFFFFF"/>
            <w:vAlign w:val="center"/>
          </w:tcPr>
          <w:p w14:paraId="16FCCF07"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0.71</w:t>
            </w:r>
          </w:p>
        </w:tc>
        <w:tc>
          <w:tcPr>
            <w:tcW w:w="2266" w:type="dxa"/>
            <w:shd w:val="clear" w:color="auto" w:fill="FFFFFF"/>
            <w:vAlign w:val="center"/>
          </w:tcPr>
          <w:p w14:paraId="7B9F0BA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0.71 </w:t>
            </w:r>
          </w:p>
        </w:tc>
      </w:tr>
      <w:tr w:rsidR="002E5712" w14:paraId="1A04266D" w14:textId="77777777">
        <w:trPr>
          <w:trHeight w:val="397"/>
          <w:jc w:val="center"/>
        </w:trPr>
        <w:tc>
          <w:tcPr>
            <w:tcW w:w="2917" w:type="dxa"/>
            <w:shd w:val="clear" w:color="auto" w:fill="FFFFFF"/>
            <w:vAlign w:val="center"/>
          </w:tcPr>
          <w:p w14:paraId="614522E7"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3458D54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0.58</w:t>
            </w:r>
          </w:p>
        </w:tc>
        <w:tc>
          <w:tcPr>
            <w:tcW w:w="2266" w:type="dxa"/>
            <w:shd w:val="clear" w:color="auto" w:fill="FFFFFF"/>
            <w:vAlign w:val="center"/>
          </w:tcPr>
          <w:p w14:paraId="4EFAEB12"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0.58 </w:t>
            </w:r>
          </w:p>
        </w:tc>
        <w:tc>
          <w:tcPr>
            <w:tcW w:w="2266" w:type="dxa"/>
            <w:gridSpan w:val="2"/>
            <w:shd w:val="clear" w:color="auto" w:fill="FFFFFF"/>
            <w:vAlign w:val="center"/>
          </w:tcPr>
          <w:p w14:paraId="0B18E90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0.54</w:t>
            </w:r>
          </w:p>
        </w:tc>
        <w:tc>
          <w:tcPr>
            <w:tcW w:w="2266" w:type="dxa"/>
            <w:shd w:val="clear" w:color="auto" w:fill="FFFFFF"/>
            <w:vAlign w:val="center"/>
          </w:tcPr>
          <w:p w14:paraId="55B19DE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0.58 </w:t>
            </w:r>
          </w:p>
        </w:tc>
      </w:tr>
      <w:tr w:rsidR="002E5712" w14:paraId="0FC9D0B3" w14:textId="77777777">
        <w:trPr>
          <w:trHeight w:val="397"/>
          <w:jc w:val="center"/>
        </w:trPr>
        <w:tc>
          <w:tcPr>
            <w:tcW w:w="2917" w:type="dxa"/>
            <w:shd w:val="clear" w:color="auto" w:fill="FFFFFF"/>
            <w:vAlign w:val="center"/>
          </w:tcPr>
          <w:p w14:paraId="2C42E636"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1D866B74"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0.58</w:t>
            </w:r>
          </w:p>
        </w:tc>
        <w:tc>
          <w:tcPr>
            <w:tcW w:w="2266" w:type="dxa"/>
            <w:shd w:val="clear" w:color="auto" w:fill="FFFFFF"/>
            <w:vAlign w:val="center"/>
          </w:tcPr>
          <w:p w14:paraId="48D4FFB5"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0.58 </w:t>
            </w:r>
          </w:p>
        </w:tc>
        <w:tc>
          <w:tcPr>
            <w:tcW w:w="2266" w:type="dxa"/>
            <w:gridSpan w:val="2"/>
            <w:shd w:val="clear" w:color="auto" w:fill="FFFFFF"/>
            <w:vAlign w:val="center"/>
          </w:tcPr>
          <w:p w14:paraId="2E628FEE"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0.51</w:t>
            </w:r>
          </w:p>
        </w:tc>
        <w:tc>
          <w:tcPr>
            <w:tcW w:w="2266" w:type="dxa"/>
            <w:shd w:val="clear" w:color="auto" w:fill="FFFFFF"/>
            <w:vAlign w:val="center"/>
          </w:tcPr>
          <w:p w14:paraId="16387AC0"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0.51 </w:t>
            </w:r>
          </w:p>
        </w:tc>
      </w:tr>
      <w:tr w:rsidR="002E5712" w14:paraId="11B3CC30" w14:textId="77777777">
        <w:trPr>
          <w:trHeight w:val="397"/>
          <w:jc w:val="center"/>
        </w:trPr>
        <w:tc>
          <w:tcPr>
            <w:tcW w:w="2917" w:type="dxa"/>
            <w:shd w:val="clear" w:color="auto" w:fill="FFFFFF"/>
            <w:vAlign w:val="center"/>
          </w:tcPr>
          <w:p w14:paraId="4C58184D"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加权平均净资产收益率</w:t>
            </w:r>
          </w:p>
        </w:tc>
        <w:tc>
          <w:tcPr>
            <w:tcW w:w="1873" w:type="dxa"/>
            <w:shd w:val="clear" w:color="auto" w:fill="FFFFFF"/>
            <w:vAlign w:val="center"/>
          </w:tcPr>
          <w:p w14:paraId="6AA9216E"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19.94%</w:t>
            </w:r>
          </w:p>
        </w:tc>
        <w:tc>
          <w:tcPr>
            <w:tcW w:w="2266" w:type="dxa"/>
            <w:shd w:val="clear" w:color="auto" w:fill="FFFFFF"/>
            <w:vAlign w:val="center"/>
          </w:tcPr>
          <w:p w14:paraId="7574628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17.54%</w:t>
            </w:r>
          </w:p>
        </w:tc>
        <w:tc>
          <w:tcPr>
            <w:tcW w:w="2266" w:type="dxa"/>
            <w:gridSpan w:val="2"/>
            <w:shd w:val="clear" w:color="auto" w:fill="FFFFFF"/>
            <w:vAlign w:val="center"/>
          </w:tcPr>
          <w:p w14:paraId="0CF4F8FD"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12.99%</w:t>
            </w:r>
          </w:p>
        </w:tc>
        <w:tc>
          <w:tcPr>
            <w:tcW w:w="2266" w:type="dxa"/>
            <w:shd w:val="clear" w:color="auto" w:fill="FFFFFF"/>
            <w:vAlign w:val="center"/>
          </w:tcPr>
          <w:p w14:paraId="2D00C5D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15.35%</w:t>
            </w:r>
          </w:p>
        </w:tc>
      </w:tr>
      <w:tr w:rsidR="002E5712" w14:paraId="50F6F65A" w14:textId="77777777">
        <w:trPr>
          <w:trHeight w:val="397"/>
          <w:jc w:val="center"/>
        </w:trPr>
        <w:tc>
          <w:tcPr>
            <w:tcW w:w="2917" w:type="dxa"/>
            <w:shd w:val="clear" w:color="auto" w:fill="FFFFFF"/>
            <w:vAlign w:val="center"/>
          </w:tcPr>
          <w:p w14:paraId="39AD0E8D"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扣除非经常性损益后加权平均净资产收益率</w:t>
            </w:r>
          </w:p>
        </w:tc>
        <w:tc>
          <w:tcPr>
            <w:tcW w:w="1873" w:type="dxa"/>
            <w:shd w:val="clear" w:color="auto" w:fill="FFFFFF"/>
            <w:vAlign w:val="center"/>
          </w:tcPr>
          <w:p w14:paraId="3F140B25"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14.34%</w:t>
            </w:r>
          </w:p>
        </w:tc>
        <w:tc>
          <w:tcPr>
            <w:tcW w:w="2266" w:type="dxa"/>
            <w:shd w:val="clear" w:color="auto" w:fill="FFFFFF"/>
            <w:vAlign w:val="center"/>
          </w:tcPr>
          <w:p w14:paraId="7EFC4EB3"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12.61%</w:t>
            </w:r>
          </w:p>
        </w:tc>
        <w:tc>
          <w:tcPr>
            <w:tcW w:w="2266" w:type="dxa"/>
            <w:gridSpan w:val="2"/>
            <w:shd w:val="clear" w:color="auto" w:fill="FFFFFF"/>
            <w:vAlign w:val="center"/>
          </w:tcPr>
          <w:p w14:paraId="30641513"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9.34%</w:t>
            </w:r>
          </w:p>
        </w:tc>
        <w:tc>
          <w:tcPr>
            <w:tcW w:w="2266" w:type="dxa"/>
            <w:shd w:val="clear" w:color="auto" w:fill="FFFFFF"/>
            <w:vAlign w:val="center"/>
          </w:tcPr>
          <w:p w14:paraId="0A89510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11.03%</w:t>
            </w:r>
          </w:p>
        </w:tc>
      </w:tr>
      <w:tr w:rsidR="002E5712" w14:paraId="4B270703" w14:textId="77777777">
        <w:trPr>
          <w:trHeight w:val="397"/>
          <w:jc w:val="center"/>
        </w:trPr>
        <w:tc>
          <w:tcPr>
            <w:tcW w:w="11588" w:type="dxa"/>
            <w:gridSpan w:val="6"/>
            <w:shd w:val="clear" w:color="auto" w:fill="FFFFFF"/>
            <w:vAlign w:val="center"/>
          </w:tcPr>
          <w:p w14:paraId="2D55AEFE" w14:textId="77777777" w:rsidR="002E5712" w:rsidRDefault="00000000">
            <w:pPr>
              <w:widowControl/>
              <w:rPr>
                <w:rFonts w:ascii="Times New Roman" w:hAnsi="Times New Roman"/>
                <w:b/>
                <w:bCs/>
                <w:color w:val="000000"/>
                <w:kern w:val="0"/>
                <w:szCs w:val="21"/>
              </w:rPr>
            </w:pPr>
            <w:r>
              <w:rPr>
                <w:rFonts w:ascii="Times New Roman" w:hAnsi="Times New Roman"/>
                <w:b/>
                <w:bCs/>
                <w:color w:val="000000"/>
                <w:kern w:val="0"/>
                <w:szCs w:val="21"/>
              </w:rPr>
              <w:t>假设</w:t>
            </w:r>
            <w:r>
              <w:rPr>
                <w:rFonts w:ascii="Times New Roman" w:hAnsi="Times New Roman"/>
                <w:b/>
                <w:bCs/>
                <w:color w:val="000000"/>
                <w:kern w:val="0"/>
                <w:szCs w:val="21"/>
              </w:rPr>
              <w:t>3</w:t>
            </w:r>
            <w:r>
              <w:rPr>
                <w:rFonts w:ascii="Times New Roman" w:hAnsi="Times New Roman"/>
                <w:b/>
                <w:bCs/>
                <w:color w:val="000000"/>
                <w:kern w:val="0"/>
                <w:szCs w:val="21"/>
              </w:rPr>
              <w:t>：假设</w:t>
            </w:r>
            <w:r>
              <w:rPr>
                <w:rFonts w:ascii="Times New Roman" w:hAnsi="Times New Roman"/>
                <w:b/>
                <w:bCs/>
                <w:color w:val="000000"/>
                <w:kern w:val="0"/>
                <w:szCs w:val="21"/>
              </w:rPr>
              <w:t>2023</w:t>
            </w:r>
            <w:r>
              <w:rPr>
                <w:rFonts w:ascii="Times New Roman" w:hAnsi="Times New Roman"/>
                <w:b/>
                <w:bCs/>
                <w:color w:val="000000"/>
                <w:kern w:val="0"/>
                <w:szCs w:val="21"/>
              </w:rPr>
              <w:t>年度扣除非经常性损益前</w:t>
            </w:r>
            <w:r>
              <w:rPr>
                <w:rFonts w:ascii="Times New Roman" w:hAnsi="Times New Roman"/>
                <w:b/>
                <w:bCs/>
                <w:color w:val="000000"/>
                <w:kern w:val="0"/>
                <w:szCs w:val="21"/>
              </w:rPr>
              <w:t>/</w:t>
            </w:r>
            <w:r>
              <w:rPr>
                <w:rFonts w:ascii="Times New Roman" w:hAnsi="Times New Roman"/>
                <w:b/>
                <w:bCs/>
                <w:color w:val="000000"/>
                <w:kern w:val="0"/>
                <w:szCs w:val="21"/>
              </w:rPr>
              <w:t>后归属于母公司股东的净利润同比增长</w:t>
            </w:r>
            <w:r>
              <w:rPr>
                <w:rFonts w:ascii="Times New Roman" w:hAnsi="Times New Roman"/>
                <w:b/>
                <w:bCs/>
                <w:color w:val="000000"/>
                <w:kern w:val="0"/>
                <w:szCs w:val="21"/>
              </w:rPr>
              <w:t>15%</w:t>
            </w:r>
          </w:p>
        </w:tc>
      </w:tr>
      <w:tr w:rsidR="002E5712" w14:paraId="75ECB139" w14:textId="77777777">
        <w:trPr>
          <w:trHeight w:val="397"/>
          <w:jc w:val="center"/>
        </w:trPr>
        <w:tc>
          <w:tcPr>
            <w:tcW w:w="2917" w:type="dxa"/>
            <w:shd w:val="clear" w:color="auto" w:fill="FFFFFF"/>
            <w:vAlign w:val="center"/>
          </w:tcPr>
          <w:p w14:paraId="3344D588" w14:textId="77777777" w:rsidR="002E5712" w:rsidRDefault="00000000">
            <w:pPr>
              <w:widowControl/>
              <w:jc w:val="left"/>
              <w:rPr>
                <w:rFonts w:ascii="Times New Roman" w:hAnsi="Times New Roman"/>
                <w:color w:val="000000"/>
                <w:kern w:val="0"/>
                <w:szCs w:val="21"/>
              </w:rPr>
            </w:pP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72C09B45" w14:textId="77777777" w:rsidR="002E5712" w:rsidRDefault="00000000">
            <w:pPr>
              <w:widowControl/>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136,205,068.76</w:t>
            </w:r>
          </w:p>
        </w:tc>
        <w:tc>
          <w:tcPr>
            <w:tcW w:w="2266" w:type="dxa"/>
            <w:shd w:val="clear" w:color="auto" w:fill="FFFFFF"/>
            <w:vAlign w:val="center"/>
          </w:tcPr>
          <w:p w14:paraId="6211903D" w14:textId="77777777" w:rsidR="002E5712" w:rsidRDefault="00000000">
            <w:pPr>
              <w:widowControl/>
              <w:jc w:val="right"/>
              <w:rPr>
                <w:rFonts w:ascii="Times New Roman" w:eastAsia="等线" w:hAnsi="Times New Roman"/>
                <w:color w:val="000000"/>
                <w:kern w:val="0"/>
                <w:sz w:val="20"/>
                <w:szCs w:val="20"/>
                <w:highlight w:val="yellow"/>
              </w:rPr>
            </w:pPr>
            <w:r>
              <w:rPr>
                <w:rFonts w:ascii="Times New Roman" w:eastAsia="等线" w:hAnsi="Times New Roman"/>
                <w:color w:val="000000"/>
                <w:sz w:val="20"/>
                <w:szCs w:val="20"/>
              </w:rPr>
              <w:t xml:space="preserve">156,635,829.07 </w:t>
            </w:r>
          </w:p>
        </w:tc>
        <w:tc>
          <w:tcPr>
            <w:tcW w:w="2266" w:type="dxa"/>
            <w:gridSpan w:val="2"/>
            <w:shd w:val="clear" w:color="auto" w:fill="FFFFFF"/>
            <w:vAlign w:val="center"/>
          </w:tcPr>
          <w:p w14:paraId="56D75CD5"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180,131,203.44</w:t>
            </w:r>
          </w:p>
        </w:tc>
        <w:tc>
          <w:tcPr>
            <w:tcW w:w="2266" w:type="dxa"/>
            <w:shd w:val="clear" w:color="auto" w:fill="FFFFFF"/>
            <w:vAlign w:val="center"/>
          </w:tcPr>
          <w:p w14:paraId="1F114E11"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180,131,203.44 </w:t>
            </w:r>
          </w:p>
        </w:tc>
      </w:tr>
      <w:tr w:rsidR="002E5712" w14:paraId="385E3D22" w14:textId="77777777">
        <w:trPr>
          <w:trHeight w:val="397"/>
          <w:jc w:val="center"/>
        </w:trPr>
        <w:tc>
          <w:tcPr>
            <w:tcW w:w="2917" w:type="dxa"/>
            <w:shd w:val="clear" w:color="auto" w:fill="FFFFFF"/>
            <w:vAlign w:val="center"/>
          </w:tcPr>
          <w:p w14:paraId="1457C9C0"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w:t>
            </w:r>
            <w:r>
              <w:rPr>
                <w:rFonts w:ascii="Times New Roman" w:hAnsi="Times New Roman"/>
                <w:szCs w:val="21"/>
              </w:rPr>
              <w:t>归属于母公司股东的净利润</w:t>
            </w:r>
            <w:r>
              <w:rPr>
                <w:rFonts w:ascii="Times New Roman" w:hAnsi="Times New Roman"/>
                <w:color w:val="000000"/>
                <w:kern w:val="0"/>
                <w:szCs w:val="21"/>
              </w:rPr>
              <w:t>（元）</w:t>
            </w:r>
          </w:p>
        </w:tc>
        <w:tc>
          <w:tcPr>
            <w:tcW w:w="1873" w:type="dxa"/>
            <w:shd w:val="clear" w:color="auto" w:fill="FFFFFF"/>
            <w:vAlign w:val="center"/>
          </w:tcPr>
          <w:p w14:paraId="06E38FEA"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97,939,171.27</w:t>
            </w:r>
          </w:p>
        </w:tc>
        <w:tc>
          <w:tcPr>
            <w:tcW w:w="2266" w:type="dxa"/>
            <w:shd w:val="clear" w:color="auto" w:fill="FFFFFF"/>
            <w:vAlign w:val="center"/>
          </w:tcPr>
          <w:p w14:paraId="6314AA3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112,630,046.96 </w:t>
            </w:r>
          </w:p>
        </w:tc>
        <w:tc>
          <w:tcPr>
            <w:tcW w:w="2266" w:type="dxa"/>
            <w:gridSpan w:val="2"/>
            <w:shd w:val="clear" w:color="auto" w:fill="FFFFFF"/>
            <w:vAlign w:val="center"/>
          </w:tcPr>
          <w:p w14:paraId="2AD3189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129,524,554.00</w:t>
            </w:r>
          </w:p>
        </w:tc>
        <w:tc>
          <w:tcPr>
            <w:tcW w:w="2266" w:type="dxa"/>
            <w:shd w:val="clear" w:color="auto" w:fill="FFFFFF"/>
            <w:vAlign w:val="center"/>
          </w:tcPr>
          <w:p w14:paraId="7F63F295"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129,524,554.00 </w:t>
            </w:r>
          </w:p>
        </w:tc>
      </w:tr>
      <w:tr w:rsidR="002E5712" w14:paraId="6335D8DF" w14:textId="77777777">
        <w:trPr>
          <w:trHeight w:val="397"/>
          <w:jc w:val="center"/>
        </w:trPr>
        <w:tc>
          <w:tcPr>
            <w:tcW w:w="2917" w:type="dxa"/>
            <w:shd w:val="clear" w:color="auto" w:fill="FFFFFF"/>
            <w:vAlign w:val="center"/>
          </w:tcPr>
          <w:p w14:paraId="125C16B3"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lastRenderedPageBreak/>
              <w:t>归属于母公司所有者权益（元）</w:t>
            </w:r>
          </w:p>
        </w:tc>
        <w:tc>
          <w:tcPr>
            <w:tcW w:w="1873" w:type="dxa"/>
            <w:shd w:val="clear" w:color="auto" w:fill="FFFFFF"/>
            <w:vAlign w:val="center"/>
          </w:tcPr>
          <w:p w14:paraId="71DF803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733,889,514.15</w:t>
            </w:r>
          </w:p>
        </w:tc>
        <w:tc>
          <w:tcPr>
            <w:tcW w:w="2266" w:type="dxa"/>
            <w:shd w:val="clear" w:color="auto" w:fill="FFFFFF"/>
            <w:vAlign w:val="center"/>
          </w:tcPr>
          <w:p w14:paraId="264741E9"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839,862,198.82 </w:t>
            </w:r>
          </w:p>
        </w:tc>
        <w:tc>
          <w:tcPr>
            <w:tcW w:w="2266" w:type="dxa"/>
            <w:gridSpan w:val="2"/>
            <w:shd w:val="clear" w:color="auto" w:fill="FFFFFF"/>
            <w:vAlign w:val="center"/>
          </w:tcPr>
          <w:p w14:paraId="16B83F7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1,341,823,402.26</w:t>
            </w:r>
          </w:p>
        </w:tc>
        <w:tc>
          <w:tcPr>
            <w:tcW w:w="2266" w:type="dxa"/>
            <w:shd w:val="clear" w:color="auto" w:fill="FFFFFF"/>
            <w:vAlign w:val="center"/>
          </w:tcPr>
          <w:p w14:paraId="35679E6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1,019,993,402.26 </w:t>
            </w:r>
          </w:p>
        </w:tc>
      </w:tr>
      <w:tr w:rsidR="002E5712" w14:paraId="7D9D2B31" w14:textId="77777777">
        <w:trPr>
          <w:trHeight w:val="397"/>
          <w:jc w:val="center"/>
        </w:trPr>
        <w:tc>
          <w:tcPr>
            <w:tcW w:w="2917" w:type="dxa"/>
            <w:shd w:val="clear" w:color="auto" w:fill="FFFFFF"/>
            <w:vAlign w:val="center"/>
          </w:tcPr>
          <w:p w14:paraId="23CDC6F8"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2856D769"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0.81</w:t>
            </w:r>
          </w:p>
        </w:tc>
        <w:tc>
          <w:tcPr>
            <w:tcW w:w="2266" w:type="dxa"/>
            <w:shd w:val="clear" w:color="auto" w:fill="FFFFFF"/>
            <w:vAlign w:val="center"/>
          </w:tcPr>
          <w:p w14:paraId="26929D47"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0.93 </w:t>
            </w:r>
          </w:p>
        </w:tc>
        <w:tc>
          <w:tcPr>
            <w:tcW w:w="2266" w:type="dxa"/>
            <w:gridSpan w:val="2"/>
            <w:shd w:val="clear" w:color="auto" w:fill="FFFFFF"/>
            <w:vAlign w:val="center"/>
          </w:tcPr>
          <w:p w14:paraId="61A8873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1.00</w:t>
            </w:r>
          </w:p>
        </w:tc>
        <w:tc>
          <w:tcPr>
            <w:tcW w:w="2266" w:type="dxa"/>
            <w:shd w:val="clear" w:color="auto" w:fill="FFFFFF"/>
            <w:vAlign w:val="center"/>
          </w:tcPr>
          <w:p w14:paraId="1958C57E"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1.07 </w:t>
            </w:r>
          </w:p>
        </w:tc>
      </w:tr>
      <w:tr w:rsidR="002E5712" w14:paraId="39DC2E90" w14:textId="77777777">
        <w:trPr>
          <w:trHeight w:val="397"/>
          <w:jc w:val="center"/>
        </w:trPr>
        <w:tc>
          <w:tcPr>
            <w:tcW w:w="2917" w:type="dxa"/>
            <w:shd w:val="clear" w:color="auto" w:fill="FFFFFF"/>
            <w:vAlign w:val="center"/>
          </w:tcPr>
          <w:p w14:paraId="118EEE64"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335C21E9"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0.80</w:t>
            </w:r>
          </w:p>
        </w:tc>
        <w:tc>
          <w:tcPr>
            <w:tcW w:w="2266" w:type="dxa"/>
            <w:shd w:val="clear" w:color="auto" w:fill="FFFFFF"/>
            <w:vAlign w:val="center"/>
          </w:tcPr>
          <w:p w14:paraId="708DA83B"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0.93 </w:t>
            </w:r>
          </w:p>
        </w:tc>
        <w:tc>
          <w:tcPr>
            <w:tcW w:w="2266" w:type="dxa"/>
            <w:gridSpan w:val="2"/>
            <w:shd w:val="clear" w:color="auto" w:fill="FFFFFF"/>
            <w:vAlign w:val="center"/>
          </w:tcPr>
          <w:p w14:paraId="057BCF4E"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0.94</w:t>
            </w:r>
          </w:p>
        </w:tc>
        <w:tc>
          <w:tcPr>
            <w:tcW w:w="2266" w:type="dxa"/>
            <w:shd w:val="clear" w:color="auto" w:fill="FFFFFF"/>
            <w:vAlign w:val="center"/>
          </w:tcPr>
          <w:p w14:paraId="79CC9E27"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0.93 </w:t>
            </w:r>
          </w:p>
        </w:tc>
      </w:tr>
      <w:tr w:rsidR="002E5712" w14:paraId="6E42EEEE" w14:textId="77777777">
        <w:trPr>
          <w:trHeight w:val="397"/>
          <w:jc w:val="center"/>
        </w:trPr>
        <w:tc>
          <w:tcPr>
            <w:tcW w:w="2917" w:type="dxa"/>
            <w:shd w:val="clear" w:color="auto" w:fill="FFFFFF"/>
            <w:vAlign w:val="center"/>
          </w:tcPr>
          <w:p w14:paraId="4EF30F79"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扣除非经常性损益后基本每股收益（元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5DA5618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0.58</w:t>
            </w:r>
          </w:p>
        </w:tc>
        <w:tc>
          <w:tcPr>
            <w:tcW w:w="2266" w:type="dxa"/>
            <w:shd w:val="clear" w:color="auto" w:fill="FFFFFF"/>
            <w:vAlign w:val="center"/>
          </w:tcPr>
          <w:p w14:paraId="2C9B90A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0.67 </w:t>
            </w:r>
          </w:p>
        </w:tc>
        <w:tc>
          <w:tcPr>
            <w:tcW w:w="2266" w:type="dxa"/>
            <w:gridSpan w:val="2"/>
            <w:shd w:val="clear" w:color="auto" w:fill="FFFFFF"/>
            <w:vAlign w:val="center"/>
          </w:tcPr>
          <w:p w14:paraId="6709F065"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0.72</w:t>
            </w:r>
          </w:p>
        </w:tc>
        <w:tc>
          <w:tcPr>
            <w:tcW w:w="2266" w:type="dxa"/>
            <w:shd w:val="clear" w:color="auto" w:fill="FFFFFF"/>
            <w:vAlign w:val="center"/>
          </w:tcPr>
          <w:p w14:paraId="035851B3"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0.77 </w:t>
            </w:r>
          </w:p>
        </w:tc>
      </w:tr>
      <w:tr w:rsidR="002E5712" w14:paraId="56E9ADCA" w14:textId="77777777">
        <w:trPr>
          <w:trHeight w:val="397"/>
          <w:jc w:val="center"/>
        </w:trPr>
        <w:tc>
          <w:tcPr>
            <w:tcW w:w="2917" w:type="dxa"/>
            <w:shd w:val="clear" w:color="auto" w:fill="FFFFFF"/>
            <w:vAlign w:val="center"/>
          </w:tcPr>
          <w:p w14:paraId="18D5156D"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扣除非经常性损益后稀释每股收益（元</w:t>
            </w:r>
            <w:r>
              <w:rPr>
                <w:rFonts w:ascii="Times New Roman" w:hAnsi="Times New Roman"/>
                <w:color w:val="000000"/>
                <w:kern w:val="0"/>
                <w:szCs w:val="21"/>
              </w:rPr>
              <w:t>/</w:t>
            </w:r>
            <w:r>
              <w:rPr>
                <w:rFonts w:ascii="Times New Roman" w:hAnsi="Times New Roman"/>
                <w:color w:val="000000"/>
                <w:kern w:val="0"/>
                <w:szCs w:val="21"/>
              </w:rPr>
              <w:t>股）</w:t>
            </w:r>
          </w:p>
        </w:tc>
        <w:tc>
          <w:tcPr>
            <w:tcW w:w="1873" w:type="dxa"/>
            <w:shd w:val="clear" w:color="auto" w:fill="FFFFFF"/>
            <w:vAlign w:val="center"/>
          </w:tcPr>
          <w:p w14:paraId="41A3BEE7"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0.58</w:t>
            </w:r>
          </w:p>
        </w:tc>
        <w:tc>
          <w:tcPr>
            <w:tcW w:w="2266" w:type="dxa"/>
            <w:shd w:val="clear" w:color="auto" w:fill="FFFFFF"/>
            <w:vAlign w:val="center"/>
          </w:tcPr>
          <w:p w14:paraId="41DF889F"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0.67 </w:t>
            </w:r>
          </w:p>
        </w:tc>
        <w:tc>
          <w:tcPr>
            <w:tcW w:w="2266" w:type="dxa"/>
            <w:gridSpan w:val="2"/>
            <w:shd w:val="clear" w:color="auto" w:fill="FFFFFF"/>
            <w:vAlign w:val="center"/>
          </w:tcPr>
          <w:p w14:paraId="37891A66"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0.67</w:t>
            </w:r>
          </w:p>
        </w:tc>
        <w:tc>
          <w:tcPr>
            <w:tcW w:w="2266" w:type="dxa"/>
            <w:shd w:val="clear" w:color="auto" w:fill="FFFFFF"/>
            <w:vAlign w:val="center"/>
          </w:tcPr>
          <w:p w14:paraId="21C67E58"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 xml:space="preserve">0.67 </w:t>
            </w:r>
          </w:p>
        </w:tc>
      </w:tr>
      <w:tr w:rsidR="002E5712" w14:paraId="453EBD56" w14:textId="77777777">
        <w:trPr>
          <w:trHeight w:val="397"/>
          <w:jc w:val="center"/>
        </w:trPr>
        <w:tc>
          <w:tcPr>
            <w:tcW w:w="2917" w:type="dxa"/>
            <w:shd w:val="clear" w:color="auto" w:fill="FFFFFF"/>
            <w:vAlign w:val="center"/>
          </w:tcPr>
          <w:p w14:paraId="5DBD0495"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加权平均净资产收益率</w:t>
            </w:r>
          </w:p>
        </w:tc>
        <w:tc>
          <w:tcPr>
            <w:tcW w:w="1873" w:type="dxa"/>
            <w:shd w:val="clear" w:color="auto" w:fill="FFFFFF"/>
            <w:vAlign w:val="center"/>
          </w:tcPr>
          <w:p w14:paraId="3765BF0A"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19.94%</w:t>
            </w:r>
          </w:p>
        </w:tc>
        <w:tc>
          <w:tcPr>
            <w:tcW w:w="2266" w:type="dxa"/>
            <w:shd w:val="clear" w:color="auto" w:fill="FFFFFF"/>
            <w:vAlign w:val="center"/>
          </w:tcPr>
          <w:p w14:paraId="555EC696"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19.91%</w:t>
            </w:r>
          </w:p>
        </w:tc>
        <w:tc>
          <w:tcPr>
            <w:tcW w:w="2266" w:type="dxa"/>
            <w:gridSpan w:val="2"/>
            <w:shd w:val="clear" w:color="auto" w:fill="FFFFFF"/>
            <w:vAlign w:val="center"/>
          </w:tcPr>
          <w:p w14:paraId="2FF54E2C"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16.51%</w:t>
            </w:r>
          </w:p>
        </w:tc>
        <w:tc>
          <w:tcPr>
            <w:tcW w:w="2266" w:type="dxa"/>
            <w:shd w:val="clear" w:color="auto" w:fill="FFFFFF"/>
            <w:vAlign w:val="center"/>
          </w:tcPr>
          <w:p w14:paraId="70C4B41D"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19.37%</w:t>
            </w:r>
          </w:p>
        </w:tc>
      </w:tr>
      <w:tr w:rsidR="002E5712" w14:paraId="21D0B4BD" w14:textId="77777777">
        <w:trPr>
          <w:trHeight w:val="397"/>
          <w:jc w:val="center"/>
        </w:trPr>
        <w:tc>
          <w:tcPr>
            <w:tcW w:w="2917" w:type="dxa"/>
            <w:shd w:val="clear" w:color="auto" w:fill="FFFFFF"/>
            <w:vAlign w:val="center"/>
          </w:tcPr>
          <w:p w14:paraId="12F26F60" w14:textId="77777777" w:rsidR="002E5712" w:rsidRDefault="00000000">
            <w:pPr>
              <w:widowControl/>
              <w:jc w:val="left"/>
              <w:rPr>
                <w:rFonts w:ascii="Times New Roman" w:hAnsi="Times New Roman"/>
                <w:color w:val="000000"/>
                <w:kern w:val="0"/>
                <w:szCs w:val="21"/>
              </w:rPr>
            </w:pPr>
            <w:r>
              <w:rPr>
                <w:rFonts w:ascii="Times New Roman" w:hAnsi="Times New Roman"/>
                <w:color w:val="000000"/>
                <w:kern w:val="0"/>
                <w:szCs w:val="21"/>
              </w:rPr>
              <w:t>扣除非经常性损益后加权平均净资产收益率</w:t>
            </w:r>
          </w:p>
        </w:tc>
        <w:tc>
          <w:tcPr>
            <w:tcW w:w="1873" w:type="dxa"/>
            <w:shd w:val="clear" w:color="auto" w:fill="FFFFFF"/>
            <w:vAlign w:val="center"/>
          </w:tcPr>
          <w:p w14:paraId="79A77543"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14.34%</w:t>
            </w:r>
          </w:p>
        </w:tc>
        <w:tc>
          <w:tcPr>
            <w:tcW w:w="2266" w:type="dxa"/>
            <w:shd w:val="clear" w:color="auto" w:fill="FFFFFF"/>
            <w:vAlign w:val="center"/>
          </w:tcPr>
          <w:p w14:paraId="284A7ECE"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14.31%</w:t>
            </w:r>
          </w:p>
        </w:tc>
        <w:tc>
          <w:tcPr>
            <w:tcW w:w="2266" w:type="dxa"/>
            <w:gridSpan w:val="2"/>
            <w:shd w:val="clear" w:color="auto" w:fill="FFFFFF"/>
            <w:vAlign w:val="center"/>
          </w:tcPr>
          <w:p w14:paraId="4CEF7B3A"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11.87%</w:t>
            </w:r>
          </w:p>
        </w:tc>
        <w:tc>
          <w:tcPr>
            <w:tcW w:w="2266" w:type="dxa"/>
            <w:shd w:val="clear" w:color="auto" w:fill="FFFFFF"/>
            <w:vAlign w:val="center"/>
          </w:tcPr>
          <w:p w14:paraId="1A574A79" w14:textId="77777777" w:rsidR="002E5712" w:rsidRDefault="00000000">
            <w:pPr>
              <w:jc w:val="right"/>
              <w:rPr>
                <w:rFonts w:ascii="Times New Roman" w:eastAsia="等线" w:hAnsi="Times New Roman"/>
                <w:color w:val="000000"/>
                <w:sz w:val="20"/>
                <w:szCs w:val="20"/>
                <w:highlight w:val="yellow"/>
              </w:rPr>
            </w:pPr>
            <w:r>
              <w:rPr>
                <w:rFonts w:ascii="Times New Roman" w:eastAsia="等线" w:hAnsi="Times New Roman"/>
                <w:color w:val="000000"/>
                <w:sz w:val="20"/>
                <w:szCs w:val="20"/>
              </w:rPr>
              <w:t>13.93%</w:t>
            </w:r>
          </w:p>
        </w:tc>
      </w:tr>
    </w:tbl>
    <w:bookmarkEnd w:id="29"/>
    <w:p w14:paraId="5EB273A6" w14:textId="77777777" w:rsidR="002E5712" w:rsidRDefault="00000000">
      <w:pPr>
        <w:adjustRightInd w:val="0"/>
        <w:ind w:firstLineChars="200" w:firstLine="420"/>
        <w:rPr>
          <w:rFonts w:ascii="Times New Roman" w:hAnsi="Times New Roman"/>
          <w:bCs/>
          <w:kern w:val="0"/>
          <w:lang w:val="zh-CN" w:bidi="zh-CN"/>
        </w:rPr>
      </w:pPr>
      <w:r>
        <w:rPr>
          <w:rFonts w:ascii="Times New Roman" w:hAnsi="Times New Roman"/>
          <w:bCs/>
          <w:kern w:val="0"/>
          <w:lang w:val="zh-CN" w:bidi="zh-CN"/>
        </w:rPr>
        <w:t>注：上述每股收益指标根据《公开发行证券的公司信息披露编报规则第</w:t>
      </w:r>
      <w:r>
        <w:rPr>
          <w:rFonts w:ascii="Times New Roman" w:hAnsi="Times New Roman"/>
          <w:bCs/>
          <w:kern w:val="0"/>
          <w:lang w:val="zh-CN" w:bidi="zh-CN"/>
        </w:rPr>
        <w:t>9</w:t>
      </w:r>
      <w:r>
        <w:rPr>
          <w:rFonts w:ascii="Times New Roman" w:hAnsi="Times New Roman"/>
          <w:bCs/>
          <w:kern w:val="0"/>
          <w:lang w:val="zh-CN" w:bidi="zh-CN"/>
        </w:rPr>
        <w:t>号</w:t>
      </w:r>
      <w:r>
        <w:rPr>
          <w:rFonts w:ascii="Times New Roman" w:hAnsi="Times New Roman"/>
          <w:bCs/>
          <w:kern w:val="0"/>
          <w:lang w:val="zh-CN" w:bidi="zh-CN"/>
        </w:rPr>
        <w:t>——</w:t>
      </w:r>
      <w:r>
        <w:rPr>
          <w:rFonts w:ascii="Times New Roman" w:hAnsi="Times New Roman"/>
          <w:bCs/>
          <w:kern w:val="0"/>
          <w:lang w:val="zh-CN" w:bidi="zh-CN"/>
        </w:rPr>
        <w:t>净资产收益率和每股收益的计算及披露》的有关规定进行计算。</w:t>
      </w:r>
    </w:p>
    <w:p w14:paraId="7F0BA1F5" w14:textId="77777777" w:rsidR="002E5712" w:rsidRDefault="00000000">
      <w:pPr>
        <w:pStyle w:val="000"/>
        <w:rPr>
          <w:color w:val="000000"/>
          <w:lang w:eastAsia="zh-Hans"/>
        </w:rPr>
      </w:pPr>
      <w:r>
        <w:rPr>
          <w:color w:val="000000"/>
          <w:lang w:eastAsia="zh-Hans"/>
        </w:rPr>
        <w:t>根据上述测算，在完成本次发行后，公司股本规模以及净资产规模将会相应增加，但由于募集资金产生效益需要一定时间，短期内每股收益等指标存在被摊薄的风险。</w:t>
      </w:r>
    </w:p>
    <w:p w14:paraId="7C514177" w14:textId="77777777" w:rsidR="002E5712" w:rsidRDefault="00000000">
      <w:pPr>
        <w:keepNext/>
        <w:keepLines/>
        <w:widowControl/>
        <w:spacing w:beforeLines="50" w:before="156" w:afterLines="50" w:after="156" w:line="360" w:lineRule="auto"/>
        <w:jc w:val="left"/>
        <w:outlineLvl w:val="2"/>
        <w:rPr>
          <w:rFonts w:ascii="Times New Roman" w:hAnsi="Times New Roman"/>
          <w:b/>
          <w:bCs/>
          <w:color w:val="000000"/>
          <w:kern w:val="0"/>
          <w:sz w:val="24"/>
          <w:szCs w:val="24"/>
        </w:rPr>
      </w:pPr>
      <w:bookmarkStart w:id="30" w:name="_Toc30577"/>
      <w:bookmarkStart w:id="31" w:name="_Toc84680655"/>
      <w:bookmarkStart w:id="32" w:name="_Toc83651127"/>
      <w:bookmarkStart w:id="33" w:name="_Toc10700"/>
      <w:bookmarkStart w:id="34" w:name="_Toc5802693"/>
      <w:bookmarkStart w:id="35" w:name="_Toc7694"/>
      <w:r>
        <w:rPr>
          <w:rFonts w:ascii="Times New Roman" w:hAnsi="Times New Roman"/>
          <w:b/>
          <w:bCs/>
          <w:color w:val="000000"/>
          <w:kern w:val="0"/>
          <w:sz w:val="24"/>
          <w:szCs w:val="24"/>
        </w:rPr>
        <w:t>（二）公司</w:t>
      </w:r>
      <w:bookmarkStart w:id="36" w:name="_Hlk36480510"/>
      <w:r>
        <w:rPr>
          <w:rFonts w:ascii="Times New Roman" w:hAnsi="Times New Roman"/>
          <w:b/>
          <w:bCs/>
          <w:color w:val="000000"/>
          <w:kern w:val="0"/>
          <w:sz w:val="24"/>
          <w:szCs w:val="24"/>
        </w:rPr>
        <w:t>应对本次发行摊薄即期回报采取的措施</w:t>
      </w:r>
      <w:bookmarkEnd w:id="30"/>
      <w:bookmarkEnd w:id="31"/>
      <w:bookmarkEnd w:id="32"/>
      <w:bookmarkEnd w:id="33"/>
      <w:bookmarkEnd w:id="34"/>
      <w:bookmarkEnd w:id="35"/>
      <w:bookmarkEnd w:id="36"/>
    </w:p>
    <w:p w14:paraId="54497009" w14:textId="77777777" w:rsidR="002E5712" w:rsidRDefault="00000000">
      <w:pPr>
        <w:pStyle w:val="000"/>
        <w:rPr>
          <w:color w:val="000000"/>
          <w:lang w:eastAsia="zh-Hans"/>
        </w:rPr>
      </w:pPr>
      <w:bookmarkStart w:id="37" w:name="_Hlk36480525"/>
      <w:r>
        <w:rPr>
          <w:color w:val="000000"/>
          <w:lang w:eastAsia="zh-Hans"/>
        </w:rPr>
        <w:t>为了维护广大投资者的利益，降低即期回报被摊薄的风险，增强对股东利益的回报，公司拟采取多种措施填补即期回报，具体如下：</w:t>
      </w:r>
    </w:p>
    <w:p w14:paraId="205BE236"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t>1</w:t>
      </w:r>
      <w:r>
        <w:rPr>
          <w:rFonts w:ascii="Times New Roman" w:hAnsi="Times New Roman"/>
          <w:b/>
          <w:bCs/>
          <w:sz w:val="24"/>
          <w:szCs w:val="28"/>
        </w:rPr>
        <w:t>、强化募集资金管理，保证募集资金合理规范使用</w:t>
      </w:r>
    </w:p>
    <w:p w14:paraId="0001FC66" w14:textId="77777777" w:rsidR="002E5712" w:rsidRDefault="00000000">
      <w:pPr>
        <w:pStyle w:val="000"/>
        <w:rPr>
          <w:color w:val="000000"/>
          <w:lang w:eastAsia="zh-Hans"/>
        </w:rPr>
      </w:pPr>
      <w:r>
        <w:rPr>
          <w:color w:val="000000"/>
          <w:lang w:eastAsia="zh-Hans"/>
        </w:rPr>
        <w:t>公司将严格按照《证券法》《上市公司监管指引第</w:t>
      </w:r>
      <w:r>
        <w:rPr>
          <w:color w:val="000000"/>
          <w:lang w:eastAsia="zh-Hans"/>
        </w:rPr>
        <w:t>2</w:t>
      </w:r>
      <w:r>
        <w:rPr>
          <w:color w:val="000000"/>
          <w:lang w:eastAsia="zh-Hans"/>
        </w:rPr>
        <w:t>号</w:t>
      </w:r>
      <w:r>
        <w:rPr>
          <w:color w:val="000000"/>
          <w:lang w:eastAsia="zh-Hans"/>
        </w:rPr>
        <w:t>—</w:t>
      </w:r>
      <w:r>
        <w:rPr>
          <w:color w:val="000000"/>
          <w:lang w:eastAsia="zh-Hans"/>
        </w:rPr>
        <w:t>上市公司募集资金管理和使用的监管要求》和《深圳证券交易所上市公司自律监管指引第</w:t>
      </w:r>
      <w:r>
        <w:rPr>
          <w:color w:val="000000"/>
          <w:lang w:eastAsia="zh-Hans"/>
        </w:rPr>
        <w:t>1</w:t>
      </w:r>
      <w:r>
        <w:rPr>
          <w:color w:val="000000"/>
          <w:lang w:eastAsia="zh-Hans"/>
        </w:rPr>
        <w:t>号</w:t>
      </w:r>
      <w:r>
        <w:rPr>
          <w:color w:val="000000"/>
          <w:lang w:eastAsia="zh-Hans"/>
        </w:rPr>
        <w:t>——</w:t>
      </w:r>
      <w:r>
        <w:rPr>
          <w:color w:val="000000"/>
          <w:lang w:eastAsia="zh-Hans"/>
        </w:rPr>
        <w:t>主板上市公司规范运作》等法律法规、规范性文件以及公司《募集资金管理制度》的规定，加强募集资金管理，对募集资金进行专户存储，并依相关规定使用募集资金，以保证募集资金合理规范使用，防范募集资金使用风险，提高募集资金使用效率。</w:t>
      </w:r>
    </w:p>
    <w:p w14:paraId="673C932B"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t>2</w:t>
      </w:r>
      <w:r>
        <w:rPr>
          <w:rFonts w:ascii="Times New Roman" w:hAnsi="Times New Roman"/>
          <w:b/>
          <w:bCs/>
          <w:sz w:val="24"/>
          <w:szCs w:val="28"/>
        </w:rPr>
        <w:t>、加快</w:t>
      </w:r>
      <w:proofErr w:type="gramStart"/>
      <w:r>
        <w:rPr>
          <w:rFonts w:ascii="Times New Roman" w:hAnsi="Times New Roman"/>
          <w:b/>
          <w:bCs/>
          <w:sz w:val="24"/>
          <w:szCs w:val="28"/>
        </w:rPr>
        <w:t>募投项目</w:t>
      </w:r>
      <w:proofErr w:type="gramEnd"/>
      <w:r>
        <w:rPr>
          <w:rFonts w:ascii="Times New Roman" w:hAnsi="Times New Roman"/>
          <w:b/>
          <w:bCs/>
          <w:sz w:val="24"/>
          <w:szCs w:val="28"/>
        </w:rPr>
        <w:t>建设进度，增强公司核心竞争力</w:t>
      </w:r>
    </w:p>
    <w:p w14:paraId="19E6C8B8" w14:textId="77777777" w:rsidR="002E5712" w:rsidRDefault="00000000">
      <w:pPr>
        <w:pStyle w:val="000"/>
        <w:rPr>
          <w:color w:val="000000"/>
          <w:lang w:eastAsia="zh-Hans"/>
        </w:rPr>
      </w:pPr>
      <w:bookmarkStart w:id="38" w:name="_Hlk104548580"/>
      <w:r>
        <w:rPr>
          <w:color w:val="000000"/>
          <w:lang w:eastAsia="zh-Hans"/>
        </w:rPr>
        <w:t>公司董事会已对本次募投项目的可行性进行了充分论证，认为本次募投项目符合未来公司整体战略发展方向，具有良好的市场发展前景和经济效益，有利于</w:t>
      </w:r>
      <w:r>
        <w:rPr>
          <w:color w:val="000000"/>
          <w:lang w:eastAsia="zh-Hans"/>
        </w:rPr>
        <w:lastRenderedPageBreak/>
        <w:t>巩固公司的行业地位，增强公司综合实力及核心竞争力。本次发行的募集资金到位后，公司将加快募投项目的投资进度，推进募投项目的顺利建设，尽快产生效益回报股东。</w:t>
      </w:r>
    </w:p>
    <w:bookmarkEnd w:id="38"/>
    <w:p w14:paraId="45AEF1FE"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t>3</w:t>
      </w:r>
      <w:r>
        <w:rPr>
          <w:rFonts w:ascii="Times New Roman" w:hAnsi="Times New Roman"/>
          <w:b/>
          <w:bCs/>
          <w:sz w:val="24"/>
          <w:szCs w:val="28"/>
        </w:rPr>
        <w:t>、严格执行公司利润分配政策，强化投资者回报机制</w:t>
      </w:r>
    </w:p>
    <w:p w14:paraId="63866B1F" w14:textId="77777777" w:rsidR="002E5712" w:rsidRDefault="00000000">
      <w:pPr>
        <w:pStyle w:val="000"/>
        <w:rPr>
          <w:color w:val="000000"/>
          <w:lang w:eastAsia="zh-Hans"/>
        </w:rPr>
      </w:pPr>
      <w:r>
        <w:rPr>
          <w:color w:val="000000"/>
          <w:lang w:eastAsia="zh-Hans"/>
        </w:rPr>
        <w:t>根据《关于进一步落实上市公司现金分红有关事项的通知》《上市公司监管指引第</w:t>
      </w:r>
      <w:r>
        <w:rPr>
          <w:color w:val="000000"/>
          <w:lang w:eastAsia="zh-Hans"/>
        </w:rPr>
        <w:t>3</w:t>
      </w:r>
      <w:r>
        <w:rPr>
          <w:color w:val="000000"/>
          <w:lang w:eastAsia="zh-Hans"/>
        </w:rPr>
        <w:t>号</w:t>
      </w:r>
      <w:r>
        <w:rPr>
          <w:color w:val="000000"/>
          <w:lang w:eastAsia="zh-Hans"/>
        </w:rPr>
        <w:t>—</w:t>
      </w:r>
      <w:r>
        <w:rPr>
          <w:color w:val="000000"/>
          <w:lang w:eastAsia="zh-Hans"/>
        </w:rPr>
        <w:t>上市公司现金分红》等法律法规、规范性文件的规定，公司已制定了《公司章程》中有关利润分配的相关条款，并制定了《青岛伟隆阀门股份有限公司未来三年（</w:t>
      </w:r>
      <w:r>
        <w:rPr>
          <w:color w:val="000000"/>
          <w:lang w:eastAsia="zh-Hans"/>
        </w:rPr>
        <w:t>2023</w:t>
      </w:r>
      <w:r>
        <w:rPr>
          <w:color w:val="000000"/>
          <w:lang w:eastAsia="zh-Hans"/>
        </w:rPr>
        <w:t>年</w:t>
      </w:r>
      <w:r>
        <w:rPr>
          <w:color w:val="000000"/>
          <w:lang w:eastAsia="zh-Hans"/>
        </w:rPr>
        <w:t>-2025</w:t>
      </w:r>
      <w:r>
        <w:rPr>
          <w:color w:val="000000"/>
          <w:lang w:eastAsia="zh-Hans"/>
        </w:rPr>
        <w:t>年）股东分红回报规划（修订稿）》，明确了股东的具体回报计划，建立了股东回报规划的决策、实施和调整机制。本次发行后，公司将严格执行分红政策，在符合利润分配条件的情况下，积极推动对股东的利润分配，加大落实对投资者持续、稳定、科学的回报，从而切实保护公众投资者的合法权益。</w:t>
      </w:r>
    </w:p>
    <w:p w14:paraId="36C879E6"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t>4</w:t>
      </w:r>
      <w:r>
        <w:rPr>
          <w:rFonts w:ascii="Times New Roman" w:hAnsi="Times New Roman"/>
          <w:b/>
          <w:bCs/>
          <w:sz w:val="24"/>
          <w:szCs w:val="28"/>
        </w:rPr>
        <w:t>、不断完善公司治理，为公司发展提供制度保障</w:t>
      </w:r>
    </w:p>
    <w:p w14:paraId="43F94D23" w14:textId="77777777" w:rsidR="002E5712" w:rsidRDefault="00000000">
      <w:pPr>
        <w:pStyle w:val="000"/>
        <w:rPr>
          <w:color w:val="000000"/>
          <w:lang w:eastAsia="zh-Hans"/>
        </w:rPr>
      </w:pPr>
      <w:r>
        <w:rPr>
          <w:color w:val="000000"/>
          <w:lang w:eastAsia="zh-Hans"/>
        </w:rPr>
        <w:t>公司将严格遵循《公司法》《证券法》等法律法规和规范性文件的要求，不断完善公司治理结构，确保股东权利能够得以充分行使，确保董事会能够按照法律法规和公司章程的规定行使职权，做出科学、迅速和谨慎的决策，确保独立董事能够认真履行职责，维护公司整体利益，尤其是中小股东的合法权益，为公司发展提供制度保障。确保监事会能够独立有效地行使对董事、经理和其他高级管理人员及公司财务的监督权和检查权，为公司发展提供制度保障。</w:t>
      </w:r>
    </w:p>
    <w:p w14:paraId="4E1116B9" w14:textId="77777777" w:rsidR="002E5712" w:rsidRDefault="00000000">
      <w:pPr>
        <w:keepNext/>
        <w:keepLines/>
        <w:widowControl/>
        <w:spacing w:beforeLines="50" w:before="156" w:afterLines="50" w:after="156" w:line="360" w:lineRule="auto"/>
        <w:jc w:val="left"/>
        <w:outlineLvl w:val="2"/>
        <w:rPr>
          <w:rFonts w:ascii="Times New Roman" w:hAnsi="Times New Roman"/>
          <w:b/>
          <w:bCs/>
          <w:color w:val="000000"/>
          <w:kern w:val="0"/>
          <w:sz w:val="24"/>
          <w:szCs w:val="24"/>
        </w:rPr>
      </w:pPr>
      <w:bookmarkStart w:id="39" w:name="_Toc84680656"/>
      <w:bookmarkStart w:id="40" w:name="_Toc83651132"/>
      <w:bookmarkStart w:id="41" w:name="_Toc18160"/>
      <w:bookmarkStart w:id="42" w:name="_Toc2332"/>
      <w:bookmarkStart w:id="43" w:name="_Toc12137"/>
      <w:bookmarkStart w:id="44" w:name="_Toc5802698"/>
      <w:bookmarkStart w:id="45" w:name="_Hlk36480598"/>
      <w:bookmarkEnd w:id="37"/>
      <w:r>
        <w:rPr>
          <w:rFonts w:ascii="Times New Roman" w:hAnsi="Times New Roman"/>
          <w:b/>
          <w:bCs/>
          <w:color w:val="000000"/>
          <w:kern w:val="0"/>
          <w:sz w:val="24"/>
          <w:szCs w:val="24"/>
        </w:rPr>
        <w:t>（三）相关主体出具的承诺</w:t>
      </w:r>
      <w:bookmarkEnd w:id="39"/>
      <w:bookmarkEnd w:id="40"/>
      <w:bookmarkEnd w:id="41"/>
      <w:bookmarkEnd w:id="42"/>
      <w:bookmarkEnd w:id="43"/>
      <w:bookmarkEnd w:id="44"/>
      <w:bookmarkEnd w:id="45"/>
    </w:p>
    <w:p w14:paraId="00A19D57" w14:textId="77777777" w:rsidR="002E5712" w:rsidRDefault="00000000">
      <w:pPr>
        <w:pStyle w:val="000"/>
        <w:rPr>
          <w:color w:val="000000"/>
          <w:lang w:eastAsia="zh-Hans"/>
        </w:rPr>
      </w:pPr>
      <w:bookmarkStart w:id="46" w:name="_Hlk36480640"/>
      <w:r>
        <w:rPr>
          <w:color w:val="000000"/>
          <w:lang w:eastAsia="zh-Hans"/>
        </w:rPr>
        <w:t>根据《国务院办公厅关于进一步加强资本市场中小投资者合法权益保护工作的意见》（国办发</w:t>
      </w:r>
      <w:r>
        <w:rPr>
          <w:color w:val="000000"/>
          <w:lang w:eastAsia="zh-Hans"/>
        </w:rPr>
        <w:t>[2013]110</w:t>
      </w:r>
      <w:r>
        <w:rPr>
          <w:color w:val="000000"/>
          <w:lang w:eastAsia="zh-Hans"/>
        </w:rPr>
        <w:t>号）《国务院关于进一步促进资本市场健康发展的若干意见》（国发</w:t>
      </w:r>
      <w:r>
        <w:rPr>
          <w:color w:val="000000"/>
          <w:lang w:eastAsia="zh-Hans"/>
        </w:rPr>
        <w:t>[2014]17</w:t>
      </w:r>
      <w:r>
        <w:rPr>
          <w:color w:val="000000"/>
          <w:lang w:eastAsia="zh-Hans"/>
        </w:rPr>
        <w:t>号）和《关于首发及再融资、重大资产重组摊薄即期回报有关事项的指导意见》（证监会公告</w:t>
      </w:r>
      <w:r>
        <w:rPr>
          <w:color w:val="000000"/>
          <w:lang w:eastAsia="zh-Hans"/>
        </w:rPr>
        <w:t>[2015]31</w:t>
      </w:r>
      <w:r>
        <w:rPr>
          <w:color w:val="000000"/>
          <w:lang w:eastAsia="zh-Hans"/>
        </w:rPr>
        <w:t>号）等文件的相关规定，为保障中小投资者知情权、维护中小投资者利益，公司控股股东、实际控制人及全体董事、高级管理人员对公司填补回报措施能够得到切实履行做出了承诺，具体情况如下：</w:t>
      </w:r>
    </w:p>
    <w:bookmarkEnd w:id="46"/>
    <w:p w14:paraId="531DB5D2"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lastRenderedPageBreak/>
        <w:t>1</w:t>
      </w:r>
      <w:r>
        <w:rPr>
          <w:rFonts w:ascii="Times New Roman" w:hAnsi="Times New Roman"/>
          <w:b/>
          <w:bCs/>
          <w:sz w:val="24"/>
          <w:szCs w:val="28"/>
        </w:rPr>
        <w:t>、控股股东、实际控制人关于填补回报措施能够得到切实履行的承诺</w:t>
      </w:r>
    </w:p>
    <w:p w14:paraId="35D5215E" w14:textId="77777777" w:rsidR="002E5712" w:rsidRDefault="00000000">
      <w:pPr>
        <w:pStyle w:val="000"/>
        <w:rPr>
          <w:color w:val="000000"/>
          <w:lang w:eastAsia="zh-Hans"/>
        </w:rPr>
      </w:pPr>
      <w:r>
        <w:rPr>
          <w:color w:val="000000"/>
          <w:lang w:eastAsia="zh-Hans"/>
        </w:rPr>
        <w:t>公司控股股东、实际控制人对向不特定对象发行可转换公司债券摊薄即期回报采取填补措施事宜作出以下承诺：</w:t>
      </w:r>
    </w:p>
    <w:p w14:paraId="4C6DDD8D" w14:textId="77777777" w:rsidR="002E5712" w:rsidRDefault="00000000">
      <w:pPr>
        <w:pStyle w:val="000"/>
        <w:rPr>
          <w:color w:val="000000"/>
          <w:lang w:eastAsia="zh-Hans"/>
        </w:rPr>
      </w:pPr>
      <w:r>
        <w:rPr>
          <w:color w:val="000000"/>
          <w:lang w:eastAsia="zh-Hans"/>
        </w:rPr>
        <w:t>“</w:t>
      </w:r>
      <w:bookmarkStart w:id="47" w:name="_Hlk128595849"/>
      <w:r>
        <w:rPr>
          <w:color w:val="000000"/>
          <w:lang w:eastAsia="zh-Hans"/>
        </w:rPr>
        <w:t>1</w:t>
      </w:r>
      <w:r>
        <w:rPr>
          <w:color w:val="000000"/>
          <w:lang w:eastAsia="zh-Hans"/>
        </w:rPr>
        <w:t>、本人承诺不越权干预公司的经营管理活动，不侵占公司利益；</w:t>
      </w:r>
    </w:p>
    <w:p w14:paraId="2DD95239" w14:textId="77777777" w:rsidR="002E5712" w:rsidRDefault="00000000">
      <w:pPr>
        <w:pStyle w:val="000"/>
        <w:rPr>
          <w:color w:val="000000"/>
          <w:lang w:eastAsia="zh-Hans"/>
        </w:rPr>
      </w:pPr>
      <w:r>
        <w:rPr>
          <w:color w:val="000000"/>
          <w:lang w:eastAsia="zh-Hans"/>
        </w:rPr>
        <w:t>2</w:t>
      </w:r>
      <w:r>
        <w:rPr>
          <w:color w:val="000000"/>
          <w:lang w:eastAsia="zh-Hans"/>
        </w:rPr>
        <w:t>、自本承诺出具日至公司本次向不特定对象发行可转换公司债券完成前，若中国证券监督管理委员会、深圳证券交易所等监管部门作出关于上市公司填补被摊薄即期回报措施的其他新的监管规定的，且本承诺不能满足国家及证券监管部门的该等规定时，本人承诺届时将按照中国证券监督管理委员会、深圳证券交易所等监管部门的最新规定出具补充承诺；</w:t>
      </w:r>
    </w:p>
    <w:p w14:paraId="0534330C" w14:textId="77777777" w:rsidR="002E5712" w:rsidRDefault="00000000">
      <w:pPr>
        <w:pStyle w:val="000"/>
        <w:rPr>
          <w:color w:val="000000"/>
          <w:lang w:eastAsia="zh-Hans"/>
        </w:rPr>
      </w:pPr>
      <w:r>
        <w:rPr>
          <w:color w:val="000000"/>
          <w:lang w:eastAsia="zh-Hans"/>
        </w:rPr>
        <w:t>3</w:t>
      </w:r>
      <w:r>
        <w:rPr>
          <w:color w:val="000000"/>
          <w:lang w:eastAsia="zh-Hans"/>
        </w:rPr>
        <w:t>、本人承诺切实履行公司制定的有关填补被摊薄即期回报措施以及本承诺，若违反本承诺或拒不履行本承诺而给公司或者投资者造成损失的，本人愿意依法承担相应的补偿责任。</w:t>
      </w:r>
      <w:bookmarkEnd w:id="47"/>
      <w:r>
        <w:rPr>
          <w:color w:val="000000"/>
          <w:lang w:eastAsia="zh-Hans"/>
        </w:rPr>
        <w:t>”</w:t>
      </w:r>
    </w:p>
    <w:p w14:paraId="3E96FAC6" w14:textId="77777777" w:rsidR="002E5712" w:rsidRDefault="00000000">
      <w:pPr>
        <w:keepNext/>
        <w:keepLines/>
        <w:widowControl/>
        <w:spacing w:beforeLines="50" w:before="156" w:afterLines="50" w:after="156" w:line="360" w:lineRule="auto"/>
        <w:ind w:firstLineChars="200" w:firstLine="482"/>
        <w:outlineLvl w:val="3"/>
        <w:rPr>
          <w:rFonts w:ascii="Times New Roman" w:hAnsi="Times New Roman"/>
          <w:b/>
          <w:bCs/>
          <w:sz w:val="24"/>
          <w:szCs w:val="28"/>
        </w:rPr>
      </w:pPr>
      <w:r>
        <w:rPr>
          <w:rFonts w:ascii="Times New Roman" w:hAnsi="Times New Roman"/>
          <w:b/>
          <w:bCs/>
          <w:sz w:val="24"/>
          <w:szCs w:val="28"/>
        </w:rPr>
        <w:t>2</w:t>
      </w:r>
      <w:r>
        <w:rPr>
          <w:rFonts w:ascii="Times New Roman" w:hAnsi="Times New Roman"/>
          <w:b/>
          <w:bCs/>
          <w:sz w:val="24"/>
          <w:szCs w:val="28"/>
        </w:rPr>
        <w:t>、董事、高级管理人员关于填补回报措施能够得到切实履行的承诺</w:t>
      </w:r>
    </w:p>
    <w:p w14:paraId="411F463C" w14:textId="77777777" w:rsidR="002E5712" w:rsidRDefault="00000000">
      <w:pPr>
        <w:pStyle w:val="000"/>
        <w:rPr>
          <w:color w:val="000000"/>
          <w:lang w:eastAsia="zh-Hans"/>
        </w:rPr>
      </w:pPr>
      <w:r>
        <w:rPr>
          <w:color w:val="000000"/>
          <w:lang w:eastAsia="zh-Hans"/>
        </w:rPr>
        <w:t>公司全体董事、高级管理人员对本次向不特定对象发行可转换公司债券摊薄即期回报采取填补措施事宜作出以下承诺：</w:t>
      </w:r>
    </w:p>
    <w:p w14:paraId="67D65080" w14:textId="77777777" w:rsidR="002E5712" w:rsidRDefault="00000000">
      <w:pPr>
        <w:pStyle w:val="000"/>
        <w:rPr>
          <w:color w:val="000000"/>
          <w:lang w:eastAsia="zh-Hans"/>
        </w:rPr>
      </w:pPr>
      <w:r>
        <w:rPr>
          <w:color w:val="000000"/>
          <w:lang w:eastAsia="zh-Hans"/>
        </w:rPr>
        <w:t>“</w:t>
      </w:r>
      <w:bookmarkStart w:id="48" w:name="_Hlk128595909"/>
      <w:r>
        <w:rPr>
          <w:color w:val="000000"/>
          <w:lang w:eastAsia="zh-Hans"/>
        </w:rPr>
        <w:t>1</w:t>
      </w:r>
      <w:r>
        <w:rPr>
          <w:color w:val="000000"/>
          <w:lang w:eastAsia="zh-Hans"/>
        </w:rPr>
        <w:t>、本人承诺不无偿或以不公平条件向其他单位或者个人输送利益，也不采用其他方式损害公司利益；</w:t>
      </w:r>
    </w:p>
    <w:p w14:paraId="23DB1D23" w14:textId="77777777" w:rsidR="002E5712" w:rsidRDefault="00000000">
      <w:pPr>
        <w:pStyle w:val="000"/>
        <w:rPr>
          <w:color w:val="000000"/>
          <w:lang w:eastAsia="zh-Hans"/>
        </w:rPr>
      </w:pPr>
      <w:r>
        <w:rPr>
          <w:color w:val="000000"/>
          <w:lang w:eastAsia="zh-Hans"/>
        </w:rPr>
        <w:t>2</w:t>
      </w:r>
      <w:r>
        <w:rPr>
          <w:color w:val="000000"/>
          <w:lang w:eastAsia="zh-Hans"/>
        </w:rPr>
        <w:t>、本人承诺对本人的职务消费行为进行约束；</w:t>
      </w:r>
    </w:p>
    <w:p w14:paraId="27F98B01" w14:textId="77777777" w:rsidR="002E5712" w:rsidRDefault="00000000">
      <w:pPr>
        <w:pStyle w:val="000"/>
        <w:rPr>
          <w:color w:val="000000"/>
          <w:lang w:eastAsia="zh-Hans"/>
        </w:rPr>
      </w:pPr>
      <w:r>
        <w:rPr>
          <w:color w:val="000000"/>
          <w:lang w:eastAsia="zh-Hans"/>
        </w:rPr>
        <w:t>3</w:t>
      </w:r>
      <w:r>
        <w:rPr>
          <w:color w:val="000000"/>
          <w:lang w:eastAsia="zh-Hans"/>
        </w:rPr>
        <w:t>、本人承诺不动用公司资产从事与本人履行职责无关的投资、消费活动；</w:t>
      </w:r>
    </w:p>
    <w:p w14:paraId="2B565D30" w14:textId="77777777" w:rsidR="002E5712" w:rsidRDefault="00000000">
      <w:pPr>
        <w:pStyle w:val="000"/>
        <w:rPr>
          <w:color w:val="000000"/>
          <w:lang w:eastAsia="zh-Hans"/>
        </w:rPr>
      </w:pPr>
      <w:r>
        <w:rPr>
          <w:color w:val="000000"/>
          <w:lang w:eastAsia="zh-Hans"/>
        </w:rPr>
        <w:t>4</w:t>
      </w:r>
      <w:r>
        <w:rPr>
          <w:color w:val="000000"/>
          <w:lang w:eastAsia="zh-Hans"/>
        </w:rPr>
        <w:t>、本人承诺由董事会或薪酬委员会制定的薪酬制度与公司填补被摊薄即期回报措施的执行情况相挂钩；</w:t>
      </w:r>
    </w:p>
    <w:p w14:paraId="2B41BA47" w14:textId="77777777" w:rsidR="002E5712" w:rsidRDefault="00000000">
      <w:pPr>
        <w:pStyle w:val="000"/>
        <w:rPr>
          <w:color w:val="000000"/>
          <w:lang w:eastAsia="zh-Hans"/>
        </w:rPr>
      </w:pPr>
      <w:r>
        <w:rPr>
          <w:color w:val="000000"/>
          <w:lang w:eastAsia="zh-Hans"/>
        </w:rPr>
        <w:t>5</w:t>
      </w:r>
      <w:r>
        <w:rPr>
          <w:color w:val="000000"/>
          <w:lang w:eastAsia="zh-Hans"/>
        </w:rPr>
        <w:t>、本人承诺如公司拟实施股权激励计划，本人支持拟公布的股权激励的行权条件与公司填补被摊薄即期回报措施的执行情况相挂钩；</w:t>
      </w:r>
    </w:p>
    <w:p w14:paraId="13940658" w14:textId="77777777" w:rsidR="002E5712" w:rsidRDefault="00000000">
      <w:pPr>
        <w:pStyle w:val="000"/>
        <w:rPr>
          <w:color w:val="000000"/>
          <w:lang w:eastAsia="zh-Hans"/>
        </w:rPr>
      </w:pPr>
      <w:r>
        <w:rPr>
          <w:color w:val="000000"/>
          <w:lang w:eastAsia="zh-Hans"/>
        </w:rPr>
        <w:t>6</w:t>
      </w:r>
      <w:r>
        <w:rPr>
          <w:color w:val="000000"/>
          <w:lang w:eastAsia="zh-Hans"/>
        </w:rPr>
        <w:t>、自本承诺出具日后至公司本次发行可转换公司债券完成前，若中国证券监督管理委员会、深圳证券交易所等监管部门作出关于上市公司填补被摊薄即期回报措施及其承诺的其他新的监管规定，且本承诺不能满足国家及证券监管部门</w:t>
      </w:r>
      <w:r>
        <w:rPr>
          <w:color w:val="000000"/>
          <w:lang w:eastAsia="zh-Hans"/>
        </w:rPr>
        <w:lastRenderedPageBreak/>
        <w:t>的该等规定时，本人承诺届时将按照监管部门的最新规定出具补充承诺；</w:t>
      </w:r>
    </w:p>
    <w:p w14:paraId="30C41B90" w14:textId="77777777" w:rsidR="002E5712" w:rsidRDefault="00000000">
      <w:pPr>
        <w:pStyle w:val="000"/>
        <w:rPr>
          <w:color w:val="000000"/>
          <w:lang w:eastAsia="zh-Hans"/>
        </w:rPr>
      </w:pPr>
      <w:r>
        <w:rPr>
          <w:color w:val="000000"/>
          <w:lang w:eastAsia="zh-Hans"/>
        </w:rPr>
        <w:t>7</w:t>
      </w:r>
      <w:r>
        <w:rPr>
          <w:color w:val="000000"/>
          <w:lang w:eastAsia="zh-Hans"/>
        </w:rPr>
        <w:t>、本人承诺切实履行公司制定的有关填补被摊薄即期回报措施以及本承诺，若违反本承诺或拒不履行本承诺而给公司或者投资者造成损失的，本人愿意依法承担相应的补偿责任。</w:t>
      </w:r>
      <w:bookmarkEnd w:id="48"/>
      <w:r>
        <w:rPr>
          <w:color w:val="000000"/>
          <w:lang w:eastAsia="zh-Hans"/>
        </w:rPr>
        <w:t>”</w:t>
      </w:r>
    </w:p>
    <w:p w14:paraId="6E6222A0" w14:textId="77777777" w:rsidR="002E5712" w:rsidRDefault="00000000">
      <w:pPr>
        <w:keepNext/>
        <w:keepLines/>
        <w:spacing w:beforeLines="50" w:before="156" w:afterLines="50" w:after="156" w:line="360" w:lineRule="auto"/>
        <w:outlineLvl w:val="1"/>
        <w:rPr>
          <w:rFonts w:ascii="Times New Roman" w:hAnsi="Times New Roman"/>
          <w:b/>
          <w:sz w:val="24"/>
          <w:szCs w:val="24"/>
        </w:rPr>
      </w:pPr>
      <w:r>
        <w:rPr>
          <w:rFonts w:ascii="Times New Roman" w:hAnsi="Times New Roman"/>
          <w:b/>
          <w:sz w:val="24"/>
          <w:szCs w:val="24"/>
        </w:rPr>
        <w:t>八、结论</w:t>
      </w:r>
    </w:p>
    <w:p w14:paraId="45D7409F" w14:textId="77777777" w:rsidR="002E5712" w:rsidRDefault="00000000">
      <w:pPr>
        <w:pStyle w:val="000"/>
        <w:rPr>
          <w:color w:val="000000"/>
          <w:lang w:eastAsia="zh-Hans"/>
        </w:rPr>
      </w:pPr>
      <w:r>
        <w:rPr>
          <w:color w:val="000000"/>
          <w:lang w:eastAsia="zh-Hans"/>
        </w:rPr>
        <w:t>综上所述，公司本次向不特定对象发行可转换公司债券具备必要性与可行性，发行方案公平、合理，符合相关法律法规的要求，符合公司发展战略，符合公司及全体股东利益。</w:t>
      </w:r>
    </w:p>
    <w:p w14:paraId="6DD6EE33" w14:textId="77777777" w:rsidR="002E5712" w:rsidRDefault="002E5712">
      <w:pPr>
        <w:pStyle w:val="000"/>
        <w:rPr>
          <w:color w:val="000000"/>
          <w:lang w:eastAsia="zh-Hans"/>
        </w:rPr>
      </w:pPr>
    </w:p>
    <w:p w14:paraId="697CFD95" w14:textId="77777777" w:rsidR="002E5712" w:rsidRDefault="00000000">
      <w:pPr>
        <w:spacing w:beforeLines="50" w:before="156" w:line="360" w:lineRule="auto"/>
        <w:ind w:firstLineChars="200" w:firstLine="480"/>
        <w:jc w:val="right"/>
        <w:rPr>
          <w:rFonts w:ascii="Times New Roman" w:hAnsi="Times New Roman"/>
          <w:sz w:val="24"/>
          <w:szCs w:val="24"/>
        </w:rPr>
      </w:pPr>
      <w:r>
        <w:rPr>
          <w:rFonts w:ascii="Times New Roman" w:hAnsi="Times New Roman"/>
          <w:sz w:val="24"/>
          <w:szCs w:val="24"/>
        </w:rPr>
        <w:t>青岛伟隆阀门股份有限公司董事会</w:t>
      </w:r>
    </w:p>
    <w:p w14:paraId="7B191C0F" w14:textId="77777777" w:rsidR="002E5712" w:rsidRDefault="00000000">
      <w:pPr>
        <w:spacing w:beforeLines="50" w:before="156" w:line="360" w:lineRule="auto"/>
        <w:ind w:firstLineChars="200" w:firstLine="480"/>
        <w:jc w:val="right"/>
        <w:rPr>
          <w:rFonts w:ascii="Times New Roman" w:hAnsi="Times New Roman"/>
          <w:sz w:val="24"/>
          <w:szCs w:val="24"/>
        </w:rPr>
      </w:pPr>
      <w:r>
        <w:rPr>
          <w:rFonts w:ascii="Times New Roman" w:hAnsi="Times New Roman" w:hint="eastAsia"/>
          <w:sz w:val="24"/>
          <w:szCs w:val="24"/>
        </w:rPr>
        <w:t>2023</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29</w:t>
      </w:r>
      <w:r>
        <w:rPr>
          <w:rFonts w:ascii="Times New Roman" w:hAnsi="Times New Roman"/>
          <w:sz w:val="24"/>
          <w:szCs w:val="24"/>
        </w:rPr>
        <w:t>日</w:t>
      </w:r>
    </w:p>
    <w:p w14:paraId="0D5670FA" w14:textId="77777777" w:rsidR="00D90E25" w:rsidRDefault="00D90E25">
      <w:pPr>
        <w:pStyle w:val="affe"/>
        <w:jc w:val="right"/>
        <w:outlineLvl w:val="9"/>
        <w:rPr>
          <w:rFonts w:ascii="Times New Roman" w:hAnsi="Times New Roman"/>
          <w:b w:val="0"/>
          <w:bCs/>
          <w:sz w:val="24"/>
          <w:szCs w:val="20"/>
        </w:rPr>
      </w:pPr>
    </w:p>
    <w:sectPr w:rsidR="00D90E25">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95BA" w14:textId="77777777" w:rsidR="0008729F" w:rsidRDefault="0008729F">
      <w:r>
        <w:separator/>
      </w:r>
    </w:p>
  </w:endnote>
  <w:endnote w:type="continuationSeparator" w:id="0">
    <w:p w14:paraId="60DC933E" w14:textId="77777777" w:rsidR="0008729F" w:rsidRDefault="0008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7193" w14:textId="77777777" w:rsidR="002E5712" w:rsidRDefault="002E5712">
    <w:pPr>
      <w:pStyle w:val="ad"/>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9A97" w14:textId="77777777" w:rsidR="002E5712" w:rsidRDefault="00000000">
    <w:pPr>
      <w:pStyle w:val="ad"/>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24</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C3D5" w14:textId="77777777" w:rsidR="0008729F" w:rsidRDefault="0008729F">
      <w:r>
        <w:separator/>
      </w:r>
    </w:p>
  </w:footnote>
  <w:footnote w:type="continuationSeparator" w:id="0">
    <w:p w14:paraId="295AA8E4" w14:textId="77777777" w:rsidR="0008729F" w:rsidRDefault="0008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3FB8" w14:textId="77777777" w:rsidR="002E5712" w:rsidRDefault="002E5712">
    <w:pPr>
      <w:pStyle w:val="af"/>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35E5" w14:textId="77777777" w:rsidR="002E5712" w:rsidRDefault="002E5712">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chineseCountingThousand"/>
      <w:pStyle w:val="5"/>
      <w:suff w:val="space"/>
      <w:lvlText w:val="第%1章  "/>
      <w:lvlJc w:val="left"/>
      <w:pPr>
        <w:ind w:left="0" w:firstLine="0"/>
      </w:pPr>
      <w:rPr>
        <w:rFonts w:hint="eastAsia"/>
      </w:rPr>
    </w:lvl>
    <w:lvl w:ilvl="1">
      <w:start w:val="1"/>
      <w:numFmt w:val="chineseCountingThousand"/>
      <w:suff w:val="nothing"/>
      <w:lvlText w:val="%2、"/>
      <w:lvlJc w:val="left"/>
      <w:pPr>
        <w:ind w:left="709" w:firstLine="0"/>
      </w:pPr>
      <w:rPr>
        <w:rFonts w:hint="eastAsia"/>
      </w:rPr>
    </w:lvl>
    <w:lvl w:ilvl="2">
      <w:start w:val="1"/>
      <w:numFmt w:val="chineseCountingThousand"/>
      <w:pStyle w:val="3"/>
      <w:lvlText w:val="%3、"/>
      <w:lvlJc w:val="left"/>
      <w:pPr>
        <w:ind w:left="142" w:firstLine="0"/>
      </w:pPr>
      <w:rPr>
        <w:rFonts w:asci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suff w:val="nothing"/>
      <w:lvlText w:val="%3.%4、"/>
      <w:lvlJc w:val="left"/>
      <w:pPr>
        <w:ind w:left="284"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95082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zMDk0NGNiYTAzMzJiY2IzNjYyZDU0Y2MzYzFhYWIifQ=="/>
  </w:docVars>
  <w:rsids>
    <w:rsidRoot w:val="001A7E3D"/>
    <w:rsid w:val="00000D29"/>
    <w:rsid w:val="000044E4"/>
    <w:rsid w:val="00004561"/>
    <w:rsid w:val="000046D0"/>
    <w:rsid w:val="00006380"/>
    <w:rsid w:val="00007273"/>
    <w:rsid w:val="000113ED"/>
    <w:rsid w:val="00011F67"/>
    <w:rsid w:val="00012E7E"/>
    <w:rsid w:val="00013291"/>
    <w:rsid w:val="00014E98"/>
    <w:rsid w:val="0001661A"/>
    <w:rsid w:val="00020C9D"/>
    <w:rsid w:val="0002229F"/>
    <w:rsid w:val="000236C9"/>
    <w:rsid w:val="000248C0"/>
    <w:rsid w:val="00025255"/>
    <w:rsid w:val="0002585B"/>
    <w:rsid w:val="00025A98"/>
    <w:rsid w:val="00026000"/>
    <w:rsid w:val="0002667E"/>
    <w:rsid w:val="000301B9"/>
    <w:rsid w:val="00034CD4"/>
    <w:rsid w:val="000363D2"/>
    <w:rsid w:val="000419E3"/>
    <w:rsid w:val="0004235D"/>
    <w:rsid w:val="00043173"/>
    <w:rsid w:val="00043B58"/>
    <w:rsid w:val="00043C51"/>
    <w:rsid w:val="00050180"/>
    <w:rsid w:val="00050305"/>
    <w:rsid w:val="000504F4"/>
    <w:rsid w:val="00051DDF"/>
    <w:rsid w:val="00052836"/>
    <w:rsid w:val="00052D6E"/>
    <w:rsid w:val="00053BA6"/>
    <w:rsid w:val="00055927"/>
    <w:rsid w:val="000566CA"/>
    <w:rsid w:val="00057ACD"/>
    <w:rsid w:val="00063075"/>
    <w:rsid w:val="000643BC"/>
    <w:rsid w:val="00064AB5"/>
    <w:rsid w:val="00066834"/>
    <w:rsid w:val="00067E9B"/>
    <w:rsid w:val="00070C1F"/>
    <w:rsid w:val="0007378C"/>
    <w:rsid w:val="0007394F"/>
    <w:rsid w:val="000742F4"/>
    <w:rsid w:val="0007595C"/>
    <w:rsid w:val="00075F7B"/>
    <w:rsid w:val="00076566"/>
    <w:rsid w:val="00076F10"/>
    <w:rsid w:val="000776EC"/>
    <w:rsid w:val="00080C39"/>
    <w:rsid w:val="00086012"/>
    <w:rsid w:val="000864A8"/>
    <w:rsid w:val="00086A41"/>
    <w:rsid w:val="0008729F"/>
    <w:rsid w:val="00087B1D"/>
    <w:rsid w:val="00087B32"/>
    <w:rsid w:val="000911EF"/>
    <w:rsid w:val="00092506"/>
    <w:rsid w:val="000926B9"/>
    <w:rsid w:val="00092D96"/>
    <w:rsid w:val="000971D5"/>
    <w:rsid w:val="000A0B28"/>
    <w:rsid w:val="000A2377"/>
    <w:rsid w:val="000A2901"/>
    <w:rsid w:val="000A50F9"/>
    <w:rsid w:val="000A5106"/>
    <w:rsid w:val="000A5549"/>
    <w:rsid w:val="000A74E2"/>
    <w:rsid w:val="000B0458"/>
    <w:rsid w:val="000B0704"/>
    <w:rsid w:val="000B1364"/>
    <w:rsid w:val="000B477A"/>
    <w:rsid w:val="000B5D21"/>
    <w:rsid w:val="000C0F12"/>
    <w:rsid w:val="000C240B"/>
    <w:rsid w:val="000C29DA"/>
    <w:rsid w:val="000C4599"/>
    <w:rsid w:val="000C4C66"/>
    <w:rsid w:val="000C6E00"/>
    <w:rsid w:val="000C7B64"/>
    <w:rsid w:val="000D1BE6"/>
    <w:rsid w:val="000D1C30"/>
    <w:rsid w:val="000D1D5A"/>
    <w:rsid w:val="000D3B1C"/>
    <w:rsid w:val="000D4B64"/>
    <w:rsid w:val="000D5B8B"/>
    <w:rsid w:val="000D5BDE"/>
    <w:rsid w:val="000D609C"/>
    <w:rsid w:val="000D68EA"/>
    <w:rsid w:val="000E018C"/>
    <w:rsid w:val="000E2969"/>
    <w:rsid w:val="000E31C3"/>
    <w:rsid w:val="000E3C7E"/>
    <w:rsid w:val="000E4C62"/>
    <w:rsid w:val="000E5F0D"/>
    <w:rsid w:val="000F0A93"/>
    <w:rsid w:val="000F1F94"/>
    <w:rsid w:val="000F4F9B"/>
    <w:rsid w:val="000F5033"/>
    <w:rsid w:val="000F653B"/>
    <w:rsid w:val="000F7450"/>
    <w:rsid w:val="000F7F32"/>
    <w:rsid w:val="000F7FE9"/>
    <w:rsid w:val="0010065D"/>
    <w:rsid w:val="00102127"/>
    <w:rsid w:val="0010248F"/>
    <w:rsid w:val="001029EC"/>
    <w:rsid w:val="00102B9F"/>
    <w:rsid w:val="0010395E"/>
    <w:rsid w:val="00105EAA"/>
    <w:rsid w:val="001121F0"/>
    <w:rsid w:val="001131BA"/>
    <w:rsid w:val="001145ED"/>
    <w:rsid w:val="00117C5E"/>
    <w:rsid w:val="00120D8C"/>
    <w:rsid w:val="001230E7"/>
    <w:rsid w:val="001236BD"/>
    <w:rsid w:val="00124D39"/>
    <w:rsid w:val="001263FD"/>
    <w:rsid w:val="001338CF"/>
    <w:rsid w:val="00133E13"/>
    <w:rsid w:val="00134AFB"/>
    <w:rsid w:val="00136595"/>
    <w:rsid w:val="00140EFA"/>
    <w:rsid w:val="00141CBE"/>
    <w:rsid w:val="00142BDB"/>
    <w:rsid w:val="00142C5A"/>
    <w:rsid w:val="00144B58"/>
    <w:rsid w:val="00145599"/>
    <w:rsid w:val="00145908"/>
    <w:rsid w:val="00146174"/>
    <w:rsid w:val="001474FD"/>
    <w:rsid w:val="00150FF3"/>
    <w:rsid w:val="00152D25"/>
    <w:rsid w:val="001535C0"/>
    <w:rsid w:val="00153BD3"/>
    <w:rsid w:val="00153EE0"/>
    <w:rsid w:val="00155895"/>
    <w:rsid w:val="00156D61"/>
    <w:rsid w:val="00160B98"/>
    <w:rsid w:val="0016197E"/>
    <w:rsid w:val="00161D43"/>
    <w:rsid w:val="00162723"/>
    <w:rsid w:val="001654C6"/>
    <w:rsid w:val="001703C3"/>
    <w:rsid w:val="00171692"/>
    <w:rsid w:val="00172EAA"/>
    <w:rsid w:val="001730BD"/>
    <w:rsid w:val="00177898"/>
    <w:rsid w:val="001831C7"/>
    <w:rsid w:val="0018337E"/>
    <w:rsid w:val="00183AE5"/>
    <w:rsid w:val="0018510E"/>
    <w:rsid w:val="0018715F"/>
    <w:rsid w:val="001875DE"/>
    <w:rsid w:val="00190933"/>
    <w:rsid w:val="00190C4A"/>
    <w:rsid w:val="00191254"/>
    <w:rsid w:val="00192F09"/>
    <w:rsid w:val="00193452"/>
    <w:rsid w:val="0019394F"/>
    <w:rsid w:val="0019401F"/>
    <w:rsid w:val="0019456F"/>
    <w:rsid w:val="0019500C"/>
    <w:rsid w:val="00195322"/>
    <w:rsid w:val="00196CAA"/>
    <w:rsid w:val="001A055B"/>
    <w:rsid w:val="001A169E"/>
    <w:rsid w:val="001A1CC7"/>
    <w:rsid w:val="001A2B8F"/>
    <w:rsid w:val="001A4091"/>
    <w:rsid w:val="001A4A78"/>
    <w:rsid w:val="001A5D90"/>
    <w:rsid w:val="001A69BE"/>
    <w:rsid w:val="001A7E3D"/>
    <w:rsid w:val="001B0D9F"/>
    <w:rsid w:val="001B2EDC"/>
    <w:rsid w:val="001B6339"/>
    <w:rsid w:val="001B6DDF"/>
    <w:rsid w:val="001B7255"/>
    <w:rsid w:val="001C01AD"/>
    <w:rsid w:val="001C0AB2"/>
    <w:rsid w:val="001C1554"/>
    <w:rsid w:val="001C3BF7"/>
    <w:rsid w:val="001C548B"/>
    <w:rsid w:val="001C54E3"/>
    <w:rsid w:val="001C553B"/>
    <w:rsid w:val="001C6AF2"/>
    <w:rsid w:val="001C7C11"/>
    <w:rsid w:val="001C7C6B"/>
    <w:rsid w:val="001D03CB"/>
    <w:rsid w:val="001D0F40"/>
    <w:rsid w:val="001D1222"/>
    <w:rsid w:val="001D399F"/>
    <w:rsid w:val="001D4E95"/>
    <w:rsid w:val="001D511F"/>
    <w:rsid w:val="001D5134"/>
    <w:rsid w:val="001E0829"/>
    <w:rsid w:val="001E090F"/>
    <w:rsid w:val="001E099F"/>
    <w:rsid w:val="001E0EE4"/>
    <w:rsid w:val="001E203E"/>
    <w:rsid w:val="001E2F4F"/>
    <w:rsid w:val="001E360E"/>
    <w:rsid w:val="001E4317"/>
    <w:rsid w:val="001E4A34"/>
    <w:rsid w:val="001E7087"/>
    <w:rsid w:val="001F317D"/>
    <w:rsid w:val="001F33B7"/>
    <w:rsid w:val="001F4074"/>
    <w:rsid w:val="001F53B5"/>
    <w:rsid w:val="001F5C7D"/>
    <w:rsid w:val="001F72DB"/>
    <w:rsid w:val="001F7F41"/>
    <w:rsid w:val="002011D1"/>
    <w:rsid w:val="00203534"/>
    <w:rsid w:val="00203B9C"/>
    <w:rsid w:val="0020451F"/>
    <w:rsid w:val="00204C55"/>
    <w:rsid w:val="00205580"/>
    <w:rsid w:val="00205FAB"/>
    <w:rsid w:val="00206141"/>
    <w:rsid w:val="002068C2"/>
    <w:rsid w:val="002106E9"/>
    <w:rsid w:val="00211638"/>
    <w:rsid w:val="00211AA3"/>
    <w:rsid w:val="00211C1E"/>
    <w:rsid w:val="00212A83"/>
    <w:rsid w:val="002137BA"/>
    <w:rsid w:val="00213B5C"/>
    <w:rsid w:val="00215840"/>
    <w:rsid w:val="00216BCE"/>
    <w:rsid w:val="00216D45"/>
    <w:rsid w:val="002241AA"/>
    <w:rsid w:val="002242C3"/>
    <w:rsid w:val="00224962"/>
    <w:rsid w:val="002250A4"/>
    <w:rsid w:val="00227184"/>
    <w:rsid w:val="00231175"/>
    <w:rsid w:val="002318D7"/>
    <w:rsid w:val="00232B7B"/>
    <w:rsid w:val="00236600"/>
    <w:rsid w:val="00237061"/>
    <w:rsid w:val="00237263"/>
    <w:rsid w:val="00237365"/>
    <w:rsid w:val="00240A1F"/>
    <w:rsid w:val="0024101F"/>
    <w:rsid w:val="002417A7"/>
    <w:rsid w:val="0024189E"/>
    <w:rsid w:val="00241AAF"/>
    <w:rsid w:val="00241FC6"/>
    <w:rsid w:val="002428A4"/>
    <w:rsid w:val="00244D4E"/>
    <w:rsid w:val="00245095"/>
    <w:rsid w:val="002464A1"/>
    <w:rsid w:val="00246D1A"/>
    <w:rsid w:val="00247B3E"/>
    <w:rsid w:val="00251A56"/>
    <w:rsid w:val="002524FF"/>
    <w:rsid w:val="00252968"/>
    <w:rsid w:val="00253FA2"/>
    <w:rsid w:val="00254BE6"/>
    <w:rsid w:val="00255D7D"/>
    <w:rsid w:val="002610BC"/>
    <w:rsid w:val="002611B7"/>
    <w:rsid w:val="002615F6"/>
    <w:rsid w:val="002661D4"/>
    <w:rsid w:val="0026741F"/>
    <w:rsid w:val="00271645"/>
    <w:rsid w:val="0027345D"/>
    <w:rsid w:val="00276FBA"/>
    <w:rsid w:val="002823D8"/>
    <w:rsid w:val="00282430"/>
    <w:rsid w:val="00283F86"/>
    <w:rsid w:val="00284173"/>
    <w:rsid w:val="00290316"/>
    <w:rsid w:val="002913CD"/>
    <w:rsid w:val="00291E52"/>
    <w:rsid w:val="002934DF"/>
    <w:rsid w:val="00295417"/>
    <w:rsid w:val="002955BA"/>
    <w:rsid w:val="00296821"/>
    <w:rsid w:val="00297B03"/>
    <w:rsid w:val="002A1AEC"/>
    <w:rsid w:val="002A3C81"/>
    <w:rsid w:val="002A5B2F"/>
    <w:rsid w:val="002B01AC"/>
    <w:rsid w:val="002B11F1"/>
    <w:rsid w:val="002B2909"/>
    <w:rsid w:val="002B320C"/>
    <w:rsid w:val="002C1D3E"/>
    <w:rsid w:val="002C2295"/>
    <w:rsid w:val="002C242A"/>
    <w:rsid w:val="002C3FCE"/>
    <w:rsid w:val="002C5C3B"/>
    <w:rsid w:val="002C620A"/>
    <w:rsid w:val="002C6D2A"/>
    <w:rsid w:val="002D0A98"/>
    <w:rsid w:val="002D0CAF"/>
    <w:rsid w:val="002D4162"/>
    <w:rsid w:val="002D46CF"/>
    <w:rsid w:val="002E0B3F"/>
    <w:rsid w:val="002E12FD"/>
    <w:rsid w:val="002E24C1"/>
    <w:rsid w:val="002E431F"/>
    <w:rsid w:val="002E4A57"/>
    <w:rsid w:val="002E5712"/>
    <w:rsid w:val="002E5F28"/>
    <w:rsid w:val="002F19C1"/>
    <w:rsid w:val="002F27DD"/>
    <w:rsid w:val="002F4E98"/>
    <w:rsid w:val="00300A6D"/>
    <w:rsid w:val="00303160"/>
    <w:rsid w:val="003063BB"/>
    <w:rsid w:val="00312DA1"/>
    <w:rsid w:val="00313099"/>
    <w:rsid w:val="00313DA3"/>
    <w:rsid w:val="00314295"/>
    <w:rsid w:val="00315AD0"/>
    <w:rsid w:val="00317CE7"/>
    <w:rsid w:val="00323F64"/>
    <w:rsid w:val="003242C8"/>
    <w:rsid w:val="00325698"/>
    <w:rsid w:val="00327B4B"/>
    <w:rsid w:val="00327EB5"/>
    <w:rsid w:val="00330A0A"/>
    <w:rsid w:val="00331029"/>
    <w:rsid w:val="00331409"/>
    <w:rsid w:val="003321B5"/>
    <w:rsid w:val="0033246F"/>
    <w:rsid w:val="00333BE0"/>
    <w:rsid w:val="0033505F"/>
    <w:rsid w:val="00336832"/>
    <w:rsid w:val="00341C83"/>
    <w:rsid w:val="00342207"/>
    <w:rsid w:val="0034596C"/>
    <w:rsid w:val="003474E5"/>
    <w:rsid w:val="0034759B"/>
    <w:rsid w:val="003510D2"/>
    <w:rsid w:val="003548DE"/>
    <w:rsid w:val="003550EF"/>
    <w:rsid w:val="00357E47"/>
    <w:rsid w:val="00361061"/>
    <w:rsid w:val="00362359"/>
    <w:rsid w:val="00363F45"/>
    <w:rsid w:val="00367480"/>
    <w:rsid w:val="00367749"/>
    <w:rsid w:val="00370A10"/>
    <w:rsid w:val="00371A47"/>
    <w:rsid w:val="00372891"/>
    <w:rsid w:val="00372C9D"/>
    <w:rsid w:val="00372F58"/>
    <w:rsid w:val="00373A77"/>
    <w:rsid w:val="00373A99"/>
    <w:rsid w:val="00374578"/>
    <w:rsid w:val="00375936"/>
    <w:rsid w:val="003762E3"/>
    <w:rsid w:val="00376E0A"/>
    <w:rsid w:val="00376F61"/>
    <w:rsid w:val="00377BCF"/>
    <w:rsid w:val="003804BF"/>
    <w:rsid w:val="003806EB"/>
    <w:rsid w:val="00380F72"/>
    <w:rsid w:val="0038172C"/>
    <w:rsid w:val="00384168"/>
    <w:rsid w:val="00387E48"/>
    <w:rsid w:val="003905BD"/>
    <w:rsid w:val="00390BCE"/>
    <w:rsid w:val="003911B7"/>
    <w:rsid w:val="00391584"/>
    <w:rsid w:val="00391623"/>
    <w:rsid w:val="003929D6"/>
    <w:rsid w:val="00392B76"/>
    <w:rsid w:val="00393425"/>
    <w:rsid w:val="00393541"/>
    <w:rsid w:val="00393B51"/>
    <w:rsid w:val="00397DEF"/>
    <w:rsid w:val="003A00BE"/>
    <w:rsid w:val="003A021B"/>
    <w:rsid w:val="003A15F5"/>
    <w:rsid w:val="003A2C13"/>
    <w:rsid w:val="003A4AF7"/>
    <w:rsid w:val="003A6BBA"/>
    <w:rsid w:val="003A79CB"/>
    <w:rsid w:val="003B02B3"/>
    <w:rsid w:val="003B4135"/>
    <w:rsid w:val="003B47FA"/>
    <w:rsid w:val="003B5ECA"/>
    <w:rsid w:val="003B67D6"/>
    <w:rsid w:val="003B68A6"/>
    <w:rsid w:val="003B6FEA"/>
    <w:rsid w:val="003B7BF4"/>
    <w:rsid w:val="003C020A"/>
    <w:rsid w:val="003C1F9F"/>
    <w:rsid w:val="003C6A46"/>
    <w:rsid w:val="003C71ED"/>
    <w:rsid w:val="003C7B2B"/>
    <w:rsid w:val="003D0C3E"/>
    <w:rsid w:val="003D1EC8"/>
    <w:rsid w:val="003D294E"/>
    <w:rsid w:val="003D31CC"/>
    <w:rsid w:val="003D38B4"/>
    <w:rsid w:val="003D67A2"/>
    <w:rsid w:val="003D6F47"/>
    <w:rsid w:val="003D7441"/>
    <w:rsid w:val="003E17E5"/>
    <w:rsid w:val="003E2113"/>
    <w:rsid w:val="003E377F"/>
    <w:rsid w:val="003E4043"/>
    <w:rsid w:val="003E42E8"/>
    <w:rsid w:val="003E688B"/>
    <w:rsid w:val="003E6DDF"/>
    <w:rsid w:val="003F31A2"/>
    <w:rsid w:val="003F33CF"/>
    <w:rsid w:val="003F7149"/>
    <w:rsid w:val="004030C3"/>
    <w:rsid w:val="00403D58"/>
    <w:rsid w:val="00404559"/>
    <w:rsid w:val="00411264"/>
    <w:rsid w:val="0041199C"/>
    <w:rsid w:val="00411AAB"/>
    <w:rsid w:val="004120A9"/>
    <w:rsid w:val="00412534"/>
    <w:rsid w:val="00412A05"/>
    <w:rsid w:val="00412C05"/>
    <w:rsid w:val="004144F9"/>
    <w:rsid w:val="00414A00"/>
    <w:rsid w:val="00416CE5"/>
    <w:rsid w:val="00416DD2"/>
    <w:rsid w:val="004213EF"/>
    <w:rsid w:val="00421C30"/>
    <w:rsid w:val="00422726"/>
    <w:rsid w:val="00422751"/>
    <w:rsid w:val="0042293A"/>
    <w:rsid w:val="00422C1C"/>
    <w:rsid w:val="004234AF"/>
    <w:rsid w:val="00423B6B"/>
    <w:rsid w:val="004245BA"/>
    <w:rsid w:val="004249FD"/>
    <w:rsid w:val="0042756B"/>
    <w:rsid w:val="00427ADC"/>
    <w:rsid w:val="0043228C"/>
    <w:rsid w:val="00432552"/>
    <w:rsid w:val="004368B6"/>
    <w:rsid w:val="00436FFA"/>
    <w:rsid w:val="004402DB"/>
    <w:rsid w:val="004416EA"/>
    <w:rsid w:val="00441785"/>
    <w:rsid w:val="00443A13"/>
    <w:rsid w:val="00444E66"/>
    <w:rsid w:val="004460BA"/>
    <w:rsid w:val="00446475"/>
    <w:rsid w:val="00446D4B"/>
    <w:rsid w:val="004471B9"/>
    <w:rsid w:val="00447AF9"/>
    <w:rsid w:val="00447B40"/>
    <w:rsid w:val="00447FC4"/>
    <w:rsid w:val="004505BC"/>
    <w:rsid w:val="004518B8"/>
    <w:rsid w:val="0045349B"/>
    <w:rsid w:val="00455A52"/>
    <w:rsid w:val="00455BDF"/>
    <w:rsid w:val="00457637"/>
    <w:rsid w:val="004613EF"/>
    <w:rsid w:val="0046300A"/>
    <w:rsid w:val="004648B7"/>
    <w:rsid w:val="00464DF2"/>
    <w:rsid w:val="0046747F"/>
    <w:rsid w:val="00467604"/>
    <w:rsid w:val="00470C56"/>
    <w:rsid w:val="0047212E"/>
    <w:rsid w:val="00472480"/>
    <w:rsid w:val="00473ACC"/>
    <w:rsid w:val="00473CFC"/>
    <w:rsid w:val="0047590D"/>
    <w:rsid w:val="004807D4"/>
    <w:rsid w:val="00480CAE"/>
    <w:rsid w:val="004825EA"/>
    <w:rsid w:val="00482CBC"/>
    <w:rsid w:val="00483B82"/>
    <w:rsid w:val="0048523C"/>
    <w:rsid w:val="00486694"/>
    <w:rsid w:val="004868C2"/>
    <w:rsid w:val="004873E7"/>
    <w:rsid w:val="00487A91"/>
    <w:rsid w:val="00491543"/>
    <w:rsid w:val="00492A8F"/>
    <w:rsid w:val="0049326C"/>
    <w:rsid w:val="00493DEF"/>
    <w:rsid w:val="004941EB"/>
    <w:rsid w:val="00494875"/>
    <w:rsid w:val="00494969"/>
    <w:rsid w:val="00495891"/>
    <w:rsid w:val="00495BDA"/>
    <w:rsid w:val="00496ECB"/>
    <w:rsid w:val="00497D1C"/>
    <w:rsid w:val="004A0045"/>
    <w:rsid w:val="004A1DA6"/>
    <w:rsid w:val="004A3D5F"/>
    <w:rsid w:val="004A5103"/>
    <w:rsid w:val="004A6086"/>
    <w:rsid w:val="004A70ED"/>
    <w:rsid w:val="004B2CFB"/>
    <w:rsid w:val="004B35A9"/>
    <w:rsid w:val="004B41D3"/>
    <w:rsid w:val="004B6A41"/>
    <w:rsid w:val="004C111B"/>
    <w:rsid w:val="004C12D5"/>
    <w:rsid w:val="004C236F"/>
    <w:rsid w:val="004C499F"/>
    <w:rsid w:val="004C570C"/>
    <w:rsid w:val="004C6E46"/>
    <w:rsid w:val="004C727E"/>
    <w:rsid w:val="004C751F"/>
    <w:rsid w:val="004C7622"/>
    <w:rsid w:val="004C79E0"/>
    <w:rsid w:val="004D0E5C"/>
    <w:rsid w:val="004D1B74"/>
    <w:rsid w:val="004D20D6"/>
    <w:rsid w:val="004D278A"/>
    <w:rsid w:val="004D2FC3"/>
    <w:rsid w:val="004D3EF2"/>
    <w:rsid w:val="004D457E"/>
    <w:rsid w:val="004D4808"/>
    <w:rsid w:val="004D56B4"/>
    <w:rsid w:val="004D5AF3"/>
    <w:rsid w:val="004D6E1F"/>
    <w:rsid w:val="004D7998"/>
    <w:rsid w:val="004E39F5"/>
    <w:rsid w:val="004E454A"/>
    <w:rsid w:val="004E45D4"/>
    <w:rsid w:val="004E71BB"/>
    <w:rsid w:val="004E762B"/>
    <w:rsid w:val="004E7A46"/>
    <w:rsid w:val="004E7B15"/>
    <w:rsid w:val="004F0122"/>
    <w:rsid w:val="004F0632"/>
    <w:rsid w:val="004F1985"/>
    <w:rsid w:val="004F29BA"/>
    <w:rsid w:val="004F5487"/>
    <w:rsid w:val="004F5979"/>
    <w:rsid w:val="004F76D3"/>
    <w:rsid w:val="004F7DBA"/>
    <w:rsid w:val="005022FC"/>
    <w:rsid w:val="0050281F"/>
    <w:rsid w:val="00505E8C"/>
    <w:rsid w:val="00507EBF"/>
    <w:rsid w:val="00510E43"/>
    <w:rsid w:val="00512581"/>
    <w:rsid w:val="0051264E"/>
    <w:rsid w:val="00513A0F"/>
    <w:rsid w:val="00520365"/>
    <w:rsid w:val="00520F2E"/>
    <w:rsid w:val="00522518"/>
    <w:rsid w:val="0052580E"/>
    <w:rsid w:val="00526D23"/>
    <w:rsid w:val="00527260"/>
    <w:rsid w:val="005272AE"/>
    <w:rsid w:val="0053156F"/>
    <w:rsid w:val="00532DDB"/>
    <w:rsid w:val="00534377"/>
    <w:rsid w:val="0053500E"/>
    <w:rsid w:val="00536956"/>
    <w:rsid w:val="00537B90"/>
    <w:rsid w:val="00541876"/>
    <w:rsid w:val="005435F4"/>
    <w:rsid w:val="005436A7"/>
    <w:rsid w:val="00546AD6"/>
    <w:rsid w:val="005512E3"/>
    <w:rsid w:val="00551BD8"/>
    <w:rsid w:val="00552266"/>
    <w:rsid w:val="005522AC"/>
    <w:rsid w:val="005529D8"/>
    <w:rsid w:val="00552CA2"/>
    <w:rsid w:val="00552FB0"/>
    <w:rsid w:val="005548C7"/>
    <w:rsid w:val="00554E7A"/>
    <w:rsid w:val="00554F08"/>
    <w:rsid w:val="00555EB7"/>
    <w:rsid w:val="00555FC6"/>
    <w:rsid w:val="005567DA"/>
    <w:rsid w:val="005613F7"/>
    <w:rsid w:val="00561D22"/>
    <w:rsid w:val="00564F04"/>
    <w:rsid w:val="00566193"/>
    <w:rsid w:val="005661C9"/>
    <w:rsid w:val="005669F1"/>
    <w:rsid w:val="00566D32"/>
    <w:rsid w:val="00566EBA"/>
    <w:rsid w:val="00566FEA"/>
    <w:rsid w:val="00567D5F"/>
    <w:rsid w:val="00567DD9"/>
    <w:rsid w:val="00567E8A"/>
    <w:rsid w:val="0057307E"/>
    <w:rsid w:val="00573353"/>
    <w:rsid w:val="005752FA"/>
    <w:rsid w:val="00576C85"/>
    <w:rsid w:val="005778AB"/>
    <w:rsid w:val="00577E3C"/>
    <w:rsid w:val="005801F6"/>
    <w:rsid w:val="00581939"/>
    <w:rsid w:val="00581B92"/>
    <w:rsid w:val="0058257D"/>
    <w:rsid w:val="00583882"/>
    <w:rsid w:val="00585197"/>
    <w:rsid w:val="00585290"/>
    <w:rsid w:val="00586461"/>
    <w:rsid w:val="00586994"/>
    <w:rsid w:val="00586D1A"/>
    <w:rsid w:val="005873C9"/>
    <w:rsid w:val="00587EE2"/>
    <w:rsid w:val="005900E0"/>
    <w:rsid w:val="0059072B"/>
    <w:rsid w:val="00591C60"/>
    <w:rsid w:val="00592BD6"/>
    <w:rsid w:val="00592C58"/>
    <w:rsid w:val="00592E3E"/>
    <w:rsid w:val="0059633B"/>
    <w:rsid w:val="00597238"/>
    <w:rsid w:val="005A2698"/>
    <w:rsid w:val="005A2BEF"/>
    <w:rsid w:val="005A319A"/>
    <w:rsid w:val="005A3ED7"/>
    <w:rsid w:val="005B460C"/>
    <w:rsid w:val="005B6156"/>
    <w:rsid w:val="005B61DF"/>
    <w:rsid w:val="005B6397"/>
    <w:rsid w:val="005B7F59"/>
    <w:rsid w:val="005C1CEE"/>
    <w:rsid w:val="005C281F"/>
    <w:rsid w:val="005C337B"/>
    <w:rsid w:val="005C382E"/>
    <w:rsid w:val="005C5199"/>
    <w:rsid w:val="005C714B"/>
    <w:rsid w:val="005C7A30"/>
    <w:rsid w:val="005D1D6C"/>
    <w:rsid w:val="005D2211"/>
    <w:rsid w:val="005D2CE4"/>
    <w:rsid w:val="005D7A5C"/>
    <w:rsid w:val="005E11DC"/>
    <w:rsid w:val="005E410C"/>
    <w:rsid w:val="005E546F"/>
    <w:rsid w:val="005F280C"/>
    <w:rsid w:val="005F29C9"/>
    <w:rsid w:val="005F60B6"/>
    <w:rsid w:val="006012E5"/>
    <w:rsid w:val="00602EB5"/>
    <w:rsid w:val="006031E6"/>
    <w:rsid w:val="0060468D"/>
    <w:rsid w:val="0060665D"/>
    <w:rsid w:val="0060745A"/>
    <w:rsid w:val="006078A7"/>
    <w:rsid w:val="0061112D"/>
    <w:rsid w:val="00612381"/>
    <w:rsid w:val="0061294C"/>
    <w:rsid w:val="00612F19"/>
    <w:rsid w:val="00613619"/>
    <w:rsid w:val="00613FC5"/>
    <w:rsid w:val="0061473D"/>
    <w:rsid w:val="00614BDF"/>
    <w:rsid w:val="006157D7"/>
    <w:rsid w:val="006165BE"/>
    <w:rsid w:val="00616671"/>
    <w:rsid w:val="0061672C"/>
    <w:rsid w:val="00617F26"/>
    <w:rsid w:val="006209EB"/>
    <w:rsid w:val="00620D95"/>
    <w:rsid w:val="006232D5"/>
    <w:rsid w:val="00623876"/>
    <w:rsid w:val="0062756C"/>
    <w:rsid w:val="006305FB"/>
    <w:rsid w:val="00630671"/>
    <w:rsid w:val="00630F2C"/>
    <w:rsid w:val="006310D8"/>
    <w:rsid w:val="006313C4"/>
    <w:rsid w:val="00631E25"/>
    <w:rsid w:val="00634021"/>
    <w:rsid w:val="00637BC3"/>
    <w:rsid w:val="00640A48"/>
    <w:rsid w:val="00642225"/>
    <w:rsid w:val="00643AF7"/>
    <w:rsid w:val="00644442"/>
    <w:rsid w:val="00644784"/>
    <w:rsid w:val="006451AB"/>
    <w:rsid w:val="00645718"/>
    <w:rsid w:val="00645FB5"/>
    <w:rsid w:val="00650C88"/>
    <w:rsid w:val="00653609"/>
    <w:rsid w:val="00655700"/>
    <w:rsid w:val="00655740"/>
    <w:rsid w:val="00657156"/>
    <w:rsid w:val="00657866"/>
    <w:rsid w:val="0066293B"/>
    <w:rsid w:val="00662EF1"/>
    <w:rsid w:val="00663B6C"/>
    <w:rsid w:val="006654C0"/>
    <w:rsid w:val="00665C13"/>
    <w:rsid w:val="006661A4"/>
    <w:rsid w:val="00671889"/>
    <w:rsid w:val="00671A27"/>
    <w:rsid w:val="00672D29"/>
    <w:rsid w:val="00673EEC"/>
    <w:rsid w:val="0067401E"/>
    <w:rsid w:val="00676F7E"/>
    <w:rsid w:val="00676FBA"/>
    <w:rsid w:val="0068022B"/>
    <w:rsid w:val="00680CC0"/>
    <w:rsid w:val="006815D5"/>
    <w:rsid w:val="00682413"/>
    <w:rsid w:val="0068529F"/>
    <w:rsid w:val="00686F7E"/>
    <w:rsid w:val="006907E9"/>
    <w:rsid w:val="00690C35"/>
    <w:rsid w:val="00692CCA"/>
    <w:rsid w:val="00692D5E"/>
    <w:rsid w:val="00692DD1"/>
    <w:rsid w:val="00697403"/>
    <w:rsid w:val="006A0D82"/>
    <w:rsid w:val="006A327F"/>
    <w:rsid w:val="006A3DAC"/>
    <w:rsid w:val="006A44FF"/>
    <w:rsid w:val="006A5C1B"/>
    <w:rsid w:val="006A67FB"/>
    <w:rsid w:val="006A6EB2"/>
    <w:rsid w:val="006B2D97"/>
    <w:rsid w:val="006B4470"/>
    <w:rsid w:val="006B486C"/>
    <w:rsid w:val="006B55B8"/>
    <w:rsid w:val="006B75A8"/>
    <w:rsid w:val="006C3C0D"/>
    <w:rsid w:val="006C5CC5"/>
    <w:rsid w:val="006C6004"/>
    <w:rsid w:val="006C7764"/>
    <w:rsid w:val="006D0B24"/>
    <w:rsid w:val="006D1C0A"/>
    <w:rsid w:val="006D2686"/>
    <w:rsid w:val="006D4477"/>
    <w:rsid w:val="006D57E0"/>
    <w:rsid w:val="006D5CB0"/>
    <w:rsid w:val="006D7EC5"/>
    <w:rsid w:val="006E0510"/>
    <w:rsid w:val="006E09F1"/>
    <w:rsid w:val="006E3903"/>
    <w:rsid w:val="006E39AD"/>
    <w:rsid w:val="006E6180"/>
    <w:rsid w:val="006F4E37"/>
    <w:rsid w:val="006F5989"/>
    <w:rsid w:val="006F6672"/>
    <w:rsid w:val="006F68B0"/>
    <w:rsid w:val="007012F4"/>
    <w:rsid w:val="00705661"/>
    <w:rsid w:val="00705ADD"/>
    <w:rsid w:val="007072D8"/>
    <w:rsid w:val="007102AA"/>
    <w:rsid w:val="007124AA"/>
    <w:rsid w:val="00713394"/>
    <w:rsid w:val="00715271"/>
    <w:rsid w:val="00715B4D"/>
    <w:rsid w:val="00716952"/>
    <w:rsid w:val="00716E43"/>
    <w:rsid w:val="00723F3A"/>
    <w:rsid w:val="0073165F"/>
    <w:rsid w:val="00732157"/>
    <w:rsid w:val="00734F34"/>
    <w:rsid w:val="00735FFF"/>
    <w:rsid w:val="00736474"/>
    <w:rsid w:val="00736F57"/>
    <w:rsid w:val="00737A76"/>
    <w:rsid w:val="00737F2C"/>
    <w:rsid w:val="0074193A"/>
    <w:rsid w:val="00743463"/>
    <w:rsid w:val="007448D7"/>
    <w:rsid w:val="00744B32"/>
    <w:rsid w:val="007452F2"/>
    <w:rsid w:val="00746024"/>
    <w:rsid w:val="00747567"/>
    <w:rsid w:val="0075147D"/>
    <w:rsid w:val="0075166F"/>
    <w:rsid w:val="00753FC9"/>
    <w:rsid w:val="00754CFC"/>
    <w:rsid w:val="007565C6"/>
    <w:rsid w:val="007569D2"/>
    <w:rsid w:val="00764D63"/>
    <w:rsid w:val="00765BA0"/>
    <w:rsid w:val="00771C8D"/>
    <w:rsid w:val="00773551"/>
    <w:rsid w:val="00773AE2"/>
    <w:rsid w:val="007778B8"/>
    <w:rsid w:val="0078037A"/>
    <w:rsid w:val="0078048F"/>
    <w:rsid w:val="007811FA"/>
    <w:rsid w:val="007822FF"/>
    <w:rsid w:val="007827DA"/>
    <w:rsid w:val="007830EE"/>
    <w:rsid w:val="00784B4F"/>
    <w:rsid w:val="00787A75"/>
    <w:rsid w:val="00787CB4"/>
    <w:rsid w:val="0079002E"/>
    <w:rsid w:val="007902F1"/>
    <w:rsid w:val="007921B3"/>
    <w:rsid w:val="007936CB"/>
    <w:rsid w:val="007949F4"/>
    <w:rsid w:val="00796F87"/>
    <w:rsid w:val="0079785D"/>
    <w:rsid w:val="007A026A"/>
    <w:rsid w:val="007A2400"/>
    <w:rsid w:val="007A444B"/>
    <w:rsid w:val="007A662E"/>
    <w:rsid w:val="007A6861"/>
    <w:rsid w:val="007A7325"/>
    <w:rsid w:val="007B0892"/>
    <w:rsid w:val="007B0AC0"/>
    <w:rsid w:val="007B67AC"/>
    <w:rsid w:val="007B7173"/>
    <w:rsid w:val="007C065A"/>
    <w:rsid w:val="007C1AE6"/>
    <w:rsid w:val="007C2A0B"/>
    <w:rsid w:val="007C34CD"/>
    <w:rsid w:val="007C381C"/>
    <w:rsid w:val="007C42E0"/>
    <w:rsid w:val="007D09EE"/>
    <w:rsid w:val="007D2010"/>
    <w:rsid w:val="007D262A"/>
    <w:rsid w:val="007D30E1"/>
    <w:rsid w:val="007D4F71"/>
    <w:rsid w:val="007D532F"/>
    <w:rsid w:val="007E0195"/>
    <w:rsid w:val="007E12EF"/>
    <w:rsid w:val="007E2075"/>
    <w:rsid w:val="007E2D34"/>
    <w:rsid w:val="007E3B16"/>
    <w:rsid w:val="007E65E3"/>
    <w:rsid w:val="007E6CAD"/>
    <w:rsid w:val="007E752D"/>
    <w:rsid w:val="007F28B6"/>
    <w:rsid w:val="007F29C8"/>
    <w:rsid w:val="007F31BB"/>
    <w:rsid w:val="007F4BFE"/>
    <w:rsid w:val="007F5EBD"/>
    <w:rsid w:val="007F6C72"/>
    <w:rsid w:val="007F7156"/>
    <w:rsid w:val="007F725D"/>
    <w:rsid w:val="008043A8"/>
    <w:rsid w:val="008049DD"/>
    <w:rsid w:val="00810341"/>
    <w:rsid w:val="00812AF6"/>
    <w:rsid w:val="00813D7A"/>
    <w:rsid w:val="008140AC"/>
    <w:rsid w:val="00814292"/>
    <w:rsid w:val="00814B59"/>
    <w:rsid w:val="00820795"/>
    <w:rsid w:val="00827625"/>
    <w:rsid w:val="00830CD7"/>
    <w:rsid w:val="00831E48"/>
    <w:rsid w:val="008323FE"/>
    <w:rsid w:val="0083280F"/>
    <w:rsid w:val="00833F35"/>
    <w:rsid w:val="00834E1D"/>
    <w:rsid w:val="0083657E"/>
    <w:rsid w:val="008379C6"/>
    <w:rsid w:val="00837ED6"/>
    <w:rsid w:val="00840860"/>
    <w:rsid w:val="0084284B"/>
    <w:rsid w:val="00842A88"/>
    <w:rsid w:val="00842B84"/>
    <w:rsid w:val="00846AC9"/>
    <w:rsid w:val="00846ADB"/>
    <w:rsid w:val="00847CC2"/>
    <w:rsid w:val="00850AB4"/>
    <w:rsid w:val="00850B14"/>
    <w:rsid w:val="00850D30"/>
    <w:rsid w:val="0085240A"/>
    <w:rsid w:val="008557C6"/>
    <w:rsid w:val="00855F69"/>
    <w:rsid w:val="00856C3A"/>
    <w:rsid w:val="00856E2E"/>
    <w:rsid w:val="00856E8A"/>
    <w:rsid w:val="008610D6"/>
    <w:rsid w:val="00861230"/>
    <w:rsid w:val="0086132C"/>
    <w:rsid w:val="00861D03"/>
    <w:rsid w:val="0086399C"/>
    <w:rsid w:val="00875186"/>
    <w:rsid w:val="00875496"/>
    <w:rsid w:val="00876664"/>
    <w:rsid w:val="00876CB0"/>
    <w:rsid w:val="00877CB6"/>
    <w:rsid w:val="0088327D"/>
    <w:rsid w:val="00884853"/>
    <w:rsid w:val="00885C75"/>
    <w:rsid w:val="0089506B"/>
    <w:rsid w:val="00895716"/>
    <w:rsid w:val="00895F42"/>
    <w:rsid w:val="008A038E"/>
    <w:rsid w:val="008A0F26"/>
    <w:rsid w:val="008A19D8"/>
    <w:rsid w:val="008A1F39"/>
    <w:rsid w:val="008A2003"/>
    <w:rsid w:val="008A6A37"/>
    <w:rsid w:val="008B04BC"/>
    <w:rsid w:val="008B1A13"/>
    <w:rsid w:val="008B6B5D"/>
    <w:rsid w:val="008C04B5"/>
    <w:rsid w:val="008C1408"/>
    <w:rsid w:val="008C2525"/>
    <w:rsid w:val="008C59A3"/>
    <w:rsid w:val="008C64A5"/>
    <w:rsid w:val="008C6618"/>
    <w:rsid w:val="008C6B55"/>
    <w:rsid w:val="008C7239"/>
    <w:rsid w:val="008D2134"/>
    <w:rsid w:val="008D2859"/>
    <w:rsid w:val="008D3D5F"/>
    <w:rsid w:val="008D44D4"/>
    <w:rsid w:val="008E0183"/>
    <w:rsid w:val="008E12D1"/>
    <w:rsid w:val="008E1ED0"/>
    <w:rsid w:val="008E21EB"/>
    <w:rsid w:val="008E2553"/>
    <w:rsid w:val="008E4600"/>
    <w:rsid w:val="008E479C"/>
    <w:rsid w:val="008E5FE1"/>
    <w:rsid w:val="008E6403"/>
    <w:rsid w:val="008F09D3"/>
    <w:rsid w:val="008F257D"/>
    <w:rsid w:val="008F46B8"/>
    <w:rsid w:val="008F4880"/>
    <w:rsid w:val="008F4A3C"/>
    <w:rsid w:val="00900792"/>
    <w:rsid w:val="00901B39"/>
    <w:rsid w:val="0090211B"/>
    <w:rsid w:val="00902F94"/>
    <w:rsid w:val="00903D26"/>
    <w:rsid w:val="00904364"/>
    <w:rsid w:val="00904516"/>
    <w:rsid w:val="0090573E"/>
    <w:rsid w:val="009070D6"/>
    <w:rsid w:val="00911990"/>
    <w:rsid w:val="00911FCF"/>
    <w:rsid w:val="00912179"/>
    <w:rsid w:val="009142A8"/>
    <w:rsid w:val="00914A0E"/>
    <w:rsid w:val="0092045A"/>
    <w:rsid w:val="009213AF"/>
    <w:rsid w:val="00923105"/>
    <w:rsid w:val="0092614D"/>
    <w:rsid w:val="00926B4D"/>
    <w:rsid w:val="009271DB"/>
    <w:rsid w:val="0092740F"/>
    <w:rsid w:val="00930C7E"/>
    <w:rsid w:val="00930E5A"/>
    <w:rsid w:val="009315A6"/>
    <w:rsid w:val="00931A8D"/>
    <w:rsid w:val="009320BB"/>
    <w:rsid w:val="00932654"/>
    <w:rsid w:val="00934732"/>
    <w:rsid w:val="009353DE"/>
    <w:rsid w:val="009364DF"/>
    <w:rsid w:val="009374D1"/>
    <w:rsid w:val="00937F7C"/>
    <w:rsid w:val="0094417F"/>
    <w:rsid w:val="00945CB1"/>
    <w:rsid w:val="00951263"/>
    <w:rsid w:val="0095204C"/>
    <w:rsid w:val="00955CA2"/>
    <w:rsid w:val="009609E4"/>
    <w:rsid w:val="00960AF5"/>
    <w:rsid w:val="00961A44"/>
    <w:rsid w:val="0096213C"/>
    <w:rsid w:val="00963507"/>
    <w:rsid w:val="00963562"/>
    <w:rsid w:val="009638E6"/>
    <w:rsid w:val="00963959"/>
    <w:rsid w:val="00967C17"/>
    <w:rsid w:val="00971A78"/>
    <w:rsid w:val="00972EF5"/>
    <w:rsid w:val="00975CF7"/>
    <w:rsid w:val="0097629A"/>
    <w:rsid w:val="00977399"/>
    <w:rsid w:val="009776CE"/>
    <w:rsid w:val="00980498"/>
    <w:rsid w:val="00980C1E"/>
    <w:rsid w:val="00980EA5"/>
    <w:rsid w:val="009817C1"/>
    <w:rsid w:val="00982784"/>
    <w:rsid w:val="00982904"/>
    <w:rsid w:val="009906B0"/>
    <w:rsid w:val="00991599"/>
    <w:rsid w:val="00991A08"/>
    <w:rsid w:val="00991F09"/>
    <w:rsid w:val="00994455"/>
    <w:rsid w:val="00996841"/>
    <w:rsid w:val="00996BEA"/>
    <w:rsid w:val="009A02B4"/>
    <w:rsid w:val="009A3CE0"/>
    <w:rsid w:val="009A487B"/>
    <w:rsid w:val="009A4D08"/>
    <w:rsid w:val="009A4F69"/>
    <w:rsid w:val="009A7402"/>
    <w:rsid w:val="009B0217"/>
    <w:rsid w:val="009B0684"/>
    <w:rsid w:val="009B296B"/>
    <w:rsid w:val="009B3D63"/>
    <w:rsid w:val="009B59CC"/>
    <w:rsid w:val="009B5E37"/>
    <w:rsid w:val="009B682C"/>
    <w:rsid w:val="009B784C"/>
    <w:rsid w:val="009B7AA5"/>
    <w:rsid w:val="009B7D96"/>
    <w:rsid w:val="009C10DB"/>
    <w:rsid w:val="009C232E"/>
    <w:rsid w:val="009C2B6A"/>
    <w:rsid w:val="009C3A96"/>
    <w:rsid w:val="009C5FDC"/>
    <w:rsid w:val="009C7BEB"/>
    <w:rsid w:val="009D0E0D"/>
    <w:rsid w:val="009D1017"/>
    <w:rsid w:val="009D11B9"/>
    <w:rsid w:val="009D2100"/>
    <w:rsid w:val="009D237F"/>
    <w:rsid w:val="009D26FD"/>
    <w:rsid w:val="009D32CA"/>
    <w:rsid w:val="009D33D2"/>
    <w:rsid w:val="009D39E1"/>
    <w:rsid w:val="009D3D61"/>
    <w:rsid w:val="009D4358"/>
    <w:rsid w:val="009D44A1"/>
    <w:rsid w:val="009D48F9"/>
    <w:rsid w:val="009D57B6"/>
    <w:rsid w:val="009D7F43"/>
    <w:rsid w:val="009E088F"/>
    <w:rsid w:val="009E0F74"/>
    <w:rsid w:val="009E0FD6"/>
    <w:rsid w:val="009E131E"/>
    <w:rsid w:val="009E197A"/>
    <w:rsid w:val="009E19FC"/>
    <w:rsid w:val="009E379F"/>
    <w:rsid w:val="009E4380"/>
    <w:rsid w:val="009E55E0"/>
    <w:rsid w:val="009F2449"/>
    <w:rsid w:val="009F2883"/>
    <w:rsid w:val="009F49F8"/>
    <w:rsid w:val="00A00EE0"/>
    <w:rsid w:val="00A05CB4"/>
    <w:rsid w:val="00A06873"/>
    <w:rsid w:val="00A06D23"/>
    <w:rsid w:val="00A10208"/>
    <w:rsid w:val="00A10AB8"/>
    <w:rsid w:val="00A118D7"/>
    <w:rsid w:val="00A12DC9"/>
    <w:rsid w:val="00A132C7"/>
    <w:rsid w:val="00A151B4"/>
    <w:rsid w:val="00A15942"/>
    <w:rsid w:val="00A16D23"/>
    <w:rsid w:val="00A20EF4"/>
    <w:rsid w:val="00A239B3"/>
    <w:rsid w:val="00A23AA8"/>
    <w:rsid w:val="00A257ED"/>
    <w:rsid w:val="00A26EF0"/>
    <w:rsid w:val="00A274EC"/>
    <w:rsid w:val="00A301BB"/>
    <w:rsid w:val="00A303CE"/>
    <w:rsid w:val="00A328DD"/>
    <w:rsid w:val="00A3352C"/>
    <w:rsid w:val="00A3419B"/>
    <w:rsid w:val="00A37A0B"/>
    <w:rsid w:val="00A37DA5"/>
    <w:rsid w:val="00A40042"/>
    <w:rsid w:val="00A411BA"/>
    <w:rsid w:val="00A41BD0"/>
    <w:rsid w:val="00A43352"/>
    <w:rsid w:val="00A45917"/>
    <w:rsid w:val="00A45FA7"/>
    <w:rsid w:val="00A47456"/>
    <w:rsid w:val="00A475BE"/>
    <w:rsid w:val="00A522A0"/>
    <w:rsid w:val="00A5357B"/>
    <w:rsid w:val="00A53742"/>
    <w:rsid w:val="00A54708"/>
    <w:rsid w:val="00A548BC"/>
    <w:rsid w:val="00A5578A"/>
    <w:rsid w:val="00A55F79"/>
    <w:rsid w:val="00A57964"/>
    <w:rsid w:val="00A57E32"/>
    <w:rsid w:val="00A618F7"/>
    <w:rsid w:val="00A62DF3"/>
    <w:rsid w:val="00A63893"/>
    <w:rsid w:val="00A6413B"/>
    <w:rsid w:val="00A66FC0"/>
    <w:rsid w:val="00A675F4"/>
    <w:rsid w:val="00A677F8"/>
    <w:rsid w:val="00A711FE"/>
    <w:rsid w:val="00A71D8B"/>
    <w:rsid w:val="00A7242F"/>
    <w:rsid w:val="00A73C89"/>
    <w:rsid w:val="00A748CF"/>
    <w:rsid w:val="00A74EBB"/>
    <w:rsid w:val="00A75A22"/>
    <w:rsid w:val="00A7695A"/>
    <w:rsid w:val="00A771EB"/>
    <w:rsid w:val="00A833B3"/>
    <w:rsid w:val="00A83CC2"/>
    <w:rsid w:val="00A85DDE"/>
    <w:rsid w:val="00A8634F"/>
    <w:rsid w:val="00A86468"/>
    <w:rsid w:val="00A86DFB"/>
    <w:rsid w:val="00A879AF"/>
    <w:rsid w:val="00A90388"/>
    <w:rsid w:val="00A910CD"/>
    <w:rsid w:val="00A93239"/>
    <w:rsid w:val="00A963C5"/>
    <w:rsid w:val="00A9690F"/>
    <w:rsid w:val="00A96EBA"/>
    <w:rsid w:val="00AA0597"/>
    <w:rsid w:val="00AA06E4"/>
    <w:rsid w:val="00AA0C24"/>
    <w:rsid w:val="00AA0C8F"/>
    <w:rsid w:val="00AA2FBE"/>
    <w:rsid w:val="00AA3C8F"/>
    <w:rsid w:val="00AA3D8F"/>
    <w:rsid w:val="00AB0497"/>
    <w:rsid w:val="00AB1568"/>
    <w:rsid w:val="00AB1A89"/>
    <w:rsid w:val="00AB3731"/>
    <w:rsid w:val="00AB4531"/>
    <w:rsid w:val="00AB698B"/>
    <w:rsid w:val="00AB7082"/>
    <w:rsid w:val="00AC05D5"/>
    <w:rsid w:val="00AC5CC1"/>
    <w:rsid w:val="00AC70BE"/>
    <w:rsid w:val="00AD01B9"/>
    <w:rsid w:val="00AD1C65"/>
    <w:rsid w:val="00AD24DA"/>
    <w:rsid w:val="00AD44E1"/>
    <w:rsid w:val="00AD4BED"/>
    <w:rsid w:val="00AD6851"/>
    <w:rsid w:val="00AD7390"/>
    <w:rsid w:val="00AE00E1"/>
    <w:rsid w:val="00AE5309"/>
    <w:rsid w:val="00AE7C3F"/>
    <w:rsid w:val="00AF16F3"/>
    <w:rsid w:val="00AF2315"/>
    <w:rsid w:val="00AF25E3"/>
    <w:rsid w:val="00AF272B"/>
    <w:rsid w:val="00AF3C30"/>
    <w:rsid w:val="00AF50F3"/>
    <w:rsid w:val="00AF6509"/>
    <w:rsid w:val="00AF6D4F"/>
    <w:rsid w:val="00AF702F"/>
    <w:rsid w:val="00AF7772"/>
    <w:rsid w:val="00B00166"/>
    <w:rsid w:val="00B01D16"/>
    <w:rsid w:val="00B024EB"/>
    <w:rsid w:val="00B02E27"/>
    <w:rsid w:val="00B03CA8"/>
    <w:rsid w:val="00B03EA5"/>
    <w:rsid w:val="00B03F17"/>
    <w:rsid w:val="00B056EF"/>
    <w:rsid w:val="00B06C81"/>
    <w:rsid w:val="00B1038C"/>
    <w:rsid w:val="00B108F6"/>
    <w:rsid w:val="00B12083"/>
    <w:rsid w:val="00B17A83"/>
    <w:rsid w:val="00B17B5D"/>
    <w:rsid w:val="00B223FA"/>
    <w:rsid w:val="00B228F5"/>
    <w:rsid w:val="00B24060"/>
    <w:rsid w:val="00B24887"/>
    <w:rsid w:val="00B2560E"/>
    <w:rsid w:val="00B2562B"/>
    <w:rsid w:val="00B25D91"/>
    <w:rsid w:val="00B25FE2"/>
    <w:rsid w:val="00B26796"/>
    <w:rsid w:val="00B26DF4"/>
    <w:rsid w:val="00B27EA2"/>
    <w:rsid w:val="00B31DA7"/>
    <w:rsid w:val="00B3254F"/>
    <w:rsid w:val="00B337D5"/>
    <w:rsid w:val="00B34568"/>
    <w:rsid w:val="00B3486E"/>
    <w:rsid w:val="00B35F95"/>
    <w:rsid w:val="00B40B37"/>
    <w:rsid w:val="00B428DE"/>
    <w:rsid w:val="00B43FBF"/>
    <w:rsid w:val="00B4419C"/>
    <w:rsid w:val="00B44369"/>
    <w:rsid w:val="00B4444B"/>
    <w:rsid w:val="00B45400"/>
    <w:rsid w:val="00B4584A"/>
    <w:rsid w:val="00B46307"/>
    <w:rsid w:val="00B507DE"/>
    <w:rsid w:val="00B51011"/>
    <w:rsid w:val="00B52545"/>
    <w:rsid w:val="00B529AC"/>
    <w:rsid w:val="00B52DDE"/>
    <w:rsid w:val="00B533E8"/>
    <w:rsid w:val="00B540C3"/>
    <w:rsid w:val="00B54407"/>
    <w:rsid w:val="00B548F5"/>
    <w:rsid w:val="00B54FA7"/>
    <w:rsid w:val="00B5659B"/>
    <w:rsid w:val="00B5769E"/>
    <w:rsid w:val="00B57C13"/>
    <w:rsid w:val="00B61133"/>
    <w:rsid w:val="00B61CFB"/>
    <w:rsid w:val="00B63029"/>
    <w:rsid w:val="00B66366"/>
    <w:rsid w:val="00B6772F"/>
    <w:rsid w:val="00B762B5"/>
    <w:rsid w:val="00B76CA6"/>
    <w:rsid w:val="00B77CAF"/>
    <w:rsid w:val="00B77D1C"/>
    <w:rsid w:val="00B82397"/>
    <w:rsid w:val="00B849D4"/>
    <w:rsid w:val="00B8705A"/>
    <w:rsid w:val="00B871E4"/>
    <w:rsid w:val="00B87A19"/>
    <w:rsid w:val="00B903FE"/>
    <w:rsid w:val="00B909A9"/>
    <w:rsid w:val="00B9109E"/>
    <w:rsid w:val="00B92553"/>
    <w:rsid w:val="00B92872"/>
    <w:rsid w:val="00B93816"/>
    <w:rsid w:val="00B93AC3"/>
    <w:rsid w:val="00BA0503"/>
    <w:rsid w:val="00BA19DB"/>
    <w:rsid w:val="00BA3444"/>
    <w:rsid w:val="00BA5831"/>
    <w:rsid w:val="00BA6974"/>
    <w:rsid w:val="00BA6DA0"/>
    <w:rsid w:val="00BB17C9"/>
    <w:rsid w:val="00BB7021"/>
    <w:rsid w:val="00BB7B73"/>
    <w:rsid w:val="00BC0C4D"/>
    <w:rsid w:val="00BC54AD"/>
    <w:rsid w:val="00BC59BC"/>
    <w:rsid w:val="00BD3DDD"/>
    <w:rsid w:val="00BD6196"/>
    <w:rsid w:val="00BD65F3"/>
    <w:rsid w:val="00BD76FD"/>
    <w:rsid w:val="00BD7AF8"/>
    <w:rsid w:val="00BD7FC6"/>
    <w:rsid w:val="00BE0797"/>
    <w:rsid w:val="00BE29FE"/>
    <w:rsid w:val="00BE2F9F"/>
    <w:rsid w:val="00BE37FD"/>
    <w:rsid w:val="00BE6538"/>
    <w:rsid w:val="00BE667A"/>
    <w:rsid w:val="00BE7804"/>
    <w:rsid w:val="00BF4A65"/>
    <w:rsid w:val="00BF5A7F"/>
    <w:rsid w:val="00C00A12"/>
    <w:rsid w:val="00C00FD6"/>
    <w:rsid w:val="00C01595"/>
    <w:rsid w:val="00C04226"/>
    <w:rsid w:val="00C05B96"/>
    <w:rsid w:val="00C061AA"/>
    <w:rsid w:val="00C0652B"/>
    <w:rsid w:val="00C06E5B"/>
    <w:rsid w:val="00C0724C"/>
    <w:rsid w:val="00C10F93"/>
    <w:rsid w:val="00C128C0"/>
    <w:rsid w:val="00C137D6"/>
    <w:rsid w:val="00C1546E"/>
    <w:rsid w:val="00C15A07"/>
    <w:rsid w:val="00C1678D"/>
    <w:rsid w:val="00C206B5"/>
    <w:rsid w:val="00C22825"/>
    <w:rsid w:val="00C24F2A"/>
    <w:rsid w:val="00C250EA"/>
    <w:rsid w:val="00C25465"/>
    <w:rsid w:val="00C26CF6"/>
    <w:rsid w:val="00C302E4"/>
    <w:rsid w:val="00C32B1E"/>
    <w:rsid w:val="00C32E32"/>
    <w:rsid w:val="00C33740"/>
    <w:rsid w:val="00C358CE"/>
    <w:rsid w:val="00C37640"/>
    <w:rsid w:val="00C415BD"/>
    <w:rsid w:val="00C41FA2"/>
    <w:rsid w:val="00C42B3E"/>
    <w:rsid w:val="00C43223"/>
    <w:rsid w:val="00C4527C"/>
    <w:rsid w:val="00C45942"/>
    <w:rsid w:val="00C477CE"/>
    <w:rsid w:val="00C51165"/>
    <w:rsid w:val="00C51243"/>
    <w:rsid w:val="00C51C70"/>
    <w:rsid w:val="00C52F37"/>
    <w:rsid w:val="00C53287"/>
    <w:rsid w:val="00C54970"/>
    <w:rsid w:val="00C553CD"/>
    <w:rsid w:val="00C55695"/>
    <w:rsid w:val="00C55909"/>
    <w:rsid w:val="00C57B1E"/>
    <w:rsid w:val="00C602A5"/>
    <w:rsid w:val="00C6254F"/>
    <w:rsid w:val="00C62BA6"/>
    <w:rsid w:val="00C63124"/>
    <w:rsid w:val="00C64C78"/>
    <w:rsid w:val="00C64CD0"/>
    <w:rsid w:val="00C65310"/>
    <w:rsid w:val="00C660D9"/>
    <w:rsid w:val="00C66BC4"/>
    <w:rsid w:val="00C67D94"/>
    <w:rsid w:val="00C67FA9"/>
    <w:rsid w:val="00C71549"/>
    <w:rsid w:val="00C72F49"/>
    <w:rsid w:val="00C738FF"/>
    <w:rsid w:val="00C73CE6"/>
    <w:rsid w:val="00C749DF"/>
    <w:rsid w:val="00C76C18"/>
    <w:rsid w:val="00C771D0"/>
    <w:rsid w:val="00C804F1"/>
    <w:rsid w:val="00C85D9D"/>
    <w:rsid w:val="00C877BB"/>
    <w:rsid w:val="00C87B5B"/>
    <w:rsid w:val="00C91EF7"/>
    <w:rsid w:val="00C9366F"/>
    <w:rsid w:val="00C940BA"/>
    <w:rsid w:val="00C951CD"/>
    <w:rsid w:val="00C9623F"/>
    <w:rsid w:val="00C96511"/>
    <w:rsid w:val="00C96C9A"/>
    <w:rsid w:val="00C96CFF"/>
    <w:rsid w:val="00C97FBB"/>
    <w:rsid w:val="00CA174B"/>
    <w:rsid w:val="00CA21DD"/>
    <w:rsid w:val="00CA3924"/>
    <w:rsid w:val="00CA556D"/>
    <w:rsid w:val="00CA6D71"/>
    <w:rsid w:val="00CA72FE"/>
    <w:rsid w:val="00CA77A6"/>
    <w:rsid w:val="00CB0664"/>
    <w:rsid w:val="00CB17C0"/>
    <w:rsid w:val="00CB279D"/>
    <w:rsid w:val="00CB5C81"/>
    <w:rsid w:val="00CB6154"/>
    <w:rsid w:val="00CB6A15"/>
    <w:rsid w:val="00CB725E"/>
    <w:rsid w:val="00CB7C5F"/>
    <w:rsid w:val="00CC0048"/>
    <w:rsid w:val="00CC105E"/>
    <w:rsid w:val="00CC18D0"/>
    <w:rsid w:val="00CC1B2C"/>
    <w:rsid w:val="00CC233F"/>
    <w:rsid w:val="00CC2422"/>
    <w:rsid w:val="00CC429B"/>
    <w:rsid w:val="00CD30BF"/>
    <w:rsid w:val="00CD429E"/>
    <w:rsid w:val="00CD60B9"/>
    <w:rsid w:val="00CD6D1B"/>
    <w:rsid w:val="00CE005E"/>
    <w:rsid w:val="00CE1779"/>
    <w:rsid w:val="00CE255B"/>
    <w:rsid w:val="00CE3A81"/>
    <w:rsid w:val="00CE42FB"/>
    <w:rsid w:val="00CE44F8"/>
    <w:rsid w:val="00CE5B5F"/>
    <w:rsid w:val="00CE61FB"/>
    <w:rsid w:val="00CF070F"/>
    <w:rsid w:val="00CF272D"/>
    <w:rsid w:val="00CF37C0"/>
    <w:rsid w:val="00CF51E4"/>
    <w:rsid w:val="00CF5E2F"/>
    <w:rsid w:val="00D00544"/>
    <w:rsid w:val="00D02B6D"/>
    <w:rsid w:val="00D03982"/>
    <w:rsid w:val="00D041C8"/>
    <w:rsid w:val="00D042C1"/>
    <w:rsid w:val="00D047F4"/>
    <w:rsid w:val="00D05AA2"/>
    <w:rsid w:val="00D07220"/>
    <w:rsid w:val="00D11812"/>
    <w:rsid w:val="00D13746"/>
    <w:rsid w:val="00D1461E"/>
    <w:rsid w:val="00D1500A"/>
    <w:rsid w:val="00D15858"/>
    <w:rsid w:val="00D17210"/>
    <w:rsid w:val="00D173B4"/>
    <w:rsid w:val="00D20DEB"/>
    <w:rsid w:val="00D21E2A"/>
    <w:rsid w:val="00D22333"/>
    <w:rsid w:val="00D24DAB"/>
    <w:rsid w:val="00D2507F"/>
    <w:rsid w:val="00D25248"/>
    <w:rsid w:val="00D2582F"/>
    <w:rsid w:val="00D25E8A"/>
    <w:rsid w:val="00D261BD"/>
    <w:rsid w:val="00D27351"/>
    <w:rsid w:val="00D274F8"/>
    <w:rsid w:val="00D27F4D"/>
    <w:rsid w:val="00D27FFA"/>
    <w:rsid w:val="00D30098"/>
    <w:rsid w:val="00D312D5"/>
    <w:rsid w:val="00D31FB7"/>
    <w:rsid w:val="00D32068"/>
    <w:rsid w:val="00D32903"/>
    <w:rsid w:val="00D331EB"/>
    <w:rsid w:val="00D35201"/>
    <w:rsid w:val="00D35FC0"/>
    <w:rsid w:val="00D37702"/>
    <w:rsid w:val="00D3774E"/>
    <w:rsid w:val="00D408C1"/>
    <w:rsid w:val="00D42320"/>
    <w:rsid w:val="00D4345D"/>
    <w:rsid w:val="00D4408E"/>
    <w:rsid w:val="00D45962"/>
    <w:rsid w:val="00D464FA"/>
    <w:rsid w:val="00D47293"/>
    <w:rsid w:val="00D51FD3"/>
    <w:rsid w:val="00D5347F"/>
    <w:rsid w:val="00D540D1"/>
    <w:rsid w:val="00D54931"/>
    <w:rsid w:val="00D54D58"/>
    <w:rsid w:val="00D55376"/>
    <w:rsid w:val="00D55ABE"/>
    <w:rsid w:val="00D55B15"/>
    <w:rsid w:val="00D55FC3"/>
    <w:rsid w:val="00D57202"/>
    <w:rsid w:val="00D61776"/>
    <w:rsid w:val="00D620EF"/>
    <w:rsid w:val="00D62A66"/>
    <w:rsid w:val="00D63384"/>
    <w:rsid w:val="00D6374C"/>
    <w:rsid w:val="00D652AA"/>
    <w:rsid w:val="00D65845"/>
    <w:rsid w:val="00D65F9B"/>
    <w:rsid w:val="00D70FAD"/>
    <w:rsid w:val="00D72B28"/>
    <w:rsid w:val="00D72EEE"/>
    <w:rsid w:val="00D73AE0"/>
    <w:rsid w:val="00D74076"/>
    <w:rsid w:val="00D7584E"/>
    <w:rsid w:val="00D75FBF"/>
    <w:rsid w:val="00D808E6"/>
    <w:rsid w:val="00D824CF"/>
    <w:rsid w:val="00D847C8"/>
    <w:rsid w:val="00D8480F"/>
    <w:rsid w:val="00D84D7D"/>
    <w:rsid w:val="00D86053"/>
    <w:rsid w:val="00D90E25"/>
    <w:rsid w:val="00D9143A"/>
    <w:rsid w:val="00D9272D"/>
    <w:rsid w:val="00D933B4"/>
    <w:rsid w:val="00D94852"/>
    <w:rsid w:val="00D94EF7"/>
    <w:rsid w:val="00DA0720"/>
    <w:rsid w:val="00DA0B4E"/>
    <w:rsid w:val="00DA19D2"/>
    <w:rsid w:val="00DA2D97"/>
    <w:rsid w:val="00DA3A10"/>
    <w:rsid w:val="00DA3D7E"/>
    <w:rsid w:val="00DA4BDE"/>
    <w:rsid w:val="00DA6573"/>
    <w:rsid w:val="00DA7B69"/>
    <w:rsid w:val="00DB03F8"/>
    <w:rsid w:val="00DB0CBE"/>
    <w:rsid w:val="00DB1D84"/>
    <w:rsid w:val="00DB21FF"/>
    <w:rsid w:val="00DB249A"/>
    <w:rsid w:val="00DB3026"/>
    <w:rsid w:val="00DB3548"/>
    <w:rsid w:val="00DB4F47"/>
    <w:rsid w:val="00DB57B6"/>
    <w:rsid w:val="00DB5E66"/>
    <w:rsid w:val="00DB714B"/>
    <w:rsid w:val="00DC0CB4"/>
    <w:rsid w:val="00DC243D"/>
    <w:rsid w:val="00DC2C5E"/>
    <w:rsid w:val="00DC686F"/>
    <w:rsid w:val="00DC7674"/>
    <w:rsid w:val="00DD258C"/>
    <w:rsid w:val="00DD3AD8"/>
    <w:rsid w:val="00DF094B"/>
    <w:rsid w:val="00DF4959"/>
    <w:rsid w:val="00DF6C40"/>
    <w:rsid w:val="00DF7F1A"/>
    <w:rsid w:val="00E0044A"/>
    <w:rsid w:val="00E07437"/>
    <w:rsid w:val="00E078AB"/>
    <w:rsid w:val="00E105E1"/>
    <w:rsid w:val="00E119DE"/>
    <w:rsid w:val="00E12A43"/>
    <w:rsid w:val="00E14756"/>
    <w:rsid w:val="00E1481F"/>
    <w:rsid w:val="00E152B3"/>
    <w:rsid w:val="00E15F28"/>
    <w:rsid w:val="00E16DE4"/>
    <w:rsid w:val="00E2459F"/>
    <w:rsid w:val="00E252F2"/>
    <w:rsid w:val="00E25A06"/>
    <w:rsid w:val="00E27017"/>
    <w:rsid w:val="00E31953"/>
    <w:rsid w:val="00E41676"/>
    <w:rsid w:val="00E421CB"/>
    <w:rsid w:val="00E4251C"/>
    <w:rsid w:val="00E43945"/>
    <w:rsid w:val="00E462CC"/>
    <w:rsid w:val="00E50302"/>
    <w:rsid w:val="00E5047C"/>
    <w:rsid w:val="00E517F4"/>
    <w:rsid w:val="00E52B7C"/>
    <w:rsid w:val="00E56543"/>
    <w:rsid w:val="00E601F4"/>
    <w:rsid w:val="00E60778"/>
    <w:rsid w:val="00E6321B"/>
    <w:rsid w:val="00E651CF"/>
    <w:rsid w:val="00E662CA"/>
    <w:rsid w:val="00E678E5"/>
    <w:rsid w:val="00E702DE"/>
    <w:rsid w:val="00E70BE6"/>
    <w:rsid w:val="00E71C39"/>
    <w:rsid w:val="00E71F71"/>
    <w:rsid w:val="00E749F2"/>
    <w:rsid w:val="00E75E47"/>
    <w:rsid w:val="00E75E8A"/>
    <w:rsid w:val="00E80304"/>
    <w:rsid w:val="00E805F2"/>
    <w:rsid w:val="00E819D1"/>
    <w:rsid w:val="00E820D2"/>
    <w:rsid w:val="00E82984"/>
    <w:rsid w:val="00E86A0E"/>
    <w:rsid w:val="00E87045"/>
    <w:rsid w:val="00E87667"/>
    <w:rsid w:val="00E90562"/>
    <w:rsid w:val="00E907DE"/>
    <w:rsid w:val="00E9554E"/>
    <w:rsid w:val="00E96266"/>
    <w:rsid w:val="00E978E9"/>
    <w:rsid w:val="00EA02C0"/>
    <w:rsid w:val="00EA1426"/>
    <w:rsid w:val="00EA2446"/>
    <w:rsid w:val="00EA2E5D"/>
    <w:rsid w:val="00EA379D"/>
    <w:rsid w:val="00EA42D1"/>
    <w:rsid w:val="00EA434F"/>
    <w:rsid w:val="00EA46DB"/>
    <w:rsid w:val="00EA4C2D"/>
    <w:rsid w:val="00EA57AE"/>
    <w:rsid w:val="00EA6790"/>
    <w:rsid w:val="00EB12B4"/>
    <w:rsid w:val="00EB1CFC"/>
    <w:rsid w:val="00EB2DC6"/>
    <w:rsid w:val="00EB47F8"/>
    <w:rsid w:val="00EB6AC5"/>
    <w:rsid w:val="00EB6D5F"/>
    <w:rsid w:val="00EC097E"/>
    <w:rsid w:val="00EC1780"/>
    <w:rsid w:val="00EC3009"/>
    <w:rsid w:val="00EC495F"/>
    <w:rsid w:val="00EC6D6F"/>
    <w:rsid w:val="00ED2343"/>
    <w:rsid w:val="00ED6B8D"/>
    <w:rsid w:val="00ED7059"/>
    <w:rsid w:val="00EE0DA0"/>
    <w:rsid w:val="00EE20DF"/>
    <w:rsid w:val="00EE26BE"/>
    <w:rsid w:val="00EE46D8"/>
    <w:rsid w:val="00EE50C6"/>
    <w:rsid w:val="00EE5660"/>
    <w:rsid w:val="00EE5DF8"/>
    <w:rsid w:val="00EE6FCC"/>
    <w:rsid w:val="00EE7A8E"/>
    <w:rsid w:val="00EE7CB3"/>
    <w:rsid w:val="00EF0593"/>
    <w:rsid w:val="00EF0766"/>
    <w:rsid w:val="00EF0D87"/>
    <w:rsid w:val="00EF1112"/>
    <w:rsid w:val="00EF126B"/>
    <w:rsid w:val="00EF288F"/>
    <w:rsid w:val="00EF376B"/>
    <w:rsid w:val="00EF3AC6"/>
    <w:rsid w:val="00EF4649"/>
    <w:rsid w:val="00EF47C9"/>
    <w:rsid w:val="00EF4EF4"/>
    <w:rsid w:val="00F04482"/>
    <w:rsid w:val="00F07CC3"/>
    <w:rsid w:val="00F10530"/>
    <w:rsid w:val="00F1061A"/>
    <w:rsid w:val="00F11BF5"/>
    <w:rsid w:val="00F173F2"/>
    <w:rsid w:val="00F179AA"/>
    <w:rsid w:val="00F209C0"/>
    <w:rsid w:val="00F20F43"/>
    <w:rsid w:val="00F2169A"/>
    <w:rsid w:val="00F234FE"/>
    <w:rsid w:val="00F23F3F"/>
    <w:rsid w:val="00F24305"/>
    <w:rsid w:val="00F26903"/>
    <w:rsid w:val="00F26C9B"/>
    <w:rsid w:val="00F2783E"/>
    <w:rsid w:val="00F309D5"/>
    <w:rsid w:val="00F3285B"/>
    <w:rsid w:val="00F3342B"/>
    <w:rsid w:val="00F33D8F"/>
    <w:rsid w:val="00F34B11"/>
    <w:rsid w:val="00F40106"/>
    <w:rsid w:val="00F40827"/>
    <w:rsid w:val="00F40CF3"/>
    <w:rsid w:val="00F40F1B"/>
    <w:rsid w:val="00F40F9F"/>
    <w:rsid w:val="00F417B8"/>
    <w:rsid w:val="00F4325F"/>
    <w:rsid w:val="00F51048"/>
    <w:rsid w:val="00F523BB"/>
    <w:rsid w:val="00F52489"/>
    <w:rsid w:val="00F52ABD"/>
    <w:rsid w:val="00F5441C"/>
    <w:rsid w:val="00F56CF5"/>
    <w:rsid w:val="00F57A69"/>
    <w:rsid w:val="00F57BB2"/>
    <w:rsid w:val="00F62999"/>
    <w:rsid w:val="00F63350"/>
    <w:rsid w:val="00F65A13"/>
    <w:rsid w:val="00F66DA2"/>
    <w:rsid w:val="00F673F2"/>
    <w:rsid w:val="00F701D4"/>
    <w:rsid w:val="00F71DF6"/>
    <w:rsid w:val="00F722BA"/>
    <w:rsid w:val="00F722FB"/>
    <w:rsid w:val="00F73344"/>
    <w:rsid w:val="00F74D1F"/>
    <w:rsid w:val="00F76BC2"/>
    <w:rsid w:val="00F77512"/>
    <w:rsid w:val="00F82FD4"/>
    <w:rsid w:val="00F839EB"/>
    <w:rsid w:val="00F84699"/>
    <w:rsid w:val="00F852C3"/>
    <w:rsid w:val="00F85656"/>
    <w:rsid w:val="00F86D58"/>
    <w:rsid w:val="00F86ED0"/>
    <w:rsid w:val="00F86F84"/>
    <w:rsid w:val="00F9064B"/>
    <w:rsid w:val="00F92285"/>
    <w:rsid w:val="00F92F1B"/>
    <w:rsid w:val="00F94560"/>
    <w:rsid w:val="00F958CE"/>
    <w:rsid w:val="00FA0189"/>
    <w:rsid w:val="00FA01CA"/>
    <w:rsid w:val="00FA0A8D"/>
    <w:rsid w:val="00FA2028"/>
    <w:rsid w:val="00FA241B"/>
    <w:rsid w:val="00FA24A7"/>
    <w:rsid w:val="00FA2814"/>
    <w:rsid w:val="00FA4C6E"/>
    <w:rsid w:val="00FA6DE7"/>
    <w:rsid w:val="00FB0FAB"/>
    <w:rsid w:val="00FB2589"/>
    <w:rsid w:val="00FB28E8"/>
    <w:rsid w:val="00FB4D33"/>
    <w:rsid w:val="00FB555A"/>
    <w:rsid w:val="00FB6214"/>
    <w:rsid w:val="00FC056B"/>
    <w:rsid w:val="00FC1748"/>
    <w:rsid w:val="00FC1F26"/>
    <w:rsid w:val="00FC220A"/>
    <w:rsid w:val="00FC2784"/>
    <w:rsid w:val="00FC2999"/>
    <w:rsid w:val="00FC2C96"/>
    <w:rsid w:val="00FC4EDF"/>
    <w:rsid w:val="00FC572E"/>
    <w:rsid w:val="00FC5922"/>
    <w:rsid w:val="00FC7B87"/>
    <w:rsid w:val="00FD0160"/>
    <w:rsid w:val="00FD1C93"/>
    <w:rsid w:val="00FD1EB5"/>
    <w:rsid w:val="00FD2E86"/>
    <w:rsid w:val="00FD35A0"/>
    <w:rsid w:val="00FD7C99"/>
    <w:rsid w:val="00FE007E"/>
    <w:rsid w:val="00FE0274"/>
    <w:rsid w:val="00FE2019"/>
    <w:rsid w:val="00FE2CC3"/>
    <w:rsid w:val="00FE32E1"/>
    <w:rsid w:val="00FE3C3E"/>
    <w:rsid w:val="00FE42B1"/>
    <w:rsid w:val="00FF04BB"/>
    <w:rsid w:val="00FF06BE"/>
    <w:rsid w:val="00FF0AED"/>
    <w:rsid w:val="00FF352A"/>
    <w:rsid w:val="00FF3617"/>
    <w:rsid w:val="00FF5A14"/>
    <w:rsid w:val="00FF7959"/>
    <w:rsid w:val="01A875EA"/>
    <w:rsid w:val="109D361D"/>
    <w:rsid w:val="155A0253"/>
    <w:rsid w:val="21F0712E"/>
    <w:rsid w:val="231F5A1C"/>
    <w:rsid w:val="32333E28"/>
    <w:rsid w:val="3E311C0A"/>
    <w:rsid w:val="424E4E37"/>
    <w:rsid w:val="49BC2739"/>
    <w:rsid w:val="4E2E5F34"/>
    <w:rsid w:val="53B31C9F"/>
    <w:rsid w:val="61650F6B"/>
    <w:rsid w:val="61B96441"/>
    <w:rsid w:val="63307703"/>
    <w:rsid w:val="640D7EAA"/>
    <w:rsid w:val="7A6C2F24"/>
    <w:rsid w:val="7C4B5380"/>
    <w:rsid w:val="7D02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31F188"/>
  <w15:chartTrackingRefBased/>
  <w15:docId w15:val="{554F7CA1-4BE9-4A29-9FF9-E9E81368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numPr>
        <w:ilvl w:val="2"/>
        <w:numId w:val="1"/>
      </w:numPr>
      <w:spacing w:beforeLines="50" w:afterLines="50" w:line="360" w:lineRule="auto"/>
      <w:outlineLvl w:val="2"/>
    </w:pPr>
    <w:rPr>
      <w:rFonts w:ascii="Times New Roman" w:hAnsi="Times New Roman"/>
      <w:b/>
      <w:bCs/>
      <w:sz w:val="24"/>
      <w:szCs w:val="32"/>
      <w:lang w:val="zh-CN"/>
    </w:rPr>
  </w:style>
  <w:style w:type="paragraph" w:styleId="4">
    <w:name w:val="heading 4"/>
    <w:basedOn w:val="a"/>
    <w:next w:val="a"/>
    <w:link w:val="41"/>
    <w:uiPriority w:val="9"/>
    <w:qFormat/>
    <w:pPr>
      <w:keepNext/>
      <w:keepLines/>
      <w:spacing w:before="280" w:after="290" w:line="376" w:lineRule="auto"/>
      <w:outlineLvl w:val="3"/>
    </w:pPr>
    <w:rPr>
      <w:rFonts w:ascii="Calibri Light" w:hAnsi="Calibri Light"/>
      <w:b/>
      <w:bCs/>
      <w:sz w:val="28"/>
      <w:szCs w:val="28"/>
    </w:rPr>
  </w:style>
  <w:style w:type="paragraph" w:styleId="6">
    <w:name w:val="heading 6"/>
    <w:basedOn w:val="a"/>
    <w:next w:val="a"/>
    <w:link w:val="60"/>
    <w:uiPriority w:val="9"/>
    <w:qFormat/>
    <w:pPr>
      <w:keepNext/>
      <w:keepLines/>
      <w:spacing w:before="240" w:after="64" w:line="320" w:lineRule="auto"/>
      <w:outlineLvl w:val="5"/>
    </w:pPr>
    <w:rPr>
      <w:rFonts w:ascii="等线 Light" w:eastAsia="等线 Light" w:hAnsi="等线 Light"/>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b/>
      <w:bCs/>
      <w:kern w:val="44"/>
      <w:sz w:val="44"/>
      <w:szCs w:val="44"/>
    </w:rPr>
  </w:style>
  <w:style w:type="character" w:customStyle="1" w:styleId="20">
    <w:name w:val="标题 2 字符"/>
    <w:link w:val="2"/>
    <w:rPr>
      <w:rFonts w:ascii="Cambria" w:eastAsia="宋体" w:hAnsi="Cambria" w:cs="Times New Roman"/>
      <w:b/>
      <w:bCs/>
      <w:sz w:val="32"/>
      <w:szCs w:val="32"/>
    </w:rPr>
  </w:style>
  <w:style w:type="character" w:customStyle="1" w:styleId="30">
    <w:name w:val="标题 3 字符"/>
    <w:link w:val="3"/>
    <w:uiPriority w:val="99"/>
    <w:qFormat/>
    <w:rPr>
      <w:rFonts w:ascii="Times New Roman" w:eastAsia="宋体" w:hAnsi="Times New Roman" w:cs="Times New Roman"/>
      <w:b/>
      <w:bCs/>
      <w:sz w:val="24"/>
      <w:szCs w:val="32"/>
      <w:lang w:val="zh-CN"/>
    </w:rPr>
  </w:style>
  <w:style w:type="character" w:customStyle="1" w:styleId="41">
    <w:name w:val="标题 4 字符1"/>
    <w:link w:val="4"/>
    <w:uiPriority w:val="9"/>
    <w:rPr>
      <w:rFonts w:ascii="Calibri Light" w:hAnsi="Calibri Light"/>
      <w:b/>
      <w:bCs/>
      <w:kern w:val="2"/>
      <w:sz w:val="28"/>
      <w:szCs w:val="28"/>
    </w:rPr>
  </w:style>
  <w:style w:type="character" w:customStyle="1" w:styleId="60">
    <w:name w:val="标题 6 字符"/>
    <w:link w:val="6"/>
    <w:uiPriority w:val="9"/>
    <w:rPr>
      <w:rFonts w:ascii="等线 Light" w:eastAsia="等线 Light" w:hAnsi="等线 Light"/>
      <w:b/>
      <w:bCs/>
      <w:kern w:val="2"/>
      <w:sz w:val="24"/>
      <w:szCs w:val="24"/>
    </w:rPr>
  </w:style>
  <w:style w:type="paragraph" w:styleId="TOC7">
    <w:name w:val="toc 7"/>
    <w:basedOn w:val="a"/>
    <w:next w:val="a"/>
    <w:uiPriority w:val="39"/>
    <w:unhideWhenUsed/>
    <w:pPr>
      <w:ind w:leftChars="1200" w:left="2520"/>
    </w:pPr>
  </w:style>
  <w:style w:type="paragraph" w:styleId="a3">
    <w:name w:val="caption"/>
    <w:basedOn w:val="a"/>
    <w:next w:val="a"/>
    <w:link w:val="a4"/>
    <w:uiPriority w:val="35"/>
    <w:qFormat/>
    <w:pPr>
      <w:spacing w:afterLines="50"/>
    </w:pPr>
    <w:rPr>
      <w:rFonts w:ascii="Cambria" w:eastAsia="黑体" w:hAnsi="Cambria"/>
      <w:sz w:val="20"/>
      <w:szCs w:val="20"/>
      <w:lang w:val="zh-CN"/>
    </w:rPr>
  </w:style>
  <w:style w:type="character" w:customStyle="1" w:styleId="a4">
    <w:name w:val="题注 字符"/>
    <w:link w:val="a3"/>
    <w:uiPriority w:val="35"/>
    <w:qFormat/>
    <w:rPr>
      <w:rFonts w:ascii="Cambria" w:eastAsia="黑体" w:hAnsi="Cambria" w:cs="Times New Roman"/>
      <w:sz w:val="20"/>
      <w:szCs w:val="20"/>
      <w:lang w:val="zh-CN"/>
    </w:rPr>
  </w:style>
  <w:style w:type="paragraph" w:styleId="a5">
    <w:name w:val="Document Map"/>
    <w:basedOn w:val="a"/>
    <w:link w:val="a6"/>
    <w:uiPriority w:val="99"/>
    <w:unhideWhenUsed/>
    <w:rPr>
      <w:rFonts w:ascii="宋体"/>
      <w:sz w:val="18"/>
      <w:szCs w:val="18"/>
    </w:rPr>
  </w:style>
  <w:style w:type="character" w:customStyle="1" w:styleId="a6">
    <w:name w:val="文档结构图 字符"/>
    <w:link w:val="a5"/>
    <w:uiPriority w:val="99"/>
    <w:semiHidden/>
    <w:rPr>
      <w:rFonts w:ascii="宋体" w:eastAsia="宋体"/>
      <w:sz w:val="18"/>
      <w:szCs w:val="18"/>
    </w:rPr>
  </w:style>
  <w:style w:type="paragraph" w:styleId="a7">
    <w:name w:val="annotation text"/>
    <w:basedOn w:val="a"/>
    <w:link w:val="a8"/>
    <w:uiPriority w:val="99"/>
    <w:unhideWhenUsed/>
    <w:qFormat/>
    <w:pPr>
      <w:jc w:val="left"/>
    </w:pPr>
  </w:style>
  <w:style w:type="character" w:customStyle="1" w:styleId="a8">
    <w:name w:val="批注文字 字符"/>
    <w:link w:val="a7"/>
    <w:uiPriority w:val="99"/>
  </w:style>
  <w:style w:type="paragraph" w:styleId="a9">
    <w:name w:val="Body Text"/>
    <w:basedOn w:val="a"/>
    <w:link w:val="aa"/>
    <w:uiPriority w:val="99"/>
    <w:unhideWhenUsed/>
    <w:pPr>
      <w:spacing w:after="120"/>
    </w:pPr>
  </w:style>
  <w:style w:type="character" w:customStyle="1" w:styleId="aa">
    <w:name w:val="正文文本 字符"/>
    <w:link w:val="a9"/>
    <w:uiPriority w:val="99"/>
    <w:semiHidden/>
  </w:style>
  <w:style w:type="paragraph" w:styleId="TOC5">
    <w:name w:val="toc 5"/>
    <w:basedOn w:val="a"/>
    <w:next w:val="a"/>
    <w:uiPriority w:val="39"/>
    <w:unhideWhenUsed/>
    <w:pPr>
      <w:ind w:leftChars="800" w:left="1680"/>
    </w:pPr>
  </w:style>
  <w:style w:type="paragraph" w:styleId="TOC3">
    <w:name w:val="toc 3"/>
    <w:basedOn w:val="a"/>
    <w:next w:val="a"/>
    <w:uiPriority w:val="39"/>
    <w:unhideWhenUsed/>
    <w:pPr>
      <w:tabs>
        <w:tab w:val="right" w:leader="dot" w:pos="8296"/>
      </w:tabs>
      <w:spacing w:line="360" w:lineRule="auto"/>
      <w:ind w:leftChars="200" w:left="420"/>
    </w:pPr>
  </w:style>
  <w:style w:type="paragraph" w:styleId="TOC8">
    <w:name w:val="toc 8"/>
    <w:basedOn w:val="a"/>
    <w:next w:val="a"/>
    <w:uiPriority w:val="39"/>
    <w:unhideWhenUsed/>
    <w:pPr>
      <w:ind w:leftChars="1400" w:left="2940"/>
    </w:pPr>
  </w:style>
  <w:style w:type="paragraph" w:styleId="ab">
    <w:name w:val="Balloon Text"/>
    <w:basedOn w:val="a"/>
    <w:link w:val="ac"/>
    <w:uiPriority w:val="99"/>
    <w:unhideWhenUsed/>
    <w:rPr>
      <w:sz w:val="18"/>
      <w:szCs w:val="18"/>
    </w:rPr>
  </w:style>
  <w:style w:type="character" w:customStyle="1" w:styleId="ac">
    <w:name w:val="批注框文本 字符"/>
    <w:link w:val="ab"/>
    <w:uiPriority w:val="99"/>
    <w:semiHidden/>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character" w:customStyle="1" w:styleId="ae">
    <w:name w:val="页脚 字符"/>
    <w:link w:val="ad"/>
    <w:uiPriority w:val="99"/>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rPr>
      <w:sz w:val="18"/>
      <w:szCs w:val="18"/>
    </w:rPr>
  </w:style>
  <w:style w:type="paragraph" w:styleId="TOC1">
    <w:name w:val="toc 1"/>
    <w:basedOn w:val="a"/>
    <w:next w:val="a"/>
    <w:uiPriority w:val="39"/>
    <w:unhideWhenUsed/>
    <w:pPr>
      <w:widowControl/>
      <w:tabs>
        <w:tab w:val="right" w:leader="dot" w:pos="8296"/>
      </w:tabs>
      <w:adjustRightInd w:val="0"/>
      <w:snapToGrid w:val="0"/>
      <w:spacing w:beforeLines="50" w:before="156" w:line="312" w:lineRule="auto"/>
      <w:jc w:val="left"/>
    </w:pPr>
    <w:rPr>
      <w:rFonts w:ascii="Times New Roman" w:hAnsi="Times New Roman"/>
      <w:b/>
      <w:bCs/>
      <w:kern w:val="0"/>
      <w:sz w:val="22"/>
    </w:rPr>
  </w:style>
  <w:style w:type="paragraph" w:styleId="TOC4">
    <w:name w:val="toc 4"/>
    <w:basedOn w:val="a"/>
    <w:next w:val="a"/>
    <w:uiPriority w:val="39"/>
    <w:unhideWhenUsed/>
    <w:pPr>
      <w:ind w:leftChars="600" w:left="1260"/>
    </w:pPr>
  </w:style>
  <w:style w:type="paragraph" w:styleId="af1">
    <w:name w:val="Subtitle"/>
    <w:basedOn w:val="a"/>
    <w:next w:val="a"/>
    <w:link w:val="af2"/>
    <w:uiPriority w:val="11"/>
    <w:qFormat/>
    <w:pPr>
      <w:spacing w:before="240" w:after="60" w:line="312" w:lineRule="auto"/>
      <w:jc w:val="center"/>
      <w:outlineLvl w:val="1"/>
    </w:pPr>
    <w:rPr>
      <w:rFonts w:ascii="Calibri Light" w:hAnsi="Calibri Light"/>
      <w:b/>
      <w:bCs/>
      <w:kern w:val="28"/>
      <w:sz w:val="32"/>
      <w:szCs w:val="32"/>
    </w:rPr>
  </w:style>
  <w:style w:type="character" w:customStyle="1" w:styleId="af2">
    <w:name w:val="副标题 字符"/>
    <w:link w:val="af1"/>
    <w:uiPriority w:val="11"/>
    <w:rPr>
      <w:rFonts w:ascii="Calibri Light" w:hAnsi="Calibri Light" w:cs="Times New Roman"/>
      <w:b/>
      <w:bCs/>
      <w:kern w:val="28"/>
      <w:sz w:val="32"/>
      <w:szCs w:val="32"/>
    </w:rPr>
  </w:style>
  <w:style w:type="paragraph" w:styleId="TOC6">
    <w:name w:val="toc 6"/>
    <w:basedOn w:val="a"/>
    <w:next w:val="a"/>
    <w:uiPriority w:val="39"/>
    <w:unhideWhenUsed/>
    <w:pPr>
      <w:ind w:leftChars="1000" w:left="2100"/>
    </w:pPr>
  </w:style>
  <w:style w:type="paragraph" w:styleId="TOC2">
    <w:name w:val="toc 2"/>
    <w:basedOn w:val="a"/>
    <w:next w:val="a"/>
    <w:uiPriority w:val="39"/>
    <w:unhideWhenUsed/>
    <w:pPr>
      <w:tabs>
        <w:tab w:val="right" w:leader="dot" w:pos="8296"/>
      </w:tabs>
      <w:spacing w:line="360" w:lineRule="auto"/>
      <w:ind w:leftChars="100" w:left="210"/>
    </w:pPr>
  </w:style>
  <w:style w:type="paragraph" w:styleId="TOC9">
    <w:name w:val="toc 9"/>
    <w:basedOn w:val="a"/>
    <w:next w:val="a"/>
    <w:uiPriority w:val="39"/>
    <w:unhideWhenUsed/>
    <w:pPr>
      <w:ind w:leftChars="1600" w:left="3360"/>
    </w:pPr>
  </w:style>
  <w:style w:type="paragraph" w:styleId="af3">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7"/>
    <w:next w:val="a7"/>
    <w:link w:val="af5"/>
    <w:uiPriority w:val="99"/>
    <w:unhideWhenUsed/>
    <w:rPr>
      <w:b/>
      <w:bCs/>
    </w:rPr>
  </w:style>
  <w:style w:type="character" w:customStyle="1" w:styleId="af5">
    <w:name w:val="批注主题 字符"/>
    <w:link w:val="af4"/>
    <w:uiPriority w:val="99"/>
    <w:semiHidden/>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Theme"/>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uiPriority w:val="20"/>
    <w:qFormat/>
    <w:rPr>
      <w:i/>
      <w:iCs/>
    </w:rPr>
  </w:style>
  <w:style w:type="character" w:styleId="afa">
    <w:name w:val="Hyperlink"/>
    <w:uiPriority w:val="99"/>
    <w:unhideWhenUsed/>
    <w:rPr>
      <w:color w:val="0000FF"/>
      <w:u w:val="single"/>
    </w:rPr>
  </w:style>
  <w:style w:type="character" w:styleId="afb">
    <w:name w:val="annotation reference"/>
    <w:uiPriority w:val="99"/>
    <w:unhideWhenUsed/>
    <w:qFormat/>
    <w:rPr>
      <w:sz w:val="21"/>
      <w:szCs w:val="21"/>
    </w:rPr>
  </w:style>
  <w:style w:type="character" w:customStyle="1" w:styleId="40">
    <w:name w:val="标题 4 字符"/>
    <w:uiPriority w:val="9"/>
    <w:rPr>
      <w:rFonts w:ascii="Times New Roman" w:eastAsia="宋体" w:hAnsi="Times New Roman" w:cs="Times New Roman"/>
      <w:b/>
      <w:kern w:val="0"/>
      <w:sz w:val="24"/>
      <w:szCs w:val="20"/>
    </w:rPr>
  </w:style>
  <w:style w:type="paragraph" w:customStyle="1" w:styleId="afc">
    <w:name w:val="三级标题"/>
    <w:basedOn w:val="a"/>
    <w:link w:val="Char"/>
    <w:qFormat/>
    <w:pPr>
      <w:spacing w:beforeLines="50" w:afterLines="50" w:line="360" w:lineRule="auto"/>
      <w:outlineLvl w:val="2"/>
    </w:pPr>
    <w:rPr>
      <w:rFonts w:ascii="Times New Roman" w:hAnsi="Times New Roman"/>
      <w:b/>
      <w:sz w:val="24"/>
      <w:szCs w:val="24"/>
      <w:lang w:val="zh-CN"/>
    </w:rPr>
  </w:style>
  <w:style w:type="character" w:customStyle="1" w:styleId="Char">
    <w:name w:val="三级标题 Char"/>
    <w:link w:val="afc"/>
    <w:qFormat/>
    <w:rPr>
      <w:rFonts w:ascii="Times New Roman" w:eastAsia="宋体" w:hAnsi="Times New Roman" w:cs="Times New Roman"/>
      <w:b/>
      <w:sz w:val="24"/>
      <w:szCs w:val="24"/>
      <w:lang w:val="zh-CN"/>
    </w:rPr>
  </w:style>
  <w:style w:type="paragraph" w:customStyle="1" w:styleId="11">
    <w:name w:val="正文1"/>
    <w:link w:val="Char0"/>
    <w:pPr>
      <w:suppressAutoHyphens/>
      <w:adjustRightInd w:val="0"/>
      <w:snapToGrid w:val="0"/>
      <w:spacing w:afterLines="50" w:line="360" w:lineRule="auto"/>
      <w:ind w:firstLineChars="200" w:firstLine="480"/>
    </w:pPr>
    <w:rPr>
      <w:rFonts w:ascii="Times New Roman" w:hAnsi="Times New Roman"/>
      <w:kern w:val="2"/>
      <w:sz w:val="24"/>
      <w:szCs w:val="24"/>
      <w:lang w:val="zh-CN"/>
    </w:rPr>
  </w:style>
  <w:style w:type="character" w:customStyle="1" w:styleId="Char0">
    <w:name w:val="正文 Char"/>
    <w:link w:val="11"/>
    <w:qFormat/>
    <w:rPr>
      <w:rFonts w:ascii="Times New Roman" w:eastAsia="宋体" w:hAnsi="Times New Roman" w:cs="Times New Roman"/>
      <w:sz w:val="24"/>
      <w:szCs w:val="24"/>
      <w:lang w:val="zh-CN"/>
    </w:rPr>
  </w:style>
  <w:style w:type="paragraph" w:customStyle="1" w:styleId="5">
    <w:name w:val="魏蔚5"/>
    <w:basedOn w:val="3"/>
    <w:pPr>
      <w:numPr>
        <w:ilvl w:val="0"/>
      </w:numPr>
      <w:ind w:rightChars="100" w:right="100"/>
      <w:jc w:val="left"/>
    </w:pPr>
  </w:style>
  <w:style w:type="character" w:customStyle="1" w:styleId="fontstyle01">
    <w:name w:val="fontstyle01"/>
    <w:rPr>
      <w:rFonts w:ascii="宋体" w:eastAsia="宋体" w:hAnsi="宋体" w:hint="eastAsia"/>
      <w:color w:val="000000"/>
      <w:sz w:val="24"/>
      <w:szCs w:val="24"/>
    </w:rPr>
  </w:style>
  <w:style w:type="paragraph" w:customStyle="1" w:styleId="afd">
    <w:name w:val="（一）标题"/>
    <w:basedOn w:val="a"/>
    <w:link w:val="Char1"/>
    <w:pPr>
      <w:keepNext/>
      <w:keepLines/>
      <w:widowControl/>
      <w:spacing w:line="360" w:lineRule="auto"/>
      <w:jc w:val="left"/>
      <w:outlineLvl w:val="2"/>
    </w:pPr>
    <w:rPr>
      <w:rFonts w:ascii="宋体" w:hAnsi="宋体"/>
      <w:b/>
      <w:kern w:val="0"/>
      <w:sz w:val="24"/>
      <w:szCs w:val="24"/>
    </w:rPr>
  </w:style>
  <w:style w:type="character" w:customStyle="1" w:styleId="Char1">
    <w:name w:val="（一）标题 Char"/>
    <w:link w:val="afd"/>
    <w:rPr>
      <w:rFonts w:ascii="宋体" w:eastAsia="宋体" w:hAnsi="宋体" w:cs="Times New Roman"/>
      <w:b/>
      <w:kern w:val="0"/>
      <w:sz w:val="24"/>
      <w:szCs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e">
    <w:name w:val="Revision"/>
    <w:uiPriority w:val="99"/>
    <w:semiHidden/>
    <w:rPr>
      <w:kern w:val="2"/>
      <w:sz w:val="21"/>
      <w:szCs w:val="22"/>
    </w:rPr>
  </w:style>
  <w:style w:type="paragraph" w:styleId="aff">
    <w:name w:val="List Paragraph"/>
    <w:basedOn w:val="a"/>
    <w:link w:val="aff0"/>
    <w:uiPriority w:val="34"/>
    <w:qFormat/>
    <w:pPr>
      <w:ind w:firstLineChars="200" w:firstLine="420"/>
    </w:pPr>
  </w:style>
  <w:style w:type="character" w:customStyle="1" w:styleId="aff0">
    <w:name w:val="列表段落 字符"/>
    <w:link w:val="aff"/>
    <w:uiPriority w:val="34"/>
    <w:qFormat/>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6Char">
    <w:name w:val="标题 6 Char"/>
    <w:uiPriority w:val="9"/>
    <w:semiHidden/>
    <w:rPr>
      <w:rFonts w:ascii="Calibri Light" w:eastAsia="宋体" w:hAnsi="Calibri Light" w:cs="Times New Roman"/>
      <w:b/>
      <w:bCs/>
      <w:kern w:val="2"/>
      <w:sz w:val="24"/>
      <w:szCs w:val="24"/>
    </w:rPr>
  </w:style>
  <w:style w:type="character" w:customStyle="1" w:styleId="1Char">
    <w:name w:val="标题 1 Char"/>
    <w:uiPriority w:val="9"/>
    <w:rPr>
      <w:b/>
      <w:bCs/>
      <w:kern w:val="44"/>
      <w:sz w:val="44"/>
      <w:szCs w:val="44"/>
    </w:rPr>
  </w:style>
  <w:style w:type="character" w:customStyle="1" w:styleId="2Char">
    <w:name w:val="标题 2 Char"/>
    <w:uiPriority w:val="9"/>
    <w:rPr>
      <w:rFonts w:ascii="Cambria" w:eastAsia="宋体" w:hAnsi="Cambria" w:cs="Times New Roman"/>
      <w:b/>
      <w:bCs/>
      <w:sz w:val="32"/>
      <w:szCs w:val="32"/>
    </w:rPr>
  </w:style>
  <w:style w:type="character" w:customStyle="1" w:styleId="3Char">
    <w:name w:val="标题 3 Char"/>
    <w:aliases w:val="三级标题一、 Char,标题 3 Char1 Char Char,12 Char1,12 Char Char1,12 Char Char Char,标题 3 Char Char Char Char,头 Char,小标题 Char,heading 3 Char,Heading 3 - old Char,H3 Char,H3 Char Char Char,H3 Char Char Char Char Char Char,h3 Char,sect1.2.3 Char,Map Char"/>
    <w:uiPriority w:val="99"/>
    <w:qFormat/>
    <w:rPr>
      <w:rFonts w:ascii="Times New Roman" w:eastAsia="宋体" w:hAnsi="Times New Roman" w:cs="Times New Roman"/>
      <w:b/>
      <w:bCs/>
      <w:sz w:val="24"/>
      <w:szCs w:val="32"/>
      <w:lang w:val="zh-CN"/>
    </w:rPr>
  </w:style>
  <w:style w:type="character" w:customStyle="1" w:styleId="Char2">
    <w:name w:val="文档结构图 Char"/>
    <w:uiPriority w:val="99"/>
    <w:semiHidden/>
    <w:rPr>
      <w:rFonts w:ascii="宋体" w:eastAsia="宋体"/>
      <w:sz w:val="18"/>
      <w:szCs w:val="18"/>
    </w:rPr>
  </w:style>
  <w:style w:type="character" w:customStyle="1" w:styleId="Char3">
    <w:name w:val="正文文本 Char"/>
    <w:uiPriority w:val="99"/>
    <w:semiHidden/>
  </w:style>
  <w:style w:type="character" w:customStyle="1" w:styleId="Char4">
    <w:name w:val="题注 Char"/>
    <w:aliases w:val="目录+图表标题 Char,图表题注 Char"/>
    <w:uiPriority w:val="35"/>
    <w:rPr>
      <w:rFonts w:ascii="Cambria" w:eastAsia="黑体" w:hAnsi="Cambria" w:cs="Times New Roman"/>
      <w:sz w:val="20"/>
      <w:szCs w:val="20"/>
      <w:lang w:val="zh-CN"/>
    </w:rPr>
  </w:style>
  <w:style w:type="character" w:customStyle="1" w:styleId="Char5">
    <w:name w:val="批注框文本 Char"/>
    <w:uiPriority w:val="99"/>
    <w:semiHidden/>
    <w:rPr>
      <w:sz w:val="18"/>
      <w:szCs w:val="18"/>
    </w:rPr>
  </w:style>
  <w:style w:type="character" w:customStyle="1" w:styleId="Char6">
    <w:name w:val="批注文字 Char"/>
    <w:uiPriority w:val="99"/>
    <w:semiHidden/>
  </w:style>
  <w:style w:type="character" w:customStyle="1" w:styleId="Char7">
    <w:name w:val="批注主题 Char"/>
    <w:uiPriority w:val="99"/>
    <w:semiHidden/>
    <w:rPr>
      <w:b/>
      <w:bCs/>
    </w:rPr>
  </w:style>
  <w:style w:type="character" w:customStyle="1" w:styleId="Char8">
    <w:name w:val="页眉 Char"/>
    <w:uiPriority w:val="99"/>
    <w:rPr>
      <w:sz w:val="18"/>
      <w:szCs w:val="18"/>
    </w:rPr>
  </w:style>
  <w:style w:type="character" w:customStyle="1" w:styleId="Char9">
    <w:name w:val="页脚 Char"/>
    <w:uiPriority w:val="99"/>
    <w:rPr>
      <w:sz w:val="18"/>
      <w:szCs w:val="18"/>
    </w:rPr>
  </w:style>
  <w:style w:type="paragraph" w:customStyle="1" w:styleId="aff1">
    <w:name w:val="表格正文_招股书"/>
    <w:basedOn w:val="a"/>
    <w:link w:val="aff2"/>
    <w:qFormat/>
    <w:pPr>
      <w:framePr w:hSpace="180" w:wrap="around" w:vAnchor="text" w:hAnchor="margin" w:y="154"/>
      <w:adjustRightInd w:val="0"/>
      <w:snapToGrid w:val="0"/>
      <w:jc w:val="center"/>
    </w:pPr>
    <w:rPr>
      <w:rFonts w:ascii="Times New Roman" w:hAnsi="Times New Roman" w:cs="宋体"/>
      <w:snapToGrid w:val="0"/>
      <w:color w:val="333333"/>
      <w:kern w:val="0"/>
      <w:szCs w:val="21"/>
    </w:rPr>
  </w:style>
  <w:style w:type="character" w:customStyle="1" w:styleId="aff2">
    <w:name w:val="表格正文_招股书 字符"/>
    <w:link w:val="aff1"/>
    <w:rPr>
      <w:rFonts w:ascii="Times New Roman" w:hAnsi="Times New Roman" w:cs="宋体"/>
      <w:snapToGrid/>
      <w:color w:val="333333"/>
      <w:sz w:val="21"/>
      <w:szCs w:val="21"/>
    </w:rPr>
  </w:style>
  <w:style w:type="paragraph" w:customStyle="1" w:styleId="000">
    <w:name w:val="000正文"/>
    <w:basedOn w:val="a"/>
    <w:link w:val="000Char"/>
    <w:qFormat/>
    <w:pPr>
      <w:adjustRightInd w:val="0"/>
      <w:snapToGrid w:val="0"/>
      <w:spacing w:beforeLines="50" w:before="156" w:line="360" w:lineRule="auto"/>
      <w:ind w:firstLineChars="200" w:firstLine="480"/>
    </w:pPr>
    <w:rPr>
      <w:rFonts w:ascii="Times New Roman" w:hAnsi="Times New Roman"/>
      <w:sz w:val="24"/>
      <w:szCs w:val="24"/>
    </w:rPr>
  </w:style>
  <w:style w:type="character" w:customStyle="1" w:styleId="000Char">
    <w:name w:val="000正文 Char"/>
    <w:link w:val="000"/>
    <w:rPr>
      <w:rFonts w:ascii="Times New Roman" w:hAnsi="Times New Roman"/>
      <w:kern w:val="2"/>
      <w:sz w:val="24"/>
      <w:szCs w:val="24"/>
    </w:rPr>
  </w:style>
  <w:style w:type="paragraph" w:customStyle="1" w:styleId="aff3">
    <w:name w:val="表格单位_招股书"/>
    <w:basedOn w:val="a"/>
    <w:link w:val="aff4"/>
    <w:qFormat/>
    <w:pPr>
      <w:keepNext/>
      <w:adjustRightInd w:val="0"/>
      <w:snapToGrid w:val="0"/>
      <w:spacing w:beforeLines="50" w:before="156"/>
      <w:jc w:val="right"/>
    </w:pPr>
    <w:rPr>
      <w:rFonts w:ascii="Times New Roman"/>
      <w:szCs w:val="21"/>
    </w:rPr>
  </w:style>
  <w:style w:type="character" w:customStyle="1" w:styleId="aff4">
    <w:name w:val="表格单位_招股书 字符"/>
    <w:link w:val="aff3"/>
    <w:rPr>
      <w:rFonts w:ascii="Times New Roman"/>
      <w:kern w:val="2"/>
      <w:sz w:val="21"/>
      <w:szCs w:val="21"/>
    </w:rPr>
  </w:style>
  <w:style w:type="paragraph" w:customStyle="1" w:styleId="aff5">
    <w:name w:val="章节标题_招股书"/>
    <w:basedOn w:val="a"/>
    <w:link w:val="aff6"/>
    <w:pPr>
      <w:keepNext/>
      <w:pageBreakBefore/>
      <w:spacing w:beforeLines="100" w:before="312" w:afterLines="100" w:after="312" w:line="360" w:lineRule="auto"/>
      <w:jc w:val="center"/>
      <w:outlineLvl w:val="0"/>
    </w:pPr>
    <w:rPr>
      <w:rFonts w:eastAsia="黑体"/>
      <w:b/>
      <w:sz w:val="32"/>
      <w:szCs w:val="32"/>
    </w:rPr>
  </w:style>
  <w:style w:type="character" w:customStyle="1" w:styleId="aff6">
    <w:name w:val="章节标题_招股书 字符"/>
    <w:link w:val="aff5"/>
    <w:rPr>
      <w:rFonts w:eastAsia="黑体"/>
      <w:b/>
      <w:kern w:val="2"/>
      <w:sz w:val="32"/>
      <w:szCs w:val="32"/>
    </w:rPr>
  </w:style>
  <w:style w:type="paragraph" w:customStyle="1" w:styleId="aff7">
    <w:name w:val="第一级标题_招股书"/>
    <w:basedOn w:val="a"/>
    <w:link w:val="aff8"/>
    <w:qFormat/>
    <w:pPr>
      <w:adjustRightInd w:val="0"/>
      <w:snapToGrid w:val="0"/>
      <w:spacing w:beforeLines="50" w:before="50" w:line="360" w:lineRule="auto"/>
      <w:jc w:val="left"/>
      <w:outlineLvl w:val="1"/>
    </w:pPr>
    <w:rPr>
      <w:rFonts w:ascii="等线" w:eastAsia="黑体" w:hAnsi="等线"/>
      <w:b/>
      <w:sz w:val="28"/>
    </w:rPr>
  </w:style>
  <w:style w:type="character" w:customStyle="1" w:styleId="aff8">
    <w:name w:val="第一级标题_招股书 字符"/>
    <w:link w:val="aff7"/>
    <w:rPr>
      <w:rFonts w:ascii="等线" w:eastAsia="黑体" w:hAnsi="等线"/>
      <w:b/>
      <w:kern w:val="2"/>
      <w:sz w:val="28"/>
      <w:szCs w:val="22"/>
    </w:rPr>
  </w:style>
  <w:style w:type="paragraph" w:customStyle="1" w:styleId="aff9">
    <w:name w:val="第二级标题_招股书"/>
    <w:basedOn w:val="a"/>
    <w:link w:val="affa"/>
    <w:qFormat/>
    <w:pPr>
      <w:keepNext/>
      <w:keepLines/>
      <w:widowControl/>
      <w:adjustRightInd w:val="0"/>
      <w:snapToGrid w:val="0"/>
      <w:spacing w:beforeLines="50" w:before="156" w:line="360" w:lineRule="auto"/>
      <w:outlineLvl w:val="2"/>
    </w:pPr>
    <w:rPr>
      <w:rFonts w:ascii="Times New Roman" w:eastAsia="黑体" w:hAnsi="Times New Roman"/>
      <w:sz w:val="24"/>
      <w:szCs w:val="24"/>
    </w:rPr>
  </w:style>
  <w:style w:type="character" w:customStyle="1" w:styleId="affa">
    <w:name w:val="第二级标题_招股书 字符"/>
    <w:link w:val="aff9"/>
    <w:rPr>
      <w:rFonts w:ascii="Times New Roman" w:eastAsia="黑体" w:hAnsi="Times New Roman"/>
      <w:kern w:val="2"/>
      <w:sz w:val="24"/>
      <w:szCs w:val="24"/>
    </w:rPr>
  </w:style>
  <w:style w:type="paragraph" w:customStyle="1" w:styleId="affb">
    <w:name w:val="第三级标题_招股书"/>
    <w:basedOn w:val="a"/>
    <w:link w:val="affc"/>
    <w:qFormat/>
    <w:pPr>
      <w:adjustRightInd w:val="0"/>
      <w:snapToGrid w:val="0"/>
      <w:spacing w:beforeLines="50" w:before="156" w:line="360" w:lineRule="auto"/>
      <w:ind w:firstLineChars="200" w:firstLine="482"/>
      <w:jc w:val="left"/>
    </w:pPr>
    <w:rPr>
      <w:rFonts w:ascii="Times New Roman" w:hAnsi="Times New Roman"/>
      <w:b/>
      <w:color w:val="000000"/>
      <w:kern w:val="0"/>
      <w:sz w:val="24"/>
      <w:szCs w:val="24"/>
    </w:rPr>
  </w:style>
  <w:style w:type="character" w:customStyle="1" w:styleId="affc">
    <w:name w:val="第三级标题_招股书 字符"/>
    <w:link w:val="affb"/>
    <w:rPr>
      <w:rFonts w:ascii="Times New Roman" w:hAnsi="Times New Roman"/>
      <w:b/>
      <w:color w:val="000000"/>
      <w:sz w:val="24"/>
      <w:szCs w:val="24"/>
    </w:rPr>
  </w:style>
  <w:style w:type="character" w:customStyle="1" w:styleId="12">
    <w:name w:val="批注文字 字符1"/>
    <w:uiPriority w:val="99"/>
    <w:rPr>
      <w:kern w:val="2"/>
      <w:sz w:val="21"/>
      <w:szCs w:val="24"/>
    </w:rPr>
  </w:style>
  <w:style w:type="character" w:customStyle="1" w:styleId="joeChar">
    <w:name w:val="joe正文 Char"/>
    <w:link w:val="joe"/>
    <w:qFormat/>
    <w:rPr>
      <w:rFonts w:ascii="Times New Roman" w:hAnsi="Times New Roman" w:cs="宋体"/>
      <w:sz w:val="24"/>
    </w:rPr>
  </w:style>
  <w:style w:type="paragraph" w:customStyle="1" w:styleId="joe">
    <w:name w:val="joe正文"/>
    <w:basedOn w:val="a"/>
    <w:link w:val="joeChar"/>
    <w:qFormat/>
    <w:pPr>
      <w:spacing w:afterLines="50" w:line="360" w:lineRule="auto"/>
      <w:ind w:firstLineChars="200" w:firstLine="480"/>
    </w:pPr>
    <w:rPr>
      <w:rFonts w:ascii="Times New Roman" w:hAnsi="Times New Roman" w:cs="宋体"/>
      <w:kern w:val="0"/>
      <w:sz w:val="24"/>
      <w:szCs w:val="20"/>
    </w:rPr>
  </w:style>
  <w:style w:type="paragraph" w:customStyle="1" w:styleId="Style1">
    <w:name w:val="_Style 1"/>
    <w:basedOn w:val="a"/>
    <w:uiPriority w:val="34"/>
    <w:pPr>
      <w:ind w:firstLineChars="200" w:firstLine="420"/>
    </w:pPr>
    <w:rPr>
      <w:rFonts w:ascii="等线" w:eastAsia="等线" w:hAnsi="等线"/>
      <w:szCs w:val="24"/>
    </w:rPr>
  </w:style>
  <w:style w:type="paragraph" w:styleId="affd">
    <w:name w:val="No Spacing"/>
    <w:uiPriority w:val="1"/>
    <w:qFormat/>
    <w:rPr>
      <w:rFonts w:ascii="等线" w:eastAsia="Microsoft YaHei UI" w:hAnsi="等线" w:cs="Arial"/>
      <w:sz w:val="22"/>
      <w:szCs w:val="22"/>
    </w:rPr>
  </w:style>
  <w:style w:type="paragraph" w:customStyle="1" w:styleId="003">
    <w:name w:val="003三级标题"/>
    <w:basedOn w:val="a"/>
    <w:link w:val="003Char"/>
    <w:qFormat/>
    <w:pPr>
      <w:spacing w:before="156" w:after="156" w:line="360" w:lineRule="auto"/>
      <w:ind w:firstLineChars="200" w:firstLine="200"/>
      <w:outlineLvl w:val="3"/>
    </w:pPr>
    <w:rPr>
      <w:rFonts w:ascii="Times New Roman" w:hAnsi="Times New Roman"/>
      <w:b/>
      <w:bCs/>
      <w:sz w:val="24"/>
      <w:szCs w:val="24"/>
    </w:rPr>
  </w:style>
  <w:style w:type="character" w:customStyle="1" w:styleId="003Char">
    <w:name w:val="003三级标题 Char"/>
    <w:link w:val="003"/>
    <w:rPr>
      <w:rFonts w:ascii="Times New Roman" w:hAnsi="Times New Roman"/>
      <w:b/>
      <w:bCs/>
      <w:kern w:val="2"/>
      <w:sz w:val="24"/>
      <w:szCs w:val="24"/>
    </w:rPr>
  </w:style>
  <w:style w:type="paragraph" w:customStyle="1" w:styleId="004">
    <w:name w:val="004四级"/>
    <w:basedOn w:val="a"/>
    <w:link w:val="004Char"/>
    <w:qFormat/>
    <w:pPr>
      <w:spacing w:afterLines="50" w:after="50" w:line="360" w:lineRule="auto"/>
      <w:ind w:firstLineChars="200" w:firstLine="200"/>
      <w:outlineLvl w:val="4"/>
    </w:pPr>
    <w:rPr>
      <w:rFonts w:ascii="Times New Roman" w:hAnsi="Times New Roman"/>
      <w:sz w:val="24"/>
      <w:szCs w:val="24"/>
      <w:lang w:eastAsia="zh-Hans"/>
    </w:rPr>
  </w:style>
  <w:style w:type="character" w:customStyle="1" w:styleId="004Char">
    <w:name w:val="004四级 Char"/>
    <w:link w:val="004"/>
    <w:rPr>
      <w:rFonts w:ascii="Times New Roman" w:hAnsi="Times New Roman"/>
      <w:kern w:val="2"/>
      <w:sz w:val="24"/>
      <w:szCs w:val="24"/>
      <w:lang w:eastAsia="zh-Hans"/>
    </w:rPr>
  </w:style>
  <w:style w:type="paragraph" w:customStyle="1" w:styleId="001">
    <w:name w:val="001一级标题"/>
    <w:basedOn w:val="a"/>
    <w:link w:val="001Char"/>
    <w:qFormat/>
    <w:pPr>
      <w:spacing w:beforeLines="50" w:before="50" w:afterLines="50" w:after="50" w:line="360" w:lineRule="auto"/>
      <w:outlineLvl w:val="1"/>
    </w:pPr>
    <w:rPr>
      <w:rFonts w:ascii="Times New Roman" w:hAnsi="Times New Roman"/>
      <w:b/>
      <w:sz w:val="28"/>
      <w:szCs w:val="28"/>
    </w:rPr>
  </w:style>
  <w:style w:type="character" w:customStyle="1" w:styleId="001Char">
    <w:name w:val="001一级标题 Char"/>
    <w:link w:val="001"/>
    <w:rPr>
      <w:rFonts w:ascii="Times New Roman" w:hAnsi="Times New Roman"/>
      <w:b/>
      <w:kern w:val="2"/>
      <w:sz w:val="28"/>
      <w:szCs w:val="28"/>
    </w:rPr>
  </w:style>
  <w:style w:type="paragraph" w:customStyle="1" w:styleId="002">
    <w:name w:val="002二级标题"/>
    <w:basedOn w:val="a"/>
    <w:link w:val="002Char"/>
    <w:qFormat/>
    <w:pPr>
      <w:spacing w:beforeLines="50" w:before="50" w:afterLines="50" w:after="50" w:line="360" w:lineRule="auto"/>
      <w:ind w:firstLineChars="200" w:firstLine="200"/>
      <w:outlineLvl w:val="2"/>
    </w:pPr>
    <w:rPr>
      <w:rFonts w:ascii="Times New Roman" w:hAnsi="Times New Roman"/>
      <w:b/>
      <w:sz w:val="24"/>
      <w:szCs w:val="24"/>
    </w:rPr>
  </w:style>
  <w:style w:type="character" w:customStyle="1" w:styleId="002Char">
    <w:name w:val="002二级标题 Char"/>
    <w:link w:val="002"/>
    <w:rPr>
      <w:rFonts w:ascii="Times New Roman" w:hAnsi="Times New Roman"/>
      <w:b/>
      <w:kern w:val="2"/>
      <w:sz w:val="24"/>
      <w:szCs w:val="24"/>
    </w:rPr>
  </w:style>
  <w:style w:type="paragraph" w:customStyle="1" w:styleId="affe">
    <w:name w:val="章节标题"/>
    <w:basedOn w:val="a"/>
    <w:link w:val="Chara"/>
    <w:qFormat/>
    <w:pPr>
      <w:spacing w:beforeLines="50" w:before="156" w:afterLines="50" w:after="156" w:line="360" w:lineRule="auto"/>
      <w:jc w:val="center"/>
      <w:outlineLvl w:val="0"/>
    </w:pPr>
    <w:rPr>
      <w:b/>
      <w:sz w:val="32"/>
      <w:szCs w:val="30"/>
    </w:rPr>
  </w:style>
  <w:style w:type="character" w:customStyle="1" w:styleId="Chara">
    <w:name w:val="章节标题 Char"/>
    <w:link w:val="affe"/>
    <w:rPr>
      <w:b/>
      <w:kern w:val="2"/>
      <w:sz w:val="32"/>
      <w:szCs w:val="30"/>
    </w:rPr>
  </w:style>
  <w:style w:type="character" w:styleId="afff">
    <w:name w:val="Unresolved Mention"/>
    <w:uiPriority w:val="99"/>
    <w:unhideWhenUsed/>
    <w:rPr>
      <w:color w:val="605E5C"/>
      <w:shd w:val="clear" w:color="auto" w:fill="E1DFDD"/>
    </w:rPr>
  </w:style>
  <w:style w:type="paragraph" w:customStyle="1" w:styleId="afff0">
    <w:name w:val="表格注释"/>
    <w:basedOn w:val="000"/>
    <w:link w:val="Charb"/>
    <w:qFormat/>
    <w:pPr>
      <w:spacing w:before="50"/>
      <w:ind w:firstLineChars="0" w:firstLine="0"/>
      <w:jc w:val="left"/>
    </w:pPr>
    <w:rPr>
      <w:sz w:val="22"/>
    </w:rPr>
  </w:style>
  <w:style w:type="character" w:customStyle="1" w:styleId="Charb">
    <w:name w:val="表格注释 Char"/>
    <w:link w:val="afff0"/>
    <w:rPr>
      <w:rFonts w:ascii="Times New Roman" w:hAnsi="Times New Roman"/>
      <w:kern w:val="2"/>
      <w:sz w:val="22"/>
      <w:szCs w:val="24"/>
    </w:rPr>
  </w:style>
  <w:style w:type="paragraph" w:customStyle="1" w:styleId="pagenumber">
    <w:name w:val="pagenumber"/>
    <w:basedOn w:val="a"/>
    <w:pPr>
      <w:widowControl/>
      <w:spacing w:before="100" w:beforeAutospacing="1" w:after="100" w:afterAutospacing="1"/>
      <w:jc w:val="left"/>
    </w:pPr>
    <w:rPr>
      <w:rFonts w:ascii="宋体" w:hAnsi="宋体" w:cs="宋体"/>
      <w:kern w:val="0"/>
      <w:sz w:val="24"/>
      <w:szCs w:val="24"/>
    </w:rPr>
  </w:style>
  <w:style w:type="paragraph" w:customStyle="1" w:styleId="active">
    <w:name w:val="active"/>
    <w:basedOn w:val="a"/>
    <w:pPr>
      <w:widowControl/>
      <w:spacing w:before="100" w:beforeAutospacing="1" w:after="100" w:afterAutospacing="1"/>
      <w:jc w:val="left"/>
    </w:pPr>
    <w:rPr>
      <w:rFonts w:ascii="宋体" w:hAnsi="宋体" w:cs="宋体"/>
      <w:kern w:val="0"/>
      <w:sz w:val="24"/>
      <w:szCs w:val="24"/>
    </w:rPr>
  </w:style>
  <w:style w:type="paragraph" w:customStyle="1" w:styleId="005">
    <w:name w:val="005图表标题"/>
    <w:basedOn w:val="000"/>
    <w:link w:val="005Char"/>
    <w:qFormat/>
    <w:pPr>
      <w:spacing w:beforeLines="0" w:before="0"/>
      <w:ind w:firstLine="200"/>
      <w:jc w:val="center"/>
    </w:pPr>
  </w:style>
  <w:style w:type="character" w:customStyle="1" w:styleId="005Char">
    <w:name w:val="005图表标题 Char"/>
    <w:link w:val="005"/>
  </w:style>
  <w:style w:type="paragraph" w:customStyle="1" w:styleId="0040">
    <w:name w:val="004四级标题"/>
    <w:basedOn w:val="002"/>
    <w:qFormat/>
    <w:pPr>
      <w:keepNext/>
      <w:keepLines/>
      <w:autoSpaceDE w:val="0"/>
      <w:autoSpaceDN w:val="0"/>
      <w:outlineLvl w:val="3"/>
    </w:pPr>
    <w:rPr>
      <w:rFonts w:cs="宋体"/>
      <w:bCs/>
      <w:kern w:val="0"/>
      <w:szCs w:val="28"/>
      <w:lang w:val="zh-CN"/>
    </w:rPr>
  </w:style>
  <w:style w:type="character" w:customStyle="1" w:styleId="jin6Char">
    <w:name w:val="jin6 Char"/>
    <w:link w:val="jin6"/>
    <w:rPr>
      <w:rFonts w:ascii="Times New Roman" w:hAnsi="Times New Roman"/>
      <w:sz w:val="24"/>
      <w:szCs w:val="24"/>
    </w:rPr>
  </w:style>
  <w:style w:type="paragraph" w:customStyle="1" w:styleId="jin6">
    <w:name w:val="jin6"/>
    <w:basedOn w:val="a"/>
    <w:link w:val="jin6Char"/>
    <w:qFormat/>
    <w:pPr>
      <w:widowControl/>
      <w:spacing w:line="360" w:lineRule="auto"/>
      <w:ind w:leftChars="-12" w:left="-29" w:firstLineChars="185" w:firstLine="444"/>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市场规模</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Sheet1!$A$2:$A$7</c:f>
              <c:strCache>
                <c:ptCount val="6"/>
                <c:pt idx="0">
                  <c:v>2021</c:v>
                </c:pt>
                <c:pt idx="1">
                  <c:v>2022E</c:v>
                </c:pt>
                <c:pt idx="2">
                  <c:v>2023E</c:v>
                </c:pt>
                <c:pt idx="3">
                  <c:v>2024E</c:v>
                </c:pt>
                <c:pt idx="4">
                  <c:v>2025E</c:v>
                </c:pt>
                <c:pt idx="5">
                  <c:v>2026E</c:v>
                </c:pt>
              </c:strCache>
            </c:strRef>
          </c:cat>
          <c:val>
            <c:numRef>
              <c:f>Sheet1!$B$2:$B$7</c:f>
              <c:numCache>
                <c:formatCode>#,##0_ </c:formatCode>
                <c:ptCount val="6"/>
                <c:pt idx="0">
                  <c:v>730</c:v>
                </c:pt>
                <c:pt idx="1">
                  <c:v>762.12</c:v>
                </c:pt>
                <c:pt idx="2">
                  <c:v>795.65328</c:v>
                </c:pt>
                <c:pt idx="3">
                  <c:v>830.66202432</c:v>
                </c:pt>
                <c:pt idx="4">
                  <c:v>867.21115339007997</c:v>
                </c:pt>
                <c:pt idx="5">
                  <c:v>905.36844413924405</c:v>
                </c:pt>
              </c:numCache>
            </c:numRef>
          </c:val>
          <c:extLst>
            <c:ext xmlns:c16="http://schemas.microsoft.com/office/drawing/2014/chart" uri="{C3380CC4-5D6E-409C-BE32-E72D297353CC}">
              <c16:uniqueId val="{00000000-5567-4DBA-BECB-2043A5AFE664}"/>
            </c:ext>
          </c:extLst>
        </c:ser>
        <c:dLbls>
          <c:showLegendKey val="0"/>
          <c:showVal val="1"/>
          <c:showCatName val="0"/>
          <c:showSerName val="0"/>
          <c:showPercent val="0"/>
          <c:showBubbleSize val="0"/>
        </c:dLbls>
        <c:gapWidth val="219"/>
        <c:overlap val="-27"/>
        <c:axId val="299704882"/>
        <c:axId val="565078541"/>
      </c:barChart>
      <c:catAx>
        <c:axId val="29970488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565078541"/>
        <c:crosses val="autoZero"/>
        <c:auto val="1"/>
        <c:lblAlgn val="ctr"/>
        <c:lblOffset val="100"/>
        <c:noMultiLvlLbl val="0"/>
      </c:catAx>
      <c:valAx>
        <c:axId val="565078541"/>
        <c:scaling>
          <c:orientation val="minMax"/>
        </c:scaling>
        <c:delete val="0"/>
        <c:axPos val="l"/>
        <c:majorGridlines>
          <c:spPr>
            <a:ln w="9525" cap="flat" cmpd="sng" algn="ctr">
              <a:solidFill>
                <a:srgbClr val="D9D9D9">
                  <a:lumMod val="15000"/>
                  <a:lumOff val="85000"/>
                </a:srgb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9970488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证券代码：301071                                    证券简称：力量钻石</dc:title>
  <dc:subject/>
  <dc:creator>林文茂</dc:creator>
  <cp:keywords/>
  <cp:lastModifiedBy>何帅047185</cp:lastModifiedBy>
  <cp:revision>3</cp:revision>
  <cp:lastPrinted>2020-05-27T14:07:00Z</cp:lastPrinted>
  <dcterms:created xsi:type="dcterms:W3CDTF">2023-12-28T08:38:00Z</dcterms:created>
  <dcterms:modified xsi:type="dcterms:W3CDTF">2023-12-28T08:39:00Z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3CCC9AD34470482BAA171E75ABB3265D</vt:lpwstr>
  </property>
</Properties>
</file>