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251" w14:textId="77777777" w:rsidR="00AD5811" w:rsidRDefault="00000000">
      <w:pPr>
        <w:autoSpaceDE w:val="0"/>
        <w:autoSpaceDN w:val="0"/>
        <w:spacing w:line="360" w:lineRule="auto"/>
        <w:jc w:val="center"/>
        <w:rPr>
          <w:rFonts w:ascii="Times New Roman" w:eastAsia="宋体" w:hAnsi="Times New Roman" w:cs="宋体"/>
          <w:szCs w:val="21"/>
        </w:rPr>
      </w:pPr>
      <w:r>
        <w:rPr>
          <w:rFonts w:ascii="Times New Roman" w:eastAsia="宋体" w:hAnsi="Times New Roman" w:cs="宋体" w:hint="eastAsia"/>
          <w:szCs w:val="21"/>
        </w:rPr>
        <w:t>证券代码：</w:t>
      </w:r>
      <w:r>
        <w:rPr>
          <w:rFonts w:ascii="Times New Roman" w:eastAsia="宋体" w:hAnsi="Times New Roman" w:cs="宋体" w:hint="eastAsia"/>
          <w:szCs w:val="21"/>
        </w:rPr>
        <w:t xml:space="preserve">002871   </w:t>
      </w:r>
      <w:r>
        <w:rPr>
          <w:rFonts w:ascii="Times New Roman" w:eastAsia="宋体" w:hAnsi="Times New Roman" w:cs="宋体"/>
          <w:szCs w:val="21"/>
        </w:rPr>
        <w:t xml:space="preserve"> </w:t>
      </w:r>
      <w:r>
        <w:rPr>
          <w:rFonts w:ascii="Times New Roman" w:eastAsia="宋体" w:hAnsi="Times New Roman" w:cs="宋体" w:hint="eastAsia"/>
          <w:szCs w:val="21"/>
        </w:rPr>
        <w:t xml:space="preserve">  </w:t>
      </w:r>
      <w:r>
        <w:rPr>
          <w:rFonts w:ascii="Times New Roman" w:eastAsia="宋体" w:hAnsi="Times New Roman" w:cs="宋体"/>
          <w:szCs w:val="21"/>
        </w:rPr>
        <w:t xml:space="preserve"> </w:t>
      </w:r>
      <w:r>
        <w:rPr>
          <w:rFonts w:ascii="Times New Roman" w:eastAsia="宋体" w:hAnsi="Times New Roman" w:cs="宋体" w:hint="eastAsia"/>
          <w:szCs w:val="21"/>
        </w:rPr>
        <w:t xml:space="preserve">   </w:t>
      </w:r>
      <w:r>
        <w:rPr>
          <w:rFonts w:ascii="Times New Roman" w:eastAsia="宋体" w:hAnsi="Times New Roman" w:cs="宋体"/>
          <w:szCs w:val="21"/>
        </w:rPr>
        <w:t xml:space="preserve"> </w:t>
      </w:r>
      <w:r>
        <w:rPr>
          <w:rFonts w:ascii="Times New Roman" w:eastAsia="宋体" w:hAnsi="Times New Roman" w:cs="宋体" w:hint="eastAsia"/>
          <w:szCs w:val="21"/>
        </w:rPr>
        <w:t>证券简称：</w:t>
      </w:r>
      <w:proofErr w:type="gramStart"/>
      <w:r>
        <w:rPr>
          <w:rFonts w:ascii="Times New Roman" w:eastAsia="宋体" w:hAnsi="Times New Roman" w:cs="宋体" w:hint="eastAsia"/>
          <w:szCs w:val="21"/>
        </w:rPr>
        <w:t>伟隆股份</w:t>
      </w:r>
      <w:proofErr w:type="gramEnd"/>
      <w:r>
        <w:rPr>
          <w:rFonts w:ascii="Times New Roman" w:eastAsia="宋体" w:hAnsi="Times New Roman" w:cs="宋体" w:hint="eastAsia"/>
          <w:szCs w:val="21"/>
        </w:rPr>
        <w:t xml:space="preserve">    </w:t>
      </w:r>
      <w:r>
        <w:rPr>
          <w:rFonts w:ascii="Times New Roman" w:eastAsia="宋体" w:hAnsi="Times New Roman" w:cs="宋体"/>
          <w:szCs w:val="21"/>
        </w:rPr>
        <w:t xml:space="preserve">  </w:t>
      </w:r>
      <w:r>
        <w:rPr>
          <w:rFonts w:ascii="Times New Roman" w:eastAsia="宋体" w:hAnsi="Times New Roman" w:cs="宋体" w:hint="eastAsia"/>
          <w:szCs w:val="21"/>
        </w:rPr>
        <w:t xml:space="preserve">   </w:t>
      </w:r>
      <w:r>
        <w:rPr>
          <w:rFonts w:ascii="Times New Roman" w:eastAsia="宋体" w:hAnsi="Times New Roman" w:cs="宋体"/>
          <w:szCs w:val="21"/>
        </w:rPr>
        <w:t xml:space="preserve"> </w:t>
      </w:r>
      <w:r>
        <w:rPr>
          <w:rFonts w:ascii="Times New Roman" w:eastAsia="宋体" w:hAnsi="Times New Roman" w:cs="宋体" w:hint="eastAsia"/>
          <w:szCs w:val="21"/>
        </w:rPr>
        <w:t>公告编号：</w:t>
      </w:r>
      <w:r>
        <w:rPr>
          <w:rFonts w:ascii="Times New Roman" w:eastAsia="宋体" w:hAnsi="Times New Roman" w:cs="宋体" w:hint="eastAsia"/>
          <w:szCs w:val="21"/>
        </w:rPr>
        <w:t>202</w:t>
      </w:r>
      <w:r>
        <w:rPr>
          <w:rFonts w:ascii="Times New Roman" w:eastAsia="宋体" w:hAnsi="Times New Roman" w:cs="宋体"/>
          <w:szCs w:val="21"/>
        </w:rPr>
        <w:t>3</w:t>
      </w:r>
      <w:r>
        <w:rPr>
          <w:rFonts w:ascii="Times New Roman" w:eastAsia="宋体" w:hAnsi="Times New Roman" w:cs="宋体" w:hint="eastAsia"/>
          <w:szCs w:val="21"/>
        </w:rPr>
        <w:t>-1</w:t>
      </w:r>
      <w:r>
        <w:rPr>
          <w:rFonts w:ascii="Times New Roman" w:eastAsia="宋体" w:hAnsi="Times New Roman" w:cs="宋体"/>
          <w:szCs w:val="21"/>
        </w:rPr>
        <w:t>24</w:t>
      </w:r>
    </w:p>
    <w:p w14:paraId="3D99871F" w14:textId="77777777" w:rsidR="00AD5811" w:rsidRDefault="00000000">
      <w:pPr>
        <w:pStyle w:val="ac"/>
        <w:spacing w:before="0" w:after="0"/>
        <w:rPr>
          <w:rFonts w:ascii="Times New Roman" w:hAnsi="Times New Roman"/>
          <w:sz w:val="28"/>
        </w:rPr>
      </w:pPr>
      <w:r>
        <w:rPr>
          <w:rFonts w:ascii="Times New Roman" w:hAnsi="Times New Roman" w:hint="eastAsia"/>
          <w:sz w:val="28"/>
        </w:rPr>
        <w:t>青岛伟隆阀门股份有限公司</w:t>
      </w:r>
    </w:p>
    <w:p w14:paraId="45E184DC" w14:textId="77777777" w:rsidR="00AD5811" w:rsidRDefault="00000000">
      <w:pPr>
        <w:pStyle w:val="ac"/>
        <w:spacing w:before="0" w:after="0"/>
        <w:rPr>
          <w:rFonts w:ascii="Times New Roman" w:hAnsi="Times New Roman"/>
          <w:sz w:val="28"/>
        </w:rPr>
      </w:pPr>
      <w:r>
        <w:rPr>
          <w:rFonts w:ascii="Times New Roman" w:hAnsi="Times New Roman" w:hint="eastAsia"/>
          <w:sz w:val="28"/>
        </w:rPr>
        <w:t>关于向不特定对象发行可转换公司债</w:t>
      </w:r>
      <w:proofErr w:type="gramStart"/>
      <w:r>
        <w:rPr>
          <w:rFonts w:ascii="Times New Roman" w:hAnsi="Times New Roman" w:hint="eastAsia"/>
          <w:sz w:val="28"/>
        </w:rPr>
        <w:t>券</w:t>
      </w:r>
      <w:proofErr w:type="gramEnd"/>
      <w:r>
        <w:rPr>
          <w:rFonts w:ascii="Times New Roman" w:hAnsi="Times New Roman" w:hint="eastAsia"/>
          <w:sz w:val="28"/>
        </w:rPr>
        <w:t>预案</w:t>
      </w:r>
    </w:p>
    <w:p w14:paraId="77B2B92B" w14:textId="77777777" w:rsidR="00AD5811" w:rsidRDefault="00000000">
      <w:pPr>
        <w:pStyle w:val="ac"/>
        <w:spacing w:before="0" w:afterLines="100" w:after="312"/>
        <w:rPr>
          <w:rFonts w:ascii="Times New Roman" w:hAnsi="Times New Roman"/>
        </w:rPr>
      </w:pPr>
      <w:r>
        <w:rPr>
          <w:rFonts w:ascii="Times New Roman" w:hAnsi="Times New Roman" w:hint="eastAsia"/>
          <w:sz w:val="28"/>
        </w:rPr>
        <w:t>及相关文件修订情况说明的公告</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AD5811" w14:paraId="4A7A4C7F" w14:textId="77777777">
        <w:trPr>
          <w:trHeight w:val="828"/>
          <w:jc w:val="center"/>
        </w:trPr>
        <w:tc>
          <w:tcPr>
            <w:tcW w:w="8522" w:type="dxa"/>
            <w:tcBorders>
              <w:top w:val="single" w:sz="4" w:space="0" w:color="auto"/>
              <w:left w:val="single" w:sz="4" w:space="0" w:color="auto"/>
              <w:bottom w:val="single" w:sz="4" w:space="0" w:color="auto"/>
              <w:right w:val="single" w:sz="4" w:space="0" w:color="auto"/>
            </w:tcBorders>
            <w:vAlign w:val="center"/>
          </w:tcPr>
          <w:p w14:paraId="1E76B13E" w14:textId="77777777" w:rsidR="00AD5811" w:rsidRDefault="00000000">
            <w:pPr>
              <w:autoSpaceDE w:val="0"/>
              <w:autoSpaceDN w:val="0"/>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本公司及董事会全体成员保证信息披露内容的真实、准确和完整，没有虚假记载、误导性陈述或重大遗漏。</w:t>
            </w:r>
          </w:p>
        </w:tc>
      </w:tr>
    </w:tbl>
    <w:p w14:paraId="50D58E16" w14:textId="77777777" w:rsidR="00AD5811" w:rsidRDefault="00AD5811">
      <w:pPr>
        <w:rPr>
          <w:rFonts w:ascii="Times New Roman" w:eastAsia="宋体" w:hAnsi="Times New Roman"/>
        </w:rPr>
      </w:pPr>
    </w:p>
    <w:p w14:paraId="2BB8B5B0" w14:textId="77777777" w:rsidR="00AD5811" w:rsidRDefault="00000000">
      <w:pPr>
        <w:spacing w:beforeLines="50" w:before="156"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2023</w:t>
      </w:r>
      <w:r>
        <w:rPr>
          <w:rFonts w:ascii="Times New Roman" w:eastAsia="宋体" w:hAnsi="Times New Roman" w:hint="eastAsia"/>
          <w:sz w:val="24"/>
          <w:szCs w:val="24"/>
        </w:rPr>
        <w:t>年</w:t>
      </w:r>
      <w:r>
        <w:rPr>
          <w:rFonts w:ascii="Times New Roman" w:eastAsia="宋体" w:hAnsi="Times New Roman" w:hint="eastAsia"/>
          <w:sz w:val="24"/>
          <w:szCs w:val="24"/>
        </w:rPr>
        <w:t>1</w:t>
      </w:r>
      <w:r>
        <w:rPr>
          <w:rFonts w:ascii="Times New Roman" w:eastAsia="宋体" w:hAnsi="Times New Roman" w:hint="eastAsia"/>
          <w:sz w:val="24"/>
          <w:szCs w:val="24"/>
        </w:rPr>
        <w:t>月</w:t>
      </w:r>
      <w:r>
        <w:rPr>
          <w:rFonts w:ascii="Times New Roman" w:eastAsia="宋体" w:hAnsi="Times New Roman" w:hint="eastAsia"/>
          <w:sz w:val="24"/>
          <w:szCs w:val="24"/>
        </w:rPr>
        <w:t>16</w:t>
      </w:r>
      <w:r>
        <w:rPr>
          <w:rFonts w:ascii="Times New Roman" w:eastAsia="宋体" w:hAnsi="Times New Roman" w:hint="eastAsia"/>
          <w:sz w:val="24"/>
          <w:szCs w:val="24"/>
        </w:rPr>
        <w:t>日，青岛伟隆阀门股份有限公司（以下简称“伟隆股份”或“公司”）召开第四届董事会第十七次会议，审议通过了关于公司公开发行可转换公司债</w:t>
      </w:r>
      <w:proofErr w:type="gramStart"/>
      <w:r>
        <w:rPr>
          <w:rFonts w:ascii="Times New Roman" w:eastAsia="宋体" w:hAnsi="Times New Roman" w:hint="eastAsia"/>
          <w:sz w:val="24"/>
          <w:szCs w:val="24"/>
        </w:rPr>
        <w:t>券</w:t>
      </w:r>
      <w:proofErr w:type="gramEnd"/>
      <w:r>
        <w:rPr>
          <w:rFonts w:ascii="Times New Roman" w:eastAsia="宋体" w:hAnsi="Times New Roman" w:hint="eastAsia"/>
          <w:sz w:val="24"/>
          <w:szCs w:val="24"/>
        </w:rPr>
        <w:t>的相关议案。</w:t>
      </w:r>
      <w:r>
        <w:rPr>
          <w:rFonts w:ascii="Times New Roman" w:eastAsia="宋体" w:hAnsi="Times New Roman" w:hint="eastAsia"/>
          <w:sz w:val="24"/>
          <w:szCs w:val="24"/>
        </w:rPr>
        <w:t>2023</w:t>
      </w:r>
      <w:r>
        <w:rPr>
          <w:rFonts w:ascii="Times New Roman" w:eastAsia="宋体" w:hAnsi="Times New Roman" w:hint="eastAsia"/>
          <w:sz w:val="24"/>
          <w:szCs w:val="24"/>
        </w:rPr>
        <w:t>年</w:t>
      </w:r>
      <w:r>
        <w:rPr>
          <w:rFonts w:ascii="Times New Roman" w:eastAsia="宋体" w:hAnsi="Times New Roman" w:hint="eastAsia"/>
          <w:sz w:val="24"/>
          <w:szCs w:val="24"/>
        </w:rPr>
        <w:t>2</w:t>
      </w:r>
      <w:r>
        <w:rPr>
          <w:rFonts w:ascii="Times New Roman" w:eastAsia="宋体" w:hAnsi="Times New Roman" w:hint="eastAsia"/>
          <w:sz w:val="24"/>
          <w:szCs w:val="24"/>
        </w:rPr>
        <w:t>月</w:t>
      </w:r>
      <w:r>
        <w:rPr>
          <w:rFonts w:ascii="Times New Roman" w:eastAsia="宋体" w:hAnsi="Times New Roman" w:hint="eastAsia"/>
          <w:sz w:val="24"/>
          <w:szCs w:val="24"/>
        </w:rPr>
        <w:t>2</w:t>
      </w:r>
      <w:r>
        <w:rPr>
          <w:rFonts w:ascii="Times New Roman" w:eastAsia="宋体" w:hAnsi="Times New Roman" w:hint="eastAsia"/>
          <w:sz w:val="24"/>
          <w:szCs w:val="24"/>
        </w:rPr>
        <w:t>日，公司召开</w:t>
      </w:r>
      <w:r>
        <w:rPr>
          <w:rFonts w:ascii="Times New Roman" w:eastAsia="宋体" w:hAnsi="Times New Roman" w:hint="eastAsia"/>
          <w:sz w:val="24"/>
          <w:szCs w:val="24"/>
        </w:rPr>
        <w:t>2023</w:t>
      </w:r>
      <w:r>
        <w:rPr>
          <w:rFonts w:ascii="Times New Roman" w:eastAsia="宋体" w:hAnsi="Times New Roman" w:hint="eastAsia"/>
          <w:sz w:val="24"/>
          <w:szCs w:val="24"/>
        </w:rPr>
        <w:t>年第一次临时股东大会审议通过了关于公司公开发行可转换公司债</w:t>
      </w:r>
      <w:proofErr w:type="gramStart"/>
      <w:r>
        <w:rPr>
          <w:rFonts w:ascii="Times New Roman" w:eastAsia="宋体" w:hAnsi="Times New Roman" w:hint="eastAsia"/>
          <w:sz w:val="24"/>
          <w:szCs w:val="24"/>
        </w:rPr>
        <w:t>券</w:t>
      </w:r>
      <w:proofErr w:type="gramEnd"/>
      <w:r>
        <w:rPr>
          <w:rFonts w:ascii="Times New Roman" w:eastAsia="宋体" w:hAnsi="Times New Roman" w:hint="eastAsia"/>
          <w:sz w:val="24"/>
          <w:szCs w:val="24"/>
        </w:rPr>
        <w:t>的相关事项，并授权董事会全权办理本次债券发行相关事宜。</w:t>
      </w:r>
      <w:r>
        <w:rPr>
          <w:rFonts w:ascii="Times New Roman" w:eastAsia="宋体" w:hAnsi="Times New Roman"/>
          <w:sz w:val="24"/>
          <w:szCs w:val="24"/>
        </w:rPr>
        <w:t>鉴于《上市公司证券发行注册管理办法》等相关法规已正式颁布并实施，同时《上市公司证券发行管理办法》等法规已废止，</w:t>
      </w:r>
      <w:r>
        <w:rPr>
          <w:rFonts w:ascii="Times New Roman" w:eastAsia="宋体" w:hAnsi="Times New Roman" w:hint="eastAsia"/>
          <w:sz w:val="24"/>
          <w:szCs w:val="24"/>
        </w:rPr>
        <w:t>2023</w:t>
      </w:r>
      <w:r>
        <w:rPr>
          <w:rFonts w:ascii="Times New Roman" w:eastAsia="宋体" w:hAnsi="Times New Roman" w:hint="eastAsia"/>
          <w:sz w:val="24"/>
          <w:szCs w:val="24"/>
        </w:rPr>
        <w:t>年</w:t>
      </w:r>
      <w:r>
        <w:rPr>
          <w:rFonts w:ascii="Times New Roman" w:eastAsia="宋体" w:hAnsi="Times New Roman" w:hint="eastAsia"/>
          <w:sz w:val="24"/>
          <w:szCs w:val="24"/>
        </w:rPr>
        <w:t>4</w:t>
      </w:r>
      <w:r>
        <w:rPr>
          <w:rFonts w:ascii="Times New Roman" w:eastAsia="宋体" w:hAnsi="Times New Roman" w:hint="eastAsia"/>
          <w:sz w:val="24"/>
          <w:szCs w:val="24"/>
        </w:rPr>
        <w:t>月</w:t>
      </w:r>
      <w:r>
        <w:rPr>
          <w:rFonts w:ascii="Times New Roman" w:eastAsia="宋体" w:hAnsi="Times New Roman" w:hint="eastAsia"/>
          <w:sz w:val="24"/>
          <w:szCs w:val="24"/>
        </w:rPr>
        <w:t>1</w:t>
      </w:r>
      <w:r>
        <w:rPr>
          <w:rFonts w:ascii="Times New Roman" w:eastAsia="宋体" w:hAnsi="Times New Roman"/>
          <w:sz w:val="24"/>
          <w:szCs w:val="24"/>
        </w:rPr>
        <w:t>9</w:t>
      </w:r>
      <w:r>
        <w:rPr>
          <w:rFonts w:ascii="Times New Roman" w:eastAsia="宋体" w:hAnsi="Times New Roman" w:hint="eastAsia"/>
          <w:sz w:val="24"/>
          <w:szCs w:val="24"/>
        </w:rPr>
        <w:t>日，公司召开第四届董事会第二十次会议，</w:t>
      </w:r>
      <w:r>
        <w:rPr>
          <w:rFonts w:ascii="Times New Roman" w:eastAsia="宋体" w:hAnsi="Times New Roman" w:hint="eastAsia"/>
          <w:sz w:val="24"/>
          <w:szCs w:val="24"/>
        </w:rPr>
        <w:t>2023</w:t>
      </w:r>
      <w:r>
        <w:rPr>
          <w:rFonts w:ascii="Times New Roman" w:eastAsia="宋体" w:hAnsi="Times New Roman" w:hint="eastAsia"/>
          <w:sz w:val="24"/>
          <w:szCs w:val="24"/>
        </w:rPr>
        <w:t>年</w:t>
      </w:r>
      <w:r>
        <w:rPr>
          <w:rFonts w:ascii="Times New Roman" w:eastAsia="宋体" w:hAnsi="Times New Roman" w:hint="eastAsia"/>
          <w:sz w:val="24"/>
          <w:szCs w:val="24"/>
        </w:rPr>
        <w:t>5</w:t>
      </w:r>
      <w:r>
        <w:rPr>
          <w:rFonts w:ascii="Times New Roman" w:eastAsia="宋体" w:hAnsi="Times New Roman" w:hint="eastAsia"/>
          <w:sz w:val="24"/>
          <w:szCs w:val="24"/>
        </w:rPr>
        <w:t>月</w:t>
      </w:r>
      <w:r>
        <w:rPr>
          <w:rFonts w:ascii="Times New Roman" w:eastAsia="宋体" w:hAnsi="Times New Roman" w:hint="eastAsia"/>
          <w:sz w:val="24"/>
          <w:szCs w:val="24"/>
        </w:rPr>
        <w:t>8</w:t>
      </w:r>
      <w:r>
        <w:rPr>
          <w:rFonts w:ascii="Times New Roman" w:eastAsia="宋体" w:hAnsi="Times New Roman" w:hint="eastAsia"/>
          <w:sz w:val="24"/>
          <w:szCs w:val="24"/>
        </w:rPr>
        <w:t>日，公司召开</w:t>
      </w:r>
      <w:r>
        <w:rPr>
          <w:rFonts w:ascii="Times New Roman" w:eastAsia="宋体" w:hAnsi="Times New Roman" w:hint="eastAsia"/>
          <w:sz w:val="24"/>
          <w:szCs w:val="24"/>
        </w:rPr>
        <w:t>2023</w:t>
      </w:r>
      <w:r>
        <w:rPr>
          <w:rFonts w:ascii="Times New Roman" w:eastAsia="宋体" w:hAnsi="Times New Roman" w:hint="eastAsia"/>
          <w:sz w:val="24"/>
          <w:szCs w:val="24"/>
        </w:rPr>
        <w:t>年第二次临时股东大会，审议通过了《关于修订</w:t>
      </w:r>
      <w:r>
        <w:rPr>
          <w:rFonts w:ascii="Times New Roman" w:eastAsia="宋体" w:hAnsi="Times New Roman" w:hint="eastAsia"/>
          <w:sz w:val="24"/>
          <w:szCs w:val="24"/>
        </w:rPr>
        <w:t>&lt;</w:t>
      </w:r>
      <w:r>
        <w:rPr>
          <w:rFonts w:ascii="Times New Roman" w:eastAsia="宋体" w:hAnsi="Times New Roman" w:hint="eastAsia"/>
          <w:sz w:val="24"/>
          <w:szCs w:val="24"/>
        </w:rPr>
        <w:t>公司向不特定对象发行可转换公司债券方案</w:t>
      </w:r>
      <w:r>
        <w:rPr>
          <w:rFonts w:ascii="Times New Roman" w:eastAsia="宋体" w:hAnsi="Times New Roman" w:hint="eastAsia"/>
          <w:sz w:val="24"/>
          <w:szCs w:val="24"/>
        </w:rPr>
        <w:t>&gt;</w:t>
      </w:r>
      <w:r>
        <w:rPr>
          <w:rFonts w:ascii="Times New Roman" w:eastAsia="宋体" w:hAnsi="Times New Roman" w:hint="eastAsia"/>
          <w:sz w:val="24"/>
          <w:szCs w:val="24"/>
        </w:rPr>
        <w:t>的议案》《关于修订</w:t>
      </w:r>
      <w:r>
        <w:rPr>
          <w:rFonts w:ascii="Times New Roman" w:eastAsia="宋体" w:hAnsi="Times New Roman" w:hint="eastAsia"/>
          <w:sz w:val="24"/>
          <w:szCs w:val="24"/>
        </w:rPr>
        <w:t>&lt;</w:t>
      </w:r>
      <w:r>
        <w:rPr>
          <w:rFonts w:ascii="Times New Roman" w:eastAsia="宋体" w:hAnsi="Times New Roman" w:hint="eastAsia"/>
          <w:sz w:val="24"/>
          <w:szCs w:val="24"/>
        </w:rPr>
        <w:t>公司向不特定对象发行可转换公司债券预案</w:t>
      </w:r>
      <w:r>
        <w:rPr>
          <w:rFonts w:ascii="Times New Roman" w:eastAsia="宋体" w:hAnsi="Times New Roman" w:hint="eastAsia"/>
          <w:sz w:val="24"/>
          <w:szCs w:val="24"/>
        </w:rPr>
        <w:t>&gt;</w:t>
      </w:r>
      <w:r>
        <w:rPr>
          <w:rFonts w:ascii="Times New Roman" w:eastAsia="宋体" w:hAnsi="Times New Roman" w:hint="eastAsia"/>
          <w:sz w:val="24"/>
          <w:szCs w:val="24"/>
        </w:rPr>
        <w:t>的议案》等相关议案。</w:t>
      </w:r>
      <w:r>
        <w:rPr>
          <w:rFonts w:ascii="Times New Roman" w:eastAsia="宋体" w:hAnsi="Times New Roman" w:hint="eastAsia"/>
          <w:sz w:val="24"/>
          <w:szCs w:val="24"/>
        </w:rPr>
        <w:t>2023</w:t>
      </w:r>
      <w:r>
        <w:rPr>
          <w:rFonts w:ascii="Times New Roman" w:eastAsia="宋体" w:hAnsi="Times New Roman" w:hint="eastAsia"/>
          <w:sz w:val="24"/>
          <w:szCs w:val="24"/>
        </w:rPr>
        <w:t>年</w:t>
      </w:r>
      <w:r>
        <w:rPr>
          <w:rFonts w:ascii="Times New Roman" w:eastAsia="宋体" w:hAnsi="Times New Roman" w:hint="eastAsia"/>
          <w:sz w:val="24"/>
          <w:szCs w:val="24"/>
        </w:rPr>
        <w:t>6</w:t>
      </w:r>
      <w:r>
        <w:rPr>
          <w:rFonts w:ascii="Times New Roman" w:eastAsia="宋体" w:hAnsi="Times New Roman" w:hint="eastAsia"/>
          <w:sz w:val="24"/>
          <w:szCs w:val="24"/>
        </w:rPr>
        <w:t>月</w:t>
      </w:r>
      <w:r>
        <w:rPr>
          <w:rFonts w:ascii="Times New Roman" w:eastAsia="宋体" w:hAnsi="Times New Roman" w:hint="eastAsia"/>
          <w:sz w:val="24"/>
          <w:szCs w:val="24"/>
        </w:rPr>
        <w:t>27</w:t>
      </w:r>
      <w:r>
        <w:rPr>
          <w:rFonts w:ascii="Times New Roman" w:eastAsia="宋体" w:hAnsi="Times New Roman" w:hint="eastAsia"/>
          <w:sz w:val="24"/>
          <w:szCs w:val="24"/>
        </w:rPr>
        <w:t>日，公司召开了第四届董事会第二十三次会议审议通过了《关于修订</w:t>
      </w:r>
      <w:r>
        <w:rPr>
          <w:rFonts w:ascii="Times New Roman" w:eastAsia="宋体" w:hAnsi="Times New Roman" w:hint="eastAsia"/>
          <w:sz w:val="24"/>
          <w:szCs w:val="24"/>
        </w:rPr>
        <w:t>&lt;</w:t>
      </w:r>
      <w:r>
        <w:rPr>
          <w:rFonts w:ascii="Times New Roman" w:eastAsia="宋体" w:hAnsi="Times New Roman" w:hint="eastAsia"/>
          <w:sz w:val="24"/>
          <w:szCs w:val="24"/>
        </w:rPr>
        <w:t>公司向不特定对象发行可转换公司债券方案</w:t>
      </w:r>
      <w:r>
        <w:rPr>
          <w:rFonts w:ascii="Times New Roman" w:eastAsia="宋体" w:hAnsi="Times New Roman" w:hint="eastAsia"/>
          <w:sz w:val="24"/>
          <w:szCs w:val="24"/>
        </w:rPr>
        <w:t>&gt;</w:t>
      </w:r>
      <w:r>
        <w:rPr>
          <w:rFonts w:ascii="Times New Roman" w:eastAsia="宋体" w:hAnsi="Times New Roman" w:hint="eastAsia"/>
          <w:sz w:val="24"/>
          <w:szCs w:val="24"/>
        </w:rPr>
        <w:t>（二次修订稿）的议案》《关于修订</w:t>
      </w:r>
      <w:r>
        <w:rPr>
          <w:rFonts w:ascii="Times New Roman" w:eastAsia="宋体" w:hAnsi="Times New Roman" w:hint="eastAsia"/>
          <w:sz w:val="24"/>
          <w:szCs w:val="24"/>
        </w:rPr>
        <w:t>&lt;</w:t>
      </w:r>
      <w:r>
        <w:rPr>
          <w:rFonts w:ascii="Times New Roman" w:eastAsia="宋体" w:hAnsi="Times New Roman" w:hint="eastAsia"/>
          <w:sz w:val="24"/>
          <w:szCs w:val="24"/>
        </w:rPr>
        <w:t>公司向不特定对象发行可转换公司债券预案</w:t>
      </w:r>
      <w:r>
        <w:rPr>
          <w:rFonts w:ascii="Times New Roman" w:eastAsia="宋体" w:hAnsi="Times New Roman" w:hint="eastAsia"/>
          <w:sz w:val="24"/>
          <w:szCs w:val="24"/>
        </w:rPr>
        <w:t>&gt;</w:t>
      </w:r>
      <w:r>
        <w:rPr>
          <w:rFonts w:ascii="Times New Roman" w:eastAsia="宋体" w:hAnsi="Times New Roman" w:hint="eastAsia"/>
          <w:sz w:val="24"/>
          <w:szCs w:val="24"/>
        </w:rPr>
        <w:t>（二次修订稿）的议案》等相关议案。</w:t>
      </w:r>
    </w:p>
    <w:p w14:paraId="681EF6A7" w14:textId="77777777" w:rsidR="00AD5811" w:rsidRDefault="00000000">
      <w:pPr>
        <w:spacing w:beforeLines="50" w:before="156"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为推进本次向不特定对象发行可转换公司债</w:t>
      </w:r>
      <w:proofErr w:type="gramStart"/>
      <w:r>
        <w:rPr>
          <w:rFonts w:ascii="Times New Roman" w:eastAsia="宋体" w:hAnsi="Times New Roman" w:hint="eastAsia"/>
          <w:sz w:val="24"/>
          <w:szCs w:val="24"/>
        </w:rPr>
        <w:t>券</w:t>
      </w:r>
      <w:proofErr w:type="gramEnd"/>
      <w:r>
        <w:rPr>
          <w:rFonts w:ascii="Times New Roman" w:eastAsia="宋体" w:hAnsi="Times New Roman" w:hint="eastAsia"/>
          <w:sz w:val="24"/>
          <w:szCs w:val="24"/>
        </w:rPr>
        <w:t>工作的顺利进行，结合公司实际情况，根据相关监管要求，公司于</w:t>
      </w:r>
      <w:r>
        <w:rPr>
          <w:rFonts w:ascii="Times New Roman" w:eastAsia="宋体" w:hAnsi="Times New Roman" w:hint="eastAsia"/>
          <w:sz w:val="24"/>
          <w:szCs w:val="24"/>
        </w:rPr>
        <w:t>2023</w:t>
      </w:r>
      <w:r>
        <w:rPr>
          <w:rFonts w:ascii="Times New Roman" w:eastAsia="宋体" w:hAnsi="Times New Roman" w:hint="eastAsia"/>
          <w:sz w:val="24"/>
          <w:szCs w:val="24"/>
        </w:rPr>
        <w:t>年</w:t>
      </w:r>
      <w:r>
        <w:rPr>
          <w:rFonts w:ascii="Times New Roman" w:eastAsia="宋体" w:hAnsi="Times New Roman" w:hint="eastAsia"/>
          <w:sz w:val="24"/>
          <w:szCs w:val="24"/>
        </w:rPr>
        <w:t>12</w:t>
      </w:r>
      <w:r>
        <w:rPr>
          <w:rFonts w:ascii="Times New Roman" w:eastAsia="宋体" w:hAnsi="Times New Roman" w:hint="eastAsia"/>
          <w:sz w:val="24"/>
          <w:szCs w:val="24"/>
        </w:rPr>
        <w:t>月</w:t>
      </w:r>
      <w:r>
        <w:rPr>
          <w:rFonts w:ascii="Times New Roman" w:eastAsia="宋体" w:hAnsi="Times New Roman" w:hint="eastAsia"/>
          <w:sz w:val="24"/>
          <w:szCs w:val="24"/>
        </w:rPr>
        <w:t>28</w:t>
      </w:r>
      <w:r>
        <w:rPr>
          <w:rFonts w:ascii="Times New Roman" w:eastAsia="宋体" w:hAnsi="Times New Roman" w:hint="eastAsia"/>
          <w:sz w:val="24"/>
          <w:szCs w:val="24"/>
        </w:rPr>
        <w:t>日召开第四届董事会第二十九次会议和第四届监事会第二十三次会议，审议通过了《关于修订</w:t>
      </w:r>
      <w:r>
        <w:rPr>
          <w:rFonts w:ascii="Times New Roman" w:eastAsia="宋体" w:hAnsi="Times New Roman" w:hint="eastAsia"/>
          <w:sz w:val="24"/>
          <w:szCs w:val="24"/>
        </w:rPr>
        <w:t>&lt;</w:t>
      </w:r>
      <w:r>
        <w:rPr>
          <w:rFonts w:ascii="Times New Roman" w:eastAsia="宋体" w:hAnsi="Times New Roman" w:hint="eastAsia"/>
          <w:sz w:val="24"/>
          <w:szCs w:val="24"/>
        </w:rPr>
        <w:t>公司向不特定对象发行可转换公司债券方案</w:t>
      </w:r>
      <w:r>
        <w:rPr>
          <w:rFonts w:ascii="Times New Roman" w:eastAsia="宋体" w:hAnsi="Times New Roman" w:hint="eastAsia"/>
          <w:sz w:val="24"/>
          <w:szCs w:val="24"/>
        </w:rPr>
        <w:t>&gt;</w:t>
      </w:r>
      <w:r>
        <w:rPr>
          <w:rFonts w:ascii="Times New Roman" w:eastAsia="宋体" w:hAnsi="Times New Roman" w:hint="eastAsia"/>
          <w:sz w:val="24"/>
          <w:szCs w:val="24"/>
        </w:rPr>
        <w:t>（三次修订稿）的议案》《关于修订</w:t>
      </w:r>
      <w:r>
        <w:rPr>
          <w:rFonts w:ascii="Times New Roman" w:eastAsia="宋体" w:hAnsi="Times New Roman" w:hint="eastAsia"/>
          <w:sz w:val="24"/>
          <w:szCs w:val="24"/>
        </w:rPr>
        <w:t>&lt;</w:t>
      </w:r>
      <w:r>
        <w:rPr>
          <w:rFonts w:ascii="Times New Roman" w:eastAsia="宋体" w:hAnsi="Times New Roman" w:hint="eastAsia"/>
          <w:sz w:val="24"/>
          <w:szCs w:val="24"/>
        </w:rPr>
        <w:t>公司向不特定对象发行可转换公司债券预案</w:t>
      </w:r>
      <w:r>
        <w:rPr>
          <w:rFonts w:ascii="Times New Roman" w:eastAsia="宋体" w:hAnsi="Times New Roman" w:hint="eastAsia"/>
          <w:sz w:val="24"/>
          <w:szCs w:val="24"/>
        </w:rPr>
        <w:t>&gt;</w:t>
      </w:r>
      <w:r>
        <w:rPr>
          <w:rFonts w:ascii="Times New Roman" w:eastAsia="宋体" w:hAnsi="Times New Roman" w:hint="eastAsia"/>
          <w:sz w:val="24"/>
          <w:szCs w:val="24"/>
        </w:rPr>
        <w:t>（三次修订稿）的议案》《关于修订</w:t>
      </w:r>
      <w:r>
        <w:rPr>
          <w:rFonts w:ascii="Times New Roman" w:eastAsia="宋体" w:hAnsi="Times New Roman" w:hint="eastAsia"/>
          <w:sz w:val="24"/>
          <w:szCs w:val="24"/>
        </w:rPr>
        <w:t>&lt;</w:t>
      </w:r>
      <w:r>
        <w:rPr>
          <w:rFonts w:ascii="Times New Roman" w:eastAsia="宋体" w:hAnsi="Times New Roman" w:hint="eastAsia"/>
          <w:sz w:val="24"/>
          <w:szCs w:val="24"/>
        </w:rPr>
        <w:t>公司向不特定对象发行可转换公司债券方案的论证分析报告</w:t>
      </w:r>
      <w:r>
        <w:rPr>
          <w:rFonts w:ascii="Times New Roman" w:eastAsia="宋体" w:hAnsi="Times New Roman" w:hint="eastAsia"/>
          <w:sz w:val="24"/>
          <w:szCs w:val="24"/>
        </w:rPr>
        <w:t>&gt;</w:t>
      </w:r>
      <w:r>
        <w:rPr>
          <w:rFonts w:ascii="Times New Roman" w:eastAsia="宋体" w:hAnsi="Times New Roman" w:hint="eastAsia"/>
          <w:sz w:val="24"/>
          <w:szCs w:val="24"/>
        </w:rPr>
        <w:t>（修订稿）的议案》《关于修订</w:t>
      </w:r>
      <w:r>
        <w:rPr>
          <w:rFonts w:ascii="Times New Roman" w:eastAsia="宋体" w:hAnsi="Times New Roman" w:hint="eastAsia"/>
          <w:sz w:val="24"/>
          <w:szCs w:val="24"/>
        </w:rPr>
        <w:t>&lt;</w:t>
      </w:r>
      <w:r>
        <w:rPr>
          <w:rFonts w:ascii="Times New Roman" w:eastAsia="宋体" w:hAnsi="Times New Roman" w:hint="eastAsia"/>
          <w:sz w:val="24"/>
          <w:szCs w:val="24"/>
        </w:rPr>
        <w:t>公司向不特定对象发行可转换公司债券募集资金使用的可行性分析</w:t>
      </w:r>
      <w:r>
        <w:rPr>
          <w:rFonts w:ascii="Times New Roman" w:eastAsia="宋体" w:hAnsi="Times New Roman" w:hint="eastAsia"/>
          <w:sz w:val="24"/>
          <w:szCs w:val="24"/>
        </w:rPr>
        <w:lastRenderedPageBreak/>
        <w:t>报告</w:t>
      </w:r>
      <w:r>
        <w:rPr>
          <w:rFonts w:ascii="Times New Roman" w:eastAsia="宋体" w:hAnsi="Times New Roman" w:hint="eastAsia"/>
          <w:sz w:val="24"/>
          <w:szCs w:val="24"/>
        </w:rPr>
        <w:t>&gt;</w:t>
      </w:r>
      <w:r>
        <w:rPr>
          <w:rFonts w:ascii="Times New Roman" w:eastAsia="宋体" w:hAnsi="Times New Roman" w:hint="eastAsia"/>
          <w:sz w:val="24"/>
          <w:szCs w:val="24"/>
        </w:rPr>
        <w:t>（二次修订稿）的议案》《关于修订</w:t>
      </w:r>
      <w:r>
        <w:rPr>
          <w:rFonts w:ascii="Times New Roman" w:eastAsia="宋体" w:hAnsi="Times New Roman" w:hint="eastAsia"/>
          <w:sz w:val="24"/>
          <w:szCs w:val="24"/>
        </w:rPr>
        <w:t>&lt;</w:t>
      </w:r>
      <w:r>
        <w:rPr>
          <w:rFonts w:ascii="Times New Roman" w:eastAsia="宋体" w:hAnsi="Times New Roman" w:hint="eastAsia"/>
          <w:sz w:val="24"/>
          <w:szCs w:val="24"/>
        </w:rPr>
        <w:t>公司向不特定对象发行可转换公司债券摊薄即期回报、填补措施与相关主体承诺</w:t>
      </w:r>
      <w:r>
        <w:rPr>
          <w:rFonts w:ascii="Times New Roman" w:eastAsia="宋体" w:hAnsi="Times New Roman" w:hint="eastAsia"/>
          <w:sz w:val="24"/>
          <w:szCs w:val="24"/>
        </w:rPr>
        <w:t>&gt;</w:t>
      </w:r>
      <w:r>
        <w:rPr>
          <w:rFonts w:ascii="Times New Roman" w:eastAsia="宋体" w:hAnsi="Times New Roman" w:hint="eastAsia"/>
          <w:sz w:val="24"/>
          <w:szCs w:val="24"/>
        </w:rPr>
        <w:t>（二次修订稿）的议案》同意公司根据实际情况对本次向不特定对象发行可转换公司债</w:t>
      </w:r>
      <w:proofErr w:type="gramStart"/>
      <w:r>
        <w:rPr>
          <w:rFonts w:ascii="Times New Roman" w:eastAsia="宋体" w:hAnsi="Times New Roman" w:hint="eastAsia"/>
          <w:sz w:val="24"/>
          <w:szCs w:val="24"/>
        </w:rPr>
        <w:t>券</w:t>
      </w:r>
      <w:proofErr w:type="gramEnd"/>
      <w:r>
        <w:rPr>
          <w:rFonts w:ascii="Times New Roman" w:eastAsia="宋体" w:hAnsi="Times New Roman" w:hint="eastAsia"/>
          <w:sz w:val="24"/>
          <w:szCs w:val="24"/>
        </w:rPr>
        <w:t>预案及相关文件</w:t>
      </w:r>
      <w:proofErr w:type="gramStart"/>
      <w:r>
        <w:rPr>
          <w:rFonts w:ascii="Times New Roman" w:eastAsia="宋体" w:hAnsi="Times New Roman" w:hint="eastAsia"/>
          <w:sz w:val="24"/>
          <w:szCs w:val="24"/>
        </w:rPr>
        <w:t>作出</w:t>
      </w:r>
      <w:proofErr w:type="gramEnd"/>
      <w:r>
        <w:rPr>
          <w:rFonts w:ascii="Times New Roman" w:eastAsia="宋体" w:hAnsi="Times New Roman" w:hint="eastAsia"/>
          <w:sz w:val="24"/>
          <w:szCs w:val="24"/>
        </w:rPr>
        <w:t>修订。</w:t>
      </w:r>
    </w:p>
    <w:p w14:paraId="06E95D15" w14:textId="77777777" w:rsidR="00AD5811" w:rsidRDefault="00000000">
      <w:pPr>
        <w:spacing w:beforeLines="50" w:before="156"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  本次修订的主要内容如下：</w:t>
      </w:r>
    </w:p>
    <w:tbl>
      <w:tblPr>
        <w:tblW w:w="5000" w:type="pct"/>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2257"/>
        <w:gridCol w:w="1369"/>
        <w:gridCol w:w="2008"/>
        <w:gridCol w:w="2748"/>
      </w:tblGrid>
      <w:tr w:rsidR="00AD5811" w14:paraId="6E88ED2E" w14:textId="77777777">
        <w:trPr>
          <w:cantSplit/>
          <w:trHeight w:val="397"/>
          <w:tblHeader/>
        </w:trPr>
        <w:tc>
          <w:tcPr>
            <w:tcW w:w="1346" w:type="pct"/>
            <w:shd w:val="clear" w:color="auto" w:fill="auto"/>
            <w:tcMar>
              <w:top w:w="38" w:type="dxa"/>
              <w:left w:w="38" w:type="dxa"/>
              <w:bottom w:w="38" w:type="dxa"/>
              <w:right w:w="38" w:type="dxa"/>
            </w:tcMar>
            <w:vAlign w:val="center"/>
          </w:tcPr>
          <w:p w14:paraId="41A49E22" w14:textId="77777777" w:rsidR="00AD5811" w:rsidRDefault="00000000">
            <w:pPr>
              <w:keepNext/>
              <w:jc w:val="center"/>
              <w:rPr>
                <w:rFonts w:ascii="Times New Roman" w:eastAsia="宋体" w:hAnsi="Times New Roman"/>
                <w:b/>
                <w:color w:val="000000"/>
              </w:rPr>
            </w:pPr>
            <w:r>
              <w:rPr>
                <w:rFonts w:ascii="Times New Roman" w:eastAsia="宋体" w:hAnsi="Times New Roman"/>
                <w:b/>
                <w:color w:val="000000"/>
              </w:rPr>
              <w:t>文件</w:t>
            </w:r>
          </w:p>
        </w:tc>
        <w:tc>
          <w:tcPr>
            <w:tcW w:w="816" w:type="pct"/>
            <w:shd w:val="clear" w:color="auto" w:fill="auto"/>
            <w:tcMar>
              <w:top w:w="38" w:type="dxa"/>
              <w:left w:w="38" w:type="dxa"/>
              <w:bottom w:w="38" w:type="dxa"/>
              <w:right w:w="38" w:type="dxa"/>
            </w:tcMar>
            <w:vAlign w:val="center"/>
          </w:tcPr>
          <w:p w14:paraId="63535E55" w14:textId="77777777" w:rsidR="00AD5811" w:rsidRDefault="00000000">
            <w:pPr>
              <w:keepNext/>
              <w:jc w:val="center"/>
              <w:rPr>
                <w:rFonts w:ascii="Times New Roman" w:eastAsia="宋体" w:hAnsi="Times New Roman"/>
                <w:b/>
                <w:color w:val="000000"/>
              </w:rPr>
            </w:pPr>
            <w:r>
              <w:rPr>
                <w:rFonts w:ascii="Times New Roman" w:eastAsia="宋体" w:hAnsi="Times New Roman"/>
                <w:b/>
                <w:color w:val="000000"/>
              </w:rPr>
              <w:t>章节</w:t>
            </w:r>
          </w:p>
        </w:tc>
        <w:tc>
          <w:tcPr>
            <w:tcW w:w="1198" w:type="pct"/>
            <w:shd w:val="clear" w:color="auto" w:fill="auto"/>
            <w:tcMar>
              <w:top w:w="38" w:type="dxa"/>
              <w:left w:w="38" w:type="dxa"/>
              <w:bottom w:w="38" w:type="dxa"/>
              <w:right w:w="38" w:type="dxa"/>
            </w:tcMar>
            <w:vAlign w:val="center"/>
          </w:tcPr>
          <w:p w14:paraId="1056D6DF" w14:textId="77777777" w:rsidR="00AD5811" w:rsidRDefault="00000000">
            <w:pPr>
              <w:keepNext/>
              <w:jc w:val="center"/>
              <w:rPr>
                <w:rFonts w:ascii="Times New Roman" w:eastAsia="宋体" w:hAnsi="Times New Roman"/>
                <w:b/>
                <w:color w:val="000000"/>
              </w:rPr>
            </w:pPr>
            <w:r>
              <w:rPr>
                <w:rFonts w:ascii="Times New Roman" w:eastAsia="宋体" w:hAnsi="Times New Roman" w:hint="eastAsia"/>
                <w:b/>
                <w:color w:val="000000"/>
              </w:rPr>
              <w:t>章节内容</w:t>
            </w:r>
          </w:p>
        </w:tc>
        <w:tc>
          <w:tcPr>
            <w:tcW w:w="1639" w:type="pct"/>
            <w:shd w:val="clear" w:color="auto" w:fill="auto"/>
            <w:tcMar>
              <w:top w:w="38" w:type="dxa"/>
              <w:left w:w="38" w:type="dxa"/>
              <w:bottom w:w="38" w:type="dxa"/>
              <w:right w:w="38" w:type="dxa"/>
            </w:tcMar>
            <w:vAlign w:val="center"/>
          </w:tcPr>
          <w:p w14:paraId="6E7DE361" w14:textId="77777777" w:rsidR="00AD5811" w:rsidRDefault="00000000">
            <w:pPr>
              <w:keepNext/>
              <w:jc w:val="center"/>
              <w:rPr>
                <w:rFonts w:ascii="Times New Roman" w:eastAsia="宋体" w:hAnsi="Times New Roman"/>
                <w:b/>
                <w:color w:val="000000"/>
              </w:rPr>
            </w:pPr>
            <w:r>
              <w:rPr>
                <w:rFonts w:ascii="Times New Roman" w:eastAsia="宋体" w:hAnsi="Times New Roman"/>
                <w:b/>
                <w:color w:val="000000"/>
              </w:rPr>
              <w:t>修订</w:t>
            </w:r>
            <w:r>
              <w:rPr>
                <w:rFonts w:ascii="Times New Roman" w:eastAsia="宋体" w:hAnsi="Times New Roman" w:hint="eastAsia"/>
                <w:b/>
                <w:color w:val="000000"/>
              </w:rPr>
              <w:t>内容</w:t>
            </w:r>
          </w:p>
        </w:tc>
      </w:tr>
      <w:tr w:rsidR="00AD5811" w14:paraId="15DD58C5" w14:textId="77777777">
        <w:trPr>
          <w:cantSplit/>
          <w:trHeight w:val="397"/>
        </w:trPr>
        <w:tc>
          <w:tcPr>
            <w:tcW w:w="1346" w:type="pct"/>
            <w:vMerge w:val="restart"/>
            <w:shd w:val="clear" w:color="auto" w:fill="auto"/>
            <w:tcMar>
              <w:top w:w="38" w:type="dxa"/>
              <w:left w:w="38" w:type="dxa"/>
              <w:bottom w:w="38" w:type="dxa"/>
              <w:right w:w="38" w:type="dxa"/>
            </w:tcMar>
            <w:vAlign w:val="center"/>
          </w:tcPr>
          <w:p w14:paraId="195DC484" w14:textId="7FEAA0D8" w:rsidR="00AD5811" w:rsidRDefault="00000000" w:rsidP="00A9279C">
            <w:pPr>
              <w:rPr>
                <w:rFonts w:ascii="Times New Roman" w:eastAsia="宋体" w:hAnsi="Times New Roman"/>
                <w:color w:val="000000"/>
              </w:rPr>
            </w:pPr>
            <w:r>
              <w:rPr>
                <w:rFonts w:ascii="Times New Roman" w:eastAsia="宋体" w:hAnsi="Times New Roman"/>
                <w:color w:val="000000"/>
              </w:rPr>
              <w:t>《</w:t>
            </w:r>
            <w:r>
              <w:rPr>
                <w:rFonts w:ascii="Times New Roman" w:eastAsia="宋体" w:hAnsi="Times New Roman" w:hint="eastAsia"/>
                <w:color w:val="000000"/>
              </w:rPr>
              <w:t>青岛伟隆阀门股份有限公司</w:t>
            </w:r>
            <w:r>
              <w:rPr>
                <w:rFonts w:ascii="Times New Roman" w:eastAsia="宋体" w:hAnsi="Times New Roman"/>
                <w:color w:val="000000"/>
              </w:rPr>
              <w:t>向不特定对</w:t>
            </w:r>
            <w:r>
              <w:rPr>
                <w:rFonts w:ascii="Times New Roman" w:eastAsia="宋体" w:hAnsi="Times New Roman" w:hint="eastAsia"/>
                <w:color w:val="000000"/>
              </w:rPr>
              <w:t>象发行可转换公司债券预案（三次修订稿）》</w:t>
            </w:r>
          </w:p>
        </w:tc>
        <w:tc>
          <w:tcPr>
            <w:tcW w:w="816" w:type="pct"/>
            <w:shd w:val="clear" w:color="auto" w:fill="auto"/>
            <w:tcMar>
              <w:top w:w="38" w:type="dxa"/>
              <w:left w:w="38" w:type="dxa"/>
              <w:bottom w:w="38" w:type="dxa"/>
              <w:right w:w="38" w:type="dxa"/>
            </w:tcMar>
            <w:vAlign w:val="center"/>
          </w:tcPr>
          <w:p w14:paraId="3D48B559" w14:textId="77777777" w:rsidR="00AD5811" w:rsidRDefault="00000000">
            <w:pPr>
              <w:rPr>
                <w:rFonts w:ascii="Times New Roman" w:eastAsia="宋体" w:hAnsi="Times New Roman"/>
                <w:color w:val="000000"/>
              </w:rPr>
            </w:pPr>
            <w:r>
              <w:rPr>
                <w:rFonts w:ascii="Times New Roman" w:eastAsia="宋体" w:hAnsi="Times New Roman" w:hint="eastAsia"/>
                <w:color w:val="000000"/>
              </w:rPr>
              <w:t>重要内容提示</w:t>
            </w:r>
          </w:p>
        </w:tc>
        <w:tc>
          <w:tcPr>
            <w:tcW w:w="1198" w:type="pct"/>
            <w:shd w:val="clear" w:color="auto" w:fill="auto"/>
            <w:tcMar>
              <w:top w:w="38" w:type="dxa"/>
              <w:left w:w="38" w:type="dxa"/>
              <w:bottom w:w="38" w:type="dxa"/>
              <w:right w:w="38" w:type="dxa"/>
            </w:tcMar>
            <w:vAlign w:val="center"/>
          </w:tcPr>
          <w:p w14:paraId="2961F66B" w14:textId="77777777" w:rsidR="00AD5811" w:rsidRDefault="00000000">
            <w:pPr>
              <w:rPr>
                <w:rFonts w:ascii="Times New Roman" w:eastAsia="宋体" w:hAnsi="Times New Roman"/>
                <w:color w:val="000000"/>
              </w:rPr>
            </w:pPr>
            <w:r>
              <w:rPr>
                <w:rFonts w:ascii="Times New Roman" w:eastAsia="宋体" w:hAnsi="Times New Roman" w:hint="eastAsia"/>
                <w:color w:val="000000"/>
              </w:rPr>
              <w:t>-</w:t>
            </w:r>
          </w:p>
        </w:tc>
        <w:tc>
          <w:tcPr>
            <w:tcW w:w="1639" w:type="pct"/>
            <w:shd w:val="clear" w:color="auto" w:fill="auto"/>
            <w:tcMar>
              <w:top w:w="38" w:type="dxa"/>
              <w:left w:w="38" w:type="dxa"/>
              <w:bottom w:w="38" w:type="dxa"/>
              <w:right w:w="38" w:type="dxa"/>
            </w:tcMar>
            <w:vAlign w:val="center"/>
          </w:tcPr>
          <w:p w14:paraId="2E372D9B" w14:textId="77777777" w:rsidR="00AD5811" w:rsidRDefault="00000000">
            <w:pPr>
              <w:rPr>
                <w:rFonts w:ascii="Times New Roman" w:eastAsia="宋体" w:hAnsi="Times New Roman"/>
                <w:color w:val="000000"/>
              </w:rPr>
            </w:pPr>
            <w:r>
              <w:rPr>
                <w:rFonts w:ascii="Times New Roman" w:eastAsia="宋体" w:hAnsi="Times New Roman" w:hint="eastAsia"/>
                <w:color w:val="000000"/>
              </w:rPr>
              <w:t>将发行规模由不超过人民币</w:t>
            </w:r>
            <w:r>
              <w:rPr>
                <w:rFonts w:ascii="Times New Roman" w:eastAsia="宋体" w:hAnsi="Times New Roman" w:hint="eastAsia"/>
                <w:color w:val="000000"/>
              </w:rPr>
              <w:t>33,000.00</w:t>
            </w:r>
            <w:r>
              <w:rPr>
                <w:rFonts w:ascii="Times New Roman" w:eastAsia="宋体" w:hAnsi="Times New Roman" w:hint="eastAsia"/>
                <w:color w:val="000000"/>
              </w:rPr>
              <w:t>万元调整至不超过人民币</w:t>
            </w:r>
            <w:r>
              <w:rPr>
                <w:rFonts w:ascii="Times New Roman" w:eastAsia="宋体" w:hAnsi="Times New Roman" w:hint="eastAsia"/>
                <w:color w:val="000000"/>
              </w:rPr>
              <w:t>32,183.00</w:t>
            </w:r>
            <w:r>
              <w:rPr>
                <w:rFonts w:ascii="Times New Roman" w:eastAsia="宋体" w:hAnsi="Times New Roman" w:hint="eastAsia"/>
                <w:color w:val="000000"/>
              </w:rPr>
              <w:t>万元</w:t>
            </w:r>
          </w:p>
        </w:tc>
      </w:tr>
      <w:tr w:rsidR="00AD5811" w14:paraId="20AED2B6" w14:textId="77777777">
        <w:trPr>
          <w:cantSplit/>
          <w:trHeight w:val="397"/>
        </w:trPr>
        <w:tc>
          <w:tcPr>
            <w:tcW w:w="1346" w:type="pct"/>
            <w:vMerge/>
            <w:shd w:val="clear" w:color="auto" w:fill="auto"/>
            <w:tcMar>
              <w:top w:w="38" w:type="dxa"/>
              <w:left w:w="38" w:type="dxa"/>
              <w:bottom w:w="38" w:type="dxa"/>
              <w:right w:w="38" w:type="dxa"/>
            </w:tcMar>
            <w:vAlign w:val="center"/>
          </w:tcPr>
          <w:p w14:paraId="67A33FA7" w14:textId="77777777" w:rsidR="00AD5811" w:rsidRDefault="00AD5811">
            <w:pPr>
              <w:rPr>
                <w:rFonts w:ascii="Times New Roman" w:eastAsia="宋体" w:hAnsi="Times New Roman"/>
                <w:color w:val="000000"/>
              </w:rPr>
            </w:pPr>
          </w:p>
        </w:tc>
        <w:tc>
          <w:tcPr>
            <w:tcW w:w="816" w:type="pct"/>
            <w:shd w:val="clear" w:color="auto" w:fill="auto"/>
            <w:tcMar>
              <w:top w:w="38" w:type="dxa"/>
              <w:left w:w="38" w:type="dxa"/>
              <w:bottom w:w="38" w:type="dxa"/>
              <w:right w:w="38" w:type="dxa"/>
            </w:tcMar>
            <w:vAlign w:val="center"/>
          </w:tcPr>
          <w:p w14:paraId="7CCDCB72" w14:textId="77777777" w:rsidR="00AD5811" w:rsidRDefault="00000000">
            <w:pPr>
              <w:rPr>
                <w:rFonts w:ascii="Times New Roman" w:eastAsia="宋体" w:hAnsi="Times New Roman"/>
                <w:color w:val="000000"/>
              </w:rPr>
            </w:pPr>
            <w:r>
              <w:rPr>
                <w:rFonts w:ascii="Times New Roman" w:eastAsia="宋体" w:hAnsi="Times New Roman" w:hint="eastAsia"/>
                <w:color w:val="000000"/>
              </w:rPr>
              <w:t>释义</w:t>
            </w:r>
          </w:p>
        </w:tc>
        <w:tc>
          <w:tcPr>
            <w:tcW w:w="1198" w:type="pct"/>
            <w:shd w:val="clear" w:color="auto" w:fill="auto"/>
            <w:tcMar>
              <w:top w:w="38" w:type="dxa"/>
              <w:left w:w="38" w:type="dxa"/>
              <w:bottom w:w="38" w:type="dxa"/>
              <w:right w:w="38" w:type="dxa"/>
            </w:tcMar>
            <w:vAlign w:val="center"/>
          </w:tcPr>
          <w:p w14:paraId="7E02D630" w14:textId="77777777" w:rsidR="00AD5811" w:rsidRDefault="00000000">
            <w:pPr>
              <w:rPr>
                <w:rFonts w:ascii="Times New Roman" w:eastAsia="宋体" w:hAnsi="Times New Roman"/>
                <w:color w:val="000000"/>
              </w:rPr>
            </w:pPr>
            <w:r>
              <w:rPr>
                <w:rFonts w:ascii="Times New Roman" w:eastAsia="宋体" w:hAnsi="Times New Roman" w:hint="eastAsia"/>
                <w:color w:val="000000"/>
              </w:rPr>
              <w:t>-</w:t>
            </w:r>
          </w:p>
        </w:tc>
        <w:tc>
          <w:tcPr>
            <w:tcW w:w="1639" w:type="pct"/>
            <w:shd w:val="clear" w:color="auto" w:fill="auto"/>
            <w:tcMar>
              <w:top w:w="38" w:type="dxa"/>
              <w:left w:w="38" w:type="dxa"/>
              <w:bottom w:w="38" w:type="dxa"/>
              <w:right w:w="38" w:type="dxa"/>
            </w:tcMar>
            <w:vAlign w:val="center"/>
          </w:tcPr>
          <w:p w14:paraId="4DDFE05B" w14:textId="77777777" w:rsidR="00AD5811" w:rsidRDefault="00000000">
            <w:pPr>
              <w:rPr>
                <w:rFonts w:ascii="Times New Roman" w:eastAsia="宋体" w:hAnsi="Times New Roman"/>
                <w:color w:val="000000"/>
              </w:rPr>
            </w:pPr>
            <w:r>
              <w:rPr>
                <w:rFonts w:ascii="Times New Roman" w:eastAsia="宋体" w:hAnsi="Times New Roman" w:hint="eastAsia"/>
                <w:color w:val="000000"/>
              </w:rPr>
              <w:t>修改“本预案”、“公司章程”“报告期”释义</w:t>
            </w:r>
          </w:p>
        </w:tc>
      </w:tr>
      <w:tr w:rsidR="00AD5811" w14:paraId="0BBE3C8D" w14:textId="77777777">
        <w:trPr>
          <w:cantSplit/>
          <w:trHeight w:val="397"/>
        </w:trPr>
        <w:tc>
          <w:tcPr>
            <w:tcW w:w="1346" w:type="pct"/>
            <w:vMerge/>
            <w:shd w:val="clear" w:color="auto" w:fill="auto"/>
            <w:tcMar>
              <w:top w:w="38" w:type="dxa"/>
              <w:left w:w="38" w:type="dxa"/>
              <w:bottom w:w="38" w:type="dxa"/>
              <w:right w:w="38" w:type="dxa"/>
            </w:tcMar>
            <w:vAlign w:val="center"/>
          </w:tcPr>
          <w:p w14:paraId="6DD646D0" w14:textId="77777777" w:rsidR="00AD5811" w:rsidRDefault="00AD5811">
            <w:pPr>
              <w:rPr>
                <w:rFonts w:ascii="Times New Roman" w:eastAsia="宋体" w:hAnsi="Times New Roman"/>
                <w:color w:val="000000"/>
              </w:rPr>
            </w:pPr>
          </w:p>
        </w:tc>
        <w:tc>
          <w:tcPr>
            <w:tcW w:w="816" w:type="pct"/>
            <w:vMerge w:val="restart"/>
            <w:shd w:val="clear" w:color="auto" w:fill="auto"/>
            <w:tcMar>
              <w:top w:w="38" w:type="dxa"/>
              <w:left w:w="38" w:type="dxa"/>
              <w:bottom w:w="38" w:type="dxa"/>
              <w:right w:w="38" w:type="dxa"/>
            </w:tcMar>
            <w:vAlign w:val="center"/>
          </w:tcPr>
          <w:p w14:paraId="50678A54" w14:textId="77777777" w:rsidR="00AD5811" w:rsidRDefault="00000000">
            <w:pPr>
              <w:rPr>
                <w:rFonts w:ascii="Times New Roman" w:eastAsia="宋体" w:hAnsi="Times New Roman"/>
                <w:color w:val="000000"/>
              </w:rPr>
            </w:pPr>
            <w:r>
              <w:rPr>
                <w:rFonts w:ascii="Times New Roman" w:eastAsia="宋体" w:hAnsi="Times New Roman" w:hint="eastAsia"/>
                <w:color w:val="000000"/>
              </w:rPr>
              <w:t>二、本次发行概况</w:t>
            </w:r>
          </w:p>
        </w:tc>
        <w:tc>
          <w:tcPr>
            <w:tcW w:w="1198" w:type="pct"/>
            <w:shd w:val="clear" w:color="auto" w:fill="auto"/>
            <w:tcMar>
              <w:top w:w="38" w:type="dxa"/>
              <w:left w:w="38" w:type="dxa"/>
              <w:bottom w:w="38" w:type="dxa"/>
              <w:right w:w="38" w:type="dxa"/>
            </w:tcMar>
            <w:vAlign w:val="center"/>
          </w:tcPr>
          <w:p w14:paraId="2F32A098" w14:textId="77777777" w:rsidR="00AD5811" w:rsidRDefault="00000000">
            <w:pPr>
              <w:rPr>
                <w:rFonts w:ascii="Times New Roman" w:eastAsia="宋体" w:hAnsi="Times New Roman"/>
                <w:color w:val="000000"/>
              </w:rPr>
            </w:pPr>
            <w:r>
              <w:rPr>
                <w:rFonts w:ascii="Times New Roman" w:eastAsia="宋体" w:hAnsi="Times New Roman" w:hint="eastAsia"/>
                <w:color w:val="000000"/>
              </w:rPr>
              <w:t>（二）</w:t>
            </w:r>
            <w:r>
              <w:rPr>
                <w:rFonts w:ascii="Times New Roman" w:eastAsia="宋体" w:hAnsi="Times New Roman"/>
                <w:color w:val="000000"/>
              </w:rPr>
              <w:t>发行规模</w:t>
            </w:r>
          </w:p>
        </w:tc>
        <w:tc>
          <w:tcPr>
            <w:tcW w:w="1639" w:type="pct"/>
            <w:shd w:val="clear" w:color="auto" w:fill="auto"/>
            <w:tcMar>
              <w:top w:w="38" w:type="dxa"/>
              <w:left w:w="38" w:type="dxa"/>
              <w:bottom w:w="38" w:type="dxa"/>
              <w:right w:w="38" w:type="dxa"/>
            </w:tcMar>
            <w:vAlign w:val="center"/>
          </w:tcPr>
          <w:p w14:paraId="4447A629" w14:textId="77777777" w:rsidR="00AD5811" w:rsidRDefault="00000000">
            <w:pPr>
              <w:rPr>
                <w:rFonts w:ascii="Times New Roman" w:eastAsia="宋体" w:hAnsi="Times New Roman"/>
                <w:color w:val="000000"/>
              </w:rPr>
            </w:pPr>
            <w:r>
              <w:rPr>
                <w:rFonts w:ascii="Times New Roman" w:eastAsia="宋体" w:hAnsi="Times New Roman" w:hint="eastAsia"/>
                <w:color w:val="000000"/>
              </w:rPr>
              <w:t>将发行规模由不超过人民币</w:t>
            </w:r>
            <w:r>
              <w:rPr>
                <w:rFonts w:ascii="Times New Roman" w:eastAsia="宋体" w:hAnsi="Times New Roman" w:hint="eastAsia"/>
                <w:color w:val="000000"/>
              </w:rPr>
              <w:t>33,000.00</w:t>
            </w:r>
            <w:r>
              <w:rPr>
                <w:rFonts w:ascii="Times New Roman" w:eastAsia="宋体" w:hAnsi="Times New Roman" w:hint="eastAsia"/>
                <w:color w:val="000000"/>
              </w:rPr>
              <w:t>万元调整至不超过人民币</w:t>
            </w:r>
            <w:r>
              <w:rPr>
                <w:rFonts w:ascii="Times New Roman" w:eastAsia="宋体" w:hAnsi="Times New Roman" w:hint="eastAsia"/>
                <w:color w:val="000000"/>
              </w:rPr>
              <w:t>32,183.00</w:t>
            </w:r>
            <w:r>
              <w:rPr>
                <w:rFonts w:ascii="Times New Roman" w:eastAsia="宋体" w:hAnsi="Times New Roman" w:hint="eastAsia"/>
                <w:color w:val="000000"/>
              </w:rPr>
              <w:t>万元</w:t>
            </w:r>
          </w:p>
        </w:tc>
      </w:tr>
      <w:tr w:rsidR="00AD5811" w14:paraId="4A629B43" w14:textId="77777777">
        <w:trPr>
          <w:cantSplit/>
          <w:trHeight w:val="397"/>
        </w:trPr>
        <w:tc>
          <w:tcPr>
            <w:tcW w:w="1346" w:type="pct"/>
            <w:vMerge/>
            <w:shd w:val="clear" w:color="auto" w:fill="auto"/>
            <w:tcMar>
              <w:top w:w="38" w:type="dxa"/>
              <w:left w:w="38" w:type="dxa"/>
              <w:bottom w:w="38" w:type="dxa"/>
              <w:right w:w="38" w:type="dxa"/>
            </w:tcMar>
            <w:vAlign w:val="center"/>
          </w:tcPr>
          <w:p w14:paraId="1C25B5E8" w14:textId="77777777" w:rsidR="00AD5811" w:rsidRDefault="00AD5811">
            <w:pPr>
              <w:rPr>
                <w:rFonts w:ascii="Times New Roman" w:eastAsia="宋体" w:hAnsi="Times New Roman"/>
                <w:color w:val="000000"/>
              </w:rPr>
            </w:pPr>
          </w:p>
        </w:tc>
        <w:tc>
          <w:tcPr>
            <w:tcW w:w="816" w:type="pct"/>
            <w:vMerge/>
            <w:shd w:val="clear" w:color="auto" w:fill="auto"/>
            <w:tcMar>
              <w:top w:w="38" w:type="dxa"/>
              <w:left w:w="38" w:type="dxa"/>
              <w:bottom w:w="38" w:type="dxa"/>
              <w:right w:w="38" w:type="dxa"/>
            </w:tcMar>
            <w:vAlign w:val="center"/>
          </w:tcPr>
          <w:p w14:paraId="6DC04019" w14:textId="77777777" w:rsidR="00AD5811" w:rsidRDefault="00AD5811">
            <w:pPr>
              <w:rPr>
                <w:rFonts w:ascii="Times New Roman" w:eastAsia="宋体" w:hAnsi="Times New Roman"/>
                <w:color w:val="000000"/>
              </w:rPr>
            </w:pPr>
          </w:p>
        </w:tc>
        <w:tc>
          <w:tcPr>
            <w:tcW w:w="1198" w:type="pct"/>
            <w:shd w:val="clear" w:color="auto" w:fill="auto"/>
            <w:tcMar>
              <w:top w:w="38" w:type="dxa"/>
              <w:left w:w="38" w:type="dxa"/>
              <w:bottom w:w="38" w:type="dxa"/>
              <w:right w:w="38" w:type="dxa"/>
            </w:tcMar>
            <w:vAlign w:val="center"/>
          </w:tcPr>
          <w:p w14:paraId="0367EF7A" w14:textId="77777777" w:rsidR="00AD5811" w:rsidRDefault="00000000">
            <w:pPr>
              <w:rPr>
                <w:rFonts w:ascii="Times New Roman" w:eastAsia="宋体" w:hAnsi="Times New Roman"/>
                <w:color w:val="000000"/>
              </w:rPr>
            </w:pPr>
            <w:r>
              <w:rPr>
                <w:rFonts w:ascii="Times New Roman" w:eastAsia="宋体" w:hAnsi="Times New Roman" w:hint="eastAsia"/>
                <w:color w:val="000000"/>
              </w:rPr>
              <w:t>（十七）本次募集资金用途</w:t>
            </w:r>
          </w:p>
        </w:tc>
        <w:tc>
          <w:tcPr>
            <w:tcW w:w="1639" w:type="pct"/>
            <w:shd w:val="clear" w:color="auto" w:fill="auto"/>
            <w:tcMar>
              <w:top w:w="38" w:type="dxa"/>
              <w:left w:w="38" w:type="dxa"/>
              <w:bottom w:w="38" w:type="dxa"/>
              <w:right w:w="38" w:type="dxa"/>
            </w:tcMar>
            <w:vAlign w:val="center"/>
          </w:tcPr>
          <w:p w14:paraId="455AE07B" w14:textId="77777777" w:rsidR="00AD5811" w:rsidRDefault="00000000">
            <w:pPr>
              <w:rPr>
                <w:rFonts w:ascii="Times New Roman" w:eastAsia="宋体" w:hAnsi="Times New Roman"/>
                <w:color w:val="000000"/>
              </w:rPr>
            </w:pPr>
            <w:r>
              <w:rPr>
                <w:rFonts w:ascii="Times New Roman" w:eastAsia="宋体" w:hAnsi="Times New Roman" w:hint="eastAsia"/>
                <w:color w:val="000000"/>
              </w:rPr>
              <w:t>更新本次发行募集资金总额和募集资金拟投入项目规模</w:t>
            </w:r>
          </w:p>
        </w:tc>
      </w:tr>
      <w:tr w:rsidR="00AD5811" w14:paraId="30D41E9F" w14:textId="77777777">
        <w:trPr>
          <w:cantSplit/>
          <w:trHeight w:val="397"/>
        </w:trPr>
        <w:tc>
          <w:tcPr>
            <w:tcW w:w="1346" w:type="pct"/>
            <w:vMerge/>
            <w:shd w:val="clear" w:color="auto" w:fill="auto"/>
            <w:tcMar>
              <w:top w:w="38" w:type="dxa"/>
              <w:left w:w="38" w:type="dxa"/>
              <w:bottom w:w="38" w:type="dxa"/>
              <w:right w:w="38" w:type="dxa"/>
            </w:tcMar>
            <w:vAlign w:val="center"/>
          </w:tcPr>
          <w:p w14:paraId="43EB253E" w14:textId="77777777" w:rsidR="00AD5811" w:rsidRDefault="00AD5811">
            <w:pPr>
              <w:rPr>
                <w:rFonts w:ascii="Times New Roman" w:eastAsia="宋体" w:hAnsi="Times New Roman"/>
                <w:color w:val="000000"/>
              </w:rPr>
            </w:pPr>
          </w:p>
        </w:tc>
        <w:tc>
          <w:tcPr>
            <w:tcW w:w="816" w:type="pct"/>
            <w:shd w:val="clear" w:color="auto" w:fill="auto"/>
            <w:tcMar>
              <w:top w:w="38" w:type="dxa"/>
              <w:left w:w="38" w:type="dxa"/>
              <w:bottom w:w="38" w:type="dxa"/>
              <w:right w:w="38" w:type="dxa"/>
            </w:tcMar>
            <w:vAlign w:val="center"/>
          </w:tcPr>
          <w:p w14:paraId="2F009570" w14:textId="77777777" w:rsidR="00AD5811" w:rsidRDefault="00000000">
            <w:pPr>
              <w:rPr>
                <w:rFonts w:ascii="Times New Roman" w:eastAsia="宋体" w:hAnsi="Times New Roman"/>
                <w:color w:val="000000"/>
              </w:rPr>
            </w:pPr>
            <w:r>
              <w:rPr>
                <w:rFonts w:ascii="Times New Roman" w:eastAsia="宋体" w:hAnsi="Times New Roman" w:hint="eastAsia"/>
                <w:color w:val="000000"/>
              </w:rPr>
              <w:t>三、财务会计信息及管理</w:t>
            </w:r>
            <w:proofErr w:type="gramStart"/>
            <w:r>
              <w:rPr>
                <w:rFonts w:ascii="Times New Roman" w:eastAsia="宋体" w:hAnsi="Times New Roman" w:hint="eastAsia"/>
                <w:color w:val="000000"/>
              </w:rPr>
              <w:t>层讨论</w:t>
            </w:r>
            <w:proofErr w:type="gramEnd"/>
            <w:r>
              <w:rPr>
                <w:rFonts w:ascii="Times New Roman" w:eastAsia="宋体" w:hAnsi="Times New Roman" w:hint="eastAsia"/>
                <w:color w:val="000000"/>
              </w:rPr>
              <w:t>与分析</w:t>
            </w:r>
          </w:p>
        </w:tc>
        <w:tc>
          <w:tcPr>
            <w:tcW w:w="1198" w:type="pct"/>
            <w:shd w:val="clear" w:color="auto" w:fill="auto"/>
            <w:tcMar>
              <w:top w:w="38" w:type="dxa"/>
              <w:left w:w="38" w:type="dxa"/>
              <w:bottom w:w="38" w:type="dxa"/>
              <w:right w:w="38" w:type="dxa"/>
            </w:tcMar>
            <w:vAlign w:val="center"/>
          </w:tcPr>
          <w:p w14:paraId="4471C254" w14:textId="77777777" w:rsidR="00AD5811" w:rsidRDefault="00000000">
            <w:pPr>
              <w:rPr>
                <w:rFonts w:ascii="Times New Roman" w:eastAsia="宋体" w:hAnsi="Times New Roman"/>
                <w:color w:val="000000"/>
              </w:rPr>
            </w:pPr>
            <w:r>
              <w:rPr>
                <w:rFonts w:ascii="Times New Roman" w:eastAsia="宋体" w:hAnsi="Times New Roman" w:hint="eastAsia"/>
                <w:color w:val="000000"/>
              </w:rPr>
              <w:t>-</w:t>
            </w:r>
          </w:p>
        </w:tc>
        <w:tc>
          <w:tcPr>
            <w:tcW w:w="1639" w:type="pct"/>
            <w:shd w:val="clear" w:color="auto" w:fill="auto"/>
            <w:tcMar>
              <w:top w:w="38" w:type="dxa"/>
              <w:left w:w="38" w:type="dxa"/>
              <w:bottom w:w="38" w:type="dxa"/>
              <w:right w:w="38" w:type="dxa"/>
            </w:tcMar>
            <w:vAlign w:val="center"/>
          </w:tcPr>
          <w:p w14:paraId="5B38E5C8" w14:textId="77777777" w:rsidR="00AD5811" w:rsidRDefault="00000000">
            <w:pPr>
              <w:rPr>
                <w:rFonts w:ascii="Times New Roman" w:eastAsia="宋体" w:hAnsi="Times New Roman"/>
                <w:color w:val="000000"/>
              </w:rPr>
            </w:pPr>
            <w:r>
              <w:rPr>
                <w:rFonts w:ascii="Times New Roman" w:eastAsia="宋体" w:hAnsi="Times New Roman" w:hint="eastAsia"/>
                <w:color w:val="000000"/>
              </w:rPr>
              <w:t>将预案中的财务数据更新至</w:t>
            </w:r>
            <w:r>
              <w:rPr>
                <w:rFonts w:ascii="Times New Roman" w:eastAsia="宋体" w:hAnsi="Times New Roman" w:hint="eastAsia"/>
                <w:color w:val="000000"/>
              </w:rPr>
              <w:t>2020</w:t>
            </w:r>
            <w:r>
              <w:rPr>
                <w:rFonts w:ascii="Times New Roman" w:eastAsia="宋体" w:hAnsi="Times New Roman" w:hint="eastAsia"/>
                <w:color w:val="000000"/>
              </w:rPr>
              <w:t>年、</w:t>
            </w:r>
            <w:r>
              <w:rPr>
                <w:rFonts w:ascii="Times New Roman" w:eastAsia="宋体" w:hAnsi="Times New Roman" w:hint="eastAsia"/>
                <w:color w:val="000000"/>
              </w:rPr>
              <w:t>2021</w:t>
            </w:r>
            <w:r>
              <w:rPr>
                <w:rFonts w:ascii="Times New Roman" w:eastAsia="宋体" w:hAnsi="Times New Roman" w:hint="eastAsia"/>
                <w:color w:val="000000"/>
              </w:rPr>
              <w:t>年、</w:t>
            </w:r>
            <w:r>
              <w:rPr>
                <w:rFonts w:ascii="Times New Roman" w:eastAsia="宋体" w:hAnsi="Times New Roman" w:hint="eastAsia"/>
                <w:color w:val="000000"/>
              </w:rPr>
              <w:t>2022</w:t>
            </w:r>
            <w:r>
              <w:rPr>
                <w:rFonts w:ascii="Times New Roman" w:eastAsia="宋体" w:hAnsi="Times New Roman" w:hint="eastAsia"/>
                <w:color w:val="000000"/>
              </w:rPr>
              <w:t>年和</w:t>
            </w:r>
            <w:r>
              <w:rPr>
                <w:rFonts w:ascii="Times New Roman" w:eastAsia="宋体" w:hAnsi="Times New Roman" w:hint="eastAsia"/>
                <w:color w:val="000000"/>
              </w:rPr>
              <w:t>2023</w:t>
            </w:r>
            <w:r>
              <w:rPr>
                <w:rFonts w:ascii="Times New Roman" w:eastAsia="宋体" w:hAnsi="Times New Roman" w:hint="eastAsia"/>
                <w:color w:val="000000"/>
              </w:rPr>
              <w:t>年</w:t>
            </w:r>
            <w:r>
              <w:rPr>
                <w:rFonts w:ascii="Times New Roman" w:eastAsia="宋体" w:hAnsi="Times New Roman" w:hint="eastAsia"/>
                <w:color w:val="000000"/>
              </w:rPr>
              <w:t>1-9</w:t>
            </w:r>
            <w:r>
              <w:rPr>
                <w:rFonts w:ascii="Times New Roman" w:eastAsia="宋体" w:hAnsi="Times New Roman" w:hint="eastAsia"/>
                <w:color w:val="000000"/>
              </w:rPr>
              <w:t>月，并同步更新合并报告范围变化情况、主要财务指标和财务状况分析部分</w:t>
            </w:r>
          </w:p>
        </w:tc>
      </w:tr>
      <w:tr w:rsidR="00AD5811" w14:paraId="442111C9" w14:textId="77777777">
        <w:trPr>
          <w:cantSplit/>
          <w:trHeight w:val="397"/>
        </w:trPr>
        <w:tc>
          <w:tcPr>
            <w:tcW w:w="1346" w:type="pct"/>
            <w:vMerge/>
            <w:shd w:val="clear" w:color="auto" w:fill="auto"/>
            <w:tcMar>
              <w:top w:w="38" w:type="dxa"/>
              <w:left w:w="38" w:type="dxa"/>
              <w:bottom w:w="38" w:type="dxa"/>
              <w:right w:w="38" w:type="dxa"/>
            </w:tcMar>
            <w:vAlign w:val="center"/>
          </w:tcPr>
          <w:p w14:paraId="54A781FE" w14:textId="77777777" w:rsidR="00AD5811" w:rsidRDefault="00AD5811">
            <w:pPr>
              <w:rPr>
                <w:rFonts w:ascii="Times New Roman" w:eastAsia="宋体" w:hAnsi="Times New Roman"/>
                <w:color w:val="000000"/>
              </w:rPr>
            </w:pPr>
          </w:p>
        </w:tc>
        <w:tc>
          <w:tcPr>
            <w:tcW w:w="816" w:type="pct"/>
            <w:shd w:val="clear" w:color="auto" w:fill="auto"/>
            <w:tcMar>
              <w:top w:w="38" w:type="dxa"/>
              <w:left w:w="38" w:type="dxa"/>
              <w:bottom w:w="38" w:type="dxa"/>
              <w:right w:w="38" w:type="dxa"/>
            </w:tcMar>
            <w:vAlign w:val="center"/>
          </w:tcPr>
          <w:p w14:paraId="3932CB02" w14:textId="77777777" w:rsidR="00AD5811" w:rsidRDefault="00000000">
            <w:pPr>
              <w:rPr>
                <w:rFonts w:ascii="Times New Roman" w:eastAsia="宋体" w:hAnsi="Times New Roman"/>
                <w:color w:val="000000"/>
              </w:rPr>
            </w:pPr>
            <w:r>
              <w:rPr>
                <w:rFonts w:ascii="Times New Roman" w:eastAsia="宋体" w:hAnsi="Times New Roman" w:hint="eastAsia"/>
                <w:color w:val="000000"/>
              </w:rPr>
              <w:t>四、本次向不特定对象发行可转换公司债</w:t>
            </w:r>
            <w:proofErr w:type="gramStart"/>
            <w:r>
              <w:rPr>
                <w:rFonts w:ascii="Times New Roman" w:eastAsia="宋体" w:hAnsi="Times New Roman" w:hint="eastAsia"/>
                <w:color w:val="000000"/>
              </w:rPr>
              <w:t>券</w:t>
            </w:r>
            <w:proofErr w:type="gramEnd"/>
            <w:r>
              <w:rPr>
                <w:rFonts w:ascii="Times New Roman" w:eastAsia="宋体" w:hAnsi="Times New Roman" w:hint="eastAsia"/>
                <w:color w:val="000000"/>
              </w:rPr>
              <w:t>的募集资金用途</w:t>
            </w:r>
          </w:p>
        </w:tc>
        <w:tc>
          <w:tcPr>
            <w:tcW w:w="1198" w:type="pct"/>
            <w:shd w:val="clear" w:color="auto" w:fill="auto"/>
            <w:tcMar>
              <w:top w:w="38" w:type="dxa"/>
              <w:left w:w="38" w:type="dxa"/>
              <w:bottom w:w="38" w:type="dxa"/>
              <w:right w:w="38" w:type="dxa"/>
            </w:tcMar>
            <w:vAlign w:val="center"/>
          </w:tcPr>
          <w:p w14:paraId="6CA2EE7B" w14:textId="77777777" w:rsidR="00AD5811" w:rsidRDefault="00000000">
            <w:pPr>
              <w:rPr>
                <w:rFonts w:ascii="Times New Roman" w:eastAsia="宋体" w:hAnsi="Times New Roman"/>
                <w:color w:val="000000"/>
              </w:rPr>
            </w:pPr>
            <w:r>
              <w:rPr>
                <w:rFonts w:ascii="Times New Roman" w:eastAsia="宋体" w:hAnsi="Times New Roman" w:hint="eastAsia"/>
                <w:color w:val="000000"/>
              </w:rPr>
              <w:t>-</w:t>
            </w:r>
          </w:p>
        </w:tc>
        <w:tc>
          <w:tcPr>
            <w:tcW w:w="1639" w:type="pct"/>
            <w:shd w:val="clear" w:color="auto" w:fill="auto"/>
            <w:tcMar>
              <w:top w:w="38" w:type="dxa"/>
              <w:left w:w="38" w:type="dxa"/>
              <w:bottom w:w="38" w:type="dxa"/>
              <w:right w:w="38" w:type="dxa"/>
            </w:tcMar>
            <w:vAlign w:val="center"/>
          </w:tcPr>
          <w:p w14:paraId="41A3CDF5" w14:textId="77777777" w:rsidR="00AD5811" w:rsidRDefault="00000000">
            <w:pPr>
              <w:rPr>
                <w:rFonts w:ascii="Times New Roman" w:eastAsia="宋体" w:hAnsi="Times New Roman"/>
                <w:color w:val="000000"/>
              </w:rPr>
            </w:pPr>
            <w:r>
              <w:rPr>
                <w:rFonts w:ascii="Times New Roman" w:eastAsia="宋体" w:hAnsi="Times New Roman" w:hint="eastAsia"/>
                <w:color w:val="000000"/>
              </w:rPr>
              <w:t>更新本次发行募集资金总额和募集资金拟投入项目规模</w:t>
            </w:r>
          </w:p>
        </w:tc>
      </w:tr>
      <w:tr w:rsidR="00AD5811" w14:paraId="365A25CC" w14:textId="77777777">
        <w:trPr>
          <w:cantSplit/>
          <w:trHeight w:val="397"/>
        </w:trPr>
        <w:tc>
          <w:tcPr>
            <w:tcW w:w="1346" w:type="pct"/>
            <w:vMerge w:val="restart"/>
            <w:shd w:val="clear" w:color="auto" w:fill="auto"/>
            <w:tcMar>
              <w:top w:w="38" w:type="dxa"/>
              <w:left w:w="38" w:type="dxa"/>
              <w:bottom w:w="38" w:type="dxa"/>
              <w:right w:w="38" w:type="dxa"/>
            </w:tcMar>
            <w:vAlign w:val="center"/>
          </w:tcPr>
          <w:p w14:paraId="43B4276F" w14:textId="77777777" w:rsidR="00AD5811" w:rsidRDefault="00000000">
            <w:pPr>
              <w:rPr>
                <w:rFonts w:ascii="Times New Roman" w:eastAsia="宋体" w:hAnsi="Times New Roman"/>
                <w:color w:val="000000"/>
              </w:rPr>
            </w:pPr>
            <w:r>
              <w:rPr>
                <w:rFonts w:ascii="Times New Roman" w:eastAsia="宋体" w:hAnsi="Times New Roman" w:hint="eastAsia"/>
                <w:color w:val="000000"/>
              </w:rPr>
              <w:t>《青岛伟隆阀门股份有限公司</w:t>
            </w:r>
            <w:r>
              <w:rPr>
                <w:rFonts w:ascii="Times New Roman" w:eastAsia="宋体" w:hAnsi="Times New Roman"/>
                <w:color w:val="000000"/>
              </w:rPr>
              <w:t>向不特定对象发行可转换公司债券募集资金使用可行性分析报告》（二次修订稿）</w:t>
            </w:r>
          </w:p>
        </w:tc>
        <w:tc>
          <w:tcPr>
            <w:tcW w:w="816" w:type="pct"/>
            <w:shd w:val="clear" w:color="auto" w:fill="auto"/>
            <w:tcMar>
              <w:top w:w="38" w:type="dxa"/>
              <w:left w:w="38" w:type="dxa"/>
              <w:bottom w:w="38" w:type="dxa"/>
              <w:right w:w="38" w:type="dxa"/>
            </w:tcMar>
            <w:vAlign w:val="center"/>
          </w:tcPr>
          <w:p w14:paraId="715997E0" w14:textId="77777777" w:rsidR="00AD5811" w:rsidRDefault="00000000">
            <w:pPr>
              <w:rPr>
                <w:rFonts w:ascii="Times New Roman" w:eastAsia="宋体" w:hAnsi="Times New Roman"/>
                <w:color w:val="000000"/>
              </w:rPr>
            </w:pPr>
            <w:r>
              <w:rPr>
                <w:rFonts w:ascii="Times New Roman" w:eastAsia="宋体" w:hAnsi="Times New Roman" w:hint="eastAsia"/>
                <w:color w:val="000000"/>
              </w:rPr>
              <w:t>一、本次向不特定对象发行可转换公司债</w:t>
            </w:r>
            <w:proofErr w:type="gramStart"/>
            <w:r>
              <w:rPr>
                <w:rFonts w:ascii="Times New Roman" w:eastAsia="宋体" w:hAnsi="Times New Roman" w:hint="eastAsia"/>
                <w:color w:val="000000"/>
              </w:rPr>
              <w:t>券</w:t>
            </w:r>
            <w:proofErr w:type="gramEnd"/>
            <w:r>
              <w:rPr>
                <w:rFonts w:ascii="Times New Roman" w:eastAsia="宋体" w:hAnsi="Times New Roman" w:hint="eastAsia"/>
                <w:color w:val="000000"/>
              </w:rPr>
              <w:t>的募集资金使用计划</w:t>
            </w:r>
          </w:p>
        </w:tc>
        <w:tc>
          <w:tcPr>
            <w:tcW w:w="1198" w:type="pct"/>
            <w:shd w:val="clear" w:color="auto" w:fill="auto"/>
            <w:tcMar>
              <w:top w:w="38" w:type="dxa"/>
              <w:left w:w="38" w:type="dxa"/>
              <w:bottom w:w="38" w:type="dxa"/>
              <w:right w:w="38" w:type="dxa"/>
            </w:tcMar>
            <w:vAlign w:val="center"/>
          </w:tcPr>
          <w:p w14:paraId="15246251" w14:textId="77777777" w:rsidR="00AD5811" w:rsidRDefault="00000000">
            <w:pPr>
              <w:rPr>
                <w:rFonts w:ascii="Times New Roman" w:eastAsia="宋体" w:hAnsi="Times New Roman"/>
                <w:color w:val="000000"/>
              </w:rPr>
            </w:pPr>
            <w:r>
              <w:rPr>
                <w:rFonts w:ascii="Times New Roman" w:eastAsia="宋体" w:hAnsi="Times New Roman" w:hint="eastAsia"/>
                <w:color w:val="000000"/>
              </w:rPr>
              <w:t>-</w:t>
            </w:r>
          </w:p>
        </w:tc>
        <w:tc>
          <w:tcPr>
            <w:tcW w:w="1639" w:type="pct"/>
            <w:shd w:val="clear" w:color="auto" w:fill="auto"/>
            <w:tcMar>
              <w:top w:w="38" w:type="dxa"/>
              <w:left w:w="38" w:type="dxa"/>
              <w:bottom w:w="38" w:type="dxa"/>
              <w:right w:w="38" w:type="dxa"/>
            </w:tcMar>
            <w:vAlign w:val="center"/>
          </w:tcPr>
          <w:p w14:paraId="2FDC6D4E" w14:textId="77777777" w:rsidR="00AD5811" w:rsidRDefault="00000000">
            <w:pPr>
              <w:rPr>
                <w:rFonts w:ascii="Times New Roman" w:eastAsia="宋体" w:hAnsi="Times New Roman"/>
                <w:color w:val="000000"/>
              </w:rPr>
            </w:pPr>
            <w:r>
              <w:rPr>
                <w:rFonts w:ascii="Times New Roman" w:eastAsia="宋体" w:hAnsi="Times New Roman" w:hint="eastAsia"/>
                <w:color w:val="000000"/>
              </w:rPr>
              <w:t>更新本次发行募集资金拟投入项目规模</w:t>
            </w:r>
          </w:p>
        </w:tc>
      </w:tr>
      <w:tr w:rsidR="00AD5811" w14:paraId="1C34B765" w14:textId="77777777">
        <w:trPr>
          <w:cantSplit/>
          <w:trHeight w:val="397"/>
        </w:trPr>
        <w:tc>
          <w:tcPr>
            <w:tcW w:w="1346" w:type="pct"/>
            <w:vMerge/>
            <w:shd w:val="clear" w:color="auto" w:fill="auto"/>
            <w:tcMar>
              <w:top w:w="38" w:type="dxa"/>
              <w:left w:w="38" w:type="dxa"/>
              <w:bottom w:w="38" w:type="dxa"/>
              <w:right w:w="38" w:type="dxa"/>
            </w:tcMar>
            <w:vAlign w:val="center"/>
          </w:tcPr>
          <w:p w14:paraId="3B68E27E" w14:textId="77777777" w:rsidR="00AD5811" w:rsidRDefault="00AD5811">
            <w:pPr>
              <w:rPr>
                <w:rFonts w:ascii="Times New Roman" w:eastAsia="宋体" w:hAnsi="Times New Roman"/>
                <w:color w:val="000000"/>
              </w:rPr>
            </w:pPr>
          </w:p>
        </w:tc>
        <w:tc>
          <w:tcPr>
            <w:tcW w:w="816" w:type="pct"/>
            <w:shd w:val="clear" w:color="auto" w:fill="auto"/>
            <w:tcMar>
              <w:top w:w="38" w:type="dxa"/>
              <w:left w:w="38" w:type="dxa"/>
              <w:bottom w:w="38" w:type="dxa"/>
              <w:right w:w="38" w:type="dxa"/>
            </w:tcMar>
            <w:vAlign w:val="center"/>
          </w:tcPr>
          <w:p w14:paraId="41C5DE61" w14:textId="77777777" w:rsidR="00AD5811" w:rsidRDefault="00000000">
            <w:pPr>
              <w:rPr>
                <w:rFonts w:ascii="Times New Roman" w:eastAsia="宋体" w:hAnsi="Times New Roman"/>
                <w:color w:val="000000"/>
              </w:rPr>
            </w:pPr>
            <w:r>
              <w:rPr>
                <w:rFonts w:ascii="Times New Roman" w:eastAsia="宋体" w:hAnsi="Times New Roman" w:hint="eastAsia"/>
                <w:color w:val="000000"/>
              </w:rPr>
              <w:t>二、</w:t>
            </w:r>
            <w:proofErr w:type="gramStart"/>
            <w:r>
              <w:rPr>
                <w:rFonts w:ascii="Times New Roman" w:eastAsia="宋体" w:hAnsi="Times New Roman" w:hint="eastAsia"/>
                <w:color w:val="000000"/>
              </w:rPr>
              <w:t>募投项目</w:t>
            </w:r>
            <w:proofErr w:type="gramEnd"/>
            <w:r>
              <w:rPr>
                <w:rFonts w:ascii="Times New Roman" w:eastAsia="宋体" w:hAnsi="Times New Roman" w:hint="eastAsia"/>
                <w:color w:val="000000"/>
              </w:rPr>
              <w:t>实施必要性和可行性分析</w:t>
            </w:r>
          </w:p>
        </w:tc>
        <w:tc>
          <w:tcPr>
            <w:tcW w:w="1198" w:type="pct"/>
            <w:shd w:val="clear" w:color="auto" w:fill="auto"/>
            <w:tcMar>
              <w:top w:w="38" w:type="dxa"/>
              <w:left w:w="38" w:type="dxa"/>
              <w:bottom w:w="38" w:type="dxa"/>
              <w:right w:w="38" w:type="dxa"/>
            </w:tcMar>
            <w:vAlign w:val="center"/>
          </w:tcPr>
          <w:p w14:paraId="5EF10A93" w14:textId="77777777" w:rsidR="00AD5811" w:rsidRDefault="00000000">
            <w:pPr>
              <w:rPr>
                <w:rFonts w:ascii="Times New Roman" w:eastAsia="宋体" w:hAnsi="Times New Roman"/>
                <w:color w:val="000000"/>
              </w:rPr>
            </w:pPr>
            <w:r>
              <w:rPr>
                <w:rFonts w:ascii="Times New Roman" w:eastAsia="宋体" w:hAnsi="Times New Roman" w:hint="eastAsia"/>
                <w:color w:val="000000"/>
              </w:rPr>
              <w:t>（二）补充流动资金</w:t>
            </w:r>
          </w:p>
        </w:tc>
        <w:tc>
          <w:tcPr>
            <w:tcW w:w="1639" w:type="pct"/>
            <w:shd w:val="clear" w:color="auto" w:fill="auto"/>
            <w:tcMar>
              <w:top w:w="38" w:type="dxa"/>
              <w:left w:w="38" w:type="dxa"/>
              <w:bottom w:w="38" w:type="dxa"/>
              <w:right w:w="38" w:type="dxa"/>
            </w:tcMar>
            <w:vAlign w:val="center"/>
          </w:tcPr>
          <w:p w14:paraId="602F9359" w14:textId="77777777" w:rsidR="00AD5811" w:rsidRDefault="00000000">
            <w:pPr>
              <w:rPr>
                <w:rFonts w:ascii="Times New Roman" w:eastAsia="宋体" w:hAnsi="Times New Roman"/>
                <w:color w:val="000000"/>
              </w:rPr>
            </w:pPr>
            <w:r>
              <w:rPr>
                <w:rFonts w:ascii="Times New Roman" w:eastAsia="宋体" w:hAnsi="Times New Roman" w:hint="eastAsia"/>
                <w:color w:val="000000"/>
              </w:rPr>
              <w:t>更新了项目投入金额</w:t>
            </w:r>
          </w:p>
        </w:tc>
      </w:tr>
      <w:tr w:rsidR="00AD5811" w14:paraId="20BC9A83" w14:textId="77777777">
        <w:trPr>
          <w:cantSplit/>
          <w:trHeight w:val="397"/>
        </w:trPr>
        <w:tc>
          <w:tcPr>
            <w:tcW w:w="1346" w:type="pct"/>
            <w:vMerge w:val="restart"/>
            <w:shd w:val="clear" w:color="auto" w:fill="auto"/>
            <w:tcMar>
              <w:top w:w="38" w:type="dxa"/>
              <w:left w:w="38" w:type="dxa"/>
              <w:bottom w:w="38" w:type="dxa"/>
              <w:right w:w="38" w:type="dxa"/>
            </w:tcMar>
            <w:vAlign w:val="center"/>
          </w:tcPr>
          <w:p w14:paraId="2D6C4D0C" w14:textId="77777777" w:rsidR="00AD5811" w:rsidRDefault="00000000">
            <w:pPr>
              <w:rPr>
                <w:rFonts w:ascii="Times New Roman" w:eastAsia="宋体" w:hAnsi="Times New Roman"/>
                <w:color w:val="000000"/>
              </w:rPr>
            </w:pPr>
            <w:r>
              <w:rPr>
                <w:rFonts w:ascii="Times New Roman" w:eastAsia="宋体" w:hAnsi="Times New Roman" w:hint="eastAsia"/>
                <w:color w:val="000000"/>
              </w:rPr>
              <w:lastRenderedPageBreak/>
              <w:t>《青岛伟隆阀门股份有限公司向不特定对象发行可转换公司债券方案的论证分析报告》（修订稿）</w:t>
            </w:r>
          </w:p>
        </w:tc>
        <w:tc>
          <w:tcPr>
            <w:tcW w:w="816" w:type="pct"/>
            <w:vMerge w:val="restart"/>
            <w:shd w:val="clear" w:color="auto" w:fill="auto"/>
            <w:tcMar>
              <w:top w:w="38" w:type="dxa"/>
              <w:left w:w="38" w:type="dxa"/>
              <w:bottom w:w="38" w:type="dxa"/>
              <w:right w:w="38" w:type="dxa"/>
            </w:tcMar>
            <w:vAlign w:val="center"/>
          </w:tcPr>
          <w:p w14:paraId="2ED49768" w14:textId="77777777" w:rsidR="00AD5811" w:rsidRDefault="00000000">
            <w:pPr>
              <w:rPr>
                <w:rFonts w:ascii="Times New Roman" w:eastAsia="宋体" w:hAnsi="Times New Roman"/>
                <w:color w:val="000000"/>
              </w:rPr>
            </w:pPr>
            <w:r>
              <w:rPr>
                <w:rFonts w:ascii="Times New Roman" w:eastAsia="宋体" w:hAnsi="Times New Roman" w:hint="eastAsia"/>
                <w:color w:val="000000"/>
              </w:rPr>
              <w:t>五、本次发行的可行性</w:t>
            </w:r>
          </w:p>
        </w:tc>
        <w:tc>
          <w:tcPr>
            <w:tcW w:w="1198" w:type="pct"/>
            <w:shd w:val="clear" w:color="auto" w:fill="auto"/>
            <w:tcMar>
              <w:top w:w="38" w:type="dxa"/>
              <w:left w:w="38" w:type="dxa"/>
              <w:bottom w:w="38" w:type="dxa"/>
              <w:right w:w="38" w:type="dxa"/>
            </w:tcMar>
            <w:vAlign w:val="center"/>
          </w:tcPr>
          <w:p w14:paraId="2CC146A7" w14:textId="77777777" w:rsidR="00AD5811" w:rsidRDefault="00000000">
            <w:pPr>
              <w:rPr>
                <w:rFonts w:ascii="Times New Roman" w:eastAsia="宋体" w:hAnsi="Times New Roman"/>
                <w:color w:val="000000"/>
              </w:rPr>
            </w:pPr>
            <w:r>
              <w:rPr>
                <w:rFonts w:ascii="Times New Roman" w:eastAsia="宋体" w:hAnsi="Times New Roman" w:hint="eastAsia"/>
                <w:color w:val="000000"/>
              </w:rPr>
              <w:t>（一）本次发行方式合法合</w:t>
            </w:r>
            <w:proofErr w:type="gramStart"/>
            <w:r>
              <w:rPr>
                <w:rFonts w:ascii="Times New Roman" w:eastAsia="宋体" w:hAnsi="Times New Roman" w:hint="eastAsia"/>
                <w:color w:val="000000"/>
              </w:rPr>
              <w:t>规</w:t>
            </w:r>
            <w:proofErr w:type="gramEnd"/>
          </w:p>
        </w:tc>
        <w:tc>
          <w:tcPr>
            <w:tcW w:w="1639" w:type="pct"/>
            <w:shd w:val="clear" w:color="auto" w:fill="auto"/>
            <w:tcMar>
              <w:top w:w="38" w:type="dxa"/>
              <w:left w:w="38" w:type="dxa"/>
              <w:bottom w:w="38" w:type="dxa"/>
              <w:right w:w="38" w:type="dxa"/>
            </w:tcMar>
            <w:vAlign w:val="center"/>
          </w:tcPr>
          <w:p w14:paraId="0DC02E4B" w14:textId="77777777" w:rsidR="00AD5811" w:rsidRDefault="00000000">
            <w:pPr>
              <w:rPr>
                <w:rFonts w:ascii="Times New Roman" w:eastAsia="宋体" w:hAnsi="Times New Roman"/>
                <w:color w:val="000000"/>
              </w:rPr>
            </w:pPr>
            <w:r>
              <w:rPr>
                <w:rFonts w:ascii="Times New Roman" w:eastAsia="宋体" w:hAnsi="Times New Roman" w:hint="eastAsia"/>
                <w:color w:val="000000"/>
              </w:rPr>
              <w:t>更新本次发行募集资金总额和募集资金拟投入项目规模，将可行性分析涉及的财务数据更新至</w:t>
            </w:r>
            <w:r>
              <w:rPr>
                <w:rFonts w:ascii="Times New Roman" w:eastAsia="宋体" w:hAnsi="Times New Roman" w:hint="eastAsia"/>
                <w:color w:val="000000"/>
              </w:rPr>
              <w:t>2020</w:t>
            </w:r>
            <w:r>
              <w:rPr>
                <w:rFonts w:ascii="Times New Roman" w:eastAsia="宋体" w:hAnsi="Times New Roman" w:hint="eastAsia"/>
                <w:color w:val="000000"/>
              </w:rPr>
              <w:t>年、</w:t>
            </w:r>
            <w:r>
              <w:rPr>
                <w:rFonts w:ascii="Times New Roman" w:eastAsia="宋体" w:hAnsi="Times New Roman" w:hint="eastAsia"/>
                <w:color w:val="000000"/>
              </w:rPr>
              <w:t>2021</w:t>
            </w:r>
            <w:r>
              <w:rPr>
                <w:rFonts w:ascii="Times New Roman" w:eastAsia="宋体" w:hAnsi="Times New Roman" w:hint="eastAsia"/>
                <w:color w:val="000000"/>
              </w:rPr>
              <w:t>年、</w:t>
            </w:r>
            <w:r>
              <w:rPr>
                <w:rFonts w:ascii="Times New Roman" w:eastAsia="宋体" w:hAnsi="Times New Roman" w:hint="eastAsia"/>
                <w:color w:val="000000"/>
              </w:rPr>
              <w:t>2022</w:t>
            </w:r>
            <w:r>
              <w:rPr>
                <w:rFonts w:ascii="Times New Roman" w:eastAsia="宋体" w:hAnsi="Times New Roman" w:hint="eastAsia"/>
                <w:color w:val="000000"/>
              </w:rPr>
              <w:t>年和</w:t>
            </w:r>
            <w:r>
              <w:rPr>
                <w:rFonts w:ascii="Times New Roman" w:eastAsia="宋体" w:hAnsi="Times New Roman" w:hint="eastAsia"/>
                <w:color w:val="000000"/>
              </w:rPr>
              <w:t>2023</w:t>
            </w:r>
            <w:r>
              <w:rPr>
                <w:rFonts w:ascii="Times New Roman" w:eastAsia="宋体" w:hAnsi="Times New Roman" w:hint="eastAsia"/>
                <w:color w:val="000000"/>
              </w:rPr>
              <w:t>年</w:t>
            </w:r>
            <w:r>
              <w:rPr>
                <w:rFonts w:ascii="Times New Roman" w:eastAsia="宋体" w:hAnsi="Times New Roman" w:hint="eastAsia"/>
                <w:color w:val="000000"/>
              </w:rPr>
              <w:t>1-9</w:t>
            </w:r>
            <w:r>
              <w:rPr>
                <w:rFonts w:ascii="Times New Roman" w:eastAsia="宋体" w:hAnsi="Times New Roman" w:hint="eastAsia"/>
                <w:color w:val="000000"/>
              </w:rPr>
              <w:t>月</w:t>
            </w:r>
          </w:p>
        </w:tc>
      </w:tr>
      <w:tr w:rsidR="00AD5811" w14:paraId="44A0644E" w14:textId="77777777">
        <w:trPr>
          <w:cantSplit/>
          <w:trHeight w:val="397"/>
        </w:trPr>
        <w:tc>
          <w:tcPr>
            <w:tcW w:w="1346" w:type="pct"/>
            <w:vMerge/>
            <w:shd w:val="clear" w:color="auto" w:fill="auto"/>
            <w:tcMar>
              <w:top w:w="38" w:type="dxa"/>
              <w:left w:w="38" w:type="dxa"/>
              <w:bottom w:w="38" w:type="dxa"/>
              <w:right w:w="38" w:type="dxa"/>
            </w:tcMar>
            <w:vAlign w:val="center"/>
          </w:tcPr>
          <w:p w14:paraId="7E804DF5" w14:textId="77777777" w:rsidR="00AD5811" w:rsidRDefault="00AD5811">
            <w:pPr>
              <w:rPr>
                <w:rFonts w:ascii="Times New Roman" w:eastAsia="宋体" w:hAnsi="Times New Roman"/>
                <w:color w:val="000000"/>
              </w:rPr>
            </w:pPr>
          </w:p>
        </w:tc>
        <w:tc>
          <w:tcPr>
            <w:tcW w:w="816" w:type="pct"/>
            <w:vMerge/>
            <w:shd w:val="clear" w:color="auto" w:fill="auto"/>
            <w:tcMar>
              <w:top w:w="38" w:type="dxa"/>
              <w:left w:w="38" w:type="dxa"/>
              <w:bottom w:w="38" w:type="dxa"/>
              <w:right w:w="38" w:type="dxa"/>
            </w:tcMar>
            <w:vAlign w:val="center"/>
          </w:tcPr>
          <w:p w14:paraId="1B3B9CF4" w14:textId="77777777" w:rsidR="00AD5811" w:rsidRDefault="00AD5811">
            <w:pPr>
              <w:rPr>
                <w:rFonts w:ascii="Times New Roman" w:eastAsia="宋体" w:hAnsi="Times New Roman"/>
                <w:color w:val="000000"/>
              </w:rPr>
            </w:pPr>
          </w:p>
        </w:tc>
        <w:tc>
          <w:tcPr>
            <w:tcW w:w="1198" w:type="pct"/>
            <w:shd w:val="clear" w:color="auto" w:fill="auto"/>
            <w:tcMar>
              <w:top w:w="38" w:type="dxa"/>
              <w:left w:w="38" w:type="dxa"/>
              <w:bottom w:w="38" w:type="dxa"/>
              <w:right w:w="38" w:type="dxa"/>
            </w:tcMar>
            <w:vAlign w:val="center"/>
          </w:tcPr>
          <w:p w14:paraId="5900F450" w14:textId="77777777" w:rsidR="00AD5811" w:rsidRDefault="00000000">
            <w:pPr>
              <w:rPr>
                <w:rFonts w:ascii="Times New Roman" w:eastAsia="宋体" w:hAnsi="Times New Roman"/>
                <w:color w:val="000000"/>
              </w:rPr>
            </w:pPr>
            <w:r>
              <w:rPr>
                <w:rFonts w:ascii="Times New Roman" w:eastAsia="宋体" w:hAnsi="Times New Roman" w:hint="eastAsia"/>
                <w:color w:val="000000"/>
              </w:rPr>
              <w:t>（二）确定发行方式的程序合法合</w:t>
            </w:r>
            <w:proofErr w:type="gramStart"/>
            <w:r>
              <w:rPr>
                <w:rFonts w:ascii="Times New Roman" w:eastAsia="宋体" w:hAnsi="Times New Roman" w:hint="eastAsia"/>
                <w:color w:val="000000"/>
              </w:rPr>
              <w:t>规</w:t>
            </w:r>
            <w:proofErr w:type="gramEnd"/>
          </w:p>
        </w:tc>
        <w:tc>
          <w:tcPr>
            <w:tcW w:w="1639" w:type="pct"/>
            <w:shd w:val="clear" w:color="auto" w:fill="auto"/>
            <w:tcMar>
              <w:top w:w="38" w:type="dxa"/>
              <w:left w:w="38" w:type="dxa"/>
              <w:bottom w:w="38" w:type="dxa"/>
              <w:right w:w="38" w:type="dxa"/>
            </w:tcMar>
            <w:vAlign w:val="center"/>
          </w:tcPr>
          <w:p w14:paraId="14A97955" w14:textId="77777777" w:rsidR="00AD5811" w:rsidRDefault="00000000">
            <w:pPr>
              <w:rPr>
                <w:rFonts w:ascii="Times New Roman" w:eastAsia="宋体" w:hAnsi="Times New Roman"/>
                <w:color w:val="000000"/>
              </w:rPr>
            </w:pPr>
            <w:r>
              <w:rPr>
                <w:rFonts w:ascii="Times New Roman" w:eastAsia="宋体" w:hAnsi="Times New Roman" w:hint="eastAsia"/>
                <w:color w:val="000000"/>
              </w:rPr>
              <w:t>更新本次发行方案的审议程序</w:t>
            </w:r>
          </w:p>
        </w:tc>
      </w:tr>
      <w:tr w:rsidR="00AD5811" w14:paraId="398B0110" w14:textId="77777777">
        <w:trPr>
          <w:cantSplit/>
          <w:trHeight w:val="397"/>
        </w:trPr>
        <w:tc>
          <w:tcPr>
            <w:tcW w:w="1346" w:type="pct"/>
            <w:vMerge/>
            <w:shd w:val="clear" w:color="auto" w:fill="auto"/>
            <w:tcMar>
              <w:top w:w="38" w:type="dxa"/>
              <w:left w:w="38" w:type="dxa"/>
              <w:bottom w:w="38" w:type="dxa"/>
              <w:right w:w="38" w:type="dxa"/>
            </w:tcMar>
            <w:vAlign w:val="center"/>
          </w:tcPr>
          <w:p w14:paraId="5834E78A" w14:textId="77777777" w:rsidR="00AD5811" w:rsidRDefault="00AD5811">
            <w:pPr>
              <w:rPr>
                <w:rFonts w:ascii="Times New Roman" w:eastAsia="宋体" w:hAnsi="Times New Roman"/>
                <w:color w:val="000000"/>
              </w:rPr>
            </w:pPr>
          </w:p>
        </w:tc>
        <w:tc>
          <w:tcPr>
            <w:tcW w:w="816" w:type="pct"/>
            <w:shd w:val="clear" w:color="auto" w:fill="auto"/>
            <w:tcMar>
              <w:top w:w="38" w:type="dxa"/>
              <w:left w:w="38" w:type="dxa"/>
              <w:bottom w:w="38" w:type="dxa"/>
              <w:right w:w="38" w:type="dxa"/>
            </w:tcMar>
            <w:vAlign w:val="center"/>
          </w:tcPr>
          <w:p w14:paraId="00A385DC" w14:textId="77777777" w:rsidR="00AD5811" w:rsidRDefault="00000000">
            <w:pPr>
              <w:rPr>
                <w:rFonts w:ascii="Times New Roman" w:eastAsia="宋体" w:hAnsi="Times New Roman"/>
                <w:color w:val="000000"/>
              </w:rPr>
            </w:pPr>
            <w:r>
              <w:rPr>
                <w:rFonts w:ascii="Times New Roman" w:eastAsia="宋体" w:hAnsi="Times New Roman" w:hint="eastAsia"/>
                <w:color w:val="000000"/>
              </w:rPr>
              <w:t>七、本次向不特定对象发行可转换公司债</w:t>
            </w:r>
            <w:proofErr w:type="gramStart"/>
            <w:r>
              <w:rPr>
                <w:rFonts w:ascii="Times New Roman" w:eastAsia="宋体" w:hAnsi="Times New Roman" w:hint="eastAsia"/>
                <w:color w:val="000000"/>
              </w:rPr>
              <w:t>券</w:t>
            </w:r>
            <w:proofErr w:type="gramEnd"/>
            <w:r>
              <w:rPr>
                <w:rFonts w:ascii="Times New Roman" w:eastAsia="宋体" w:hAnsi="Times New Roman" w:hint="eastAsia"/>
                <w:color w:val="000000"/>
              </w:rPr>
              <w:t>摊薄即期回报对公司主要财务指标的潜在影响以及填补的具体措施</w:t>
            </w:r>
          </w:p>
        </w:tc>
        <w:tc>
          <w:tcPr>
            <w:tcW w:w="1198" w:type="pct"/>
            <w:shd w:val="clear" w:color="auto" w:fill="auto"/>
            <w:tcMar>
              <w:top w:w="38" w:type="dxa"/>
              <w:left w:w="38" w:type="dxa"/>
              <w:bottom w:w="38" w:type="dxa"/>
              <w:right w:w="38" w:type="dxa"/>
            </w:tcMar>
            <w:vAlign w:val="center"/>
          </w:tcPr>
          <w:p w14:paraId="1C52EB8B" w14:textId="77777777" w:rsidR="00AD5811" w:rsidRDefault="00000000">
            <w:pPr>
              <w:rPr>
                <w:rFonts w:ascii="Times New Roman" w:eastAsia="宋体" w:hAnsi="Times New Roman"/>
                <w:color w:val="000000"/>
              </w:rPr>
            </w:pPr>
            <w:r>
              <w:rPr>
                <w:rFonts w:ascii="Times New Roman" w:eastAsia="宋体" w:hAnsi="Times New Roman"/>
                <w:color w:val="000000"/>
              </w:rPr>
              <w:t>（一）本次发行对公司主要财务指标的影响分析</w:t>
            </w:r>
          </w:p>
        </w:tc>
        <w:tc>
          <w:tcPr>
            <w:tcW w:w="1639" w:type="pct"/>
            <w:shd w:val="clear" w:color="auto" w:fill="auto"/>
            <w:tcMar>
              <w:top w:w="38" w:type="dxa"/>
              <w:left w:w="38" w:type="dxa"/>
              <w:bottom w:w="38" w:type="dxa"/>
              <w:right w:w="38" w:type="dxa"/>
            </w:tcMar>
            <w:vAlign w:val="center"/>
          </w:tcPr>
          <w:p w14:paraId="3422E3D4" w14:textId="77777777" w:rsidR="00AD5811" w:rsidRDefault="00000000">
            <w:pPr>
              <w:rPr>
                <w:rFonts w:ascii="Times New Roman" w:eastAsia="宋体" w:hAnsi="Times New Roman"/>
                <w:color w:val="000000"/>
              </w:rPr>
            </w:pPr>
            <w:r>
              <w:rPr>
                <w:rFonts w:ascii="Times New Roman" w:eastAsia="宋体" w:hAnsi="Times New Roman" w:hint="eastAsia"/>
                <w:color w:val="000000"/>
              </w:rPr>
              <w:t>根据拟募集资金数额修改情况，更新对公司主要财务指标的测算结果。</w:t>
            </w:r>
          </w:p>
        </w:tc>
      </w:tr>
      <w:tr w:rsidR="00AD5811" w14:paraId="3A70B925" w14:textId="77777777">
        <w:trPr>
          <w:cantSplit/>
          <w:trHeight w:val="397"/>
        </w:trPr>
        <w:tc>
          <w:tcPr>
            <w:tcW w:w="1346" w:type="pct"/>
            <w:shd w:val="clear" w:color="auto" w:fill="auto"/>
            <w:tcMar>
              <w:top w:w="38" w:type="dxa"/>
              <w:left w:w="38" w:type="dxa"/>
              <w:bottom w:w="38" w:type="dxa"/>
              <w:right w:w="38" w:type="dxa"/>
            </w:tcMar>
            <w:vAlign w:val="center"/>
          </w:tcPr>
          <w:p w14:paraId="24B4981F" w14:textId="77777777" w:rsidR="00AD5811" w:rsidRDefault="00000000">
            <w:pPr>
              <w:rPr>
                <w:rFonts w:ascii="Times New Roman" w:eastAsia="宋体" w:hAnsi="Times New Roman"/>
                <w:color w:val="000000"/>
              </w:rPr>
            </w:pPr>
            <w:r>
              <w:rPr>
                <w:rFonts w:ascii="Times New Roman" w:eastAsia="宋体" w:hAnsi="Times New Roman" w:hint="eastAsia"/>
                <w:color w:val="000000"/>
              </w:rPr>
              <w:t>《青岛伟隆阀门股份有限公司关于向不特定对象发行可转换公司债券摊薄即期回报与填补措施及相关主体承诺的公告》（二次修订稿）</w:t>
            </w:r>
          </w:p>
        </w:tc>
        <w:tc>
          <w:tcPr>
            <w:tcW w:w="816" w:type="pct"/>
            <w:shd w:val="clear" w:color="auto" w:fill="auto"/>
            <w:tcMar>
              <w:top w:w="38" w:type="dxa"/>
              <w:left w:w="38" w:type="dxa"/>
              <w:bottom w:w="38" w:type="dxa"/>
              <w:right w:w="38" w:type="dxa"/>
            </w:tcMar>
            <w:vAlign w:val="center"/>
          </w:tcPr>
          <w:p w14:paraId="3F3C9C34" w14:textId="77777777" w:rsidR="00AD5811" w:rsidRDefault="00000000">
            <w:pPr>
              <w:rPr>
                <w:rFonts w:ascii="Times New Roman" w:eastAsia="宋体" w:hAnsi="Times New Roman"/>
                <w:color w:val="000000"/>
              </w:rPr>
            </w:pPr>
            <w:r>
              <w:rPr>
                <w:rFonts w:ascii="Times New Roman" w:eastAsia="宋体" w:hAnsi="Times New Roman" w:hint="eastAsia"/>
                <w:color w:val="000000"/>
              </w:rPr>
              <w:t>一、本次发行摊薄即期回报对公司主要财务指标的影响</w:t>
            </w:r>
          </w:p>
        </w:tc>
        <w:tc>
          <w:tcPr>
            <w:tcW w:w="1198" w:type="pct"/>
            <w:shd w:val="clear" w:color="auto" w:fill="auto"/>
            <w:tcMar>
              <w:top w:w="38" w:type="dxa"/>
              <w:left w:w="38" w:type="dxa"/>
              <w:bottom w:w="38" w:type="dxa"/>
              <w:right w:w="38" w:type="dxa"/>
            </w:tcMar>
            <w:vAlign w:val="center"/>
          </w:tcPr>
          <w:p w14:paraId="1341408C" w14:textId="77777777" w:rsidR="00AD5811" w:rsidRDefault="00000000">
            <w:pPr>
              <w:rPr>
                <w:rFonts w:ascii="Times New Roman" w:eastAsia="宋体" w:hAnsi="Times New Roman"/>
                <w:color w:val="000000"/>
              </w:rPr>
            </w:pPr>
            <w:r>
              <w:rPr>
                <w:rFonts w:ascii="Times New Roman" w:eastAsia="宋体" w:hAnsi="Times New Roman" w:hint="eastAsia"/>
                <w:color w:val="000000"/>
              </w:rPr>
              <w:t>（一）本次发行摊薄即期回报对公司主要财务指标影响的假设</w:t>
            </w:r>
          </w:p>
          <w:p w14:paraId="4956038A" w14:textId="77777777" w:rsidR="00AD5811" w:rsidRDefault="00000000">
            <w:pPr>
              <w:rPr>
                <w:rFonts w:ascii="Times New Roman" w:eastAsia="宋体" w:hAnsi="Times New Roman"/>
                <w:color w:val="000000"/>
              </w:rPr>
            </w:pPr>
            <w:r>
              <w:rPr>
                <w:rFonts w:ascii="Times New Roman" w:eastAsia="宋体" w:hAnsi="Times New Roman" w:hint="eastAsia"/>
                <w:color w:val="000000"/>
              </w:rPr>
              <w:t>（二）对公司每股收益及加权平均净资产收益率的影响</w:t>
            </w:r>
          </w:p>
        </w:tc>
        <w:tc>
          <w:tcPr>
            <w:tcW w:w="1639" w:type="pct"/>
            <w:shd w:val="clear" w:color="auto" w:fill="auto"/>
            <w:tcMar>
              <w:top w:w="38" w:type="dxa"/>
              <w:left w:w="38" w:type="dxa"/>
              <w:bottom w:w="38" w:type="dxa"/>
              <w:right w:w="38" w:type="dxa"/>
            </w:tcMar>
            <w:vAlign w:val="center"/>
          </w:tcPr>
          <w:p w14:paraId="03D2A652" w14:textId="77777777" w:rsidR="00AD5811" w:rsidRDefault="00000000">
            <w:pPr>
              <w:rPr>
                <w:rFonts w:ascii="Times New Roman" w:eastAsia="宋体" w:hAnsi="Times New Roman"/>
                <w:color w:val="000000"/>
              </w:rPr>
            </w:pPr>
            <w:r>
              <w:rPr>
                <w:rFonts w:ascii="Times New Roman" w:eastAsia="宋体" w:hAnsi="Times New Roman" w:hint="eastAsia"/>
                <w:color w:val="000000"/>
              </w:rPr>
              <w:t>按照调整后的募集资金总额</w:t>
            </w:r>
          </w:p>
          <w:p w14:paraId="43433B74" w14:textId="77777777" w:rsidR="00AD5811" w:rsidRDefault="00000000">
            <w:pPr>
              <w:rPr>
                <w:rFonts w:ascii="Times New Roman" w:eastAsia="宋体" w:hAnsi="Times New Roman"/>
                <w:color w:val="000000"/>
              </w:rPr>
            </w:pPr>
            <w:r>
              <w:rPr>
                <w:rFonts w:ascii="Times New Roman" w:eastAsia="宋体" w:hAnsi="Times New Roman" w:hint="eastAsia"/>
                <w:color w:val="000000"/>
              </w:rPr>
              <w:t>和调整后的前提和假设测算</w:t>
            </w:r>
          </w:p>
          <w:p w14:paraId="054CBCAB" w14:textId="77777777" w:rsidR="00AD5811" w:rsidRDefault="00000000">
            <w:pPr>
              <w:rPr>
                <w:rFonts w:ascii="Times New Roman" w:eastAsia="宋体" w:hAnsi="Times New Roman"/>
                <w:color w:val="000000"/>
              </w:rPr>
            </w:pPr>
            <w:r>
              <w:rPr>
                <w:rFonts w:ascii="Times New Roman" w:eastAsia="宋体" w:hAnsi="Times New Roman" w:hint="eastAsia"/>
                <w:color w:val="000000"/>
              </w:rPr>
              <w:t>本次发行摊薄即期回报对公</w:t>
            </w:r>
          </w:p>
          <w:p w14:paraId="6BEE9255" w14:textId="77777777" w:rsidR="00AD5811" w:rsidRDefault="00000000">
            <w:pPr>
              <w:rPr>
                <w:rFonts w:ascii="Times New Roman" w:eastAsia="宋体" w:hAnsi="Times New Roman"/>
                <w:color w:val="000000"/>
              </w:rPr>
            </w:pPr>
            <w:proofErr w:type="gramStart"/>
            <w:r>
              <w:rPr>
                <w:rFonts w:ascii="Times New Roman" w:eastAsia="宋体" w:hAnsi="Times New Roman" w:hint="eastAsia"/>
                <w:color w:val="000000"/>
              </w:rPr>
              <w:t>司主要</w:t>
            </w:r>
            <w:proofErr w:type="gramEnd"/>
            <w:r>
              <w:rPr>
                <w:rFonts w:ascii="Times New Roman" w:eastAsia="宋体" w:hAnsi="Times New Roman" w:hint="eastAsia"/>
                <w:color w:val="000000"/>
              </w:rPr>
              <w:t>财务指标的影响</w:t>
            </w:r>
          </w:p>
        </w:tc>
      </w:tr>
    </w:tbl>
    <w:p w14:paraId="117B9A6F" w14:textId="77777777" w:rsidR="00AD5811" w:rsidRDefault="00000000">
      <w:pPr>
        <w:spacing w:beforeLines="50" w:before="156"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根据公司</w:t>
      </w:r>
      <w:r>
        <w:rPr>
          <w:rFonts w:ascii="Times New Roman" w:eastAsia="宋体" w:hAnsi="Times New Roman" w:hint="eastAsia"/>
          <w:sz w:val="24"/>
          <w:szCs w:val="24"/>
        </w:rPr>
        <w:t>2023</w:t>
      </w:r>
      <w:r>
        <w:rPr>
          <w:rFonts w:ascii="Times New Roman" w:eastAsia="宋体" w:hAnsi="Times New Roman" w:hint="eastAsia"/>
          <w:sz w:val="24"/>
          <w:szCs w:val="24"/>
        </w:rPr>
        <w:t>年第二次临时股东大会的授权，本次修订相关文件事项无需另行提交股东大会审议</w:t>
      </w:r>
      <w:r>
        <w:rPr>
          <w:rFonts w:ascii="Times New Roman" w:eastAsia="宋体" w:hAnsi="Times New Roman"/>
          <w:sz w:val="24"/>
          <w:szCs w:val="24"/>
        </w:rPr>
        <w:t>。</w:t>
      </w:r>
    </w:p>
    <w:p w14:paraId="4DE04D92" w14:textId="77777777" w:rsidR="00AD5811" w:rsidRDefault="00000000">
      <w:pPr>
        <w:spacing w:beforeLines="50" w:before="156"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特此公告。</w:t>
      </w:r>
    </w:p>
    <w:p w14:paraId="310CAB30" w14:textId="77777777" w:rsidR="00AD5811" w:rsidRDefault="00AD5811">
      <w:pPr>
        <w:spacing w:beforeLines="50" w:before="156" w:line="360" w:lineRule="auto"/>
        <w:ind w:firstLineChars="200" w:firstLine="480"/>
        <w:rPr>
          <w:rFonts w:ascii="Times New Roman" w:eastAsia="宋体" w:hAnsi="Times New Roman"/>
          <w:sz w:val="24"/>
          <w:szCs w:val="24"/>
        </w:rPr>
      </w:pPr>
    </w:p>
    <w:p w14:paraId="4E101F69" w14:textId="77777777" w:rsidR="00AD5811" w:rsidRDefault="00000000">
      <w:pPr>
        <w:spacing w:line="360" w:lineRule="auto"/>
        <w:ind w:firstLineChars="200" w:firstLine="480"/>
        <w:jc w:val="right"/>
        <w:rPr>
          <w:rFonts w:ascii="Times New Roman" w:eastAsia="宋体" w:hAnsi="Times New Roman"/>
          <w:sz w:val="24"/>
          <w:szCs w:val="24"/>
        </w:rPr>
      </w:pPr>
      <w:r>
        <w:rPr>
          <w:rFonts w:ascii="Times New Roman" w:eastAsia="宋体" w:hAnsi="Times New Roman" w:hint="eastAsia"/>
          <w:sz w:val="24"/>
          <w:szCs w:val="24"/>
        </w:rPr>
        <w:t>青岛伟隆阀门股份有限公司董事会</w:t>
      </w:r>
    </w:p>
    <w:p w14:paraId="5B91EA37" w14:textId="77777777" w:rsidR="00AD5811" w:rsidRDefault="00000000">
      <w:pPr>
        <w:wordWrap w:val="0"/>
        <w:spacing w:line="360" w:lineRule="auto"/>
        <w:ind w:firstLineChars="200" w:firstLine="480"/>
        <w:jc w:val="right"/>
        <w:rPr>
          <w:rFonts w:ascii="Times New Roman" w:eastAsia="宋体" w:hAnsi="Times New Roman"/>
          <w:sz w:val="24"/>
          <w:szCs w:val="24"/>
        </w:rPr>
      </w:pPr>
      <w:r>
        <w:rPr>
          <w:rFonts w:ascii="Times New Roman" w:eastAsia="宋体" w:hAnsi="Times New Roman" w:hint="eastAsia"/>
          <w:sz w:val="24"/>
          <w:szCs w:val="24"/>
        </w:rPr>
        <w:t>202</w:t>
      </w:r>
      <w:r>
        <w:rPr>
          <w:rFonts w:ascii="Times New Roman" w:eastAsia="宋体" w:hAnsi="Times New Roman"/>
          <w:sz w:val="24"/>
          <w:szCs w:val="24"/>
        </w:rPr>
        <w:t>3</w:t>
      </w:r>
      <w:r>
        <w:rPr>
          <w:rFonts w:ascii="Times New Roman" w:eastAsia="宋体" w:hAnsi="Times New Roman" w:hint="eastAsia"/>
          <w:sz w:val="24"/>
          <w:szCs w:val="24"/>
        </w:rPr>
        <w:t>年</w:t>
      </w:r>
      <w:r>
        <w:rPr>
          <w:rFonts w:ascii="Times New Roman" w:eastAsia="宋体" w:hAnsi="Times New Roman" w:hint="eastAsia"/>
          <w:sz w:val="24"/>
          <w:szCs w:val="24"/>
        </w:rPr>
        <w:t>1</w:t>
      </w:r>
      <w:r>
        <w:rPr>
          <w:rFonts w:ascii="Times New Roman" w:eastAsia="宋体" w:hAnsi="Times New Roman"/>
          <w:sz w:val="24"/>
          <w:szCs w:val="24"/>
        </w:rPr>
        <w:t>2</w:t>
      </w:r>
      <w:r>
        <w:rPr>
          <w:rFonts w:ascii="Times New Roman" w:eastAsia="宋体" w:hAnsi="Times New Roman" w:hint="eastAsia"/>
          <w:sz w:val="24"/>
          <w:szCs w:val="24"/>
        </w:rPr>
        <w:t>月</w:t>
      </w:r>
      <w:r>
        <w:rPr>
          <w:rFonts w:ascii="Times New Roman" w:eastAsia="宋体" w:hAnsi="Times New Roman" w:hint="eastAsia"/>
          <w:sz w:val="24"/>
          <w:szCs w:val="24"/>
        </w:rPr>
        <w:t>29</w:t>
      </w:r>
      <w:r>
        <w:rPr>
          <w:rFonts w:ascii="Times New Roman" w:eastAsia="宋体" w:hAnsi="Times New Roman" w:hint="eastAsia"/>
          <w:sz w:val="24"/>
          <w:szCs w:val="24"/>
        </w:rPr>
        <w:t>日</w:t>
      </w:r>
    </w:p>
    <w:sectPr w:rsidR="00AD5811">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717E" w14:textId="77777777" w:rsidR="00644D01" w:rsidRDefault="00644D01">
      <w:r>
        <w:separator/>
      </w:r>
    </w:p>
  </w:endnote>
  <w:endnote w:type="continuationSeparator" w:id="0">
    <w:p w14:paraId="1391106B" w14:textId="77777777" w:rsidR="00644D01" w:rsidRDefault="0064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23806"/>
    </w:sdtPr>
    <w:sdtContent>
      <w:p w14:paraId="10701165" w14:textId="77777777" w:rsidR="00AD5811" w:rsidRDefault="00000000">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02FF" w14:textId="77777777" w:rsidR="00644D01" w:rsidRDefault="00644D01">
      <w:r>
        <w:separator/>
      </w:r>
    </w:p>
  </w:footnote>
  <w:footnote w:type="continuationSeparator" w:id="0">
    <w:p w14:paraId="697F0800" w14:textId="77777777" w:rsidR="00644D01" w:rsidRDefault="0064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759D" w14:textId="77777777" w:rsidR="00AD5811" w:rsidRDefault="00AD5811">
    <w:pPr>
      <w:pStyle w:val="a9"/>
      <w:pBdr>
        <w:bottom w:val="none" w:sz="0" w:space="1"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TczMDk0NGNiYTAzMzJiY2IzNjYyZDU0Y2MzYzFhYWIifQ=="/>
  </w:docVars>
  <w:rsids>
    <w:rsidRoot w:val="001B5061"/>
    <w:rsid w:val="000330F7"/>
    <w:rsid w:val="00045F51"/>
    <w:rsid w:val="0005062E"/>
    <w:rsid w:val="00051748"/>
    <w:rsid w:val="000543A9"/>
    <w:rsid w:val="00070308"/>
    <w:rsid w:val="000708A7"/>
    <w:rsid w:val="000B6900"/>
    <w:rsid w:val="000D7B47"/>
    <w:rsid w:val="000E7452"/>
    <w:rsid w:val="00106AA2"/>
    <w:rsid w:val="00114899"/>
    <w:rsid w:val="00155B1A"/>
    <w:rsid w:val="001879D5"/>
    <w:rsid w:val="001918C9"/>
    <w:rsid w:val="00194F6B"/>
    <w:rsid w:val="00196792"/>
    <w:rsid w:val="001A3C31"/>
    <w:rsid w:val="001B5061"/>
    <w:rsid w:val="001F7BDD"/>
    <w:rsid w:val="00204482"/>
    <w:rsid w:val="00204A0C"/>
    <w:rsid w:val="002124ED"/>
    <w:rsid w:val="00216E8B"/>
    <w:rsid w:val="002243DB"/>
    <w:rsid w:val="00240205"/>
    <w:rsid w:val="0024280E"/>
    <w:rsid w:val="00246172"/>
    <w:rsid w:val="00270A64"/>
    <w:rsid w:val="00280A60"/>
    <w:rsid w:val="00282E36"/>
    <w:rsid w:val="00295474"/>
    <w:rsid w:val="00295D82"/>
    <w:rsid w:val="002B42C9"/>
    <w:rsid w:val="002D7604"/>
    <w:rsid w:val="002E06BB"/>
    <w:rsid w:val="002E460E"/>
    <w:rsid w:val="002F2C1F"/>
    <w:rsid w:val="002F6867"/>
    <w:rsid w:val="002F7149"/>
    <w:rsid w:val="002F7A2E"/>
    <w:rsid w:val="00303C80"/>
    <w:rsid w:val="00310B53"/>
    <w:rsid w:val="00331E51"/>
    <w:rsid w:val="00333589"/>
    <w:rsid w:val="00345A21"/>
    <w:rsid w:val="003479E5"/>
    <w:rsid w:val="003628FE"/>
    <w:rsid w:val="00366B5E"/>
    <w:rsid w:val="00370925"/>
    <w:rsid w:val="0038134F"/>
    <w:rsid w:val="00385BAF"/>
    <w:rsid w:val="00385BF0"/>
    <w:rsid w:val="003A458D"/>
    <w:rsid w:val="003B20DA"/>
    <w:rsid w:val="003B5D24"/>
    <w:rsid w:val="003C36D8"/>
    <w:rsid w:val="003D0184"/>
    <w:rsid w:val="003D79FF"/>
    <w:rsid w:val="003E240B"/>
    <w:rsid w:val="003E7B79"/>
    <w:rsid w:val="00402E77"/>
    <w:rsid w:val="00442FC1"/>
    <w:rsid w:val="0044414C"/>
    <w:rsid w:val="0044656E"/>
    <w:rsid w:val="00464B0E"/>
    <w:rsid w:val="00496CA7"/>
    <w:rsid w:val="004A2CE9"/>
    <w:rsid w:val="004B5BAB"/>
    <w:rsid w:val="004D0556"/>
    <w:rsid w:val="004D2992"/>
    <w:rsid w:val="004E2A8E"/>
    <w:rsid w:val="004F3830"/>
    <w:rsid w:val="004F54D1"/>
    <w:rsid w:val="005131FE"/>
    <w:rsid w:val="00513BE6"/>
    <w:rsid w:val="00522002"/>
    <w:rsid w:val="00526FFA"/>
    <w:rsid w:val="005272F8"/>
    <w:rsid w:val="00535F9A"/>
    <w:rsid w:val="00541916"/>
    <w:rsid w:val="0054574B"/>
    <w:rsid w:val="00547327"/>
    <w:rsid w:val="00550808"/>
    <w:rsid w:val="0055755A"/>
    <w:rsid w:val="00573B44"/>
    <w:rsid w:val="0057585C"/>
    <w:rsid w:val="00576FB1"/>
    <w:rsid w:val="00577A4B"/>
    <w:rsid w:val="005811F3"/>
    <w:rsid w:val="005A1398"/>
    <w:rsid w:val="005A2681"/>
    <w:rsid w:val="005B0077"/>
    <w:rsid w:val="005C45B5"/>
    <w:rsid w:val="005C4AF2"/>
    <w:rsid w:val="005D7DE1"/>
    <w:rsid w:val="00616018"/>
    <w:rsid w:val="00616B39"/>
    <w:rsid w:val="0062392D"/>
    <w:rsid w:val="00637608"/>
    <w:rsid w:val="00644D01"/>
    <w:rsid w:val="006515F9"/>
    <w:rsid w:val="006538F8"/>
    <w:rsid w:val="006627FE"/>
    <w:rsid w:val="0067101C"/>
    <w:rsid w:val="0067187B"/>
    <w:rsid w:val="00676C94"/>
    <w:rsid w:val="00683360"/>
    <w:rsid w:val="0068483F"/>
    <w:rsid w:val="006A3A49"/>
    <w:rsid w:val="006A5038"/>
    <w:rsid w:val="006A5D62"/>
    <w:rsid w:val="006C6DFE"/>
    <w:rsid w:val="006E6BB7"/>
    <w:rsid w:val="006F0653"/>
    <w:rsid w:val="006F2388"/>
    <w:rsid w:val="00711E49"/>
    <w:rsid w:val="007179C8"/>
    <w:rsid w:val="007267F4"/>
    <w:rsid w:val="00731380"/>
    <w:rsid w:val="00731AA0"/>
    <w:rsid w:val="00732326"/>
    <w:rsid w:val="00733192"/>
    <w:rsid w:val="00745F0D"/>
    <w:rsid w:val="00752ED6"/>
    <w:rsid w:val="0075662F"/>
    <w:rsid w:val="007677C8"/>
    <w:rsid w:val="00770B5C"/>
    <w:rsid w:val="007776C1"/>
    <w:rsid w:val="00796628"/>
    <w:rsid w:val="00796C3A"/>
    <w:rsid w:val="007A56FE"/>
    <w:rsid w:val="007D3C14"/>
    <w:rsid w:val="007E5C6A"/>
    <w:rsid w:val="007F4612"/>
    <w:rsid w:val="00800D52"/>
    <w:rsid w:val="00802541"/>
    <w:rsid w:val="0080310B"/>
    <w:rsid w:val="0081635B"/>
    <w:rsid w:val="008473CB"/>
    <w:rsid w:val="0085422E"/>
    <w:rsid w:val="008563C6"/>
    <w:rsid w:val="00867733"/>
    <w:rsid w:val="00877972"/>
    <w:rsid w:val="00883857"/>
    <w:rsid w:val="008926B9"/>
    <w:rsid w:val="00894AE0"/>
    <w:rsid w:val="00894ED2"/>
    <w:rsid w:val="008A21AA"/>
    <w:rsid w:val="008A3A64"/>
    <w:rsid w:val="008B0672"/>
    <w:rsid w:val="008B4802"/>
    <w:rsid w:val="008B68D9"/>
    <w:rsid w:val="008B7BBC"/>
    <w:rsid w:val="008C143B"/>
    <w:rsid w:val="008E30A8"/>
    <w:rsid w:val="00904EA5"/>
    <w:rsid w:val="009128E6"/>
    <w:rsid w:val="00927AC2"/>
    <w:rsid w:val="00945707"/>
    <w:rsid w:val="009459FF"/>
    <w:rsid w:val="00961941"/>
    <w:rsid w:val="009668D2"/>
    <w:rsid w:val="00967D00"/>
    <w:rsid w:val="00994C03"/>
    <w:rsid w:val="00995BDE"/>
    <w:rsid w:val="00996893"/>
    <w:rsid w:val="009B4BD7"/>
    <w:rsid w:val="009B78DB"/>
    <w:rsid w:val="009C4DFD"/>
    <w:rsid w:val="009E09CF"/>
    <w:rsid w:val="009F0C59"/>
    <w:rsid w:val="009F23F5"/>
    <w:rsid w:val="00A05501"/>
    <w:rsid w:val="00A06C37"/>
    <w:rsid w:val="00A44072"/>
    <w:rsid w:val="00A47852"/>
    <w:rsid w:val="00A62DAC"/>
    <w:rsid w:val="00A70CD1"/>
    <w:rsid w:val="00A7293C"/>
    <w:rsid w:val="00A86A09"/>
    <w:rsid w:val="00A91A70"/>
    <w:rsid w:val="00A9279C"/>
    <w:rsid w:val="00AA190C"/>
    <w:rsid w:val="00AA5182"/>
    <w:rsid w:val="00AA7632"/>
    <w:rsid w:val="00AC121D"/>
    <w:rsid w:val="00AD4F96"/>
    <w:rsid w:val="00AD5811"/>
    <w:rsid w:val="00AF3796"/>
    <w:rsid w:val="00AF7188"/>
    <w:rsid w:val="00AF7877"/>
    <w:rsid w:val="00B0713D"/>
    <w:rsid w:val="00B10DB9"/>
    <w:rsid w:val="00B15714"/>
    <w:rsid w:val="00B2270C"/>
    <w:rsid w:val="00B232D5"/>
    <w:rsid w:val="00B316E2"/>
    <w:rsid w:val="00B42DD9"/>
    <w:rsid w:val="00B54AF3"/>
    <w:rsid w:val="00B6002D"/>
    <w:rsid w:val="00B73FD0"/>
    <w:rsid w:val="00B75A9A"/>
    <w:rsid w:val="00B77F0B"/>
    <w:rsid w:val="00BA4DB5"/>
    <w:rsid w:val="00BB4B4D"/>
    <w:rsid w:val="00BC2278"/>
    <w:rsid w:val="00BD1A1F"/>
    <w:rsid w:val="00BE3560"/>
    <w:rsid w:val="00BE468F"/>
    <w:rsid w:val="00BF3B24"/>
    <w:rsid w:val="00BF72CF"/>
    <w:rsid w:val="00C007FB"/>
    <w:rsid w:val="00C12893"/>
    <w:rsid w:val="00C160EC"/>
    <w:rsid w:val="00C20315"/>
    <w:rsid w:val="00C524E9"/>
    <w:rsid w:val="00C65D7E"/>
    <w:rsid w:val="00CB0FF8"/>
    <w:rsid w:val="00CB202A"/>
    <w:rsid w:val="00CC5780"/>
    <w:rsid w:val="00CC584E"/>
    <w:rsid w:val="00CE4463"/>
    <w:rsid w:val="00CF70BC"/>
    <w:rsid w:val="00D10FEC"/>
    <w:rsid w:val="00D1272D"/>
    <w:rsid w:val="00D15081"/>
    <w:rsid w:val="00D35839"/>
    <w:rsid w:val="00D36E55"/>
    <w:rsid w:val="00D44E8C"/>
    <w:rsid w:val="00D520D8"/>
    <w:rsid w:val="00D66726"/>
    <w:rsid w:val="00D9136F"/>
    <w:rsid w:val="00D96870"/>
    <w:rsid w:val="00D96C44"/>
    <w:rsid w:val="00DA506F"/>
    <w:rsid w:val="00DB046D"/>
    <w:rsid w:val="00DB3778"/>
    <w:rsid w:val="00DB5240"/>
    <w:rsid w:val="00DC0486"/>
    <w:rsid w:val="00DC19BC"/>
    <w:rsid w:val="00DE12AF"/>
    <w:rsid w:val="00E15068"/>
    <w:rsid w:val="00E26DE9"/>
    <w:rsid w:val="00E312C7"/>
    <w:rsid w:val="00E3210A"/>
    <w:rsid w:val="00E5758D"/>
    <w:rsid w:val="00E619DC"/>
    <w:rsid w:val="00E61C12"/>
    <w:rsid w:val="00E6500E"/>
    <w:rsid w:val="00EC0CEF"/>
    <w:rsid w:val="00EC3FA3"/>
    <w:rsid w:val="00ED4578"/>
    <w:rsid w:val="00EF15B1"/>
    <w:rsid w:val="00EF3262"/>
    <w:rsid w:val="00F0627C"/>
    <w:rsid w:val="00F1299B"/>
    <w:rsid w:val="00F14EA8"/>
    <w:rsid w:val="00F2008F"/>
    <w:rsid w:val="00F250A6"/>
    <w:rsid w:val="00F71FF3"/>
    <w:rsid w:val="00F82D9C"/>
    <w:rsid w:val="00F86D8B"/>
    <w:rsid w:val="00F9096C"/>
    <w:rsid w:val="00FD0914"/>
    <w:rsid w:val="00FE6EDA"/>
    <w:rsid w:val="00FF17FE"/>
    <w:rsid w:val="01536744"/>
    <w:rsid w:val="01C901A1"/>
    <w:rsid w:val="04310280"/>
    <w:rsid w:val="04DE0A7C"/>
    <w:rsid w:val="05243941"/>
    <w:rsid w:val="05860158"/>
    <w:rsid w:val="05AD1FD6"/>
    <w:rsid w:val="05D3221B"/>
    <w:rsid w:val="0692239F"/>
    <w:rsid w:val="07724E37"/>
    <w:rsid w:val="078E60B0"/>
    <w:rsid w:val="08602EE2"/>
    <w:rsid w:val="099E0166"/>
    <w:rsid w:val="0B3E247C"/>
    <w:rsid w:val="0B641412"/>
    <w:rsid w:val="0C9F0068"/>
    <w:rsid w:val="0D0958DF"/>
    <w:rsid w:val="0D44638A"/>
    <w:rsid w:val="0DC2772E"/>
    <w:rsid w:val="0E1E3623"/>
    <w:rsid w:val="0E5C2EA3"/>
    <w:rsid w:val="0ECF37DA"/>
    <w:rsid w:val="0EE90CE7"/>
    <w:rsid w:val="100625C1"/>
    <w:rsid w:val="11346136"/>
    <w:rsid w:val="11F456DF"/>
    <w:rsid w:val="13610D95"/>
    <w:rsid w:val="14B720DC"/>
    <w:rsid w:val="14EA24B1"/>
    <w:rsid w:val="17AC64CD"/>
    <w:rsid w:val="18F51424"/>
    <w:rsid w:val="190D676E"/>
    <w:rsid w:val="19BA0982"/>
    <w:rsid w:val="1A3E68F9"/>
    <w:rsid w:val="1AAD03C0"/>
    <w:rsid w:val="1B9F4B59"/>
    <w:rsid w:val="1DF55935"/>
    <w:rsid w:val="1E116D00"/>
    <w:rsid w:val="1E2C2AE4"/>
    <w:rsid w:val="207F545C"/>
    <w:rsid w:val="20C95670"/>
    <w:rsid w:val="20FE0166"/>
    <w:rsid w:val="21BB3108"/>
    <w:rsid w:val="22F83FEB"/>
    <w:rsid w:val="23DA65EE"/>
    <w:rsid w:val="2553169E"/>
    <w:rsid w:val="275E7CA6"/>
    <w:rsid w:val="278840B9"/>
    <w:rsid w:val="29515FD8"/>
    <w:rsid w:val="29B85D70"/>
    <w:rsid w:val="29FF6145"/>
    <w:rsid w:val="2AB85954"/>
    <w:rsid w:val="2BBB474F"/>
    <w:rsid w:val="2DB70B4C"/>
    <w:rsid w:val="2DEC6FB2"/>
    <w:rsid w:val="2EDA6090"/>
    <w:rsid w:val="2FA04857"/>
    <w:rsid w:val="2FB35E69"/>
    <w:rsid w:val="2FD35683"/>
    <w:rsid w:val="30A86F6B"/>
    <w:rsid w:val="31CC2699"/>
    <w:rsid w:val="31F6113B"/>
    <w:rsid w:val="32187DCF"/>
    <w:rsid w:val="326B3DF4"/>
    <w:rsid w:val="32EB591A"/>
    <w:rsid w:val="33845A2F"/>
    <w:rsid w:val="33C1781F"/>
    <w:rsid w:val="34384913"/>
    <w:rsid w:val="35E8422B"/>
    <w:rsid w:val="36F01751"/>
    <w:rsid w:val="38F92413"/>
    <w:rsid w:val="3927723D"/>
    <w:rsid w:val="39E44AFA"/>
    <w:rsid w:val="3A672EAF"/>
    <w:rsid w:val="3ADC48A5"/>
    <w:rsid w:val="3B9A0AE5"/>
    <w:rsid w:val="3BF10DE2"/>
    <w:rsid w:val="3C1E28BD"/>
    <w:rsid w:val="3D7B244D"/>
    <w:rsid w:val="3E5F3B90"/>
    <w:rsid w:val="3E781AF4"/>
    <w:rsid w:val="3EF20030"/>
    <w:rsid w:val="3F9F261C"/>
    <w:rsid w:val="3FCE54EA"/>
    <w:rsid w:val="413254D7"/>
    <w:rsid w:val="41A73354"/>
    <w:rsid w:val="42333392"/>
    <w:rsid w:val="429E4757"/>
    <w:rsid w:val="43C16BFA"/>
    <w:rsid w:val="447C2876"/>
    <w:rsid w:val="44CF520A"/>
    <w:rsid w:val="451E0B93"/>
    <w:rsid w:val="456D0411"/>
    <w:rsid w:val="459C0CF6"/>
    <w:rsid w:val="48915DBF"/>
    <w:rsid w:val="48F50EEE"/>
    <w:rsid w:val="49AF19AB"/>
    <w:rsid w:val="4AF011F3"/>
    <w:rsid w:val="4B49722A"/>
    <w:rsid w:val="4B755AA9"/>
    <w:rsid w:val="4C1B13CB"/>
    <w:rsid w:val="4D215EA9"/>
    <w:rsid w:val="4EE5136E"/>
    <w:rsid w:val="4F3F445D"/>
    <w:rsid w:val="50FB0FC7"/>
    <w:rsid w:val="511441DC"/>
    <w:rsid w:val="5120073C"/>
    <w:rsid w:val="518B495D"/>
    <w:rsid w:val="52305227"/>
    <w:rsid w:val="53373E0C"/>
    <w:rsid w:val="53A87C9E"/>
    <w:rsid w:val="541B0891"/>
    <w:rsid w:val="56421C87"/>
    <w:rsid w:val="565A678F"/>
    <w:rsid w:val="5687357E"/>
    <w:rsid w:val="58BF0B2C"/>
    <w:rsid w:val="59702C2C"/>
    <w:rsid w:val="5C593045"/>
    <w:rsid w:val="5DE769AD"/>
    <w:rsid w:val="5E4841B1"/>
    <w:rsid w:val="5ECB2C68"/>
    <w:rsid w:val="5EEC5FB1"/>
    <w:rsid w:val="5F8F7416"/>
    <w:rsid w:val="603040BD"/>
    <w:rsid w:val="61CF3ABC"/>
    <w:rsid w:val="61E12FCC"/>
    <w:rsid w:val="62BF34C7"/>
    <w:rsid w:val="62E21FE6"/>
    <w:rsid w:val="632C01F7"/>
    <w:rsid w:val="63E8105D"/>
    <w:rsid w:val="63FF44D2"/>
    <w:rsid w:val="65197815"/>
    <w:rsid w:val="651C27F5"/>
    <w:rsid w:val="65736F26"/>
    <w:rsid w:val="659F41BF"/>
    <w:rsid w:val="676618E7"/>
    <w:rsid w:val="67DD4140"/>
    <w:rsid w:val="681A3FD0"/>
    <w:rsid w:val="68FB5BB0"/>
    <w:rsid w:val="69034A64"/>
    <w:rsid w:val="69093BDE"/>
    <w:rsid w:val="69673DB9"/>
    <w:rsid w:val="69C42446"/>
    <w:rsid w:val="6A1D1B56"/>
    <w:rsid w:val="6B6B7D73"/>
    <w:rsid w:val="6B713F07"/>
    <w:rsid w:val="6BD5744B"/>
    <w:rsid w:val="6D646B50"/>
    <w:rsid w:val="6D8223FC"/>
    <w:rsid w:val="6E155A2E"/>
    <w:rsid w:val="6ECC5C6E"/>
    <w:rsid w:val="6ECD3B4B"/>
    <w:rsid w:val="6F8B7DFD"/>
    <w:rsid w:val="6FEB5B2B"/>
    <w:rsid w:val="70386C15"/>
    <w:rsid w:val="75DF4163"/>
    <w:rsid w:val="76C2648A"/>
    <w:rsid w:val="783267CC"/>
    <w:rsid w:val="7A5073DE"/>
    <w:rsid w:val="7BB876E4"/>
    <w:rsid w:val="7C5F6AEC"/>
    <w:rsid w:val="7E236328"/>
    <w:rsid w:val="7E7A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2D60"/>
  <w15:docId w15:val="{03B42C80-2F6D-4CBA-A5E3-C5D3280D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autoRedefine/>
    <w:uiPriority w:val="10"/>
    <w:qFormat/>
    <w:pPr>
      <w:spacing w:before="240" w:after="60"/>
      <w:jc w:val="center"/>
      <w:outlineLvl w:val="0"/>
    </w:pPr>
    <w:rPr>
      <w:rFonts w:asciiTheme="majorHAnsi" w:eastAsia="宋体" w:hAnsiTheme="majorHAnsi" w:cstheme="majorBidi"/>
      <w:b/>
      <w:bCs/>
      <w:sz w:val="32"/>
      <w:szCs w:val="32"/>
    </w:r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iPriority w:val="99"/>
    <w:semiHidden/>
    <w:unhideWhenUsed/>
    <w:qFormat/>
    <w:rPr>
      <w:sz w:val="21"/>
      <w:szCs w:val="21"/>
    </w:rPr>
  </w:style>
  <w:style w:type="character" w:customStyle="1" w:styleId="20">
    <w:name w:val="标题 2 字符"/>
    <w:basedOn w:val="a0"/>
    <w:link w:val="2"/>
    <w:autoRedefine/>
    <w:uiPriority w:val="9"/>
    <w:semiHidden/>
    <w:qFormat/>
    <w:rPr>
      <w:rFonts w:asciiTheme="majorHAnsi" w:eastAsiaTheme="majorEastAsia" w:hAnsiTheme="majorHAnsi" w:cstheme="majorBidi"/>
      <w:b/>
      <w:bCs/>
      <w:kern w:val="2"/>
      <w:sz w:val="32"/>
      <w:szCs w:val="32"/>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d">
    <w:name w:val="标题 字符"/>
    <w:basedOn w:val="a0"/>
    <w:link w:val="ac"/>
    <w:autoRedefine/>
    <w:uiPriority w:val="10"/>
    <w:qFormat/>
    <w:rPr>
      <w:rFonts w:asciiTheme="majorHAnsi" w:eastAsia="宋体" w:hAnsiTheme="majorHAnsi" w:cstheme="majorBidi"/>
      <w:b/>
      <w:bCs/>
      <w:sz w:val="32"/>
      <w:szCs w:val="32"/>
    </w:rPr>
  </w:style>
  <w:style w:type="paragraph" w:customStyle="1" w:styleId="Default">
    <w:name w:val="Default"/>
    <w:autoRedefine/>
    <w:qFormat/>
    <w:pPr>
      <w:autoSpaceDE w:val="0"/>
      <w:autoSpaceDN w:val="0"/>
    </w:pPr>
    <w:rPr>
      <w:rFonts w:ascii="宋体" w:hAnsi="宋体" w:cstheme="minorBidi"/>
      <w:color w:val="000000"/>
      <w:sz w:val="24"/>
      <w:szCs w:val="24"/>
    </w:rPr>
  </w:style>
  <w:style w:type="character" w:customStyle="1" w:styleId="a4">
    <w:name w:val="批注文字 字符"/>
    <w:basedOn w:val="a0"/>
    <w:link w:val="a3"/>
    <w:autoRedefine/>
    <w:uiPriority w:val="99"/>
    <w:qFormat/>
    <w:rPr>
      <w:rFonts w:asciiTheme="minorHAnsi" w:eastAsiaTheme="minorEastAsia" w:hAnsiTheme="minorHAnsi" w:cstheme="minorBidi"/>
      <w:kern w:val="2"/>
      <w:sz w:val="21"/>
      <w:szCs w:val="22"/>
    </w:rPr>
  </w:style>
  <w:style w:type="character" w:customStyle="1" w:styleId="af">
    <w:name w:val="批注主题 字符"/>
    <w:basedOn w:val="a4"/>
    <w:link w:val="ae"/>
    <w:autoRedefine/>
    <w:uiPriority w:val="99"/>
    <w:semiHidden/>
    <w:qFormat/>
    <w:rPr>
      <w:rFonts w:asciiTheme="minorHAnsi" w:eastAsiaTheme="minorEastAsia" w:hAnsiTheme="minorHAnsi" w:cstheme="minorBidi"/>
      <w:b/>
      <w:bCs/>
      <w:kern w:val="2"/>
      <w:sz w:val="21"/>
      <w:szCs w:val="22"/>
    </w:rPr>
  </w:style>
  <w:style w:type="character" w:customStyle="1" w:styleId="a6">
    <w:name w:val="批注框文本 字符"/>
    <w:basedOn w:val="a0"/>
    <w:link w:val="a5"/>
    <w:autoRedefine/>
    <w:uiPriority w:val="99"/>
    <w:semiHidden/>
    <w:qFormat/>
    <w:rPr>
      <w:rFonts w:asciiTheme="minorHAnsi" w:eastAsiaTheme="minorEastAsia" w:hAnsiTheme="minorHAnsi" w:cstheme="minorBidi"/>
      <w:kern w:val="2"/>
      <w:sz w:val="18"/>
      <w:szCs w:val="18"/>
    </w:rPr>
  </w:style>
  <w:style w:type="paragraph" w:styleId="af3">
    <w:name w:val="List Paragraph"/>
    <w:basedOn w:val="a"/>
    <w:autoRedefine/>
    <w:uiPriority w:val="34"/>
    <w:qFormat/>
    <w:pPr>
      <w:ind w:firstLineChars="200" w:firstLine="420"/>
    </w:pPr>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character" w:customStyle="1" w:styleId="jin2Char">
    <w:name w:val="jin2 Char"/>
    <w:link w:val="jin2"/>
    <w:autoRedefine/>
    <w:qFormat/>
    <w:rPr>
      <w:b/>
      <w:bCs/>
      <w:sz w:val="28"/>
      <w:szCs w:val="28"/>
    </w:rPr>
  </w:style>
  <w:style w:type="paragraph" w:customStyle="1" w:styleId="jin2">
    <w:name w:val="jin2"/>
    <w:basedOn w:val="2"/>
    <w:link w:val="jin2Char"/>
    <w:autoRedefine/>
    <w:qFormat/>
    <w:pPr>
      <w:widowControl/>
      <w:spacing w:before="120" w:after="120" w:line="410" w:lineRule="auto"/>
      <w:jc w:val="left"/>
    </w:pPr>
    <w:rPr>
      <w:rFonts w:ascii="Times New Roman" w:eastAsia="宋体" w:hAnsi="Times New Roman" w:cs="Times New Roman"/>
      <w:kern w:val="0"/>
      <w:sz w:val="28"/>
      <w:szCs w:val="28"/>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
    <w:name w:val="修订3"/>
    <w:autoRedefine/>
    <w:hidden/>
    <w:uiPriority w:val="99"/>
    <w:unhideWhenUsed/>
    <w:qFormat/>
    <w:rPr>
      <w:rFonts w:asciiTheme="minorHAnsi" w:eastAsiaTheme="minorEastAsia" w:hAnsiTheme="minorHAnsi" w:cstheme="minorBidi"/>
      <w:kern w:val="2"/>
      <w:sz w:val="21"/>
      <w:szCs w:val="22"/>
    </w:rPr>
  </w:style>
  <w:style w:type="paragraph" w:customStyle="1" w:styleId="4">
    <w:name w:val="修订4"/>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wangzhi</dc:creator>
  <cp:lastModifiedBy>何帅047185</cp:lastModifiedBy>
  <cp:revision>230</cp:revision>
  <dcterms:created xsi:type="dcterms:W3CDTF">2018-08-07T03:24:00Z</dcterms:created>
  <dcterms:modified xsi:type="dcterms:W3CDTF">2023-12-28T02:02:00Z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DC63111F1C62409C8D2EAEEF165B4EBF</vt:lpwstr>
  </property>
</Properties>
</file>