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F352" w14:textId="77777777" w:rsidR="0078606C" w:rsidRDefault="00000000">
      <w:pPr>
        <w:autoSpaceDE w:val="0"/>
        <w:autoSpaceDN w:val="0"/>
        <w:spacing w:beforeLines="50" w:before="120" w:afterLines="50" w:after="120" w:line="360" w:lineRule="auto"/>
        <w:jc w:val="center"/>
        <w:rPr>
          <w:rFonts w:asciiTheme="minorEastAsia" w:eastAsiaTheme="minorEastAsia" w:hAnsiTheme="minorEastAsia" w:cs="Times New Roman"/>
          <w:szCs w:val="23"/>
        </w:rPr>
      </w:pPr>
      <w:r>
        <w:rPr>
          <w:rFonts w:asciiTheme="minorEastAsia" w:eastAsiaTheme="minorEastAsia" w:hAnsiTheme="minorEastAsia" w:cs="Times New Roman" w:hint="eastAsia"/>
          <w:szCs w:val="23"/>
        </w:rPr>
        <w:t>证券代码：002871           证券简称：伟隆股份     公告编号：202</w:t>
      </w:r>
      <w:r>
        <w:rPr>
          <w:rFonts w:asciiTheme="minorEastAsia" w:eastAsiaTheme="minorEastAsia" w:hAnsiTheme="minorEastAsia" w:cs="Times New Roman"/>
          <w:szCs w:val="23"/>
        </w:rPr>
        <w:t>3</w:t>
      </w:r>
      <w:r>
        <w:rPr>
          <w:rFonts w:asciiTheme="minorEastAsia" w:eastAsiaTheme="minorEastAsia" w:hAnsiTheme="minorEastAsia" w:cs="Times New Roman" w:hint="eastAsia"/>
          <w:szCs w:val="23"/>
        </w:rPr>
        <w:t>-1</w:t>
      </w:r>
      <w:r>
        <w:rPr>
          <w:rFonts w:asciiTheme="minorEastAsia" w:eastAsiaTheme="minorEastAsia" w:hAnsiTheme="minorEastAsia" w:cs="Times New Roman"/>
          <w:szCs w:val="23"/>
        </w:rPr>
        <w:t>22</w:t>
      </w:r>
    </w:p>
    <w:p w14:paraId="295543BE" w14:textId="77777777" w:rsidR="0078606C" w:rsidRDefault="00000000">
      <w:pPr>
        <w:spacing w:beforeLines="50" w:before="120" w:afterLines="50" w:after="120" w:line="360" w:lineRule="auto"/>
        <w:jc w:val="center"/>
        <w:rPr>
          <w:rFonts w:asciiTheme="minorEastAsia" w:eastAsiaTheme="minorEastAsia" w:hAnsiTheme="minorEastAsia"/>
          <w:b/>
          <w:bCs/>
          <w:sz w:val="28"/>
        </w:rPr>
      </w:pPr>
      <w:r>
        <w:rPr>
          <w:rFonts w:asciiTheme="minorEastAsia" w:eastAsiaTheme="minorEastAsia" w:hAnsiTheme="minorEastAsia" w:hint="eastAsia"/>
          <w:b/>
          <w:bCs/>
          <w:sz w:val="28"/>
        </w:rPr>
        <w:t>青岛伟隆阀门股份有限公司</w:t>
      </w:r>
    </w:p>
    <w:p w14:paraId="47149748" w14:textId="77777777" w:rsidR="0078606C" w:rsidRDefault="00000000">
      <w:pPr>
        <w:spacing w:beforeLines="50" w:before="120" w:afterLines="50" w:after="120" w:line="360" w:lineRule="auto"/>
        <w:jc w:val="center"/>
        <w:rPr>
          <w:rFonts w:asciiTheme="minorEastAsia" w:eastAsiaTheme="minorEastAsia" w:hAnsiTheme="minorEastAsia"/>
          <w:b/>
          <w:bCs/>
          <w:sz w:val="28"/>
        </w:rPr>
      </w:pPr>
      <w:r>
        <w:rPr>
          <w:rFonts w:asciiTheme="minorEastAsia" w:eastAsiaTheme="minorEastAsia" w:hAnsiTheme="minorEastAsia" w:hint="eastAsia"/>
          <w:b/>
          <w:bCs/>
          <w:sz w:val="28"/>
        </w:rPr>
        <w:t>第四届监事会第二十三次会议决议的公告</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8606C" w14:paraId="1F227F83" w14:textId="77777777">
        <w:trPr>
          <w:trHeight w:val="828"/>
          <w:jc w:val="center"/>
        </w:trPr>
        <w:tc>
          <w:tcPr>
            <w:tcW w:w="8522" w:type="dxa"/>
            <w:tcBorders>
              <w:top w:val="single" w:sz="4" w:space="0" w:color="auto"/>
              <w:left w:val="single" w:sz="4" w:space="0" w:color="auto"/>
              <w:bottom w:val="single" w:sz="4" w:space="0" w:color="auto"/>
              <w:right w:val="single" w:sz="4" w:space="0" w:color="auto"/>
            </w:tcBorders>
          </w:tcPr>
          <w:p w14:paraId="7BFC7507" w14:textId="77777777" w:rsidR="0078606C" w:rsidRDefault="00000000">
            <w:pPr>
              <w:autoSpaceDE w:val="0"/>
              <w:autoSpaceDN w:val="0"/>
              <w:spacing w:beforeLines="50" w:before="120" w:afterLines="50" w:after="120"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本公司及监事会全体成员保证信息披露内容的真实、准确和完整，没有虚假记载、误导性陈述或重大遗漏。</w:t>
            </w:r>
          </w:p>
        </w:tc>
      </w:tr>
    </w:tbl>
    <w:p w14:paraId="098282B6" w14:textId="77777777" w:rsidR="0078606C" w:rsidRDefault="00000000">
      <w:pPr>
        <w:spacing w:beforeLines="50" w:before="120" w:afterLines="50" w:after="120" w:line="360" w:lineRule="auto"/>
        <w:ind w:firstLineChars="200" w:firstLine="482"/>
        <w:rPr>
          <w:rFonts w:asciiTheme="minorEastAsia" w:eastAsiaTheme="minorEastAsia" w:hAnsiTheme="minorEastAsia"/>
          <w:b/>
          <w:szCs w:val="23"/>
        </w:rPr>
      </w:pPr>
      <w:r>
        <w:rPr>
          <w:rFonts w:asciiTheme="minorEastAsia" w:eastAsiaTheme="minorEastAsia" w:hAnsiTheme="minorEastAsia" w:hint="eastAsia"/>
          <w:b/>
          <w:szCs w:val="23"/>
        </w:rPr>
        <w:t>一、监事会会议召开情况</w:t>
      </w:r>
    </w:p>
    <w:p w14:paraId="6EDD237B" w14:textId="56F60120" w:rsidR="0078606C" w:rsidRDefault="00000000">
      <w:pPr>
        <w:spacing w:beforeLines="50" w:before="120" w:afterLines="50" w:after="120" w:line="360" w:lineRule="auto"/>
        <w:ind w:firstLineChars="200" w:firstLine="480"/>
        <w:jc w:val="both"/>
        <w:rPr>
          <w:rFonts w:asciiTheme="minorEastAsia" w:eastAsiaTheme="minorEastAsia" w:hAnsiTheme="minorEastAsia"/>
          <w:szCs w:val="23"/>
        </w:rPr>
      </w:pPr>
      <w:r>
        <w:rPr>
          <w:rFonts w:asciiTheme="minorEastAsia" w:eastAsiaTheme="minorEastAsia" w:hAnsiTheme="minorEastAsia" w:hint="eastAsia"/>
          <w:szCs w:val="23"/>
        </w:rPr>
        <w:t>青岛伟隆阀门股份有限公司（以下称“公司”）第四届监事会第二十三次会议通知于202</w:t>
      </w:r>
      <w:r>
        <w:rPr>
          <w:rFonts w:asciiTheme="minorEastAsia" w:eastAsiaTheme="minorEastAsia" w:hAnsiTheme="minorEastAsia"/>
          <w:szCs w:val="23"/>
        </w:rPr>
        <w:t>3</w:t>
      </w:r>
      <w:r>
        <w:rPr>
          <w:rFonts w:asciiTheme="minorEastAsia" w:eastAsiaTheme="minorEastAsia" w:hAnsiTheme="minorEastAsia" w:hint="eastAsia"/>
          <w:szCs w:val="23"/>
        </w:rPr>
        <w:t>年12月22日通过专人送达、电子邮件等方式送达给监事和高级管理人员。会议于202</w:t>
      </w:r>
      <w:r>
        <w:rPr>
          <w:rFonts w:asciiTheme="minorEastAsia" w:eastAsiaTheme="minorEastAsia" w:hAnsiTheme="minorEastAsia"/>
          <w:szCs w:val="23"/>
        </w:rPr>
        <w:t>3</w:t>
      </w:r>
      <w:r>
        <w:rPr>
          <w:rFonts w:asciiTheme="minorEastAsia" w:eastAsiaTheme="minorEastAsia" w:hAnsiTheme="minorEastAsia" w:hint="eastAsia"/>
          <w:szCs w:val="23"/>
        </w:rPr>
        <w:t>年12月28日上午</w:t>
      </w:r>
      <w:r>
        <w:rPr>
          <w:rFonts w:asciiTheme="minorEastAsia" w:eastAsiaTheme="minorEastAsia" w:hAnsiTheme="minorEastAsia"/>
          <w:szCs w:val="23"/>
        </w:rPr>
        <w:t>9</w:t>
      </w:r>
      <w:r>
        <w:rPr>
          <w:rFonts w:asciiTheme="minorEastAsia" w:eastAsiaTheme="minorEastAsia" w:hAnsiTheme="minorEastAsia" w:hint="eastAsia"/>
          <w:szCs w:val="23"/>
        </w:rPr>
        <w:t>时在公司会议室以现场和通讯方式召开。本次会议应到监事</w:t>
      </w:r>
      <w:r>
        <w:rPr>
          <w:rFonts w:asciiTheme="minorEastAsia" w:eastAsiaTheme="minorEastAsia" w:hAnsiTheme="minorEastAsia"/>
          <w:szCs w:val="23"/>
        </w:rPr>
        <w:t>3</w:t>
      </w:r>
      <w:r>
        <w:rPr>
          <w:rFonts w:asciiTheme="minorEastAsia" w:eastAsiaTheme="minorEastAsia" w:hAnsiTheme="minorEastAsia" w:hint="eastAsia"/>
          <w:szCs w:val="23"/>
        </w:rPr>
        <w:t>名，实到</w:t>
      </w:r>
      <w:r>
        <w:rPr>
          <w:rFonts w:asciiTheme="minorEastAsia" w:eastAsiaTheme="minorEastAsia" w:hAnsiTheme="minorEastAsia"/>
          <w:szCs w:val="23"/>
        </w:rPr>
        <w:t>3</w:t>
      </w:r>
      <w:r>
        <w:rPr>
          <w:rFonts w:asciiTheme="minorEastAsia" w:eastAsiaTheme="minorEastAsia" w:hAnsiTheme="minorEastAsia" w:hint="eastAsia"/>
          <w:szCs w:val="23"/>
        </w:rPr>
        <w:t>名。会议由监事长于春红女士召集和主持。会议的召集、召开及表决程序符合《中华人民共和国公司法》及《青岛伟隆阀门股份有限公司章程》的规定，合法有效。</w:t>
      </w:r>
    </w:p>
    <w:p w14:paraId="34A71BB2" w14:textId="77777777" w:rsidR="0078606C" w:rsidRDefault="00000000">
      <w:pPr>
        <w:spacing w:beforeLines="50" w:before="120" w:afterLines="50" w:after="120" w:line="360" w:lineRule="auto"/>
        <w:ind w:firstLineChars="200" w:firstLine="482"/>
        <w:rPr>
          <w:rFonts w:asciiTheme="minorEastAsia" w:eastAsiaTheme="minorEastAsia" w:hAnsiTheme="minorEastAsia"/>
          <w:b/>
          <w:szCs w:val="23"/>
        </w:rPr>
      </w:pPr>
      <w:r>
        <w:rPr>
          <w:rFonts w:asciiTheme="minorEastAsia" w:eastAsiaTheme="minorEastAsia" w:hAnsiTheme="minorEastAsia" w:hint="eastAsia"/>
          <w:b/>
          <w:szCs w:val="23"/>
        </w:rPr>
        <w:t>二、监事会会议审议情况</w:t>
      </w:r>
    </w:p>
    <w:p w14:paraId="09DE58CE" w14:textId="77777777" w:rsidR="0078606C" w:rsidRDefault="00000000">
      <w:pPr>
        <w:spacing w:beforeLines="50" w:before="120" w:afterLines="50" w:after="120" w:line="360" w:lineRule="auto"/>
        <w:ind w:firstLineChars="200" w:firstLine="480"/>
        <w:jc w:val="both"/>
        <w:rPr>
          <w:rFonts w:asciiTheme="minorEastAsia" w:eastAsiaTheme="minorEastAsia" w:hAnsiTheme="minorEastAsia"/>
          <w:szCs w:val="23"/>
        </w:rPr>
      </w:pPr>
      <w:r>
        <w:rPr>
          <w:rFonts w:asciiTheme="minorEastAsia" w:eastAsiaTheme="minorEastAsia" w:hAnsiTheme="minorEastAsia" w:hint="eastAsia"/>
          <w:szCs w:val="23"/>
        </w:rPr>
        <w:t>经与会监事充分的讨论和审议本次会议议案并表决，形成如下决议：</w:t>
      </w:r>
    </w:p>
    <w:p w14:paraId="217781B8" w14:textId="77777777" w:rsidR="00DF6652" w:rsidRPr="006143AE" w:rsidRDefault="00DF6652" w:rsidP="00DF6652">
      <w:pPr>
        <w:spacing w:beforeLines="50" w:before="120" w:afterLines="50" w:after="120" w:line="360" w:lineRule="auto"/>
        <w:ind w:firstLine="570"/>
        <w:rPr>
          <w:rFonts w:ascii="Times New Roman" w:hAnsi="Times New Roman" w:cs="Times New Roman"/>
        </w:rPr>
      </w:pPr>
      <w:r w:rsidRPr="006143AE">
        <w:rPr>
          <w:rFonts w:ascii="Times New Roman" w:hAnsi="Times New Roman" w:cs="Times New Roman"/>
          <w:b/>
          <w:bCs/>
          <w:szCs w:val="23"/>
        </w:rPr>
        <w:t>（一）审议通过</w:t>
      </w:r>
      <w:r w:rsidRPr="00080123">
        <w:rPr>
          <w:rFonts w:ascii="Times New Roman" w:hAnsi="Times New Roman" w:cs="Times New Roman" w:hint="eastAsia"/>
          <w:b/>
          <w:bCs/>
          <w:szCs w:val="22"/>
        </w:rPr>
        <w:t>《关于修订</w:t>
      </w:r>
      <w:r w:rsidRPr="00080123">
        <w:rPr>
          <w:rFonts w:ascii="Times New Roman" w:hAnsi="Times New Roman" w:cs="Times New Roman"/>
          <w:b/>
          <w:bCs/>
          <w:szCs w:val="22"/>
        </w:rPr>
        <w:t>&lt;</w:t>
      </w:r>
      <w:r w:rsidRPr="00080123">
        <w:rPr>
          <w:rFonts w:ascii="Times New Roman" w:hAnsi="Times New Roman" w:cs="Times New Roman"/>
          <w:b/>
          <w:bCs/>
          <w:szCs w:val="22"/>
        </w:rPr>
        <w:t>公司向不特定对象发行可转换公司债券方案</w:t>
      </w:r>
      <w:r w:rsidRPr="00080123">
        <w:rPr>
          <w:rFonts w:ascii="Times New Roman" w:hAnsi="Times New Roman" w:cs="Times New Roman"/>
          <w:b/>
          <w:bCs/>
          <w:szCs w:val="22"/>
        </w:rPr>
        <w:t>&gt;</w:t>
      </w:r>
      <w:r w:rsidRPr="00080123">
        <w:rPr>
          <w:rFonts w:ascii="Times New Roman" w:hAnsi="Times New Roman" w:cs="Times New Roman"/>
          <w:b/>
          <w:bCs/>
          <w:szCs w:val="22"/>
        </w:rPr>
        <w:t>（三次修订稿）的议案》</w:t>
      </w:r>
    </w:p>
    <w:p w14:paraId="7EDF1F58" w14:textId="77777777" w:rsidR="0078606C" w:rsidRDefault="00000000">
      <w:pPr>
        <w:pStyle w:val="002"/>
        <w:keepNext w:val="0"/>
        <w:keepLines w:val="0"/>
        <w:widowControl w:val="0"/>
        <w:spacing w:before="120" w:after="120"/>
        <w:ind w:firstLine="480"/>
        <w:outlineLvl w:val="9"/>
        <w:rPr>
          <w:b w:val="0"/>
          <w:bCs w:val="0"/>
        </w:rPr>
      </w:pPr>
      <w:r>
        <w:rPr>
          <w:rFonts w:hint="eastAsia"/>
          <w:b w:val="0"/>
          <w:bCs w:val="0"/>
        </w:rPr>
        <w:t>根据相关法律法规及规范性文件规定并结合公司实际，公司决定对本次向不特定对象发行可转换公司债券的方案进行调整，具体内容如下：</w:t>
      </w:r>
    </w:p>
    <w:p w14:paraId="50C2780A" w14:textId="77777777" w:rsidR="0078606C" w:rsidRDefault="00000000">
      <w:pPr>
        <w:pStyle w:val="002"/>
        <w:keepNext w:val="0"/>
        <w:keepLines w:val="0"/>
        <w:widowControl w:val="0"/>
        <w:spacing w:before="120" w:after="120"/>
        <w:ind w:firstLine="480"/>
        <w:outlineLvl w:val="9"/>
        <w:rPr>
          <w:b w:val="0"/>
          <w:bCs w:val="0"/>
        </w:rPr>
      </w:pPr>
      <w:r>
        <w:rPr>
          <w:b w:val="0"/>
          <w:bCs w:val="0"/>
        </w:rPr>
        <w:t>2</w:t>
      </w:r>
      <w:r>
        <w:rPr>
          <w:rFonts w:hint="eastAsia"/>
          <w:b w:val="0"/>
          <w:bCs w:val="0"/>
        </w:rPr>
        <w:t>、发行规模</w:t>
      </w:r>
    </w:p>
    <w:p w14:paraId="4F840840" w14:textId="77777777" w:rsidR="0078606C" w:rsidRDefault="00000000">
      <w:pPr>
        <w:pStyle w:val="002"/>
        <w:keepNext w:val="0"/>
        <w:keepLines w:val="0"/>
        <w:widowControl w:val="0"/>
        <w:spacing w:before="120" w:after="120"/>
        <w:ind w:firstLine="480"/>
        <w:outlineLvl w:val="9"/>
        <w:rPr>
          <w:b w:val="0"/>
          <w:bCs w:val="0"/>
        </w:rPr>
      </w:pPr>
      <w:r>
        <w:rPr>
          <w:rFonts w:hint="eastAsia"/>
          <w:b w:val="0"/>
          <w:bCs w:val="0"/>
        </w:rPr>
        <w:t>调整前：</w:t>
      </w:r>
    </w:p>
    <w:p w14:paraId="173D5951" w14:textId="77777777" w:rsidR="0078606C" w:rsidRDefault="00000000">
      <w:pPr>
        <w:spacing w:beforeLines="50" w:before="120" w:afterLines="50" w:after="120" w:line="360" w:lineRule="auto"/>
        <w:ind w:firstLineChars="200" w:firstLine="480"/>
      </w:pPr>
      <w:r>
        <w:rPr>
          <w:rFonts w:hint="eastAsia"/>
        </w:rPr>
        <w:t>根据相关法律法规的规定及规范性文件的要求，并结合公司财务状况和投资计划，本次发行的可转换公司债券募集资金总额不超过人民币33,000.00万元（含33,000.00万元），且发行完成后公司累计债券余额占公司最近一期末净资产额的比例不超过50%，具体募集资金数额提请公司股东大会授权公司董事会（或由董事会授权的人士）在上述额度范围内确定。</w:t>
      </w:r>
    </w:p>
    <w:p w14:paraId="279838A4" w14:textId="77777777" w:rsidR="0078606C" w:rsidRDefault="00000000">
      <w:pPr>
        <w:pStyle w:val="2"/>
        <w:spacing w:beforeLines="50" w:before="120" w:afterLines="50" w:line="360" w:lineRule="auto"/>
        <w:ind w:leftChars="0" w:left="0" w:firstLine="480"/>
      </w:pPr>
      <w:r>
        <w:rPr>
          <w:rFonts w:hint="eastAsia"/>
        </w:rPr>
        <w:lastRenderedPageBreak/>
        <w:t>调整后：</w:t>
      </w:r>
    </w:p>
    <w:p w14:paraId="15C1B89B" w14:textId="77777777" w:rsidR="0078606C" w:rsidRDefault="00000000">
      <w:pPr>
        <w:spacing w:beforeLines="50" w:before="120" w:afterLines="50" w:after="120" w:line="360" w:lineRule="auto"/>
        <w:ind w:firstLineChars="200" w:firstLine="480"/>
      </w:pPr>
      <w:r>
        <w:rPr>
          <w:rFonts w:hint="eastAsia"/>
        </w:rPr>
        <w:t>根据相关法律法规的规定及规范性文件的要求，并结合公司财务状况和投资计划，本次发行的可转换公司债券募集资金总额不超过人民币</w:t>
      </w:r>
      <w:r>
        <w:t>32,183.00万元人民币（含32,183.00万元），</w:t>
      </w:r>
      <w:r>
        <w:rPr>
          <w:rFonts w:hint="eastAsia"/>
        </w:rPr>
        <w:t>且发行完成后公司累计债券余额占公司最近一期末净资产额的比例不超过50%，具体募集资金数额提请公司股东大会授权公司董事会（或由董事会授权的人士）在上述额度范围内确定。</w:t>
      </w:r>
    </w:p>
    <w:p w14:paraId="43D3E1A8" w14:textId="77777777" w:rsidR="0078606C" w:rsidRDefault="00000000">
      <w:pPr>
        <w:pStyle w:val="2"/>
        <w:spacing w:beforeLines="50" w:before="120" w:afterLines="50" w:line="360" w:lineRule="auto"/>
        <w:ind w:leftChars="0" w:left="0" w:firstLine="480"/>
      </w:pPr>
      <w:r>
        <w:rPr>
          <w:rFonts w:hint="eastAsia"/>
        </w:rPr>
        <w:t>1</w:t>
      </w:r>
      <w:r>
        <w:t>7</w:t>
      </w:r>
      <w:r>
        <w:rPr>
          <w:rFonts w:hint="eastAsia"/>
        </w:rPr>
        <w:t>、本次募集资金用途</w:t>
      </w:r>
    </w:p>
    <w:p w14:paraId="3284D195" w14:textId="77777777" w:rsidR="0078606C" w:rsidRDefault="00000000">
      <w:pPr>
        <w:pStyle w:val="2"/>
        <w:spacing w:beforeLines="50" w:before="120" w:afterLines="50" w:line="360" w:lineRule="auto"/>
        <w:ind w:leftChars="0" w:left="0" w:firstLine="480"/>
      </w:pPr>
      <w:r>
        <w:rPr>
          <w:rFonts w:hint="eastAsia"/>
        </w:rPr>
        <w:t>调整前：</w:t>
      </w:r>
    </w:p>
    <w:p w14:paraId="2C691C05" w14:textId="77777777" w:rsidR="0078606C" w:rsidRDefault="00000000">
      <w:pPr>
        <w:pStyle w:val="2"/>
        <w:spacing w:beforeLines="50" w:before="120" w:afterLines="50" w:line="360" w:lineRule="auto"/>
        <w:ind w:leftChars="0" w:left="0" w:firstLine="480"/>
      </w:pPr>
      <w:r>
        <w:rPr>
          <w:rFonts w:hint="eastAsia"/>
        </w:rPr>
        <w:t>本次可转换公司债券募集资金总额不超过33,000.00万元人民币（含33,000.00万元），扣除发行费用后的募集资金净额拟全部投入以下项目：</w:t>
      </w:r>
    </w:p>
    <w:p w14:paraId="5764ABF4" w14:textId="77777777" w:rsidR="0078606C" w:rsidRDefault="00000000">
      <w:pPr>
        <w:pStyle w:val="002"/>
        <w:keepNext w:val="0"/>
        <w:keepLines w:val="0"/>
        <w:widowControl w:val="0"/>
        <w:spacing w:beforeLines="0" w:before="0" w:afterLines="0" w:after="0" w:line="240" w:lineRule="auto"/>
        <w:ind w:firstLineChars="3400" w:firstLine="7140"/>
        <w:outlineLvl w:val="9"/>
        <w:rPr>
          <w:b w:val="0"/>
          <w:bCs w:val="0"/>
          <w:sz w:val="21"/>
          <w:szCs w:val="21"/>
        </w:rPr>
      </w:pPr>
      <w:r>
        <w:rPr>
          <w:rFonts w:hint="eastAsia"/>
          <w:b w:val="0"/>
          <w:bCs w:val="0"/>
          <w:sz w:val="21"/>
          <w:szCs w:val="21"/>
        </w:rPr>
        <w:t>单位：万元</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857"/>
        <w:gridCol w:w="2632"/>
        <w:gridCol w:w="1907"/>
        <w:gridCol w:w="3126"/>
      </w:tblGrid>
      <w:tr w:rsidR="00DF70DA" w14:paraId="4B044A9F" w14:textId="77777777" w:rsidTr="00463287">
        <w:trPr>
          <w:cantSplit/>
          <w:trHeight w:val="397"/>
          <w:tblHeader/>
        </w:trPr>
        <w:tc>
          <w:tcPr>
            <w:tcW w:w="503" w:type="pct"/>
            <w:shd w:val="clear" w:color="auto" w:fill="D9D9D9" w:themeFill="background1" w:themeFillShade="D9"/>
            <w:vAlign w:val="center"/>
          </w:tcPr>
          <w:p w14:paraId="314564AC" w14:textId="77777777" w:rsidR="00DF70DA" w:rsidRDefault="00DF70DA" w:rsidP="00463287">
            <w:pPr>
              <w:jc w:val="center"/>
              <w:rPr>
                <w:b/>
                <w:color w:val="000000"/>
              </w:rPr>
            </w:pPr>
            <w:r>
              <w:rPr>
                <w:rFonts w:hint="eastAsia"/>
                <w:b/>
                <w:color w:val="000000"/>
              </w:rPr>
              <w:t>序号</w:t>
            </w:r>
          </w:p>
        </w:tc>
        <w:tc>
          <w:tcPr>
            <w:tcW w:w="1544" w:type="pct"/>
            <w:shd w:val="clear" w:color="auto" w:fill="D9D9D9" w:themeFill="background1" w:themeFillShade="D9"/>
            <w:vAlign w:val="center"/>
          </w:tcPr>
          <w:p w14:paraId="4E33EEEE" w14:textId="77777777" w:rsidR="00DF70DA" w:rsidRDefault="00DF70DA" w:rsidP="00463287">
            <w:pPr>
              <w:jc w:val="center"/>
              <w:rPr>
                <w:b/>
                <w:color w:val="000000"/>
              </w:rPr>
            </w:pPr>
            <w:r>
              <w:rPr>
                <w:rFonts w:hint="eastAsia"/>
                <w:b/>
                <w:color w:val="000000"/>
              </w:rPr>
              <w:t>项目名称</w:t>
            </w:r>
          </w:p>
        </w:tc>
        <w:tc>
          <w:tcPr>
            <w:tcW w:w="1119" w:type="pct"/>
            <w:shd w:val="clear" w:color="auto" w:fill="D9D9D9" w:themeFill="background1" w:themeFillShade="D9"/>
            <w:vAlign w:val="center"/>
          </w:tcPr>
          <w:p w14:paraId="3961EF23" w14:textId="77777777" w:rsidR="00DF70DA" w:rsidRDefault="00DF70DA" w:rsidP="00463287">
            <w:pPr>
              <w:jc w:val="center"/>
              <w:rPr>
                <w:b/>
                <w:color w:val="000000"/>
              </w:rPr>
            </w:pPr>
            <w:r>
              <w:rPr>
                <w:rFonts w:hint="eastAsia"/>
                <w:b/>
                <w:color w:val="000000"/>
              </w:rPr>
              <w:t>项目投资总额</w:t>
            </w:r>
          </w:p>
        </w:tc>
        <w:tc>
          <w:tcPr>
            <w:tcW w:w="1834" w:type="pct"/>
            <w:shd w:val="clear" w:color="auto" w:fill="D9D9D9" w:themeFill="background1" w:themeFillShade="D9"/>
            <w:vAlign w:val="center"/>
          </w:tcPr>
          <w:p w14:paraId="7D1FE0E9" w14:textId="77777777" w:rsidR="00DF70DA" w:rsidRDefault="00DF70DA" w:rsidP="00463287">
            <w:pPr>
              <w:jc w:val="center"/>
              <w:rPr>
                <w:b/>
                <w:color w:val="000000"/>
              </w:rPr>
            </w:pPr>
            <w:r>
              <w:rPr>
                <w:rFonts w:hint="eastAsia"/>
                <w:b/>
                <w:color w:val="000000"/>
              </w:rPr>
              <w:t>拟使用募集资金金额</w:t>
            </w:r>
          </w:p>
        </w:tc>
      </w:tr>
      <w:tr w:rsidR="00DF70DA" w14:paraId="7324A71C" w14:textId="77777777" w:rsidTr="00463287">
        <w:trPr>
          <w:cantSplit/>
          <w:trHeight w:val="397"/>
        </w:trPr>
        <w:tc>
          <w:tcPr>
            <w:tcW w:w="503" w:type="pct"/>
            <w:shd w:val="clear" w:color="auto" w:fill="auto"/>
            <w:vAlign w:val="center"/>
          </w:tcPr>
          <w:p w14:paraId="7EAF98E3" w14:textId="77777777" w:rsidR="00DF70DA" w:rsidRDefault="00DF70DA" w:rsidP="00463287">
            <w:pPr>
              <w:jc w:val="center"/>
              <w:rPr>
                <w:color w:val="000000"/>
              </w:rPr>
            </w:pPr>
            <w:r>
              <w:rPr>
                <w:color w:val="000000"/>
              </w:rPr>
              <w:t>1</w:t>
            </w:r>
          </w:p>
        </w:tc>
        <w:tc>
          <w:tcPr>
            <w:tcW w:w="1544" w:type="pct"/>
            <w:shd w:val="clear" w:color="auto" w:fill="auto"/>
            <w:vAlign w:val="center"/>
          </w:tcPr>
          <w:p w14:paraId="31894895" w14:textId="77777777" w:rsidR="00DF70DA" w:rsidRDefault="00DF70DA" w:rsidP="00463287">
            <w:pPr>
              <w:rPr>
                <w:color w:val="000000"/>
              </w:rPr>
            </w:pPr>
            <w:r>
              <w:rPr>
                <w:rFonts w:hint="eastAsia"/>
                <w:color w:val="000000"/>
              </w:rPr>
              <w:t>智慧节能阀门建设项目</w:t>
            </w:r>
          </w:p>
        </w:tc>
        <w:tc>
          <w:tcPr>
            <w:tcW w:w="1119" w:type="pct"/>
            <w:shd w:val="clear" w:color="auto" w:fill="auto"/>
            <w:vAlign w:val="center"/>
          </w:tcPr>
          <w:p w14:paraId="7AB24960" w14:textId="77777777" w:rsidR="00DF70DA" w:rsidRDefault="00DF70DA" w:rsidP="00463287">
            <w:pPr>
              <w:jc w:val="right"/>
              <w:rPr>
                <w:color w:val="000000"/>
              </w:rPr>
            </w:pPr>
            <w:r>
              <w:rPr>
                <w:color w:val="000000"/>
              </w:rPr>
              <w:t>29,377.91</w:t>
            </w:r>
          </w:p>
        </w:tc>
        <w:tc>
          <w:tcPr>
            <w:tcW w:w="1834" w:type="pct"/>
            <w:shd w:val="clear" w:color="auto" w:fill="auto"/>
            <w:vAlign w:val="center"/>
          </w:tcPr>
          <w:p w14:paraId="24B5F27F" w14:textId="77777777" w:rsidR="00DF70DA" w:rsidRDefault="00DF70DA" w:rsidP="00463287">
            <w:pPr>
              <w:jc w:val="right"/>
              <w:rPr>
                <w:color w:val="000000"/>
              </w:rPr>
            </w:pPr>
            <w:r>
              <w:rPr>
                <w:color w:val="000000"/>
              </w:rPr>
              <w:t>27,800.00</w:t>
            </w:r>
          </w:p>
        </w:tc>
      </w:tr>
      <w:tr w:rsidR="00DF70DA" w14:paraId="7C346DE2" w14:textId="77777777" w:rsidTr="00463287">
        <w:trPr>
          <w:cantSplit/>
          <w:trHeight w:val="397"/>
        </w:trPr>
        <w:tc>
          <w:tcPr>
            <w:tcW w:w="503" w:type="pct"/>
            <w:shd w:val="clear" w:color="auto" w:fill="auto"/>
            <w:vAlign w:val="center"/>
          </w:tcPr>
          <w:p w14:paraId="602BC71E" w14:textId="77777777" w:rsidR="00DF70DA" w:rsidRDefault="00DF70DA" w:rsidP="00463287">
            <w:pPr>
              <w:jc w:val="center"/>
              <w:rPr>
                <w:color w:val="000000"/>
              </w:rPr>
            </w:pPr>
            <w:r>
              <w:rPr>
                <w:color w:val="000000"/>
              </w:rPr>
              <w:t>2</w:t>
            </w:r>
          </w:p>
        </w:tc>
        <w:tc>
          <w:tcPr>
            <w:tcW w:w="1544" w:type="pct"/>
            <w:shd w:val="clear" w:color="auto" w:fill="auto"/>
            <w:vAlign w:val="center"/>
          </w:tcPr>
          <w:p w14:paraId="0A82C41C" w14:textId="77777777" w:rsidR="00DF70DA" w:rsidRDefault="00DF70DA" w:rsidP="00463287">
            <w:pPr>
              <w:rPr>
                <w:color w:val="000000"/>
              </w:rPr>
            </w:pPr>
            <w:r>
              <w:rPr>
                <w:rFonts w:hint="eastAsia"/>
                <w:color w:val="000000"/>
              </w:rPr>
              <w:t>补充流动资金</w:t>
            </w:r>
          </w:p>
        </w:tc>
        <w:tc>
          <w:tcPr>
            <w:tcW w:w="1119" w:type="pct"/>
            <w:shd w:val="clear" w:color="auto" w:fill="auto"/>
            <w:vAlign w:val="center"/>
          </w:tcPr>
          <w:p w14:paraId="55AA2376" w14:textId="77777777" w:rsidR="00DF70DA" w:rsidRDefault="00DF70DA" w:rsidP="00463287">
            <w:pPr>
              <w:jc w:val="right"/>
              <w:rPr>
                <w:color w:val="000000"/>
              </w:rPr>
            </w:pPr>
            <w:r>
              <w:rPr>
                <w:color w:val="000000"/>
              </w:rPr>
              <w:t xml:space="preserve">5,200.00 </w:t>
            </w:r>
          </w:p>
        </w:tc>
        <w:tc>
          <w:tcPr>
            <w:tcW w:w="1834" w:type="pct"/>
            <w:shd w:val="clear" w:color="auto" w:fill="auto"/>
            <w:vAlign w:val="center"/>
          </w:tcPr>
          <w:p w14:paraId="7B1F5608" w14:textId="77777777" w:rsidR="00DF70DA" w:rsidRDefault="00DF70DA" w:rsidP="00463287">
            <w:pPr>
              <w:jc w:val="right"/>
              <w:rPr>
                <w:color w:val="000000"/>
              </w:rPr>
            </w:pPr>
            <w:r>
              <w:rPr>
                <w:color w:val="000000"/>
              </w:rPr>
              <w:t xml:space="preserve">5,200.00 </w:t>
            </w:r>
          </w:p>
        </w:tc>
      </w:tr>
      <w:tr w:rsidR="00DF70DA" w14:paraId="43693EA9" w14:textId="77777777" w:rsidTr="00463287">
        <w:trPr>
          <w:cantSplit/>
          <w:trHeight w:val="397"/>
        </w:trPr>
        <w:tc>
          <w:tcPr>
            <w:tcW w:w="2047" w:type="pct"/>
            <w:gridSpan w:val="2"/>
            <w:shd w:val="clear" w:color="auto" w:fill="auto"/>
            <w:vAlign w:val="center"/>
          </w:tcPr>
          <w:p w14:paraId="02687669" w14:textId="77777777" w:rsidR="00DF70DA" w:rsidRDefault="00DF70DA" w:rsidP="00463287">
            <w:pPr>
              <w:jc w:val="center"/>
              <w:rPr>
                <w:b/>
                <w:color w:val="000000"/>
              </w:rPr>
            </w:pPr>
            <w:r>
              <w:rPr>
                <w:rFonts w:hint="eastAsia"/>
                <w:b/>
                <w:color w:val="000000"/>
              </w:rPr>
              <w:t>合计</w:t>
            </w:r>
          </w:p>
        </w:tc>
        <w:tc>
          <w:tcPr>
            <w:tcW w:w="1119" w:type="pct"/>
            <w:shd w:val="clear" w:color="auto" w:fill="auto"/>
            <w:vAlign w:val="center"/>
          </w:tcPr>
          <w:p w14:paraId="7C933EA2" w14:textId="77777777" w:rsidR="00DF70DA" w:rsidRDefault="00DF70DA" w:rsidP="00463287">
            <w:pPr>
              <w:jc w:val="right"/>
              <w:rPr>
                <w:b/>
                <w:bCs/>
                <w:color w:val="000000"/>
              </w:rPr>
            </w:pPr>
            <w:r>
              <w:rPr>
                <w:b/>
                <w:bCs/>
                <w:color w:val="000000"/>
              </w:rPr>
              <w:t xml:space="preserve">34,577.91 </w:t>
            </w:r>
          </w:p>
        </w:tc>
        <w:tc>
          <w:tcPr>
            <w:tcW w:w="1834" w:type="pct"/>
            <w:shd w:val="clear" w:color="auto" w:fill="auto"/>
            <w:vAlign w:val="center"/>
          </w:tcPr>
          <w:p w14:paraId="37D6B84D" w14:textId="77777777" w:rsidR="00DF70DA" w:rsidRDefault="00DF70DA" w:rsidP="00463287">
            <w:pPr>
              <w:jc w:val="right"/>
              <w:rPr>
                <w:b/>
                <w:bCs/>
                <w:color w:val="000000"/>
              </w:rPr>
            </w:pPr>
            <w:r>
              <w:rPr>
                <w:b/>
                <w:bCs/>
                <w:color w:val="000000"/>
              </w:rPr>
              <w:t xml:space="preserve">33,000.00 </w:t>
            </w:r>
          </w:p>
        </w:tc>
      </w:tr>
    </w:tbl>
    <w:p w14:paraId="0EFAD75F" w14:textId="77777777" w:rsidR="0078606C" w:rsidRDefault="00000000">
      <w:pPr>
        <w:pStyle w:val="2"/>
        <w:spacing w:beforeLines="50" w:before="120" w:afterLines="50" w:line="360" w:lineRule="auto"/>
        <w:ind w:leftChars="0" w:left="0" w:firstLine="480"/>
      </w:pPr>
      <w:r>
        <w:rPr>
          <w:rFonts w:hint="eastAsia"/>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14:paraId="4825037F" w14:textId="77777777" w:rsidR="0078606C" w:rsidRDefault="00000000">
      <w:pPr>
        <w:pStyle w:val="2"/>
        <w:spacing w:beforeLines="50" w:before="120" w:afterLines="50" w:line="360" w:lineRule="auto"/>
        <w:ind w:leftChars="0" w:left="0" w:firstLine="480"/>
      </w:pPr>
      <w:r>
        <w:rPr>
          <w:rFonts w:hint="eastAsia"/>
        </w:rPr>
        <w:t>本次发行可转债募集资金到位之前，如公司以自筹资金先行投入上述项目建设，公司将在募集资金到位后按照相关法律、法规规定的程序予以置换。</w:t>
      </w:r>
    </w:p>
    <w:p w14:paraId="4F03EA84" w14:textId="77777777" w:rsidR="0078606C" w:rsidRDefault="00000000">
      <w:pPr>
        <w:pStyle w:val="2"/>
        <w:spacing w:beforeLines="50" w:before="120" w:afterLines="50" w:line="360" w:lineRule="auto"/>
        <w:ind w:leftChars="0" w:left="0" w:firstLine="480"/>
      </w:pPr>
      <w:r>
        <w:rPr>
          <w:rFonts w:hint="eastAsia"/>
        </w:rPr>
        <w:t>调整后：</w:t>
      </w:r>
    </w:p>
    <w:p w14:paraId="64489973" w14:textId="77777777" w:rsidR="0078606C" w:rsidRDefault="00000000">
      <w:pPr>
        <w:pStyle w:val="002"/>
        <w:keepNext w:val="0"/>
        <w:keepLines w:val="0"/>
        <w:widowControl w:val="0"/>
        <w:spacing w:before="120" w:after="120"/>
        <w:ind w:firstLine="480"/>
        <w:outlineLvl w:val="9"/>
        <w:rPr>
          <w:b w:val="0"/>
          <w:bCs w:val="0"/>
        </w:rPr>
      </w:pPr>
      <w:r>
        <w:rPr>
          <w:rFonts w:hint="eastAsia"/>
          <w:b w:val="0"/>
          <w:bCs w:val="0"/>
        </w:rPr>
        <w:t>本次可转换公司债券募集资金总额不超过</w:t>
      </w:r>
      <w:r>
        <w:rPr>
          <w:b w:val="0"/>
          <w:bCs w:val="0"/>
        </w:rPr>
        <w:t>32,183.00</w:t>
      </w:r>
      <w:r>
        <w:rPr>
          <w:rFonts w:hint="eastAsia"/>
          <w:b w:val="0"/>
          <w:bCs w:val="0"/>
        </w:rPr>
        <w:t>万元人民币（含</w:t>
      </w:r>
      <w:r>
        <w:rPr>
          <w:b w:val="0"/>
          <w:bCs w:val="0"/>
        </w:rPr>
        <w:t>32,183.00</w:t>
      </w:r>
      <w:r>
        <w:rPr>
          <w:rFonts w:hint="eastAsia"/>
          <w:b w:val="0"/>
          <w:bCs w:val="0"/>
        </w:rPr>
        <w:t>万元），扣除发行费用后的募集资金净额拟全部投入以下项目：</w:t>
      </w:r>
    </w:p>
    <w:p w14:paraId="5033C644" w14:textId="77777777" w:rsidR="0078606C" w:rsidRDefault="00000000">
      <w:pPr>
        <w:pStyle w:val="002"/>
        <w:keepNext w:val="0"/>
        <w:keepLines w:val="0"/>
        <w:widowControl w:val="0"/>
        <w:spacing w:beforeLines="0" w:before="0" w:afterLines="0" w:after="0" w:line="240" w:lineRule="auto"/>
        <w:ind w:firstLine="480"/>
        <w:jc w:val="right"/>
        <w:outlineLvl w:val="9"/>
        <w:rPr>
          <w:b w:val="0"/>
          <w:bCs w:val="0"/>
          <w:sz w:val="21"/>
          <w:szCs w:val="21"/>
        </w:rPr>
      </w:pPr>
      <w:r>
        <w:rPr>
          <w:rFonts w:hint="eastAsia"/>
          <w:b w:val="0"/>
          <w:bCs w:val="0"/>
        </w:rPr>
        <w:t xml:space="preserve"> </w:t>
      </w:r>
      <w:r>
        <w:rPr>
          <w:b w:val="0"/>
          <w:bCs w:val="0"/>
        </w:rPr>
        <w:t xml:space="preserve">                                                     </w:t>
      </w:r>
      <w:r>
        <w:rPr>
          <w:rFonts w:hint="eastAsia"/>
          <w:b w:val="0"/>
          <w:bCs w:val="0"/>
          <w:sz w:val="21"/>
          <w:szCs w:val="21"/>
        </w:rPr>
        <w:t>单位：万元</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855"/>
        <w:gridCol w:w="2780"/>
        <w:gridCol w:w="1761"/>
        <w:gridCol w:w="3126"/>
      </w:tblGrid>
      <w:tr w:rsidR="000D29B3" w14:paraId="24F76052" w14:textId="77777777" w:rsidTr="00463287">
        <w:trPr>
          <w:cantSplit/>
          <w:trHeight w:val="397"/>
          <w:tblHeader/>
        </w:trPr>
        <w:tc>
          <w:tcPr>
            <w:tcW w:w="502" w:type="pct"/>
            <w:shd w:val="clear" w:color="auto" w:fill="D9D9D9" w:themeFill="background1" w:themeFillShade="D9"/>
            <w:vAlign w:val="center"/>
          </w:tcPr>
          <w:p w14:paraId="138A518E" w14:textId="77777777" w:rsidR="000D29B3" w:rsidRDefault="000D29B3" w:rsidP="00463287">
            <w:pPr>
              <w:jc w:val="center"/>
              <w:rPr>
                <w:b/>
                <w:color w:val="000000"/>
              </w:rPr>
            </w:pPr>
            <w:r>
              <w:rPr>
                <w:rFonts w:hint="eastAsia"/>
                <w:b/>
                <w:color w:val="000000"/>
              </w:rPr>
              <w:t>序号</w:t>
            </w:r>
          </w:p>
        </w:tc>
        <w:tc>
          <w:tcPr>
            <w:tcW w:w="1630" w:type="pct"/>
            <w:shd w:val="clear" w:color="auto" w:fill="D9D9D9" w:themeFill="background1" w:themeFillShade="D9"/>
            <w:vAlign w:val="center"/>
          </w:tcPr>
          <w:p w14:paraId="3C677879" w14:textId="77777777" w:rsidR="000D29B3" w:rsidRDefault="000D29B3" w:rsidP="00463287">
            <w:pPr>
              <w:jc w:val="center"/>
              <w:rPr>
                <w:b/>
                <w:color w:val="000000"/>
              </w:rPr>
            </w:pPr>
            <w:r>
              <w:rPr>
                <w:rFonts w:hint="eastAsia"/>
                <w:b/>
                <w:color w:val="000000"/>
              </w:rPr>
              <w:t>项目名称</w:t>
            </w:r>
          </w:p>
        </w:tc>
        <w:tc>
          <w:tcPr>
            <w:tcW w:w="1033" w:type="pct"/>
            <w:shd w:val="clear" w:color="auto" w:fill="D9D9D9" w:themeFill="background1" w:themeFillShade="D9"/>
            <w:vAlign w:val="center"/>
          </w:tcPr>
          <w:p w14:paraId="68858329" w14:textId="77777777" w:rsidR="000D29B3" w:rsidRDefault="000D29B3" w:rsidP="00463287">
            <w:pPr>
              <w:jc w:val="center"/>
              <w:rPr>
                <w:b/>
                <w:color w:val="000000"/>
              </w:rPr>
            </w:pPr>
            <w:r>
              <w:rPr>
                <w:rFonts w:hint="eastAsia"/>
                <w:b/>
                <w:color w:val="000000"/>
              </w:rPr>
              <w:t>项目投资总额</w:t>
            </w:r>
          </w:p>
        </w:tc>
        <w:tc>
          <w:tcPr>
            <w:tcW w:w="1834" w:type="pct"/>
            <w:shd w:val="clear" w:color="auto" w:fill="D9D9D9" w:themeFill="background1" w:themeFillShade="D9"/>
            <w:vAlign w:val="center"/>
          </w:tcPr>
          <w:p w14:paraId="6505A77D" w14:textId="77777777" w:rsidR="000D29B3" w:rsidRDefault="000D29B3" w:rsidP="00463287">
            <w:pPr>
              <w:jc w:val="center"/>
              <w:rPr>
                <w:b/>
                <w:color w:val="000000"/>
              </w:rPr>
            </w:pPr>
            <w:r>
              <w:rPr>
                <w:rFonts w:hint="eastAsia"/>
                <w:b/>
                <w:color w:val="000000"/>
              </w:rPr>
              <w:t>拟使用募集资金金额</w:t>
            </w:r>
          </w:p>
        </w:tc>
      </w:tr>
      <w:tr w:rsidR="000D29B3" w14:paraId="1FE94C37" w14:textId="77777777" w:rsidTr="00463287">
        <w:trPr>
          <w:cantSplit/>
          <w:trHeight w:val="397"/>
        </w:trPr>
        <w:tc>
          <w:tcPr>
            <w:tcW w:w="502" w:type="pct"/>
            <w:shd w:val="clear" w:color="auto" w:fill="auto"/>
            <w:vAlign w:val="center"/>
          </w:tcPr>
          <w:p w14:paraId="4136F192" w14:textId="77777777" w:rsidR="000D29B3" w:rsidRDefault="000D29B3" w:rsidP="00463287">
            <w:pPr>
              <w:jc w:val="center"/>
              <w:rPr>
                <w:color w:val="000000"/>
              </w:rPr>
            </w:pPr>
            <w:r>
              <w:rPr>
                <w:color w:val="000000"/>
              </w:rPr>
              <w:t>1</w:t>
            </w:r>
          </w:p>
        </w:tc>
        <w:tc>
          <w:tcPr>
            <w:tcW w:w="1630" w:type="pct"/>
            <w:shd w:val="clear" w:color="auto" w:fill="auto"/>
            <w:vAlign w:val="center"/>
          </w:tcPr>
          <w:p w14:paraId="73DE4853" w14:textId="77777777" w:rsidR="000D29B3" w:rsidRDefault="000D29B3" w:rsidP="00463287">
            <w:pPr>
              <w:rPr>
                <w:color w:val="000000"/>
              </w:rPr>
            </w:pPr>
            <w:r>
              <w:rPr>
                <w:rFonts w:hint="eastAsia"/>
                <w:color w:val="000000"/>
              </w:rPr>
              <w:t>智慧节能阀门建设项目</w:t>
            </w:r>
          </w:p>
        </w:tc>
        <w:tc>
          <w:tcPr>
            <w:tcW w:w="1033" w:type="pct"/>
            <w:shd w:val="clear" w:color="auto" w:fill="auto"/>
            <w:vAlign w:val="center"/>
          </w:tcPr>
          <w:p w14:paraId="318993A3" w14:textId="77777777" w:rsidR="000D29B3" w:rsidRDefault="000D29B3" w:rsidP="00463287">
            <w:pPr>
              <w:jc w:val="right"/>
              <w:rPr>
                <w:color w:val="000000"/>
              </w:rPr>
            </w:pPr>
            <w:r>
              <w:rPr>
                <w:color w:val="000000"/>
              </w:rPr>
              <w:t>29,377.91</w:t>
            </w:r>
          </w:p>
        </w:tc>
        <w:tc>
          <w:tcPr>
            <w:tcW w:w="1834" w:type="pct"/>
            <w:shd w:val="clear" w:color="auto" w:fill="auto"/>
            <w:vAlign w:val="center"/>
          </w:tcPr>
          <w:p w14:paraId="05F194E2" w14:textId="77777777" w:rsidR="000D29B3" w:rsidRDefault="000D29B3" w:rsidP="00463287">
            <w:pPr>
              <w:jc w:val="right"/>
              <w:rPr>
                <w:color w:val="000000"/>
              </w:rPr>
            </w:pPr>
            <w:r>
              <w:rPr>
                <w:color w:val="000000"/>
              </w:rPr>
              <w:t>27,800.00</w:t>
            </w:r>
          </w:p>
        </w:tc>
      </w:tr>
      <w:tr w:rsidR="000D29B3" w14:paraId="27E233B8" w14:textId="77777777" w:rsidTr="00463287">
        <w:trPr>
          <w:cantSplit/>
          <w:trHeight w:val="397"/>
        </w:trPr>
        <w:tc>
          <w:tcPr>
            <w:tcW w:w="502" w:type="pct"/>
            <w:shd w:val="clear" w:color="auto" w:fill="auto"/>
            <w:vAlign w:val="center"/>
          </w:tcPr>
          <w:p w14:paraId="541D909A" w14:textId="77777777" w:rsidR="000D29B3" w:rsidRDefault="000D29B3" w:rsidP="00463287">
            <w:pPr>
              <w:jc w:val="center"/>
              <w:rPr>
                <w:color w:val="000000"/>
              </w:rPr>
            </w:pPr>
            <w:r>
              <w:rPr>
                <w:color w:val="000000"/>
              </w:rPr>
              <w:t>2</w:t>
            </w:r>
          </w:p>
        </w:tc>
        <w:tc>
          <w:tcPr>
            <w:tcW w:w="1630" w:type="pct"/>
            <w:shd w:val="clear" w:color="auto" w:fill="auto"/>
            <w:vAlign w:val="center"/>
          </w:tcPr>
          <w:p w14:paraId="0D414DBF" w14:textId="77777777" w:rsidR="000D29B3" w:rsidRDefault="000D29B3" w:rsidP="00463287">
            <w:pPr>
              <w:rPr>
                <w:color w:val="000000"/>
              </w:rPr>
            </w:pPr>
            <w:r>
              <w:rPr>
                <w:rFonts w:hint="eastAsia"/>
                <w:color w:val="000000"/>
              </w:rPr>
              <w:t>补充流动资金</w:t>
            </w:r>
          </w:p>
        </w:tc>
        <w:tc>
          <w:tcPr>
            <w:tcW w:w="1033" w:type="pct"/>
            <w:shd w:val="clear" w:color="auto" w:fill="auto"/>
            <w:vAlign w:val="center"/>
          </w:tcPr>
          <w:p w14:paraId="1D505E26" w14:textId="77777777" w:rsidR="000D29B3" w:rsidRDefault="000D29B3" w:rsidP="00463287">
            <w:pPr>
              <w:jc w:val="right"/>
              <w:rPr>
                <w:color w:val="000000"/>
              </w:rPr>
            </w:pPr>
            <w:r>
              <w:rPr>
                <w:color w:val="000000"/>
              </w:rPr>
              <w:t xml:space="preserve">4,383.00 </w:t>
            </w:r>
          </w:p>
        </w:tc>
        <w:tc>
          <w:tcPr>
            <w:tcW w:w="1834" w:type="pct"/>
            <w:shd w:val="clear" w:color="auto" w:fill="auto"/>
            <w:vAlign w:val="center"/>
          </w:tcPr>
          <w:p w14:paraId="2F388F67" w14:textId="77777777" w:rsidR="000D29B3" w:rsidRDefault="000D29B3" w:rsidP="00463287">
            <w:pPr>
              <w:jc w:val="right"/>
              <w:rPr>
                <w:color w:val="000000"/>
              </w:rPr>
            </w:pPr>
            <w:r>
              <w:rPr>
                <w:color w:val="000000"/>
              </w:rPr>
              <w:t xml:space="preserve">4,383.00 </w:t>
            </w:r>
          </w:p>
        </w:tc>
      </w:tr>
      <w:tr w:rsidR="000D29B3" w14:paraId="1BE62685" w14:textId="77777777" w:rsidTr="00463287">
        <w:trPr>
          <w:cantSplit/>
          <w:trHeight w:val="397"/>
        </w:trPr>
        <w:tc>
          <w:tcPr>
            <w:tcW w:w="2133" w:type="pct"/>
            <w:gridSpan w:val="2"/>
            <w:shd w:val="clear" w:color="auto" w:fill="auto"/>
            <w:vAlign w:val="center"/>
          </w:tcPr>
          <w:p w14:paraId="2BE6D065" w14:textId="77777777" w:rsidR="000D29B3" w:rsidRDefault="000D29B3" w:rsidP="00463287">
            <w:pPr>
              <w:jc w:val="center"/>
              <w:rPr>
                <w:b/>
                <w:color w:val="000000"/>
              </w:rPr>
            </w:pPr>
            <w:r>
              <w:rPr>
                <w:rFonts w:hint="eastAsia"/>
                <w:b/>
                <w:color w:val="000000"/>
              </w:rPr>
              <w:lastRenderedPageBreak/>
              <w:t>合计</w:t>
            </w:r>
          </w:p>
        </w:tc>
        <w:tc>
          <w:tcPr>
            <w:tcW w:w="1033" w:type="pct"/>
            <w:shd w:val="clear" w:color="auto" w:fill="auto"/>
            <w:vAlign w:val="center"/>
          </w:tcPr>
          <w:p w14:paraId="50D56F28" w14:textId="77777777" w:rsidR="000D29B3" w:rsidRDefault="000D29B3" w:rsidP="00463287">
            <w:pPr>
              <w:jc w:val="right"/>
              <w:rPr>
                <w:b/>
                <w:bCs/>
                <w:color w:val="000000"/>
              </w:rPr>
            </w:pPr>
            <w:r>
              <w:rPr>
                <w:b/>
                <w:bCs/>
                <w:color w:val="000000"/>
              </w:rPr>
              <w:t xml:space="preserve">33,760.91 </w:t>
            </w:r>
          </w:p>
        </w:tc>
        <w:tc>
          <w:tcPr>
            <w:tcW w:w="1834" w:type="pct"/>
            <w:shd w:val="clear" w:color="auto" w:fill="auto"/>
            <w:vAlign w:val="center"/>
          </w:tcPr>
          <w:p w14:paraId="271641C7" w14:textId="77777777" w:rsidR="000D29B3" w:rsidRDefault="000D29B3" w:rsidP="00463287">
            <w:pPr>
              <w:jc w:val="right"/>
              <w:rPr>
                <w:b/>
                <w:bCs/>
                <w:color w:val="000000"/>
              </w:rPr>
            </w:pPr>
            <w:r>
              <w:rPr>
                <w:b/>
                <w:bCs/>
                <w:color w:val="000000"/>
              </w:rPr>
              <w:t xml:space="preserve">32,183.00 </w:t>
            </w:r>
          </w:p>
        </w:tc>
      </w:tr>
    </w:tbl>
    <w:p w14:paraId="2DA1DC66" w14:textId="77777777" w:rsidR="0078606C" w:rsidRDefault="00000000">
      <w:pPr>
        <w:pStyle w:val="2"/>
        <w:spacing w:beforeLines="50" w:before="120" w:afterLines="50" w:line="360" w:lineRule="auto"/>
        <w:ind w:leftChars="0" w:left="0" w:firstLine="480"/>
      </w:pPr>
      <w:r>
        <w:rPr>
          <w:rFonts w:hint="eastAsia"/>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14:paraId="359106BA" w14:textId="77777777" w:rsidR="0078606C" w:rsidRDefault="00000000">
      <w:pPr>
        <w:pStyle w:val="2"/>
        <w:spacing w:beforeLines="50" w:before="120" w:afterLines="50" w:line="360" w:lineRule="auto"/>
        <w:ind w:leftChars="0" w:left="0" w:firstLine="480"/>
      </w:pPr>
      <w:r>
        <w:rPr>
          <w:rFonts w:hint="eastAsia"/>
        </w:rPr>
        <w:t>本次发行可转债募集资金到位之前，如公司以自筹资金先行投入上述项目建设，公司将在募集资金到位后按照相关法律、法规规定的程序予以置换。</w:t>
      </w:r>
    </w:p>
    <w:p w14:paraId="17BBE6F6" w14:textId="77777777" w:rsidR="0078606C" w:rsidRDefault="00000000">
      <w:pPr>
        <w:spacing w:beforeLines="50" w:before="120" w:afterLines="50" w:after="120" w:line="360" w:lineRule="auto"/>
        <w:ind w:firstLineChars="200" w:firstLine="482"/>
        <w:jc w:val="both"/>
        <w:rPr>
          <w:rFonts w:asciiTheme="minorEastAsia" w:eastAsiaTheme="minorEastAsia" w:hAnsiTheme="minorEastAsia"/>
          <w:b/>
          <w:bCs/>
          <w:szCs w:val="23"/>
        </w:rPr>
      </w:pPr>
      <w:r>
        <w:rPr>
          <w:rFonts w:asciiTheme="minorEastAsia" w:eastAsiaTheme="minorEastAsia" w:hAnsiTheme="minorEastAsia" w:hint="eastAsia"/>
          <w:b/>
          <w:bCs/>
          <w:szCs w:val="23"/>
        </w:rPr>
        <w:t>表决结果：同意 3票，弃权 0 票，反对 0 票。获得通过。</w:t>
      </w:r>
    </w:p>
    <w:p w14:paraId="1F186DD3" w14:textId="77777777" w:rsidR="00DF6652" w:rsidRPr="006143AE" w:rsidRDefault="00DF6652" w:rsidP="00DF6652">
      <w:pPr>
        <w:spacing w:beforeLines="50" w:before="120" w:afterLines="50" w:after="120" w:line="360" w:lineRule="auto"/>
        <w:ind w:firstLine="570"/>
        <w:jc w:val="both"/>
        <w:rPr>
          <w:rFonts w:ascii="Times New Roman" w:hAnsi="Times New Roman" w:cs="Times New Roman"/>
          <w:color w:val="000000"/>
        </w:rPr>
      </w:pPr>
      <w:r w:rsidRPr="006143AE">
        <w:rPr>
          <w:rFonts w:ascii="Times New Roman" w:hAnsi="Times New Roman" w:cs="Times New Roman"/>
          <w:b/>
          <w:bCs/>
          <w:szCs w:val="23"/>
        </w:rPr>
        <w:t>（二）审议通过</w:t>
      </w:r>
      <w:r w:rsidRPr="00903504">
        <w:rPr>
          <w:rFonts w:ascii="Times New Roman" w:hAnsi="Times New Roman" w:cs="Times New Roman" w:hint="eastAsia"/>
          <w:b/>
          <w:bCs/>
          <w:szCs w:val="22"/>
        </w:rPr>
        <w:t>《关于修订</w:t>
      </w:r>
      <w:r w:rsidRPr="00903504">
        <w:rPr>
          <w:rFonts w:ascii="Times New Roman" w:hAnsi="Times New Roman" w:cs="Times New Roman"/>
          <w:b/>
          <w:bCs/>
          <w:szCs w:val="22"/>
        </w:rPr>
        <w:t>&lt;</w:t>
      </w:r>
      <w:r w:rsidRPr="00903504">
        <w:rPr>
          <w:rFonts w:ascii="Times New Roman" w:hAnsi="Times New Roman" w:cs="Times New Roman"/>
          <w:b/>
          <w:bCs/>
          <w:szCs w:val="22"/>
        </w:rPr>
        <w:t>公司向不特定对象发行可转换公司债券预案</w:t>
      </w:r>
      <w:r w:rsidRPr="00903504">
        <w:rPr>
          <w:rFonts w:ascii="Times New Roman" w:hAnsi="Times New Roman" w:cs="Times New Roman"/>
          <w:b/>
          <w:bCs/>
          <w:szCs w:val="22"/>
        </w:rPr>
        <w:t>&gt;</w:t>
      </w:r>
      <w:r w:rsidRPr="00903504">
        <w:rPr>
          <w:rFonts w:ascii="Times New Roman" w:hAnsi="Times New Roman" w:cs="Times New Roman"/>
          <w:b/>
          <w:bCs/>
          <w:szCs w:val="22"/>
        </w:rPr>
        <w:t>（三次修订稿）的议案》</w:t>
      </w:r>
    </w:p>
    <w:p w14:paraId="50E647F8" w14:textId="77777777" w:rsidR="0078606C" w:rsidRDefault="00000000">
      <w:pPr>
        <w:spacing w:beforeLines="50" w:before="120" w:afterLines="50" w:after="120" w:line="360" w:lineRule="auto"/>
        <w:ind w:firstLine="570"/>
        <w:jc w:val="both"/>
        <w:rPr>
          <w:rFonts w:ascii="Times New Roman" w:eastAsiaTheme="minorEastAsia" w:hAnsi="Times New Roman" w:cs="Times New Roman"/>
          <w:b/>
          <w:bCs/>
          <w:szCs w:val="23"/>
        </w:rPr>
      </w:pPr>
      <w:r>
        <w:rPr>
          <w:rFonts w:ascii="Times New Roman" w:hAnsi="Times New Roman" w:cs="Times New Roman"/>
          <w:color w:val="000000"/>
        </w:rPr>
        <w:t>公司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向不特定对象发行可转换公司债券预案（三次修订稿）》。</w:t>
      </w:r>
    </w:p>
    <w:p w14:paraId="2D63E770" w14:textId="77777777" w:rsidR="0078606C" w:rsidRDefault="00000000">
      <w:pPr>
        <w:spacing w:beforeLines="50" w:before="120" w:afterLines="50" w:after="120" w:line="360" w:lineRule="auto"/>
        <w:ind w:firstLineChars="200" w:firstLine="480"/>
        <w:jc w:val="both"/>
        <w:rPr>
          <w:rFonts w:ascii="Times New Roman" w:hAnsi="Times New Roman" w:cs="Times New Roman"/>
          <w:color w:val="000000"/>
        </w:rPr>
      </w:pPr>
      <w:r>
        <w:rPr>
          <w:rFonts w:ascii="Times New Roman" w:eastAsiaTheme="minorEastAsia" w:hAnsi="Times New Roman" w:cs="Times New Roman"/>
          <w:szCs w:val="23"/>
        </w:rPr>
        <w:t>具体内容详见巨潮资讯网站（</w:t>
      </w:r>
      <w:hyperlink r:id="rId7" w:history="1">
        <w:r>
          <w:rPr>
            <w:rFonts w:ascii="Times New Roman" w:eastAsiaTheme="minorEastAsia" w:hAnsi="Times New Roman" w:cs="Times New Roman"/>
            <w:szCs w:val="23"/>
          </w:rPr>
          <w:t>http://www.cninfo.com.cn</w:t>
        </w:r>
      </w:hyperlink>
      <w:r>
        <w:rPr>
          <w:rFonts w:ascii="Times New Roman" w:eastAsiaTheme="minorEastAsia" w:hAnsi="Times New Roman" w:cs="Times New Roman"/>
          <w:szCs w:val="23"/>
        </w:rPr>
        <w:t>）《关于向不特定对象发行可转换公司债券预案修订说明的公告》（公告编号：</w:t>
      </w:r>
      <w:r>
        <w:rPr>
          <w:rFonts w:ascii="Times New Roman" w:eastAsiaTheme="minorEastAsia" w:hAnsi="Times New Roman" w:cs="Times New Roman" w:hint="eastAsia"/>
          <w:szCs w:val="23"/>
        </w:rPr>
        <w:t>2</w:t>
      </w:r>
      <w:r>
        <w:rPr>
          <w:rFonts w:ascii="Times New Roman" w:eastAsiaTheme="minorEastAsia" w:hAnsi="Times New Roman" w:cs="Times New Roman"/>
          <w:szCs w:val="23"/>
        </w:rPr>
        <w:t>023-124</w:t>
      </w:r>
      <w:r>
        <w:rPr>
          <w:rFonts w:ascii="Times New Roman" w:eastAsiaTheme="minorEastAsia" w:hAnsi="Times New Roman" w:cs="Times New Roman"/>
          <w:szCs w:val="23"/>
        </w:rPr>
        <w:t>）及</w:t>
      </w:r>
      <w:r>
        <w:rPr>
          <w:rFonts w:ascii="Times New Roman" w:hAnsi="Times New Roman" w:cs="Times New Roman"/>
          <w:color w:val="000000"/>
        </w:rPr>
        <w:t>《青岛伟隆阀门股份有限公司向不特定对象发行可转换公司债券预案（三次修订稿）》</w:t>
      </w:r>
      <w:r>
        <w:rPr>
          <w:rFonts w:ascii="Times New Roman" w:hAnsi="Times New Roman" w:cs="Times New Roman" w:hint="eastAsia"/>
          <w:color w:val="000000"/>
        </w:rPr>
        <w:t>（</w:t>
      </w:r>
      <w:r>
        <w:rPr>
          <w:rFonts w:ascii="Times New Roman" w:eastAsiaTheme="minorEastAsia" w:hAnsi="Times New Roman" w:cs="Times New Roman"/>
          <w:szCs w:val="23"/>
        </w:rPr>
        <w:t>公告编号：</w:t>
      </w:r>
      <w:r>
        <w:rPr>
          <w:rFonts w:ascii="Times New Roman" w:eastAsiaTheme="minorEastAsia" w:hAnsi="Times New Roman" w:cs="Times New Roman" w:hint="eastAsia"/>
          <w:szCs w:val="23"/>
        </w:rPr>
        <w:t>2</w:t>
      </w:r>
      <w:r>
        <w:rPr>
          <w:rFonts w:ascii="Times New Roman" w:eastAsiaTheme="minorEastAsia" w:hAnsi="Times New Roman" w:cs="Times New Roman"/>
          <w:szCs w:val="23"/>
        </w:rPr>
        <w:t>023-123</w:t>
      </w:r>
      <w:r>
        <w:rPr>
          <w:rFonts w:ascii="Times New Roman" w:eastAsiaTheme="minorEastAsia" w:hAnsi="Times New Roman" w:cs="Times New Roman"/>
          <w:szCs w:val="23"/>
        </w:rPr>
        <w:t>）</w:t>
      </w:r>
      <w:r>
        <w:rPr>
          <w:rFonts w:ascii="Times New Roman" w:hAnsi="Times New Roman" w:cs="Times New Roman"/>
          <w:color w:val="000000"/>
        </w:rPr>
        <w:t>。</w:t>
      </w:r>
    </w:p>
    <w:p w14:paraId="6CB26E34" w14:textId="77777777" w:rsidR="0078606C" w:rsidRDefault="00000000">
      <w:pPr>
        <w:spacing w:beforeLines="50" w:before="120" w:afterLines="50" w:after="120" w:line="360" w:lineRule="auto"/>
        <w:ind w:firstLineChars="200" w:firstLine="482"/>
        <w:jc w:val="both"/>
        <w:rPr>
          <w:rFonts w:ascii="Times New Roman" w:eastAsiaTheme="minorEastAsia" w:hAnsi="Times New Roman" w:cs="Times New Roman"/>
          <w:b/>
          <w:bCs/>
          <w:szCs w:val="23"/>
        </w:rPr>
      </w:pPr>
      <w:r>
        <w:rPr>
          <w:rFonts w:ascii="Times New Roman" w:eastAsiaTheme="minorEastAsia" w:hAnsi="Times New Roman" w:cs="Times New Roman"/>
          <w:b/>
          <w:bCs/>
          <w:szCs w:val="23"/>
        </w:rPr>
        <w:t>表决结果：同意</w:t>
      </w:r>
      <w:r>
        <w:rPr>
          <w:rFonts w:ascii="Times New Roman" w:eastAsiaTheme="minorEastAsia" w:hAnsi="Times New Roman" w:cs="Times New Roman"/>
          <w:b/>
          <w:bCs/>
          <w:szCs w:val="23"/>
        </w:rPr>
        <w:t xml:space="preserve"> 3</w:t>
      </w:r>
      <w:r>
        <w:rPr>
          <w:rFonts w:ascii="Times New Roman" w:eastAsiaTheme="minorEastAsia" w:hAnsi="Times New Roman" w:cs="Times New Roman"/>
          <w:b/>
          <w:bCs/>
          <w:szCs w:val="23"/>
        </w:rPr>
        <w:t>票，弃权</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票，反对</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票。获得通过。</w:t>
      </w:r>
    </w:p>
    <w:p w14:paraId="5B6CFBA0" w14:textId="77777777" w:rsidR="00C03527" w:rsidRPr="006143AE" w:rsidRDefault="00C03527" w:rsidP="00C03527">
      <w:pPr>
        <w:spacing w:beforeLines="50" w:before="120" w:afterLines="50" w:after="120" w:line="360" w:lineRule="auto"/>
        <w:ind w:firstLine="570"/>
        <w:jc w:val="both"/>
        <w:rPr>
          <w:rFonts w:ascii="Times New Roman" w:hAnsi="Times New Roman" w:cs="Times New Roman"/>
          <w:b/>
          <w:bCs/>
          <w:szCs w:val="22"/>
        </w:rPr>
      </w:pPr>
      <w:r w:rsidRPr="006143AE">
        <w:rPr>
          <w:rFonts w:ascii="Times New Roman" w:hAnsi="Times New Roman" w:cs="Times New Roman"/>
          <w:b/>
          <w:bCs/>
          <w:szCs w:val="23"/>
        </w:rPr>
        <w:t>（三）审议通过</w:t>
      </w:r>
      <w:r w:rsidRPr="00DC5743">
        <w:rPr>
          <w:rFonts w:ascii="Times New Roman" w:hAnsi="Times New Roman" w:cs="Times New Roman" w:hint="eastAsia"/>
          <w:b/>
          <w:bCs/>
          <w:szCs w:val="22"/>
        </w:rPr>
        <w:t>《关于修订</w:t>
      </w:r>
      <w:r w:rsidRPr="00DC5743">
        <w:rPr>
          <w:rFonts w:ascii="Times New Roman" w:hAnsi="Times New Roman" w:cs="Times New Roman"/>
          <w:b/>
          <w:bCs/>
          <w:szCs w:val="22"/>
        </w:rPr>
        <w:t>&lt;</w:t>
      </w:r>
      <w:r w:rsidRPr="00DC5743">
        <w:rPr>
          <w:rFonts w:ascii="Times New Roman" w:hAnsi="Times New Roman" w:cs="Times New Roman"/>
          <w:b/>
          <w:bCs/>
          <w:szCs w:val="22"/>
        </w:rPr>
        <w:t>公司向不特定对象发行可转换公司债券方案的论证分析报告</w:t>
      </w:r>
      <w:r w:rsidRPr="00DC5743">
        <w:rPr>
          <w:rFonts w:ascii="Times New Roman" w:hAnsi="Times New Roman" w:cs="Times New Roman"/>
          <w:b/>
          <w:bCs/>
          <w:szCs w:val="22"/>
        </w:rPr>
        <w:t>&gt;</w:t>
      </w:r>
      <w:r w:rsidRPr="00DC5743">
        <w:rPr>
          <w:rFonts w:ascii="Times New Roman" w:hAnsi="Times New Roman" w:cs="Times New Roman"/>
          <w:b/>
          <w:bCs/>
          <w:szCs w:val="22"/>
        </w:rPr>
        <w:t>（修订稿）的议案》</w:t>
      </w:r>
    </w:p>
    <w:p w14:paraId="2C427093" w14:textId="77777777" w:rsidR="0078606C" w:rsidRDefault="00000000">
      <w:pPr>
        <w:spacing w:beforeLines="50" w:before="120" w:afterLines="50" w:after="120" w:line="360" w:lineRule="auto"/>
        <w:ind w:firstLine="570"/>
        <w:jc w:val="both"/>
        <w:rPr>
          <w:rFonts w:ascii="Times New Roman" w:eastAsiaTheme="minorEastAsia" w:hAnsi="Times New Roman" w:cs="Times New Roman"/>
          <w:b/>
          <w:bCs/>
          <w:szCs w:val="23"/>
        </w:rPr>
      </w:pPr>
      <w:r>
        <w:rPr>
          <w:rFonts w:ascii="Times New Roman" w:hAnsi="Times New Roman" w:cs="Times New Roman"/>
          <w:color w:val="000000"/>
        </w:rPr>
        <w:t>公司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w:t>
      </w:r>
      <w:r>
        <w:rPr>
          <w:rFonts w:hint="eastAsia"/>
          <w:szCs w:val="22"/>
        </w:rPr>
        <w:t>向不特定对象发行可转换公司债券方案的论证分析报告（修订稿）</w:t>
      </w:r>
      <w:r>
        <w:rPr>
          <w:rFonts w:ascii="Times New Roman" w:hAnsi="Times New Roman" w:cs="Times New Roman"/>
          <w:color w:val="000000"/>
        </w:rPr>
        <w:t>》。</w:t>
      </w:r>
    </w:p>
    <w:p w14:paraId="0BE5827C" w14:textId="77777777" w:rsidR="0078606C" w:rsidRDefault="00000000">
      <w:pPr>
        <w:spacing w:beforeLines="50" w:before="120" w:afterLines="50" w:after="120" w:line="360" w:lineRule="auto"/>
        <w:ind w:firstLineChars="200" w:firstLine="480"/>
        <w:jc w:val="both"/>
        <w:rPr>
          <w:rFonts w:ascii="Times New Roman" w:hAnsi="Times New Roman" w:cs="Times New Roman"/>
          <w:color w:val="000000"/>
        </w:rPr>
      </w:pPr>
      <w:r>
        <w:rPr>
          <w:rFonts w:ascii="Times New Roman" w:eastAsiaTheme="minorEastAsia" w:hAnsi="Times New Roman" w:cs="Times New Roman"/>
          <w:szCs w:val="23"/>
        </w:rPr>
        <w:lastRenderedPageBreak/>
        <w:t>具体内容详见巨潮资讯网站（</w:t>
      </w:r>
      <w:hyperlink r:id="rId8" w:history="1">
        <w:r>
          <w:rPr>
            <w:rFonts w:ascii="Times New Roman" w:eastAsiaTheme="minorEastAsia" w:hAnsi="Times New Roman" w:cs="Times New Roman"/>
            <w:szCs w:val="23"/>
          </w:rPr>
          <w:t>http://www.cninfo.com.cn</w:t>
        </w:r>
      </w:hyperlink>
      <w:r>
        <w:rPr>
          <w:rFonts w:ascii="Times New Roman" w:eastAsiaTheme="minorEastAsia" w:hAnsi="Times New Roman" w:cs="Times New Roman"/>
          <w:szCs w:val="23"/>
        </w:rPr>
        <w:t>）《</w:t>
      </w:r>
      <w:r>
        <w:rPr>
          <w:rFonts w:ascii="Times New Roman" w:hAnsi="Times New Roman" w:cs="Times New Roman"/>
          <w:color w:val="000000"/>
        </w:rPr>
        <w:t>青岛伟隆阀门股份有限公司</w:t>
      </w:r>
      <w:r>
        <w:rPr>
          <w:rFonts w:hint="eastAsia"/>
          <w:szCs w:val="22"/>
        </w:rPr>
        <w:t>向不特定对象发行可转换公司债券方案的论证分析报告（修订稿）</w:t>
      </w:r>
      <w:r>
        <w:rPr>
          <w:rFonts w:ascii="Times New Roman" w:eastAsiaTheme="minorEastAsia" w:hAnsi="Times New Roman" w:cs="Times New Roman"/>
          <w:szCs w:val="23"/>
        </w:rPr>
        <w:t>》</w:t>
      </w:r>
      <w:r>
        <w:rPr>
          <w:rFonts w:ascii="Times New Roman" w:hAnsi="Times New Roman" w:cs="Times New Roman"/>
          <w:color w:val="000000"/>
        </w:rPr>
        <w:t>。</w:t>
      </w:r>
    </w:p>
    <w:p w14:paraId="7ECB82AB" w14:textId="77777777" w:rsidR="0078606C" w:rsidRDefault="00000000">
      <w:pPr>
        <w:spacing w:beforeLines="50" w:before="120" w:afterLines="50" w:after="120" w:line="360" w:lineRule="auto"/>
        <w:ind w:firstLineChars="200" w:firstLine="482"/>
        <w:jc w:val="both"/>
        <w:rPr>
          <w:rFonts w:ascii="Times New Roman" w:eastAsiaTheme="minorEastAsia" w:hAnsi="Times New Roman" w:cs="Times New Roman"/>
          <w:b/>
          <w:bCs/>
          <w:szCs w:val="23"/>
        </w:rPr>
      </w:pPr>
      <w:r>
        <w:rPr>
          <w:rFonts w:ascii="Times New Roman" w:eastAsiaTheme="minorEastAsia" w:hAnsi="Times New Roman" w:cs="Times New Roman"/>
          <w:b/>
          <w:bCs/>
          <w:szCs w:val="23"/>
        </w:rPr>
        <w:t>表决结果：同意</w:t>
      </w:r>
      <w:r>
        <w:rPr>
          <w:rFonts w:ascii="Times New Roman" w:eastAsiaTheme="minorEastAsia" w:hAnsi="Times New Roman" w:cs="Times New Roman"/>
          <w:b/>
          <w:bCs/>
          <w:szCs w:val="23"/>
        </w:rPr>
        <w:t xml:space="preserve"> 3</w:t>
      </w:r>
      <w:r>
        <w:rPr>
          <w:rFonts w:ascii="Times New Roman" w:eastAsiaTheme="minorEastAsia" w:hAnsi="Times New Roman" w:cs="Times New Roman"/>
          <w:b/>
          <w:bCs/>
          <w:szCs w:val="23"/>
        </w:rPr>
        <w:t>票，弃权</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票，反对</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票。获得通过。</w:t>
      </w:r>
    </w:p>
    <w:p w14:paraId="19E1E758" w14:textId="77777777" w:rsidR="00443A90" w:rsidRPr="00BC4D79" w:rsidRDefault="00443A90" w:rsidP="00443A90">
      <w:pPr>
        <w:spacing w:beforeLines="50" w:before="120" w:afterLines="50" w:after="120" w:line="360" w:lineRule="auto"/>
        <w:ind w:firstLine="570"/>
        <w:jc w:val="both"/>
        <w:rPr>
          <w:rFonts w:ascii="Times New Roman" w:hAnsi="Times New Roman" w:cs="Times New Roman"/>
          <w:b/>
          <w:bCs/>
          <w:szCs w:val="23"/>
        </w:rPr>
      </w:pPr>
      <w:r w:rsidRPr="006143AE">
        <w:rPr>
          <w:rFonts w:ascii="Times New Roman" w:hAnsi="Times New Roman" w:cs="Times New Roman"/>
          <w:b/>
          <w:bCs/>
          <w:szCs w:val="23"/>
        </w:rPr>
        <w:t>（四）审议通过</w:t>
      </w:r>
      <w:r w:rsidRPr="00BC4D79">
        <w:rPr>
          <w:rFonts w:ascii="Times New Roman" w:hAnsi="Times New Roman" w:cs="Times New Roman" w:hint="eastAsia"/>
          <w:b/>
          <w:bCs/>
          <w:szCs w:val="23"/>
        </w:rPr>
        <w:t>《关于修订</w:t>
      </w:r>
      <w:r w:rsidRPr="00BC4D79">
        <w:rPr>
          <w:rFonts w:ascii="Times New Roman" w:hAnsi="Times New Roman" w:cs="Times New Roman" w:hint="eastAsia"/>
          <w:b/>
          <w:bCs/>
          <w:szCs w:val="23"/>
        </w:rPr>
        <w:t>&lt;</w:t>
      </w:r>
      <w:r w:rsidRPr="00BC4D79">
        <w:rPr>
          <w:rFonts w:ascii="Times New Roman" w:hAnsi="Times New Roman" w:cs="Times New Roman" w:hint="eastAsia"/>
          <w:b/>
          <w:bCs/>
          <w:szCs w:val="23"/>
        </w:rPr>
        <w:t>公司向不特定对象发行可转换公司债券募集资金使用的可行性分析报告</w:t>
      </w:r>
      <w:r w:rsidRPr="00BC4D79">
        <w:rPr>
          <w:rFonts w:ascii="Times New Roman" w:hAnsi="Times New Roman" w:cs="Times New Roman" w:hint="eastAsia"/>
          <w:b/>
          <w:bCs/>
          <w:szCs w:val="23"/>
        </w:rPr>
        <w:t>&gt;</w:t>
      </w:r>
      <w:r w:rsidRPr="00BC4D79">
        <w:rPr>
          <w:rFonts w:ascii="Times New Roman" w:hAnsi="Times New Roman" w:cs="Times New Roman" w:hint="eastAsia"/>
          <w:b/>
          <w:bCs/>
          <w:szCs w:val="23"/>
        </w:rPr>
        <w:t>（二次修订稿）的议案》</w:t>
      </w:r>
    </w:p>
    <w:p w14:paraId="7F81C9DD" w14:textId="77777777" w:rsidR="0078606C" w:rsidRDefault="00000000">
      <w:pPr>
        <w:spacing w:beforeLines="50" w:before="120" w:afterLines="50" w:after="120" w:line="360" w:lineRule="auto"/>
        <w:ind w:firstLine="570"/>
        <w:jc w:val="both"/>
        <w:rPr>
          <w:rFonts w:ascii="Times New Roman" w:eastAsiaTheme="minorEastAsia" w:hAnsi="Times New Roman" w:cs="Times New Roman"/>
          <w:b/>
          <w:bCs/>
          <w:szCs w:val="23"/>
        </w:rPr>
      </w:pPr>
      <w:r>
        <w:rPr>
          <w:rFonts w:ascii="Times New Roman" w:hAnsi="Times New Roman" w:cs="Times New Roman"/>
          <w:color w:val="000000"/>
        </w:rPr>
        <w:t>公司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w:t>
      </w:r>
      <w:r>
        <w:rPr>
          <w:rFonts w:hint="eastAsia"/>
          <w:szCs w:val="22"/>
        </w:rPr>
        <w:t>向不特定对象发行可转换公司债券募集资金使用可行性分析报告（二次修订稿）</w:t>
      </w:r>
      <w:r>
        <w:rPr>
          <w:rFonts w:ascii="Times New Roman" w:hAnsi="Times New Roman" w:cs="Times New Roman"/>
          <w:color w:val="000000"/>
        </w:rPr>
        <w:t>》。</w:t>
      </w:r>
    </w:p>
    <w:p w14:paraId="312A18A0" w14:textId="77777777" w:rsidR="0078606C" w:rsidRDefault="00000000">
      <w:pPr>
        <w:spacing w:beforeLines="50" w:before="120" w:afterLines="50" w:after="120" w:line="360" w:lineRule="auto"/>
        <w:ind w:firstLineChars="200" w:firstLine="480"/>
        <w:jc w:val="both"/>
        <w:rPr>
          <w:rFonts w:ascii="Times New Roman" w:hAnsi="Times New Roman" w:cs="Times New Roman"/>
          <w:color w:val="000000"/>
        </w:rPr>
      </w:pPr>
      <w:r>
        <w:rPr>
          <w:rFonts w:ascii="Times New Roman" w:eastAsiaTheme="minorEastAsia" w:hAnsi="Times New Roman" w:cs="Times New Roman"/>
          <w:szCs w:val="23"/>
        </w:rPr>
        <w:t>具体内容详见巨潮资讯网站（</w:t>
      </w:r>
      <w:hyperlink r:id="rId9" w:history="1">
        <w:r>
          <w:rPr>
            <w:rFonts w:ascii="Times New Roman" w:eastAsiaTheme="minorEastAsia" w:hAnsi="Times New Roman" w:cs="Times New Roman"/>
            <w:szCs w:val="23"/>
          </w:rPr>
          <w:t>http://www.cninfo.com.cn</w:t>
        </w:r>
      </w:hyperlink>
      <w:r>
        <w:rPr>
          <w:rFonts w:ascii="Times New Roman" w:eastAsiaTheme="minorEastAsia" w:hAnsi="Times New Roman" w:cs="Times New Roman"/>
          <w:szCs w:val="23"/>
        </w:rPr>
        <w:t>）《</w:t>
      </w:r>
      <w:r>
        <w:rPr>
          <w:rFonts w:ascii="Times New Roman" w:hAnsi="Times New Roman" w:cs="Times New Roman"/>
          <w:color w:val="000000"/>
        </w:rPr>
        <w:t>青岛伟隆阀门股份有限公司</w:t>
      </w:r>
      <w:r>
        <w:rPr>
          <w:rFonts w:hint="eastAsia"/>
          <w:szCs w:val="22"/>
        </w:rPr>
        <w:t>向不特定对象发行可转换公司债券募集资金使用可行性分析报告（二次修订稿）</w:t>
      </w:r>
      <w:r>
        <w:rPr>
          <w:rFonts w:ascii="Times New Roman" w:eastAsiaTheme="minorEastAsia" w:hAnsi="Times New Roman" w:cs="Times New Roman"/>
          <w:szCs w:val="23"/>
        </w:rPr>
        <w:t>》</w:t>
      </w:r>
      <w:r>
        <w:rPr>
          <w:rFonts w:ascii="Times New Roman" w:hAnsi="Times New Roman" w:cs="Times New Roman"/>
          <w:color w:val="000000"/>
        </w:rPr>
        <w:t>。</w:t>
      </w:r>
    </w:p>
    <w:p w14:paraId="36FF76FC" w14:textId="77777777" w:rsidR="0078606C" w:rsidRDefault="00000000">
      <w:pPr>
        <w:spacing w:beforeLines="50" w:before="120" w:afterLines="50" w:after="120" w:line="360" w:lineRule="auto"/>
        <w:ind w:firstLineChars="200" w:firstLine="482"/>
        <w:jc w:val="both"/>
        <w:rPr>
          <w:rFonts w:ascii="Times New Roman" w:eastAsiaTheme="minorEastAsia" w:hAnsi="Times New Roman" w:cs="Times New Roman"/>
          <w:b/>
          <w:bCs/>
          <w:szCs w:val="23"/>
        </w:rPr>
      </w:pPr>
      <w:r>
        <w:rPr>
          <w:rFonts w:ascii="Times New Roman" w:eastAsiaTheme="minorEastAsia" w:hAnsi="Times New Roman" w:cs="Times New Roman"/>
          <w:b/>
          <w:bCs/>
          <w:szCs w:val="23"/>
        </w:rPr>
        <w:t>表决结果：同意</w:t>
      </w:r>
      <w:r>
        <w:rPr>
          <w:rFonts w:ascii="Times New Roman" w:eastAsiaTheme="minorEastAsia" w:hAnsi="Times New Roman" w:cs="Times New Roman"/>
          <w:b/>
          <w:bCs/>
          <w:szCs w:val="23"/>
        </w:rPr>
        <w:t xml:space="preserve"> 3</w:t>
      </w:r>
      <w:r>
        <w:rPr>
          <w:rFonts w:ascii="Times New Roman" w:eastAsiaTheme="minorEastAsia" w:hAnsi="Times New Roman" w:cs="Times New Roman"/>
          <w:b/>
          <w:bCs/>
          <w:szCs w:val="23"/>
        </w:rPr>
        <w:t>票，弃权</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票，反对</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票。获得通过。</w:t>
      </w:r>
    </w:p>
    <w:p w14:paraId="6414E666" w14:textId="77777777" w:rsidR="00356834" w:rsidRDefault="00017F8E">
      <w:pPr>
        <w:spacing w:beforeLines="50" w:before="120" w:afterLines="50" w:after="120" w:line="360" w:lineRule="auto"/>
        <w:ind w:firstLine="570"/>
        <w:jc w:val="both"/>
        <w:rPr>
          <w:rFonts w:ascii="Times New Roman" w:eastAsiaTheme="minorEastAsia" w:hAnsi="Times New Roman" w:cs="Times New Roman"/>
          <w:b/>
          <w:bCs/>
          <w:szCs w:val="23"/>
        </w:rPr>
      </w:pPr>
      <w:r w:rsidRPr="00017F8E">
        <w:rPr>
          <w:rFonts w:ascii="Times New Roman" w:eastAsiaTheme="minorEastAsia" w:hAnsi="Times New Roman" w:cs="Times New Roman" w:hint="eastAsia"/>
          <w:b/>
          <w:bCs/>
          <w:szCs w:val="23"/>
        </w:rPr>
        <w:t>（五）审议通过《关于修订</w:t>
      </w:r>
      <w:r w:rsidRPr="00017F8E">
        <w:rPr>
          <w:rFonts w:ascii="Times New Roman" w:eastAsiaTheme="minorEastAsia" w:hAnsi="Times New Roman" w:cs="Times New Roman"/>
          <w:b/>
          <w:bCs/>
          <w:szCs w:val="23"/>
        </w:rPr>
        <w:t>&lt;</w:t>
      </w:r>
      <w:r w:rsidRPr="00017F8E">
        <w:rPr>
          <w:rFonts w:ascii="Times New Roman" w:eastAsiaTheme="minorEastAsia" w:hAnsi="Times New Roman" w:cs="Times New Roman"/>
          <w:b/>
          <w:bCs/>
          <w:szCs w:val="23"/>
        </w:rPr>
        <w:t>公司向不特定对象发行可转换公司债券摊薄即期回报、填补措施与相关主体承诺</w:t>
      </w:r>
      <w:r w:rsidRPr="00017F8E">
        <w:rPr>
          <w:rFonts w:ascii="Times New Roman" w:eastAsiaTheme="minorEastAsia" w:hAnsi="Times New Roman" w:cs="Times New Roman"/>
          <w:b/>
          <w:bCs/>
          <w:szCs w:val="23"/>
        </w:rPr>
        <w:t>&gt;</w:t>
      </w:r>
      <w:r w:rsidRPr="00017F8E">
        <w:rPr>
          <w:rFonts w:ascii="Times New Roman" w:eastAsiaTheme="minorEastAsia" w:hAnsi="Times New Roman" w:cs="Times New Roman"/>
          <w:b/>
          <w:bCs/>
          <w:szCs w:val="23"/>
        </w:rPr>
        <w:t>（二次修订稿）的议案》</w:t>
      </w:r>
    </w:p>
    <w:p w14:paraId="5213FB6C" w14:textId="5D0D58CF" w:rsidR="0078606C" w:rsidRDefault="00000000">
      <w:pPr>
        <w:spacing w:beforeLines="50" w:before="120" w:afterLines="50" w:after="120" w:line="360" w:lineRule="auto"/>
        <w:ind w:firstLine="570"/>
        <w:jc w:val="both"/>
        <w:rPr>
          <w:rFonts w:ascii="Times New Roman" w:eastAsiaTheme="minorEastAsia" w:hAnsi="Times New Roman" w:cs="Times New Roman"/>
          <w:b/>
          <w:bCs/>
          <w:szCs w:val="23"/>
        </w:rPr>
      </w:pPr>
      <w:r>
        <w:rPr>
          <w:rFonts w:ascii="Times New Roman" w:hAnsi="Times New Roman" w:cs="Times New Roman"/>
          <w:color w:val="000000"/>
        </w:rPr>
        <w:t>公司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w:t>
      </w:r>
      <w:r>
        <w:rPr>
          <w:rFonts w:hint="eastAsia"/>
          <w:szCs w:val="22"/>
        </w:rPr>
        <w:t>向不特定对象发行可转换公司债券摊薄即期回报及采取填补措施和相关主体承诺（二次修订稿）</w:t>
      </w:r>
      <w:r>
        <w:rPr>
          <w:rFonts w:ascii="Times New Roman" w:hAnsi="Times New Roman" w:cs="Times New Roman"/>
          <w:color w:val="000000"/>
        </w:rPr>
        <w:t>》。</w:t>
      </w:r>
    </w:p>
    <w:p w14:paraId="63A136A6" w14:textId="77777777" w:rsidR="0078606C" w:rsidRDefault="00000000">
      <w:pPr>
        <w:spacing w:beforeLines="50" w:before="120" w:afterLines="50" w:after="120" w:line="360" w:lineRule="auto"/>
        <w:ind w:firstLineChars="200" w:firstLine="480"/>
        <w:jc w:val="both"/>
        <w:rPr>
          <w:rFonts w:ascii="Times New Roman" w:hAnsi="Times New Roman" w:cs="Times New Roman"/>
          <w:color w:val="000000"/>
        </w:rPr>
      </w:pPr>
      <w:r>
        <w:rPr>
          <w:rFonts w:ascii="Times New Roman" w:eastAsiaTheme="minorEastAsia" w:hAnsi="Times New Roman" w:cs="Times New Roman"/>
          <w:szCs w:val="23"/>
        </w:rPr>
        <w:t>具体内容详见巨潮资讯网站（</w:t>
      </w:r>
      <w:hyperlink r:id="rId10" w:history="1">
        <w:r>
          <w:rPr>
            <w:rFonts w:ascii="Times New Roman" w:eastAsiaTheme="minorEastAsia" w:hAnsi="Times New Roman" w:cs="Times New Roman"/>
            <w:szCs w:val="23"/>
          </w:rPr>
          <w:t>http://www.cninfo.com.cn</w:t>
        </w:r>
      </w:hyperlink>
      <w:r>
        <w:rPr>
          <w:rFonts w:ascii="Times New Roman" w:eastAsiaTheme="minorEastAsia" w:hAnsi="Times New Roman" w:cs="Times New Roman"/>
          <w:szCs w:val="23"/>
        </w:rPr>
        <w:t>）《</w:t>
      </w:r>
      <w:r>
        <w:rPr>
          <w:rFonts w:ascii="Times New Roman" w:hAnsi="Times New Roman" w:cs="Times New Roman"/>
          <w:color w:val="000000"/>
        </w:rPr>
        <w:t>青岛伟隆阀门股份有限公司</w:t>
      </w:r>
      <w:r>
        <w:rPr>
          <w:rFonts w:hint="eastAsia"/>
          <w:szCs w:val="22"/>
        </w:rPr>
        <w:t>向不特定对象发行可转换公司债券摊薄即期回报及采取填补措施和相关主体承诺（二次修订稿）</w:t>
      </w:r>
      <w:r>
        <w:rPr>
          <w:rFonts w:ascii="Times New Roman" w:eastAsiaTheme="minorEastAsia" w:hAnsi="Times New Roman" w:cs="Times New Roman"/>
          <w:szCs w:val="23"/>
        </w:rPr>
        <w:t>》</w:t>
      </w:r>
      <w:r>
        <w:rPr>
          <w:rFonts w:ascii="Times New Roman" w:hAnsi="Times New Roman" w:cs="Times New Roman"/>
          <w:color w:val="000000"/>
        </w:rPr>
        <w:t>。</w:t>
      </w:r>
    </w:p>
    <w:p w14:paraId="3ABA707F" w14:textId="77777777" w:rsidR="0078606C" w:rsidRDefault="00000000">
      <w:pPr>
        <w:spacing w:beforeLines="50" w:before="120" w:afterLines="50" w:after="120" w:line="360" w:lineRule="auto"/>
        <w:ind w:firstLineChars="200" w:firstLine="482"/>
        <w:jc w:val="both"/>
        <w:rPr>
          <w:rFonts w:ascii="Times New Roman" w:eastAsiaTheme="minorEastAsia" w:hAnsi="Times New Roman" w:cs="Times New Roman"/>
          <w:b/>
          <w:bCs/>
          <w:szCs w:val="23"/>
        </w:rPr>
      </w:pPr>
      <w:r>
        <w:rPr>
          <w:rFonts w:ascii="Times New Roman" w:eastAsiaTheme="minorEastAsia" w:hAnsi="Times New Roman" w:cs="Times New Roman"/>
          <w:b/>
          <w:bCs/>
          <w:szCs w:val="23"/>
        </w:rPr>
        <w:t>表决结果：同意</w:t>
      </w:r>
      <w:r>
        <w:rPr>
          <w:rFonts w:ascii="Times New Roman" w:eastAsiaTheme="minorEastAsia" w:hAnsi="Times New Roman" w:cs="Times New Roman"/>
          <w:b/>
          <w:bCs/>
          <w:szCs w:val="23"/>
        </w:rPr>
        <w:t xml:space="preserve"> 3</w:t>
      </w:r>
      <w:r>
        <w:rPr>
          <w:rFonts w:ascii="Times New Roman" w:eastAsiaTheme="minorEastAsia" w:hAnsi="Times New Roman" w:cs="Times New Roman"/>
          <w:b/>
          <w:bCs/>
          <w:szCs w:val="23"/>
        </w:rPr>
        <w:t>票，弃权</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票，反对</w:t>
      </w:r>
      <w:r>
        <w:rPr>
          <w:rFonts w:ascii="Times New Roman" w:eastAsiaTheme="minorEastAsia" w:hAnsi="Times New Roman" w:cs="Times New Roman"/>
          <w:b/>
          <w:bCs/>
          <w:szCs w:val="23"/>
        </w:rPr>
        <w:t xml:space="preserve"> 0 </w:t>
      </w:r>
      <w:r>
        <w:rPr>
          <w:rFonts w:ascii="Times New Roman" w:eastAsiaTheme="minorEastAsia" w:hAnsi="Times New Roman" w:cs="Times New Roman"/>
          <w:b/>
          <w:bCs/>
          <w:szCs w:val="23"/>
        </w:rPr>
        <w:t>票。获得通过。</w:t>
      </w:r>
    </w:p>
    <w:p w14:paraId="1D7A8B16" w14:textId="77777777" w:rsidR="0078606C" w:rsidRDefault="00000000">
      <w:pPr>
        <w:spacing w:beforeLines="50" w:before="120" w:afterLines="50" w:after="120" w:line="360" w:lineRule="auto"/>
        <w:ind w:firstLineChars="200" w:firstLine="482"/>
        <w:jc w:val="both"/>
        <w:rPr>
          <w:rFonts w:asciiTheme="minorEastAsia" w:eastAsiaTheme="minorEastAsia" w:hAnsiTheme="minorEastAsia"/>
          <w:b/>
          <w:color w:val="000000"/>
        </w:rPr>
      </w:pPr>
      <w:r>
        <w:rPr>
          <w:rFonts w:asciiTheme="minorEastAsia" w:eastAsiaTheme="minorEastAsia" w:hAnsiTheme="minorEastAsia" w:hint="eastAsia"/>
          <w:b/>
          <w:color w:val="000000"/>
        </w:rPr>
        <w:t>三、备查文件</w:t>
      </w:r>
    </w:p>
    <w:p w14:paraId="01368165" w14:textId="77777777" w:rsidR="0078606C" w:rsidRDefault="00000000">
      <w:pPr>
        <w:spacing w:beforeLines="50" w:before="120" w:afterLines="50" w:after="120" w:line="360" w:lineRule="auto"/>
        <w:ind w:firstLineChars="200" w:firstLine="480"/>
        <w:jc w:val="both"/>
        <w:rPr>
          <w:rFonts w:asciiTheme="minorEastAsia" w:eastAsiaTheme="minorEastAsia" w:hAnsiTheme="minorEastAsia"/>
          <w:szCs w:val="23"/>
        </w:rPr>
      </w:pPr>
      <w:r>
        <w:rPr>
          <w:rFonts w:asciiTheme="minorEastAsia" w:eastAsiaTheme="minorEastAsia" w:hAnsiTheme="minorEastAsia" w:hint="eastAsia"/>
          <w:szCs w:val="23"/>
        </w:rPr>
        <w:lastRenderedPageBreak/>
        <w:t>1．《青岛伟隆阀门股份有限公司第四届监事会第二十三次会议决议》；</w:t>
      </w:r>
    </w:p>
    <w:p w14:paraId="230EAE39" w14:textId="77777777" w:rsidR="0078606C" w:rsidRDefault="00000000">
      <w:pPr>
        <w:spacing w:beforeLines="50" w:before="120" w:afterLines="50" w:after="120" w:line="360" w:lineRule="auto"/>
        <w:ind w:firstLineChars="200" w:firstLine="480"/>
        <w:jc w:val="both"/>
        <w:rPr>
          <w:rFonts w:asciiTheme="minorEastAsia" w:eastAsiaTheme="minorEastAsia" w:hAnsiTheme="minorEastAsia"/>
          <w:szCs w:val="23"/>
        </w:rPr>
      </w:pPr>
      <w:r>
        <w:rPr>
          <w:rFonts w:asciiTheme="minorEastAsia" w:eastAsiaTheme="minorEastAsia" w:hAnsiTheme="minorEastAsia" w:hint="eastAsia"/>
          <w:szCs w:val="23"/>
        </w:rPr>
        <w:t>特此公告。</w:t>
      </w:r>
    </w:p>
    <w:p w14:paraId="053E92D5" w14:textId="77777777" w:rsidR="0078606C" w:rsidRDefault="00000000">
      <w:pPr>
        <w:spacing w:beforeLines="50" w:before="120" w:afterLines="50" w:after="120" w:line="360" w:lineRule="auto"/>
        <w:ind w:firstLineChars="1900" w:firstLine="4560"/>
        <w:jc w:val="right"/>
        <w:rPr>
          <w:rFonts w:asciiTheme="minorEastAsia" w:eastAsiaTheme="minorEastAsia" w:hAnsiTheme="minorEastAsia"/>
        </w:rPr>
      </w:pPr>
      <w:r>
        <w:rPr>
          <w:rFonts w:asciiTheme="minorEastAsia" w:eastAsiaTheme="minorEastAsia" w:hAnsiTheme="minorEastAsia" w:hint="eastAsia"/>
        </w:rPr>
        <w:t xml:space="preserve">青岛伟隆阀门股份有限公司监事会 </w:t>
      </w:r>
    </w:p>
    <w:p w14:paraId="4C93B75A" w14:textId="77777777" w:rsidR="0078606C" w:rsidRDefault="00000000">
      <w:pPr>
        <w:spacing w:beforeLines="50" w:before="120" w:afterLines="50" w:after="120" w:line="360" w:lineRule="auto"/>
        <w:ind w:firstLineChars="2100" w:firstLine="5040"/>
        <w:jc w:val="right"/>
        <w:rPr>
          <w:rFonts w:asciiTheme="minorEastAsia" w:eastAsiaTheme="minorEastAsia" w:hAnsiTheme="minorEastAsia"/>
        </w:rPr>
      </w:pPr>
      <w:r>
        <w:rPr>
          <w:rFonts w:asciiTheme="minorEastAsia" w:eastAsiaTheme="minorEastAsia" w:hAnsiTheme="minorEastAsia" w:hint="eastAsia"/>
        </w:rPr>
        <w:t>202</w:t>
      </w:r>
      <w:r>
        <w:rPr>
          <w:rFonts w:asciiTheme="minorEastAsia" w:eastAsiaTheme="minorEastAsia" w:hAnsiTheme="minorEastAsia"/>
        </w:rPr>
        <w:t>3</w:t>
      </w:r>
      <w:r>
        <w:rPr>
          <w:rFonts w:asciiTheme="minorEastAsia" w:eastAsiaTheme="minorEastAsia" w:hAnsiTheme="minorEastAsia" w:hint="eastAsia"/>
        </w:rPr>
        <w:t xml:space="preserve">年12月29日  </w:t>
      </w:r>
    </w:p>
    <w:sectPr w:rsidR="007860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F272" w14:textId="77777777" w:rsidR="00402063" w:rsidRDefault="00402063" w:rsidP="00DF6652">
      <w:r>
        <w:separator/>
      </w:r>
    </w:p>
  </w:endnote>
  <w:endnote w:type="continuationSeparator" w:id="0">
    <w:p w14:paraId="52CEEF26" w14:textId="77777777" w:rsidR="00402063" w:rsidRDefault="00402063" w:rsidP="00DF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ˎ̥">
    <w:altName w:val="等线"/>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609D" w14:textId="77777777" w:rsidR="00402063" w:rsidRDefault="00402063" w:rsidP="00DF6652">
      <w:r>
        <w:separator/>
      </w:r>
    </w:p>
  </w:footnote>
  <w:footnote w:type="continuationSeparator" w:id="0">
    <w:p w14:paraId="3E76D5CD" w14:textId="77777777" w:rsidR="00402063" w:rsidRDefault="00402063" w:rsidP="00DF6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zMDk0NGNiYTAzMzJiY2IzNjYyZDU0Y2MzYzFhYWIifQ=="/>
  </w:docVars>
  <w:rsids>
    <w:rsidRoot w:val="00172A27"/>
    <w:rsid w:val="00002287"/>
    <w:rsid w:val="000133CD"/>
    <w:rsid w:val="00017F8E"/>
    <w:rsid w:val="00022A9E"/>
    <w:rsid w:val="00023BAC"/>
    <w:rsid w:val="00031AFA"/>
    <w:rsid w:val="00034103"/>
    <w:rsid w:val="00057EB4"/>
    <w:rsid w:val="00074DD9"/>
    <w:rsid w:val="00080C5D"/>
    <w:rsid w:val="00083826"/>
    <w:rsid w:val="00086B36"/>
    <w:rsid w:val="00087BE3"/>
    <w:rsid w:val="0009105D"/>
    <w:rsid w:val="0009255B"/>
    <w:rsid w:val="000A0FB4"/>
    <w:rsid w:val="000B01D7"/>
    <w:rsid w:val="000B2414"/>
    <w:rsid w:val="000B5CC8"/>
    <w:rsid w:val="000B6DBF"/>
    <w:rsid w:val="000C2AFB"/>
    <w:rsid w:val="000C6274"/>
    <w:rsid w:val="000D29B3"/>
    <w:rsid w:val="000D6589"/>
    <w:rsid w:val="000E2111"/>
    <w:rsid w:val="000E3FA3"/>
    <w:rsid w:val="000E4EF4"/>
    <w:rsid w:val="00100F35"/>
    <w:rsid w:val="0010482D"/>
    <w:rsid w:val="00105553"/>
    <w:rsid w:val="0010568E"/>
    <w:rsid w:val="001118CE"/>
    <w:rsid w:val="00115BE8"/>
    <w:rsid w:val="00121BA8"/>
    <w:rsid w:val="00123DE7"/>
    <w:rsid w:val="001306E7"/>
    <w:rsid w:val="00130FBA"/>
    <w:rsid w:val="00140D0E"/>
    <w:rsid w:val="001420CB"/>
    <w:rsid w:val="0014411C"/>
    <w:rsid w:val="00157ABD"/>
    <w:rsid w:val="001624EA"/>
    <w:rsid w:val="0016383F"/>
    <w:rsid w:val="00166112"/>
    <w:rsid w:val="00172A27"/>
    <w:rsid w:val="001840A0"/>
    <w:rsid w:val="00191D6D"/>
    <w:rsid w:val="001926DD"/>
    <w:rsid w:val="001B33ED"/>
    <w:rsid w:val="001C0510"/>
    <w:rsid w:val="001C2D84"/>
    <w:rsid w:val="001C4F3D"/>
    <w:rsid w:val="001C59F6"/>
    <w:rsid w:val="001C72E9"/>
    <w:rsid w:val="001D4D05"/>
    <w:rsid w:val="001E386D"/>
    <w:rsid w:val="001E4C2B"/>
    <w:rsid w:val="001E50E4"/>
    <w:rsid w:val="001E5BA2"/>
    <w:rsid w:val="001E7A4C"/>
    <w:rsid w:val="001F18B8"/>
    <w:rsid w:val="00205726"/>
    <w:rsid w:val="002268D0"/>
    <w:rsid w:val="002370B1"/>
    <w:rsid w:val="00244FB7"/>
    <w:rsid w:val="00256DE7"/>
    <w:rsid w:val="00263DBE"/>
    <w:rsid w:val="0027512C"/>
    <w:rsid w:val="00276B4F"/>
    <w:rsid w:val="002858DA"/>
    <w:rsid w:val="00285CE5"/>
    <w:rsid w:val="002A61D4"/>
    <w:rsid w:val="002B0EBD"/>
    <w:rsid w:val="002C3FAC"/>
    <w:rsid w:val="002D086A"/>
    <w:rsid w:val="002E1A29"/>
    <w:rsid w:val="002E4442"/>
    <w:rsid w:val="002F0E27"/>
    <w:rsid w:val="002F48D1"/>
    <w:rsid w:val="002F6919"/>
    <w:rsid w:val="002F7410"/>
    <w:rsid w:val="00304F62"/>
    <w:rsid w:val="00305829"/>
    <w:rsid w:val="00315304"/>
    <w:rsid w:val="00320D5B"/>
    <w:rsid w:val="0032185D"/>
    <w:rsid w:val="00322965"/>
    <w:rsid w:val="00323B43"/>
    <w:rsid w:val="00326AEC"/>
    <w:rsid w:val="00330707"/>
    <w:rsid w:val="00351C24"/>
    <w:rsid w:val="00356834"/>
    <w:rsid w:val="00371FC3"/>
    <w:rsid w:val="003836CA"/>
    <w:rsid w:val="003861A5"/>
    <w:rsid w:val="00390F7C"/>
    <w:rsid w:val="0039237D"/>
    <w:rsid w:val="00397139"/>
    <w:rsid w:val="003B3D60"/>
    <w:rsid w:val="003B4DB1"/>
    <w:rsid w:val="003C37B5"/>
    <w:rsid w:val="003D0346"/>
    <w:rsid w:val="003D37D8"/>
    <w:rsid w:val="003E6E49"/>
    <w:rsid w:val="003F50C5"/>
    <w:rsid w:val="003F5A48"/>
    <w:rsid w:val="00402063"/>
    <w:rsid w:val="004026E7"/>
    <w:rsid w:val="004054E9"/>
    <w:rsid w:val="00405E3D"/>
    <w:rsid w:val="0040741E"/>
    <w:rsid w:val="00407B06"/>
    <w:rsid w:val="00412EC7"/>
    <w:rsid w:val="004164C3"/>
    <w:rsid w:val="00424778"/>
    <w:rsid w:val="00426133"/>
    <w:rsid w:val="00430C7C"/>
    <w:rsid w:val="00431DD2"/>
    <w:rsid w:val="004358AB"/>
    <w:rsid w:val="00441BA4"/>
    <w:rsid w:val="0044283A"/>
    <w:rsid w:val="004435DA"/>
    <w:rsid w:val="00443A90"/>
    <w:rsid w:val="00446109"/>
    <w:rsid w:val="004474F9"/>
    <w:rsid w:val="004543EA"/>
    <w:rsid w:val="004562BF"/>
    <w:rsid w:val="00461DAC"/>
    <w:rsid w:val="00474557"/>
    <w:rsid w:val="004A0AEE"/>
    <w:rsid w:val="004B5670"/>
    <w:rsid w:val="004B5F5B"/>
    <w:rsid w:val="004C3138"/>
    <w:rsid w:val="004C6E03"/>
    <w:rsid w:val="004D00D5"/>
    <w:rsid w:val="004D481D"/>
    <w:rsid w:val="004D4CF5"/>
    <w:rsid w:val="004E1A97"/>
    <w:rsid w:val="00504912"/>
    <w:rsid w:val="00516B02"/>
    <w:rsid w:val="0051752B"/>
    <w:rsid w:val="005303FD"/>
    <w:rsid w:val="00535A15"/>
    <w:rsid w:val="00542EC3"/>
    <w:rsid w:val="00547A07"/>
    <w:rsid w:val="00551C2D"/>
    <w:rsid w:val="00556CA9"/>
    <w:rsid w:val="005673E7"/>
    <w:rsid w:val="00575785"/>
    <w:rsid w:val="0057757B"/>
    <w:rsid w:val="00580503"/>
    <w:rsid w:val="005845B6"/>
    <w:rsid w:val="005856B9"/>
    <w:rsid w:val="00590495"/>
    <w:rsid w:val="00593596"/>
    <w:rsid w:val="00596292"/>
    <w:rsid w:val="005A4475"/>
    <w:rsid w:val="005A6D3A"/>
    <w:rsid w:val="005B32C7"/>
    <w:rsid w:val="005C0288"/>
    <w:rsid w:val="005C270C"/>
    <w:rsid w:val="005C3A4D"/>
    <w:rsid w:val="005C5AC8"/>
    <w:rsid w:val="005D4FA7"/>
    <w:rsid w:val="005D6C16"/>
    <w:rsid w:val="005F0BBF"/>
    <w:rsid w:val="005F31F6"/>
    <w:rsid w:val="005F36CE"/>
    <w:rsid w:val="005F3F03"/>
    <w:rsid w:val="005F7BD7"/>
    <w:rsid w:val="00600A93"/>
    <w:rsid w:val="00603B5E"/>
    <w:rsid w:val="00607D7B"/>
    <w:rsid w:val="00617684"/>
    <w:rsid w:val="006234A3"/>
    <w:rsid w:val="006234D3"/>
    <w:rsid w:val="0062629A"/>
    <w:rsid w:val="00641D9C"/>
    <w:rsid w:val="00654C24"/>
    <w:rsid w:val="006553C2"/>
    <w:rsid w:val="00662EDD"/>
    <w:rsid w:val="006824B5"/>
    <w:rsid w:val="006B53EC"/>
    <w:rsid w:val="006B6A27"/>
    <w:rsid w:val="006E314F"/>
    <w:rsid w:val="006E5BCD"/>
    <w:rsid w:val="006E7605"/>
    <w:rsid w:val="006F3AC2"/>
    <w:rsid w:val="006F4987"/>
    <w:rsid w:val="00702023"/>
    <w:rsid w:val="00704317"/>
    <w:rsid w:val="00706841"/>
    <w:rsid w:val="00711A9D"/>
    <w:rsid w:val="00712C1E"/>
    <w:rsid w:val="0071315D"/>
    <w:rsid w:val="00713E98"/>
    <w:rsid w:val="00716E45"/>
    <w:rsid w:val="00723678"/>
    <w:rsid w:val="007254B4"/>
    <w:rsid w:val="00734BDB"/>
    <w:rsid w:val="00736CCB"/>
    <w:rsid w:val="0073781E"/>
    <w:rsid w:val="00745A00"/>
    <w:rsid w:val="007536C2"/>
    <w:rsid w:val="00760A31"/>
    <w:rsid w:val="00763722"/>
    <w:rsid w:val="00780673"/>
    <w:rsid w:val="007814FC"/>
    <w:rsid w:val="00785158"/>
    <w:rsid w:val="0078606C"/>
    <w:rsid w:val="007953D7"/>
    <w:rsid w:val="007A6BE9"/>
    <w:rsid w:val="007A72B5"/>
    <w:rsid w:val="007B1F9D"/>
    <w:rsid w:val="007C0DCC"/>
    <w:rsid w:val="007C4641"/>
    <w:rsid w:val="007D5D47"/>
    <w:rsid w:val="007E25F6"/>
    <w:rsid w:val="007E7070"/>
    <w:rsid w:val="007E77F2"/>
    <w:rsid w:val="007F1020"/>
    <w:rsid w:val="008007FF"/>
    <w:rsid w:val="00812732"/>
    <w:rsid w:val="00813D13"/>
    <w:rsid w:val="00825861"/>
    <w:rsid w:val="008347DD"/>
    <w:rsid w:val="008424D8"/>
    <w:rsid w:val="00850A74"/>
    <w:rsid w:val="00856162"/>
    <w:rsid w:val="00862320"/>
    <w:rsid w:val="00862530"/>
    <w:rsid w:val="00862FF1"/>
    <w:rsid w:val="00866333"/>
    <w:rsid w:val="00873860"/>
    <w:rsid w:val="0088084E"/>
    <w:rsid w:val="00881A67"/>
    <w:rsid w:val="00882566"/>
    <w:rsid w:val="0088530D"/>
    <w:rsid w:val="00885EF3"/>
    <w:rsid w:val="00890C7E"/>
    <w:rsid w:val="008948D7"/>
    <w:rsid w:val="00895B95"/>
    <w:rsid w:val="008A11C3"/>
    <w:rsid w:val="008A287C"/>
    <w:rsid w:val="008B7726"/>
    <w:rsid w:val="008C4867"/>
    <w:rsid w:val="008D17AC"/>
    <w:rsid w:val="008F2CD2"/>
    <w:rsid w:val="0090339E"/>
    <w:rsid w:val="0090559A"/>
    <w:rsid w:val="00906715"/>
    <w:rsid w:val="0091337C"/>
    <w:rsid w:val="00931492"/>
    <w:rsid w:val="00946BEA"/>
    <w:rsid w:val="00951A9C"/>
    <w:rsid w:val="009550BA"/>
    <w:rsid w:val="00957604"/>
    <w:rsid w:val="00962038"/>
    <w:rsid w:val="0096231F"/>
    <w:rsid w:val="00964FDF"/>
    <w:rsid w:val="00970166"/>
    <w:rsid w:val="0097585D"/>
    <w:rsid w:val="009815D2"/>
    <w:rsid w:val="0098339F"/>
    <w:rsid w:val="0098481A"/>
    <w:rsid w:val="0098779B"/>
    <w:rsid w:val="0099464B"/>
    <w:rsid w:val="009A3A37"/>
    <w:rsid w:val="009B3B69"/>
    <w:rsid w:val="009B3FC6"/>
    <w:rsid w:val="009B47AC"/>
    <w:rsid w:val="009B7A89"/>
    <w:rsid w:val="009C0906"/>
    <w:rsid w:val="009C376A"/>
    <w:rsid w:val="009C4655"/>
    <w:rsid w:val="009C73EF"/>
    <w:rsid w:val="009E255D"/>
    <w:rsid w:val="009E2F97"/>
    <w:rsid w:val="009E393E"/>
    <w:rsid w:val="009F58D5"/>
    <w:rsid w:val="009F71CF"/>
    <w:rsid w:val="00A02B6C"/>
    <w:rsid w:val="00A03FB0"/>
    <w:rsid w:val="00A06114"/>
    <w:rsid w:val="00A0704F"/>
    <w:rsid w:val="00A155EB"/>
    <w:rsid w:val="00A2437C"/>
    <w:rsid w:val="00A303AA"/>
    <w:rsid w:val="00A314DD"/>
    <w:rsid w:val="00A375A5"/>
    <w:rsid w:val="00A37E1E"/>
    <w:rsid w:val="00A47AAD"/>
    <w:rsid w:val="00A53A38"/>
    <w:rsid w:val="00A53FF2"/>
    <w:rsid w:val="00A65E20"/>
    <w:rsid w:val="00A7113F"/>
    <w:rsid w:val="00A77AA8"/>
    <w:rsid w:val="00AA1D1A"/>
    <w:rsid w:val="00AA209B"/>
    <w:rsid w:val="00AA3EAF"/>
    <w:rsid w:val="00AB2582"/>
    <w:rsid w:val="00AB6CA0"/>
    <w:rsid w:val="00AC2F7D"/>
    <w:rsid w:val="00AC7411"/>
    <w:rsid w:val="00AC779D"/>
    <w:rsid w:val="00AD053D"/>
    <w:rsid w:val="00AD12CF"/>
    <w:rsid w:val="00AE6BB7"/>
    <w:rsid w:val="00AF0BFB"/>
    <w:rsid w:val="00AF2363"/>
    <w:rsid w:val="00AF586F"/>
    <w:rsid w:val="00B022AB"/>
    <w:rsid w:val="00B06156"/>
    <w:rsid w:val="00B20D1A"/>
    <w:rsid w:val="00B25E89"/>
    <w:rsid w:val="00B447EE"/>
    <w:rsid w:val="00B44968"/>
    <w:rsid w:val="00B524CE"/>
    <w:rsid w:val="00B66B52"/>
    <w:rsid w:val="00B70156"/>
    <w:rsid w:val="00B7650A"/>
    <w:rsid w:val="00B77036"/>
    <w:rsid w:val="00BA2473"/>
    <w:rsid w:val="00BA2EED"/>
    <w:rsid w:val="00BA537F"/>
    <w:rsid w:val="00BA7825"/>
    <w:rsid w:val="00BB1843"/>
    <w:rsid w:val="00BB1DA7"/>
    <w:rsid w:val="00BB24E1"/>
    <w:rsid w:val="00BC2A06"/>
    <w:rsid w:val="00BD0B09"/>
    <w:rsid w:val="00BD5191"/>
    <w:rsid w:val="00BE2D68"/>
    <w:rsid w:val="00BE6684"/>
    <w:rsid w:val="00BE7F41"/>
    <w:rsid w:val="00BF0B3C"/>
    <w:rsid w:val="00C00963"/>
    <w:rsid w:val="00C03527"/>
    <w:rsid w:val="00C05201"/>
    <w:rsid w:val="00C05532"/>
    <w:rsid w:val="00C069E9"/>
    <w:rsid w:val="00C06CA8"/>
    <w:rsid w:val="00C11DA5"/>
    <w:rsid w:val="00C12712"/>
    <w:rsid w:val="00C13DF9"/>
    <w:rsid w:val="00C30267"/>
    <w:rsid w:val="00C31997"/>
    <w:rsid w:val="00C333B8"/>
    <w:rsid w:val="00C3477C"/>
    <w:rsid w:val="00C37B7A"/>
    <w:rsid w:val="00C61EB3"/>
    <w:rsid w:val="00C62F24"/>
    <w:rsid w:val="00C66033"/>
    <w:rsid w:val="00C66AD0"/>
    <w:rsid w:val="00C75AA8"/>
    <w:rsid w:val="00C83CFB"/>
    <w:rsid w:val="00C843B3"/>
    <w:rsid w:val="00C87B02"/>
    <w:rsid w:val="00C92216"/>
    <w:rsid w:val="00CB28D8"/>
    <w:rsid w:val="00CB4834"/>
    <w:rsid w:val="00CB4964"/>
    <w:rsid w:val="00CC0AED"/>
    <w:rsid w:val="00CC47F2"/>
    <w:rsid w:val="00CC5208"/>
    <w:rsid w:val="00CC6A94"/>
    <w:rsid w:val="00CD0469"/>
    <w:rsid w:val="00CD11B5"/>
    <w:rsid w:val="00CE3854"/>
    <w:rsid w:val="00CF0917"/>
    <w:rsid w:val="00CF3678"/>
    <w:rsid w:val="00CF39DB"/>
    <w:rsid w:val="00CF671E"/>
    <w:rsid w:val="00CF6812"/>
    <w:rsid w:val="00D007AE"/>
    <w:rsid w:val="00D031F8"/>
    <w:rsid w:val="00D10486"/>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B3FBD"/>
    <w:rsid w:val="00DC01E5"/>
    <w:rsid w:val="00DC0C8B"/>
    <w:rsid w:val="00DC54CB"/>
    <w:rsid w:val="00DD1C68"/>
    <w:rsid w:val="00DD3E59"/>
    <w:rsid w:val="00DD54E8"/>
    <w:rsid w:val="00DE2407"/>
    <w:rsid w:val="00DE2901"/>
    <w:rsid w:val="00DF3F12"/>
    <w:rsid w:val="00DF6652"/>
    <w:rsid w:val="00DF70DA"/>
    <w:rsid w:val="00E01DB5"/>
    <w:rsid w:val="00E117DE"/>
    <w:rsid w:val="00E16FB0"/>
    <w:rsid w:val="00E33C76"/>
    <w:rsid w:val="00E56877"/>
    <w:rsid w:val="00E65E91"/>
    <w:rsid w:val="00E71239"/>
    <w:rsid w:val="00E7359B"/>
    <w:rsid w:val="00E763CA"/>
    <w:rsid w:val="00E777FD"/>
    <w:rsid w:val="00E93451"/>
    <w:rsid w:val="00E97AF6"/>
    <w:rsid w:val="00EA1640"/>
    <w:rsid w:val="00EA2F11"/>
    <w:rsid w:val="00EB1E97"/>
    <w:rsid w:val="00EB4454"/>
    <w:rsid w:val="00EC786D"/>
    <w:rsid w:val="00ED1A60"/>
    <w:rsid w:val="00ED2416"/>
    <w:rsid w:val="00ED41E8"/>
    <w:rsid w:val="00ED49F2"/>
    <w:rsid w:val="00EE12F1"/>
    <w:rsid w:val="00F0022C"/>
    <w:rsid w:val="00F00B0B"/>
    <w:rsid w:val="00F05437"/>
    <w:rsid w:val="00F11755"/>
    <w:rsid w:val="00F14B38"/>
    <w:rsid w:val="00F212C7"/>
    <w:rsid w:val="00F271A4"/>
    <w:rsid w:val="00F47D98"/>
    <w:rsid w:val="00F53072"/>
    <w:rsid w:val="00F5660A"/>
    <w:rsid w:val="00F63194"/>
    <w:rsid w:val="00F774B4"/>
    <w:rsid w:val="00F9053F"/>
    <w:rsid w:val="00F92E21"/>
    <w:rsid w:val="00FA0798"/>
    <w:rsid w:val="00FA6923"/>
    <w:rsid w:val="00FB4B02"/>
    <w:rsid w:val="00FC08A3"/>
    <w:rsid w:val="00FC4AB2"/>
    <w:rsid w:val="00FC5C4C"/>
    <w:rsid w:val="00FD6898"/>
    <w:rsid w:val="00FE2F41"/>
    <w:rsid w:val="00FF66DC"/>
    <w:rsid w:val="02122583"/>
    <w:rsid w:val="03284E8C"/>
    <w:rsid w:val="04582CCD"/>
    <w:rsid w:val="04933A7B"/>
    <w:rsid w:val="05216551"/>
    <w:rsid w:val="069B6845"/>
    <w:rsid w:val="078046A1"/>
    <w:rsid w:val="0B144742"/>
    <w:rsid w:val="0D187065"/>
    <w:rsid w:val="0D885C74"/>
    <w:rsid w:val="0F147008"/>
    <w:rsid w:val="105140A5"/>
    <w:rsid w:val="10755F3E"/>
    <w:rsid w:val="116D12E5"/>
    <w:rsid w:val="121C111E"/>
    <w:rsid w:val="12923BE2"/>
    <w:rsid w:val="14A85ECD"/>
    <w:rsid w:val="14C00400"/>
    <w:rsid w:val="16454C4B"/>
    <w:rsid w:val="17B97431"/>
    <w:rsid w:val="19B16CD8"/>
    <w:rsid w:val="19DC653D"/>
    <w:rsid w:val="1B456253"/>
    <w:rsid w:val="1D5A719B"/>
    <w:rsid w:val="1EBD0C06"/>
    <w:rsid w:val="1EF04B68"/>
    <w:rsid w:val="202E3BE9"/>
    <w:rsid w:val="20781BFB"/>
    <w:rsid w:val="210943B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70B67D01"/>
    <w:rsid w:val="70DE0671"/>
    <w:rsid w:val="714E08D2"/>
    <w:rsid w:val="724E40E7"/>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8CF2D"/>
  <w15:docId w15:val="{03B42C80-2F6D-4CBA-A5E3-C5D3280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Indent"/>
    <w:basedOn w:val="a"/>
    <w:link w:val="a6"/>
    <w:autoRedefine/>
    <w:uiPriority w:val="99"/>
    <w:semiHidden/>
    <w:unhideWhenUsed/>
    <w:qFormat/>
    <w:pPr>
      <w:spacing w:after="120"/>
      <w:ind w:leftChars="200" w:left="420"/>
    </w:pPr>
  </w:style>
  <w:style w:type="paragraph" w:styleId="a7">
    <w:name w:val="Balloon Text"/>
    <w:basedOn w:val="a"/>
    <w:link w:val="a8"/>
    <w:uiPriority w:val="99"/>
    <w:semiHidden/>
    <w:unhideWhenUsed/>
    <w:qFormat/>
    <w:rPr>
      <w:sz w:val="18"/>
      <w:szCs w:val="18"/>
    </w:rPr>
  </w:style>
  <w:style w:type="paragraph" w:styleId="a9">
    <w:name w:val="footer"/>
    <w:basedOn w:val="a"/>
    <w:link w:val="aa"/>
    <w:autoRedefine/>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ad">
    <w:name w:val="Normal (Web)"/>
    <w:basedOn w:val="a"/>
    <w:uiPriority w:val="99"/>
    <w:semiHidden/>
    <w:unhideWhenUsed/>
    <w:qFormat/>
    <w:pPr>
      <w:spacing w:before="100" w:beforeAutospacing="1" w:after="100" w:afterAutospacing="1"/>
    </w:pPr>
  </w:style>
  <w:style w:type="paragraph" w:styleId="ae">
    <w:name w:val="annotation subject"/>
    <w:basedOn w:val="a3"/>
    <w:next w:val="a3"/>
    <w:link w:val="af"/>
    <w:autoRedefine/>
    <w:uiPriority w:val="99"/>
    <w:semiHidden/>
    <w:unhideWhenUsed/>
    <w:qFormat/>
    <w:rPr>
      <w:b/>
      <w:bCs/>
    </w:rPr>
  </w:style>
  <w:style w:type="paragraph" w:styleId="2">
    <w:name w:val="Body Text First Indent 2"/>
    <w:basedOn w:val="a5"/>
    <w:link w:val="20"/>
    <w:autoRedefine/>
    <w:uiPriority w:val="99"/>
    <w:semiHidden/>
    <w:unhideWhenUsed/>
    <w:qFormat/>
    <w:pPr>
      <w:ind w:firstLineChars="200" w:firstLine="420"/>
    </w:pPr>
  </w:style>
  <w:style w:type="table" w:styleId="af0">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iPriority w:val="99"/>
    <w:semiHidden/>
    <w:unhideWhenUsed/>
    <w:qFormat/>
    <w:rPr>
      <w:sz w:val="21"/>
      <w:szCs w:val="21"/>
    </w:rPr>
  </w:style>
  <w:style w:type="character" w:customStyle="1" w:styleId="ac">
    <w:name w:val="页眉 字符"/>
    <w:basedOn w:val="a0"/>
    <w:link w:val="ab"/>
    <w:uiPriority w:val="99"/>
    <w:qFormat/>
    <w:rPr>
      <w:rFonts w:ascii="Tahoma" w:hAnsi="Tahoma"/>
      <w:sz w:val="18"/>
      <w:szCs w:val="18"/>
    </w:rPr>
  </w:style>
  <w:style w:type="character" w:customStyle="1" w:styleId="aa">
    <w:name w:val="页脚 字符"/>
    <w:basedOn w:val="a0"/>
    <w:link w:val="a9"/>
    <w:autoRedefine/>
    <w:uiPriority w:val="99"/>
    <w:semiHidden/>
    <w:qFormat/>
    <w:rPr>
      <w:rFonts w:ascii="Tahoma" w:hAnsi="Tahoma"/>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autoRedefine/>
    <w:uiPriority w:val="99"/>
    <w:semiHidden/>
    <w:qFormat/>
    <w:rPr>
      <w:rFonts w:ascii="Tahoma" w:hAnsi="Tahoma"/>
    </w:rPr>
  </w:style>
  <w:style w:type="character" w:customStyle="1" w:styleId="af">
    <w:name w:val="批注主题 字符"/>
    <w:basedOn w:val="a4"/>
    <w:link w:val="ae"/>
    <w:autoRedefine/>
    <w:uiPriority w:val="99"/>
    <w:semiHidden/>
    <w:qFormat/>
    <w:rPr>
      <w:rFonts w:ascii="Tahoma" w:hAnsi="Tahoma"/>
      <w:b/>
      <w:bCs/>
    </w:rPr>
  </w:style>
  <w:style w:type="character" w:customStyle="1" w:styleId="a8">
    <w:name w:val="批注框文本 字符"/>
    <w:basedOn w:val="a0"/>
    <w:link w:val="a7"/>
    <w:autoRedefine/>
    <w:uiPriority w:val="99"/>
    <w:semiHidden/>
    <w:qFormat/>
    <w:rPr>
      <w:rFonts w:ascii="Tahoma" w:hAnsi="Tahoma"/>
      <w:sz w:val="18"/>
      <w:szCs w:val="18"/>
    </w:rPr>
  </w:style>
  <w:style w:type="paragraph" w:customStyle="1" w:styleId="p0">
    <w:name w:val="p0"/>
    <w:basedOn w:val="a"/>
    <w:autoRedefine/>
    <w:qFormat/>
    <w:pPr>
      <w:jc w:val="both"/>
    </w:pPr>
    <w:rPr>
      <w:rFonts w:ascii="Times New Roman" w:hAnsi="Times New Roman" w:cs="Times New Roman"/>
      <w:sz w:val="21"/>
      <w:szCs w:val="21"/>
    </w:r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21">
    <w:name w:val="fontstyle21"/>
    <w:basedOn w:val="a0"/>
    <w:autoRedefine/>
    <w:qFormat/>
    <w:rPr>
      <w:rFonts w:ascii="Times New Roman" w:hAnsi="Times New Roman" w:cs="Times New Roman" w:hint="default"/>
      <w:color w:val="000000"/>
      <w:sz w:val="24"/>
      <w:szCs w:val="24"/>
    </w:rPr>
  </w:style>
  <w:style w:type="character" w:customStyle="1" w:styleId="fontstyle11">
    <w:name w:val="fontstyle11"/>
    <w:basedOn w:val="a0"/>
    <w:autoRedefine/>
    <w:qFormat/>
    <w:rPr>
      <w:rFonts w:ascii="宋体" w:eastAsia="宋体" w:hAnsi="宋体" w:hint="eastAsia"/>
      <w:color w:val="000000"/>
      <w:sz w:val="24"/>
      <w:szCs w:val="24"/>
    </w:rPr>
  </w:style>
  <w:style w:type="character" w:customStyle="1" w:styleId="da1">
    <w:name w:val="da1"/>
    <w:autoRedefine/>
    <w:qFormat/>
    <w:rPr>
      <w:rFonts w:ascii="ˎ̥" w:hAnsi="ˎ̥" w:hint="default"/>
      <w:color w:val="000000"/>
      <w:sz w:val="28"/>
      <w:szCs w:val="28"/>
      <w:u w:val="none"/>
    </w:rPr>
  </w:style>
  <w:style w:type="paragraph" w:customStyle="1" w:styleId="Default">
    <w:name w:val="Default"/>
    <w:autoRedefine/>
    <w:uiPriority w:val="99"/>
    <w:unhideWhenUsed/>
    <w:qFormat/>
    <w:pPr>
      <w:widowControl w:val="0"/>
      <w:autoSpaceDE w:val="0"/>
      <w:autoSpaceDN w:val="0"/>
      <w:adjustRightInd w:val="0"/>
    </w:pPr>
    <w:rPr>
      <w:rFonts w:ascii="宋体" w:hAnsi="宋体" w:hint="eastAsia"/>
      <w:color w:val="000000"/>
      <w:sz w:val="24"/>
    </w:rPr>
  </w:style>
  <w:style w:type="paragraph" w:customStyle="1" w:styleId="1">
    <w:name w:val="修订1"/>
    <w:autoRedefine/>
    <w:hidden/>
    <w:uiPriority w:val="99"/>
    <w:semiHidden/>
    <w:qFormat/>
    <w:rPr>
      <w:rFonts w:ascii="宋体" w:hAnsi="宋体" w:cs="宋体"/>
      <w:sz w:val="24"/>
      <w:szCs w:val="24"/>
    </w:rPr>
  </w:style>
  <w:style w:type="character" w:customStyle="1" w:styleId="a6">
    <w:name w:val="正文文本缩进 字符"/>
    <w:basedOn w:val="a0"/>
    <w:link w:val="a5"/>
    <w:autoRedefine/>
    <w:uiPriority w:val="99"/>
    <w:semiHidden/>
    <w:qFormat/>
    <w:rPr>
      <w:rFonts w:ascii="宋体" w:hAnsi="宋体" w:cs="宋体"/>
      <w:sz w:val="24"/>
      <w:szCs w:val="24"/>
    </w:rPr>
  </w:style>
  <w:style w:type="character" w:customStyle="1" w:styleId="20">
    <w:name w:val="正文文本首行缩进 2 字符"/>
    <w:basedOn w:val="a6"/>
    <w:link w:val="2"/>
    <w:autoRedefine/>
    <w:uiPriority w:val="99"/>
    <w:semiHidden/>
    <w:qFormat/>
    <w:rPr>
      <w:rFonts w:ascii="宋体" w:hAnsi="宋体" w:cs="宋体"/>
      <w:sz w:val="24"/>
      <w:szCs w:val="24"/>
    </w:rPr>
  </w:style>
  <w:style w:type="paragraph" w:customStyle="1" w:styleId="002">
    <w:name w:val="002二级标题"/>
    <w:link w:val="002Char"/>
    <w:autoRedefine/>
    <w:qFormat/>
    <w:pPr>
      <w:keepNext/>
      <w:keepLines/>
      <w:spacing w:beforeLines="50" w:before="50" w:afterLines="50" w:after="50" w:line="360" w:lineRule="auto"/>
      <w:ind w:firstLineChars="200" w:firstLine="200"/>
      <w:jc w:val="both"/>
      <w:outlineLvl w:val="1"/>
    </w:pPr>
    <w:rPr>
      <w:b/>
      <w:bCs/>
      <w:kern w:val="2"/>
      <w:sz w:val="24"/>
      <w:szCs w:val="28"/>
    </w:rPr>
  </w:style>
  <w:style w:type="character" w:customStyle="1" w:styleId="002Char">
    <w:name w:val="002二级标题 Char"/>
    <w:link w:val="002"/>
    <w:autoRedefine/>
    <w:qFormat/>
    <w:rPr>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ninfo.com.cn" TargetMode="External"/><Relationship Id="rId4" Type="http://schemas.openxmlformats.org/officeDocument/2006/relationships/webSettings" Target="webSettings.xml"/><Relationship Id="rId9" Type="http://schemas.openxmlformats.org/officeDocument/2006/relationships/hyperlink" Target="http://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491</Words>
  <Characters>2805</Characters>
  <Application>Microsoft Office Word</Application>
  <DocSecurity>0</DocSecurity>
  <Lines>23</Lines>
  <Paragraphs>6</Paragraphs>
  <ScaleCrop>false</ScaleCrop>
  <Company>微软中国</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何帅047185</cp:lastModifiedBy>
  <cp:revision>258</cp:revision>
  <dcterms:created xsi:type="dcterms:W3CDTF">2019-10-29T03:51:00Z</dcterms:created>
  <dcterms:modified xsi:type="dcterms:W3CDTF">2023-12-28T08:02:00Z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D241D0B8043C4DF585214B0E263F05A0</vt:lpwstr>
  </property>
</Properties>
</file>