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hint="default" w:ascii="宋体" w:hAnsi="宋体" w:eastAsia="宋体" w:cs="宋体"/>
          <w:lang w:val="en-US" w:eastAsia="zh-CN"/>
        </w:rPr>
      </w:pPr>
      <w:r>
        <w:rPr>
          <w:rFonts w:hint="eastAsia" w:ascii="宋体" w:hAnsi="宋体" w:eastAsia="宋体" w:cs="宋体"/>
        </w:rPr>
        <w:t>股票代码：002871             股票简称:伟隆股份            公告编号：202</w:t>
      </w:r>
      <w:r>
        <w:rPr>
          <w:rFonts w:hint="eastAsia" w:ascii="宋体" w:hAnsi="宋体" w:eastAsia="宋体" w:cs="宋体"/>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default" w:ascii="宋体" w:hAnsi="宋体" w:cs="宋体"/>
          <w:highlight w:val="none"/>
          <w:lang w:val="en-US" w:eastAsia="zh-CN"/>
        </w:rPr>
        <w:t>2</w:t>
      </w:r>
      <w:r>
        <w:rPr>
          <w:rFonts w:hint="default" w:ascii="宋体" w:hAnsi="宋体" w:eastAsia="宋体" w:cs="宋体"/>
          <w:highlight w:val="none"/>
          <w:lang w:val="en-US" w:eastAsia="zh-CN"/>
        </w:rPr>
        <w:t>0</w:t>
      </w:r>
    </w:p>
    <w:p>
      <w:pPr>
        <w:spacing w:after="156" w:afterLines="50"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青岛伟隆阀门股份有限公司</w:t>
      </w:r>
    </w:p>
    <w:p>
      <w:pPr>
        <w:spacing w:after="156" w:afterLines="50" w:line="480" w:lineRule="exact"/>
        <w:jc w:val="center"/>
        <w:rPr>
          <w:rFonts w:hint="eastAsia" w:ascii="宋体" w:hAnsi="宋体" w:eastAsia="宋体" w:cs="宋体"/>
          <w:b/>
          <w:bCs/>
          <w:sz w:val="28"/>
          <w:szCs w:val="28"/>
        </w:rPr>
      </w:pPr>
      <w:r>
        <w:rPr>
          <w:rFonts w:hint="eastAsia" w:ascii="宋体" w:hAnsi="宋体" w:cs="宋体"/>
          <w:b/>
          <w:bCs/>
          <w:sz w:val="28"/>
          <w:szCs w:val="28"/>
          <w:lang w:eastAsia="zh-CN"/>
        </w:rPr>
        <w:t>2023年第四次临时</w:t>
      </w:r>
      <w:r>
        <w:rPr>
          <w:rFonts w:hint="eastAsia" w:ascii="宋体" w:hAnsi="宋体" w:eastAsia="宋体" w:cs="宋体"/>
          <w:b/>
          <w:bCs/>
          <w:sz w:val="28"/>
          <w:szCs w:val="28"/>
        </w:rPr>
        <w:t>股东大会决议的公告</w:t>
      </w:r>
    </w:p>
    <w:p>
      <w:pPr>
        <w:pStyle w:val="20"/>
        <w:spacing w:after="156" w:afterLines="50"/>
        <w:rPr>
          <w:rFonts w:hint="eastAsia" w:ascii="宋体" w:hAnsi="宋体" w:eastAsia="宋体" w:cs="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19" w:type="dxa"/>
            <w:noWrap w:val="0"/>
            <w:vAlign w:val="top"/>
          </w:tcPr>
          <w:p>
            <w:pPr>
              <w:pStyle w:val="20"/>
              <w:spacing w:after="156" w:afterLines="50"/>
              <w:ind w:left="-2" w:leftChars="-1" w:right="-218" w:rightChars="-104" w:firstLine="475" w:firstLineChars="198"/>
              <w:rPr>
                <w:rFonts w:hint="eastAsia" w:ascii="宋体" w:hAnsi="宋体" w:eastAsia="宋体" w:cs="宋体"/>
                <w:bCs/>
                <w:color w:val="auto"/>
              </w:rPr>
            </w:pPr>
            <w:r>
              <w:rPr>
                <w:rFonts w:hint="eastAsia" w:ascii="宋体" w:hAnsi="宋体" w:eastAsia="宋体" w:cs="宋体"/>
                <w:bCs/>
                <w:color w:val="auto"/>
              </w:rPr>
              <w:t xml:space="preserve">本公司及董事会全体成员保证信息披露的内容真实、准确、完整，没有虚假记载、误导性陈述或重大遗漏。 </w:t>
            </w:r>
          </w:p>
        </w:tc>
      </w:tr>
    </w:tbl>
    <w:p>
      <w:pPr>
        <w:pStyle w:val="20"/>
        <w:spacing w:after="156" w:afterLines="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after="156" w:afterLines="50" w:line="480" w:lineRule="exact"/>
        <w:ind w:left="0" w:leftChars="0" w:firstLine="422" w:firstLineChars="175"/>
        <w:jc w:val="both"/>
        <w:rPr>
          <w:rFonts w:hint="eastAsia" w:ascii="宋体" w:hAnsi="宋体" w:eastAsia="宋体" w:cs="宋体"/>
          <w:b/>
          <w:sz w:val="24"/>
          <w:szCs w:val="24"/>
        </w:rPr>
      </w:pPr>
      <w:r>
        <w:rPr>
          <w:rFonts w:hint="eastAsia" w:ascii="宋体" w:hAnsi="宋体" w:eastAsia="宋体" w:cs="宋体"/>
          <w:b/>
          <w:sz w:val="24"/>
          <w:szCs w:val="24"/>
        </w:rPr>
        <w:t>重要内容提示：</w:t>
      </w:r>
    </w:p>
    <w:p>
      <w:pPr>
        <w:spacing w:after="156" w:afterLines="50" w:line="480" w:lineRule="exact"/>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 xml:space="preserve"> 1、本次股东大会没有出现否决议案的情形； </w:t>
      </w:r>
    </w:p>
    <w:p>
      <w:pPr>
        <w:spacing w:after="156" w:afterLines="50" w:line="480" w:lineRule="exact"/>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 xml:space="preserve"> 2、本次股东大会不涉及变更前次股东大会决议。</w:t>
      </w:r>
    </w:p>
    <w:p>
      <w:pPr>
        <w:wordWrap w:val="0"/>
        <w:spacing w:after="156" w:afterLines="50" w:line="480" w:lineRule="exact"/>
        <w:ind w:left="0" w:leftChars="0" w:firstLine="422" w:firstLineChars="175"/>
        <w:jc w:val="both"/>
        <w:rPr>
          <w:rFonts w:hint="eastAsia" w:ascii="宋体" w:hAnsi="宋体" w:eastAsia="宋体" w:cs="宋体"/>
          <w:b/>
          <w:bCs/>
          <w:sz w:val="24"/>
          <w:szCs w:val="24"/>
        </w:rPr>
      </w:pPr>
      <w:r>
        <w:rPr>
          <w:rFonts w:hint="eastAsia" w:ascii="宋体" w:hAnsi="宋体" w:eastAsia="宋体" w:cs="宋体"/>
          <w:b/>
          <w:bCs/>
          <w:sz w:val="24"/>
          <w:szCs w:val="24"/>
        </w:rPr>
        <w:t>一、会议召开和出席情况</w:t>
      </w:r>
    </w:p>
    <w:p>
      <w:pPr>
        <w:wordWrap w:val="0"/>
        <w:spacing w:after="156" w:afterLines="50" w:line="480" w:lineRule="exact"/>
        <w:ind w:left="0" w:leftChars="0" w:firstLine="422" w:firstLineChars="175"/>
        <w:jc w:val="both"/>
        <w:rPr>
          <w:rFonts w:hint="eastAsia" w:ascii="宋体" w:hAnsi="宋体" w:eastAsia="宋体" w:cs="宋体"/>
          <w:b/>
          <w:bCs/>
          <w:sz w:val="24"/>
          <w:szCs w:val="24"/>
        </w:rPr>
      </w:pPr>
      <w:r>
        <w:rPr>
          <w:rFonts w:hint="eastAsia" w:ascii="宋体" w:hAnsi="宋体" w:eastAsia="宋体" w:cs="宋体"/>
          <w:b/>
          <w:bCs/>
          <w:sz w:val="24"/>
          <w:szCs w:val="24"/>
        </w:rPr>
        <w:t>1 、会议召开情况</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（1）现场会议召开时间：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日（星期四）</w:t>
      </w:r>
      <w:r>
        <w:rPr>
          <w:rFonts w:hint="eastAsia" w:ascii="宋体" w:hAnsi="宋体" w:eastAsia="宋体" w:cs="宋体"/>
          <w:sz w:val="24"/>
          <w:szCs w:val="24"/>
        </w:rPr>
        <w:t>下午 14:00</w:t>
      </w:r>
      <w:r>
        <w:rPr>
          <w:rFonts w:hint="eastAsia" w:ascii="宋体" w:hAnsi="宋体" w:eastAsia="宋体" w:cs="宋体"/>
          <w:bCs/>
          <w:sz w:val="24"/>
          <w:szCs w:val="24"/>
        </w:rPr>
        <w:t>。</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（2）会议召开方式</w:t>
      </w:r>
      <w:bookmarkStart w:id="0" w:name="_GoBack"/>
      <w:bookmarkEnd w:id="0"/>
      <w:r>
        <w:rPr>
          <w:rFonts w:hint="eastAsia" w:ascii="宋体" w:hAnsi="宋体" w:eastAsia="宋体" w:cs="宋体"/>
          <w:bCs/>
          <w:sz w:val="24"/>
          <w:szCs w:val="24"/>
        </w:rPr>
        <w:t>：本次股东大会采用现场投票和网络投票相结合的方式。</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sz w:val="24"/>
          <w:szCs w:val="24"/>
        </w:rPr>
        <w:t>网络投票时间：通过深圳证券交易所交易系统进行网络投票的时间为2023年</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r>
        <w:rPr>
          <w:rFonts w:hint="eastAsia" w:ascii="宋体" w:hAnsi="宋体" w:eastAsia="宋体" w:cs="宋体"/>
          <w:sz w:val="24"/>
          <w:szCs w:val="24"/>
        </w:rPr>
        <w:t>的交易时间，即9:15—9:25，9:30－11:30和13:00－15:00；通过深圳证券交易所互联网系统投票的具体时间为2023年</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r>
        <w:rPr>
          <w:rFonts w:hint="eastAsia" w:ascii="宋体" w:hAnsi="宋体" w:eastAsia="宋体" w:cs="宋体"/>
          <w:sz w:val="24"/>
          <w:szCs w:val="24"/>
        </w:rPr>
        <w:t>9：15至15：00期间的任意时间。</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（4）现场会议召开地点：</w:t>
      </w:r>
      <w:r>
        <w:rPr>
          <w:rFonts w:hint="eastAsia" w:ascii="宋体" w:hAnsi="宋体" w:eastAsia="宋体" w:cs="宋体"/>
          <w:sz w:val="24"/>
          <w:szCs w:val="24"/>
        </w:rPr>
        <w:t>山东省青岛市高新技术产业开发区春阳路789号伟隆股份公司三楼会议室以现场方式召开。</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（5）召集人：公司第四届董事会。</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（6）现场会议主持人：公司董事长范庆伟先生。</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（7）本次股东大会会议的召集、召开与表决程序符合《公司法》《上市公司股东大会规则》《深圳证券交易所股票上市规则》及《公司章程》等法律、法规及规范性文件的规定。</w:t>
      </w:r>
    </w:p>
    <w:p>
      <w:pPr>
        <w:wordWrap w:val="0"/>
        <w:spacing w:after="156" w:afterLines="50" w:line="480" w:lineRule="exact"/>
        <w:ind w:left="0" w:leftChars="0" w:firstLine="422" w:firstLineChars="175"/>
        <w:jc w:val="both"/>
        <w:rPr>
          <w:rFonts w:hint="eastAsia" w:ascii="宋体" w:hAnsi="宋体" w:eastAsia="宋体" w:cs="宋体"/>
          <w:b/>
          <w:bCs/>
          <w:sz w:val="24"/>
          <w:szCs w:val="24"/>
        </w:rPr>
      </w:pPr>
      <w:r>
        <w:rPr>
          <w:rFonts w:hint="eastAsia" w:ascii="宋体" w:hAnsi="宋体" w:eastAsia="宋体" w:cs="宋体"/>
          <w:b/>
          <w:bCs/>
          <w:sz w:val="24"/>
          <w:szCs w:val="24"/>
        </w:rPr>
        <w:t>2 、出席情况</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（1）股东出席会议的总体情况</w:t>
      </w:r>
    </w:p>
    <w:p>
      <w:pPr>
        <w:wordWrap w:val="0"/>
        <w:spacing w:after="156" w:afterLines="50" w:line="480" w:lineRule="exact"/>
        <w:ind w:left="0" w:leftChars="0" w:firstLine="420" w:firstLineChars="175"/>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通过现场和网络投票的股东</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人，代表股份141,388,455股，占上市公司总股份的64.4021％。</w:t>
      </w:r>
    </w:p>
    <w:p>
      <w:pPr>
        <w:wordWrap w:val="0"/>
        <w:spacing w:after="156" w:afterLines="50" w:line="480" w:lineRule="exact"/>
        <w:ind w:left="0" w:leftChars="0" w:firstLine="420" w:firstLineChars="175"/>
        <w:jc w:val="both"/>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其中：通过现场投票的股东3人，代表股份141,388,455股，占上市公司总股份的64.4021％；</w:t>
      </w:r>
    </w:p>
    <w:p>
      <w:pPr>
        <w:wordWrap w:val="0"/>
        <w:spacing w:after="156" w:afterLines="50" w:line="480" w:lineRule="exact"/>
        <w:ind w:left="0" w:leftChars="0" w:firstLine="420" w:firstLineChars="175"/>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通过网络投票的股东</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人，代表股份</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股，占上市公司总股份的0.0000％。</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（2）中小股东出席的总体情况：</w:t>
      </w:r>
    </w:p>
    <w:p>
      <w:pPr>
        <w:wordWrap w:val="0"/>
        <w:spacing w:after="156" w:afterLines="50" w:line="480" w:lineRule="exact"/>
        <w:ind w:left="0" w:leftChars="0" w:firstLine="420" w:firstLineChars="175"/>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通过现场和网络投票的中小股东</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人，代表股份</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股，占上市公司总股份的0.0000％。</w:t>
      </w:r>
    </w:p>
    <w:p>
      <w:pPr>
        <w:wordWrap w:val="0"/>
        <w:spacing w:after="156" w:afterLines="50" w:line="480" w:lineRule="exact"/>
        <w:ind w:left="0" w:leftChars="0" w:firstLine="420" w:firstLineChars="175"/>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其中：通过现场投票的中小股东0人，代表股份0股，占上市公司总股份的0.0000％。</w:t>
      </w:r>
    </w:p>
    <w:p>
      <w:pPr>
        <w:wordWrap w:val="0"/>
        <w:spacing w:after="156" w:afterLines="50" w:line="480" w:lineRule="exact"/>
        <w:ind w:left="0" w:leftChars="0" w:firstLine="420" w:firstLineChars="175"/>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通过网络投票的中小股东</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人，代表股份</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股，占上市公司总股份的0.0000％。</w:t>
      </w:r>
    </w:p>
    <w:p>
      <w:pPr>
        <w:wordWrap w:val="0"/>
        <w:spacing w:after="156" w:afterLines="50" w:line="480" w:lineRule="exact"/>
        <w:ind w:left="0" w:leftChars="0" w:firstLine="420" w:firstLineChars="175"/>
        <w:jc w:val="both"/>
        <w:rPr>
          <w:rFonts w:hint="eastAsia" w:ascii="宋体" w:hAnsi="宋体" w:eastAsia="宋体" w:cs="宋体"/>
          <w:bCs/>
          <w:sz w:val="24"/>
          <w:szCs w:val="24"/>
        </w:rPr>
      </w:pPr>
      <w:r>
        <w:rPr>
          <w:rFonts w:hint="eastAsia" w:ascii="宋体" w:hAnsi="宋体" w:eastAsia="宋体" w:cs="宋体"/>
          <w:bCs/>
          <w:sz w:val="24"/>
          <w:szCs w:val="24"/>
        </w:rPr>
        <w:t>（3）公司部分董事、监事和董事会秘书出席了本次股东大会，公司高级管理人员和北京德和衡律师事务所见证律师列席了本次股东大会。</w:t>
      </w:r>
    </w:p>
    <w:p>
      <w:pPr>
        <w:wordWrap w:val="0"/>
        <w:spacing w:after="156" w:afterLines="50" w:line="480" w:lineRule="exact"/>
        <w:ind w:left="0" w:leftChars="0" w:firstLine="422" w:firstLineChars="175"/>
        <w:jc w:val="both"/>
        <w:rPr>
          <w:rFonts w:hint="eastAsia" w:ascii="宋体" w:hAnsi="宋体" w:eastAsia="宋体" w:cs="宋体"/>
          <w:b/>
          <w:bCs/>
          <w:sz w:val="24"/>
          <w:szCs w:val="24"/>
        </w:rPr>
      </w:pPr>
      <w:r>
        <w:rPr>
          <w:rFonts w:hint="eastAsia" w:ascii="宋体" w:hAnsi="宋体" w:eastAsia="宋体" w:cs="宋体"/>
          <w:b/>
          <w:bCs/>
          <w:sz w:val="24"/>
          <w:szCs w:val="24"/>
        </w:rPr>
        <w:t>二、议案的审议和表决情况</w:t>
      </w: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1、审议《关于修订&lt;公司章程&gt;的议案》；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2、审议《关于修订&lt;股东大会议事规则&gt;的议案》；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3、审议《关于修订&lt;董事会议事规则&gt;的议案》；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4、审议《关于修订&lt;监事会议事规则&gt;的议案》；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5、审议《关于修订&lt;独立董事工作细则&gt;的议案》；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6、审议《关于修订&lt;募集资金管理制度&gt;的议案》；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7、审议《关于修订&lt;股东大会累积投票制实施细则&gt;的议案》；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8、审议《关于修订&lt;对外投资管理制度&gt;的议案》；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9、审议《关于修订&lt;关联交易管理制度&gt;的议案》；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422" w:firstLineChars="175"/>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10、审议《关于修订&lt;融资与对外担保管理办法&gt;的议案》；</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表决结果：同意141,388,455股，占出席会议所有股东所持股份的100.0000％；反对0股，占出席会议所有股东所持股份的0.0000％；弃权0股（其中，因未投票默认弃权0股），占出席会议所有股东所持股份的0.0000％。</w:t>
      </w:r>
    </w:p>
    <w:p>
      <w:pPr>
        <w:spacing w:line="360" w:lineRule="auto"/>
        <w:ind w:left="0" w:leftChars="0" w:firstLine="420" w:firstLineChars="175"/>
        <w:jc w:val="both"/>
        <w:rPr>
          <w:rFonts w:hint="eastAsia" w:ascii="宋体" w:hAnsi="宋体" w:eastAsia="宋体" w:cs="宋体"/>
          <w:sz w:val="24"/>
          <w:szCs w:val="24"/>
          <w:lang w:eastAsia="zh-CN"/>
        </w:rPr>
      </w:pP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中小投资者表决结果为：同意0股，占出席会议的中小股东所持股份的0.0000％；反对0股，占出席会议的中小股东所持股份的0.0000％；弃权0股（其中，因未投票默认弃权0股），占出席会议的中小股东所持股份的0.0000％。</w:t>
      </w:r>
    </w:p>
    <w:p>
      <w:pPr>
        <w:wordWrap w:val="0"/>
        <w:spacing w:line="480" w:lineRule="exact"/>
        <w:ind w:left="0" w:leftChars="0" w:firstLine="420" w:firstLineChars="175"/>
        <w:jc w:val="both"/>
        <w:rPr>
          <w:rFonts w:hint="eastAsia" w:ascii="宋体" w:hAnsi="宋体" w:eastAsia="宋体" w:cs="宋体"/>
          <w:bCs/>
          <w:sz w:val="24"/>
          <w:szCs w:val="24"/>
          <w:highlight w:val="none"/>
        </w:rPr>
      </w:pPr>
    </w:p>
    <w:p>
      <w:pPr>
        <w:wordWrap w:val="0"/>
        <w:spacing w:after="156" w:afterLines="50" w:line="480" w:lineRule="exact"/>
        <w:ind w:left="0" w:leftChars="0" w:firstLine="422" w:firstLineChars="175"/>
        <w:jc w:val="both"/>
        <w:rPr>
          <w:rFonts w:hint="eastAsia" w:ascii="宋体" w:hAnsi="宋体" w:eastAsia="宋体" w:cs="宋体"/>
          <w:b/>
          <w:bCs/>
          <w:sz w:val="24"/>
          <w:szCs w:val="24"/>
        </w:rPr>
      </w:pPr>
      <w:r>
        <w:rPr>
          <w:rFonts w:hint="eastAsia" w:ascii="宋体" w:hAnsi="宋体" w:eastAsia="宋体" w:cs="宋体"/>
          <w:b/>
          <w:bCs/>
          <w:sz w:val="24"/>
          <w:szCs w:val="24"/>
        </w:rPr>
        <w:t>三、律师出具的法律意见</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北京德和衡律师事务所见证律师认为，本次股东大会的召集和召开程序、召集人和出席会议人员的资格、表决程序和表决结果均符合《公司法》《股东大会规则》《公司章程》及相关法律法规的有关规定，本次股东大会表决结果合法、有效。</w:t>
      </w:r>
    </w:p>
    <w:p>
      <w:pPr>
        <w:wordWrap w:val="0"/>
        <w:spacing w:after="156" w:afterLines="50" w:line="480" w:lineRule="exact"/>
        <w:ind w:left="0" w:leftChars="0" w:firstLine="422" w:firstLineChars="175"/>
        <w:jc w:val="both"/>
        <w:rPr>
          <w:rFonts w:hint="eastAsia" w:ascii="宋体" w:hAnsi="宋体" w:eastAsia="宋体" w:cs="宋体"/>
          <w:b/>
          <w:bCs/>
          <w:sz w:val="24"/>
          <w:szCs w:val="24"/>
        </w:rPr>
      </w:pPr>
      <w:r>
        <w:rPr>
          <w:rFonts w:hint="eastAsia" w:ascii="宋体" w:hAnsi="宋体" w:eastAsia="宋体" w:cs="宋体"/>
          <w:b/>
          <w:bCs/>
          <w:sz w:val="24"/>
          <w:szCs w:val="24"/>
        </w:rPr>
        <w:t xml:space="preserve">四、备查文件 </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1、青岛伟隆阀门股份有限公司2023年第四次临时股东大会决议；</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2、《北京德和衡律师事务所关于青岛伟隆阀门股份有限公司2023年第四次临时股东大会的法律意见书》。 </w:t>
      </w:r>
    </w:p>
    <w:p>
      <w:pPr>
        <w:spacing w:line="360" w:lineRule="auto"/>
        <w:ind w:left="0" w:leftChars="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特此公告！</w:t>
      </w:r>
    </w:p>
    <w:p>
      <w:pPr>
        <w:wordWrap w:val="0"/>
        <w:spacing w:after="156" w:afterLines="50" w:line="480" w:lineRule="exact"/>
        <w:ind w:firstLine="4080" w:firstLineChars="1700"/>
        <w:rPr>
          <w:rFonts w:hint="eastAsia" w:ascii="宋体" w:hAnsi="宋体" w:eastAsia="宋体" w:cs="宋体"/>
          <w:bCs/>
          <w:sz w:val="24"/>
        </w:rPr>
      </w:pPr>
      <w:r>
        <w:rPr>
          <w:rFonts w:hint="eastAsia" w:ascii="宋体" w:hAnsi="宋体" w:eastAsia="宋体" w:cs="宋体"/>
          <w:bCs/>
          <w:sz w:val="24"/>
        </w:rPr>
        <w:t>青岛伟隆阀门股份有限公司董事会</w:t>
      </w:r>
    </w:p>
    <w:p>
      <w:pPr>
        <w:wordWrap w:val="0"/>
        <w:spacing w:after="156" w:afterLines="50" w:line="480" w:lineRule="exact"/>
        <w:ind w:firstLine="4656" w:firstLineChars="1940"/>
        <w:rPr>
          <w:rFonts w:hint="eastAsia" w:ascii="宋体" w:hAnsi="宋体" w:eastAsia="宋体" w:cs="宋体"/>
          <w:bCs/>
          <w:sz w:val="24"/>
        </w:rPr>
      </w:pPr>
      <w:r>
        <w:rPr>
          <w:rFonts w:hint="eastAsia" w:ascii="宋体" w:hAnsi="宋体" w:eastAsia="宋体" w:cs="宋体"/>
          <w:bCs/>
          <w:sz w:val="24"/>
        </w:rPr>
        <w:t>202</w:t>
      </w:r>
      <w:r>
        <w:rPr>
          <w:rFonts w:hint="eastAsia" w:ascii="宋体" w:hAnsi="宋体" w:eastAsia="宋体" w:cs="宋体"/>
          <w:bCs/>
          <w:sz w:val="24"/>
          <w:lang w:val="en-US" w:eastAsia="zh-CN"/>
        </w:rPr>
        <w:t>3</w:t>
      </w:r>
      <w:r>
        <w:rPr>
          <w:rFonts w:hint="eastAsia" w:ascii="宋体" w:hAnsi="宋体" w:eastAsia="宋体" w:cs="宋体"/>
          <w:bCs/>
          <w:sz w:val="24"/>
        </w:rPr>
        <w:t>年</w:t>
      </w:r>
      <w:r>
        <w:rPr>
          <w:rFonts w:hint="eastAsia" w:ascii="宋体" w:hAnsi="宋体" w:eastAsia="宋体" w:cs="宋体"/>
          <w:bCs/>
          <w:sz w:val="24"/>
          <w:lang w:val="en-US" w:eastAsia="zh-CN"/>
        </w:rPr>
        <w:t>1</w:t>
      </w:r>
      <w:r>
        <w:rPr>
          <w:rFonts w:hint="eastAsia" w:ascii="宋体" w:hAnsi="宋体" w:cs="宋体"/>
          <w:bCs/>
          <w:sz w:val="24"/>
          <w:lang w:val="en-US" w:eastAsia="zh-CN"/>
        </w:rPr>
        <w:t>2</w:t>
      </w:r>
      <w:r>
        <w:rPr>
          <w:rFonts w:hint="eastAsia" w:ascii="宋体" w:hAnsi="宋体" w:eastAsia="宋体" w:cs="宋体"/>
          <w:bCs/>
          <w:sz w:val="24"/>
          <w:lang w:eastAsia="zh-CN"/>
        </w:rPr>
        <w:t>月</w:t>
      </w:r>
      <w:r>
        <w:rPr>
          <w:rFonts w:hint="eastAsia" w:ascii="宋体" w:hAnsi="宋体" w:cs="宋体"/>
          <w:bCs/>
          <w:sz w:val="24"/>
          <w:lang w:val="en-US" w:eastAsia="zh-CN"/>
        </w:rPr>
        <w:t>29</w:t>
      </w:r>
      <w:r>
        <w:rPr>
          <w:rFonts w:hint="eastAsia" w:ascii="宋体" w:hAnsi="宋体" w:eastAsia="宋体" w:cs="宋体"/>
          <w:bCs/>
          <w:sz w:val="24"/>
          <w:lang w:eastAsia="zh-CN"/>
        </w:rPr>
        <w:t>日</w:t>
      </w:r>
      <w:r>
        <w:rPr>
          <w:rFonts w:hint="eastAsia" w:ascii="宋体" w:hAnsi="宋体" w:eastAsia="宋体" w:cs="宋体"/>
          <w:bCs/>
          <w:sz w:val="24"/>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64EE6"/>
    <w:rsid w:val="00665BF4"/>
    <w:rsid w:val="00670AD8"/>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76EA3"/>
    <w:rsid w:val="00FA1664"/>
    <w:rsid w:val="00FA43AF"/>
    <w:rsid w:val="00FF5193"/>
    <w:rsid w:val="00FF6442"/>
    <w:rsid w:val="01A53733"/>
    <w:rsid w:val="03561124"/>
    <w:rsid w:val="077C4D9E"/>
    <w:rsid w:val="0893437B"/>
    <w:rsid w:val="0B3D575C"/>
    <w:rsid w:val="0C37152E"/>
    <w:rsid w:val="0C641AB1"/>
    <w:rsid w:val="0EB80C85"/>
    <w:rsid w:val="102A5457"/>
    <w:rsid w:val="11212166"/>
    <w:rsid w:val="12AF50BB"/>
    <w:rsid w:val="12CB46B8"/>
    <w:rsid w:val="14937C63"/>
    <w:rsid w:val="18F22C7D"/>
    <w:rsid w:val="1ADF5A08"/>
    <w:rsid w:val="1B697A59"/>
    <w:rsid w:val="1C034048"/>
    <w:rsid w:val="1DB40C15"/>
    <w:rsid w:val="1EB458DE"/>
    <w:rsid w:val="1ED16490"/>
    <w:rsid w:val="1F874ABE"/>
    <w:rsid w:val="1F8F1A44"/>
    <w:rsid w:val="1FC34144"/>
    <w:rsid w:val="248E3DAD"/>
    <w:rsid w:val="266B11A1"/>
    <w:rsid w:val="26B40C95"/>
    <w:rsid w:val="29670FA3"/>
    <w:rsid w:val="2ACE7161"/>
    <w:rsid w:val="2CB8189F"/>
    <w:rsid w:val="30895F3F"/>
    <w:rsid w:val="32E3313B"/>
    <w:rsid w:val="35260C73"/>
    <w:rsid w:val="368172E2"/>
    <w:rsid w:val="37116CC3"/>
    <w:rsid w:val="38660A74"/>
    <w:rsid w:val="3D170D39"/>
    <w:rsid w:val="4146140D"/>
    <w:rsid w:val="416A68CA"/>
    <w:rsid w:val="43F3552A"/>
    <w:rsid w:val="47D26466"/>
    <w:rsid w:val="48003C27"/>
    <w:rsid w:val="482E71E3"/>
    <w:rsid w:val="4A3F41B7"/>
    <w:rsid w:val="4B4A0964"/>
    <w:rsid w:val="4CC76658"/>
    <w:rsid w:val="4E714B47"/>
    <w:rsid w:val="51BB2504"/>
    <w:rsid w:val="55E53FF3"/>
    <w:rsid w:val="570E425E"/>
    <w:rsid w:val="58A52693"/>
    <w:rsid w:val="58B266A4"/>
    <w:rsid w:val="58FB2AC1"/>
    <w:rsid w:val="596901F1"/>
    <w:rsid w:val="599A6212"/>
    <w:rsid w:val="5A4C4C2B"/>
    <w:rsid w:val="5BAB4D26"/>
    <w:rsid w:val="5E3A0E09"/>
    <w:rsid w:val="5E5E6EB3"/>
    <w:rsid w:val="5F3C5299"/>
    <w:rsid w:val="60371BF6"/>
    <w:rsid w:val="603911C4"/>
    <w:rsid w:val="68E9239B"/>
    <w:rsid w:val="695168E0"/>
    <w:rsid w:val="69A949EA"/>
    <w:rsid w:val="6D300490"/>
    <w:rsid w:val="6F5A2D18"/>
    <w:rsid w:val="6FD16484"/>
    <w:rsid w:val="70116B8D"/>
    <w:rsid w:val="73160199"/>
    <w:rsid w:val="74065409"/>
    <w:rsid w:val="751F1964"/>
    <w:rsid w:val="753875CC"/>
    <w:rsid w:val="75720FA8"/>
    <w:rsid w:val="78770B45"/>
    <w:rsid w:val="7BEA05C4"/>
    <w:rsid w:val="7DC91FB4"/>
    <w:rsid w:val="7E2B5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Body Text"/>
    <w:basedOn w:val="1"/>
    <w:autoRedefine/>
    <w:qFormat/>
    <w:uiPriority w:val="0"/>
    <w:pPr>
      <w:jc w:val="center"/>
    </w:pPr>
    <w:rPr>
      <w:rFonts w:eastAsia="黑体"/>
      <w:sz w:val="32"/>
    </w:rPr>
  </w:style>
  <w:style w:type="paragraph" w:styleId="4">
    <w:name w:val="Date"/>
    <w:basedOn w:val="1"/>
    <w:next w:val="1"/>
    <w:link w:val="14"/>
    <w:autoRedefine/>
    <w:qFormat/>
    <w:uiPriority w:val="0"/>
    <w:pPr>
      <w:ind w:left="100" w:leftChars="2500"/>
    </w:pPr>
  </w:style>
  <w:style w:type="paragraph" w:styleId="5">
    <w:name w:val="Balloon Text"/>
    <w:basedOn w:val="1"/>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kern w:val="0"/>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autoRedefine/>
    <w:qFormat/>
    <w:uiPriority w:val="0"/>
    <w:rPr>
      <w:b/>
      <w:bCs/>
    </w:rPr>
  </w:style>
  <w:style w:type="character" w:styleId="11">
    <w:name w:val="page number"/>
    <w:basedOn w:val="10"/>
    <w:autoRedefine/>
    <w:qFormat/>
    <w:uiPriority w:val="0"/>
  </w:style>
  <w:style w:type="character" w:styleId="12">
    <w:name w:val="annotation reference"/>
    <w:autoRedefine/>
    <w:qFormat/>
    <w:uiPriority w:val="0"/>
    <w:rPr>
      <w:sz w:val="21"/>
      <w:szCs w:val="21"/>
    </w:rPr>
  </w:style>
  <w:style w:type="character" w:customStyle="1" w:styleId="13">
    <w:name w:val="批注文字 Char"/>
    <w:link w:val="2"/>
    <w:autoRedefine/>
    <w:qFormat/>
    <w:uiPriority w:val="0"/>
    <w:rPr>
      <w:rFonts w:ascii="Times New Roman" w:hAnsi="Times New Roman"/>
      <w:kern w:val="2"/>
      <w:sz w:val="21"/>
      <w:szCs w:val="24"/>
    </w:rPr>
  </w:style>
  <w:style w:type="character" w:customStyle="1" w:styleId="14">
    <w:name w:val="日期 Char"/>
    <w:basedOn w:val="10"/>
    <w:link w:val="4"/>
    <w:autoRedefine/>
    <w:qFormat/>
    <w:uiPriority w:val="0"/>
    <w:rPr>
      <w:rFonts w:ascii="Times New Roman" w:hAnsi="Times New Roman"/>
      <w:kern w:val="2"/>
      <w:sz w:val="21"/>
      <w:szCs w:val="24"/>
    </w:rPr>
  </w:style>
  <w:style w:type="character" w:customStyle="1" w:styleId="15">
    <w:name w:val="页脚 Char"/>
    <w:link w:val="6"/>
    <w:autoRedefine/>
    <w:qFormat/>
    <w:uiPriority w:val="0"/>
    <w:rPr>
      <w:rFonts w:ascii="Times New Roman" w:hAnsi="Times New Roman" w:eastAsia="宋体" w:cs="Times New Roman"/>
      <w:sz w:val="18"/>
      <w:szCs w:val="18"/>
    </w:rPr>
  </w:style>
  <w:style w:type="character" w:customStyle="1" w:styleId="16">
    <w:name w:val="页眉 Char"/>
    <w:link w:val="7"/>
    <w:autoRedefine/>
    <w:qFormat/>
    <w:uiPriority w:val="99"/>
    <w:rPr>
      <w:rFonts w:ascii="Times New Roman" w:hAnsi="Times New Roman"/>
      <w:kern w:val="2"/>
      <w:sz w:val="18"/>
      <w:szCs w:val="18"/>
    </w:rPr>
  </w:style>
  <w:style w:type="character" w:customStyle="1" w:styleId="17">
    <w:name w:val="批注主题 Char"/>
    <w:link w:val="8"/>
    <w:autoRedefine/>
    <w:qFormat/>
    <w:uiPriority w:val="0"/>
    <w:rPr>
      <w:rFonts w:ascii="Times New Roman" w:hAnsi="Times New Roman"/>
      <w:b/>
      <w:bCs/>
      <w:kern w:val="2"/>
      <w:sz w:val="21"/>
      <w:szCs w:val="24"/>
    </w:rPr>
  </w:style>
  <w:style w:type="paragraph" w:customStyle="1" w:styleId="18">
    <w:name w:val="默认段落字体 Para Char Char Char Char Char Char Char"/>
    <w:basedOn w:val="1"/>
    <w:autoRedefine/>
    <w:qFormat/>
    <w:uiPriority w:val="0"/>
    <w:pPr>
      <w:tabs>
        <w:tab w:val="left" w:pos="4665"/>
        <w:tab w:val="left" w:pos="8970"/>
      </w:tabs>
      <w:ind w:firstLine="400"/>
    </w:pPr>
    <w:rPr>
      <w:rFonts w:ascii="Tahoma" w:hAnsi="Tahoma"/>
      <w:sz w:val="24"/>
      <w:szCs w:val="20"/>
    </w:rPr>
  </w:style>
  <w:style w:type="paragraph" w:customStyle="1" w:styleId="19">
    <w:name w:val="p0"/>
    <w:basedOn w:val="1"/>
    <w:autoRedefine/>
    <w:qFormat/>
    <w:uiPriority w:val="0"/>
    <w:pPr>
      <w:widowControl/>
      <w:jc w:val="left"/>
    </w:pPr>
    <w:rPr>
      <w:kern w:val="0"/>
      <w:szCs w:val="21"/>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p15"/>
    <w:basedOn w:val="1"/>
    <w:autoRedefine/>
    <w:qFormat/>
    <w:uiPriority w:val="0"/>
    <w:pPr>
      <w:widowControl/>
      <w:spacing w:after="120"/>
    </w:pPr>
    <w:rPr>
      <w:rFonts w:ascii="宋体" w:hAnsi="宋体" w:cs="宋体"/>
      <w:kern w:val="0"/>
      <w:szCs w:val="21"/>
    </w:rPr>
  </w:style>
  <w:style w:type="paragraph" w:customStyle="1" w:styleId="22">
    <w:name w:val="Char"/>
    <w:basedOn w:val="1"/>
    <w:autoRedefine/>
    <w:qFormat/>
    <w:uiPriority w:val="0"/>
    <w:pPr>
      <w:tabs>
        <w:tab w:val="left" w:pos="360"/>
      </w:tabs>
    </w:pPr>
    <w:rPr>
      <w:sz w:val="24"/>
    </w:rPr>
  </w:style>
  <w:style w:type="paragraph" w:customStyle="1" w:styleId="23">
    <w:name w:val=" Char2 Char Char Char Char Char Char"/>
    <w:basedOn w:val="1"/>
    <w:autoRedefine/>
    <w:uiPriority w:val="0"/>
    <w:pPr>
      <w:widowControl/>
      <w:spacing w:after="160" w:afterLines="0" w:line="240" w:lineRule="exact"/>
      <w:jc w:val="left"/>
    </w:pPr>
    <w:rPr>
      <w:kern w:val="0"/>
      <w:sz w:val="20"/>
      <w:szCs w:val="20"/>
    </w:rPr>
  </w:style>
  <w:style w:type="paragraph" w:customStyle="1" w:styleId="24">
    <w:name w:val="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styleId="25">
    <w:name w:val="List Paragraph"/>
    <w:basedOn w:val="1"/>
    <w:autoRedefine/>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7653</Words>
  <Characters>9536</Characters>
  <Lines>17</Lines>
  <Paragraphs>4</Paragraphs>
  <TotalTime>0</TotalTime>
  <ScaleCrop>false</ScaleCrop>
  <LinksUpToDate>false</LinksUpToDate>
  <CharactersWithSpaces>9586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2023-12-28T02:10:54Z</dcterms:modified>
  <dc:title>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B5166E4F3E844DBB92C1D148611670D0_13</vt:lpwstr>
  </property>
</Properties>
</file>