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rFonts w:hint="default" w:eastAsia="微软雅黑"/>
          <w:lang w:val="en-US" w:eastAsia="zh-CN"/>
        </w:rPr>
      </w:pPr>
      <w:r>
        <w:rPr>
          <w:rFonts w:hint="eastAsia"/>
        </w:rPr>
        <w:t>证券代码： 002871                证券简称： 伟隆股份               公告编号： 202</w:t>
      </w:r>
      <w:r>
        <w:rPr>
          <w:rFonts w:hint="eastAsia"/>
          <w:lang w:val="en-US" w:eastAsia="zh-CN"/>
        </w:rPr>
        <w:t>3</w:t>
      </w:r>
      <w:r>
        <w:rPr>
          <w:rFonts w:hint="eastAsia"/>
        </w:rPr>
        <w:t>-</w:t>
      </w:r>
      <w:r>
        <w:rPr>
          <w:rFonts w:hint="default"/>
          <w:lang w:val="en-US"/>
        </w:rPr>
        <w:t>108</w:t>
      </w:r>
    </w:p>
    <w:p>
      <w:pPr>
        <w:spacing w:line="220" w:lineRule="atLeast"/>
        <w:ind w:firstLine="541" w:firstLineChars="193"/>
        <w:jc w:val="center"/>
        <w:rPr>
          <w:b/>
          <w:sz w:val="28"/>
          <w:szCs w:val="28"/>
        </w:rPr>
      </w:pPr>
      <w:r>
        <w:rPr>
          <w:rFonts w:hint="eastAsia"/>
          <w:b/>
          <w:sz w:val="28"/>
          <w:szCs w:val="28"/>
        </w:rPr>
        <w:t>青岛伟隆阀门股份有限公司</w:t>
      </w:r>
    </w:p>
    <w:p>
      <w:pPr>
        <w:spacing w:line="220" w:lineRule="atLeast"/>
        <w:ind w:firstLine="541" w:firstLineChars="193"/>
        <w:jc w:val="center"/>
        <w:rPr>
          <w:b/>
          <w:sz w:val="28"/>
          <w:szCs w:val="28"/>
        </w:rPr>
      </w:pPr>
      <w:r>
        <w:rPr>
          <w:rFonts w:hint="eastAsia"/>
          <w:b/>
          <w:sz w:val="28"/>
          <w:szCs w:val="28"/>
        </w:rPr>
        <w:t>关于回购公司股份的进展公告</w:t>
      </w:r>
    </w:p>
    <w:tbl>
      <w:tblPr>
        <w:tblStyle w:val="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364" w:type="dxa"/>
          </w:tcPr>
          <w:p>
            <w:pPr>
              <w:spacing w:after="0" w:line="360" w:lineRule="exact"/>
              <w:ind w:firstLine="424" w:firstLineChars="193"/>
              <w:rPr>
                <w:b/>
              </w:rPr>
            </w:pPr>
            <w:r>
              <w:rPr>
                <w:rFonts w:hint="eastAsia" w:hAnsi="Times New Roman"/>
                <w:szCs w:val="23"/>
              </w:rPr>
              <w:t>本公司及董事会全体成员保证信息披露的内容真实、准确、完整，没有虚假记载、误导性陈述或重大遗漏。</w:t>
            </w:r>
          </w:p>
        </w:tc>
      </w:tr>
    </w:tbl>
    <w:p>
      <w:pPr>
        <w:spacing w:after="0" w:line="360" w:lineRule="exact"/>
        <w:ind w:firstLine="424" w:firstLineChars="193"/>
      </w:pPr>
    </w:p>
    <w:p>
      <w:pPr>
        <w:pStyle w:val="13"/>
        <w:keepNext w:val="0"/>
        <w:keepLines w:val="0"/>
        <w:pageBreakBefore w:val="0"/>
        <w:widowControl w:val="0"/>
        <w:kinsoku/>
        <w:wordWrap/>
        <w:overflowPunct/>
        <w:topLinePunct w:val="0"/>
        <w:autoSpaceDE w:val="0"/>
        <w:autoSpaceDN w:val="0"/>
        <w:bidi w:val="0"/>
        <w:adjustRightInd w:val="0"/>
        <w:snapToGrid/>
        <w:spacing w:after="181" w:afterLines="50" w:line="360" w:lineRule="auto"/>
        <w:ind w:firstLine="463" w:firstLineChars="193"/>
        <w:jc w:val="both"/>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青岛伟隆阀门股份有限公司（以下简称“公司”）</w:t>
      </w:r>
      <w:r>
        <w:rPr>
          <w:rFonts w:hint="default" w:asciiTheme="minorEastAsia" w:hAnsiTheme="minorEastAsia" w:eastAsiaTheme="minorEastAsia"/>
          <w:lang w:val="en-US" w:eastAsia="zh-CN"/>
        </w:rPr>
        <w:t>于</w:t>
      </w:r>
      <w:r>
        <w:rPr>
          <w:rFonts w:hint="eastAsia" w:asciiTheme="minorEastAsia" w:hAnsiTheme="minorEastAsia" w:eastAsiaTheme="minorEastAsia"/>
          <w:lang w:val="en-US" w:eastAsia="zh-CN"/>
        </w:rPr>
        <w:t>2023年10月18日召开的第四届董事会第二十六次会议、第四届监事会第二十次会议审议通过，审议通过了《关于公司回购股份的方案》</w:t>
      </w:r>
      <w:r>
        <w:rPr>
          <w:rFonts w:hint="default" w:asciiTheme="minorEastAsia" w:hAnsiTheme="minorEastAsia" w:eastAsiaTheme="minorEastAsia"/>
          <w:lang w:val="en-US" w:eastAsia="zh-CN"/>
        </w:rPr>
        <w:t>，公司计划使用自有资金通过深圳证券交易所股票交易系统以集中竞价交易方式回购公司部分社会公众股份，用于实施员工持股计划或股权激励。本次回购的资金总额不低于</w:t>
      </w:r>
      <w:r>
        <w:rPr>
          <w:rFonts w:hint="eastAsia" w:asciiTheme="minorEastAsia" w:hAnsiTheme="minorEastAsia" w:eastAsiaTheme="minorEastAsia"/>
          <w:lang w:val="en-US" w:eastAsia="zh-CN"/>
        </w:rPr>
        <w:t>3</w:t>
      </w:r>
      <w:r>
        <w:rPr>
          <w:rFonts w:hint="default" w:asciiTheme="minorEastAsia" w:hAnsiTheme="minorEastAsia" w:eastAsiaTheme="minorEastAsia"/>
          <w:lang w:val="en-US" w:eastAsia="zh-CN"/>
        </w:rPr>
        <w:t>,</w:t>
      </w:r>
      <w:r>
        <w:rPr>
          <w:rFonts w:hint="eastAsia" w:asciiTheme="minorEastAsia" w:hAnsiTheme="minorEastAsia" w:eastAsiaTheme="minorEastAsia"/>
          <w:lang w:val="en-US" w:eastAsia="zh-CN"/>
        </w:rPr>
        <w:t>0</w:t>
      </w:r>
      <w:r>
        <w:rPr>
          <w:rFonts w:hint="default" w:asciiTheme="minorEastAsia" w:hAnsiTheme="minorEastAsia" w:eastAsiaTheme="minorEastAsia"/>
          <w:lang w:val="en-US" w:eastAsia="zh-CN"/>
        </w:rPr>
        <w:t>00万元且不超过</w:t>
      </w:r>
      <w:r>
        <w:rPr>
          <w:rFonts w:hint="eastAsia" w:asciiTheme="minorEastAsia" w:hAnsiTheme="minorEastAsia" w:eastAsiaTheme="minorEastAsia"/>
          <w:lang w:val="en-US" w:eastAsia="zh-CN"/>
        </w:rPr>
        <w:t>6</w:t>
      </w:r>
      <w:r>
        <w:rPr>
          <w:rFonts w:hint="default" w:asciiTheme="minorEastAsia" w:hAnsiTheme="minorEastAsia" w:eastAsiaTheme="minorEastAsia"/>
          <w:lang w:val="en-US" w:eastAsia="zh-CN"/>
        </w:rPr>
        <w:t>,000万元（均含本数）；回购价格不超过人民币</w:t>
      </w:r>
      <w:r>
        <w:rPr>
          <w:rFonts w:hint="eastAsia" w:asciiTheme="minorEastAsia" w:hAnsiTheme="minorEastAsia" w:eastAsiaTheme="minorEastAsia"/>
          <w:lang w:val="en-US" w:eastAsia="zh-CN"/>
        </w:rPr>
        <w:t>15.5</w:t>
      </w:r>
      <w:r>
        <w:rPr>
          <w:rFonts w:hint="default" w:asciiTheme="minorEastAsia" w:hAnsiTheme="minorEastAsia" w:eastAsiaTheme="minorEastAsia"/>
          <w:lang w:val="en-US" w:eastAsia="zh-CN"/>
        </w:rPr>
        <w:t>元/股（含本数），实施期限为自公司董事会审议通过本次回购股份方案之日起不超过12个月。具体内容详见公司于2023年</w:t>
      </w:r>
      <w:r>
        <w:rPr>
          <w:rFonts w:hint="eastAsia" w:asciiTheme="minorEastAsia" w:hAnsiTheme="minorEastAsia" w:eastAsiaTheme="minorEastAsia"/>
          <w:lang w:val="en-US" w:eastAsia="zh-CN"/>
        </w:rPr>
        <w:t>10</w:t>
      </w:r>
      <w:r>
        <w:rPr>
          <w:rFonts w:hint="default" w:asciiTheme="minorEastAsia" w:hAnsiTheme="minorEastAsia" w:eastAsiaTheme="minorEastAsia"/>
          <w:lang w:val="en-US" w:eastAsia="zh-CN"/>
        </w:rPr>
        <w:t>月</w:t>
      </w:r>
      <w:r>
        <w:rPr>
          <w:rFonts w:hint="eastAsia" w:asciiTheme="minorEastAsia" w:hAnsiTheme="minorEastAsia" w:eastAsiaTheme="minorEastAsia"/>
          <w:lang w:val="en-US" w:eastAsia="zh-CN"/>
        </w:rPr>
        <w:t>19</w:t>
      </w:r>
      <w:r>
        <w:rPr>
          <w:rFonts w:hint="default" w:asciiTheme="minorEastAsia" w:hAnsiTheme="minorEastAsia" w:eastAsiaTheme="minorEastAsia"/>
          <w:lang w:val="en-US" w:eastAsia="zh-CN"/>
        </w:rPr>
        <w:t>日披露于巨潮资讯网（www.cninfo.com.cn）的相关公告。</w:t>
      </w:r>
    </w:p>
    <w:p>
      <w:pPr>
        <w:pStyle w:val="13"/>
        <w:spacing w:after="240" w:line="360" w:lineRule="auto"/>
        <w:ind w:firstLine="465" w:firstLineChars="193"/>
        <w:rPr>
          <w:rFonts w:hint="default" w:asciiTheme="minorEastAsia" w:hAnsiTheme="minorEastAsia" w:eastAsiaTheme="minorEastAsia"/>
          <w:b/>
          <w:bCs/>
          <w:lang w:val="en-US" w:eastAsia="zh-CN"/>
        </w:rPr>
      </w:pPr>
      <w:r>
        <w:rPr>
          <w:rFonts w:hint="eastAsia" w:asciiTheme="minorEastAsia" w:hAnsiTheme="minorEastAsia" w:eastAsiaTheme="minorEastAsia"/>
          <w:b/>
          <w:bCs/>
          <w:lang w:val="en-US" w:eastAsia="zh-CN"/>
        </w:rPr>
        <w:t>一、</w:t>
      </w:r>
      <w:r>
        <w:rPr>
          <w:rFonts w:hint="default" w:asciiTheme="minorEastAsia" w:hAnsiTheme="minorEastAsia" w:eastAsiaTheme="minorEastAsia"/>
          <w:b/>
          <w:bCs/>
          <w:lang w:val="en-US" w:eastAsia="zh-CN"/>
        </w:rPr>
        <w:t>回购公司股份的进展情况</w:t>
      </w:r>
    </w:p>
    <w:p>
      <w:pPr>
        <w:pStyle w:val="13"/>
        <w:keepNext w:val="0"/>
        <w:keepLines w:val="0"/>
        <w:pageBreakBefore w:val="0"/>
        <w:widowControl w:val="0"/>
        <w:kinsoku/>
        <w:wordWrap/>
        <w:overflowPunct/>
        <w:topLinePunct w:val="0"/>
        <w:autoSpaceDE w:val="0"/>
        <w:autoSpaceDN w:val="0"/>
        <w:bidi w:val="0"/>
        <w:adjustRightInd w:val="0"/>
        <w:snapToGrid/>
        <w:spacing w:after="181" w:afterLines="50" w:line="360" w:lineRule="auto"/>
        <w:ind w:firstLine="463" w:firstLineChars="193"/>
        <w:jc w:val="both"/>
        <w:textAlignment w:val="auto"/>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根据《深圳证券交易所上市公司自律监管指引第9号——回购股份》等相关规定，在股份回购期间，上市公司应当在每个月的前三个交易日内披露截至上月末的回购进展情况。现将公司回购股份的进展情况公告如下：</w:t>
      </w:r>
    </w:p>
    <w:p>
      <w:pPr>
        <w:pStyle w:val="13"/>
        <w:keepNext w:val="0"/>
        <w:keepLines w:val="0"/>
        <w:pageBreakBefore w:val="0"/>
        <w:widowControl w:val="0"/>
        <w:kinsoku/>
        <w:wordWrap/>
        <w:overflowPunct/>
        <w:topLinePunct w:val="0"/>
        <w:autoSpaceDE w:val="0"/>
        <w:autoSpaceDN w:val="0"/>
        <w:bidi w:val="0"/>
        <w:adjustRightInd w:val="0"/>
        <w:snapToGrid/>
        <w:spacing w:after="181" w:afterLines="50" w:line="360" w:lineRule="auto"/>
        <w:ind w:firstLine="463" w:firstLineChars="193"/>
        <w:jc w:val="both"/>
        <w:textAlignment w:val="auto"/>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截至2023年</w:t>
      </w:r>
      <w:r>
        <w:rPr>
          <w:rFonts w:hint="eastAsia" w:asciiTheme="minorEastAsia" w:hAnsiTheme="minorEastAsia" w:eastAsiaTheme="minorEastAsia"/>
          <w:lang w:val="en-US" w:eastAsia="zh-CN"/>
        </w:rPr>
        <w:t>10</w:t>
      </w:r>
      <w:r>
        <w:rPr>
          <w:rFonts w:hint="default" w:asciiTheme="minorEastAsia" w:hAnsiTheme="minorEastAsia" w:eastAsiaTheme="minorEastAsia"/>
          <w:lang w:val="en-US" w:eastAsia="zh-CN"/>
        </w:rPr>
        <w:t>月3</w:t>
      </w:r>
      <w:r>
        <w:rPr>
          <w:rFonts w:hint="eastAsia" w:asciiTheme="minorEastAsia" w:hAnsiTheme="minorEastAsia" w:eastAsiaTheme="minorEastAsia"/>
          <w:lang w:val="en-US" w:eastAsia="zh-CN"/>
        </w:rPr>
        <w:t>1</w:t>
      </w:r>
      <w:r>
        <w:rPr>
          <w:rFonts w:hint="default" w:asciiTheme="minorEastAsia" w:hAnsiTheme="minorEastAsia" w:eastAsiaTheme="minorEastAsia"/>
          <w:lang w:val="en-US" w:eastAsia="zh-CN"/>
        </w:rPr>
        <w:t>日，公司通过股份回购专用证券账户以集中竞价交易方式累计回购公司股份数量为0股，占公司总股本的0%。本次回购尚未开始交易，符合公司回购股份方案及相关法律法规的要求。</w:t>
      </w:r>
    </w:p>
    <w:p>
      <w:pPr>
        <w:pStyle w:val="13"/>
        <w:spacing w:after="240" w:line="360" w:lineRule="auto"/>
        <w:ind w:firstLine="465" w:firstLineChars="193"/>
        <w:rPr>
          <w:rFonts w:hint="default" w:asciiTheme="minorEastAsia" w:hAnsiTheme="minorEastAsia" w:eastAsiaTheme="minorEastAsia"/>
          <w:b/>
          <w:bCs/>
          <w:lang w:val="en-US" w:eastAsia="zh-CN"/>
        </w:rPr>
      </w:pPr>
      <w:r>
        <w:rPr>
          <w:rFonts w:hint="eastAsia" w:asciiTheme="minorEastAsia" w:hAnsiTheme="minorEastAsia" w:eastAsiaTheme="minorEastAsia"/>
          <w:b/>
          <w:bCs/>
          <w:lang w:val="en-US" w:eastAsia="zh-CN"/>
        </w:rPr>
        <w:t>二、</w:t>
      </w:r>
      <w:r>
        <w:rPr>
          <w:rFonts w:hint="default" w:asciiTheme="minorEastAsia" w:hAnsiTheme="minorEastAsia" w:eastAsiaTheme="minorEastAsia"/>
          <w:b/>
          <w:bCs/>
          <w:lang w:val="en-US" w:eastAsia="zh-CN"/>
        </w:rPr>
        <w:t>其他说明</w:t>
      </w:r>
    </w:p>
    <w:p>
      <w:pPr>
        <w:pStyle w:val="13"/>
        <w:keepNext w:val="0"/>
        <w:keepLines w:val="0"/>
        <w:pageBreakBefore w:val="0"/>
        <w:widowControl w:val="0"/>
        <w:kinsoku/>
        <w:wordWrap/>
        <w:overflowPunct/>
        <w:topLinePunct w:val="0"/>
        <w:autoSpaceDE w:val="0"/>
        <w:autoSpaceDN w:val="0"/>
        <w:bidi w:val="0"/>
        <w:adjustRightInd w:val="0"/>
        <w:snapToGrid/>
        <w:spacing w:after="181" w:afterLines="50" w:line="360" w:lineRule="auto"/>
        <w:ind w:firstLine="463" w:firstLineChars="193"/>
        <w:jc w:val="both"/>
        <w:textAlignment w:val="auto"/>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公司后续将根据市场情况在回购期限内继续实施本次回购计划，并将在回购期间根据相关法律、法规和规范性文件的规定</w:t>
      </w:r>
      <w:bookmarkStart w:id="0" w:name="_GoBack"/>
      <w:bookmarkEnd w:id="0"/>
      <w:r>
        <w:rPr>
          <w:rFonts w:hint="default" w:asciiTheme="minorEastAsia" w:hAnsiTheme="minorEastAsia" w:eastAsiaTheme="minorEastAsia"/>
          <w:lang w:val="en-US" w:eastAsia="zh-CN"/>
        </w:rPr>
        <w:t>及时履行信息披露，敬请广大投资者注意投资风险。</w:t>
      </w:r>
    </w:p>
    <w:p>
      <w:pPr>
        <w:pStyle w:val="13"/>
        <w:keepNext w:val="0"/>
        <w:keepLines w:val="0"/>
        <w:pageBreakBefore w:val="0"/>
        <w:widowControl w:val="0"/>
        <w:kinsoku/>
        <w:wordWrap/>
        <w:overflowPunct/>
        <w:topLinePunct w:val="0"/>
        <w:autoSpaceDE w:val="0"/>
        <w:autoSpaceDN w:val="0"/>
        <w:bidi w:val="0"/>
        <w:adjustRightInd w:val="0"/>
        <w:snapToGrid/>
        <w:spacing w:after="181" w:afterLines="50" w:line="360" w:lineRule="auto"/>
        <w:ind w:firstLine="463" w:firstLineChars="193"/>
        <w:jc w:val="both"/>
        <w:textAlignment w:val="auto"/>
        <w:rPr>
          <w:rFonts w:hint="eastAsia" w:asciiTheme="minorEastAsia" w:hAnsiTheme="minorEastAsia" w:eastAsiaTheme="minorEastAsia"/>
          <w:lang w:val="en-US" w:eastAsia="zh-CN"/>
        </w:rPr>
      </w:pPr>
      <w:r>
        <w:rPr>
          <w:rFonts w:hint="default" w:asciiTheme="minorEastAsia" w:hAnsiTheme="minorEastAsia" w:eastAsiaTheme="minorEastAsia"/>
          <w:lang w:val="en-US" w:eastAsia="zh-CN"/>
        </w:rPr>
        <w:t>特此公告。</w:t>
      </w:r>
    </w:p>
    <w:p>
      <w:pPr>
        <w:pStyle w:val="13"/>
        <w:keepNext w:val="0"/>
        <w:keepLines w:val="0"/>
        <w:pageBreakBefore w:val="0"/>
        <w:widowControl w:val="0"/>
        <w:kinsoku/>
        <w:wordWrap/>
        <w:overflowPunct/>
        <w:topLinePunct w:val="0"/>
        <w:autoSpaceDE w:val="0"/>
        <w:autoSpaceDN w:val="0"/>
        <w:bidi w:val="0"/>
        <w:adjustRightInd w:val="0"/>
        <w:snapToGrid/>
        <w:spacing w:line="240" w:lineRule="auto"/>
        <w:ind w:left="4840" w:leftChars="2200" w:firstLine="456" w:firstLineChars="190"/>
        <w:textAlignment w:val="auto"/>
        <w:rPr>
          <w:rFonts w:asciiTheme="minorEastAsia" w:hAnsiTheme="minorEastAsia" w:eastAsiaTheme="minorEastAsia"/>
        </w:rPr>
      </w:pPr>
      <w:r>
        <w:rPr>
          <w:rFonts w:hint="eastAsia" w:asciiTheme="minorEastAsia" w:hAnsiTheme="minorEastAsia" w:eastAsiaTheme="minorEastAsia"/>
        </w:rPr>
        <w:t>青岛伟隆阀门股份有限公司</w:t>
      </w:r>
    </w:p>
    <w:p>
      <w:pPr>
        <w:pStyle w:val="13"/>
        <w:keepNext w:val="0"/>
        <w:keepLines w:val="0"/>
        <w:pageBreakBefore w:val="0"/>
        <w:widowControl w:val="0"/>
        <w:kinsoku/>
        <w:wordWrap/>
        <w:overflowPunct/>
        <w:topLinePunct w:val="0"/>
        <w:autoSpaceDE w:val="0"/>
        <w:autoSpaceDN w:val="0"/>
        <w:bidi w:val="0"/>
        <w:adjustRightInd w:val="0"/>
        <w:snapToGrid/>
        <w:spacing w:line="240" w:lineRule="auto"/>
        <w:ind w:left="4840" w:leftChars="2200" w:firstLine="1538" w:firstLineChars="641"/>
        <w:textAlignment w:val="auto"/>
        <w:rPr>
          <w:rFonts w:asciiTheme="minorEastAsia" w:hAnsiTheme="minorEastAsia" w:eastAsiaTheme="minorEastAsia"/>
        </w:rPr>
      </w:pPr>
      <w:r>
        <w:rPr>
          <w:rFonts w:hint="eastAsia" w:asciiTheme="minorEastAsia" w:hAnsiTheme="minorEastAsia" w:eastAsiaTheme="minorEastAsia"/>
        </w:rPr>
        <w:t>董事会</w:t>
      </w:r>
    </w:p>
    <w:p>
      <w:pPr>
        <w:pStyle w:val="13"/>
        <w:keepNext w:val="0"/>
        <w:keepLines w:val="0"/>
        <w:pageBreakBefore w:val="0"/>
        <w:widowControl w:val="0"/>
        <w:kinsoku/>
        <w:wordWrap/>
        <w:overflowPunct/>
        <w:topLinePunct w:val="0"/>
        <w:autoSpaceDE w:val="0"/>
        <w:autoSpaceDN w:val="0"/>
        <w:bidi w:val="0"/>
        <w:adjustRightInd w:val="0"/>
        <w:snapToGrid/>
        <w:spacing w:line="240" w:lineRule="auto"/>
        <w:ind w:left="4840" w:leftChars="2200" w:firstLine="1099" w:firstLineChars="458"/>
        <w:textAlignment w:val="auto"/>
        <w:rPr>
          <w:rFonts w:asciiTheme="minorEastAsia" w:hAnsiTheme="minorEastAsia" w:eastAsiaTheme="minorEastAsia"/>
        </w:rPr>
      </w:pPr>
      <w:r>
        <w:rPr>
          <w:rFonts w:hint="eastAsia" w:asciiTheme="minorEastAsia" w:hAnsiTheme="minorEastAsia" w:eastAsiaTheme="minorEastAsia"/>
        </w:rPr>
        <w:t>202</w:t>
      </w:r>
      <w:r>
        <w:rPr>
          <w:rFonts w:hint="eastAsia" w:asciiTheme="minorEastAsia" w:hAnsiTheme="minorEastAsia" w:eastAsiaTheme="minorEastAsia"/>
          <w:lang w:val="en-US" w:eastAsia="zh-CN"/>
        </w:rPr>
        <w:t>3</w:t>
      </w:r>
      <w:r>
        <w:rPr>
          <w:rFonts w:hint="eastAsia" w:asciiTheme="minorEastAsia" w:hAnsiTheme="minorEastAsia" w:eastAsiaTheme="minorEastAsia"/>
        </w:rPr>
        <w:t>年</w:t>
      </w:r>
      <w:r>
        <w:rPr>
          <w:rFonts w:hint="eastAsia" w:asciiTheme="minorEastAsia" w:hAnsiTheme="minorEastAsia" w:eastAsiaTheme="minorEastAsia"/>
          <w:lang w:val="en-US" w:eastAsia="zh-CN"/>
        </w:rPr>
        <w:t>11</w:t>
      </w:r>
      <w:r>
        <w:rPr>
          <w:rFonts w:hint="eastAsia" w:asciiTheme="minorEastAsia" w:hAnsiTheme="minorEastAsia" w:eastAsiaTheme="minorEastAsia"/>
        </w:rPr>
        <w:t>月</w:t>
      </w:r>
      <w:r>
        <w:rPr>
          <w:rFonts w:hint="default" w:asciiTheme="minorEastAsia" w:hAnsiTheme="minorEastAsia" w:eastAsiaTheme="minorEastAsia"/>
          <w:lang w:val="en-US" w:eastAsia="zh-CN"/>
        </w:rPr>
        <w:t>03</w:t>
      </w:r>
      <w:r>
        <w:rPr>
          <w:rFonts w:hint="eastAsia" w:asciiTheme="minorEastAsia" w:hAnsiTheme="minorEastAsia" w:eastAsiaTheme="minorEastAsia"/>
        </w:rPr>
        <w:t>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RiYWIwNzkzYTg0MzhhYmIxYTgwNmNhNDYxODQzNjMifQ=="/>
  </w:docVars>
  <w:rsids>
    <w:rsidRoot w:val="00172A27"/>
    <w:rsid w:val="0001374E"/>
    <w:rsid w:val="00023001"/>
    <w:rsid w:val="00024841"/>
    <w:rsid w:val="00030346"/>
    <w:rsid w:val="000325AD"/>
    <w:rsid w:val="000345B8"/>
    <w:rsid w:val="00056785"/>
    <w:rsid w:val="0006570E"/>
    <w:rsid w:val="000855A3"/>
    <w:rsid w:val="000A66E4"/>
    <w:rsid w:val="000B4C07"/>
    <w:rsid w:val="000C0F29"/>
    <w:rsid w:val="000C49C0"/>
    <w:rsid w:val="000C577A"/>
    <w:rsid w:val="000D23EF"/>
    <w:rsid w:val="000D42E7"/>
    <w:rsid w:val="000E492D"/>
    <w:rsid w:val="000E63D2"/>
    <w:rsid w:val="0010106E"/>
    <w:rsid w:val="00102917"/>
    <w:rsid w:val="0011020E"/>
    <w:rsid w:val="001129D6"/>
    <w:rsid w:val="00114E6B"/>
    <w:rsid w:val="0011719B"/>
    <w:rsid w:val="00142710"/>
    <w:rsid w:val="00152CB5"/>
    <w:rsid w:val="00153EFE"/>
    <w:rsid w:val="0015634D"/>
    <w:rsid w:val="00172A27"/>
    <w:rsid w:val="00184A4C"/>
    <w:rsid w:val="0018787F"/>
    <w:rsid w:val="001A71BB"/>
    <w:rsid w:val="001A7464"/>
    <w:rsid w:val="001B6E10"/>
    <w:rsid w:val="001E339B"/>
    <w:rsid w:val="001E3C94"/>
    <w:rsid w:val="001F5D12"/>
    <w:rsid w:val="00204F5D"/>
    <w:rsid w:val="00211AC7"/>
    <w:rsid w:val="00232046"/>
    <w:rsid w:val="002342CA"/>
    <w:rsid w:val="00234CEA"/>
    <w:rsid w:val="00253991"/>
    <w:rsid w:val="002820AD"/>
    <w:rsid w:val="0029589D"/>
    <w:rsid w:val="002B0EC0"/>
    <w:rsid w:val="002C652A"/>
    <w:rsid w:val="002C6CC6"/>
    <w:rsid w:val="002D4223"/>
    <w:rsid w:val="002D450F"/>
    <w:rsid w:val="002F448C"/>
    <w:rsid w:val="00302183"/>
    <w:rsid w:val="00303D7E"/>
    <w:rsid w:val="00316798"/>
    <w:rsid w:val="003211A6"/>
    <w:rsid w:val="00321C78"/>
    <w:rsid w:val="00323B43"/>
    <w:rsid w:val="00334C1D"/>
    <w:rsid w:val="00342D94"/>
    <w:rsid w:val="00363F91"/>
    <w:rsid w:val="00374BE3"/>
    <w:rsid w:val="003866DB"/>
    <w:rsid w:val="0039021B"/>
    <w:rsid w:val="003917EB"/>
    <w:rsid w:val="003D2CF5"/>
    <w:rsid w:val="003D37D8"/>
    <w:rsid w:val="003D4922"/>
    <w:rsid w:val="003D5916"/>
    <w:rsid w:val="003E0A95"/>
    <w:rsid w:val="003E1DD7"/>
    <w:rsid w:val="004012A1"/>
    <w:rsid w:val="004030F1"/>
    <w:rsid w:val="00404E78"/>
    <w:rsid w:val="0040569B"/>
    <w:rsid w:val="0040795B"/>
    <w:rsid w:val="004126A9"/>
    <w:rsid w:val="00423843"/>
    <w:rsid w:val="00426133"/>
    <w:rsid w:val="00426C7A"/>
    <w:rsid w:val="00430EA5"/>
    <w:rsid w:val="004358AB"/>
    <w:rsid w:val="00436CDD"/>
    <w:rsid w:val="004445B7"/>
    <w:rsid w:val="00444795"/>
    <w:rsid w:val="00454800"/>
    <w:rsid w:val="00455AE8"/>
    <w:rsid w:val="00482ABF"/>
    <w:rsid w:val="004B6726"/>
    <w:rsid w:val="004C2B00"/>
    <w:rsid w:val="004D2B38"/>
    <w:rsid w:val="004D6E5B"/>
    <w:rsid w:val="004E7ECC"/>
    <w:rsid w:val="005148F9"/>
    <w:rsid w:val="00517615"/>
    <w:rsid w:val="0053078F"/>
    <w:rsid w:val="00530C86"/>
    <w:rsid w:val="00531165"/>
    <w:rsid w:val="0053243B"/>
    <w:rsid w:val="00547BF7"/>
    <w:rsid w:val="005503AF"/>
    <w:rsid w:val="00576E21"/>
    <w:rsid w:val="00577E4F"/>
    <w:rsid w:val="0058033D"/>
    <w:rsid w:val="00582C72"/>
    <w:rsid w:val="00584226"/>
    <w:rsid w:val="0058453E"/>
    <w:rsid w:val="005B10A7"/>
    <w:rsid w:val="005B7387"/>
    <w:rsid w:val="005D1FD2"/>
    <w:rsid w:val="005D29C8"/>
    <w:rsid w:val="005D3CEC"/>
    <w:rsid w:val="005E5324"/>
    <w:rsid w:val="00611B5E"/>
    <w:rsid w:val="00634BDC"/>
    <w:rsid w:val="00642D42"/>
    <w:rsid w:val="00644029"/>
    <w:rsid w:val="006467C7"/>
    <w:rsid w:val="00651C3A"/>
    <w:rsid w:val="00690A00"/>
    <w:rsid w:val="006D35A1"/>
    <w:rsid w:val="006D56F5"/>
    <w:rsid w:val="006E1D66"/>
    <w:rsid w:val="006E6341"/>
    <w:rsid w:val="006F05CC"/>
    <w:rsid w:val="006F5D50"/>
    <w:rsid w:val="007351AF"/>
    <w:rsid w:val="00744EC2"/>
    <w:rsid w:val="00746EDE"/>
    <w:rsid w:val="00747AEB"/>
    <w:rsid w:val="00762D1D"/>
    <w:rsid w:val="00776991"/>
    <w:rsid w:val="007A0946"/>
    <w:rsid w:val="007C57C3"/>
    <w:rsid w:val="007F0E0D"/>
    <w:rsid w:val="007F5D2E"/>
    <w:rsid w:val="007F6CCD"/>
    <w:rsid w:val="008031EF"/>
    <w:rsid w:val="00822D4B"/>
    <w:rsid w:val="00824ED1"/>
    <w:rsid w:val="00827F74"/>
    <w:rsid w:val="0083118E"/>
    <w:rsid w:val="00853533"/>
    <w:rsid w:val="00866CF2"/>
    <w:rsid w:val="0088651E"/>
    <w:rsid w:val="00895A53"/>
    <w:rsid w:val="008A340D"/>
    <w:rsid w:val="008A60E2"/>
    <w:rsid w:val="008B58EF"/>
    <w:rsid w:val="008B61FE"/>
    <w:rsid w:val="008B7726"/>
    <w:rsid w:val="008B7C6E"/>
    <w:rsid w:val="008C2F8C"/>
    <w:rsid w:val="008C78A1"/>
    <w:rsid w:val="008E00ED"/>
    <w:rsid w:val="00916495"/>
    <w:rsid w:val="00921361"/>
    <w:rsid w:val="00923BAD"/>
    <w:rsid w:val="009244E4"/>
    <w:rsid w:val="009246F2"/>
    <w:rsid w:val="00927045"/>
    <w:rsid w:val="00946976"/>
    <w:rsid w:val="00950516"/>
    <w:rsid w:val="00960D47"/>
    <w:rsid w:val="00961786"/>
    <w:rsid w:val="00970759"/>
    <w:rsid w:val="00981FEC"/>
    <w:rsid w:val="00995529"/>
    <w:rsid w:val="00995645"/>
    <w:rsid w:val="0099578A"/>
    <w:rsid w:val="009A1FC7"/>
    <w:rsid w:val="009A2B2B"/>
    <w:rsid w:val="009C01B8"/>
    <w:rsid w:val="009C3EA0"/>
    <w:rsid w:val="009C4BE0"/>
    <w:rsid w:val="009C56F2"/>
    <w:rsid w:val="009D1D85"/>
    <w:rsid w:val="009D5B81"/>
    <w:rsid w:val="009E1445"/>
    <w:rsid w:val="009F6037"/>
    <w:rsid w:val="00A033AA"/>
    <w:rsid w:val="00A21D12"/>
    <w:rsid w:val="00A23E68"/>
    <w:rsid w:val="00A2692C"/>
    <w:rsid w:val="00A31156"/>
    <w:rsid w:val="00A343C3"/>
    <w:rsid w:val="00A37C95"/>
    <w:rsid w:val="00A45E25"/>
    <w:rsid w:val="00A64A60"/>
    <w:rsid w:val="00A84082"/>
    <w:rsid w:val="00A930C3"/>
    <w:rsid w:val="00A97FB0"/>
    <w:rsid w:val="00AA2C25"/>
    <w:rsid w:val="00AF083B"/>
    <w:rsid w:val="00B02433"/>
    <w:rsid w:val="00B127D4"/>
    <w:rsid w:val="00B1332F"/>
    <w:rsid w:val="00B13B76"/>
    <w:rsid w:val="00B44468"/>
    <w:rsid w:val="00B63233"/>
    <w:rsid w:val="00B73BE4"/>
    <w:rsid w:val="00BA2546"/>
    <w:rsid w:val="00BB22AF"/>
    <w:rsid w:val="00BB7F4A"/>
    <w:rsid w:val="00BC5DFF"/>
    <w:rsid w:val="00C12B04"/>
    <w:rsid w:val="00C2271F"/>
    <w:rsid w:val="00C2305B"/>
    <w:rsid w:val="00C24664"/>
    <w:rsid w:val="00C2752F"/>
    <w:rsid w:val="00C43614"/>
    <w:rsid w:val="00C5033A"/>
    <w:rsid w:val="00C826C6"/>
    <w:rsid w:val="00C84390"/>
    <w:rsid w:val="00C85029"/>
    <w:rsid w:val="00C90853"/>
    <w:rsid w:val="00CA4CC1"/>
    <w:rsid w:val="00CB41F4"/>
    <w:rsid w:val="00CC0FBE"/>
    <w:rsid w:val="00CC3BEA"/>
    <w:rsid w:val="00CE3CBD"/>
    <w:rsid w:val="00D00FF5"/>
    <w:rsid w:val="00D02DB8"/>
    <w:rsid w:val="00D03DB3"/>
    <w:rsid w:val="00D0744A"/>
    <w:rsid w:val="00D133C9"/>
    <w:rsid w:val="00D1424E"/>
    <w:rsid w:val="00D178DF"/>
    <w:rsid w:val="00D26EED"/>
    <w:rsid w:val="00D31D50"/>
    <w:rsid w:val="00D415DC"/>
    <w:rsid w:val="00D52EEE"/>
    <w:rsid w:val="00D57BDA"/>
    <w:rsid w:val="00D601A0"/>
    <w:rsid w:val="00D92D23"/>
    <w:rsid w:val="00DA2CF5"/>
    <w:rsid w:val="00DA5F11"/>
    <w:rsid w:val="00DA70E8"/>
    <w:rsid w:val="00DA7534"/>
    <w:rsid w:val="00DB17AF"/>
    <w:rsid w:val="00DB7546"/>
    <w:rsid w:val="00DC5837"/>
    <w:rsid w:val="00DD0EA8"/>
    <w:rsid w:val="00DD3B30"/>
    <w:rsid w:val="00DD52F3"/>
    <w:rsid w:val="00DE7F69"/>
    <w:rsid w:val="00E15B4D"/>
    <w:rsid w:val="00E346A8"/>
    <w:rsid w:val="00E64E7E"/>
    <w:rsid w:val="00E93014"/>
    <w:rsid w:val="00E9315B"/>
    <w:rsid w:val="00EC5BB1"/>
    <w:rsid w:val="00ED33F0"/>
    <w:rsid w:val="00ED6873"/>
    <w:rsid w:val="00F0116A"/>
    <w:rsid w:val="00F04D02"/>
    <w:rsid w:val="00F11446"/>
    <w:rsid w:val="00F13789"/>
    <w:rsid w:val="00F14C6D"/>
    <w:rsid w:val="00F22F58"/>
    <w:rsid w:val="00F23AB8"/>
    <w:rsid w:val="00F302C9"/>
    <w:rsid w:val="00F370F4"/>
    <w:rsid w:val="00F6125A"/>
    <w:rsid w:val="00F714C0"/>
    <w:rsid w:val="00F75A91"/>
    <w:rsid w:val="00F82EEB"/>
    <w:rsid w:val="00F91281"/>
    <w:rsid w:val="00F91B98"/>
    <w:rsid w:val="00F94363"/>
    <w:rsid w:val="00F96CC4"/>
    <w:rsid w:val="00FC2256"/>
    <w:rsid w:val="00FE44C3"/>
    <w:rsid w:val="00FE58A9"/>
    <w:rsid w:val="00FF58DD"/>
    <w:rsid w:val="015C7D37"/>
    <w:rsid w:val="0173501A"/>
    <w:rsid w:val="033A28AF"/>
    <w:rsid w:val="051D649D"/>
    <w:rsid w:val="059A78AB"/>
    <w:rsid w:val="09F6780B"/>
    <w:rsid w:val="0A6F6DCD"/>
    <w:rsid w:val="0B6821E9"/>
    <w:rsid w:val="0BF84BED"/>
    <w:rsid w:val="0FA81FA2"/>
    <w:rsid w:val="10450FFC"/>
    <w:rsid w:val="10487DC7"/>
    <w:rsid w:val="129B417F"/>
    <w:rsid w:val="13593AE2"/>
    <w:rsid w:val="15041741"/>
    <w:rsid w:val="169E4D2E"/>
    <w:rsid w:val="16D954CD"/>
    <w:rsid w:val="18B8286A"/>
    <w:rsid w:val="18DC0EBA"/>
    <w:rsid w:val="19E86BBA"/>
    <w:rsid w:val="1A744CC0"/>
    <w:rsid w:val="1C376F39"/>
    <w:rsid w:val="1D644E95"/>
    <w:rsid w:val="1EA03D77"/>
    <w:rsid w:val="21300D54"/>
    <w:rsid w:val="24B76222"/>
    <w:rsid w:val="24CB0E2A"/>
    <w:rsid w:val="268F12EA"/>
    <w:rsid w:val="26C67F58"/>
    <w:rsid w:val="28E537BD"/>
    <w:rsid w:val="29C210BE"/>
    <w:rsid w:val="2A6C637C"/>
    <w:rsid w:val="2B2E0C21"/>
    <w:rsid w:val="2D544042"/>
    <w:rsid w:val="2EBC29C3"/>
    <w:rsid w:val="30510126"/>
    <w:rsid w:val="30C74B59"/>
    <w:rsid w:val="31B112F9"/>
    <w:rsid w:val="31F90C8B"/>
    <w:rsid w:val="355F59D9"/>
    <w:rsid w:val="36E57D08"/>
    <w:rsid w:val="3A275BAB"/>
    <w:rsid w:val="3BD11BB8"/>
    <w:rsid w:val="3CB232E5"/>
    <w:rsid w:val="3EB11B72"/>
    <w:rsid w:val="3FA41FE9"/>
    <w:rsid w:val="400919CF"/>
    <w:rsid w:val="416C6F6D"/>
    <w:rsid w:val="42FA77D6"/>
    <w:rsid w:val="434B4313"/>
    <w:rsid w:val="45CC2E99"/>
    <w:rsid w:val="479B28A8"/>
    <w:rsid w:val="47DF1CD5"/>
    <w:rsid w:val="48FD7BDF"/>
    <w:rsid w:val="49867CF3"/>
    <w:rsid w:val="499D2972"/>
    <w:rsid w:val="49CA3312"/>
    <w:rsid w:val="4AD14BF0"/>
    <w:rsid w:val="4ED16F74"/>
    <w:rsid w:val="50636D72"/>
    <w:rsid w:val="52A81679"/>
    <w:rsid w:val="566907ED"/>
    <w:rsid w:val="57BB309D"/>
    <w:rsid w:val="59974B23"/>
    <w:rsid w:val="5AFE1DDF"/>
    <w:rsid w:val="5B833D34"/>
    <w:rsid w:val="5C3060E1"/>
    <w:rsid w:val="5C8A07D4"/>
    <w:rsid w:val="5DFB1DA6"/>
    <w:rsid w:val="60850862"/>
    <w:rsid w:val="6208657B"/>
    <w:rsid w:val="635B7A2E"/>
    <w:rsid w:val="65CF229A"/>
    <w:rsid w:val="65D522E9"/>
    <w:rsid w:val="66693E2F"/>
    <w:rsid w:val="669A2D5B"/>
    <w:rsid w:val="67345DD9"/>
    <w:rsid w:val="67433677"/>
    <w:rsid w:val="683925BF"/>
    <w:rsid w:val="6ADF646F"/>
    <w:rsid w:val="6B0312EE"/>
    <w:rsid w:val="6B864526"/>
    <w:rsid w:val="6CC87A15"/>
    <w:rsid w:val="6D25577C"/>
    <w:rsid w:val="6E850357"/>
    <w:rsid w:val="72885630"/>
    <w:rsid w:val="72C53F02"/>
    <w:rsid w:val="731842FC"/>
    <w:rsid w:val="74E92D18"/>
    <w:rsid w:val="75294BC5"/>
    <w:rsid w:val="761B2A57"/>
    <w:rsid w:val="79951E9B"/>
    <w:rsid w:val="79977767"/>
    <w:rsid w:val="7A0060E5"/>
    <w:rsid w:val="7A507B69"/>
    <w:rsid w:val="7A6807BD"/>
    <w:rsid w:val="7BE25280"/>
    <w:rsid w:val="7E0B3D48"/>
    <w:rsid w:val="7E1D046B"/>
    <w:rsid w:val="7E335ECE"/>
    <w:rsid w:val="7EF07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style>
  <w:style w:type="paragraph" w:styleId="3">
    <w:name w:val="Balloon Text"/>
    <w:basedOn w:val="1"/>
    <w:link w:val="16"/>
    <w:semiHidden/>
    <w:unhideWhenUsed/>
    <w:qFormat/>
    <w:uiPriority w:val="99"/>
    <w:pPr>
      <w:spacing w:after="0"/>
    </w:pPr>
    <w:rPr>
      <w:sz w:val="18"/>
      <w:szCs w:val="18"/>
    </w:rPr>
  </w:style>
  <w:style w:type="paragraph" w:styleId="4">
    <w:name w:val="footer"/>
    <w:basedOn w:val="1"/>
    <w:link w:val="12"/>
    <w:semiHidden/>
    <w:unhideWhenUsed/>
    <w:qFormat/>
    <w:uiPriority w:val="99"/>
    <w:pPr>
      <w:tabs>
        <w:tab w:val="center" w:pos="4153"/>
        <w:tab w:val="right" w:pos="8306"/>
      </w:tabs>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semiHidden/>
    <w:qFormat/>
    <w:uiPriority w:val="99"/>
    <w:rPr>
      <w:rFonts w:ascii="Tahoma" w:hAnsi="Tahoma"/>
      <w:sz w:val="18"/>
      <w:szCs w:val="18"/>
    </w:rPr>
  </w:style>
  <w:style w:type="character" w:customStyle="1" w:styleId="12">
    <w:name w:val="页脚 Char"/>
    <w:basedOn w:val="9"/>
    <w:link w:val="4"/>
    <w:semiHidden/>
    <w:qFormat/>
    <w:uiPriority w:val="99"/>
    <w:rPr>
      <w:rFonts w:ascii="Tahoma" w:hAnsi="Tahoma"/>
      <w:sz w:val="18"/>
      <w:szCs w:val="18"/>
    </w:rPr>
  </w:style>
  <w:style w:type="paragraph" w:customStyle="1" w:styleId="1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4">
    <w:name w:val="批注文字 Char"/>
    <w:basedOn w:val="9"/>
    <w:link w:val="2"/>
    <w:semiHidden/>
    <w:qFormat/>
    <w:uiPriority w:val="99"/>
    <w:rPr>
      <w:rFonts w:ascii="Tahoma" w:hAnsi="Tahoma"/>
    </w:rPr>
  </w:style>
  <w:style w:type="character" w:customStyle="1" w:styleId="15">
    <w:name w:val="批注主题 Char"/>
    <w:basedOn w:val="14"/>
    <w:link w:val="6"/>
    <w:semiHidden/>
    <w:qFormat/>
    <w:uiPriority w:val="99"/>
    <w:rPr>
      <w:b/>
      <w:bCs/>
    </w:rPr>
  </w:style>
  <w:style w:type="character" w:customStyle="1" w:styleId="16">
    <w:name w:val="批注框文本 Char"/>
    <w:basedOn w:val="9"/>
    <w:link w:val="3"/>
    <w:semiHidden/>
    <w:qFormat/>
    <w:uiPriority w:val="99"/>
    <w:rPr>
      <w:rFonts w:ascii="Tahoma" w:hAnsi="Tahoma"/>
      <w:sz w:val="18"/>
      <w:szCs w:val="18"/>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168</Words>
  <Characters>963</Characters>
  <Lines>8</Lines>
  <Paragraphs>2</Paragraphs>
  <TotalTime>4</TotalTime>
  <ScaleCrop>false</ScaleCrop>
  <LinksUpToDate>false</LinksUpToDate>
  <CharactersWithSpaces>1129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2018-03-01T05:10:00Z</dcterms:created>
  <dc:creator>Administrator</dc:creator>
  <cp:lastModifiedBy>Mr.翔</cp:lastModifiedBy>
  <dcterms:modified xsi:type="dcterms:W3CDTF">2023-11-02T01:49:08Z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DEF0945D3B7E4442B4E7A7E1425C08A6</vt:lpwstr>
  </property>
</Properties>
</file>