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beforeLines="50" w:after="120" w:afterLines="50" w:line="360" w:lineRule="auto"/>
        <w:jc w:val="center"/>
        <w:rPr>
          <w:rFonts w:hint="default" w:cs="Times New Roman" w:asciiTheme="minorEastAsia" w:hAnsiTheme="minorEastAsia" w:eastAsiaTheme="minorEastAsia"/>
          <w:sz w:val="24"/>
          <w:szCs w:val="23"/>
          <w:lang w:val="en-US"/>
        </w:rPr>
      </w:pPr>
      <w:r>
        <w:rPr>
          <w:rFonts w:hint="eastAsia" w:cs="Times New Roman" w:asciiTheme="minorEastAsia" w:hAnsiTheme="minorEastAsia" w:eastAsiaTheme="minorEastAsia"/>
          <w:sz w:val="24"/>
          <w:szCs w:val="23"/>
        </w:rPr>
        <w:t>证券代码：002871           证券简称：伟隆股份     公告编号：202</w:t>
      </w:r>
      <w:r>
        <w:rPr>
          <w:rFonts w:cs="Times New Roman" w:asciiTheme="minorEastAsia" w:hAnsiTheme="minorEastAsia" w:eastAsiaTheme="minorEastAsia"/>
          <w:sz w:val="24"/>
          <w:szCs w:val="23"/>
        </w:rPr>
        <w:t>3</w:t>
      </w:r>
      <w:r>
        <w:rPr>
          <w:rFonts w:hint="eastAsia" w:cs="Times New Roman" w:asciiTheme="minorEastAsia" w:hAnsiTheme="minorEastAsia" w:eastAsiaTheme="minorEastAsia"/>
          <w:sz w:val="24"/>
          <w:szCs w:val="23"/>
        </w:rPr>
        <w:t>-</w:t>
      </w:r>
      <w:r>
        <w:rPr>
          <w:rFonts w:hint="default" w:cs="Times New Roman" w:asciiTheme="minorEastAsia" w:hAnsiTheme="minorEastAsia" w:eastAsiaTheme="minorEastAsia"/>
          <w:sz w:val="24"/>
          <w:szCs w:val="23"/>
          <w:lang w:val="en-US"/>
        </w:rPr>
        <w:t>106</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青岛伟隆阀门股份有限公司</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关于</w:t>
      </w:r>
      <w:r>
        <w:rPr>
          <w:rFonts w:hint="eastAsia" w:asciiTheme="minorEastAsia" w:hAnsiTheme="minorEastAsia" w:eastAsiaTheme="minorEastAsia"/>
          <w:b/>
          <w:bCs/>
          <w:sz w:val="28"/>
          <w:szCs w:val="24"/>
          <w:lang w:eastAsia="zh-CN"/>
        </w:rPr>
        <w:t>会计政策变更的</w:t>
      </w:r>
      <w:r>
        <w:rPr>
          <w:rFonts w:hint="eastAsia" w:asciiTheme="minorEastAsia" w:hAnsiTheme="minorEastAsia" w:eastAsiaTheme="minorEastAsia"/>
          <w:b/>
          <w:bCs/>
          <w:sz w:val="28"/>
          <w:szCs w:val="24"/>
        </w:rPr>
        <w:t>公告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120" w:beforeLines="50" w:after="120" w:afterLines="50"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重要内容提示： </w:t>
      </w:r>
    </w:p>
    <w:p>
      <w:pPr>
        <w:numPr>
          <w:ilvl w:val="0"/>
          <w:numId w:val="1"/>
        </w:numPr>
        <w:spacing w:before="120" w:beforeLines="50" w:after="120" w:afterLines="50" w:line="360" w:lineRule="auto"/>
        <w:ind w:left="0" w:leftChars="0" w:firstLine="440" w:firstLineChars="200"/>
        <w:jc w:val="both"/>
        <w:rPr>
          <w:rFonts w:hint="eastAsia" w:asciiTheme="minorEastAsia" w:hAnsiTheme="minorEastAsia" w:eastAsiaTheme="minorEastAsia"/>
          <w:sz w:val="22"/>
          <w:szCs w:val="22"/>
        </w:rPr>
      </w:pPr>
      <w:r>
        <w:rPr>
          <w:rFonts w:hint="eastAsia" w:asciiTheme="minorEastAsia" w:hAnsiTheme="minorEastAsia" w:eastAsiaTheme="minorEastAsia"/>
          <w:sz w:val="22"/>
          <w:szCs w:val="22"/>
          <w:lang w:val="en-US" w:eastAsia="zh-CN"/>
        </w:rPr>
        <w:t xml:space="preserve">本次会计政策变更是根据中华人民共和国财政部（以下简称“财政部”）修订的相关企业会计准则而进行的相应变更，对青岛伟隆阀门股份有限公司（以下称“公司”）的财务状况、经营成果和现金流量不会产生重大影响，不存在损 害公司及股东利益的情形。 </w:t>
      </w:r>
    </w:p>
    <w:p>
      <w:pPr>
        <w:numPr>
          <w:ilvl w:val="0"/>
          <w:numId w:val="1"/>
        </w:numPr>
        <w:spacing w:before="120" w:beforeLines="50" w:after="120" w:afterLines="50" w:line="360" w:lineRule="auto"/>
        <w:ind w:left="0" w:leftChars="0" w:firstLine="440" w:firstLineChars="200"/>
        <w:jc w:val="both"/>
        <w:rPr>
          <w:rFonts w:hint="eastAsia" w:asciiTheme="minorEastAsia" w:hAnsiTheme="minorEastAsia" w:eastAsiaTheme="minorEastAsia"/>
          <w:sz w:val="22"/>
          <w:szCs w:val="22"/>
        </w:rPr>
      </w:pPr>
      <w:r>
        <w:rPr>
          <w:rFonts w:hint="eastAsia" w:asciiTheme="minorEastAsia" w:hAnsiTheme="minorEastAsia" w:eastAsiaTheme="minorEastAsia"/>
          <w:sz w:val="22"/>
          <w:szCs w:val="22"/>
          <w:lang w:val="en-US" w:eastAsia="zh-CN"/>
        </w:rPr>
        <w:t xml:space="preserve">公司于 2023年10月30日召开第四届董事会第二十七次会议和第四届监事会第二十一次会议，审议通过了《关于会计政策变更的议案》，独立董事发表了同意的独立意见。该议案无需提交股东大会审议。具体内容如下：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公司于2023年10月30日召开第四届董事会第二十七次会议和第四届监事会第二十一次会议，审议通过了《关于会计政策变更的议案》，独立董事发表了同意的独立意见。该议案无需提交股东大会审议。具体内容如下： </w:t>
      </w:r>
    </w:p>
    <w:p>
      <w:pPr>
        <w:spacing w:before="120" w:beforeLines="50" w:after="120" w:afterLines="50" w:line="360" w:lineRule="auto"/>
        <w:ind w:firstLine="570"/>
        <w:rPr>
          <w:rFonts w:hint="eastAsia" w:ascii="宋体" w:hAnsi="宋体" w:eastAsia="宋体"/>
          <w:b/>
          <w:color w:val="000000" w:themeColor="text1"/>
          <w:sz w:val="24"/>
          <w:szCs w:val="24"/>
        </w:rPr>
      </w:pPr>
      <w:r>
        <w:rPr>
          <w:rFonts w:hint="eastAsia" w:ascii="宋体" w:hAnsi="宋体" w:eastAsia="宋体"/>
          <w:b/>
          <w:color w:val="000000" w:themeColor="text1"/>
          <w:sz w:val="24"/>
          <w:szCs w:val="24"/>
          <w:lang w:val="en-US" w:eastAsia="zh-CN"/>
        </w:rPr>
        <w:t xml:space="preserve">一、本次会计政策变更情况概述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（一）会计政策变更的原因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2022 年 </w:t>
      </w:r>
      <w:r>
        <w:rPr>
          <w:rFonts w:hint="default" w:asciiTheme="minorEastAsia" w:hAnsiTheme="minorEastAsia" w:eastAsiaTheme="minorEastAsia"/>
          <w:sz w:val="24"/>
          <w:szCs w:val="24"/>
          <w:lang w:val="en-US" w:eastAsia="zh-CN"/>
        </w:rPr>
        <w:t xml:space="preserve">11 </w:t>
      </w:r>
      <w:r>
        <w:rPr>
          <w:rFonts w:hint="eastAsia" w:asciiTheme="minorEastAsia" w:hAnsiTheme="minorEastAsia" w:eastAsiaTheme="minorEastAsia"/>
          <w:sz w:val="24"/>
          <w:szCs w:val="24"/>
          <w:lang w:val="en-US" w:eastAsia="zh-CN"/>
        </w:rPr>
        <w:t xml:space="preserve">月 </w:t>
      </w:r>
      <w:r>
        <w:rPr>
          <w:rFonts w:hint="default" w:asciiTheme="minorEastAsia" w:hAnsiTheme="minorEastAsia" w:eastAsiaTheme="minorEastAsia"/>
          <w:sz w:val="24"/>
          <w:szCs w:val="24"/>
          <w:lang w:val="en-US" w:eastAsia="zh-CN"/>
        </w:rPr>
        <w:t xml:space="preserve">30 </w:t>
      </w:r>
      <w:r>
        <w:rPr>
          <w:rFonts w:hint="eastAsia" w:asciiTheme="minorEastAsia" w:hAnsiTheme="minorEastAsia" w:eastAsiaTheme="minorEastAsia"/>
          <w:sz w:val="24"/>
          <w:szCs w:val="24"/>
          <w:lang w:val="en-US" w:eastAsia="zh-CN"/>
        </w:rPr>
        <w:t xml:space="preserve">日，财政部发布了《企业会计准则解释第 </w:t>
      </w:r>
      <w:r>
        <w:rPr>
          <w:rFonts w:hint="default" w:asciiTheme="minorEastAsia" w:hAnsiTheme="minorEastAsia" w:eastAsiaTheme="minorEastAsia"/>
          <w:sz w:val="24"/>
          <w:szCs w:val="24"/>
          <w:lang w:val="en-US" w:eastAsia="zh-CN"/>
        </w:rPr>
        <w:t xml:space="preserve">16 </w:t>
      </w:r>
      <w:r>
        <w:rPr>
          <w:rFonts w:hint="eastAsia" w:asciiTheme="minorEastAsia" w:hAnsiTheme="minorEastAsia" w:eastAsiaTheme="minorEastAsia"/>
          <w:sz w:val="24"/>
          <w:szCs w:val="24"/>
          <w:lang w:val="en-US" w:eastAsia="zh-CN"/>
        </w:rPr>
        <w:t>号》（财会〔</w:t>
      </w:r>
      <w:r>
        <w:rPr>
          <w:rFonts w:hint="default" w:asciiTheme="minorEastAsia" w:hAnsiTheme="minorEastAsia" w:eastAsiaTheme="minorEastAsia"/>
          <w:sz w:val="24"/>
          <w:szCs w:val="24"/>
          <w:lang w:val="en-US" w:eastAsia="zh-CN"/>
        </w:rPr>
        <w:t>2022</w:t>
      </w:r>
      <w:r>
        <w:rPr>
          <w:rFonts w:hint="eastAsia" w:asciiTheme="minorEastAsia" w:hAnsiTheme="minorEastAsia" w:eastAsiaTheme="minorEastAsia"/>
          <w:sz w:val="24"/>
          <w:szCs w:val="24"/>
          <w:lang w:val="en-US" w:eastAsia="zh-CN"/>
        </w:rPr>
        <w:t>〕</w:t>
      </w:r>
      <w:r>
        <w:rPr>
          <w:rFonts w:hint="default" w:asciiTheme="minorEastAsia" w:hAnsiTheme="minorEastAsia" w:eastAsiaTheme="minorEastAsia"/>
          <w:sz w:val="24"/>
          <w:szCs w:val="24"/>
          <w:lang w:val="en-US" w:eastAsia="zh-CN"/>
        </w:rPr>
        <w:t xml:space="preserve">31 </w:t>
      </w:r>
      <w:r>
        <w:rPr>
          <w:rFonts w:hint="eastAsia" w:asciiTheme="minorEastAsia" w:hAnsiTheme="minorEastAsia" w:eastAsiaTheme="minorEastAsia"/>
          <w:sz w:val="24"/>
          <w:szCs w:val="24"/>
          <w:lang w:val="en-US" w:eastAsia="zh-CN"/>
        </w:rPr>
        <w:t xml:space="preserve">号）（以下简称“《准则解释第 </w:t>
      </w:r>
      <w:r>
        <w:rPr>
          <w:rFonts w:hint="default" w:asciiTheme="minorEastAsia" w:hAnsiTheme="minorEastAsia" w:eastAsiaTheme="minorEastAsia"/>
          <w:sz w:val="24"/>
          <w:szCs w:val="24"/>
          <w:lang w:val="en-US" w:eastAsia="zh-CN"/>
        </w:rPr>
        <w:t xml:space="preserve">16 </w:t>
      </w:r>
      <w:r>
        <w:rPr>
          <w:rFonts w:hint="eastAsia" w:asciiTheme="minorEastAsia" w:hAnsiTheme="minorEastAsia" w:eastAsiaTheme="minorEastAsia"/>
          <w:sz w:val="24"/>
          <w:szCs w:val="24"/>
          <w:lang w:val="en-US" w:eastAsia="zh-CN"/>
        </w:rPr>
        <w:t xml:space="preserve">号》”），规定“关于单项交易产生的资产和负债相关的递延所得税不适用初始确认豁免的会计处理”的内容自 </w:t>
      </w:r>
      <w:r>
        <w:rPr>
          <w:rFonts w:hint="default" w:asciiTheme="minorEastAsia" w:hAnsiTheme="minorEastAsia" w:eastAsiaTheme="minorEastAsia"/>
          <w:sz w:val="24"/>
          <w:szCs w:val="24"/>
          <w:lang w:val="en-US" w:eastAsia="zh-CN"/>
        </w:rPr>
        <w:t xml:space="preserve">2023 </w:t>
      </w:r>
      <w:r>
        <w:rPr>
          <w:rFonts w:hint="eastAsia" w:asciiTheme="minorEastAsia" w:hAnsiTheme="minorEastAsia" w:eastAsiaTheme="minorEastAsia"/>
          <w:sz w:val="24"/>
          <w:szCs w:val="24"/>
          <w:lang w:val="en-US" w:eastAsia="zh-CN"/>
        </w:rPr>
        <w:t xml:space="preserve">年 </w:t>
      </w:r>
      <w:r>
        <w:rPr>
          <w:rFonts w:hint="default" w:asciiTheme="minorEastAsia" w:hAnsiTheme="minorEastAsia" w:eastAsiaTheme="minorEastAsia"/>
          <w:sz w:val="24"/>
          <w:szCs w:val="24"/>
          <w:lang w:val="en-US" w:eastAsia="zh-CN"/>
        </w:rPr>
        <w:t xml:space="preserve">1 </w:t>
      </w:r>
      <w:r>
        <w:rPr>
          <w:rFonts w:hint="eastAsia" w:asciiTheme="minorEastAsia" w:hAnsiTheme="minorEastAsia" w:eastAsiaTheme="minorEastAsia"/>
          <w:sz w:val="24"/>
          <w:szCs w:val="24"/>
          <w:lang w:val="en-US" w:eastAsia="zh-CN"/>
        </w:rPr>
        <w:t xml:space="preserve">月 </w:t>
      </w:r>
      <w:r>
        <w:rPr>
          <w:rFonts w:hint="default" w:asciiTheme="minorEastAsia" w:hAnsiTheme="minorEastAsia" w:eastAsiaTheme="minorEastAsia"/>
          <w:sz w:val="24"/>
          <w:szCs w:val="24"/>
          <w:lang w:val="en-US" w:eastAsia="zh-CN"/>
        </w:rPr>
        <w:t xml:space="preserve">1 </w:t>
      </w:r>
      <w:r>
        <w:rPr>
          <w:rFonts w:hint="eastAsia" w:asciiTheme="minorEastAsia" w:hAnsiTheme="minorEastAsia" w:eastAsiaTheme="minorEastAsia"/>
          <w:sz w:val="24"/>
          <w:szCs w:val="24"/>
          <w:lang w:val="en-US" w:eastAsia="zh-CN"/>
        </w:rPr>
        <w:t xml:space="preserve">日起施行。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（二）变更前采用的会计政策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本次变更前，公司执行财政部发布的《企业会计准则——基本准则》和各项具体会计准则、企业会计准则应用指南、企业会计准则解释公告以及其他相关规定。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（三）变更后采用的会计政策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本次会计政策变更后，公司将按照财政部发布的《准则解释第 </w:t>
      </w:r>
      <w:r>
        <w:rPr>
          <w:rFonts w:hint="default" w:asciiTheme="minorEastAsia" w:hAnsiTheme="minorEastAsia" w:eastAsiaTheme="minorEastAsia"/>
          <w:sz w:val="24"/>
          <w:szCs w:val="24"/>
          <w:lang w:val="en-US" w:eastAsia="zh-CN"/>
        </w:rPr>
        <w:t xml:space="preserve">16 </w:t>
      </w:r>
      <w:r>
        <w:rPr>
          <w:rFonts w:hint="eastAsia" w:asciiTheme="minorEastAsia" w:hAnsiTheme="minorEastAsia" w:eastAsiaTheme="minorEastAsia"/>
          <w:sz w:val="24"/>
          <w:szCs w:val="24"/>
          <w:lang w:val="en-US" w:eastAsia="zh-CN"/>
        </w:rPr>
        <w:t xml:space="preserve">号》要求执行。除上述政策变更外，其他未变更部分，仍按照财政部前期颁布的《企业会计准则—基本准则》和各项具体会计准则、企业会计准则应用指南、企业会计准则解释公告以及其他相关规定执行。 </w:t>
      </w:r>
    </w:p>
    <w:p>
      <w:pPr>
        <w:spacing w:before="120" w:beforeLines="50" w:after="120" w:afterLines="50" w:line="360" w:lineRule="auto"/>
        <w:ind w:firstLine="570"/>
        <w:rPr>
          <w:rFonts w:hint="eastAsia" w:ascii="宋体" w:hAnsi="宋体" w:eastAsia="宋体"/>
          <w:b/>
          <w:color w:val="000000" w:themeColor="text1"/>
          <w:sz w:val="24"/>
          <w:szCs w:val="24"/>
          <w:lang w:val="en-US" w:eastAsia="zh-CN"/>
        </w:rPr>
      </w:pPr>
      <w:r>
        <w:rPr>
          <w:rFonts w:hint="eastAsia" w:ascii="宋体" w:hAnsi="宋体" w:eastAsia="宋体"/>
          <w:b/>
          <w:color w:val="000000" w:themeColor="text1"/>
          <w:sz w:val="24"/>
          <w:szCs w:val="24"/>
          <w:lang w:val="en-US" w:eastAsia="zh-CN"/>
        </w:rPr>
        <w:t xml:space="preserve">二、本次会计政策变更主要内容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对于不是企业合并、交易发生时既不影响会计利润也不影响应纳税所得额（或可抵扣亏损）、且初始确认的资产和负债导致产生等额应纳税暂时性差异和可抵扣暂时性差异的单项交易（包括承租人在租赁期开始日初始确认租赁负债并计入使用权资产的租赁交易，以及因固定资产等存在弃置义务而确认预计负债并计入相关资产成本的交易等），不适用《企业会计准则第 18 号—所得税》第十一条（二）、第十三条关于豁免初始确认递延所得税负债和递延所得税资产的规定。企业对该交易因资产和负债的初始确认所产生的应纳税暂时性差异和可抵扣暂时性差异，应当根据《企业会计准则第 </w:t>
      </w:r>
      <w:r>
        <w:rPr>
          <w:rFonts w:hint="default" w:asciiTheme="minorEastAsia" w:hAnsiTheme="minorEastAsia" w:eastAsiaTheme="minorEastAsia"/>
          <w:sz w:val="24"/>
          <w:szCs w:val="24"/>
          <w:lang w:val="en-US" w:eastAsia="zh-CN"/>
        </w:rPr>
        <w:t xml:space="preserve">18 </w:t>
      </w:r>
      <w:r>
        <w:rPr>
          <w:rFonts w:hint="eastAsia" w:asciiTheme="minorEastAsia" w:hAnsiTheme="minorEastAsia" w:eastAsiaTheme="minorEastAsia"/>
          <w:sz w:val="24"/>
          <w:szCs w:val="24"/>
          <w:lang w:val="en-US" w:eastAsia="zh-CN"/>
        </w:rPr>
        <w:t xml:space="preserve">号—所得税》等有关规定，在交易发生时分别确认相应的递延所得税负债和递延所得税资产。 </w:t>
      </w:r>
    </w:p>
    <w:p>
      <w:pPr>
        <w:spacing w:before="120" w:beforeLines="50" w:after="120" w:afterLines="50" w:line="360" w:lineRule="auto"/>
        <w:ind w:firstLine="570"/>
        <w:rPr>
          <w:rFonts w:hint="eastAsia" w:ascii="宋体" w:hAnsi="宋体" w:eastAsia="宋体"/>
          <w:b/>
          <w:color w:val="000000" w:themeColor="text1"/>
          <w:sz w:val="24"/>
          <w:szCs w:val="24"/>
          <w:lang w:val="en-US" w:eastAsia="zh-CN"/>
        </w:rPr>
      </w:pPr>
      <w:r>
        <w:rPr>
          <w:rFonts w:hint="eastAsia" w:ascii="宋体" w:hAnsi="宋体" w:eastAsia="宋体"/>
          <w:b/>
          <w:color w:val="000000" w:themeColor="text1"/>
          <w:sz w:val="24"/>
          <w:szCs w:val="24"/>
          <w:lang w:val="en-US" w:eastAsia="zh-CN"/>
        </w:rPr>
        <w:t xml:space="preserve">三、本次会计政策变更对公司的影响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本次会计政策变更是公司根据财政部发布的《准则解释第 16 号》的要求进行的合理变更，变更后的会计政策能够更加客观、公允地反映公司的财务状况和经营成果，符合相关法律法规的规定和公司实际情况，不会对公司财务状况、经营成果和现金流量产生重大影响，不存在损害公司及股东利益的情况。 </w:t>
      </w:r>
    </w:p>
    <w:p>
      <w:pPr>
        <w:spacing w:before="120" w:beforeLines="50" w:after="120" w:afterLines="50" w:line="360" w:lineRule="auto"/>
        <w:ind w:firstLine="570"/>
        <w:rPr>
          <w:rFonts w:hint="eastAsia" w:ascii="宋体" w:hAnsi="宋体" w:eastAsia="宋体"/>
          <w:b/>
          <w:color w:val="000000" w:themeColor="text1"/>
          <w:sz w:val="24"/>
          <w:szCs w:val="24"/>
          <w:lang w:val="en-US" w:eastAsia="zh-CN"/>
        </w:rPr>
      </w:pPr>
      <w:r>
        <w:rPr>
          <w:rFonts w:hint="eastAsia" w:ascii="宋体" w:hAnsi="宋体" w:eastAsia="宋体"/>
          <w:b/>
          <w:color w:val="000000" w:themeColor="text1"/>
          <w:sz w:val="24"/>
          <w:szCs w:val="24"/>
          <w:lang w:val="en-US" w:eastAsia="zh-CN"/>
        </w:rPr>
        <w:t xml:space="preserve">四、独立董事、监事会的结论性意见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（一）独立董事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独立董事认为：本次会计政策变更系根据财政部相关规定进行的合理变更，变更后的会计政策能够客观、公允地反映公司的财务状况和经营成果，未损害公司和股东的利益。本次会计政策变更的决策程序符合有关法律、法规和《公司章程》的规定。本次变更不会对财务报告产生重大影响。因此，我们同意公司本次会计政策变更。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（二）监事会 </w:t>
      </w:r>
    </w:p>
    <w:p>
      <w:pPr>
        <w:spacing w:before="120" w:beforeLines="50" w:after="120" w:afterLines="50" w:line="360" w:lineRule="auto"/>
        <w:ind w:firstLine="439" w:firstLineChars="183"/>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监事会认为：本次变更会计政策是根据财政部的要求进行变更和调整，符合财政部、中国证券监督管理委员会、深圳证券交易所的相关规定，不存在损害公司及股东利益的情形。公司本次变更会计政策后，能够使公司财务报告更加客观、 公允地反映公司的财务状况和经营成果，符合公司及所有股东的利益。</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特此公告。</w:t>
      </w:r>
    </w:p>
    <w:p>
      <w:pPr>
        <w:spacing w:before="120" w:beforeLines="50" w:after="120" w:afterLines="50" w:line="360" w:lineRule="auto"/>
        <w:ind w:firstLine="4560" w:firstLineChars="19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青岛伟隆阀门股份有限公司董事会 </w:t>
      </w:r>
    </w:p>
    <w:p>
      <w:pPr>
        <w:spacing w:before="120" w:beforeLines="50" w:after="120" w:afterLines="50" w:line="360" w:lineRule="auto"/>
        <w:ind w:firstLine="5040" w:firstLineChars="21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2023年10月31日 </w:t>
      </w:r>
    </w:p>
    <w:p>
      <w:pPr>
        <w:spacing w:before="120" w:beforeLines="50" w:after="120" w:afterLines="50" w:line="360" w:lineRule="auto"/>
        <w:ind w:firstLine="4320" w:firstLineChars="1800"/>
        <w:rPr>
          <w:rFonts w:asciiTheme="minorEastAsia" w:hAnsiTheme="minorEastAsia" w:eastAsiaTheme="minorEastAsia"/>
          <w:sz w:val="24"/>
          <w:szCs w:val="24"/>
        </w:rPr>
      </w:pP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FA6F6"/>
    <w:multiLevelType w:val="singleLevel"/>
    <w:tmpl w:val="612FA6F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0133CD"/>
    <w:rsid w:val="00022A9E"/>
    <w:rsid w:val="00023BAC"/>
    <w:rsid w:val="00031AFA"/>
    <w:rsid w:val="00074DD9"/>
    <w:rsid w:val="00080C5D"/>
    <w:rsid w:val="00083826"/>
    <w:rsid w:val="00087BE3"/>
    <w:rsid w:val="000A0FB4"/>
    <w:rsid w:val="000B2414"/>
    <w:rsid w:val="000B5CC8"/>
    <w:rsid w:val="000B6DBF"/>
    <w:rsid w:val="000C6274"/>
    <w:rsid w:val="000D6589"/>
    <w:rsid w:val="000E3FA3"/>
    <w:rsid w:val="000E4EF4"/>
    <w:rsid w:val="00100F35"/>
    <w:rsid w:val="0010482D"/>
    <w:rsid w:val="00105553"/>
    <w:rsid w:val="0010568E"/>
    <w:rsid w:val="001118CE"/>
    <w:rsid w:val="00115BE8"/>
    <w:rsid w:val="00121BA8"/>
    <w:rsid w:val="00123DE7"/>
    <w:rsid w:val="001306E7"/>
    <w:rsid w:val="00140D0E"/>
    <w:rsid w:val="001601BB"/>
    <w:rsid w:val="001624EA"/>
    <w:rsid w:val="0016383F"/>
    <w:rsid w:val="00167D58"/>
    <w:rsid w:val="00172A27"/>
    <w:rsid w:val="001840A0"/>
    <w:rsid w:val="00191D6D"/>
    <w:rsid w:val="001B33ED"/>
    <w:rsid w:val="001C0510"/>
    <w:rsid w:val="001C2D84"/>
    <w:rsid w:val="001C4F3D"/>
    <w:rsid w:val="001C59F6"/>
    <w:rsid w:val="001C72E9"/>
    <w:rsid w:val="001D45EA"/>
    <w:rsid w:val="001D4D05"/>
    <w:rsid w:val="001E4C2B"/>
    <w:rsid w:val="001E5BA2"/>
    <w:rsid w:val="001E7A4C"/>
    <w:rsid w:val="001F18B8"/>
    <w:rsid w:val="00205726"/>
    <w:rsid w:val="00211DA7"/>
    <w:rsid w:val="002268D0"/>
    <w:rsid w:val="00232833"/>
    <w:rsid w:val="002370B1"/>
    <w:rsid w:val="00241790"/>
    <w:rsid w:val="00243093"/>
    <w:rsid w:val="00256DE7"/>
    <w:rsid w:val="00263DBE"/>
    <w:rsid w:val="0027512C"/>
    <w:rsid w:val="00281E14"/>
    <w:rsid w:val="002858DA"/>
    <w:rsid w:val="00285CE5"/>
    <w:rsid w:val="002A0D73"/>
    <w:rsid w:val="002A4BA8"/>
    <w:rsid w:val="002A61D4"/>
    <w:rsid w:val="002B0EBD"/>
    <w:rsid w:val="002C284D"/>
    <w:rsid w:val="002C3FAC"/>
    <w:rsid w:val="002C4E5B"/>
    <w:rsid w:val="002F0E27"/>
    <w:rsid w:val="002F48D1"/>
    <w:rsid w:val="002F4963"/>
    <w:rsid w:val="002F6919"/>
    <w:rsid w:val="002F7410"/>
    <w:rsid w:val="00304F62"/>
    <w:rsid w:val="00305829"/>
    <w:rsid w:val="00315304"/>
    <w:rsid w:val="003160E1"/>
    <w:rsid w:val="00320D5B"/>
    <w:rsid w:val="00322965"/>
    <w:rsid w:val="00323B43"/>
    <w:rsid w:val="003246FC"/>
    <w:rsid w:val="00324B1C"/>
    <w:rsid w:val="00330707"/>
    <w:rsid w:val="00351C24"/>
    <w:rsid w:val="00371FC3"/>
    <w:rsid w:val="0037213F"/>
    <w:rsid w:val="003836CA"/>
    <w:rsid w:val="003861A5"/>
    <w:rsid w:val="0039237D"/>
    <w:rsid w:val="00397139"/>
    <w:rsid w:val="003A1595"/>
    <w:rsid w:val="003B3D60"/>
    <w:rsid w:val="003B4DB1"/>
    <w:rsid w:val="003C37B5"/>
    <w:rsid w:val="003C71B0"/>
    <w:rsid w:val="003D37D8"/>
    <w:rsid w:val="003D593A"/>
    <w:rsid w:val="003E1517"/>
    <w:rsid w:val="003E6E49"/>
    <w:rsid w:val="004026E7"/>
    <w:rsid w:val="004054E9"/>
    <w:rsid w:val="00405E3D"/>
    <w:rsid w:val="00407B06"/>
    <w:rsid w:val="00412EC7"/>
    <w:rsid w:val="004164C3"/>
    <w:rsid w:val="00424778"/>
    <w:rsid w:val="00426133"/>
    <w:rsid w:val="00430C7C"/>
    <w:rsid w:val="004358AB"/>
    <w:rsid w:val="004408B8"/>
    <w:rsid w:val="0044283A"/>
    <w:rsid w:val="004435DA"/>
    <w:rsid w:val="00446109"/>
    <w:rsid w:val="004543EA"/>
    <w:rsid w:val="00455315"/>
    <w:rsid w:val="004562BF"/>
    <w:rsid w:val="00461DAC"/>
    <w:rsid w:val="0046529E"/>
    <w:rsid w:val="00474557"/>
    <w:rsid w:val="004A0AEE"/>
    <w:rsid w:val="004B5F5B"/>
    <w:rsid w:val="004C3138"/>
    <w:rsid w:val="004C6E03"/>
    <w:rsid w:val="004D4CF5"/>
    <w:rsid w:val="004E1A97"/>
    <w:rsid w:val="00504912"/>
    <w:rsid w:val="00511E0E"/>
    <w:rsid w:val="00516B02"/>
    <w:rsid w:val="0051752B"/>
    <w:rsid w:val="00542EC3"/>
    <w:rsid w:val="00547A07"/>
    <w:rsid w:val="00556CA9"/>
    <w:rsid w:val="00557805"/>
    <w:rsid w:val="005673E7"/>
    <w:rsid w:val="00574098"/>
    <w:rsid w:val="005856B9"/>
    <w:rsid w:val="00593596"/>
    <w:rsid w:val="00596292"/>
    <w:rsid w:val="005A4475"/>
    <w:rsid w:val="005A7990"/>
    <w:rsid w:val="005B32C7"/>
    <w:rsid w:val="005C0288"/>
    <w:rsid w:val="005C270C"/>
    <w:rsid w:val="005C3A4D"/>
    <w:rsid w:val="005C5AC8"/>
    <w:rsid w:val="005D4FA7"/>
    <w:rsid w:val="005D6C16"/>
    <w:rsid w:val="005F0BBF"/>
    <w:rsid w:val="005F36CE"/>
    <w:rsid w:val="005F3F03"/>
    <w:rsid w:val="00607D7B"/>
    <w:rsid w:val="0061650F"/>
    <w:rsid w:val="00617684"/>
    <w:rsid w:val="006234A3"/>
    <w:rsid w:val="006234D3"/>
    <w:rsid w:val="00641D9C"/>
    <w:rsid w:val="00652889"/>
    <w:rsid w:val="006553C2"/>
    <w:rsid w:val="006824B5"/>
    <w:rsid w:val="006B53EC"/>
    <w:rsid w:val="006B6A27"/>
    <w:rsid w:val="006C3592"/>
    <w:rsid w:val="006E314F"/>
    <w:rsid w:val="006E4BBC"/>
    <w:rsid w:val="006E5BCD"/>
    <w:rsid w:val="006E7605"/>
    <w:rsid w:val="006F3AC2"/>
    <w:rsid w:val="006F4987"/>
    <w:rsid w:val="00702023"/>
    <w:rsid w:val="00706841"/>
    <w:rsid w:val="00712C1E"/>
    <w:rsid w:val="00723678"/>
    <w:rsid w:val="00736CCB"/>
    <w:rsid w:val="00745A00"/>
    <w:rsid w:val="007536C2"/>
    <w:rsid w:val="00760A31"/>
    <w:rsid w:val="00763722"/>
    <w:rsid w:val="00780673"/>
    <w:rsid w:val="007814FC"/>
    <w:rsid w:val="00785158"/>
    <w:rsid w:val="007A72B5"/>
    <w:rsid w:val="007B1F9D"/>
    <w:rsid w:val="007C0DCC"/>
    <w:rsid w:val="007C4641"/>
    <w:rsid w:val="007C7F7F"/>
    <w:rsid w:val="007D5D47"/>
    <w:rsid w:val="007E25F6"/>
    <w:rsid w:val="007E77F2"/>
    <w:rsid w:val="007F1020"/>
    <w:rsid w:val="00812732"/>
    <w:rsid w:val="00813D15"/>
    <w:rsid w:val="008231F4"/>
    <w:rsid w:val="00825861"/>
    <w:rsid w:val="008347DD"/>
    <w:rsid w:val="008424D8"/>
    <w:rsid w:val="00856162"/>
    <w:rsid w:val="00862320"/>
    <w:rsid w:val="00862530"/>
    <w:rsid w:val="00865203"/>
    <w:rsid w:val="00870480"/>
    <w:rsid w:val="0088084E"/>
    <w:rsid w:val="00881A67"/>
    <w:rsid w:val="00882566"/>
    <w:rsid w:val="0088530D"/>
    <w:rsid w:val="00885EF3"/>
    <w:rsid w:val="008948D7"/>
    <w:rsid w:val="00895B95"/>
    <w:rsid w:val="00897728"/>
    <w:rsid w:val="008A11C3"/>
    <w:rsid w:val="008A287C"/>
    <w:rsid w:val="008A6D80"/>
    <w:rsid w:val="008B7726"/>
    <w:rsid w:val="008C4867"/>
    <w:rsid w:val="008D170C"/>
    <w:rsid w:val="008D17AC"/>
    <w:rsid w:val="008D4817"/>
    <w:rsid w:val="008F2CD2"/>
    <w:rsid w:val="0090339E"/>
    <w:rsid w:val="0090559A"/>
    <w:rsid w:val="0091337C"/>
    <w:rsid w:val="00931492"/>
    <w:rsid w:val="00946358"/>
    <w:rsid w:val="009550BA"/>
    <w:rsid w:val="00957604"/>
    <w:rsid w:val="00962038"/>
    <w:rsid w:val="0096231F"/>
    <w:rsid w:val="00970166"/>
    <w:rsid w:val="0097585D"/>
    <w:rsid w:val="00977231"/>
    <w:rsid w:val="009815D2"/>
    <w:rsid w:val="0098292C"/>
    <w:rsid w:val="0098339F"/>
    <w:rsid w:val="0098481A"/>
    <w:rsid w:val="0099464B"/>
    <w:rsid w:val="009A3A37"/>
    <w:rsid w:val="009B3B69"/>
    <w:rsid w:val="009B47AC"/>
    <w:rsid w:val="009B7A89"/>
    <w:rsid w:val="009C0906"/>
    <w:rsid w:val="009C376A"/>
    <w:rsid w:val="009C382D"/>
    <w:rsid w:val="009C4655"/>
    <w:rsid w:val="009C73EF"/>
    <w:rsid w:val="009E2F97"/>
    <w:rsid w:val="009E393E"/>
    <w:rsid w:val="009F58D5"/>
    <w:rsid w:val="009F71CF"/>
    <w:rsid w:val="00A02B6C"/>
    <w:rsid w:val="00A0704F"/>
    <w:rsid w:val="00A155EB"/>
    <w:rsid w:val="00A15D55"/>
    <w:rsid w:val="00A303AA"/>
    <w:rsid w:val="00A35ECB"/>
    <w:rsid w:val="00A53A38"/>
    <w:rsid w:val="00A53FF2"/>
    <w:rsid w:val="00A644E1"/>
    <w:rsid w:val="00A66B26"/>
    <w:rsid w:val="00A7080D"/>
    <w:rsid w:val="00A7113F"/>
    <w:rsid w:val="00A7462E"/>
    <w:rsid w:val="00A819FC"/>
    <w:rsid w:val="00AA1D1A"/>
    <w:rsid w:val="00AB6CA0"/>
    <w:rsid w:val="00AC2F7D"/>
    <w:rsid w:val="00AC7411"/>
    <w:rsid w:val="00AC7465"/>
    <w:rsid w:val="00AC779D"/>
    <w:rsid w:val="00AD053D"/>
    <w:rsid w:val="00AD12CF"/>
    <w:rsid w:val="00AE6197"/>
    <w:rsid w:val="00AE6BB7"/>
    <w:rsid w:val="00AE7B51"/>
    <w:rsid w:val="00AF0BFB"/>
    <w:rsid w:val="00AF2363"/>
    <w:rsid w:val="00AF586F"/>
    <w:rsid w:val="00B022AB"/>
    <w:rsid w:val="00B16ED5"/>
    <w:rsid w:val="00B20D1A"/>
    <w:rsid w:val="00B25E89"/>
    <w:rsid w:val="00B423CE"/>
    <w:rsid w:val="00B447EE"/>
    <w:rsid w:val="00B44968"/>
    <w:rsid w:val="00B524CE"/>
    <w:rsid w:val="00B62883"/>
    <w:rsid w:val="00B66B52"/>
    <w:rsid w:val="00B70156"/>
    <w:rsid w:val="00B77036"/>
    <w:rsid w:val="00B8073B"/>
    <w:rsid w:val="00B92F07"/>
    <w:rsid w:val="00B94EF8"/>
    <w:rsid w:val="00BA2473"/>
    <w:rsid w:val="00BA2EED"/>
    <w:rsid w:val="00BA537F"/>
    <w:rsid w:val="00BA7825"/>
    <w:rsid w:val="00BB1843"/>
    <w:rsid w:val="00BB24E1"/>
    <w:rsid w:val="00BB7B47"/>
    <w:rsid w:val="00BC2A06"/>
    <w:rsid w:val="00BD0B09"/>
    <w:rsid w:val="00BE014D"/>
    <w:rsid w:val="00BE2D68"/>
    <w:rsid w:val="00BE6684"/>
    <w:rsid w:val="00BE7F41"/>
    <w:rsid w:val="00BF2484"/>
    <w:rsid w:val="00C00963"/>
    <w:rsid w:val="00C05532"/>
    <w:rsid w:val="00C11DA5"/>
    <w:rsid w:val="00C12712"/>
    <w:rsid w:val="00C13DF9"/>
    <w:rsid w:val="00C30737"/>
    <w:rsid w:val="00C31997"/>
    <w:rsid w:val="00C32929"/>
    <w:rsid w:val="00C333B8"/>
    <w:rsid w:val="00C61EB3"/>
    <w:rsid w:val="00C62F24"/>
    <w:rsid w:val="00C66033"/>
    <w:rsid w:val="00C66AD0"/>
    <w:rsid w:val="00C75AA8"/>
    <w:rsid w:val="00C83CFB"/>
    <w:rsid w:val="00C843B3"/>
    <w:rsid w:val="00C87B02"/>
    <w:rsid w:val="00C92216"/>
    <w:rsid w:val="00CB28D8"/>
    <w:rsid w:val="00CB4834"/>
    <w:rsid w:val="00CC0AED"/>
    <w:rsid w:val="00CD0469"/>
    <w:rsid w:val="00CD11B5"/>
    <w:rsid w:val="00CE3215"/>
    <w:rsid w:val="00CE3854"/>
    <w:rsid w:val="00CE74DC"/>
    <w:rsid w:val="00CF39DB"/>
    <w:rsid w:val="00CF6812"/>
    <w:rsid w:val="00D007AE"/>
    <w:rsid w:val="00D031F8"/>
    <w:rsid w:val="00D03AA9"/>
    <w:rsid w:val="00D117BF"/>
    <w:rsid w:val="00D31D50"/>
    <w:rsid w:val="00D352A3"/>
    <w:rsid w:val="00D50A86"/>
    <w:rsid w:val="00D60743"/>
    <w:rsid w:val="00D60E15"/>
    <w:rsid w:val="00D64A80"/>
    <w:rsid w:val="00D72B81"/>
    <w:rsid w:val="00D731B8"/>
    <w:rsid w:val="00D747D1"/>
    <w:rsid w:val="00D87CD3"/>
    <w:rsid w:val="00D93814"/>
    <w:rsid w:val="00DA1374"/>
    <w:rsid w:val="00DA2064"/>
    <w:rsid w:val="00DB3986"/>
    <w:rsid w:val="00DC0C8B"/>
    <w:rsid w:val="00DC19C0"/>
    <w:rsid w:val="00DD1C68"/>
    <w:rsid w:val="00DD3E59"/>
    <w:rsid w:val="00DD54E8"/>
    <w:rsid w:val="00DE2901"/>
    <w:rsid w:val="00DF3F12"/>
    <w:rsid w:val="00E117DE"/>
    <w:rsid w:val="00E12796"/>
    <w:rsid w:val="00E1641E"/>
    <w:rsid w:val="00E16FB0"/>
    <w:rsid w:val="00E317E3"/>
    <w:rsid w:val="00E33C76"/>
    <w:rsid w:val="00E3696A"/>
    <w:rsid w:val="00E56877"/>
    <w:rsid w:val="00E65E91"/>
    <w:rsid w:val="00E71239"/>
    <w:rsid w:val="00E73530"/>
    <w:rsid w:val="00E763CA"/>
    <w:rsid w:val="00E81E4C"/>
    <w:rsid w:val="00E83D7B"/>
    <w:rsid w:val="00E93451"/>
    <w:rsid w:val="00E97AF6"/>
    <w:rsid w:val="00EA1640"/>
    <w:rsid w:val="00EA2F11"/>
    <w:rsid w:val="00EB1D51"/>
    <w:rsid w:val="00EB4454"/>
    <w:rsid w:val="00EC7802"/>
    <w:rsid w:val="00ED1A60"/>
    <w:rsid w:val="00ED2416"/>
    <w:rsid w:val="00ED41E8"/>
    <w:rsid w:val="00EE12F1"/>
    <w:rsid w:val="00EF6BB7"/>
    <w:rsid w:val="00F0022C"/>
    <w:rsid w:val="00F00B0B"/>
    <w:rsid w:val="00F04CA1"/>
    <w:rsid w:val="00F05437"/>
    <w:rsid w:val="00F0774E"/>
    <w:rsid w:val="00F14B38"/>
    <w:rsid w:val="00F212C7"/>
    <w:rsid w:val="00F27FA1"/>
    <w:rsid w:val="00F42B5D"/>
    <w:rsid w:val="00F47D98"/>
    <w:rsid w:val="00F53072"/>
    <w:rsid w:val="00F5660A"/>
    <w:rsid w:val="00F63194"/>
    <w:rsid w:val="00F713C1"/>
    <w:rsid w:val="00F774B4"/>
    <w:rsid w:val="00F800E5"/>
    <w:rsid w:val="00F9053F"/>
    <w:rsid w:val="00F92E21"/>
    <w:rsid w:val="00FA6923"/>
    <w:rsid w:val="00FB4B02"/>
    <w:rsid w:val="00FC4AB2"/>
    <w:rsid w:val="00FC5C4C"/>
    <w:rsid w:val="00FD6898"/>
    <w:rsid w:val="00FE0898"/>
    <w:rsid w:val="00FF66DC"/>
    <w:rsid w:val="03284E8C"/>
    <w:rsid w:val="04582CCD"/>
    <w:rsid w:val="04933A7B"/>
    <w:rsid w:val="05216551"/>
    <w:rsid w:val="05373F63"/>
    <w:rsid w:val="06AF5A59"/>
    <w:rsid w:val="0897235B"/>
    <w:rsid w:val="08E87C52"/>
    <w:rsid w:val="0B9F07DA"/>
    <w:rsid w:val="0E051277"/>
    <w:rsid w:val="1180655D"/>
    <w:rsid w:val="121C111E"/>
    <w:rsid w:val="12A37653"/>
    <w:rsid w:val="1422164C"/>
    <w:rsid w:val="14A85ECD"/>
    <w:rsid w:val="14C00400"/>
    <w:rsid w:val="15D0510F"/>
    <w:rsid w:val="16374CB6"/>
    <w:rsid w:val="16454C4B"/>
    <w:rsid w:val="16905D6B"/>
    <w:rsid w:val="17312835"/>
    <w:rsid w:val="19404F5B"/>
    <w:rsid w:val="1B456253"/>
    <w:rsid w:val="1D5A719B"/>
    <w:rsid w:val="1D7C04F7"/>
    <w:rsid w:val="1DE952B6"/>
    <w:rsid w:val="1E1D1759"/>
    <w:rsid w:val="1E9362BF"/>
    <w:rsid w:val="202E3BE9"/>
    <w:rsid w:val="20781BFB"/>
    <w:rsid w:val="210943B7"/>
    <w:rsid w:val="235D3917"/>
    <w:rsid w:val="24053CBB"/>
    <w:rsid w:val="25FC664A"/>
    <w:rsid w:val="26C868E1"/>
    <w:rsid w:val="272D366F"/>
    <w:rsid w:val="28F43433"/>
    <w:rsid w:val="294E423C"/>
    <w:rsid w:val="2AF87057"/>
    <w:rsid w:val="2B853CDD"/>
    <w:rsid w:val="2D1402D8"/>
    <w:rsid w:val="2D7735BB"/>
    <w:rsid w:val="2DE04461"/>
    <w:rsid w:val="2FA52DB5"/>
    <w:rsid w:val="309842CB"/>
    <w:rsid w:val="30C1502C"/>
    <w:rsid w:val="3103761F"/>
    <w:rsid w:val="32E83E28"/>
    <w:rsid w:val="35C37E4D"/>
    <w:rsid w:val="36AB7A6B"/>
    <w:rsid w:val="36B810B2"/>
    <w:rsid w:val="38F11F65"/>
    <w:rsid w:val="3C9D64F0"/>
    <w:rsid w:val="3D08509E"/>
    <w:rsid w:val="404767DC"/>
    <w:rsid w:val="40ED7B5A"/>
    <w:rsid w:val="421C1499"/>
    <w:rsid w:val="456B3021"/>
    <w:rsid w:val="45E150B5"/>
    <w:rsid w:val="466549C4"/>
    <w:rsid w:val="46954EFC"/>
    <w:rsid w:val="46DD5F48"/>
    <w:rsid w:val="46F8310E"/>
    <w:rsid w:val="481444E5"/>
    <w:rsid w:val="48144CBC"/>
    <w:rsid w:val="49891460"/>
    <w:rsid w:val="49FE5229"/>
    <w:rsid w:val="4AA52AC4"/>
    <w:rsid w:val="4B073AAE"/>
    <w:rsid w:val="4B2F4F56"/>
    <w:rsid w:val="4C047638"/>
    <w:rsid w:val="4CFF1931"/>
    <w:rsid w:val="4E862D24"/>
    <w:rsid w:val="4F822F7B"/>
    <w:rsid w:val="509A04C8"/>
    <w:rsid w:val="52387476"/>
    <w:rsid w:val="545C4C39"/>
    <w:rsid w:val="55AC6A83"/>
    <w:rsid w:val="562F6EE9"/>
    <w:rsid w:val="56770301"/>
    <w:rsid w:val="57612E26"/>
    <w:rsid w:val="57C87E52"/>
    <w:rsid w:val="58B431F3"/>
    <w:rsid w:val="5AAA6638"/>
    <w:rsid w:val="5ACB0A85"/>
    <w:rsid w:val="5AE57B93"/>
    <w:rsid w:val="5B973484"/>
    <w:rsid w:val="5CEB0D68"/>
    <w:rsid w:val="607B2B54"/>
    <w:rsid w:val="614540F1"/>
    <w:rsid w:val="61D447DD"/>
    <w:rsid w:val="62927C3E"/>
    <w:rsid w:val="630823E7"/>
    <w:rsid w:val="6379684E"/>
    <w:rsid w:val="64EF2EA1"/>
    <w:rsid w:val="659326E1"/>
    <w:rsid w:val="65DA64E3"/>
    <w:rsid w:val="669A6275"/>
    <w:rsid w:val="66A357A5"/>
    <w:rsid w:val="66BC1FA2"/>
    <w:rsid w:val="673C0498"/>
    <w:rsid w:val="686A6131"/>
    <w:rsid w:val="69C300E0"/>
    <w:rsid w:val="69DE28A8"/>
    <w:rsid w:val="6B0212A3"/>
    <w:rsid w:val="6BA41121"/>
    <w:rsid w:val="6BF74350"/>
    <w:rsid w:val="6CF33B45"/>
    <w:rsid w:val="6DB53576"/>
    <w:rsid w:val="6E0D3790"/>
    <w:rsid w:val="6EEA2E97"/>
    <w:rsid w:val="6F6F473B"/>
    <w:rsid w:val="6F9F1E28"/>
    <w:rsid w:val="6FC64067"/>
    <w:rsid w:val="6FFF6154"/>
    <w:rsid w:val="70800434"/>
    <w:rsid w:val="70E94FC9"/>
    <w:rsid w:val="714E08D2"/>
    <w:rsid w:val="724E40E7"/>
    <w:rsid w:val="732D703E"/>
    <w:rsid w:val="73D133C7"/>
    <w:rsid w:val="743A0C0D"/>
    <w:rsid w:val="75826128"/>
    <w:rsid w:val="771B2FE0"/>
    <w:rsid w:val="775D2173"/>
    <w:rsid w:val="78B676C3"/>
    <w:rsid w:val="7A5A113C"/>
    <w:rsid w:val="7B0522C1"/>
    <w:rsid w:val="7C3E684C"/>
    <w:rsid w:val="7CD94978"/>
    <w:rsid w:val="7DD96E0C"/>
    <w:rsid w:val="7FDB2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style>
  <w:style w:type="paragraph" w:styleId="3">
    <w:name w:val="Body Text"/>
    <w:basedOn w:val="1"/>
    <w:qFormat/>
    <w:uiPriority w:val="1"/>
    <w:pPr>
      <w:ind w:left="1838"/>
    </w:pPr>
    <w:rPr>
      <w:sz w:val="21"/>
      <w:szCs w:val="21"/>
    </w:r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18"/>
    <w:semiHidden/>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annotation subject"/>
    <w:basedOn w:val="2"/>
    <w:next w:val="2"/>
    <w:link w:val="17"/>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rFonts w:ascii="Tahoma" w:hAnsi="Tahoma"/>
      <w:sz w:val="18"/>
      <w:szCs w:val="18"/>
    </w:rPr>
  </w:style>
  <w:style w:type="character" w:customStyle="1" w:styleId="14">
    <w:name w:val="页脚 字符"/>
    <w:basedOn w:val="11"/>
    <w:link w:val="6"/>
    <w:semiHidden/>
    <w:qFormat/>
    <w:uiPriority w:val="99"/>
    <w:rPr>
      <w:rFonts w:ascii="Tahoma" w:hAnsi="Tahoma"/>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1"/>
    <w:link w:val="2"/>
    <w:semiHidden/>
    <w:qFormat/>
    <w:uiPriority w:val="99"/>
    <w:rPr>
      <w:rFonts w:ascii="Tahoma" w:hAnsi="Tahoma"/>
    </w:rPr>
  </w:style>
  <w:style w:type="character" w:customStyle="1" w:styleId="17">
    <w:name w:val="批注主题 字符"/>
    <w:basedOn w:val="16"/>
    <w:link w:val="8"/>
    <w:semiHidden/>
    <w:qFormat/>
    <w:uiPriority w:val="99"/>
    <w:rPr>
      <w:rFonts w:ascii="Tahoma" w:hAnsi="Tahoma"/>
      <w:b/>
      <w:bCs/>
    </w:rPr>
  </w:style>
  <w:style w:type="character" w:customStyle="1" w:styleId="18">
    <w:name w:val="批注框文本 字符"/>
    <w:basedOn w:val="11"/>
    <w:link w:val="5"/>
    <w:semiHidden/>
    <w:qFormat/>
    <w:uiPriority w:val="99"/>
    <w:rPr>
      <w:rFonts w:ascii="Tahoma" w:hAnsi="Tahoma"/>
      <w:sz w:val="18"/>
      <w:szCs w:val="18"/>
    </w:rPr>
  </w:style>
  <w:style w:type="paragraph" w:customStyle="1" w:styleId="19">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20">
    <w:name w:val="fontstyle01"/>
    <w:basedOn w:val="11"/>
    <w:qFormat/>
    <w:uiPriority w:val="0"/>
    <w:rPr>
      <w:rFonts w:hint="eastAsia" w:ascii="宋体" w:hAnsi="宋体" w:eastAsia="宋体"/>
      <w:color w:val="000000"/>
      <w:sz w:val="24"/>
      <w:szCs w:val="24"/>
    </w:rPr>
  </w:style>
  <w:style w:type="character" w:customStyle="1" w:styleId="21">
    <w:name w:val="fontstyle21"/>
    <w:basedOn w:val="11"/>
    <w:qFormat/>
    <w:uiPriority w:val="0"/>
    <w:rPr>
      <w:rFonts w:hint="default" w:ascii="Times New Roman" w:hAnsi="Times New Roman" w:cs="Times New Roman"/>
      <w:color w:val="000000"/>
      <w:sz w:val="24"/>
      <w:szCs w:val="24"/>
    </w:rPr>
  </w:style>
  <w:style w:type="character" w:customStyle="1" w:styleId="22">
    <w:name w:val="fontstyle11"/>
    <w:basedOn w:val="11"/>
    <w:qFormat/>
    <w:uiPriority w:val="0"/>
    <w:rPr>
      <w:rFonts w:hint="eastAsia" w:ascii="宋体" w:hAnsi="宋体" w:eastAsia="宋体"/>
      <w:color w:val="000000"/>
      <w:sz w:val="24"/>
      <w:szCs w:val="24"/>
    </w:rPr>
  </w:style>
  <w:style w:type="character" w:customStyle="1" w:styleId="23">
    <w:name w:val="da1"/>
    <w:qFormat/>
    <w:uiPriority w:val="0"/>
    <w:rPr>
      <w:rFonts w:hint="default" w:ascii="ˎ̥" w:hAnsi="ˎ̥"/>
      <w:color w:val="000000"/>
      <w:sz w:val="28"/>
      <w:szCs w:val="28"/>
      <w:u w:val="none"/>
    </w:rPr>
  </w:style>
  <w:style w:type="paragraph" w:customStyle="1" w:styleId="2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5">
    <w:name w:val="Table Paragraph"/>
    <w:basedOn w:val="1"/>
    <w:qFormat/>
    <w:uiPriority w:val="1"/>
    <w:pPr>
      <w:spacing w:before="12"/>
      <w:ind w:left="105"/>
    </w:pPr>
  </w:style>
  <w:style w:type="table" w:customStyle="1" w:styleId="26">
    <w:name w:val="Table Normal"/>
    <w:semiHidden/>
    <w:unhideWhenUsed/>
    <w:qFormat/>
    <w:uiPriority w:val="2"/>
    <w:tblPr>
      <w:tblCellMar>
        <w:top w:w="0" w:type="dxa"/>
        <w:left w:w="0" w:type="dxa"/>
        <w:bottom w:w="0" w:type="dxa"/>
        <w:right w:w="0" w:type="dxa"/>
      </w:tblCellMar>
    </w:tblPr>
  </w:style>
  <w:style w:type="paragraph" w:customStyle="1" w:styleId="27">
    <w:name w:val="修订1"/>
    <w:hidden/>
    <w:unhideWhenUsed/>
    <w:qFormat/>
    <w:uiPriority w:val="99"/>
    <w:rPr>
      <w:rFonts w:ascii="Tahoma" w:hAnsi="Tahoma" w:eastAsia="微软雅黑" w:cstheme="minorBidi"/>
      <w:sz w:val="22"/>
      <w:szCs w:val="22"/>
      <w:lang w:val="en-US" w:eastAsia="zh-CN" w:bidi="ar-SA"/>
    </w:rPr>
  </w:style>
  <w:style w:type="character" w:customStyle="1" w:styleId="28">
    <w:name w:val="font41"/>
    <w:basedOn w:val="11"/>
    <w:qFormat/>
    <w:uiPriority w:val="0"/>
    <w:rPr>
      <w:rFonts w:hint="eastAsia" w:ascii="宋体" w:hAnsi="宋体" w:eastAsia="宋体" w:cs="宋体"/>
      <w:b/>
      <w:color w:val="000000"/>
      <w:sz w:val="21"/>
      <w:szCs w:val="21"/>
      <w:u w:val="none"/>
    </w:rPr>
  </w:style>
  <w:style w:type="character" w:customStyle="1" w:styleId="29">
    <w:name w:val="font31"/>
    <w:basedOn w:val="11"/>
    <w:qFormat/>
    <w:uiPriority w:val="0"/>
    <w:rPr>
      <w:rFonts w:hint="eastAsia" w:ascii="宋体" w:hAnsi="宋体" w:eastAsia="宋体" w:cs="宋体"/>
      <w:b/>
      <w:color w:val="000000"/>
      <w:sz w:val="22"/>
      <w:szCs w:val="22"/>
      <w:u w:val="none"/>
    </w:rPr>
  </w:style>
  <w:style w:type="paragraph" w:customStyle="1" w:styleId="30">
    <w:name w:val="修订2"/>
    <w:hidden/>
    <w:semiHidden/>
    <w:qFormat/>
    <w:uiPriority w:val="99"/>
    <w:rPr>
      <w:rFonts w:ascii="Tahoma" w:hAnsi="Tahoma" w:eastAsia="微软雅黑" w:cstheme="minorBidi"/>
      <w:sz w:val="22"/>
      <w:szCs w:val="22"/>
      <w:lang w:val="en-US" w:eastAsia="zh-CN" w:bidi="ar-SA"/>
    </w:rPr>
  </w:style>
  <w:style w:type="paragraph" w:customStyle="1" w:styleId="31">
    <w:name w:val="修订3"/>
    <w:hidden/>
    <w:semiHidden/>
    <w:qFormat/>
    <w:uiPriority w:val="99"/>
    <w:rPr>
      <w:rFonts w:ascii="Tahoma" w:hAnsi="Tahoma" w:eastAsia="微软雅黑" w:cstheme="minorBidi"/>
      <w:sz w:val="22"/>
      <w:szCs w:val="22"/>
      <w:lang w:val="en-US" w:eastAsia="zh-CN" w:bidi="ar-SA"/>
    </w:rPr>
  </w:style>
  <w:style w:type="paragraph" w:customStyle="1" w:styleId="32">
    <w:name w:val="修订4"/>
    <w:hidden/>
    <w:unhideWhenUsed/>
    <w:qFormat/>
    <w:uiPriority w:val="99"/>
    <w:rPr>
      <w:rFonts w:ascii="Tahoma" w:hAnsi="Tahoma" w:eastAsia="微软雅黑" w:cstheme="minorBidi"/>
      <w:sz w:val="22"/>
      <w:szCs w:val="22"/>
      <w:lang w:val="en-US" w:eastAsia="zh-CN" w:bidi="ar-SA"/>
    </w:rPr>
  </w:style>
  <w:style w:type="character" w:customStyle="1" w:styleId="33">
    <w:name w:val="font11"/>
    <w:basedOn w:val="11"/>
    <w:qFormat/>
    <w:uiPriority w:val="0"/>
    <w:rPr>
      <w:rFonts w:hint="eastAsia" w:ascii="宋体" w:hAnsi="宋体" w:eastAsia="宋体" w:cs="宋体"/>
      <w:color w:val="000000"/>
      <w:sz w:val="21"/>
      <w:szCs w:val="21"/>
      <w:u w:val="none"/>
    </w:rPr>
  </w:style>
  <w:style w:type="character" w:customStyle="1" w:styleId="34">
    <w:name w:val="font21"/>
    <w:basedOn w:val="11"/>
    <w:qFormat/>
    <w:uiPriority w:val="0"/>
    <w:rPr>
      <w:rFonts w:hint="eastAsia" w:ascii="宋体" w:hAnsi="宋体" w:eastAsia="宋体" w:cs="宋体"/>
      <w:color w:val="000000"/>
      <w:sz w:val="22"/>
      <w:szCs w:val="22"/>
      <w:u w:val="none"/>
    </w:rPr>
  </w:style>
  <w:style w:type="paragraph" w:customStyle="1" w:styleId="35">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F1BA-CB0B-40EC-94F6-D58B72DACB2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1194</Words>
  <Characters>6809</Characters>
  <Lines>56</Lines>
  <Paragraphs>15</Paragraphs>
  <TotalTime>0</TotalTime>
  <ScaleCrop>false</ScaleCrop>
  <LinksUpToDate>false</LinksUpToDate>
  <CharactersWithSpaces>7988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2019-10-28T11:40:00Z</dcterms:created>
  <dc:creator>Administrator</dc:creator>
  <cp:lastModifiedBy>Mr.翔</cp:lastModifiedBy>
  <dcterms:modified xsi:type="dcterms:W3CDTF">2023-10-25T05:33:05Z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32FA3AB4B2704C27BA3457B7141C1E0A</vt:lpwstr>
  </property>
</Properties>
</file>