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ascii="宋体" w:hAnsi="宋体" w:eastAsia="宋体" w:cs="宋体"/>
          <w:sz w:val="18"/>
          <w:szCs w:val="18"/>
        </w:rPr>
      </w:pPr>
      <w:r>
        <w:rPr>
          <w:rFonts w:ascii="宋体" w:hAnsi="宋体" w:eastAsia="宋体" w:cs="宋体"/>
          <w:sz w:val="18"/>
          <w:szCs w:val="18"/>
        </w:rPr>
        <w:t>证券代码：002871                证券简称：伟隆股份                公告编号：2023-105</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青岛伟隆阀门股份有限公司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2023年第三季度报告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3.第三季度报告是否经过审计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130,218,365.21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399,097,109.56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31,951,516.03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94,762,999.50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29,807,942.30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80,744,010.57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99,624,345.55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0.1400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0.1400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1,007,335,060.80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993,967,117.30</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782,810,124.00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733,889,514.15</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w:t>
            </w:r>
          </w:p>
        </w:tc>
      </w:tr>
    </w:tbl>
    <w:p>
      <w:pPr>
        <w:spacing w:before="100" w:after="10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242,620.26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-1,003,307.01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526,207.70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1,215,946.92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1,683,955.43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4,887,965.64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-413,908.99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19,297,151.94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53,083.52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176,779.61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5,238,494.92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-228,395.43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5,341,184.88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2,143,573.74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14,018,988.93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40"/>
        <w:gridCol w:w="1709"/>
        <w:gridCol w:w="1710"/>
        <w:gridCol w:w="1006"/>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1875" w:type="dxa"/>
            <w:tcBorders>
              <w:top w:val="single" w:color="auto" w:sz="8" w:space="0"/>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1800" w:type="dxa"/>
            <w:tcBorders>
              <w:top w:val="single" w:color="auto" w:sz="8" w:space="0"/>
              <w:left w:val="nil"/>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期末数</w:t>
            </w:r>
          </w:p>
        </w:tc>
        <w:tc>
          <w:tcPr>
            <w:tcW w:w="1800" w:type="dxa"/>
            <w:tcBorders>
              <w:top w:val="single" w:color="auto" w:sz="8" w:space="0"/>
              <w:left w:val="nil"/>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期初数</w:t>
            </w:r>
            <w:r>
              <w:rPr>
                <w:rFonts w:hint="default" w:ascii="Times New Roman" w:hAnsi="Times New Roman" w:cs="Times New Roman"/>
                <w:i w:val="0"/>
                <w:iCs w:val="0"/>
                <w:color w:val="000000"/>
                <w:sz w:val="18"/>
                <w:szCs w:val="18"/>
              </w:rPr>
              <w:t>/</w:t>
            </w:r>
            <w:r>
              <w:rPr>
                <w:rFonts w:hint="eastAsia" w:ascii="宋体" w:hAnsi="宋体" w:eastAsia="宋体" w:cs="宋体"/>
                <w:i w:val="0"/>
                <w:iCs w:val="0"/>
                <w:color w:val="000000"/>
                <w:sz w:val="18"/>
                <w:szCs w:val="18"/>
              </w:rPr>
              <w:t>上期</w:t>
            </w:r>
          </w:p>
        </w:tc>
        <w:tc>
          <w:tcPr>
            <w:tcW w:w="1080" w:type="dxa"/>
            <w:tcBorders>
              <w:top w:val="single" w:color="auto" w:sz="8" w:space="0"/>
              <w:left w:val="nil"/>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增减率</w:t>
            </w:r>
          </w:p>
        </w:tc>
        <w:tc>
          <w:tcPr>
            <w:tcW w:w="3270" w:type="dxa"/>
            <w:tcBorders>
              <w:top w:val="single" w:color="auto" w:sz="8" w:space="0"/>
              <w:left w:val="nil"/>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25" w:type="dxa"/>
            <w:gridSpan w:val="5"/>
            <w:tcBorders>
              <w:top w:val="nil"/>
              <w:left w:val="single" w:color="auto" w:sz="8" w:space="0"/>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Style w:val="5"/>
                <w:rFonts w:hint="eastAsia" w:ascii="宋体" w:hAnsi="宋体" w:eastAsia="宋体" w:cs="宋体"/>
                <w:b/>
                <w:bCs/>
                <w:i w:val="0"/>
                <w:iCs w:val="0"/>
                <w:color w:val="000000"/>
                <w:sz w:val="20"/>
                <w:szCs w:val="20"/>
              </w:rPr>
              <w:t>资产负债表项目（2023年1-9月与2022年12月末同比增减）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货币资金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38,671,216.63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164,261,280.70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-76.46%</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主要是投资理财资金减少所致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交易性金融资产</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398,221,132.31</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254,123,980.37</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56.70%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主要是投资理财资金增加所致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应收票据</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224,865.00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主要是票据到期所致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应收款项融资</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1,060,623.40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130,000.00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715.86%</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主要是收承兑增加所致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预付款项</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10,032,530.70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3,895,990.57</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157.51%</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主要是预付原材料、电费、认证费等增加所致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其他流动资产</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32,383,951.83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62,667,045.41</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-48.32%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主要是定期存款到期减少所致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在建工程</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26,928,900.58</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5,087,629.59</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429.30%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主要是新建厂房增加所致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无形资产</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49,862,340.43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33,521,880.39</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48.75%</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主要是新增土地使用权增加所致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其他非流动资产</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20,010.00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94,680.00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-78.87%</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主要是预付设备款减少所致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短期借款</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30,009,166.67</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主要是偿还借款减少所致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合同负债</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34,829,351.89</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17,150,323.08</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103.08%</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主要是预收款增多所致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应付职工薪酬</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18,137,593.22</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27,086,345.89</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-33.04%</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主要是支付年终奖金减少所致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应收款项融资</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2,434,900.00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11,585,000.00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-78.98%</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主要是大额承兑到期所致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应交税费</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7,311,480.81</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12,819,480.73</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-42.97%</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主要是所得税减少所致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其他流动负债</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1,999,528.24</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341,862.98</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484.89%</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主要是合同负债对应的税金增多所致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递延所得税负债</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5,569,321.20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2,655,171.82</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109.75%</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主要是公允价值变动增加所致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股本</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219,540,292.00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168,877,148.00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30.00%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主要是转股增多所致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其他综合收益</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4,940.49</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-5,763.20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-185.72%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主要是外汇报表汇率变动所致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25" w:type="dxa"/>
            <w:gridSpan w:val="5"/>
            <w:tcBorders>
              <w:top w:val="nil"/>
              <w:left w:val="single" w:color="auto" w:sz="8" w:space="0"/>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Style w:val="5"/>
                <w:rFonts w:hint="eastAsia" w:ascii="宋体" w:hAnsi="宋体" w:eastAsia="宋体" w:cs="宋体"/>
                <w:b/>
                <w:bCs/>
                <w:i w:val="0"/>
                <w:iCs w:val="0"/>
                <w:color w:val="000000"/>
                <w:sz w:val="20"/>
                <w:szCs w:val="20"/>
              </w:rPr>
              <w:t>利润表项目（2023年1-9月与2022年1-9月同比增减）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财务费用</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-2,647,202.52</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-8,720,979.04</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-69.65%</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主要是汇兑收益减少所致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其中：利息费用</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146,725.83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1,121,583.32</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-86.92%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主要是借款减少所致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利息收入</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663,687.08</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292,034.19</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127.26%</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主要是外币利息收入增多所致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投资收益（损失以“-”号填列）</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5,063,521.76</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48,201,051.39</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-89.49%</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主要是股权转让减少所致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公允价值变动收益（损失以“-”号填列）</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19,297,151.94</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-6,636,906.28</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-390.76%</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主要是控股子公司投资收益增多所致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信用减值损失（损失以“-”号填列）</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-673,499.03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-2,337,119.15</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-71.18%</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主要是计提准备金减少所致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资产减值损失（损失以“－”号填列）</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-363,325.27</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-1,176,084.04</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-69.11%</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主要是计提存货准备金减少所致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资产处置收益（损失以“-”号填列）</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-1,175,066.93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810,361.60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-245.01%</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主要是莱州处置资产损失增多所致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加：营业外收入</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225,075.03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107,066.30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110.22%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主要是违约金增多所致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减：营业外支出</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90,975.63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692,253.51</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-86.86%</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主要是处置设备损失减少所致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2. 少数股东损益（净亏损以“-”号填列）</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lang w:val="en-US"/>
              </w:rPr>
            </w:pPr>
            <w:r>
              <w:rPr>
                <w:rFonts w:hint="eastAsia" w:ascii="宋体" w:hAnsi="宋体" w:eastAsia="宋体" w:cs="宋体"/>
                <w:i w:val="0"/>
                <w:iCs w:val="0"/>
                <w:color w:val="000000"/>
                <w:sz w:val="18"/>
                <w:szCs w:val="18"/>
              </w:rPr>
              <w:t>5,857,925.</w:t>
            </w:r>
            <w:r>
              <w:rPr>
                <w:rFonts w:hint="default" w:ascii="宋体" w:hAnsi="宋体" w:eastAsia="宋体" w:cs="宋体"/>
                <w:i w:val="0"/>
                <w:iCs w:val="0"/>
                <w:color w:val="000000"/>
                <w:sz w:val="18"/>
                <w:szCs w:val="18"/>
                <w:lang w:val="en-US"/>
              </w:rPr>
              <w:t>39</w:t>
            </w:r>
            <w:bookmarkStart w:id="15" w:name="_GoBack"/>
            <w:bookmarkEnd w:id="15"/>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-2,863,997.41</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304.54%</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主要是少数股东收益增多所致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25" w:type="dxa"/>
            <w:gridSpan w:val="5"/>
            <w:tcBorders>
              <w:top w:val="nil"/>
              <w:left w:val="single" w:color="auto" w:sz="8" w:space="0"/>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Style w:val="5"/>
                <w:rFonts w:hint="eastAsia" w:ascii="宋体" w:hAnsi="宋体" w:eastAsia="宋体" w:cs="宋体"/>
                <w:b/>
                <w:bCs/>
                <w:i w:val="0"/>
                <w:iCs w:val="0"/>
                <w:color w:val="000000"/>
                <w:sz w:val="20"/>
                <w:szCs w:val="20"/>
              </w:rPr>
              <w:t>现金流量表项目（2023年1-9月与2022年1-9月同比增减）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支付的各项税费</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30,862,943.09</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15,468,853.06</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99.52%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主要是上年税费本年缴纳增多所致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取得投资收益收到的现金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3,927,458.72</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5,986,733.40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-34.40%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主要是用于理财本金及收益率减少所致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处置子公司及其他营业单位收到的现金净额</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790,985.23</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23,790,756.71</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-96.68%</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主要是股权转让减少所致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购建固定资产、无形资产和其他长期资产支付的现金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46,175,157.24</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14,745,354.98</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213.15%</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主要是新建厂房及土地所致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支付其他与投资活动有关的现金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10,000,000.00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主要是股权转让减少所致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吸收投资收到的现金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2,002,000.00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41,988,460.90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-95.23%</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主要是对外投资减少所致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其中：子公司吸收少数股东投资收到的现金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2,002,000.00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40,000,000.00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-95.00%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主要是对外投资减少所致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取得借款收到的现金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70,000,000.00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主要是借款减少所致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偿还债务支付的现金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30,000,000.00</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61,000,000.00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-50.82%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主要是偿还借款减少所致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支付其他与筹资活动有关的现金</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721,150.36</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主要是发债费用增多所致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四、汇率变动对现金及现金等价物的影响</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-1,819,676.42</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3,126,599.76</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-158.20%</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主要是汇率变动收益减少所致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五、现金及现金等价物净增加额</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-117,476,064.75</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-24,391,733.86</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381.62%</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主要是投资及筹资净流出增多所致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    加：期初现金及现金等价物余额</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153,781,800.51</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80,991,568.72</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89.87%</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主要理财资金到期增多所致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875" w:type="dxa"/>
            <w:tcBorders>
              <w:top w:val="nil"/>
              <w:left w:val="single" w:color="auto" w:sz="8" w:space="0"/>
              <w:bottom w:val="single" w:color="auto" w:sz="8" w:space="0"/>
              <w:right w:val="single" w:color="auto" w:sz="8" w:space="0"/>
            </w:tcBorders>
            <w:shd w:val="clear" w:color="auto" w:fill="D3D3D3"/>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六、期末现金及现金等价物余额</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36,305,735.76</w:t>
            </w:r>
          </w:p>
        </w:tc>
        <w:tc>
          <w:tcPr>
            <w:tcW w:w="1800" w:type="dxa"/>
            <w:tcBorders>
              <w:top w:val="nil"/>
              <w:left w:val="nil"/>
              <w:bottom w:val="single" w:color="auto" w:sz="8" w:space="0"/>
              <w:right w:val="single" w:color="auto" w:sz="8" w:space="0"/>
            </w:tcBorders>
            <w:shd w:val="clear" w:color="auto" w:fill="FFFFFF"/>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56,599,834.86</w:t>
            </w:r>
          </w:p>
        </w:tc>
        <w:tc>
          <w:tcPr>
            <w:tcW w:w="108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-35.86%</w:t>
            </w:r>
          </w:p>
        </w:tc>
        <w:tc>
          <w:tcPr>
            <w:tcW w:w="3270" w:type="dxa"/>
            <w:tcBorders>
              <w:top w:val="nil"/>
              <w:left w:val="nil"/>
              <w:bottom w:val="single" w:color="auto" w:sz="8" w:space="0"/>
              <w:right w:val="single" w:color="auto" w:sz="8" w:space="0"/>
            </w:tcBorders>
            <w:shd w:val="clear"/>
            <w:tcMar>
              <w:bottom w:w="0" w:type="dxa"/>
            </w:tcMar>
            <w:vAlign w:val="top"/>
          </w:tcPr>
          <w:p>
            <w:pPr>
              <w:pStyle w:val="2"/>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主要是资金用于理财减少所致</w:t>
            </w:r>
          </w:p>
        </w:tc>
      </w:tr>
    </w:tbl>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9,163</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122,460,000.00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91,845,000.00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10,756,980.00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8,171,475.00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6,128,606.00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3,839,340.00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基本养老保险基金一零零六组合</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1,709,140.00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1,442,950.00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王传华</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1,293,893.00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杨星晨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1,259,080.00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应一城</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1,084,750.00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MERRILL LYNCH INTERNATIONAL</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1,070,270.00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股份种类及数量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13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30,615,000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10,756,980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10,756,980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3,839,340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3,839,340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基本养老保险基金一零零六组合</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1,709,140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1,442,950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王传华</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1,293,893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1,293,893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杨星晨</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应一城</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1,084,750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MERRILL LYNCH INTERNATIONAL</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1,070,270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1,070,270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构成一致行动人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1、公司于2023年1月16日分别召开了第四届董事会第十七次会议、第四届监事会第十四次会议，于2023年2月2日召开了2023年第一次临时股东大会，审议通过了《关于公司符合公开发行可转换公司债券条件的议案》《关于公司公开发行可转换公司债券方案的议案》《关于公司公开发行可转换公司债券预案的议案》《关于投资建设智慧节能阀门建设项目的议案》等议案。</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2、公司于2023年4月19日分别召开了第四届董事会第二十次会议、第四届监事会第十六次会议，于2023年5月8日召开了2023年第二次临时股东大会，审议通过了《关于公司符合向不特定对象发行可转换公司债券条件的议案》《关于修订〈公司向不特定对象发行可转换公司债券方案〉的议案》《关于修订〈公司向不特定对象发行可转换公司债券预案〉的议案》《关于修订〈公司向不特定对象发行可转换公司债券募集资金运用的可行性分析报告〉的议案》等议案。</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3、公司于2023年2月16日召开第四届董事会第十八次会议，审议通过了《关于公司增资并控股青岛伟隆海洋科技有限公司的议案》，同意公司通过现金方式向海洋科技增资299.8万元人民币。本次增资完成后，公司持有海洋科技59.96%的股权，海洋科技成为公司的控股子公司，纳入公司合并报表范围内。</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4、公司分别于2023年3月20日、2023年4月11日召开的第四届董事会第十九次会议、2022年度股东大会审议通过了《关于2022年度利润分配及资本公积金转增股本预案的议案》。以2022年12月31日的总股本168,877,148.00股为基数，向全体股东每10股派发现金红利3.00元（含税），共派发现金红利为50,663,144.40元（含税），以资本公积金向全体股东每10股转增3股，共计转增50,663,144股,本次转增完成后，公司总股本将增加至219,540,292股。公司于2023年4月27日实施完成。</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5、公司于2023年4月19日召开第四届董事会第二十次会议，审议通过了《关于公司为控股子公司提供担保额度预计的议案》，为满足公司经营和业务发展需要，公司控股子公司拟向银行申请综合授信额度，并由公司对控股子公司提供担保，公司控股子公司青岛伟隆海洋科技有限公司拟向金融机构申请授信额度不超过 1,500.00万元，公司同意为上述授信提供连带责任保证担保，具体担保期限以与银行签订的最高额保证合同为准。截至本报告期末，此担保事项尚未履行实施。</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6、公司于2023年5月11日召开第四届董事会第二十二次会议，审议通过了《关于增资境外全资子公司并对外投资设立境外合资公司的议案》，同意公司以现金向全资子公司香港伟隆增资255万美元，同时香港伟隆出资255万美元或其他等值货币（折合约1,760万元人民币或956万沙特里亚尔）与YASTEM公司在沙特阿拉伯设立合资公司。股东香港伟隆、YASTEM公司分别持有合资公司51%、49%的股权。合资公司设立后将成为香港伟隆控股子公司并纳入公司合并报表范围。</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7、公司于2023年6月27日召开第四届董事会第二十三次会议，审议通过了《关于修订〈公司向不特定对象发行可转换公司债券方案〉（二次修订稿）的议案》《关于修订〈公司向不特定对象发行可转换公司债券预案〉（二次修订稿）的议案》等相关议案，根据相关监管规则，公司于2023年6月27日召开了第四届董事会第二十三次会议及第四届监事会第十八次会议，审议通过了《关于修订〈公司向不特定对象发行可转换公司债券方案〉（二次修订稿）的议案》《关于修订〈公司向不特定对象发行可转换公司债券预案〉（二次修订稿）的议案》，对本次向不特定对象发行可转换公司债券预案进行了修订。</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8、公司于2023年8月11日召开第四届董事会第二十四次会，审议并通过了《关于公司转让控股子公司股权的议案》《关于终止公司为控股子公司提供担保额度预计的议案》等议案，公司将持有青岛伟隆海洋科技有限公司（以下简称“海洋科技”）59.96%的股份转让给青岛禹航新能源有限公司，交易价格为299.8万元。此次转让后公司将不再持有海洋科技股份。本次交易价格结合原始出资额及财务报告定价，价格合理公允。本次转让股权事项符合《深圳证券交易所股票上市规则》及《公司章程》 等相关法律法规的规定。不存在损害公司及全体股东的合法权益，董事会一致同意通过该事项。同时，此次终止为海洋科技提供担保是基于转让海洋科技股权后，公司将不再持有海洋科技股份，不再将其纳入合并报表范围内所作出的决定。该事项不会影响公司的正常生产经营。公司于2023年8月18日完成相关变更程序。</w:t>
      </w:r>
    </w:p>
    <w:p>
      <w:pPr>
        <w:pStyle w:val="2"/>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9、2023年8月29日，公司分别召开了第四届董事会第二十五次会议和第四届监事会第十九次会议，审议通过了《关于2021年限制性股票激励计划预留部分第一个解锁期解锁条件成就的议案》《关于调整2021年限制性股票激励计划回购数量及价格的议案》等议案，认为2021年限制性股票激励计划预留部分第一个解锁期解锁条件已成就，同时因2022年度权益分配事项，同意调整2021年限制性股票激励计划回购数量及价格。公司独立董事对此发表了独立意见。</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编制单位：青岛伟隆阀门股份有限公司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2023年09月30日</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2023年9月30日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38,671,216.63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164,261,280.70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398,221,132.31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91,588,426.38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79,658,151.47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1,060,623.40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10,032,530.70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3,895,990.57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6,454,616.61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5,246,790.76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98,808,007.11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118,912,459.68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32,383,951.83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62,667,045.41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677,220,504.97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689,120,563.96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10,332,273.97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1,224,803.68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225,306,485.71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238,863,943.64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26,928,900.58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49,862,340.43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33,521,880.39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2,095,334.05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2,034,592.12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14,344,407.41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13,837,579.35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330,114,555.83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304,846,553.34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1,007,335,060.80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993,967,117.30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30,009,166.67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35,259,132.00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42,008,440.99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47,834,752.68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58,391,965.01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34,829,351.89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17,150,323.08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18,137,593.22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27,086,345.89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7,311,480.81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12,819,480.73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20,301,556.44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21,663,868.40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1,999,528.24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341,862.98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165,673,395.28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209,471,453.75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9,879,719.56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10,523,634.82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5,569,321.20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2,655,171.82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15,449,040.76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13,178,806.64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181,122,436.04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222,650,260.39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219,540,292.00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138,555,295.31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185,170,118.70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9,608,355.45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4,940.49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362,224,640.27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318,124,785.17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782,810,124.00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733,889,514.15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43,402,500.76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37,427,342.76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826,212,624.76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771,316,856.91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1,007,335,060.80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993,967,117.30</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2、合并年初到报告期末利润表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399,097,109.56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404,468,288.63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399,097,109.56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404,468,288.63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306,647,040.52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307,987,642.28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245,327,683.50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254,024,022.40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4,288,404.63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4,064,395.33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19,531,666.15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18,369,193.27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23,878,327.32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20,740,576.43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16,268,161.44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19,510,433.89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-2,647,202.52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-8,720,979.04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146,725.83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1,121,583.32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663,687.08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292,034.19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2,034,962.56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2,576,190.53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5,063,521.76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48,201,051.39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19,297,151.94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-6,636,906.28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-673,499.03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-2,337,119.15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-363,325.27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-1,176,084.04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-1,175,066.93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810,361.60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116,633,814.07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137,918,140.40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225,075.03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107,066.30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90,975.63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692,253.51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116,767,913.47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137,332,953.19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16,146,988.58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20,178,590.77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100,620,924.89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117,154,362.42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100,620,924.89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117,154,362.42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94,762,999.50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120,018,359.83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5,857,925.39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-2,863,997.41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100,625,930.04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117,160,669.24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94,768,004.65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120,024,666.65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5,857,925.39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-2,863,997.41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408,390,541.11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384,666,776.37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19,766,206.89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26,550,201.16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1,342,054.87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1,606,102.80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429,498,802.87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412,823,080.33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211,728,285.95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239,559,143.36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61,882,462.01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58,648,303.07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30,862,943.09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15,468,853.06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25,400,766.27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19,891,901.67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329,874,457.32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333,568,201.16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99,624,345.55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79,254,879.17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369,483,445.54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331,657,039.99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3,927,458.72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5,986,733.40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473,558.88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790,985.23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23,790,756.71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374,706,889.49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361,908,088.98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46,175,157.24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14,745,354.98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464,283,445.54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434,799,400.00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510,458,602.78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459,544,754.98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-135,751,713.29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-97,636,666.00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41,988,460.90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111,988,460.90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50,809,870.23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60,125,007.69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721,150.36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81,531,020.59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121,125,007.69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-79,529,020.59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-9,136,546.79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-1,819,676.42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3,126,599.76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-117,476,064.75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-24,391,733.86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153,781,800.51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36,305,735.76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56,599,834.86</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2023年起首次执行新会计准则调整首次执行当年年初财务报表相关项目情况</w:t>
      </w:r>
      <w:bookmarkEnd w:id="1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公司第三季度报告未经审计。</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青岛伟隆阀门股份有限公司董事会</w:t>
      </w:r>
    </w:p>
    <w:p>
      <w:pPr>
        <w:spacing w:before="0" w:after="0" w:line="240" w:lineRule="exact"/>
        <w:jc w:val="right"/>
        <w:rPr>
          <w:rFonts w:ascii="宋体" w:hAnsi="宋体" w:eastAsia="宋体" w:cs="宋体"/>
          <w:sz w:val="18"/>
          <w:szCs w:val="18"/>
        </w:rPr>
      </w:pPr>
      <w:r>
        <w:rPr>
          <w:rFonts w:ascii="宋体" w:hAnsi="宋体" w:eastAsia="宋体" w:cs="宋体"/>
          <w:sz w:val="18"/>
          <w:szCs w:val="18"/>
        </w:rPr>
        <w:t>2023年10月31日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青岛伟隆阀门股份有限公司2023年第三季度报告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OTRiYWIwNzkzYTg0MzhhYmIxYTgwNmNhNDYxODQzNjMifQ=="/>
  </w:docVars>
  <w:rsids>
    <w:rsidRoot w:val="00000000"/>
    <w:rsid w:val="4A475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2023-10-30T07:10:48Z</dcterms:created>
  <dc:creator>Administrator.WINMICR-GFJCHI7</dc:creator>
  <cp:lastModifiedBy>Mr.翔</cp:lastModifiedBy>
  <dcterms:modified xsi:type="dcterms:W3CDTF">2023-10-30T07:11:11Z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94A5FE42164B4F858D7A788865CCC2B1_12</vt:lpwstr>
  </property>
</Properties>
</file>