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80" w:beforeLines="50" w:after="180" w:afterLines="50" w:line="360" w:lineRule="auto"/>
        <w:jc w:val="center"/>
        <w:rPr>
          <w:rFonts w:hint="default" w:ascii="宋体" w:hAnsi="宋体" w:eastAsia="宋体" w:cs="宋体"/>
          <w:highlight w:val="none"/>
          <w:lang w:val="en-US" w:eastAsia="zh-CN"/>
        </w:rPr>
      </w:pPr>
      <w:r>
        <w:rPr>
          <w:rFonts w:hint="eastAsia" w:ascii="宋体" w:hAnsi="宋体" w:eastAsia="宋体" w:cs="宋体"/>
          <w:highlight w:val="none"/>
        </w:rPr>
        <w:t>证券代码：002871            证券简称：伟隆股份           公告编号：2023-</w:t>
      </w:r>
      <w:r>
        <w:rPr>
          <w:rFonts w:hint="default" w:ascii="宋体" w:hAnsi="宋体" w:eastAsia="宋体" w:cs="宋体"/>
          <w:highlight w:val="none"/>
          <w:lang w:val="en-US"/>
        </w:rPr>
        <w:t>102</w:t>
      </w:r>
    </w:p>
    <w:p>
      <w:pPr>
        <w:adjustRightInd/>
        <w:snapToGrid/>
        <w:spacing w:before="180" w:beforeLines="50" w:after="180" w:afterLines="50"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青岛伟隆阀门股份有限公司</w:t>
      </w:r>
    </w:p>
    <w:p>
      <w:pPr>
        <w:adjustRightInd/>
        <w:snapToGrid/>
        <w:spacing w:before="180" w:beforeLines="50" w:after="180" w:afterLines="50"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关于使用闲置自有资金进行现金管理的进展公告</w:t>
      </w:r>
    </w:p>
    <w:tbl>
      <w:tblPr>
        <w:tblStyle w:val="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64" w:type="dxa"/>
            <w:noWrap w:val="0"/>
            <w:vAlign w:val="top"/>
          </w:tcPr>
          <w:p>
            <w:pPr>
              <w:spacing w:after="0" w:line="360" w:lineRule="exact"/>
              <w:ind w:firstLine="463" w:firstLineChars="193"/>
              <w:rPr>
                <w:rFonts w:hint="eastAsia" w:ascii="宋体" w:hAnsi="宋体" w:eastAsia="宋体" w:cs="宋体"/>
                <w:sz w:val="24"/>
                <w:szCs w:val="24"/>
                <w:highlight w:val="none"/>
              </w:rPr>
            </w:pPr>
            <w:r>
              <w:rPr>
                <w:rFonts w:hint="eastAsia" w:ascii="宋体" w:hAnsi="宋体" w:eastAsia="宋体" w:cs="宋体"/>
                <w:sz w:val="24"/>
                <w:szCs w:val="24"/>
                <w:highlight w:val="none"/>
              </w:rPr>
              <w:t>本公司及董事会全体成员保证信息披露的内容真实、准确、完整，没有虚假记载、误导性陈述或重大遗漏。</w:t>
            </w:r>
          </w:p>
        </w:tc>
      </w:tr>
    </w:tbl>
    <w:p>
      <w:pPr>
        <w:spacing w:after="0" w:line="360" w:lineRule="exact"/>
        <w:ind w:firstLine="463" w:firstLineChars="193"/>
        <w:rPr>
          <w:rFonts w:hint="eastAsia" w:ascii="宋体" w:hAnsi="宋体" w:eastAsia="宋体" w:cs="宋体"/>
          <w:sz w:val="24"/>
          <w:szCs w:val="24"/>
          <w:highlight w:val="none"/>
        </w:rPr>
      </w:pP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青岛伟隆阀门股份有限公司（以下简称“公司”）分别于2023年3月20日召开的第四届董事会第十九次会议、第四届监事会第十五次会议，及2023年4月11日召开的2022年年度股东大会审议通过了《关于继续使用闲置自有资金进行现金管理的议案》，同意公司使用闲置自有资金进行现金管理，额度不超过人民币40,000万元且可滚动使用，投资期限自2022年年度股东大会审议通过之日起一年内有效。公司独立董事对此议案发表了同意的意见。</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具体内容详见2023年3月21日公司刊登于指定信息披露媒体《中国证券报》《证券时报》《证券日报》和巨潮资讯网（http://www.cninfo.com.cn）上的《关于继续使用闲置自有资金进行现金管理的公告》。</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一、闲置自有资金已到期的理财产品赎回情况</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公司</w:t>
      </w:r>
      <w:r>
        <w:rPr>
          <w:rFonts w:hint="eastAsia" w:ascii="宋体" w:hAnsi="宋体" w:eastAsia="宋体" w:cs="宋体"/>
          <w:sz w:val="24"/>
          <w:szCs w:val="24"/>
          <w:lang w:eastAsia="zh-CN"/>
        </w:rPr>
        <w:t>及公司全资子公司青岛卓信检测技术有限公司（以下简称“卓信检测”）分别于</w:t>
      </w:r>
      <w:r>
        <w:rPr>
          <w:rFonts w:hint="eastAsia" w:ascii="宋体" w:hAnsi="宋体" w:eastAsia="宋体" w:cs="宋体"/>
          <w:sz w:val="24"/>
          <w:szCs w:val="24"/>
        </w:rPr>
        <w:t>2</w:t>
      </w:r>
      <w:r>
        <w:rPr>
          <w:rFonts w:hint="eastAsia" w:ascii="宋体" w:hAnsi="宋体" w:eastAsia="宋体" w:cs="宋体"/>
          <w:sz w:val="24"/>
          <w:szCs w:val="24"/>
          <w:lang w:eastAsia="zh-CN"/>
        </w:rPr>
        <w:t>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日、202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25</w:t>
      </w:r>
      <w:r>
        <w:rPr>
          <w:rFonts w:hint="eastAsia" w:ascii="宋体" w:hAnsi="宋体" w:eastAsia="宋体" w:cs="宋体"/>
          <w:sz w:val="24"/>
          <w:szCs w:val="24"/>
          <w:lang w:eastAsia="zh-CN"/>
        </w:rPr>
        <w:t>日、202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日、202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26</w:t>
      </w:r>
      <w:r>
        <w:rPr>
          <w:rFonts w:hint="eastAsia" w:ascii="宋体" w:hAnsi="宋体" w:eastAsia="宋体" w:cs="宋体"/>
          <w:sz w:val="24"/>
          <w:szCs w:val="24"/>
          <w:lang w:eastAsia="zh-CN"/>
        </w:rPr>
        <w:t>日向平安银行股份有限公司青岛分行麦岛路支行、东证融汇证券资产管理有限公司、招商银行城阳支行、平安银行股份有限公司青岛分行麦岛路支行购买了</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,000万元、</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,000万元、</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,000</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00万元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,000万元的理财产品，具体内容详见刊载于《中国证券报》《证券时报》《证券日报》、巨潮资讯网(www.cninfo.com.cn）上的《关于使用闲置自有资金进行现金管理的进展公告》（公告编号：202</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62、</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66、</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76</w:t>
      </w:r>
      <w:r>
        <w:rPr>
          <w:rFonts w:hint="eastAsia" w:ascii="宋体" w:hAnsi="宋体" w:eastAsia="宋体" w:cs="宋体"/>
          <w:sz w:val="24"/>
          <w:szCs w:val="24"/>
        </w:rPr>
        <w:t>）。</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公司</w:t>
      </w:r>
      <w:r>
        <w:rPr>
          <w:rFonts w:hint="eastAsia" w:ascii="宋体" w:hAnsi="宋体" w:eastAsia="宋体" w:cs="宋体"/>
          <w:sz w:val="24"/>
          <w:szCs w:val="24"/>
          <w:lang w:eastAsia="zh-CN"/>
        </w:rPr>
        <w:t>及卓信检测</w:t>
      </w:r>
      <w:r>
        <w:rPr>
          <w:rFonts w:hint="eastAsia" w:ascii="宋体" w:hAnsi="宋体" w:eastAsia="宋体" w:cs="宋体"/>
          <w:sz w:val="24"/>
          <w:szCs w:val="24"/>
        </w:rPr>
        <w:t>于近日</w:t>
      </w:r>
      <w:r>
        <w:rPr>
          <w:rFonts w:hint="eastAsia" w:ascii="宋体" w:hAnsi="宋体" w:eastAsia="宋体" w:cs="宋体"/>
          <w:sz w:val="24"/>
          <w:szCs w:val="24"/>
          <w:lang w:eastAsia="zh-CN"/>
        </w:rPr>
        <w:t>分别赎回平安银行股份有限公司青岛分行麦岛路支行、东证融汇证券资产管理有限公司、招商银行城阳支行、平安银行股份有限公司青岛分行麦岛路支行理财产品，分别</w:t>
      </w:r>
      <w:r>
        <w:rPr>
          <w:rFonts w:hint="eastAsia" w:ascii="宋体" w:hAnsi="宋体" w:eastAsia="宋体" w:cs="宋体"/>
          <w:sz w:val="24"/>
          <w:szCs w:val="24"/>
        </w:rPr>
        <w:t>收回本金为：</w:t>
      </w:r>
      <w:r>
        <w:rPr>
          <w:rFonts w:hint="eastAsia" w:ascii="宋体" w:hAnsi="宋体" w:eastAsia="宋体" w:cs="宋体"/>
          <w:sz w:val="24"/>
          <w:szCs w:val="24"/>
          <w:lang w:val="en-US" w:eastAsia="zh-CN"/>
        </w:rPr>
        <w:t>4</w:t>
      </w:r>
      <w:r>
        <w:rPr>
          <w:rFonts w:hint="eastAsia" w:ascii="宋体" w:hAnsi="宋体" w:eastAsia="宋体" w:cs="宋体"/>
          <w:sz w:val="24"/>
          <w:szCs w:val="24"/>
        </w:rPr>
        <w:t>,000万元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,000万元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,000万元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00万元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,000万元；获得理财收益为：</w:t>
      </w:r>
      <w:r>
        <w:rPr>
          <w:rFonts w:hint="eastAsia" w:ascii="宋体" w:hAnsi="宋体" w:eastAsia="宋体" w:cs="宋体"/>
          <w:sz w:val="24"/>
          <w:szCs w:val="24"/>
          <w:lang w:val="en-US" w:eastAsia="zh-CN"/>
        </w:rPr>
        <w:t>613,369.86 元、</w:t>
      </w:r>
      <w:r>
        <w:rPr>
          <w:rFonts w:hint="default" w:ascii="宋体" w:hAnsi="宋体" w:eastAsia="宋体" w:cs="宋体"/>
          <w:sz w:val="24"/>
          <w:szCs w:val="24"/>
          <w:lang w:val="en-US" w:eastAsia="zh-CN"/>
        </w:rPr>
        <w:t>507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362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60</w:t>
      </w:r>
      <w:r>
        <w:rPr>
          <w:rFonts w:hint="eastAsia" w:ascii="宋体" w:hAnsi="宋体" w:eastAsia="宋体" w:cs="宋体"/>
          <w:sz w:val="24"/>
          <w:szCs w:val="24"/>
          <w:lang w:val="en-US" w:eastAsia="zh-CN"/>
        </w:rPr>
        <w:t xml:space="preserve"> 元、292,808.22 元、48,801</w:t>
      </w:r>
      <w:r>
        <w:rPr>
          <w:rFonts w:hint="eastAsia" w:ascii="宋体" w:hAnsi="宋体" w:eastAsia="宋体" w:cs="宋体"/>
          <w:sz w:val="24"/>
          <w:szCs w:val="24"/>
          <w:highlight w:val="none"/>
          <w:lang w:val="en-US" w:eastAsia="zh-CN"/>
        </w:rPr>
        <w:t>.37 元、292,504.11 元</w:t>
      </w:r>
      <w:r>
        <w:rPr>
          <w:rFonts w:hint="eastAsia" w:ascii="宋体" w:hAnsi="宋体" w:eastAsia="宋体" w:cs="宋体"/>
          <w:sz w:val="24"/>
          <w:szCs w:val="24"/>
          <w:highlight w:val="none"/>
        </w:rPr>
        <w:t>。</w:t>
      </w:r>
    </w:p>
    <w:p>
      <w:pPr>
        <w:wordWrap w:val="0"/>
        <w:spacing w:before="240" w:after="0" w:line="276" w:lineRule="auto"/>
        <w:ind w:right="-22" w:rightChars="-10" w:firstLine="545" w:firstLineChars="226"/>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、本次使用闲置自有资金购买理财产品主要情况</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近期</w:t>
      </w:r>
      <w:r>
        <w:rPr>
          <w:rFonts w:hint="eastAsia" w:ascii="宋体" w:hAnsi="宋体" w:eastAsia="宋体" w:cs="宋体"/>
          <w:b/>
          <w:bCs/>
          <w:sz w:val="24"/>
          <w:szCs w:val="24"/>
          <w:highlight w:val="none"/>
          <w:lang w:eastAsia="zh-CN"/>
        </w:rPr>
        <w:t>公司及卓信检测使用闲置自有资金分别购买了招商银行城阳支行、中信银行城阳支行、招商银行城阳支行、</w:t>
      </w:r>
      <w:r>
        <w:rPr>
          <w:rFonts w:hint="eastAsia" w:ascii="宋体" w:hAnsi="宋体" w:eastAsia="宋体" w:cs="宋体"/>
          <w:b/>
          <w:bCs/>
          <w:sz w:val="24"/>
          <w:szCs w:val="24"/>
          <w:highlight w:val="none"/>
          <w:lang w:val="en-US" w:eastAsia="zh-CN"/>
        </w:rPr>
        <w:t>平安银行麦岛路支行3,000</w:t>
      </w:r>
      <w:r>
        <w:rPr>
          <w:rFonts w:hint="eastAsia" w:ascii="宋体" w:hAnsi="宋体" w:eastAsia="宋体" w:cs="宋体"/>
          <w:b/>
          <w:bCs/>
          <w:sz w:val="24"/>
          <w:szCs w:val="24"/>
          <w:highlight w:val="none"/>
          <w:lang w:eastAsia="zh-CN"/>
        </w:rPr>
        <w:t>万元、</w:t>
      </w:r>
      <w:r>
        <w:rPr>
          <w:rFonts w:hint="eastAsia" w:ascii="宋体" w:hAnsi="宋体" w:eastAsia="宋体" w:cs="宋体"/>
          <w:b/>
          <w:bCs/>
          <w:sz w:val="24"/>
          <w:szCs w:val="24"/>
          <w:highlight w:val="none"/>
          <w:lang w:val="en-US" w:eastAsia="zh-CN"/>
        </w:rPr>
        <w:t>2,000万元、600万元、2</w:t>
      </w:r>
      <w:r>
        <w:rPr>
          <w:rFonts w:hint="default" w:ascii="宋体" w:hAnsi="宋体" w:eastAsia="宋体" w:cs="宋体"/>
          <w:b/>
          <w:bCs/>
          <w:sz w:val="24"/>
          <w:szCs w:val="24"/>
          <w:highlight w:val="none"/>
          <w:lang w:val="en-US" w:eastAsia="zh-CN"/>
        </w:rPr>
        <w:t>,</w:t>
      </w:r>
      <w:bookmarkStart w:id="0" w:name="_GoBack"/>
      <w:bookmarkEnd w:id="0"/>
      <w:r>
        <w:rPr>
          <w:rFonts w:hint="eastAsia" w:ascii="宋体" w:hAnsi="宋体" w:eastAsia="宋体" w:cs="宋体"/>
          <w:b/>
          <w:bCs/>
          <w:sz w:val="24"/>
          <w:szCs w:val="24"/>
          <w:highlight w:val="none"/>
          <w:lang w:val="en-US" w:eastAsia="zh-CN"/>
        </w:rPr>
        <w:t>000万元</w:t>
      </w:r>
      <w:r>
        <w:rPr>
          <w:rFonts w:hint="eastAsia" w:ascii="宋体" w:hAnsi="宋体" w:eastAsia="宋体" w:cs="宋体"/>
          <w:b/>
          <w:bCs/>
          <w:sz w:val="24"/>
          <w:szCs w:val="24"/>
          <w:highlight w:val="none"/>
          <w:lang w:eastAsia="zh-CN"/>
        </w:rPr>
        <w:t>的理财产品，现将有关情况公告如</w:t>
      </w:r>
      <w:r>
        <w:rPr>
          <w:rFonts w:hint="eastAsia" w:ascii="宋体" w:hAnsi="宋体" w:eastAsia="宋体" w:cs="宋体"/>
          <w:b/>
          <w:bCs/>
          <w:sz w:val="24"/>
          <w:szCs w:val="24"/>
          <w:highlight w:val="none"/>
        </w:rPr>
        <w:t>下：</w:t>
      </w:r>
    </w:p>
    <w:p>
      <w:pPr>
        <w:numPr>
          <w:ilvl w:val="0"/>
          <w:numId w:val="1"/>
        </w:num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w:t>
      </w:r>
      <w:r>
        <w:rPr>
          <w:rFonts w:hint="eastAsia" w:ascii="宋体" w:hAnsi="宋体" w:eastAsia="宋体" w:cs="宋体"/>
          <w:sz w:val="24"/>
          <w:szCs w:val="24"/>
          <w:highlight w:val="none"/>
          <w:lang w:eastAsia="zh-CN"/>
        </w:rPr>
        <w:t>及卓信检测</w:t>
      </w:r>
      <w:r>
        <w:rPr>
          <w:rFonts w:hint="eastAsia" w:ascii="宋体" w:hAnsi="宋体" w:eastAsia="宋体" w:cs="宋体"/>
          <w:sz w:val="24"/>
          <w:szCs w:val="24"/>
          <w:highlight w:val="none"/>
        </w:rPr>
        <w:t>购买理财产品的主要内容如下：</w:t>
      </w:r>
    </w:p>
    <w:p>
      <w:pPr>
        <w:numPr>
          <w:ilvl w:val="0"/>
          <w:numId w:val="0"/>
        </w:numPr>
        <w:adjustRightInd/>
        <w:snapToGrid/>
        <w:spacing w:before="180" w:beforeLines="50" w:after="180" w:afterLines="50" w:line="360" w:lineRule="auto"/>
        <w:jc w:val="both"/>
        <w:rPr>
          <w:rFonts w:hint="eastAsia" w:ascii="宋体" w:hAnsi="宋体" w:eastAsia="宋体" w:cs="宋体"/>
          <w:sz w:val="24"/>
          <w:szCs w:val="24"/>
          <w:highlight w:val="none"/>
        </w:rPr>
      </w:pPr>
    </w:p>
    <w:tbl>
      <w:tblPr>
        <w:tblStyle w:val="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7"/>
        <w:gridCol w:w="1433"/>
        <w:gridCol w:w="1117"/>
        <w:gridCol w:w="998"/>
        <w:gridCol w:w="825"/>
        <w:gridCol w:w="1110"/>
        <w:gridCol w:w="89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534"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17"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受托方</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433"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1117"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投资</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金额</w:t>
            </w:r>
          </w:p>
        </w:tc>
        <w:tc>
          <w:tcPr>
            <w:tcW w:w="998"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起止</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c>
          <w:tcPr>
            <w:tcW w:w="825"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风险评级</w:t>
            </w:r>
          </w:p>
        </w:tc>
        <w:tc>
          <w:tcPr>
            <w:tcW w:w="1110"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894"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预计年化收益率</w:t>
            </w:r>
          </w:p>
        </w:tc>
        <w:tc>
          <w:tcPr>
            <w:tcW w:w="708"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117" w:type="dxa"/>
            <w:noWrap w:val="0"/>
            <w:vAlign w:val="center"/>
          </w:tcPr>
          <w:p>
            <w:pPr>
              <w:wordWrap w:val="0"/>
              <w:spacing w:after="0"/>
              <w:rPr>
                <w:rFonts w:hint="eastAsia" w:ascii="宋体" w:hAnsi="宋体" w:eastAsia="宋体" w:cs="宋体"/>
                <w:b w:val="0"/>
                <w:bCs w:val="0"/>
                <w:sz w:val="24"/>
                <w:szCs w:val="24"/>
                <w:lang w:eastAsia="zh-CN"/>
              </w:rPr>
            </w:pPr>
            <w:r>
              <w:rPr>
                <w:rFonts w:hint="eastAsia" w:ascii="宋体" w:hAnsi="宋体" w:eastAsia="宋体" w:cs="宋体"/>
                <w:sz w:val="24"/>
                <w:szCs w:val="24"/>
                <w:highlight w:val="none"/>
                <w:lang w:val="en-US" w:eastAsia="zh-CN"/>
              </w:rPr>
              <w:t>招商银行城阳支行</w:t>
            </w:r>
          </w:p>
        </w:tc>
        <w:tc>
          <w:tcPr>
            <w:tcW w:w="143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招商银行点金系列看跌两层区间94天结构性存款</w:t>
            </w:r>
          </w:p>
        </w:tc>
        <w:tc>
          <w:tcPr>
            <w:tcW w:w="1117"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,000万</w:t>
            </w:r>
          </w:p>
        </w:tc>
        <w:tc>
          <w:tcPr>
            <w:tcW w:w="998"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-202</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01</w:t>
            </w:r>
            <w:r>
              <w:rPr>
                <w:rFonts w:hint="eastAsia" w:ascii="宋体" w:hAnsi="宋体" w:eastAsia="宋体" w:cs="宋体"/>
                <w:sz w:val="24"/>
                <w:szCs w:val="24"/>
                <w:highlight w:val="none"/>
                <w:lang w:val="en-US" w:eastAsia="zh-CN"/>
              </w:rPr>
              <w:t>.15</w:t>
            </w:r>
          </w:p>
        </w:tc>
        <w:tc>
          <w:tcPr>
            <w:tcW w:w="825"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default" w:ascii="宋体" w:hAnsi="宋体" w:eastAsia="宋体" w:cs="宋体"/>
                <w:sz w:val="24"/>
                <w:szCs w:val="24"/>
                <w:highlight w:val="none"/>
                <w:lang w:val="en-US" w:eastAsia="zh-CN" w:bidi="ar-SA"/>
              </w:rPr>
            </w:pPr>
            <w:r>
              <w:rPr>
                <w:rFonts w:hint="default" w:ascii="宋体" w:hAnsi="宋体" w:eastAsia="宋体" w:cs="宋体"/>
                <w:sz w:val="24"/>
                <w:szCs w:val="24"/>
                <w:highlight w:val="none"/>
                <w:lang w:val="en-US" w:eastAsia="zh-CN"/>
              </w:rPr>
              <w:t>1.65%-2.55%</w:t>
            </w:r>
          </w:p>
        </w:tc>
        <w:tc>
          <w:tcPr>
            <w:tcW w:w="708"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117"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中信银行城阳支行</w:t>
            </w:r>
          </w:p>
        </w:tc>
        <w:tc>
          <w:tcPr>
            <w:tcW w:w="143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共赢慧信汇率挂钩人民币结构性 </w:t>
            </w:r>
          </w:p>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存款00558期</w:t>
            </w:r>
          </w:p>
        </w:tc>
        <w:tc>
          <w:tcPr>
            <w:tcW w:w="1117"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,000万</w:t>
            </w:r>
          </w:p>
        </w:tc>
        <w:tc>
          <w:tcPr>
            <w:tcW w:w="998"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.2</w:t>
            </w:r>
            <w:r>
              <w:rPr>
                <w:rFonts w:hint="default"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-202</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01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19</w:t>
            </w:r>
          </w:p>
        </w:tc>
        <w:tc>
          <w:tcPr>
            <w:tcW w:w="825"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default" w:ascii="宋体" w:hAnsi="宋体" w:eastAsia="宋体" w:cs="宋体"/>
                <w:sz w:val="24"/>
                <w:szCs w:val="24"/>
                <w:highlight w:val="none"/>
                <w:lang w:val="en-US" w:eastAsia="zh-CN"/>
              </w:rPr>
              <w:t>1.05%-2.65%</w:t>
            </w:r>
          </w:p>
        </w:tc>
        <w:tc>
          <w:tcPr>
            <w:tcW w:w="708"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117"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招商银行城阳支行</w:t>
            </w:r>
          </w:p>
        </w:tc>
        <w:tc>
          <w:tcPr>
            <w:tcW w:w="143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招商银行点金系列看跌两层区间94天结构性存款</w:t>
            </w:r>
          </w:p>
        </w:tc>
        <w:tc>
          <w:tcPr>
            <w:tcW w:w="1117"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00万</w:t>
            </w:r>
          </w:p>
        </w:tc>
        <w:tc>
          <w:tcPr>
            <w:tcW w:w="998"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-2024.</w:t>
            </w:r>
            <w:r>
              <w:rPr>
                <w:rFonts w:hint="default" w:ascii="宋体" w:hAnsi="宋体" w:eastAsia="宋体" w:cs="宋体"/>
                <w:sz w:val="24"/>
                <w:szCs w:val="24"/>
                <w:highlight w:val="none"/>
                <w:lang w:val="en-US" w:eastAsia="zh-CN"/>
              </w:rPr>
              <w:t>01</w:t>
            </w:r>
            <w:r>
              <w:rPr>
                <w:rFonts w:hint="eastAsia" w:ascii="宋体" w:hAnsi="宋体" w:eastAsia="宋体" w:cs="宋体"/>
                <w:sz w:val="24"/>
                <w:szCs w:val="24"/>
                <w:highlight w:val="none"/>
                <w:lang w:val="en-US" w:eastAsia="zh-CN"/>
              </w:rPr>
              <w:t>.15</w:t>
            </w:r>
          </w:p>
        </w:tc>
        <w:tc>
          <w:tcPr>
            <w:tcW w:w="82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1.65%-2.55%</w:t>
            </w:r>
          </w:p>
        </w:tc>
        <w:tc>
          <w:tcPr>
            <w:tcW w:w="708"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117"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平安银行麦岛路支行</w:t>
            </w:r>
          </w:p>
        </w:tc>
        <w:tc>
          <w:tcPr>
            <w:tcW w:w="1433"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平安银行对公结构性存款（100%保本挂钩汇率）2023年TGG23001202期</w:t>
            </w:r>
          </w:p>
        </w:tc>
        <w:tc>
          <w:tcPr>
            <w:tcW w:w="1117"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000万</w:t>
            </w:r>
          </w:p>
        </w:tc>
        <w:tc>
          <w:tcPr>
            <w:tcW w:w="998"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2023.10.25-2024.01.26</w:t>
            </w:r>
          </w:p>
        </w:tc>
        <w:tc>
          <w:tcPr>
            <w:tcW w:w="82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低风险</w:t>
            </w:r>
          </w:p>
        </w:tc>
        <w:tc>
          <w:tcPr>
            <w:tcW w:w="111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89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1.75%-2.55%</w:t>
            </w:r>
          </w:p>
        </w:tc>
        <w:tc>
          <w:tcPr>
            <w:tcW w:w="70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r>
    </w:tbl>
    <w:p>
      <w:pPr>
        <w:wordWrap w:val="0"/>
        <w:spacing w:after="0" w:line="276" w:lineRule="auto"/>
        <w:rPr>
          <w:rFonts w:hint="eastAsia" w:ascii="宋体" w:hAnsi="宋体" w:eastAsia="宋体" w:cs="宋体"/>
          <w:sz w:val="24"/>
          <w:szCs w:val="24"/>
        </w:rPr>
      </w:pPr>
    </w:p>
    <w:p>
      <w:pPr>
        <w:pStyle w:val="4"/>
        <w:spacing w:after="240" w:line="400" w:lineRule="exact"/>
        <w:ind w:firstLine="463" w:firstLineChars="193"/>
        <w:rPr>
          <w:rFonts w:hint="eastAsia" w:ascii="宋体" w:hAnsi="宋体" w:eastAsia="宋体" w:cs="宋体"/>
          <w:sz w:val="24"/>
          <w:szCs w:val="24"/>
        </w:rPr>
      </w:pPr>
      <w:r>
        <w:rPr>
          <w:rFonts w:hint="eastAsia" w:ascii="宋体" w:hAnsi="宋体" w:eastAsia="宋体" w:cs="宋体"/>
          <w:sz w:val="24"/>
          <w:szCs w:val="24"/>
        </w:rPr>
        <w:t>（二）审批程序</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本次购买理财产品事宜已于2023年3月20日召开的第四届董事会第十九次会议、第四届监事会第十五次会议，及2023年4月11日召开的2022年年度股东大会审议通过，公司独立董事对此发表了同意的独立意见。</w:t>
      </w:r>
    </w:p>
    <w:p>
      <w:pPr>
        <w:pStyle w:val="4"/>
        <w:spacing w:line="400" w:lineRule="exact"/>
        <w:ind w:firstLine="465" w:firstLineChars="193"/>
        <w:rPr>
          <w:rFonts w:hint="eastAsia" w:ascii="宋体" w:hAnsi="宋体" w:eastAsia="宋体" w:cs="宋体"/>
          <w:b/>
          <w:sz w:val="24"/>
          <w:szCs w:val="24"/>
          <w:lang w:eastAsia="zh-CN"/>
        </w:rPr>
      </w:pPr>
      <w:r>
        <w:rPr>
          <w:rFonts w:hint="eastAsia" w:hAnsi="宋体" w:cs="宋体"/>
          <w:b/>
          <w:sz w:val="24"/>
          <w:szCs w:val="24"/>
          <w:lang w:eastAsia="zh-CN"/>
        </w:rPr>
        <w:t>三</w:t>
      </w:r>
      <w:r>
        <w:rPr>
          <w:rFonts w:hint="eastAsia" w:ascii="宋体" w:hAnsi="宋体" w:eastAsia="宋体" w:cs="宋体"/>
          <w:b/>
          <w:sz w:val="24"/>
          <w:szCs w:val="24"/>
        </w:rPr>
        <w:t>、关联关系说明</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公司与上述受托方无关联关系。</w:t>
      </w:r>
    </w:p>
    <w:p>
      <w:pPr>
        <w:pStyle w:val="5"/>
        <w:numPr>
          <w:ilvl w:val="0"/>
          <w:numId w:val="0"/>
        </w:numPr>
        <w:spacing w:after="0" w:line="360" w:lineRule="auto"/>
        <w:ind w:leftChars="200"/>
        <w:rPr>
          <w:rFonts w:hint="eastAsia"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、投资存在的风险及风险控制措施</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1、投资风险</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（1）虽然公司将根据闲置资金实际情况，选择投资合适的中等及以下风险型理财产品，但金融市场受宏观经济的影响较大，不排除该项投资受到市场波动的影响；</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（2）公司将根据经济形势以及金融市场的变化适时适量的进行委托理财，因此投资的实际收益存在一定的不可预期性。</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2、风险控制措施</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 公司购买标的为安全性高、 流动性好、中等及以下风险型、 期限 12个月以内（含）的理财产品；仅限于商业银行、证券公司、信托公司等金融机构发行的中等及以下风险短期理财产品。</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公司董事会授权董事长行使该项投资决策权，并授权财务负责人及财务部门相关岗位人员负责投资理财的具体实施工作。财务部将负责制定购买理财产品计划，合理的购买理财产品以及建立投资台账，及时进行分析和跟踪产品的净值变动，以确保理财资金的安全；</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公司将密切跟踪和分析每笔理财产品的进展情况，关注宏观经济形势和市场变化，对可能存在影响公司资金安全的风险因素，及时采取相应措施，控制投资风险，确保资金安全，实现收益最大化。公司内部审计部门负责对所投资产品的资金使用与保管情况进行审计与监督，并向董事会审计委员会报告；</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（4）独立董事、监事会有权对资金使用情况进行监督与检查，必要时可以聘请专业机构进行审计；</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（5）公司将根据深圳证券交易所的相关规定，披露报告期内投资产品及相关的损益情况。</w:t>
      </w:r>
    </w:p>
    <w:p>
      <w:pPr>
        <w:pStyle w:val="5"/>
        <w:spacing w:after="0"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五</w:t>
      </w:r>
      <w:r>
        <w:rPr>
          <w:rFonts w:hint="eastAsia" w:ascii="宋体" w:hAnsi="宋体" w:eastAsia="宋体" w:cs="宋体"/>
          <w:b/>
          <w:sz w:val="24"/>
          <w:szCs w:val="24"/>
          <w:highlight w:val="none"/>
        </w:rPr>
        <w:t>、对公司的影响</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对委托理财的风险与收益，以及未来的资金需求进行了充分的预估与测算，使用闲置自有资金投资安全性高、流动性好、中等及以下风险型或固定收益类或承诺保本的理财产品，不会影响公司的日常经营运作与主营业务的发展， 且理财产品的收益率一般高于活期存款及同期定期存款利率，理财产品的投资，有利于提高公司闲置自有资金的使用效率，获得一定的投资收益，提升公司整体业绩水平，为股东获取更多投资回报，符合公司及全体股东的利益。</w:t>
      </w:r>
    </w:p>
    <w:p>
      <w:pPr>
        <w:pStyle w:val="4"/>
        <w:ind w:firstLine="465" w:firstLineChars="193"/>
        <w:jc w:val="both"/>
        <w:rPr>
          <w:rFonts w:hint="eastAsia" w:hAnsi="宋体"/>
          <w:b/>
          <w:highlight w:val="none"/>
        </w:rPr>
      </w:pPr>
      <w:r>
        <w:rPr>
          <w:rFonts w:hint="eastAsia" w:hAnsi="宋体"/>
          <w:b/>
          <w:highlight w:val="none"/>
          <w:lang w:eastAsia="zh-CN"/>
        </w:rPr>
        <w:t>六</w:t>
      </w:r>
      <w:r>
        <w:rPr>
          <w:rFonts w:hint="eastAsia" w:hAnsi="宋体"/>
          <w:b/>
          <w:highlight w:val="none"/>
        </w:rPr>
        <w:t>、公告日前十二个月内购买银行理财产品情况</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公司本次公告日前十二个月使用闲置自有资金购买理财产品情况，具体详见如下表：</w:t>
      </w:r>
    </w:p>
    <w:tbl>
      <w:tblPr>
        <w:tblStyle w:val="2"/>
        <w:tblpPr w:leftFromText="180" w:rightFromText="180" w:vertAnchor="text" w:horzAnchor="margin" w:tblpX="-494" w:tblpY="273"/>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1418"/>
        <w:gridCol w:w="850"/>
        <w:gridCol w:w="851"/>
        <w:gridCol w:w="850"/>
        <w:gridCol w:w="993"/>
        <w:gridCol w:w="992"/>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75"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受托方</w:t>
            </w:r>
          </w:p>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418"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投资金额</w:t>
            </w:r>
          </w:p>
        </w:tc>
        <w:tc>
          <w:tcPr>
            <w:tcW w:w="851"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起止日期</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风险评级</w:t>
            </w:r>
          </w:p>
        </w:tc>
        <w:tc>
          <w:tcPr>
            <w:tcW w:w="993"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产品类型</w:t>
            </w:r>
          </w:p>
        </w:tc>
        <w:tc>
          <w:tcPr>
            <w:tcW w:w="992"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预计年化收益率</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w:t>
            </w:r>
          </w:p>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1275"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光大兴陇信托有限责任公司</w:t>
            </w:r>
          </w:p>
        </w:tc>
        <w:tc>
          <w:tcPr>
            <w:tcW w:w="1418"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光大信托-深汇系列集合资金信托计划</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2022.10.20-2023.04.20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5.4%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1275"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东证融汇证券资产管理有限公司</w:t>
            </w:r>
          </w:p>
        </w:tc>
        <w:tc>
          <w:tcPr>
            <w:tcW w:w="1418" w:type="dxa"/>
            <w:noWrap w:val="0"/>
            <w:vAlign w:val="center"/>
          </w:tcPr>
          <w:p>
            <w:pPr>
              <w:wordWrap w:val="0"/>
              <w:spacing w:after="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东证融汇汇鑫6M3号集合资产管理计划</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2022.10.25-2023.4.24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民生理财贵竹固收增利6个月自动续期2号</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2022.11.25-2023.05.23</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3.3%-5%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平安银行对公结构性存款（100%保本挂钩黄金）产品TGG23200049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2023.1.20-2023.4.21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1.75%-3.04%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平安银行对公结构性存款（100%保本挂钩指数）产品TGG23100044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2023.1.20-2023.7.21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1.95%-3%</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招商银行点金系列看涨两层区间93天结构性存款产品（产品代码：NQD00457）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2023.2.24-2023.5.30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平安银行对公结构性存款(100%保本挂钩指数)产品TGG23100114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2023.2.24-2023.8.25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中国民生银行对公大额存单FGG2301A02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2023.03.02-2023.12.02</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共赢智信汇率挂钩人民币结构性存款13938期</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950万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2023.03.01-2023.09.01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招商银行点金系列看涨两层区间92天结构性存款产品 （产品代码NQD00485）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2023.03.30-2023.06.30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1.65%-2.85%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平安银行对公结构性存款（100%保本挂钩指数）2023 年TGG23100212期人民币产品</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2023.03.30-2023.10.09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1.95%-3.00%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yellow"/>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东证融汇证券资产管理有限公司</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东证融汇汇鑫6M3号集合资产管理计划</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2023.4.25-2023.10.24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平安银行对公结构性存款（100%保本挂钩指数）2023 年TGG23100368期人民币产品</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w:t>
            </w:r>
            <w:r>
              <w:rPr>
                <w:rFonts w:hint="eastAsia" w:ascii="宋体" w:hAnsi="宋体" w:eastAsia="宋体" w:cs="宋体"/>
                <w:sz w:val="24"/>
                <w:szCs w:val="24"/>
                <w:highlight w:val="none"/>
                <w:lang w:val="en-US" w:eastAsia="zh-CN"/>
              </w:rPr>
              <w:t xml:space="preserve">点金系列看涨两层区间结构性存款NQD00544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w:t>
            </w:r>
            <w:r>
              <w:rPr>
                <w:rFonts w:hint="eastAsia" w:ascii="宋体" w:hAnsi="宋体" w:eastAsia="宋体" w:cs="宋体"/>
                <w:sz w:val="24"/>
                <w:szCs w:val="24"/>
                <w:highlight w:val="none"/>
                <w:lang w:val="en-US" w:eastAsia="zh-CN"/>
              </w:rPr>
              <w:t xml:space="preserve">点金系列看涨两层区间结构性存款NQD00544 </w:t>
            </w:r>
            <w:r>
              <w:rPr>
                <w:rFonts w:hint="eastAsia" w:ascii="宋体" w:hAnsi="宋体" w:eastAsia="宋体" w:cs="宋体"/>
                <w:sz w:val="24"/>
                <w:szCs w:val="24"/>
                <w:highlight w:val="none"/>
              </w:rPr>
              <w:t xml:space="preserve">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中信证券股份有限公司</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中信证券信信向荣1号集合资产管理计划</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1,000万元</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.07.12-202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.07.11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7</w:t>
            </w:r>
          </w:p>
        </w:tc>
        <w:tc>
          <w:tcPr>
            <w:tcW w:w="1275"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平安银行对公结构性存款（100%保本挂钩黄金）TGG23200830期产品</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lang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27</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2.97%</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平安银行对公结构性存款（100%保本挂钩指数）2023 年 TGG23100630 期人民币产品 </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共赢慧信汇率挂钩人民币结构性</w:t>
            </w:r>
          </w:p>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存款00246期</w:t>
            </w:r>
            <w:r>
              <w:rPr>
                <w:rFonts w:hint="eastAsia" w:ascii="宋体" w:hAnsi="宋体" w:eastAsia="宋体" w:cs="宋体"/>
                <w:sz w:val="24"/>
                <w:szCs w:val="24"/>
                <w:highlight w:val="none"/>
                <w:lang w:val="en-US" w:eastAsia="zh-CN"/>
              </w:rPr>
              <w:t xml:space="preserve"> </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97</w:t>
            </w:r>
            <w:r>
              <w:rPr>
                <w:rFonts w:hint="eastAsia" w:ascii="宋体" w:hAnsi="宋体" w:eastAsia="宋体" w:cs="宋体"/>
                <w:sz w:val="24"/>
                <w:szCs w:val="24"/>
                <w:highlight w:val="none"/>
                <w:lang w:eastAsia="zh-CN"/>
              </w:rPr>
              <w:t>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共赢慧信汇率挂钩人民币结构性</w:t>
            </w:r>
          </w:p>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存款00246期</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2023.9.23-2023.12.22</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聚赢股票-挂钩沪深300指数双向鲨鱼鳍结构性存款（SDGA230502V）</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2023.9.22-2023.12.21</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中低风险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bl>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截至本公告日，已到期的理财产品的本金及收益均已如期收回。公司累计使用闲置自有资金购买理财产品的未到期余额为人民币</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4，57</w:t>
      </w:r>
      <w:r>
        <w:rPr>
          <w:rFonts w:hint="eastAsia" w:ascii="宋体" w:hAnsi="宋体" w:eastAsia="宋体" w:cs="宋体"/>
          <w:sz w:val="24"/>
          <w:szCs w:val="24"/>
          <w:highlight w:val="none"/>
        </w:rPr>
        <w:t>0万元（含本次</w:t>
      </w:r>
      <w:r>
        <w:rPr>
          <w:rFonts w:hint="eastAsia" w:ascii="宋体" w:hAnsi="宋体" w:eastAsia="宋体" w:cs="宋体"/>
          <w:sz w:val="24"/>
          <w:szCs w:val="24"/>
          <w:highlight w:val="none"/>
          <w:lang w:eastAsia="zh-CN"/>
        </w:rPr>
        <w:t>购买</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7,60</w:t>
      </w:r>
      <w:r>
        <w:rPr>
          <w:rFonts w:hint="eastAsia" w:ascii="宋体" w:hAnsi="宋体" w:eastAsia="宋体" w:cs="宋体"/>
          <w:sz w:val="24"/>
          <w:szCs w:val="24"/>
          <w:highlight w:val="none"/>
        </w:rPr>
        <w:t>0万元），上述未到期余额未超过公司董事会授权购买理财产品的额度范围。</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七</w:t>
      </w:r>
      <w:r>
        <w:rPr>
          <w:rFonts w:hint="eastAsia" w:ascii="宋体" w:hAnsi="宋体" w:eastAsia="宋体" w:cs="宋体"/>
          <w:b/>
          <w:bCs/>
          <w:sz w:val="24"/>
          <w:szCs w:val="24"/>
          <w:highlight w:val="none"/>
        </w:rPr>
        <w:t>、备查文件</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1.相关理财产品的银行回单。</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特此公告。</w:t>
      </w:r>
    </w:p>
    <w:p>
      <w:pPr>
        <w:adjustRightInd/>
        <w:snapToGrid/>
        <w:spacing w:before="180" w:beforeLines="50" w:after="180" w:afterLines="50"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青岛伟隆阀门股份有限公司董事会</w:t>
      </w:r>
    </w:p>
    <w:p>
      <w:pPr>
        <w:wordWrap w:val="0"/>
        <w:adjustRightInd/>
        <w:snapToGrid/>
        <w:spacing w:before="180" w:beforeLines="50" w:after="180" w:afterLines="50"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2023年</w:t>
      </w:r>
      <w:r>
        <w:rPr>
          <w:rFonts w:hint="default" w:ascii="宋体" w:hAnsi="宋体" w:eastAsia="宋体" w:cs="宋体"/>
          <w:sz w:val="24"/>
          <w:szCs w:val="24"/>
          <w:highlight w:val="none"/>
          <w:lang w:val="en-US"/>
        </w:rPr>
        <w:t>10</w:t>
      </w:r>
      <w:r>
        <w:rPr>
          <w:rFonts w:hint="eastAsia" w:ascii="宋体" w:hAnsi="宋体" w:eastAsia="宋体" w:cs="宋体"/>
          <w:sz w:val="24"/>
          <w:szCs w:val="24"/>
          <w:highlight w:val="none"/>
        </w:rPr>
        <w:t>月</w:t>
      </w:r>
      <w:r>
        <w:rPr>
          <w:rFonts w:hint="default" w:ascii="宋体" w:hAnsi="宋体" w:eastAsia="宋体" w:cs="宋体"/>
          <w:sz w:val="24"/>
          <w:szCs w:val="24"/>
          <w:highlight w:val="none"/>
          <w:lang w:val="en-US" w:eastAsia="zh-CN"/>
        </w:rPr>
        <w:t>31</w:t>
      </w:r>
      <w:r>
        <w:rPr>
          <w:rFonts w:hint="eastAsia" w:ascii="宋体" w:hAnsi="宋体" w:eastAsia="宋体" w:cs="宋体"/>
          <w:sz w:val="24"/>
          <w:szCs w:val="24"/>
          <w:highlight w:val="none"/>
        </w:rPr>
        <w:t xml:space="preserve">日    </w:t>
      </w:r>
    </w:p>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FAC99"/>
    <w:multiLevelType w:val="singleLevel"/>
    <w:tmpl w:val="F1BFAC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000000"/>
    <w:rsid w:val="030D2310"/>
    <w:rsid w:val="04630ECF"/>
    <w:rsid w:val="06934B21"/>
    <w:rsid w:val="09BE388F"/>
    <w:rsid w:val="0B31363F"/>
    <w:rsid w:val="0C224F37"/>
    <w:rsid w:val="1A970ED2"/>
    <w:rsid w:val="223D7047"/>
    <w:rsid w:val="23896917"/>
    <w:rsid w:val="26FF0F60"/>
    <w:rsid w:val="32036EEC"/>
    <w:rsid w:val="3B5265EE"/>
    <w:rsid w:val="406D4DCA"/>
    <w:rsid w:val="47963DF0"/>
    <w:rsid w:val="489D5DC1"/>
    <w:rsid w:val="4A2A7350"/>
    <w:rsid w:val="4AB96236"/>
    <w:rsid w:val="4DDD3780"/>
    <w:rsid w:val="58962C9C"/>
    <w:rsid w:val="5B1D1E49"/>
    <w:rsid w:val="5CB5471F"/>
    <w:rsid w:val="65D63C2A"/>
    <w:rsid w:val="6B220974"/>
    <w:rsid w:val="714D3D36"/>
    <w:rsid w:val="7A1D2938"/>
    <w:rsid w:val="7D836CC1"/>
    <w:rsid w:val="7EBB2F66"/>
    <w:rsid w:val="7EFC6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2654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2023-09-08T08:42:00Z</dcterms:created>
  <dc:creator>Administrator.WINMICR-GFJCHI7</dc:creator>
  <cp:lastModifiedBy>Mr.翔</cp:lastModifiedBy>
  <dcterms:modified xsi:type="dcterms:W3CDTF">2023-10-30T05:14:34Z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08E690DA0DB24DE1B8D4A68B78F89895_13</vt:lpwstr>
  </property>
</Properties>
</file>