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宋体" w:hAnsi="宋体" w:eastAsia="宋体" w:cs="宋体"/>
          <w:color w:val="000000"/>
          <w:sz w:val="8"/>
          <w:szCs w:val="6"/>
        </w:rPr>
      </w:pPr>
      <w:r>
        <w:rPr>
          <w:rFonts w:ascii="宋体" w:hAnsi="宋体" w:eastAsia="宋体" w:cs="宋体"/>
          <w:color w:val="000000"/>
          <w:sz w:val="24"/>
        </w:rPr>
        <w:t>证券代码：002</w:t>
      </w:r>
      <w:r>
        <w:rPr>
          <w:rFonts w:hint="eastAsia" w:ascii="宋体" w:hAnsi="宋体" w:eastAsia="宋体" w:cs="宋体"/>
          <w:color w:val="000000"/>
          <w:sz w:val="24"/>
        </w:rPr>
        <w:t xml:space="preserve">871   </w:t>
      </w:r>
      <w:r>
        <w:rPr>
          <w:rFonts w:ascii="宋体" w:hAnsi="宋体" w:eastAsia="宋体" w:cs="宋体"/>
          <w:color w:val="000000"/>
          <w:sz w:val="24"/>
        </w:rPr>
        <w:t xml:space="preserve"> </w:t>
      </w:r>
      <w:r>
        <w:rPr>
          <w:rFonts w:hint="eastAsia" w:ascii="宋体" w:hAnsi="宋体" w:eastAsia="宋体" w:cs="宋体"/>
          <w:color w:val="000000"/>
          <w:sz w:val="24"/>
        </w:rPr>
        <w:t xml:space="preserve">   </w:t>
      </w:r>
      <w:r>
        <w:rPr>
          <w:rFonts w:ascii="宋体" w:hAnsi="宋体" w:eastAsia="宋体" w:cs="宋体"/>
          <w:color w:val="000000"/>
          <w:sz w:val="24"/>
        </w:rPr>
        <w:t>证券简称：伟隆</w:t>
      </w:r>
      <w:r>
        <w:rPr>
          <w:rFonts w:hint="eastAsia" w:ascii="宋体" w:hAnsi="宋体" w:eastAsia="宋体" w:cs="宋体"/>
          <w:color w:val="000000"/>
          <w:sz w:val="24"/>
        </w:rPr>
        <w:t xml:space="preserve">股份 </w:t>
      </w:r>
      <w:r>
        <w:rPr>
          <w:rFonts w:ascii="宋体" w:hAnsi="宋体" w:eastAsia="宋体" w:cs="宋体"/>
          <w:color w:val="000000"/>
          <w:sz w:val="24"/>
        </w:rPr>
        <w:t xml:space="preserve"> </w:t>
      </w:r>
      <w:r>
        <w:rPr>
          <w:rFonts w:hint="eastAsia" w:ascii="宋体" w:hAnsi="宋体" w:eastAsia="宋体" w:cs="宋体"/>
          <w:color w:val="000000"/>
          <w:sz w:val="24"/>
        </w:rPr>
        <w:t xml:space="preserve">     </w:t>
      </w:r>
      <w:r>
        <w:rPr>
          <w:rFonts w:ascii="宋体" w:hAnsi="宋体" w:eastAsia="宋体" w:cs="宋体"/>
          <w:color w:val="000000"/>
          <w:sz w:val="24"/>
        </w:rPr>
        <w:t>公告编号：20</w:t>
      </w:r>
      <w:r>
        <w:rPr>
          <w:rFonts w:hint="eastAsia" w:ascii="宋体" w:hAnsi="宋体" w:eastAsia="宋体" w:cs="宋体"/>
          <w:color w:val="000000"/>
          <w:sz w:val="24"/>
        </w:rPr>
        <w:t>2</w:t>
      </w:r>
      <w:r>
        <w:rPr>
          <w:rFonts w:ascii="宋体" w:hAnsi="宋体" w:eastAsia="宋体" w:cs="宋体"/>
          <w:color w:val="000000"/>
          <w:sz w:val="24"/>
        </w:rPr>
        <w:t>3-</w:t>
      </w:r>
      <w:r>
        <w:rPr>
          <w:rFonts w:ascii="宋体" w:hAnsi="宋体" w:eastAsia="宋体" w:cs="宋体"/>
          <w:sz w:val="24"/>
        </w:rPr>
        <w:t>100</w:t>
      </w:r>
      <w:r>
        <w:rPr>
          <w:rFonts w:ascii="宋体" w:hAnsi="宋体" w:eastAsia="宋体" w:cs="宋体"/>
          <w:sz w:val="24"/>
        </w:rPr>
        <w:br w:type="textWrapping"/>
      </w:r>
    </w:p>
    <w:p>
      <w:pPr>
        <w:spacing w:line="220" w:lineRule="atLeast"/>
        <w:jc w:val="center"/>
        <w:rPr>
          <w:rFonts w:ascii="宋体" w:hAnsi="宋体" w:eastAsia="宋体" w:cs="宋体"/>
          <w:b/>
          <w:sz w:val="28"/>
          <w:szCs w:val="28"/>
        </w:rPr>
      </w:pPr>
      <w:r>
        <w:rPr>
          <w:rFonts w:hint="eastAsia" w:ascii="宋体" w:hAnsi="宋体" w:eastAsia="宋体" w:cs="宋体"/>
          <w:b/>
          <w:sz w:val="28"/>
          <w:szCs w:val="28"/>
        </w:rPr>
        <w:t>青岛伟隆阀门股份有限公司</w:t>
      </w:r>
    </w:p>
    <w:p>
      <w:pPr>
        <w:spacing w:line="220" w:lineRule="atLeast"/>
        <w:jc w:val="center"/>
        <w:rPr>
          <w:rFonts w:ascii="宋体" w:hAnsi="宋体" w:eastAsia="宋体" w:cs="宋体"/>
          <w:b/>
          <w:sz w:val="28"/>
          <w:szCs w:val="28"/>
        </w:rPr>
      </w:pPr>
      <w:r>
        <w:rPr>
          <w:rFonts w:hint="eastAsia" w:ascii="宋体" w:hAnsi="宋体" w:eastAsia="宋体" w:cs="宋体"/>
          <w:b/>
          <w:sz w:val="28"/>
          <w:szCs w:val="28"/>
        </w:rPr>
        <w:t>关于回购部分社会公众股份的回购报告书</w:t>
      </w: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64" w:type="dxa"/>
          </w:tcPr>
          <w:p>
            <w:pPr>
              <w:spacing w:after="0" w:line="360" w:lineRule="exact"/>
              <w:ind w:firstLine="424" w:firstLineChars="193"/>
              <w:rPr>
                <w:b/>
              </w:rPr>
            </w:pPr>
            <w:r>
              <w:rPr>
                <w:rFonts w:hint="eastAsia" w:hAnsi="Times New Roman"/>
                <w:szCs w:val="23"/>
              </w:rPr>
              <w:t>本公司及董事会全体成员保证信息披露的内容真实、准确、完整，没有虚假记载、误导性陈述或重大遗漏。</w:t>
            </w:r>
          </w:p>
        </w:tc>
      </w:tr>
    </w:tbl>
    <w:p>
      <w:pPr>
        <w:spacing w:after="0" w:line="360" w:lineRule="exact"/>
        <w:ind w:firstLine="424" w:firstLineChars="193"/>
      </w:pPr>
    </w:p>
    <w:p>
      <w:pPr>
        <w:rPr>
          <w:rFonts w:ascii="宋体" w:hAnsi="宋体" w:eastAsia="宋体" w:cs="宋体"/>
          <w:sz w:val="24"/>
          <w:szCs w:val="24"/>
        </w:rPr>
      </w:pPr>
      <w:r>
        <w:rPr>
          <w:rFonts w:hint="eastAsia" w:ascii="宋体" w:hAnsi="宋体" w:eastAsia="宋体" w:cs="宋体"/>
          <w:b/>
          <w:bCs/>
          <w:color w:val="000000"/>
          <w:sz w:val="24"/>
          <w:szCs w:val="24"/>
        </w:rPr>
        <w:t>重要内容提示：</w:t>
      </w:r>
    </w:p>
    <w:p>
      <w:pPr>
        <w:widowControl w:val="0"/>
        <w:spacing w:line="360" w:lineRule="auto"/>
        <w:ind w:firstLine="420" w:firstLineChars="200"/>
        <w:jc w:val="both"/>
        <w:rPr>
          <w:rFonts w:ascii="宋体" w:hAnsi="宋体" w:eastAsia="宋体" w:cs="宋体"/>
          <w:b/>
          <w:bCs/>
          <w:kern w:val="2"/>
          <w:sz w:val="21"/>
          <w:szCs w:val="21"/>
        </w:rPr>
      </w:pPr>
      <w:r>
        <w:rPr>
          <w:rFonts w:hint="eastAsia" w:ascii="宋体" w:hAnsi="宋体" w:eastAsia="宋体" w:cs="宋体"/>
          <w:kern w:val="2"/>
          <w:sz w:val="21"/>
          <w:szCs w:val="21"/>
        </w:rPr>
        <w:t>1、青岛伟隆阀门股份有限公司（以下简称“公司”）拟使用自有资金以集中竞价交易方式回购部分公司已发行的人民币普通股（A股）股票，用于后续实施员工持股计划或者股权激励计划。</w:t>
      </w:r>
    </w:p>
    <w:p>
      <w:pPr>
        <w:widowControl w:val="0"/>
        <w:spacing w:line="360" w:lineRule="auto"/>
        <w:ind w:firstLine="420" w:firstLineChars="200"/>
        <w:jc w:val="both"/>
        <w:rPr>
          <w:rFonts w:ascii="宋体" w:hAnsi="宋体" w:eastAsia="宋体" w:cs="宋体"/>
          <w:kern w:val="2"/>
          <w:sz w:val="21"/>
          <w:szCs w:val="21"/>
        </w:rPr>
      </w:pPr>
      <w:r>
        <w:rPr>
          <w:rFonts w:hint="eastAsia" w:ascii="宋体" w:hAnsi="宋体" w:eastAsia="宋体" w:cs="宋体"/>
          <w:kern w:val="2"/>
          <w:sz w:val="21"/>
          <w:szCs w:val="21"/>
        </w:rPr>
        <w:t>拟用于回购资金总额不低于人民币3,000.00万元（含），不超过人民币6,000.00万元（含），回购价格不超过人民币15.50元/股。按本次拟用于回购的资金总额及回购价格上限测算，预计回购股份数量约为3,870,967股，约占公司总股本的比例为1.76%，具体回购股份数量以回购期限届满时实际回购的股份数量为准。本次回购股份的实施期限为自公司董事会审议通过本次回购股份方案之日起不超过十二个月。</w:t>
      </w:r>
    </w:p>
    <w:p>
      <w:pPr>
        <w:widowControl w:val="0"/>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bCs/>
          <w:kern w:val="2"/>
          <w:sz w:val="21"/>
          <w:szCs w:val="21"/>
        </w:rPr>
        <w:t>2、</w:t>
      </w:r>
      <w:r>
        <w:rPr>
          <w:rFonts w:hint="eastAsia" w:ascii="宋体" w:hAnsi="宋体" w:eastAsia="宋体" w:cs="宋体"/>
          <w:kern w:val="2"/>
          <w:sz w:val="21"/>
          <w:szCs w:val="21"/>
        </w:rPr>
        <w:t>公司前高级管理人员杨杰先生于2023年6月离职。杨杰先生持有公司2021年限制性股票激励计划授予股份8.0万股，公司将根据相关规定对其持有的限制性股票激励计划授予股份予以回购注销。除此之外，公司董事、监事、高级管理人员，控股股东、实际控制人及其一致行动人在回购期间暂无增减持计划。若未来实施股份增减持计划，将按相关规定及时履行信息披露义务。</w:t>
      </w:r>
    </w:p>
    <w:p>
      <w:pPr>
        <w:widowControl w:val="0"/>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3、公司已在中国证券登记结算有限责任公司深圳分公司开立了回购专用证券账户。</w:t>
      </w:r>
    </w:p>
    <w:p>
      <w:pPr>
        <w:widowControl w:val="0"/>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4、2023年10月18日，公司召开的第四届董事会第二十六次会议、第四届监事会第二十次会议审议通过，审议通过了《关于公司回购股份的方案》。根据公司《章程》第二十三条规定，公司因将股份用于员工持股计划或者股权激励等情形收购本公司股份的，由公司三分之二以上董事出席的董事会会议决议，本次回购股份方案无需提交公司股东大会审议。</w:t>
      </w:r>
    </w:p>
    <w:p>
      <w:pPr>
        <w:widowControl w:val="0"/>
        <w:spacing w:line="360" w:lineRule="auto"/>
        <w:ind w:firstLine="420" w:firstLineChars="200"/>
        <w:jc w:val="both"/>
        <w:rPr>
          <w:rFonts w:ascii="宋体" w:hAnsi="宋体" w:eastAsia="宋体" w:cs="宋体"/>
          <w:bCs/>
          <w:kern w:val="2"/>
          <w:sz w:val="21"/>
          <w:szCs w:val="21"/>
        </w:rPr>
      </w:pPr>
      <w:r>
        <w:rPr>
          <w:rFonts w:ascii="宋体" w:hAnsi="宋体" w:eastAsia="宋体" w:cs="宋体"/>
          <w:bCs/>
          <w:kern w:val="2"/>
          <w:sz w:val="21"/>
          <w:szCs w:val="21"/>
        </w:rPr>
        <w:t>5</w:t>
      </w:r>
      <w:r>
        <w:rPr>
          <w:rFonts w:hint="eastAsia" w:ascii="宋体" w:hAnsi="宋体" w:eastAsia="宋体" w:cs="宋体"/>
          <w:bCs/>
          <w:kern w:val="2"/>
          <w:sz w:val="21"/>
          <w:szCs w:val="21"/>
        </w:rPr>
        <w:t>、风险提示</w:t>
      </w:r>
    </w:p>
    <w:p>
      <w:pPr>
        <w:widowControl w:val="0"/>
        <w:spacing w:line="360" w:lineRule="auto"/>
        <w:ind w:firstLine="420" w:firstLineChars="200"/>
        <w:jc w:val="both"/>
        <w:rPr>
          <w:rFonts w:ascii="宋体" w:hAnsi="宋体" w:eastAsia="宋体" w:cs="宋体"/>
          <w:kern w:val="2"/>
          <w:sz w:val="21"/>
          <w:szCs w:val="21"/>
        </w:rPr>
      </w:pPr>
      <w:r>
        <w:rPr>
          <w:rFonts w:hint="eastAsia" w:ascii="宋体" w:hAnsi="宋体" w:eastAsia="宋体" w:cs="宋体"/>
          <w:kern w:val="2"/>
          <w:sz w:val="21"/>
          <w:szCs w:val="21"/>
        </w:rPr>
        <w:t>（1）本次回购可能存在回购期限内公司股票价格持续超出回购价格上限，导致回购方案无法顺利实施或只能部分实施的风险；</w:t>
      </w:r>
    </w:p>
    <w:p>
      <w:pPr>
        <w:widowControl w:val="0"/>
        <w:spacing w:line="360" w:lineRule="auto"/>
        <w:ind w:firstLine="420" w:firstLineChars="200"/>
        <w:jc w:val="both"/>
        <w:rPr>
          <w:rFonts w:ascii="宋体" w:hAnsi="宋体" w:eastAsia="宋体" w:cs="宋体"/>
          <w:kern w:val="2"/>
          <w:sz w:val="21"/>
          <w:szCs w:val="21"/>
        </w:rPr>
      </w:pPr>
      <w:r>
        <w:rPr>
          <w:rFonts w:hint="eastAsia" w:ascii="宋体" w:hAnsi="宋体" w:eastAsia="宋体" w:cs="宋体"/>
          <w:kern w:val="2"/>
          <w:sz w:val="21"/>
          <w:szCs w:val="21"/>
        </w:rPr>
        <w:t>（2）本次回购存在因对本公司股票交易价格产生重大影响的重大事项发生或公司董事会决定终止本回购方案等将导致本计划受到影响的事项发生而无法按计划实施的风险；</w:t>
      </w:r>
    </w:p>
    <w:p>
      <w:pPr>
        <w:widowControl w:val="0"/>
        <w:spacing w:line="360" w:lineRule="auto"/>
        <w:ind w:firstLine="420" w:firstLineChars="200"/>
        <w:jc w:val="both"/>
        <w:rPr>
          <w:rFonts w:ascii="宋体" w:hAnsi="宋体" w:eastAsia="宋体" w:cs="宋体"/>
          <w:kern w:val="2"/>
          <w:sz w:val="21"/>
          <w:szCs w:val="21"/>
        </w:rPr>
      </w:pPr>
      <w:r>
        <w:rPr>
          <w:rFonts w:hint="eastAsia" w:ascii="宋体" w:hAnsi="宋体" w:eastAsia="宋体" w:cs="宋体"/>
          <w:kern w:val="2"/>
          <w:sz w:val="21"/>
          <w:szCs w:val="21"/>
        </w:rPr>
        <w:t>（3）若公司在实施回购股份期间，受外部环境变化、临时经营需要等因素影响，致使本次回购股份所需资金未能筹措到位，可能存在回购方案无法实施或者部分实施的风险；</w:t>
      </w:r>
    </w:p>
    <w:p>
      <w:pPr>
        <w:widowControl w:val="0"/>
        <w:spacing w:line="360" w:lineRule="auto"/>
        <w:ind w:firstLine="420" w:firstLineChars="200"/>
        <w:jc w:val="both"/>
        <w:rPr>
          <w:rFonts w:ascii="宋体" w:hAnsi="宋体" w:eastAsia="宋体" w:cs="宋体"/>
          <w:kern w:val="2"/>
          <w:sz w:val="21"/>
          <w:szCs w:val="21"/>
        </w:rPr>
      </w:pPr>
      <w:r>
        <w:rPr>
          <w:rFonts w:hint="eastAsia" w:ascii="宋体" w:hAnsi="宋体" w:eastAsia="宋体" w:cs="宋体"/>
          <w:kern w:val="2"/>
          <w:sz w:val="21"/>
          <w:szCs w:val="21"/>
        </w:rPr>
        <w:t>（4）可能存在因员工持股计划或股权激励计划未能经公司董事会和股东大会等决策机构审议通过、员工持股计划或股权激励对象放弃认购等原因，导致已回购股份无法全部授出的风险。</w:t>
      </w:r>
    </w:p>
    <w:p>
      <w:pPr>
        <w:widowControl w:val="0"/>
        <w:spacing w:line="360" w:lineRule="auto"/>
        <w:ind w:firstLine="420" w:firstLineChars="200"/>
        <w:jc w:val="both"/>
        <w:rPr>
          <w:rFonts w:ascii="宋体" w:hAnsi="宋体" w:eastAsia="宋体" w:cs="宋体"/>
          <w:kern w:val="2"/>
          <w:sz w:val="21"/>
          <w:szCs w:val="21"/>
        </w:rPr>
      </w:pPr>
      <w:r>
        <w:rPr>
          <w:rFonts w:hint="eastAsia" w:ascii="宋体" w:hAnsi="宋体" w:eastAsia="宋体" w:cs="宋体"/>
          <w:kern w:val="2"/>
          <w:sz w:val="21"/>
          <w:szCs w:val="21"/>
        </w:rPr>
        <w:t>上述风险可能导致本次回购计划无法顺利实施，回购方案实施过程中出现前述风险情形的，公司将及时履行信息披露义务并说明拟采取的应对措施，敬请投资者注意投资风险。</w:t>
      </w:r>
    </w:p>
    <w:p>
      <w:pPr>
        <w:widowControl w:val="0"/>
        <w:spacing w:line="360" w:lineRule="auto"/>
        <w:ind w:firstLine="420" w:firstLineChars="200"/>
        <w:jc w:val="both"/>
        <w:rPr>
          <w:rFonts w:ascii="宋体" w:hAnsi="宋体" w:eastAsia="宋体" w:cs="宋体"/>
          <w:kern w:val="2"/>
          <w:sz w:val="21"/>
          <w:szCs w:val="21"/>
        </w:rPr>
      </w:pPr>
      <w:r>
        <w:rPr>
          <w:rFonts w:ascii="宋体" w:hAnsi="宋体" w:eastAsia="宋体" w:cs="宋体"/>
          <w:kern w:val="2"/>
          <w:sz w:val="21"/>
          <w:szCs w:val="21"/>
        </w:rPr>
        <w:t>6</w:t>
      </w:r>
      <w:r>
        <w:rPr>
          <w:rFonts w:hint="eastAsia" w:ascii="宋体" w:hAnsi="宋体" w:eastAsia="宋体" w:cs="宋体"/>
          <w:kern w:val="2"/>
          <w:sz w:val="21"/>
          <w:szCs w:val="21"/>
        </w:rPr>
        <w:t>、本次回购股份不会对公司的经营、盈利能力、财务、研发、债务履行能力、未来发展产生重大影响，不会改变公司的上市地位。</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根据《中华人民共和国公司法》（以下简称“《公司法》”）《中华人民共和国证券法》（以下简称“《证券法》”）《关于支持上市公司回购股份的意见》《上市公司股份回购规则》《深圳证券交易所股票上市规则》《深圳证券交易所上市公司自律监管指引第9号——回购股份》（以下简称“《回购指引》”）以及公司《章程》等有关规定。具体回购方案如下：</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一、回购股份方案的主要内容</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（一）回购股份的目的</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基于对公司未来持续稳定发展的信心和对公司价值的高度认可，结合公司经营情况、财务状况及近期公司股票在二级市场表现等因素，为了充分展现公司资本市场价值，维护广大投资者的利益，提振投资者对公司的信心，同时，为进一步完善公司长效激励机制，充分调动公司核心骨干及优秀员工的积极性，共同促进公司的长远发展，公司拟以自有资金回购公司部分股份。本次回购的股份将用于实施员工持股计划或者股权激励计划。</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（二）本次回购股份符合相关条件</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本次回购股份符合《深圳证券交易所上市公司自律监管指引第9号——回购股份》第十条规定的条件：</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1、公司股票上市已满一年；</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2、公司最近一年无重大违法行为；</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3、回购股份后，公司具备债务履行能力和持续经营能力；</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4、回购股份后，公司的股权分布符合上市条件；</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5、中国证监会和深圳证券交易所规定的其他条件。</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（三）回购股份的方式、价格区间</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本次公司回购股份的方式以集中竞价交易方式回购。</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本次拟回购股份价格不超过人民币15.50元/股（含），</w:t>
      </w:r>
      <w:r>
        <w:rPr>
          <w:rFonts w:hint="eastAsia" w:ascii="宋体" w:hAnsi="宋体" w:eastAsia="宋体" w:cs="宋体"/>
          <w:sz w:val="24"/>
        </w:rPr>
        <w:t>拟回购股份价格上限不高于本次董事会决议前三十个交易日公司股票交易均价的150%，</w:t>
      </w:r>
      <w:r>
        <w:rPr>
          <w:rFonts w:hint="eastAsia" w:ascii="宋体" w:hAnsi="宋体" w:eastAsia="宋体" w:cs="宋体"/>
          <w:kern w:val="2"/>
          <w:sz w:val="24"/>
          <w:szCs w:val="24"/>
        </w:rPr>
        <w:t>具体回购价格根据公司二级市场股票价格、公司财务状况和经营状况综合确定。</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在本次回购期内，如公司实施派息、送股、资本公积金转增股本、股票拆细、缩股、配股及其他除权除息事项，自股价除权除息之日起，按照中国证监会及深圳证券交易所的相关规定相应调整回购价格上限。</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（四）回购金额及回购资金来源</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本次回购股份的资金总额不低于人民币3,000.00万元（含），不超过人民币6,000.00万元（含），资金来源为公司的自有资金。具体回购资金总额以回购期满时实际回购股份使用的资金为准。</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（五）回购股份的种类、用途、数量、占公司总股本的比例</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回购股份的种类为公司发行的人民币普通股（A股），回购的股份将用于实施公司员工持股计划或者股权激励计划。</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在回购股份价格不超过人民币15.50元/股（含）的条件下，按回购金额上限人民币6,000.00万元测算，预计回购股份数量为3,870,967股，约占公司当前总股本的1.76%；按回购金额下限人民币3,000.00万元测算，预计回购股份数量为1,935,483股，约占公司当前总股本的0.88%，具体回购股份的数量以回购期满时实际回购的股份数量为准。若公司在回购期内发生实施派息、送股、资本公积金转增股本、股票拆细、缩股、配股及其他除权除息事项，自股价除权除息之日起，根据相关规定相应调整回购价格上限及回购股份数量。</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（六）回购股份的实施期限</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1、本次回购股份的实施期限为自公司董事会审议通过本次回购股份方案之日起不超过十二个月。如果触及以下条件，则回购期限提前届满：</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（1）如果在回购期限内回购资金使用金额达到最高限额，则回购方案即实施完毕，亦即回购期限自该日起提前届满；</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（2）如公司董事会决议提前终止本回购方案，则回购期限自董事会审议通过终止本回购方案之日起提前届满。</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2、公司不得在下列期间回购公司股票：</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（1）公司年度报告、半年度报告公告前十个交易日内，因特殊原因推迟公告日期的，自原预约公告日前十个交易日起算；</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（2）公司季度报告、业绩预告、业绩快报公告前十个交易日内；</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（3）自可能对本公司股票交易价格产生重大影响的重大事项发生之日或者在决策过程中，至依法披露之日内；</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（4）中国证监会规定的其他情形。</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3、公司回购股份应当符合下列要求：</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（1）委托价格不得为公司股票当日交易涨幅限制的价格；</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（2）不得在深圳证券交易所开盘集合竞价、收盘前半小时内及股票价格无涨跌幅限制的交易日内进行股份回购的委托；</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（3）中国证监会和深圳证券交易所规定的其他要求。</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 xml:space="preserve">（七）预计回购后公司股本结构变动情况 </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 xml:space="preserve">回购股份均为无限售条件流通股，股份拟用于实施员工持股计划或股权激励，回购完成后公司股本结构变化情况如下： </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按回购金额上限人民币6,000.00万元、回购价格上限15.50元/股进行测算，预计回购股份数量为3,870,967股，约占公司当前总股本的1.76%。假设本次回购股份全部实施员工持股计划或股权激励计划并全部予以锁定，预计公司股权结构的变动情况如下：</w:t>
      </w:r>
    </w:p>
    <w:tbl>
      <w:tblPr>
        <w:tblStyle w:val="7"/>
        <w:tblW w:w="8337" w:type="dxa"/>
        <w:jc w:val="center"/>
        <w:tblLayout w:type="autofit"/>
        <w:tblCellMar>
          <w:top w:w="0" w:type="dxa"/>
          <w:left w:w="108" w:type="dxa"/>
          <w:bottom w:w="0" w:type="dxa"/>
          <w:right w:w="108" w:type="dxa"/>
        </w:tblCellMar>
      </w:tblPr>
      <w:tblGrid>
        <w:gridCol w:w="2469"/>
        <w:gridCol w:w="1587"/>
        <w:gridCol w:w="1296"/>
        <w:gridCol w:w="1747"/>
        <w:gridCol w:w="1238"/>
      </w:tblGrid>
      <w:tr>
        <w:tblPrEx>
          <w:tblCellMar>
            <w:top w:w="0" w:type="dxa"/>
            <w:left w:w="108" w:type="dxa"/>
            <w:bottom w:w="0" w:type="dxa"/>
            <w:right w:w="108" w:type="dxa"/>
          </w:tblCellMar>
        </w:tblPrEx>
        <w:trPr>
          <w:trHeight w:val="400" w:hRule="atLeast"/>
          <w:jc w:val="center"/>
        </w:trPr>
        <w:tc>
          <w:tcPr>
            <w:tcW w:w="2469" w:type="dxa"/>
            <w:vMerge w:val="restart"/>
            <w:tcBorders>
              <w:top w:val="single" w:color="auto" w:sz="4" w:space="0"/>
              <w:left w:val="single" w:color="auto" w:sz="4" w:space="0"/>
              <w:bottom w:val="single" w:color="auto" w:sz="4" w:space="0"/>
              <w:right w:val="single" w:color="auto" w:sz="4" w:space="0"/>
            </w:tcBorders>
            <w:noWrap/>
            <w:vAlign w:val="center"/>
          </w:tcPr>
          <w:p>
            <w:pPr>
              <w:ind w:firstLine="442"/>
              <w:jc w:val="center"/>
              <w:rPr>
                <w:rFonts w:ascii="宋体" w:hAnsi="宋体" w:eastAsia="宋体" w:cs="宋体"/>
                <w:b/>
                <w:bCs/>
                <w:color w:val="000000"/>
              </w:rPr>
            </w:pPr>
            <w:r>
              <w:rPr>
                <w:rFonts w:hint="eastAsia" w:ascii="宋体" w:hAnsi="宋体" w:eastAsia="宋体" w:cs="宋体"/>
                <w:b/>
                <w:bCs/>
                <w:color w:val="000000"/>
              </w:rPr>
              <w:t>股份性质</w:t>
            </w:r>
          </w:p>
        </w:tc>
        <w:tc>
          <w:tcPr>
            <w:tcW w:w="288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本次回购前</w:t>
            </w:r>
          </w:p>
        </w:tc>
        <w:tc>
          <w:tcPr>
            <w:tcW w:w="298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本次回购后</w:t>
            </w:r>
          </w:p>
        </w:tc>
      </w:tr>
      <w:tr>
        <w:tblPrEx>
          <w:tblCellMar>
            <w:top w:w="0" w:type="dxa"/>
            <w:left w:w="108" w:type="dxa"/>
            <w:bottom w:w="0" w:type="dxa"/>
            <w:right w:w="108" w:type="dxa"/>
          </w:tblCellMar>
        </w:tblPrEx>
        <w:trPr>
          <w:trHeight w:val="400" w:hRule="atLeast"/>
          <w:jc w:val="center"/>
        </w:trPr>
        <w:tc>
          <w:tcPr>
            <w:tcW w:w="246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rPr>
            </w:pPr>
          </w:p>
        </w:tc>
        <w:tc>
          <w:tcPr>
            <w:tcW w:w="1587" w:type="dxa"/>
            <w:tcBorders>
              <w:top w:val="nil"/>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数量（股）</w:t>
            </w:r>
          </w:p>
        </w:tc>
        <w:tc>
          <w:tcPr>
            <w:tcW w:w="1296" w:type="dxa"/>
            <w:tcBorders>
              <w:top w:val="nil"/>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比例</w:t>
            </w:r>
          </w:p>
        </w:tc>
        <w:tc>
          <w:tcPr>
            <w:tcW w:w="1747" w:type="dxa"/>
            <w:tcBorders>
              <w:top w:val="nil"/>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数量（股）</w:t>
            </w:r>
          </w:p>
        </w:tc>
        <w:tc>
          <w:tcPr>
            <w:tcW w:w="1238" w:type="dxa"/>
            <w:tcBorders>
              <w:top w:val="nil"/>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比例</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宋体" w:hAnsi="宋体" w:eastAsia="宋体" w:cs="宋体"/>
                <w:color w:val="000000"/>
              </w:rPr>
            </w:pPr>
            <w:r>
              <w:rPr>
                <w:rFonts w:hint="eastAsia" w:ascii="宋体" w:hAnsi="宋体" w:eastAsia="宋体" w:cs="宋体"/>
                <w:color w:val="000000"/>
              </w:rPr>
              <w:t>限售条件流通股</w:t>
            </w:r>
          </w:p>
        </w:tc>
        <w:tc>
          <w:tcPr>
            <w:tcW w:w="158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100,848,464</w:t>
            </w:r>
          </w:p>
        </w:tc>
        <w:tc>
          <w:tcPr>
            <w:tcW w:w="1296"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45.94%</w:t>
            </w:r>
          </w:p>
        </w:tc>
        <w:tc>
          <w:tcPr>
            <w:tcW w:w="174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104,719,431</w:t>
            </w:r>
          </w:p>
        </w:tc>
        <w:tc>
          <w:tcPr>
            <w:tcW w:w="1238"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47.70%</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宋体" w:hAnsi="宋体" w:eastAsia="宋体" w:cs="宋体"/>
                <w:color w:val="000000"/>
              </w:rPr>
            </w:pPr>
            <w:r>
              <w:rPr>
                <w:rFonts w:hint="eastAsia" w:ascii="宋体" w:hAnsi="宋体" w:eastAsia="宋体" w:cs="宋体"/>
                <w:color w:val="000000"/>
              </w:rPr>
              <w:t>无限售条件流通股</w:t>
            </w:r>
          </w:p>
        </w:tc>
        <w:tc>
          <w:tcPr>
            <w:tcW w:w="158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118,691,828</w:t>
            </w:r>
          </w:p>
        </w:tc>
        <w:tc>
          <w:tcPr>
            <w:tcW w:w="1296"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54.06%</w:t>
            </w:r>
          </w:p>
        </w:tc>
        <w:tc>
          <w:tcPr>
            <w:tcW w:w="174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114,820,861</w:t>
            </w:r>
          </w:p>
        </w:tc>
        <w:tc>
          <w:tcPr>
            <w:tcW w:w="1238"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52.30%</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宋体" w:hAnsi="宋体" w:eastAsia="宋体" w:cs="宋体"/>
                <w:color w:val="000000"/>
              </w:rPr>
            </w:pPr>
            <w:r>
              <w:rPr>
                <w:rFonts w:hint="eastAsia" w:ascii="宋体" w:hAnsi="宋体" w:eastAsia="宋体" w:cs="宋体"/>
                <w:color w:val="000000"/>
              </w:rPr>
              <w:t>合计</w:t>
            </w:r>
          </w:p>
        </w:tc>
        <w:tc>
          <w:tcPr>
            <w:tcW w:w="158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219,540,292</w:t>
            </w:r>
          </w:p>
        </w:tc>
        <w:tc>
          <w:tcPr>
            <w:tcW w:w="1296"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100.00%</w:t>
            </w:r>
          </w:p>
        </w:tc>
        <w:tc>
          <w:tcPr>
            <w:tcW w:w="174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219,540,292</w:t>
            </w:r>
          </w:p>
        </w:tc>
        <w:tc>
          <w:tcPr>
            <w:tcW w:w="1238"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100.00%</w:t>
            </w:r>
          </w:p>
        </w:tc>
      </w:tr>
    </w:tbl>
    <w:p>
      <w:pPr>
        <w:widowControl w:val="0"/>
        <w:spacing w:before="180" w:beforeLines="50" w:line="360" w:lineRule="auto"/>
        <w:ind w:firstLine="420" w:firstLineChars="200"/>
        <w:jc w:val="both"/>
        <w:rPr>
          <w:rFonts w:ascii="宋体" w:hAnsi="宋体" w:eastAsia="宋体" w:cs="宋体"/>
          <w:kern w:val="2"/>
          <w:sz w:val="21"/>
          <w:szCs w:val="21"/>
        </w:rPr>
      </w:pPr>
      <w:r>
        <w:rPr>
          <w:rFonts w:hint="eastAsia" w:ascii="宋体" w:hAnsi="宋体" w:eastAsia="宋体" w:cs="宋体"/>
          <w:kern w:val="2"/>
          <w:sz w:val="21"/>
          <w:szCs w:val="21"/>
        </w:rPr>
        <w:t>注：上表变动仅考虑本次回购股份方案的影响，未包含其他股份变化的影响，下同。</w:t>
      </w:r>
    </w:p>
    <w:p>
      <w:pPr>
        <w:widowControl w:val="0"/>
        <w:spacing w:before="180" w:beforeLines="5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按回购金额下限人民币3,000.00万元、回购价格上限15.50元/股进行测算，预计回购股份数量为1,935,483股，约占公司当前总股本的0.88%。假设本次回购股份全部实施员工持股计划或股权激励计划并全部予以锁定，预计公司股权结构的变动情况如下：</w:t>
      </w:r>
    </w:p>
    <w:tbl>
      <w:tblPr>
        <w:tblStyle w:val="7"/>
        <w:tblW w:w="8337" w:type="dxa"/>
        <w:jc w:val="center"/>
        <w:tblLayout w:type="autofit"/>
        <w:tblCellMar>
          <w:top w:w="0" w:type="dxa"/>
          <w:left w:w="108" w:type="dxa"/>
          <w:bottom w:w="0" w:type="dxa"/>
          <w:right w:w="108" w:type="dxa"/>
        </w:tblCellMar>
      </w:tblPr>
      <w:tblGrid>
        <w:gridCol w:w="2469"/>
        <w:gridCol w:w="1587"/>
        <w:gridCol w:w="1296"/>
        <w:gridCol w:w="1747"/>
        <w:gridCol w:w="1238"/>
      </w:tblGrid>
      <w:tr>
        <w:tblPrEx>
          <w:tblCellMar>
            <w:top w:w="0" w:type="dxa"/>
            <w:left w:w="108" w:type="dxa"/>
            <w:bottom w:w="0" w:type="dxa"/>
            <w:right w:w="108" w:type="dxa"/>
          </w:tblCellMar>
        </w:tblPrEx>
        <w:trPr>
          <w:trHeight w:val="400" w:hRule="atLeast"/>
          <w:jc w:val="center"/>
        </w:trPr>
        <w:tc>
          <w:tcPr>
            <w:tcW w:w="2469" w:type="dxa"/>
            <w:vMerge w:val="restart"/>
            <w:tcBorders>
              <w:top w:val="single" w:color="auto" w:sz="4" w:space="0"/>
              <w:left w:val="single" w:color="auto" w:sz="4" w:space="0"/>
              <w:bottom w:val="single" w:color="auto" w:sz="4" w:space="0"/>
              <w:right w:val="single" w:color="auto" w:sz="4" w:space="0"/>
            </w:tcBorders>
            <w:noWrap/>
            <w:vAlign w:val="center"/>
          </w:tcPr>
          <w:p>
            <w:pPr>
              <w:ind w:firstLine="442"/>
              <w:jc w:val="center"/>
              <w:rPr>
                <w:rFonts w:ascii="宋体" w:hAnsi="宋体" w:eastAsia="宋体" w:cs="宋体"/>
                <w:b/>
                <w:bCs/>
                <w:color w:val="000000"/>
              </w:rPr>
            </w:pPr>
            <w:r>
              <w:rPr>
                <w:rFonts w:hint="eastAsia" w:ascii="宋体" w:hAnsi="宋体" w:eastAsia="宋体" w:cs="宋体"/>
                <w:b/>
                <w:bCs/>
                <w:color w:val="000000"/>
              </w:rPr>
              <w:t>股份性质</w:t>
            </w:r>
          </w:p>
        </w:tc>
        <w:tc>
          <w:tcPr>
            <w:tcW w:w="288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本次回购前</w:t>
            </w:r>
          </w:p>
        </w:tc>
        <w:tc>
          <w:tcPr>
            <w:tcW w:w="298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本次回购后</w:t>
            </w:r>
          </w:p>
        </w:tc>
      </w:tr>
      <w:tr>
        <w:tblPrEx>
          <w:tblCellMar>
            <w:top w:w="0" w:type="dxa"/>
            <w:left w:w="108" w:type="dxa"/>
            <w:bottom w:w="0" w:type="dxa"/>
            <w:right w:w="108" w:type="dxa"/>
          </w:tblCellMar>
        </w:tblPrEx>
        <w:trPr>
          <w:trHeight w:val="400" w:hRule="atLeast"/>
          <w:jc w:val="center"/>
        </w:trPr>
        <w:tc>
          <w:tcPr>
            <w:tcW w:w="246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rPr>
            </w:pPr>
          </w:p>
        </w:tc>
        <w:tc>
          <w:tcPr>
            <w:tcW w:w="1587" w:type="dxa"/>
            <w:tcBorders>
              <w:top w:val="nil"/>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数量（股）</w:t>
            </w:r>
          </w:p>
        </w:tc>
        <w:tc>
          <w:tcPr>
            <w:tcW w:w="1296" w:type="dxa"/>
            <w:tcBorders>
              <w:top w:val="nil"/>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比例</w:t>
            </w:r>
          </w:p>
        </w:tc>
        <w:tc>
          <w:tcPr>
            <w:tcW w:w="1747" w:type="dxa"/>
            <w:tcBorders>
              <w:top w:val="nil"/>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数量（股）</w:t>
            </w:r>
          </w:p>
        </w:tc>
        <w:tc>
          <w:tcPr>
            <w:tcW w:w="1238" w:type="dxa"/>
            <w:tcBorders>
              <w:top w:val="nil"/>
              <w:left w:val="nil"/>
              <w:bottom w:val="single" w:color="auto" w:sz="4" w:space="0"/>
              <w:right w:val="single" w:color="auto" w:sz="4" w:space="0"/>
            </w:tcBorders>
            <w:noWrap/>
            <w:vAlign w:val="center"/>
          </w:tcPr>
          <w:p>
            <w:pPr>
              <w:jc w:val="center"/>
              <w:rPr>
                <w:rFonts w:ascii="宋体" w:hAnsi="宋体" w:eastAsia="宋体" w:cs="宋体"/>
                <w:b/>
                <w:bCs/>
                <w:color w:val="000000"/>
              </w:rPr>
            </w:pPr>
            <w:r>
              <w:rPr>
                <w:rFonts w:hint="eastAsia" w:ascii="宋体" w:hAnsi="宋体" w:eastAsia="宋体" w:cs="宋体"/>
                <w:b/>
                <w:bCs/>
                <w:color w:val="000000"/>
              </w:rPr>
              <w:t>比例</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宋体" w:hAnsi="宋体" w:eastAsia="宋体" w:cs="宋体"/>
                <w:color w:val="000000"/>
              </w:rPr>
            </w:pPr>
            <w:r>
              <w:rPr>
                <w:rFonts w:hint="eastAsia" w:ascii="宋体" w:hAnsi="宋体" w:eastAsia="宋体" w:cs="宋体"/>
                <w:color w:val="000000"/>
              </w:rPr>
              <w:t>限售条件流通股</w:t>
            </w:r>
          </w:p>
        </w:tc>
        <w:tc>
          <w:tcPr>
            <w:tcW w:w="158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100,848,464</w:t>
            </w:r>
          </w:p>
        </w:tc>
        <w:tc>
          <w:tcPr>
            <w:tcW w:w="1296"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45.94%</w:t>
            </w:r>
          </w:p>
        </w:tc>
        <w:tc>
          <w:tcPr>
            <w:tcW w:w="174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102,783,947</w:t>
            </w:r>
          </w:p>
        </w:tc>
        <w:tc>
          <w:tcPr>
            <w:tcW w:w="1238"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46.82%</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宋体" w:hAnsi="宋体" w:eastAsia="宋体" w:cs="宋体"/>
                <w:color w:val="000000"/>
              </w:rPr>
            </w:pPr>
            <w:r>
              <w:rPr>
                <w:rFonts w:hint="eastAsia" w:ascii="宋体" w:hAnsi="宋体" w:eastAsia="宋体" w:cs="宋体"/>
                <w:color w:val="000000"/>
              </w:rPr>
              <w:t>无限售条件流通股</w:t>
            </w:r>
          </w:p>
        </w:tc>
        <w:tc>
          <w:tcPr>
            <w:tcW w:w="158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118,691,828</w:t>
            </w:r>
          </w:p>
        </w:tc>
        <w:tc>
          <w:tcPr>
            <w:tcW w:w="1296"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54.06%</w:t>
            </w:r>
          </w:p>
        </w:tc>
        <w:tc>
          <w:tcPr>
            <w:tcW w:w="174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116,756,345</w:t>
            </w:r>
          </w:p>
        </w:tc>
        <w:tc>
          <w:tcPr>
            <w:tcW w:w="1238"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53.18%</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宋体" w:hAnsi="宋体" w:eastAsia="宋体" w:cs="宋体"/>
                <w:color w:val="000000"/>
              </w:rPr>
            </w:pPr>
            <w:r>
              <w:rPr>
                <w:rFonts w:hint="eastAsia" w:ascii="宋体" w:hAnsi="宋体" w:eastAsia="宋体" w:cs="宋体"/>
                <w:color w:val="000000"/>
              </w:rPr>
              <w:t>合计</w:t>
            </w:r>
          </w:p>
        </w:tc>
        <w:tc>
          <w:tcPr>
            <w:tcW w:w="158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219,540,292</w:t>
            </w:r>
          </w:p>
        </w:tc>
        <w:tc>
          <w:tcPr>
            <w:tcW w:w="1296"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color w:val="000000"/>
              </w:rPr>
            </w:pPr>
            <w:r>
              <w:rPr>
                <w:rFonts w:hint="eastAsia" w:ascii="宋体" w:hAnsi="宋体" w:eastAsia="宋体" w:cs="宋体"/>
                <w:color w:val="000000"/>
              </w:rPr>
              <w:t>100.00%</w:t>
            </w:r>
          </w:p>
        </w:tc>
        <w:tc>
          <w:tcPr>
            <w:tcW w:w="1747"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219,540,292</w:t>
            </w:r>
          </w:p>
        </w:tc>
        <w:tc>
          <w:tcPr>
            <w:tcW w:w="1238" w:type="dxa"/>
            <w:tcBorders>
              <w:top w:val="nil"/>
              <w:left w:val="nil"/>
              <w:bottom w:val="single" w:color="auto" w:sz="4" w:space="0"/>
              <w:right w:val="single" w:color="auto" w:sz="4" w:space="0"/>
            </w:tcBorders>
            <w:noWrap/>
            <w:vAlign w:val="center"/>
          </w:tcPr>
          <w:p>
            <w:pPr>
              <w:jc w:val="right"/>
              <w:textAlignment w:val="center"/>
              <w:rPr>
                <w:rFonts w:ascii="宋体" w:hAnsi="宋体" w:eastAsia="宋体" w:cs="宋体"/>
              </w:rPr>
            </w:pPr>
            <w:r>
              <w:rPr>
                <w:rFonts w:hint="eastAsia" w:ascii="宋体" w:hAnsi="宋体" w:eastAsia="宋体" w:cs="宋体"/>
                <w:color w:val="000000"/>
              </w:rPr>
              <w:t>100.00%</w:t>
            </w:r>
          </w:p>
        </w:tc>
      </w:tr>
    </w:tbl>
    <w:p>
      <w:pPr>
        <w:widowControl w:val="0"/>
        <w:spacing w:before="180" w:beforeLines="50"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（八）管理层关于本次回购股份对公司经营、财务、研发、债务履行能力、未来发展影响和维持上市地位等情况的分析，全体董事关于本次回购股份不会损害公司的债务履行能力和持续经营能力的承诺</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截至2023年6月30日，公司总资产为99,670.87万元，归属于公司股东的所有者股东权益74,885.22万元，流动资产68,613.00万元。按照回购资金总额上限6,000.00万元测算，回购资金占公司总资产、归属于公司股东的所有者权益、流动资产的比例分别为6.02%、8.01%、8.74%。结合公司经营、财务、研发、债务履行能力及未来发展情况，公司管理层认为本次回购不会对公司的经营、财务、研发、债务履行能力及未来发展产生重大不利影响。</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本次回购实施完成后公司控股股东仍为范庆伟，不会导致公司控制权发生变化，也不会改变公司的上市公司地位，股权分布情况符合上市公司的条件。</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公司全体董事承诺：本次回购不会损害公司的债务履行能力和持续经营能力。</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九）公司董监高，控股股东、实际控制人及其一致行动人在董事会作出回购股份决议前六个月内买卖本公司股份的情况，是否存在单独或者与他人联合进行内幕交易及操纵市场行为的说明，回购期间的增减持计划</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公司董事、监事、高级管理人员，控股股东、实际控制人及其一致行动人在董事会作出回购股份决议前六个月内不存在买卖本公司股份的行为，也不存在单独或者与他人联合进行内幕交易及市场操纵的行为。</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公司前高级管理人员杨杰先生于2023年6月离职。杨杰先生持有公司2021年限制性股票激励计划授予股份8.0万股，公司将根据相关规定对其持有的限制性股票激励计划授予股份予以回购注销。除此之外，公司董事、监事、高级管理人员，控股股东、实际控制人及其一致行动人在回购期间暂无增减持计划。若未来实施股份增减持计划，将按相关规定及时履行信息披露义务。</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（十）持股5%以上股东及其一致行动人未来六个月的减持计划</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根据目前反馈，公司持股5%以上股东未来六个月内暂无减持公司股票的计划。若未来实施股份减持计划，将按相关规定及时履行信息披露义务。</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（十一）回购股份后依法注销或转让的相关安排，以及防范侵害债权人利益的相关安排</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次回购的股份将用于实施员工持股计划或者股权激励计划。董事会将根据实际情况择机开展相关事宜。公司如未能在股份回购完成之后三十六个月内按前述用途完成转让，就该等未使用股份部分公司将履行相关程序予以注销。</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本次回购股份不会影响公司的正常持续经营，不会导致公司发生资不抵债的情况，若发生公司注销所回购股份的情形，将依照《公司法》等有关规定通知债权人，充分保障债权人的合法权益。</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（十二）办理本次回购股份事宜的具体授权</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为保证本次回购事项顺利实施，公司董事会授权公司管理层或其授权人士全权办理回购股份相关事宜，包括但不限于：</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1、在法律、法规允许的范围内，根据公司和市场的具体情况，制定本次回购股份的具体方案；</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2、根据有关规定择机回购公司股份，包括回购股份的具体时间、价格、数量、用途等；</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3、制作、修改、补充、签署、递交、呈报、执行本次回购股份过程中发生的一切协议、合同和文件，并进行相关申报；</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4、如监管部门对于回购股份的相关条件发生变化或市场条件发生变化，除涉及有关法律、法规及公司《章程》规定须由董事会重新审议的事项外，对本次回购股份的具体方案等相关事项进行相应调整；</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5、设立回购专用证券账户及办理其他相关事务；</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6、其他以上虽未列明但为本次回购股份所必须的事项。</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本授权自董事会审议通过之日起至上述授权事项办理完毕之日止。</w:t>
      </w:r>
    </w:p>
    <w:p>
      <w:pPr>
        <w:widowControl w:val="0"/>
        <w:spacing w:line="360" w:lineRule="auto"/>
        <w:ind w:firstLine="482" w:firstLineChars="200"/>
        <w:jc w:val="both"/>
        <w:rPr>
          <w:rFonts w:ascii="宋体" w:hAnsi="宋体" w:eastAsia="宋体" w:cs="宋体"/>
          <w:b/>
          <w:kern w:val="2"/>
          <w:sz w:val="24"/>
          <w:szCs w:val="24"/>
        </w:rPr>
      </w:pPr>
      <w:r>
        <w:rPr>
          <w:rFonts w:hint="eastAsia" w:ascii="宋体" w:hAnsi="宋体" w:eastAsia="宋体" w:cs="宋体"/>
          <w:b/>
          <w:kern w:val="2"/>
          <w:sz w:val="24"/>
          <w:szCs w:val="24"/>
        </w:rPr>
        <w:t>二、回购股份方案的审议程序</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1、董事会审议情况</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公司于2023年10月18日召开的第四届董事会第二十六次会议，审议通过了《关于公司回购股份的方案》。根据公司《章程》第二十三条规定，公司因将股份用于员工持股计划或者股权激励等情形收购本公司股份的，由公司三分之二以上董事出席的董事会会议决议，本次回购股份方案无需提交公司股东大会审议。</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2、公司独立董事已就该事项发表了如下独立意见：</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公司本次回购股份符合《中华人民共和国公司法》《中华人民共和国证券法》《上市公司股份回购规则》《关于支持上市公司回购股份的意见》《深圳证券交易所上市公司自律监管指引第9号—回购股份》及公司《章程》等相关规定，董事会会议表决程序符合相关法律、法规和公司《章程》的有关规定。</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公司目前业务发展稳定，经营状况良好，基于对公司未来发展的信心及公司价值的认可，公司本次回购公司股份方案的实施将有利于增强公司股票的投资价值，维护全体股东利益，同时有助于公司稳定、健康、可持续发展。</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（3）公司本次回购不会对公司的经营、财务、研发和未来发展产生重大影响，不会影响公司的上市地位，本次回购方案具备合理性和可行性。</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综上，独立董事一致认为公司本次回购股份合法、合规，符合公司和全体股东的利益，不存在损害公司及全体股东，特别是中小股东利益的情形，独立董事一致同意公司本次回购股份方案。</w:t>
      </w:r>
    </w:p>
    <w:p>
      <w:pPr>
        <w:pStyle w:val="19"/>
        <w:spacing w:line="480" w:lineRule="auto"/>
        <w:ind w:firstLine="482" w:firstLineChars="200"/>
        <w:rPr>
          <w:rFonts w:ascii="宋体" w:hAnsi="宋体" w:cs="宋体"/>
          <w:b/>
          <w:bCs/>
          <w:sz w:val="24"/>
          <w:szCs w:val="24"/>
        </w:rPr>
      </w:pPr>
      <w:r>
        <w:rPr>
          <w:rFonts w:hint="eastAsia" w:ascii="宋体" w:hAnsi="宋体" w:cs="宋体"/>
          <w:b/>
          <w:bCs/>
          <w:sz w:val="24"/>
          <w:szCs w:val="24"/>
        </w:rPr>
        <w:t xml:space="preserve">三、披露前十名股东及前十名无限售条件股东持股情况 </w:t>
      </w:r>
    </w:p>
    <w:p>
      <w:pPr>
        <w:pStyle w:val="19"/>
        <w:spacing w:line="480" w:lineRule="auto"/>
        <w:ind w:firstLine="480" w:firstLineChars="200"/>
        <w:rPr>
          <w:rFonts w:hint="eastAsia" w:ascii="宋体" w:hAnsi="宋体" w:cs="宋体"/>
          <w:sz w:val="24"/>
          <w:szCs w:val="24"/>
        </w:rPr>
      </w:pPr>
      <w:r>
        <w:rPr>
          <w:rFonts w:hint="eastAsia" w:ascii="宋体" w:hAnsi="宋体" w:cs="宋体"/>
          <w:sz w:val="24"/>
          <w:szCs w:val="24"/>
        </w:rPr>
        <w:t>公司于2023年10月24日在《中国证券报》《证券时报》《证券日报》、巨潮资讯网上披露了《关于回购股份事项前十名股东及前十名无限售条件股东持股情况的公告》（公告编号：2023-101）。</w:t>
      </w:r>
    </w:p>
    <w:p>
      <w:pPr>
        <w:pStyle w:val="19"/>
        <w:spacing w:line="480" w:lineRule="auto"/>
        <w:ind w:firstLine="482" w:firstLineChars="200"/>
        <w:rPr>
          <w:rFonts w:ascii="宋体" w:hAnsi="宋体" w:cs="宋体"/>
          <w:b/>
          <w:bCs/>
          <w:sz w:val="24"/>
          <w:szCs w:val="24"/>
        </w:rPr>
      </w:pPr>
      <w:r>
        <w:rPr>
          <w:rFonts w:hint="eastAsia" w:ascii="宋体" w:hAnsi="宋体" w:cs="宋体"/>
          <w:b/>
          <w:bCs/>
          <w:sz w:val="24"/>
          <w:szCs w:val="24"/>
        </w:rPr>
        <w:t xml:space="preserve">四、回购专用证券账户的开立情况 </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根据相关法律、法规和规范性文件的规定，公司已在中国证券登记结算有限责任公</w:t>
      </w:r>
      <w:bookmarkStart w:id="0" w:name="_GoBack"/>
      <w:bookmarkEnd w:id="0"/>
      <w:r>
        <w:rPr>
          <w:rFonts w:hint="eastAsia" w:ascii="宋体" w:hAnsi="宋体" w:cs="宋体"/>
          <w:sz w:val="24"/>
          <w:szCs w:val="24"/>
        </w:rPr>
        <w:t xml:space="preserve">司深圳分公司开立了股份回购专用证券账户，账户名称：青岛伟隆阀门股份有限公司回购专用证券账户，该账户仅用于回购公司股份。 </w:t>
      </w:r>
    </w:p>
    <w:p>
      <w:pPr>
        <w:pStyle w:val="19"/>
        <w:spacing w:line="480" w:lineRule="auto"/>
        <w:ind w:firstLine="482" w:firstLineChars="200"/>
        <w:rPr>
          <w:rFonts w:ascii="宋体" w:hAnsi="宋体" w:cs="宋体"/>
          <w:b/>
          <w:bCs/>
          <w:sz w:val="24"/>
          <w:szCs w:val="24"/>
        </w:rPr>
      </w:pPr>
      <w:r>
        <w:rPr>
          <w:rFonts w:hint="eastAsia" w:ascii="宋体" w:hAnsi="宋体" w:cs="宋体"/>
          <w:b/>
          <w:bCs/>
          <w:sz w:val="24"/>
          <w:szCs w:val="24"/>
        </w:rPr>
        <w:t xml:space="preserve">五、回购期间的信息披露安排 </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根据相关法律法规和规范性文件的规定，回购期间，公司将在以下时间及时披露回购进展情况，并在定期报告中披露回购进展情况：</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1、在首次回购股份事实发生的次日予以披露；</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 xml:space="preserve">2、回购股份占上市公司总股本的比例每增加 1%的，将在该事实发生之日起三日内予以披露； </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 xml:space="preserve">3、每个月的前三个交易日内披露截至上月末的回购进展情况； </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 xml:space="preserve">4、公司如在回购股份方案规定的回购实施期限过半时，仍未实施回购的，董事会将公告未能实施回购的原因和后续回购安排； </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 xml:space="preserve">5、回购期限届满或者回购股份已实施完毕的，公司将停止回购行为，在两个交易日内披露回购结果暨股份变动公告。 </w:t>
      </w:r>
    </w:p>
    <w:p>
      <w:pPr>
        <w:pStyle w:val="19"/>
        <w:spacing w:line="480" w:lineRule="auto"/>
        <w:ind w:firstLine="482" w:firstLineChars="200"/>
        <w:rPr>
          <w:rFonts w:ascii="宋体" w:hAnsi="宋体" w:cs="宋体"/>
          <w:b/>
          <w:bCs/>
          <w:sz w:val="24"/>
          <w:szCs w:val="24"/>
        </w:rPr>
      </w:pPr>
      <w:r>
        <w:rPr>
          <w:rFonts w:hint="eastAsia" w:ascii="宋体" w:hAnsi="宋体" w:cs="宋体"/>
          <w:b/>
          <w:bCs/>
          <w:sz w:val="24"/>
          <w:szCs w:val="24"/>
        </w:rPr>
        <w:t>六、风险提示</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1、本次回购可能存在回购期限内公司股票价格持续超出回购价格上限，导致回购方案无法顺利实施或只能部分实施的风险；</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2、本次回购存在因对本公司股票交易价格产生重大影响的重大事项发生或公司董事会决定终止本回购方案等将导致本计划受到影响的事项发生而无法按计划实施的风险；</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3、若公司在实施回购股份期间，受外部环境变化、临时经营需要等因素影响，致使本次回购股份所需资金未能筹措到位，可能存在回购方案无法实施或者部分实施的风险；</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4、可能存在因员工持股计划或股权激励计划未能经公司董事会和股东大会等决策机构审议通过、员工持股计划或股权激励对象放弃认购等原因，导致已回购股份无法全部授出的风险。</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上述风险可能导致本次回购计划无法顺利实施，回购方案实施过程中出现前述风险情形的，公司将及时履行信息披露义务并说明拟采取的应对措施，敬请投资者注意投资风险。</w:t>
      </w:r>
    </w:p>
    <w:p>
      <w:pPr>
        <w:pStyle w:val="19"/>
        <w:spacing w:line="480" w:lineRule="auto"/>
        <w:ind w:firstLine="482" w:firstLineChars="200"/>
        <w:rPr>
          <w:rFonts w:ascii="宋体" w:hAnsi="宋体" w:cs="宋体"/>
          <w:b/>
          <w:bCs/>
          <w:sz w:val="24"/>
          <w:szCs w:val="24"/>
        </w:rPr>
      </w:pPr>
      <w:r>
        <w:rPr>
          <w:rFonts w:hint="eastAsia" w:ascii="宋体" w:hAnsi="宋体" w:cs="宋体"/>
          <w:b/>
          <w:bCs/>
          <w:sz w:val="24"/>
          <w:szCs w:val="24"/>
        </w:rPr>
        <w:t>七、备查文件</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1、第四届董事会第二十六次会议决议；</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2、独立董事关于第四届董事会第二十六次会议相关事项的独立意见；</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3、深圳证券交易所要求的其他文件。</w:t>
      </w:r>
    </w:p>
    <w:p>
      <w:pPr>
        <w:pStyle w:val="19"/>
        <w:spacing w:line="480" w:lineRule="auto"/>
        <w:ind w:firstLine="480" w:firstLineChars="200"/>
        <w:rPr>
          <w:rFonts w:ascii="宋体" w:hAnsi="宋体" w:cs="宋体"/>
          <w:sz w:val="24"/>
          <w:szCs w:val="24"/>
        </w:rPr>
      </w:pPr>
      <w:r>
        <w:rPr>
          <w:rFonts w:hint="eastAsia" w:ascii="宋体" w:hAnsi="宋体" w:cs="宋体"/>
          <w:sz w:val="24"/>
          <w:szCs w:val="24"/>
        </w:rPr>
        <w:t>特此公告。</w:t>
      </w:r>
    </w:p>
    <w:p>
      <w:pPr>
        <w:pStyle w:val="19"/>
        <w:spacing w:line="276" w:lineRule="auto"/>
        <w:ind w:firstLine="480" w:firstLineChars="200"/>
        <w:jc w:val="right"/>
        <w:rPr>
          <w:rFonts w:ascii="宋体" w:hAnsi="宋体" w:cs="宋体"/>
          <w:sz w:val="24"/>
          <w:szCs w:val="24"/>
        </w:rPr>
      </w:pPr>
      <w:r>
        <w:rPr>
          <w:rFonts w:hint="eastAsia" w:ascii="宋体" w:hAnsi="宋体" w:cs="宋体"/>
          <w:sz w:val="24"/>
          <w:szCs w:val="24"/>
        </w:rPr>
        <w:t>青岛伟隆阀门股份有限公司</w:t>
      </w:r>
    </w:p>
    <w:p>
      <w:pPr>
        <w:pStyle w:val="19"/>
        <w:wordWrap w:val="0"/>
        <w:spacing w:line="276" w:lineRule="auto"/>
        <w:ind w:firstLine="480" w:firstLineChars="200"/>
        <w:jc w:val="right"/>
        <w:rPr>
          <w:rFonts w:ascii="宋体" w:hAnsi="宋体" w:cs="宋体"/>
          <w:sz w:val="24"/>
          <w:szCs w:val="24"/>
        </w:rPr>
      </w:pPr>
      <w:r>
        <w:rPr>
          <w:rFonts w:hint="eastAsia" w:ascii="宋体" w:hAnsi="宋体" w:cs="宋体"/>
          <w:sz w:val="24"/>
          <w:szCs w:val="24"/>
        </w:rPr>
        <w:t xml:space="preserve">董事会  </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p>
    <w:p>
      <w:pPr>
        <w:pStyle w:val="19"/>
        <w:wordWrap w:val="0"/>
        <w:spacing w:line="276" w:lineRule="auto"/>
        <w:ind w:firstLine="480" w:firstLineChars="200"/>
        <w:jc w:val="right"/>
        <w:rPr>
          <w:rFonts w:ascii="宋体" w:hAnsi="宋体" w:cs="宋体"/>
          <w:sz w:val="24"/>
          <w:szCs w:val="24"/>
        </w:rPr>
      </w:pPr>
      <w:r>
        <w:rPr>
          <w:rFonts w:hint="eastAsia" w:ascii="宋体" w:hAnsi="宋体" w:cs="宋体"/>
          <w:sz w:val="24"/>
          <w:szCs w:val="24"/>
        </w:rPr>
        <w:t>2023年10月2</w:t>
      </w:r>
      <w:r>
        <w:rPr>
          <w:rFonts w:ascii="宋体" w:hAnsi="宋体" w:cs="宋体"/>
          <w:sz w:val="24"/>
          <w:szCs w:val="24"/>
        </w:rPr>
        <w:t>4</w:t>
      </w:r>
      <w:r>
        <w:rPr>
          <w:rFonts w:hint="eastAsia" w:ascii="宋体" w:hAnsi="宋体" w:cs="宋体"/>
          <w:sz w:val="24"/>
          <w:szCs w:val="24"/>
        </w:rPr>
        <w:t xml:space="preserve">日  </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iYWIwNzkzYTg0MzhhYmIxYTgwNmNhNDYxODQzNjMifQ=="/>
  </w:docVars>
  <w:rsids>
    <w:rsidRoot w:val="00D31D50"/>
    <w:rsid w:val="000012DF"/>
    <w:rsid w:val="0001374E"/>
    <w:rsid w:val="00023001"/>
    <w:rsid w:val="00024841"/>
    <w:rsid w:val="00030346"/>
    <w:rsid w:val="000325AD"/>
    <w:rsid w:val="000345B8"/>
    <w:rsid w:val="00056785"/>
    <w:rsid w:val="0006570E"/>
    <w:rsid w:val="000855A3"/>
    <w:rsid w:val="000A66E4"/>
    <w:rsid w:val="000B4C07"/>
    <w:rsid w:val="000C0F29"/>
    <w:rsid w:val="000C4934"/>
    <w:rsid w:val="000C49C0"/>
    <w:rsid w:val="000D23EF"/>
    <w:rsid w:val="000D42E7"/>
    <w:rsid w:val="000E492D"/>
    <w:rsid w:val="000E684E"/>
    <w:rsid w:val="000F1BBE"/>
    <w:rsid w:val="0010106E"/>
    <w:rsid w:val="00102917"/>
    <w:rsid w:val="00104204"/>
    <w:rsid w:val="00106CDB"/>
    <w:rsid w:val="0011719B"/>
    <w:rsid w:val="00142710"/>
    <w:rsid w:val="0015634D"/>
    <w:rsid w:val="00162169"/>
    <w:rsid w:val="00187683"/>
    <w:rsid w:val="0018787F"/>
    <w:rsid w:val="001A751A"/>
    <w:rsid w:val="001B6E10"/>
    <w:rsid w:val="001D323B"/>
    <w:rsid w:val="001E339B"/>
    <w:rsid w:val="001E3C94"/>
    <w:rsid w:val="001F5862"/>
    <w:rsid w:val="00204F5D"/>
    <w:rsid w:val="002125BD"/>
    <w:rsid w:val="00221D16"/>
    <w:rsid w:val="00232046"/>
    <w:rsid w:val="00234CEA"/>
    <w:rsid w:val="002460EB"/>
    <w:rsid w:val="00253991"/>
    <w:rsid w:val="00260A97"/>
    <w:rsid w:val="002820AD"/>
    <w:rsid w:val="0028502F"/>
    <w:rsid w:val="002D450F"/>
    <w:rsid w:val="002F448C"/>
    <w:rsid w:val="00303D7E"/>
    <w:rsid w:val="00312E60"/>
    <w:rsid w:val="00315BEF"/>
    <w:rsid w:val="003211A6"/>
    <w:rsid w:val="00321C78"/>
    <w:rsid w:val="00323B43"/>
    <w:rsid w:val="003337F2"/>
    <w:rsid w:val="00334C1D"/>
    <w:rsid w:val="00342D94"/>
    <w:rsid w:val="003556A2"/>
    <w:rsid w:val="00356489"/>
    <w:rsid w:val="003621EA"/>
    <w:rsid w:val="00363F91"/>
    <w:rsid w:val="00374BE3"/>
    <w:rsid w:val="003917EB"/>
    <w:rsid w:val="003A7231"/>
    <w:rsid w:val="003D2CF5"/>
    <w:rsid w:val="003D3344"/>
    <w:rsid w:val="003D37D8"/>
    <w:rsid w:val="003D5916"/>
    <w:rsid w:val="003E0A95"/>
    <w:rsid w:val="003E1DD7"/>
    <w:rsid w:val="003F1512"/>
    <w:rsid w:val="004030F1"/>
    <w:rsid w:val="00404E78"/>
    <w:rsid w:val="004126A9"/>
    <w:rsid w:val="00423843"/>
    <w:rsid w:val="00426133"/>
    <w:rsid w:val="00426C7A"/>
    <w:rsid w:val="00430EA5"/>
    <w:rsid w:val="004358AB"/>
    <w:rsid w:val="00436CDD"/>
    <w:rsid w:val="00454800"/>
    <w:rsid w:val="00455AE8"/>
    <w:rsid w:val="00464B44"/>
    <w:rsid w:val="004750C5"/>
    <w:rsid w:val="00481707"/>
    <w:rsid w:val="00482ABF"/>
    <w:rsid w:val="004C1D4C"/>
    <w:rsid w:val="004C2B00"/>
    <w:rsid w:val="004D2B38"/>
    <w:rsid w:val="004D6E5B"/>
    <w:rsid w:val="004E2969"/>
    <w:rsid w:val="004E7ECC"/>
    <w:rsid w:val="004F6F79"/>
    <w:rsid w:val="005226AA"/>
    <w:rsid w:val="00530C86"/>
    <w:rsid w:val="0053243B"/>
    <w:rsid w:val="0053620F"/>
    <w:rsid w:val="00541EE3"/>
    <w:rsid w:val="005503AF"/>
    <w:rsid w:val="00553D55"/>
    <w:rsid w:val="0056082C"/>
    <w:rsid w:val="00576580"/>
    <w:rsid w:val="00577E4F"/>
    <w:rsid w:val="0058033D"/>
    <w:rsid w:val="00582C72"/>
    <w:rsid w:val="00584226"/>
    <w:rsid w:val="0058453E"/>
    <w:rsid w:val="005924B6"/>
    <w:rsid w:val="005B10A7"/>
    <w:rsid w:val="005B7387"/>
    <w:rsid w:val="005D1FD2"/>
    <w:rsid w:val="005E5324"/>
    <w:rsid w:val="005F43F8"/>
    <w:rsid w:val="006142EA"/>
    <w:rsid w:val="00634BDC"/>
    <w:rsid w:val="00642D42"/>
    <w:rsid w:val="00644029"/>
    <w:rsid w:val="006467C7"/>
    <w:rsid w:val="00651C3A"/>
    <w:rsid w:val="006872CA"/>
    <w:rsid w:val="006D35A1"/>
    <w:rsid w:val="006D56F5"/>
    <w:rsid w:val="006E1D66"/>
    <w:rsid w:val="006E6341"/>
    <w:rsid w:val="006F0EB7"/>
    <w:rsid w:val="006F5D50"/>
    <w:rsid w:val="007263C6"/>
    <w:rsid w:val="007302D5"/>
    <w:rsid w:val="00730DAF"/>
    <w:rsid w:val="007351AF"/>
    <w:rsid w:val="00744EC2"/>
    <w:rsid w:val="00746EDE"/>
    <w:rsid w:val="00747AEB"/>
    <w:rsid w:val="00762BC5"/>
    <w:rsid w:val="00762D1D"/>
    <w:rsid w:val="00776991"/>
    <w:rsid w:val="00786135"/>
    <w:rsid w:val="007A0946"/>
    <w:rsid w:val="007D1EC4"/>
    <w:rsid w:val="007F0E0D"/>
    <w:rsid w:val="007F5D2E"/>
    <w:rsid w:val="008031EF"/>
    <w:rsid w:val="00827F74"/>
    <w:rsid w:val="008357EB"/>
    <w:rsid w:val="00866A39"/>
    <w:rsid w:val="00866CF2"/>
    <w:rsid w:val="0088651E"/>
    <w:rsid w:val="008A340D"/>
    <w:rsid w:val="008A60E2"/>
    <w:rsid w:val="008B0E21"/>
    <w:rsid w:val="008B58EF"/>
    <w:rsid w:val="008B61FE"/>
    <w:rsid w:val="008B7726"/>
    <w:rsid w:val="008C2F8C"/>
    <w:rsid w:val="008C78A1"/>
    <w:rsid w:val="008C79A8"/>
    <w:rsid w:val="008E00ED"/>
    <w:rsid w:val="008E0AB1"/>
    <w:rsid w:val="008F613E"/>
    <w:rsid w:val="00916495"/>
    <w:rsid w:val="00923BAD"/>
    <w:rsid w:val="009244E4"/>
    <w:rsid w:val="009246F2"/>
    <w:rsid w:val="00927045"/>
    <w:rsid w:val="0093485E"/>
    <w:rsid w:val="00946843"/>
    <w:rsid w:val="00946976"/>
    <w:rsid w:val="00950516"/>
    <w:rsid w:val="00954596"/>
    <w:rsid w:val="00960D47"/>
    <w:rsid w:val="00967E84"/>
    <w:rsid w:val="00970759"/>
    <w:rsid w:val="00974FBF"/>
    <w:rsid w:val="00981FEC"/>
    <w:rsid w:val="00990CE5"/>
    <w:rsid w:val="00995529"/>
    <w:rsid w:val="00995645"/>
    <w:rsid w:val="009A3659"/>
    <w:rsid w:val="009C4BE0"/>
    <w:rsid w:val="009C56F2"/>
    <w:rsid w:val="009C72B4"/>
    <w:rsid w:val="009D5B81"/>
    <w:rsid w:val="009E1445"/>
    <w:rsid w:val="009F3BF2"/>
    <w:rsid w:val="009F6037"/>
    <w:rsid w:val="00A03393"/>
    <w:rsid w:val="00A11C68"/>
    <w:rsid w:val="00A15BA9"/>
    <w:rsid w:val="00A21D12"/>
    <w:rsid w:val="00A2692C"/>
    <w:rsid w:val="00A31156"/>
    <w:rsid w:val="00A343C3"/>
    <w:rsid w:val="00A37E55"/>
    <w:rsid w:val="00A41B01"/>
    <w:rsid w:val="00A47C8E"/>
    <w:rsid w:val="00A64A60"/>
    <w:rsid w:val="00A835C8"/>
    <w:rsid w:val="00A85E16"/>
    <w:rsid w:val="00A930C3"/>
    <w:rsid w:val="00A97FB0"/>
    <w:rsid w:val="00AA2C25"/>
    <w:rsid w:val="00AA4888"/>
    <w:rsid w:val="00AB3530"/>
    <w:rsid w:val="00AF083B"/>
    <w:rsid w:val="00B02433"/>
    <w:rsid w:val="00B049BB"/>
    <w:rsid w:val="00B1332F"/>
    <w:rsid w:val="00B338B6"/>
    <w:rsid w:val="00B44468"/>
    <w:rsid w:val="00B45EEF"/>
    <w:rsid w:val="00B73752"/>
    <w:rsid w:val="00B902B6"/>
    <w:rsid w:val="00B9199B"/>
    <w:rsid w:val="00BA1855"/>
    <w:rsid w:val="00BA2546"/>
    <w:rsid w:val="00BB7F4A"/>
    <w:rsid w:val="00BC2A73"/>
    <w:rsid w:val="00BC5DFF"/>
    <w:rsid w:val="00C12B04"/>
    <w:rsid w:val="00C24664"/>
    <w:rsid w:val="00C2752F"/>
    <w:rsid w:val="00C27A98"/>
    <w:rsid w:val="00C35CB2"/>
    <w:rsid w:val="00C43614"/>
    <w:rsid w:val="00C43B77"/>
    <w:rsid w:val="00C5033A"/>
    <w:rsid w:val="00C559F6"/>
    <w:rsid w:val="00C81320"/>
    <w:rsid w:val="00C85029"/>
    <w:rsid w:val="00C90853"/>
    <w:rsid w:val="00CA2BEA"/>
    <w:rsid w:val="00CA4CC1"/>
    <w:rsid w:val="00CB41F4"/>
    <w:rsid w:val="00CC0FBE"/>
    <w:rsid w:val="00CC3BEA"/>
    <w:rsid w:val="00D0182D"/>
    <w:rsid w:val="00D01BD4"/>
    <w:rsid w:val="00D03DB3"/>
    <w:rsid w:val="00D133C9"/>
    <w:rsid w:val="00D15FA0"/>
    <w:rsid w:val="00D178DF"/>
    <w:rsid w:val="00D26EED"/>
    <w:rsid w:val="00D300CD"/>
    <w:rsid w:val="00D31D50"/>
    <w:rsid w:val="00D378A5"/>
    <w:rsid w:val="00D52EEE"/>
    <w:rsid w:val="00D601A0"/>
    <w:rsid w:val="00D63768"/>
    <w:rsid w:val="00D92D23"/>
    <w:rsid w:val="00DA2CF5"/>
    <w:rsid w:val="00DA5F11"/>
    <w:rsid w:val="00DA7BF3"/>
    <w:rsid w:val="00DB17AF"/>
    <w:rsid w:val="00DB4832"/>
    <w:rsid w:val="00DD0EA8"/>
    <w:rsid w:val="00DD3B30"/>
    <w:rsid w:val="00E00692"/>
    <w:rsid w:val="00E07499"/>
    <w:rsid w:val="00E10E93"/>
    <w:rsid w:val="00E13394"/>
    <w:rsid w:val="00E346A8"/>
    <w:rsid w:val="00E40E95"/>
    <w:rsid w:val="00E47F96"/>
    <w:rsid w:val="00E64E7E"/>
    <w:rsid w:val="00E93014"/>
    <w:rsid w:val="00E9315B"/>
    <w:rsid w:val="00EC5BB1"/>
    <w:rsid w:val="00ED33F0"/>
    <w:rsid w:val="00ED6873"/>
    <w:rsid w:val="00F04D02"/>
    <w:rsid w:val="00F115F6"/>
    <w:rsid w:val="00F14C6D"/>
    <w:rsid w:val="00F211D2"/>
    <w:rsid w:val="00F22F58"/>
    <w:rsid w:val="00F23AB8"/>
    <w:rsid w:val="00F25DFA"/>
    <w:rsid w:val="00F302C9"/>
    <w:rsid w:val="00F324F3"/>
    <w:rsid w:val="00F370F4"/>
    <w:rsid w:val="00F6125A"/>
    <w:rsid w:val="00F714C0"/>
    <w:rsid w:val="00F75A91"/>
    <w:rsid w:val="00F91281"/>
    <w:rsid w:val="00F96CC4"/>
    <w:rsid w:val="00FB6086"/>
    <w:rsid w:val="00FC2256"/>
    <w:rsid w:val="00FE15AC"/>
    <w:rsid w:val="00FE44C3"/>
    <w:rsid w:val="00FE58A9"/>
    <w:rsid w:val="02B92C2A"/>
    <w:rsid w:val="03C171FE"/>
    <w:rsid w:val="05401140"/>
    <w:rsid w:val="067A041C"/>
    <w:rsid w:val="090A5B3A"/>
    <w:rsid w:val="097B2F52"/>
    <w:rsid w:val="115850FF"/>
    <w:rsid w:val="117D0F3C"/>
    <w:rsid w:val="143C6EAC"/>
    <w:rsid w:val="15FF583F"/>
    <w:rsid w:val="165F6ECF"/>
    <w:rsid w:val="199F14C5"/>
    <w:rsid w:val="1AB35855"/>
    <w:rsid w:val="1C525C32"/>
    <w:rsid w:val="1EFA6F89"/>
    <w:rsid w:val="2353050C"/>
    <w:rsid w:val="36825C41"/>
    <w:rsid w:val="38C918BB"/>
    <w:rsid w:val="3AF07DF4"/>
    <w:rsid w:val="425B69A2"/>
    <w:rsid w:val="47D01D82"/>
    <w:rsid w:val="4D9B0A67"/>
    <w:rsid w:val="53B50E60"/>
    <w:rsid w:val="551450DF"/>
    <w:rsid w:val="580B24B7"/>
    <w:rsid w:val="59BD18E3"/>
    <w:rsid w:val="5B80616B"/>
    <w:rsid w:val="5D7436D4"/>
    <w:rsid w:val="5DA60948"/>
    <w:rsid w:val="5EFE0AAF"/>
    <w:rsid w:val="62497B22"/>
    <w:rsid w:val="62835929"/>
    <w:rsid w:val="63DB0870"/>
    <w:rsid w:val="6A1C7D8C"/>
    <w:rsid w:val="74D60B65"/>
    <w:rsid w:val="7605621B"/>
    <w:rsid w:val="773E3F7D"/>
    <w:rsid w:val="7C9551A2"/>
    <w:rsid w:val="7E4A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style>
  <w:style w:type="paragraph" w:styleId="3">
    <w:name w:val="Balloon Text"/>
    <w:basedOn w:val="1"/>
    <w:link w:val="16"/>
    <w:semiHidden/>
    <w:unhideWhenUsed/>
    <w:qFormat/>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rFonts w:ascii="Tahoma" w:hAnsi="Tahoma"/>
      <w:sz w:val="18"/>
      <w:szCs w:val="18"/>
    </w:rPr>
  </w:style>
  <w:style w:type="character" w:customStyle="1" w:styleId="12">
    <w:name w:val="页脚 字符"/>
    <w:basedOn w:val="9"/>
    <w:link w:val="4"/>
    <w:qFormat/>
    <w:uiPriority w:val="99"/>
    <w:rPr>
      <w:rFonts w:ascii="Tahoma" w:hAnsi="Tahoma"/>
      <w:sz w:val="18"/>
      <w:szCs w:val="18"/>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4">
    <w:name w:val="批注文字 字符"/>
    <w:basedOn w:val="9"/>
    <w:link w:val="2"/>
    <w:semiHidden/>
    <w:qFormat/>
    <w:uiPriority w:val="99"/>
    <w:rPr>
      <w:rFonts w:ascii="Tahoma" w:hAnsi="Tahoma"/>
    </w:rPr>
  </w:style>
  <w:style w:type="character" w:customStyle="1" w:styleId="15">
    <w:name w:val="批注主题 字符"/>
    <w:basedOn w:val="14"/>
    <w:link w:val="6"/>
    <w:semiHidden/>
    <w:qFormat/>
    <w:uiPriority w:val="99"/>
    <w:rPr>
      <w:rFonts w:ascii="Tahoma" w:hAnsi="Tahoma"/>
      <w:b/>
      <w:bCs/>
    </w:rPr>
  </w:style>
  <w:style w:type="character" w:customStyle="1" w:styleId="16">
    <w:name w:val="批注框文本 字符"/>
    <w:basedOn w:val="9"/>
    <w:link w:val="3"/>
    <w:semiHidden/>
    <w:qFormat/>
    <w:uiPriority w:val="99"/>
    <w:rPr>
      <w:rFonts w:ascii="Tahoma" w:hAnsi="Tahoma"/>
      <w:sz w:val="18"/>
      <w:szCs w:val="18"/>
    </w:rPr>
  </w:style>
  <w:style w:type="character" w:customStyle="1" w:styleId="17">
    <w:name w:val="fontstyle01"/>
    <w:basedOn w:val="9"/>
    <w:qFormat/>
    <w:uiPriority w:val="0"/>
    <w:rPr>
      <w:rFonts w:hint="eastAsia" w:ascii="宋体" w:hAnsi="宋体" w:eastAsia="宋体"/>
      <w:color w:val="000000"/>
      <w:sz w:val="24"/>
      <w:szCs w:val="24"/>
    </w:rPr>
  </w:style>
  <w:style w:type="character" w:customStyle="1" w:styleId="18">
    <w:name w:val="fontstyle11"/>
    <w:basedOn w:val="9"/>
    <w:qFormat/>
    <w:uiPriority w:val="0"/>
    <w:rPr>
      <w:rFonts w:hint="default" w:ascii="Times New Roman" w:hAnsi="Times New Roman" w:cs="Times New Roman"/>
      <w:color w:val="000000"/>
      <w:sz w:val="24"/>
      <w:szCs w:val="24"/>
    </w:rPr>
  </w:style>
  <w:style w:type="paragraph" w:customStyle="1" w:styleId="19">
    <w:name w:val="p0"/>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20">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1DAE4D-7D0B-4E9B-AF14-43CFDC541D2F}">
  <ds:schemaRefs/>
</ds:datastoreItem>
</file>

<file path=docProps/app.xml><?xml version="1.0" encoding="utf-8"?>
<Properties xmlns="http://schemas.openxmlformats.org/officeDocument/2006/extended-properties" xmlns:vt="http://schemas.openxmlformats.org/officeDocument/2006/docPropsVTypes">
  <Template>Normal</Template>
  <Pages>10</Pages>
  <Words>1026</Words>
  <Characters>5849</Characters>
  <Lines>48</Lines>
  <Paragraphs>13</Paragraphs>
  <TotalTime>36</TotalTime>
  <ScaleCrop>false</ScaleCrop>
  <LinksUpToDate>false</LinksUpToDate>
  <CharactersWithSpaces>6862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2023-10-23T06:12:00Z</dcterms:created>
  <dc:creator>Administrator</dc:creator>
  <cp:lastModifiedBy>Mr.翔</cp:lastModifiedBy>
  <dcterms:modified xsi:type="dcterms:W3CDTF">2023-10-23T09:18:48Z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C6A186D6459D422196E10A4DCE2B3D7D</vt:lpwstr>
  </property>
</Properties>
</file>