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rPr>
          <w:rFonts w:asciiTheme="minorEastAsia" w:hAnsiTheme="minorEastAsia" w:eastAsiaTheme="minorEastAsia"/>
          <w:sz w:val="28"/>
        </w:rPr>
      </w:pPr>
      <w:r>
        <w:rPr>
          <w:rFonts w:hint="eastAsia" w:asciiTheme="minorEastAsia" w:hAnsiTheme="minorEastAsia" w:eastAsiaTheme="minorEastAsia"/>
          <w:sz w:val="28"/>
        </w:rPr>
        <w:t>青岛伟隆阀门股份有限公司</w:t>
      </w:r>
    </w:p>
    <w:p>
      <w:pPr>
        <w:pStyle w:val="7"/>
        <w:spacing w:before="0" w:after="0"/>
        <w:rPr>
          <w:rFonts w:asciiTheme="minorEastAsia" w:hAnsiTheme="minorEastAsia" w:eastAsiaTheme="minorEastAsia"/>
          <w:sz w:val="28"/>
        </w:rPr>
      </w:pPr>
      <w:r>
        <w:rPr>
          <w:rFonts w:hint="eastAsia" w:asciiTheme="minorEastAsia" w:hAnsiTheme="minorEastAsia" w:eastAsiaTheme="minorEastAsia"/>
          <w:sz w:val="28"/>
        </w:rPr>
        <w:t>独立董事关于第四届董事会第二十六次会议</w:t>
      </w:r>
    </w:p>
    <w:p>
      <w:pPr>
        <w:pStyle w:val="7"/>
        <w:spacing w:before="0" w:after="312" w:afterLines="100"/>
        <w:rPr>
          <w:rFonts w:asciiTheme="minorEastAsia" w:hAnsiTheme="minorEastAsia" w:eastAsiaTheme="minorEastAsia"/>
          <w:sz w:val="28"/>
        </w:rPr>
      </w:pPr>
      <w:r>
        <w:rPr>
          <w:rFonts w:hint="eastAsia" w:asciiTheme="minorEastAsia" w:hAnsiTheme="minorEastAsia" w:eastAsiaTheme="minorEastAsia"/>
          <w:sz w:val="28"/>
        </w:rPr>
        <w:t>相关事项的独立意见</w:t>
      </w:r>
    </w:p>
    <w:p>
      <w:pPr>
        <w:spacing w:line="360" w:lineRule="auto"/>
        <w:rPr>
          <w:rFonts w:asciiTheme="minorEastAsia" w:hAnsiTheme="minorEastAsia"/>
          <w:b/>
          <w:sz w:val="24"/>
          <w:szCs w:val="24"/>
        </w:rPr>
      </w:pPr>
      <w:r>
        <w:rPr>
          <w:rFonts w:hint="eastAsia" w:asciiTheme="minorEastAsia" w:hAnsiTheme="minorEastAsia"/>
          <w:b/>
          <w:sz w:val="24"/>
          <w:szCs w:val="24"/>
        </w:rPr>
        <w:t>青岛伟隆阀门股份有限公司：</w:t>
      </w:r>
    </w:p>
    <w:p>
      <w:pPr>
        <w:spacing w:before="156" w:beforeLines="50" w:after="156" w:afterLines="50"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根据《中华人民共和国公司法》《上市公司独立董事管理办法》《深圳证券交易</w:t>
      </w:r>
      <w:r>
        <w:rPr>
          <w:rFonts w:asciiTheme="majorEastAsia" w:hAnsiTheme="majorEastAsia" w:eastAsiaTheme="majorEastAsia"/>
          <w:sz w:val="24"/>
          <w:szCs w:val="24"/>
        </w:rPr>
        <w:t>所监管指引第</w:t>
      </w:r>
      <w:r>
        <w:rPr>
          <w:rFonts w:hint="eastAsia" w:asciiTheme="majorEastAsia" w:hAnsiTheme="majorEastAsia" w:eastAsiaTheme="majorEastAsia"/>
          <w:sz w:val="24"/>
          <w:szCs w:val="24"/>
        </w:rPr>
        <w:t>1</w:t>
      </w:r>
      <w:r>
        <w:rPr>
          <w:rFonts w:asciiTheme="majorEastAsia" w:hAnsiTheme="majorEastAsia" w:eastAsiaTheme="majorEastAsia"/>
          <w:sz w:val="24"/>
          <w:szCs w:val="24"/>
        </w:rPr>
        <w:t>号-主板上市公司规范运作》等法律、法规、规范性文件及《青岛伟隆阀门股份有限公司章程》《青岛伟隆阀门股份有限公司独立董事工作制度》等有关规定，我们作为青岛伟隆阀门股份有限公司（以下简称公司）第四届董事会的独立董事，就公司第四届</w:t>
      </w:r>
      <w:r>
        <w:rPr>
          <w:rFonts w:hint="eastAsia" w:asciiTheme="majorEastAsia" w:hAnsiTheme="majorEastAsia" w:eastAsiaTheme="majorEastAsia"/>
          <w:sz w:val="24"/>
          <w:szCs w:val="24"/>
        </w:rPr>
        <w:t>董事会第二十六次</w:t>
      </w:r>
      <w:r>
        <w:rPr>
          <w:rFonts w:asciiTheme="majorEastAsia" w:hAnsiTheme="majorEastAsia" w:eastAsiaTheme="majorEastAsia"/>
          <w:sz w:val="24"/>
          <w:szCs w:val="24"/>
        </w:rPr>
        <w:t>会议审议的相关事项发表如下独立意见：</w:t>
      </w:r>
    </w:p>
    <w:p>
      <w:pPr>
        <w:spacing w:line="360" w:lineRule="auto"/>
        <w:ind w:firstLine="549" w:firstLineChars="228"/>
        <w:jc w:val="left"/>
        <w:rPr>
          <w:rFonts w:asciiTheme="minorEastAsia" w:hAnsiTheme="minorEastAsia"/>
          <w:b/>
          <w:sz w:val="24"/>
          <w:szCs w:val="24"/>
        </w:rPr>
      </w:pPr>
      <w:r>
        <w:rPr>
          <w:rFonts w:hint="eastAsia" w:asciiTheme="minorEastAsia" w:hAnsiTheme="minorEastAsia"/>
          <w:b/>
          <w:sz w:val="24"/>
          <w:szCs w:val="24"/>
        </w:rPr>
        <w:t>一、关于2021年限制性股票激励计划首次授予第二个解锁期解锁条件成就的核查意见和独立意见</w:t>
      </w:r>
    </w:p>
    <w:p>
      <w:pPr>
        <w:spacing w:before="156" w:beforeLines="50" w:after="156" w:afterLines="50"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我们对公司2021年限制性股票激励计划（草案修订稿）（以下简称“激励计划”）首次授予部分第二个解锁期解锁条件成就情况进行了核查，核查结果如下：</w:t>
      </w:r>
    </w:p>
    <w:p>
      <w:pPr>
        <w:spacing w:before="156" w:beforeLines="50" w:after="156" w:afterLines="5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1、公司符合《上市公司股权激励管理办法》等法律、法规以及《20</w:t>
      </w:r>
      <w:r>
        <w:rPr>
          <w:rFonts w:cs="宋体" w:asciiTheme="minorEastAsia" w:hAnsiTheme="minorEastAsia"/>
          <w:sz w:val="24"/>
          <w:szCs w:val="24"/>
        </w:rPr>
        <w:t>21</w:t>
      </w:r>
      <w:r>
        <w:rPr>
          <w:rFonts w:hint="eastAsia" w:cs="宋体" w:asciiTheme="minorEastAsia" w:hAnsiTheme="minorEastAsia"/>
          <w:sz w:val="24"/>
          <w:szCs w:val="24"/>
        </w:rPr>
        <w:t>年限制性股票激励计划（草案修订稿）》（以下简称“《激励计划》”）规定的实施股权激励计划的情形，公司具备实施股权激励计划的主体资格，未发生激励计划中规定的不得解除限售的情形。</w:t>
      </w:r>
    </w:p>
    <w:p>
      <w:pPr>
        <w:spacing w:before="156" w:beforeLines="50" w:after="156" w:afterLines="5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2、激励对象不存在最近 12 个月内被证券交易所公开谴责或宣布为不适当人员的情形、最近 12 个月内因重大违法违规行为被中国证监会予以行政处罚的情形、《公司法》规定的不得担任公司高级管理人员的情形、公司董事会认定的其他严重违反公司有关规定的情形，满足《激励计划》等规定的解除限售条件（包括但不限于考核条件等），其作为公司本次可解除限售的激励对象主体资格合法、有效。</w:t>
      </w:r>
    </w:p>
    <w:p>
      <w:pPr>
        <w:spacing w:before="156" w:beforeLines="50" w:after="156" w:afterLines="5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3、以2020年营业收入为基数，2022年度营业收入的增长率为56.75%，不低于15%；同时以2020年净利润为基数，2022年净利润增长率为130.81%，不低于10%；本期限售股份解锁比例为100%。</w:t>
      </w:r>
    </w:p>
    <w:p>
      <w:pPr>
        <w:spacing w:before="156" w:beforeLines="50" w:after="156" w:afterLines="5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4、公司依据《2021年限制性股票激励计划实施考核管理办法》等相关绩效考核办法对全体激励对象所属部门在考核年度内进行了工作绩效考核，公司董事会薪酬与考核委员会对该考核结果予以审核，确认202</w:t>
      </w:r>
      <w:r>
        <w:rPr>
          <w:rFonts w:cs="宋体" w:asciiTheme="minorEastAsia" w:hAnsiTheme="minorEastAsia"/>
          <w:sz w:val="24"/>
          <w:szCs w:val="24"/>
        </w:rPr>
        <w:t>2</w:t>
      </w:r>
      <w:r>
        <w:rPr>
          <w:rFonts w:hint="eastAsia" w:cs="宋体" w:asciiTheme="minorEastAsia" w:hAnsiTheme="minorEastAsia"/>
          <w:sz w:val="24"/>
          <w:szCs w:val="24"/>
        </w:rPr>
        <w:t>年度</w:t>
      </w:r>
      <w:r>
        <w:rPr>
          <w:rFonts w:hint="eastAsia" w:asciiTheme="minorEastAsia" w:hAnsiTheme="minorEastAsia"/>
          <w:sz w:val="24"/>
          <w:szCs w:val="23"/>
        </w:rPr>
        <w:t>本期除1名</w:t>
      </w:r>
      <w:bookmarkStart w:id="0" w:name="_Hlk147574572"/>
      <w:r>
        <w:rPr>
          <w:rFonts w:hint="eastAsia" w:asciiTheme="minorEastAsia" w:hAnsiTheme="minorEastAsia"/>
          <w:sz w:val="24"/>
          <w:szCs w:val="23"/>
        </w:rPr>
        <w:t>激励对象离职已不具备激励资格</w:t>
      </w:r>
      <w:bookmarkEnd w:id="0"/>
      <w:bookmarkStart w:id="1" w:name="_Hlk147838154"/>
      <w:r>
        <w:rPr>
          <w:rFonts w:hint="eastAsia" w:asciiTheme="minorEastAsia" w:hAnsiTheme="minorEastAsia"/>
          <w:sz w:val="24"/>
          <w:szCs w:val="23"/>
        </w:rPr>
        <w:t>，其所持有的未解禁部分股票全部由公司回购注销</w:t>
      </w:r>
      <w:bookmarkEnd w:id="1"/>
      <w:r>
        <w:rPr>
          <w:rFonts w:hint="eastAsia" w:asciiTheme="minorEastAsia" w:hAnsiTheme="minorEastAsia"/>
          <w:sz w:val="24"/>
          <w:szCs w:val="23"/>
        </w:rPr>
        <w:t>；1名激励对象绩效考核为不合格，不符合解锁条件；2名激励对象绩效考核为合格，可以申请解除当期80%限售股份；1名激励对象绩效考核为良好，可以申请解除当期90%限售股份</w:t>
      </w:r>
      <w:bookmarkStart w:id="2" w:name="_Hlk147838180"/>
      <w:r>
        <w:rPr>
          <w:rFonts w:hint="eastAsia" w:asciiTheme="minorEastAsia" w:hAnsiTheme="minorEastAsia"/>
          <w:sz w:val="24"/>
          <w:szCs w:val="23"/>
        </w:rPr>
        <w:t>，前述4名激励对象其所持有的本期未解禁部分股票全部由公司回购注销</w:t>
      </w:r>
      <w:bookmarkEnd w:id="2"/>
      <w:r>
        <w:rPr>
          <w:rFonts w:hint="eastAsia" w:asciiTheme="minorEastAsia" w:hAnsiTheme="minorEastAsia"/>
          <w:sz w:val="24"/>
          <w:szCs w:val="23"/>
        </w:rPr>
        <w:t>；其余</w:t>
      </w:r>
      <w:r>
        <w:rPr>
          <w:rFonts w:asciiTheme="minorEastAsia" w:hAnsiTheme="minorEastAsia"/>
          <w:sz w:val="24"/>
          <w:szCs w:val="23"/>
        </w:rPr>
        <w:t>7</w:t>
      </w:r>
      <w:r>
        <w:rPr>
          <w:rFonts w:hint="eastAsia" w:asciiTheme="minorEastAsia" w:hAnsiTheme="minorEastAsia"/>
          <w:sz w:val="24"/>
          <w:szCs w:val="23"/>
        </w:rPr>
        <w:t>2名激励对象绩效考核等级均为优秀，本期</w:t>
      </w:r>
      <w:r>
        <w:rPr>
          <w:rFonts w:asciiTheme="minorEastAsia" w:hAnsiTheme="minorEastAsia"/>
          <w:sz w:val="24"/>
          <w:szCs w:val="23"/>
        </w:rPr>
        <w:t>限售股份解锁比例为100%</w:t>
      </w:r>
      <w:r>
        <w:rPr>
          <w:rFonts w:hint="eastAsia" w:cs="宋体" w:asciiTheme="minorEastAsia" w:hAnsiTheme="minorEastAsia"/>
          <w:sz w:val="24"/>
          <w:szCs w:val="24"/>
        </w:rPr>
        <w:t>。</w:t>
      </w:r>
    </w:p>
    <w:p>
      <w:pPr>
        <w:spacing w:before="156" w:beforeLines="50" w:after="156" w:afterLines="5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5、公司有关限制性股票授予和解除限售程序未违反有关法律、法规及《激励计划》的规定，未侵犯公司及全体股东的利益，没有损害公司及公司股东尤其是中小股东的利益。</w:t>
      </w:r>
    </w:p>
    <w:p>
      <w:pPr>
        <w:spacing w:before="156" w:beforeLines="50" w:after="156" w:afterLines="5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综上，独立董事一致同意：本激励计划首次授予部分第二个解锁期解锁条件已全部成就，并同意公司按照《激励计划》及相关法律法规的要求，为</w:t>
      </w:r>
      <w:r>
        <w:rPr>
          <w:rFonts w:cs="宋体" w:asciiTheme="minorEastAsia" w:hAnsiTheme="minorEastAsia"/>
          <w:sz w:val="24"/>
          <w:szCs w:val="24"/>
        </w:rPr>
        <w:t>7</w:t>
      </w:r>
      <w:r>
        <w:rPr>
          <w:rFonts w:hint="eastAsia" w:cs="宋体" w:asciiTheme="minorEastAsia" w:hAnsiTheme="minorEastAsia"/>
          <w:sz w:val="24"/>
          <w:szCs w:val="24"/>
        </w:rPr>
        <w:t>5名激励对象所持共计</w:t>
      </w:r>
      <w:r>
        <w:rPr>
          <w:rFonts w:hint="eastAsia" w:asciiTheme="minorEastAsia" w:hAnsiTheme="minorEastAsia"/>
          <w:sz w:val="24"/>
          <w:szCs w:val="23"/>
        </w:rPr>
        <w:t>973</w:t>
      </w:r>
      <w:r>
        <w:rPr>
          <w:rFonts w:asciiTheme="minorEastAsia" w:hAnsiTheme="minorEastAsia"/>
          <w:sz w:val="24"/>
          <w:szCs w:val="23"/>
        </w:rPr>
        <w:t>,</w:t>
      </w:r>
      <w:r>
        <w:rPr>
          <w:rFonts w:hint="eastAsia" w:asciiTheme="minorEastAsia" w:hAnsiTheme="minorEastAsia"/>
          <w:sz w:val="24"/>
          <w:szCs w:val="23"/>
        </w:rPr>
        <w:t>245</w:t>
      </w:r>
      <w:r>
        <w:rPr>
          <w:rFonts w:hint="eastAsia" w:cs="宋体" w:asciiTheme="minorEastAsia" w:hAnsiTheme="minorEastAsia"/>
          <w:sz w:val="24"/>
          <w:szCs w:val="24"/>
        </w:rPr>
        <w:t>股限制性股票安排解除限售。</w:t>
      </w:r>
    </w:p>
    <w:p>
      <w:pPr>
        <w:spacing w:before="156" w:beforeLines="50" w:after="156" w:afterLines="50" w:line="360" w:lineRule="auto"/>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二、关于回购注销部分限制性股票的独立意见 </w:t>
      </w:r>
    </w:p>
    <w:p>
      <w:pPr>
        <w:spacing w:before="156" w:beforeLines="50" w:after="156" w:afterLines="50" w:line="360" w:lineRule="auto"/>
        <w:ind w:firstLine="480" w:firstLineChars="200"/>
        <w:rPr>
          <w:rFonts w:ascii="宋体" w:hAnsi="宋体" w:eastAsia="宋体" w:cs="Times New Roman"/>
          <w:sz w:val="24"/>
          <w:szCs w:val="21"/>
          <w:lang w:bidi="en-US"/>
        </w:rPr>
      </w:pPr>
      <w:r>
        <w:rPr>
          <w:rFonts w:hint="eastAsia" w:ascii="宋体" w:hAnsi="宋体" w:eastAsia="宋体" w:cs="Times New Roman"/>
          <w:sz w:val="24"/>
          <w:szCs w:val="21"/>
          <w:lang w:bidi="en-US"/>
        </w:rPr>
        <w:t>由于公司4名激励对象因个人原因离职，已不符合公司限制性股票激励计划中有关激励对象的规定，其所持有的未解禁部分股票全部回购；</w:t>
      </w:r>
      <w:r>
        <w:rPr>
          <w:rFonts w:hint="eastAsia" w:asciiTheme="minorEastAsia" w:hAnsiTheme="minorEastAsia"/>
          <w:sz w:val="24"/>
          <w:szCs w:val="23"/>
        </w:rPr>
        <w:t>1名激励对象绩效考核为不合格，不符合解锁条件；2名激励对象绩效考核为合格，可以申请解除当期80%限售股份；1名激励对象绩效考核为良好，可以申请解除当期90%限售股份，</w:t>
      </w:r>
      <w:r>
        <w:rPr>
          <w:rFonts w:hint="eastAsia" w:ascii="宋体" w:hAnsi="宋体" w:eastAsia="宋体" w:cs="Times New Roman"/>
          <w:sz w:val="24"/>
          <w:szCs w:val="21"/>
          <w:lang w:bidi="en-US"/>
        </w:rPr>
        <w:t>前述4</w:t>
      </w:r>
      <w:bookmarkStart w:id="3" w:name="_GoBack"/>
      <w:bookmarkEnd w:id="3"/>
      <w:r>
        <w:rPr>
          <w:rFonts w:hint="eastAsia" w:ascii="宋体" w:hAnsi="宋体" w:eastAsia="宋体" w:cs="Times New Roman"/>
          <w:sz w:val="24"/>
          <w:szCs w:val="21"/>
          <w:lang w:bidi="en-US"/>
        </w:rPr>
        <w:t>名激励对象其所持有的本期未解禁部分股票全部回购，经公司董事会审议，决定回购注销其已获授但尚未解除限售的限制性股票合计171,405股。我们认为上述回购注销部分已授予但尚未解除限售的限制性股票事项，符合《上市公司股权激励管理办法》《激励计划》和《20</w:t>
      </w:r>
      <w:r>
        <w:rPr>
          <w:rFonts w:ascii="宋体" w:hAnsi="宋体" w:eastAsia="宋体" w:cs="Times New Roman"/>
          <w:sz w:val="24"/>
          <w:szCs w:val="21"/>
          <w:lang w:bidi="en-US"/>
        </w:rPr>
        <w:t>21</w:t>
      </w:r>
      <w:r>
        <w:rPr>
          <w:rFonts w:hint="eastAsia" w:ascii="宋体" w:hAnsi="宋体" w:eastAsia="宋体" w:cs="Times New Roman"/>
          <w:sz w:val="24"/>
          <w:szCs w:val="21"/>
          <w:lang w:bidi="en-US"/>
        </w:rPr>
        <w:t xml:space="preserve">年限制性股票激励计划实施考核管理办法》等相关法律、法规的规定，程序合法、合规，公司本次回购注销不影响公司持续经营，也不会损害公司及全体股东利益。我们同意上述回购注销部分限制性股票事项。 </w:t>
      </w:r>
    </w:p>
    <w:p>
      <w:pPr>
        <w:spacing w:before="156" w:beforeLines="50" w:after="156" w:afterLines="50" w:line="360" w:lineRule="auto"/>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三、关于回购公司股份方案的独立意见</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公司本次回购股份符合《中华人民共和国公司法》《中华人民共和国证券法》《上市公司股份回购规则》《关于支持上市公司回购股份的意见》《深圳证券交易所上市公司自律监管指引第9号—回购股份》及公司《章程》等相关规定，董事会会议表决程序符合相关法律、法规和公司《章程》的有关规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公司目前业务发展稳定，经营状况良好，基于对公司未来发展的信心及公司价值的认可，公司本次回购公司股份方案的实施将有利于增强公司股票的投资价值，维护全体股东利益，同时有助于公司稳定、健康、可持续发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3、公司本次回购不会对公司的经营、财务、研发和未来发展产生重大影响，不会影响公司的上市地位，本次回购方案具备合理性和可行性。</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综上，独立董事一致认为公司本次回购股份合法、合规，符合公司和全体股东的利益，不存在损害公司及全体股东，特别是中小股东利益的情形，独立董事一致同意公司本次回购股份方案。 </w:t>
      </w:r>
    </w:p>
    <w:p>
      <w:pPr>
        <w:spacing w:before="156" w:beforeLines="50" w:after="156" w:afterLines="50" w:line="360" w:lineRule="auto"/>
        <w:ind w:firstLine="480" w:firstLineChars="200"/>
        <w:rPr>
          <w:rFonts w:ascii="宋体" w:hAnsi="宋体" w:eastAsia="宋体" w:cs="Times New Roman"/>
          <w:sz w:val="24"/>
          <w:szCs w:val="21"/>
          <w:lang w:bidi="en-US"/>
        </w:rPr>
      </w:pPr>
    </w:p>
    <w:p>
      <w:pPr>
        <w:rPr>
          <w:rFonts w:asciiTheme="minorEastAsia" w:hAnsiTheme="minorEastAsia"/>
        </w:rPr>
      </w:pPr>
    </w:p>
    <w:p>
      <w:pPr>
        <w:pStyle w:val="20"/>
        <w:spacing w:after="240" w:line="360" w:lineRule="auto"/>
        <w:ind w:firstLine="5500" w:firstLineChars="2292"/>
        <w:rPr>
          <w:rFonts w:hint="default" w:asciiTheme="minorEastAsia" w:hAnsiTheme="minorEastAsia" w:eastAsiaTheme="minorEastAsia"/>
          <w:color w:val="auto"/>
        </w:rPr>
      </w:pPr>
      <w:r>
        <w:rPr>
          <w:rFonts w:asciiTheme="minorEastAsia" w:hAnsiTheme="minorEastAsia" w:eastAsiaTheme="minorEastAsia"/>
          <w:color w:val="auto"/>
        </w:rPr>
        <w:t xml:space="preserve">樊培银  宋银立  高科 </w:t>
      </w:r>
    </w:p>
    <w:p>
      <w:pPr>
        <w:pStyle w:val="20"/>
        <w:spacing w:after="240" w:line="360" w:lineRule="auto"/>
        <w:ind w:firstLine="463" w:firstLineChars="193"/>
        <w:rPr>
          <w:rFonts w:hint="default" w:asciiTheme="minorEastAsia" w:hAnsiTheme="minorEastAsia" w:eastAsiaTheme="minorEastAsia"/>
          <w:color w:val="auto"/>
          <w:highlight w:val="yellow"/>
        </w:rPr>
      </w:pPr>
      <w:r>
        <w:rPr>
          <w:rFonts w:asciiTheme="minorEastAsia" w:hAnsiTheme="minorEastAsia" w:eastAsiaTheme="minorEastAsia"/>
          <w:color w:val="auto"/>
        </w:rPr>
        <w:t xml:space="preserve">                                               2023年10月19日</w:t>
      </w:r>
    </w:p>
    <w:p>
      <w:pPr>
        <w:rPr>
          <w:rFonts w:hint="default"/>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r>
      <w:rPr>
        <w:rFonts w:eastAsia="Times New Roman"/>
        <w:sz w:val="24"/>
      </w:rPr>
      <w:drawing>
        <wp:inline distT="0" distB="0" distL="114300" distR="114300">
          <wp:extent cx="1037590" cy="300990"/>
          <wp:effectExtent l="0" t="0" r="1016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037590" cy="300990"/>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11297"/>
    <w:rsid w:val="000310CF"/>
    <w:rsid w:val="000903FC"/>
    <w:rsid w:val="000C1E3E"/>
    <w:rsid w:val="000C7E8C"/>
    <w:rsid w:val="000E7452"/>
    <w:rsid w:val="00114899"/>
    <w:rsid w:val="00160044"/>
    <w:rsid w:val="001677E7"/>
    <w:rsid w:val="00172A27"/>
    <w:rsid w:val="00176BB0"/>
    <w:rsid w:val="001920E9"/>
    <w:rsid w:val="001A1389"/>
    <w:rsid w:val="001A3C31"/>
    <w:rsid w:val="001B40D9"/>
    <w:rsid w:val="001B4F46"/>
    <w:rsid w:val="001B5061"/>
    <w:rsid w:val="001B51ED"/>
    <w:rsid w:val="001F5325"/>
    <w:rsid w:val="001F7C9B"/>
    <w:rsid w:val="002243DB"/>
    <w:rsid w:val="0024280E"/>
    <w:rsid w:val="00246172"/>
    <w:rsid w:val="00256801"/>
    <w:rsid w:val="00282E36"/>
    <w:rsid w:val="00294186"/>
    <w:rsid w:val="002B16B6"/>
    <w:rsid w:val="002E06BB"/>
    <w:rsid w:val="00303C80"/>
    <w:rsid w:val="00310B53"/>
    <w:rsid w:val="00331E51"/>
    <w:rsid w:val="00333589"/>
    <w:rsid w:val="003479E5"/>
    <w:rsid w:val="003628FE"/>
    <w:rsid w:val="00370925"/>
    <w:rsid w:val="00385BF0"/>
    <w:rsid w:val="003A37B0"/>
    <w:rsid w:val="003A458D"/>
    <w:rsid w:val="003B20DA"/>
    <w:rsid w:val="003B458D"/>
    <w:rsid w:val="003B4D09"/>
    <w:rsid w:val="003E0A87"/>
    <w:rsid w:val="003E240B"/>
    <w:rsid w:val="003E7B79"/>
    <w:rsid w:val="003F704E"/>
    <w:rsid w:val="004162E5"/>
    <w:rsid w:val="0044414C"/>
    <w:rsid w:val="00462BF6"/>
    <w:rsid w:val="00464B0E"/>
    <w:rsid w:val="00470EC0"/>
    <w:rsid w:val="00491E9C"/>
    <w:rsid w:val="004F3830"/>
    <w:rsid w:val="00503F7C"/>
    <w:rsid w:val="00522002"/>
    <w:rsid w:val="00526FFA"/>
    <w:rsid w:val="00535F9A"/>
    <w:rsid w:val="00547327"/>
    <w:rsid w:val="00550808"/>
    <w:rsid w:val="00561838"/>
    <w:rsid w:val="00563C5B"/>
    <w:rsid w:val="00573B44"/>
    <w:rsid w:val="0057585C"/>
    <w:rsid w:val="00577A4B"/>
    <w:rsid w:val="005811F3"/>
    <w:rsid w:val="005A2681"/>
    <w:rsid w:val="005B0077"/>
    <w:rsid w:val="005B3530"/>
    <w:rsid w:val="005C45B5"/>
    <w:rsid w:val="005D507A"/>
    <w:rsid w:val="00616018"/>
    <w:rsid w:val="0062392D"/>
    <w:rsid w:val="00625047"/>
    <w:rsid w:val="006515F9"/>
    <w:rsid w:val="0068483F"/>
    <w:rsid w:val="006A3979"/>
    <w:rsid w:val="006E6BB7"/>
    <w:rsid w:val="006F2388"/>
    <w:rsid w:val="00711E49"/>
    <w:rsid w:val="00713486"/>
    <w:rsid w:val="007179C8"/>
    <w:rsid w:val="007267F4"/>
    <w:rsid w:val="00731AA0"/>
    <w:rsid w:val="007457F7"/>
    <w:rsid w:val="00745F0D"/>
    <w:rsid w:val="00752770"/>
    <w:rsid w:val="00752ED6"/>
    <w:rsid w:val="0075662F"/>
    <w:rsid w:val="00770B5C"/>
    <w:rsid w:val="00787BD7"/>
    <w:rsid w:val="00796628"/>
    <w:rsid w:val="00796C3A"/>
    <w:rsid w:val="007A56FE"/>
    <w:rsid w:val="007B39ED"/>
    <w:rsid w:val="007C2AF3"/>
    <w:rsid w:val="007C5776"/>
    <w:rsid w:val="007F6EB8"/>
    <w:rsid w:val="00800D52"/>
    <w:rsid w:val="00845C1D"/>
    <w:rsid w:val="008473CB"/>
    <w:rsid w:val="008529A9"/>
    <w:rsid w:val="0085430C"/>
    <w:rsid w:val="00883857"/>
    <w:rsid w:val="0089455E"/>
    <w:rsid w:val="00894AE0"/>
    <w:rsid w:val="00897306"/>
    <w:rsid w:val="008B68D9"/>
    <w:rsid w:val="008C7FDB"/>
    <w:rsid w:val="008E223D"/>
    <w:rsid w:val="008F55F2"/>
    <w:rsid w:val="009034BB"/>
    <w:rsid w:val="00926EC7"/>
    <w:rsid w:val="00945707"/>
    <w:rsid w:val="00962B10"/>
    <w:rsid w:val="00972936"/>
    <w:rsid w:val="009A04ED"/>
    <w:rsid w:val="009A14AE"/>
    <w:rsid w:val="009B4BD7"/>
    <w:rsid w:val="009B78DB"/>
    <w:rsid w:val="009C6833"/>
    <w:rsid w:val="009F0C59"/>
    <w:rsid w:val="009F23F5"/>
    <w:rsid w:val="00A05501"/>
    <w:rsid w:val="00A16440"/>
    <w:rsid w:val="00A3187A"/>
    <w:rsid w:val="00A33F39"/>
    <w:rsid w:val="00A47463"/>
    <w:rsid w:val="00A70CD1"/>
    <w:rsid w:val="00AA7632"/>
    <w:rsid w:val="00AD28D0"/>
    <w:rsid w:val="00AD4F96"/>
    <w:rsid w:val="00AF7877"/>
    <w:rsid w:val="00B00CB5"/>
    <w:rsid w:val="00B02CC5"/>
    <w:rsid w:val="00B060FC"/>
    <w:rsid w:val="00B2270C"/>
    <w:rsid w:val="00B316E2"/>
    <w:rsid w:val="00B44B30"/>
    <w:rsid w:val="00B77F0B"/>
    <w:rsid w:val="00B82618"/>
    <w:rsid w:val="00B93041"/>
    <w:rsid w:val="00BA4DB5"/>
    <w:rsid w:val="00BC2278"/>
    <w:rsid w:val="00BE5F39"/>
    <w:rsid w:val="00C01472"/>
    <w:rsid w:val="00C04798"/>
    <w:rsid w:val="00C125B3"/>
    <w:rsid w:val="00C13434"/>
    <w:rsid w:val="00C43F9F"/>
    <w:rsid w:val="00C44D6D"/>
    <w:rsid w:val="00C65D7E"/>
    <w:rsid w:val="00C85536"/>
    <w:rsid w:val="00CA54FA"/>
    <w:rsid w:val="00CC584E"/>
    <w:rsid w:val="00CF70BC"/>
    <w:rsid w:val="00D15081"/>
    <w:rsid w:val="00D166B7"/>
    <w:rsid w:val="00D36E55"/>
    <w:rsid w:val="00D405C7"/>
    <w:rsid w:val="00D41548"/>
    <w:rsid w:val="00D8130F"/>
    <w:rsid w:val="00D9136F"/>
    <w:rsid w:val="00D96870"/>
    <w:rsid w:val="00DA2DEA"/>
    <w:rsid w:val="00DB046D"/>
    <w:rsid w:val="00DB3778"/>
    <w:rsid w:val="00DD1BCF"/>
    <w:rsid w:val="00E27318"/>
    <w:rsid w:val="00E4244D"/>
    <w:rsid w:val="00E619DC"/>
    <w:rsid w:val="00E66CC1"/>
    <w:rsid w:val="00EA2389"/>
    <w:rsid w:val="00EE156C"/>
    <w:rsid w:val="00EF3262"/>
    <w:rsid w:val="00F14EA8"/>
    <w:rsid w:val="00F250A6"/>
    <w:rsid w:val="00F71FF3"/>
    <w:rsid w:val="00F74540"/>
    <w:rsid w:val="00F92AB6"/>
    <w:rsid w:val="00F95CCB"/>
    <w:rsid w:val="00F96D31"/>
    <w:rsid w:val="00FD0914"/>
    <w:rsid w:val="00FF17FE"/>
    <w:rsid w:val="02380CA8"/>
    <w:rsid w:val="05646300"/>
    <w:rsid w:val="07F36ECC"/>
    <w:rsid w:val="08AA6AEC"/>
    <w:rsid w:val="0AF1073B"/>
    <w:rsid w:val="0C235520"/>
    <w:rsid w:val="10C16888"/>
    <w:rsid w:val="10C27044"/>
    <w:rsid w:val="11CE129A"/>
    <w:rsid w:val="131877DA"/>
    <w:rsid w:val="1F311774"/>
    <w:rsid w:val="201E1BAA"/>
    <w:rsid w:val="215D54C2"/>
    <w:rsid w:val="23317B21"/>
    <w:rsid w:val="241E7DBD"/>
    <w:rsid w:val="25090B50"/>
    <w:rsid w:val="26014BE0"/>
    <w:rsid w:val="2A8640EB"/>
    <w:rsid w:val="2FB90FA6"/>
    <w:rsid w:val="34C933F5"/>
    <w:rsid w:val="357929CF"/>
    <w:rsid w:val="362426DD"/>
    <w:rsid w:val="362E774C"/>
    <w:rsid w:val="373832DC"/>
    <w:rsid w:val="378B4A4D"/>
    <w:rsid w:val="38E103F2"/>
    <w:rsid w:val="39E0174D"/>
    <w:rsid w:val="3B945CF2"/>
    <w:rsid w:val="3C555DF1"/>
    <w:rsid w:val="41AB0C7D"/>
    <w:rsid w:val="44400EB8"/>
    <w:rsid w:val="454A2E55"/>
    <w:rsid w:val="475F0F71"/>
    <w:rsid w:val="4B3A2066"/>
    <w:rsid w:val="5135146B"/>
    <w:rsid w:val="5A3D61AC"/>
    <w:rsid w:val="5B60205D"/>
    <w:rsid w:val="60331D2B"/>
    <w:rsid w:val="61782DEF"/>
    <w:rsid w:val="65CE5B82"/>
    <w:rsid w:val="69930ED3"/>
    <w:rsid w:val="69D32AFA"/>
    <w:rsid w:val="6A4700BA"/>
    <w:rsid w:val="6CF411B1"/>
    <w:rsid w:val="6F4E7645"/>
    <w:rsid w:val="70277CD0"/>
    <w:rsid w:val="74DA35C2"/>
    <w:rsid w:val="78A757E5"/>
    <w:rsid w:val="7D0907E2"/>
    <w:rsid w:val="7E4213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5"/>
    <w:qFormat/>
    <w:uiPriority w:val="99"/>
    <w:rPr>
      <w:sz w:val="18"/>
      <w:szCs w:val="18"/>
    </w:rPr>
  </w:style>
  <w:style w:type="character" w:customStyle="1" w:styleId="15">
    <w:name w:val="页脚 字符"/>
    <w:basedOn w:val="11"/>
    <w:link w:val="4"/>
    <w:qFormat/>
    <w:uiPriority w:val="99"/>
    <w:rPr>
      <w:sz w:val="18"/>
      <w:szCs w:val="18"/>
    </w:rPr>
  </w:style>
  <w:style w:type="character" w:customStyle="1" w:styleId="16">
    <w:name w:val="标题 字符"/>
    <w:basedOn w:val="11"/>
    <w:link w:val="7"/>
    <w:qFormat/>
    <w:uiPriority w:val="10"/>
    <w:rPr>
      <w:rFonts w:eastAsia="宋体" w:asciiTheme="majorHAnsi" w:hAnsiTheme="majorHAnsi" w:cstheme="majorBidi"/>
      <w:b/>
      <w:bCs/>
      <w:sz w:val="32"/>
      <w:szCs w:val="32"/>
    </w:rPr>
  </w:style>
  <w:style w:type="character" w:customStyle="1" w:styleId="17">
    <w:name w:val="fontstyle01"/>
    <w:basedOn w:val="11"/>
    <w:qFormat/>
    <w:uiPriority w:val="0"/>
    <w:rPr>
      <w:rFonts w:hint="eastAsia" w:ascii="宋体" w:hAnsi="宋体" w:eastAsia="宋体"/>
      <w:color w:val="000000"/>
      <w:sz w:val="24"/>
      <w:szCs w:val="24"/>
    </w:rPr>
  </w:style>
  <w:style w:type="character" w:customStyle="1" w:styleId="18">
    <w:name w:val="批注框文本 字符"/>
    <w:basedOn w:val="11"/>
    <w:link w:val="3"/>
    <w:semiHidden/>
    <w:qFormat/>
    <w:uiPriority w:val="99"/>
    <w:rPr>
      <w:rFonts w:asciiTheme="minorHAnsi" w:hAnsiTheme="minorHAnsi" w:eastAsiaTheme="minorEastAsia" w:cstheme="minorBidi"/>
      <w:kern w:val="2"/>
      <w:sz w:val="18"/>
      <w:szCs w:val="18"/>
    </w:rPr>
  </w:style>
  <w:style w:type="paragraph" w:customStyle="1" w:styleId="19">
    <w:name w:val="text-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21">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8"/>
    <w:semiHidden/>
    <w:qFormat/>
    <w:uiPriority w:val="99"/>
    <w:rPr>
      <w:rFonts w:asciiTheme="minorHAnsi" w:hAnsiTheme="minorHAnsi" w:eastAsiaTheme="minorEastAsia" w:cstheme="minorBidi"/>
      <w:b/>
      <w:bCs/>
      <w:kern w:val="2"/>
      <w:sz w:val="21"/>
      <w:szCs w:val="22"/>
    </w:rPr>
  </w:style>
  <w:style w:type="paragraph" w:customStyle="1" w:styleId="23">
    <w:name w:val="p0"/>
    <w:basedOn w:val="1"/>
    <w:qFormat/>
    <w:uiPriority w:val="0"/>
    <w:rPr>
      <w:rFonts w:ascii="Times New Roman" w:hAnsi="Times New Roman" w:eastAsia="宋体" w:cs="Times New Roman"/>
      <w:szCs w:val="21"/>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396</Words>
  <Characters>2263</Characters>
  <Lines>18</Lines>
  <Paragraphs>5</Paragraphs>
  <TotalTime>0</TotalTime>
  <ScaleCrop>false</ScaleCrop>
  <LinksUpToDate>false</LinksUpToDate>
  <CharactersWithSpaces>2654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2018-08-07T03:24:00Z</dcterms:created>
  <dc:creator>wangzhi</dc:creator>
  <cp:lastModifiedBy>Mr.翔</cp:lastModifiedBy>
  <dcterms:modified xsi:type="dcterms:W3CDTF">2023-10-18T04:39:11Z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51402854D4AE4B86AC032286B7C1C558</vt:lpwstr>
  </property>
</Properties>
</file>