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63" w:after="163"/>
        <w:ind w:firstLine="480"/>
        <w:jc w:val="left"/>
        <w:rPr>
          <w:rFonts w:ascii="宋体" w:hAnsi="宋体"/>
        </w:rPr>
      </w:pPr>
      <w:r>
        <w:rPr>
          <w:rFonts w:ascii="宋体" w:hAnsi="宋体"/>
        </w:rPr>
        <w:drawing>
          <wp:anchor distT="0" distB="0" distL="114300" distR="114300" simplePos="0" relativeHeight="251659264" behindDoc="1" locked="0" layoutInCell="1" allowOverlap="1">
            <wp:simplePos x="0" y="0"/>
            <wp:positionH relativeFrom="column">
              <wp:posOffset>-679450</wp:posOffset>
            </wp:positionH>
            <wp:positionV relativeFrom="paragraph">
              <wp:posOffset>-979170</wp:posOffset>
            </wp:positionV>
            <wp:extent cx="7561580" cy="10694670"/>
            <wp:effectExtent l="0" t="0" r="1270" b="0"/>
            <wp:wrapNone/>
            <wp:docPr id="1728152695" name="图片 1" descr="封皮-德和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152695" name="图片 1" descr="封皮-德和衡"/>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7577393" cy="10716510"/>
                    </a:xfrm>
                    <a:prstGeom prst="rect">
                      <a:avLst/>
                    </a:prstGeom>
                    <a:noFill/>
                    <a:ln>
                      <a:noFill/>
                    </a:ln>
                  </pic:spPr>
                </pic:pic>
              </a:graphicData>
            </a:graphic>
          </wp:anchor>
        </w:drawing>
      </w:r>
    </w:p>
    <w:p>
      <w:pPr>
        <w:spacing w:before="163" w:after="163"/>
        <w:ind w:firstLine="480"/>
        <w:rPr>
          <w:rFonts w:ascii="宋体" w:hAnsi="宋体"/>
        </w:rPr>
      </w:pPr>
    </w:p>
    <w:p>
      <w:pPr>
        <w:spacing w:before="489" w:beforeLines="150" w:after="163"/>
        <w:ind w:firstLine="600" w:firstLineChars="250"/>
        <w:rPr>
          <w:rFonts w:ascii="宋体" w:hAnsi="宋体"/>
          <w:sz w:val="96"/>
          <w:szCs w:val="96"/>
        </w:rPr>
      </w:pPr>
      <w:r>
        <w:drawing>
          <wp:inline distT="0" distB="0" distL="0" distR="0">
            <wp:extent cx="1487170" cy="457200"/>
            <wp:effectExtent l="0" t="0" r="0" b="0"/>
            <wp:docPr id="36294256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942563"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487170" cy="457200"/>
                    </a:xfrm>
                    <a:prstGeom prst="rect">
                      <a:avLst/>
                    </a:prstGeom>
                    <a:noFill/>
                    <a:ln>
                      <a:noFill/>
                    </a:ln>
                  </pic:spPr>
                </pic:pic>
              </a:graphicData>
            </a:graphic>
          </wp:inline>
        </w:drawing>
      </w:r>
    </w:p>
    <w:p>
      <w:pPr>
        <w:tabs>
          <w:tab w:val="left" w:pos="5773"/>
        </w:tabs>
        <w:spacing w:before="163" w:after="163"/>
        <w:ind w:firstLine="1920"/>
        <w:rPr>
          <w:rFonts w:ascii="宋体" w:hAnsi="宋体"/>
          <w:sz w:val="96"/>
          <w:szCs w:val="96"/>
        </w:rPr>
      </w:pPr>
      <w:r>
        <w:rPr>
          <w:rFonts w:ascii="宋体" w:hAnsi="宋体"/>
          <w:sz w:val="96"/>
          <w:szCs w:val="96"/>
        </w:rPr>
        <w:tab/>
      </w:r>
    </w:p>
    <w:p>
      <w:pPr>
        <w:autoSpaceDE w:val="0"/>
        <w:autoSpaceDN w:val="0"/>
        <w:spacing w:beforeLines="0" w:after="163"/>
        <w:ind w:firstLine="0" w:firstLineChars="0"/>
        <w:jc w:val="center"/>
        <w:rPr>
          <w:rFonts w:ascii="宋体" w:hAnsi="宋体"/>
          <w:b/>
          <w:color w:val="000000"/>
          <w:sz w:val="36"/>
          <w:szCs w:val="36"/>
        </w:rPr>
      </w:pPr>
      <w:r>
        <w:rPr>
          <w:rFonts w:hint="eastAsia" w:ascii="宋体" w:hAnsi="宋体"/>
          <w:b/>
          <w:color w:val="000000"/>
          <w:sz w:val="36"/>
          <w:szCs w:val="36"/>
        </w:rPr>
        <w:t>北京德和衡律师事务所</w:t>
      </w:r>
    </w:p>
    <w:p>
      <w:pPr>
        <w:autoSpaceDE w:val="0"/>
        <w:autoSpaceDN w:val="0"/>
        <w:spacing w:beforeLines="0" w:after="163"/>
        <w:ind w:firstLine="0" w:firstLineChars="0"/>
        <w:jc w:val="center"/>
        <w:rPr>
          <w:rFonts w:ascii="宋体" w:hAnsi="宋体"/>
          <w:b/>
          <w:color w:val="000000"/>
          <w:sz w:val="36"/>
          <w:szCs w:val="36"/>
        </w:rPr>
      </w:pPr>
      <w:r>
        <w:rPr>
          <w:rFonts w:hint="eastAsia" w:ascii="宋体" w:hAnsi="宋体"/>
          <w:b/>
          <w:color w:val="000000"/>
          <w:sz w:val="36"/>
          <w:szCs w:val="36"/>
        </w:rPr>
        <w:t>关于青岛伟隆阀门股份有限公司</w:t>
      </w:r>
    </w:p>
    <w:p>
      <w:pPr>
        <w:autoSpaceDE w:val="0"/>
        <w:autoSpaceDN w:val="0"/>
        <w:spacing w:beforeLines="0" w:after="163"/>
        <w:ind w:firstLine="0" w:firstLineChars="0"/>
        <w:jc w:val="center"/>
        <w:rPr>
          <w:rFonts w:ascii="宋体" w:hAnsi="宋体"/>
          <w:b/>
          <w:color w:val="000000"/>
          <w:sz w:val="36"/>
          <w:szCs w:val="36"/>
        </w:rPr>
      </w:pPr>
      <w:r>
        <w:rPr>
          <w:rFonts w:hint="eastAsia" w:ascii="宋体" w:hAnsi="宋体"/>
          <w:b/>
          <w:color w:val="000000"/>
          <w:sz w:val="36"/>
          <w:szCs w:val="36"/>
        </w:rPr>
        <w:t>2021年限制性股票激励计划首次授予部分第二次解除限售及回购注销部分限制性股票相关事项</w:t>
      </w:r>
    </w:p>
    <w:p>
      <w:pPr>
        <w:autoSpaceDE w:val="0"/>
        <w:autoSpaceDN w:val="0"/>
        <w:spacing w:beforeLines="0" w:after="163"/>
        <w:ind w:firstLine="0" w:firstLineChars="0"/>
        <w:jc w:val="center"/>
        <w:rPr>
          <w:rFonts w:ascii="宋体" w:hAnsi="宋体"/>
          <w:b/>
          <w:color w:val="000000"/>
          <w:sz w:val="36"/>
          <w:szCs w:val="36"/>
        </w:rPr>
      </w:pPr>
      <w:r>
        <w:rPr>
          <w:rFonts w:hint="eastAsia" w:ascii="宋体" w:hAnsi="宋体"/>
          <w:b/>
          <w:color w:val="000000"/>
          <w:sz w:val="36"/>
          <w:szCs w:val="36"/>
        </w:rPr>
        <w:t>的法律意见书</w:t>
      </w:r>
    </w:p>
    <w:p>
      <w:pPr>
        <w:spacing w:before="163" w:after="163"/>
        <w:ind w:firstLine="0" w:firstLineChars="0"/>
        <w:rPr>
          <w:rFonts w:ascii="宋体" w:hAnsi="宋体"/>
          <w:b/>
          <w:color w:val="000000"/>
          <w:sz w:val="36"/>
          <w:szCs w:val="36"/>
        </w:rPr>
      </w:pPr>
    </w:p>
    <w:p>
      <w:pPr>
        <w:spacing w:before="163" w:after="163"/>
        <w:ind w:firstLine="0" w:firstLineChars="0"/>
        <w:jc w:val="center"/>
        <w:rPr>
          <w:rFonts w:ascii="宋体" w:hAnsi="宋体"/>
          <w:color w:val="000000"/>
        </w:rPr>
      </w:pPr>
      <w:r>
        <w:rPr>
          <w:rFonts w:hint="eastAsia" w:ascii="宋体" w:hAnsi="宋体"/>
          <w:color w:val="000000"/>
        </w:rPr>
        <w:t>德和衡证律意见（202</w:t>
      </w:r>
      <w:r>
        <w:rPr>
          <w:rFonts w:ascii="宋体" w:hAnsi="宋体"/>
          <w:color w:val="000000"/>
        </w:rPr>
        <w:t>3</w:t>
      </w:r>
      <w:r>
        <w:rPr>
          <w:rFonts w:hint="eastAsia" w:ascii="宋体" w:hAnsi="宋体"/>
          <w:color w:val="000000"/>
        </w:rPr>
        <w:t>）第6</w:t>
      </w:r>
      <w:r>
        <w:rPr>
          <w:rFonts w:ascii="宋体" w:hAnsi="宋体"/>
          <w:color w:val="000000"/>
        </w:rPr>
        <w:t>77</w:t>
      </w:r>
      <w:r>
        <w:rPr>
          <w:rFonts w:hint="eastAsia" w:ascii="宋体" w:hAnsi="宋体"/>
          <w:color w:val="000000"/>
        </w:rPr>
        <w:t>号</w:t>
      </w:r>
    </w:p>
    <w:p>
      <w:pPr>
        <w:spacing w:before="163" w:after="163"/>
        <w:ind w:firstLine="480"/>
        <w:rPr>
          <w:rFonts w:ascii="宋体" w:hAnsi="宋体"/>
        </w:rPr>
      </w:pPr>
    </w:p>
    <w:p>
      <w:pPr>
        <w:spacing w:before="163" w:after="163"/>
        <w:ind w:firstLine="480"/>
        <w:rPr>
          <w:rFonts w:ascii="宋体" w:hAnsi="宋体"/>
        </w:rPr>
      </w:pPr>
    </w:p>
    <w:p>
      <w:pPr>
        <w:spacing w:before="163" w:after="163"/>
        <w:ind w:firstLine="480"/>
        <w:rPr>
          <w:rFonts w:ascii="宋体" w:hAnsi="宋体"/>
        </w:rPr>
      </w:pPr>
    </w:p>
    <w:p>
      <w:pPr>
        <w:spacing w:before="163" w:after="163"/>
        <w:ind w:firstLine="480"/>
        <w:rPr>
          <w:rFonts w:ascii="宋体" w:hAnsi="宋体"/>
        </w:rPr>
      </w:pPr>
    </w:p>
    <w:p>
      <w:pPr>
        <w:spacing w:before="163" w:after="163"/>
        <w:ind w:firstLine="480"/>
        <w:rPr>
          <w:rFonts w:ascii="宋体" w:hAnsi="宋体"/>
        </w:rPr>
      </w:pPr>
    </w:p>
    <w:p>
      <w:pPr>
        <w:tabs>
          <w:tab w:val="left" w:pos="603"/>
        </w:tabs>
        <w:spacing w:before="163" w:after="163"/>
        <w:ind w:firstLine="0" w:firstLineChars="0"/>
        <w:jc w:val="center"/>
        <w:rPr>
          <w:rFonts w:ascii="宋体" w:hAnsi="宋体"/>
        </w:rPr>
      </w:pPr>
      <w:bookmarkStart w:id="0" w:name="_Toc280962095"/>
      <w:r>
        <w:drawing>
          <wp:inline distT="0" distB="0" distL="0" distR="0">
            <wp:extent cx="2055495" cy="290195"/>
            <wp:effectExtent l="0" t="0" r="0" b="0"/>
            <wp:docPr id="56930246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302466" name="图片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055495" cy="290195"/>
                    </a:xfrm>
                    <a:prstGeom prst="rect">
                      <a:avLst/>
                    </a:prstGeom>
                    <a:noFill/>
                    <a:ln>
                      <a:noFill/>
                    </a:ln>
                  </pic:spPr>
                </pic:pic>
              </a:graphicData>
            </a:graphic>
          </wp:inline>
        </w:drawing>
      </w:r>
    </w:p>
    <w:p>
      <w:pPr>
        <w:pStyle w:val="2"/>
        <w:spacing w:before="163" w:after="163"/>
        <w:ind w:firstLine="0" w:firstLineChars="0"/>
        <w:jc w:val="center"/>
        <w:rPr>
          <w:rFonts w:ascii="宋体" w:hAnsi="宋体"/>
        </w:rPr>
      </w:pPr>
      <w:bookmarkStart w:id="1" w:name="_Toc522805996"/>
      <w:r>
        <w:rPr>
          <w:rFonts w:hint="eastAsia" w:ascii="宋体" w:hAnsi="宋体"/>
        </w:rPr>
        <w:t>释义</w:t>
      </w:r>
      <w:bookmarkEnd w:id="0"/>
      <w:bookmarkEnd w:id="1"/>
    </w:p>
    <w:p>
      <w:pPr>
        <w:spacing w:before="163" w:after="163"/>
        <w:ind w:firstLine="480"/>
        <w:rPr>
          <w:rFonts w:ascii="宋体" w:hAnsi="宋体"/>
        </w:rPr>
      </w:pPr>
      <w:bookmarkStart w:id="2" w:name="_Toc368119406"/>
      <w:bookmarkStart w:id="3" w:name="_Toc380665074"/>
      <w:r>
        <w:rPr>
          <w:rFonts w:hint="eastAsia" w:ascii="宋体" w:hAnsi="宋体"/>
        </w:rPr>
        <w:t>在本法律意见书中，除非另有所指，下列词语具有如下含义：</w:t>
      </w:r>
      <w:bookmarkEnd w:id="2"/>
      <w:bookmarkEnd w:id="3"/>
    </w:p>
    <w:tbl>
      <w:tblPr>
        <w:tblStyle w:val="36"/>
        <w:tblW w:w="9984" w:type="dxa"/>
        <w:jc w:val="center"/>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57" w:type="dxa"/>
          <w:bottom w:w="0" w:type="dxa"/>
          <w:right w:w="57" w:type="dxa"/>
        </w:tblCellMar>
      </w:tblPr>
      <w:tblGrid>
        <w:gridCol w:w="3375"/>
        <w:gridCol w:w="505"/>
        <w:gridCol w:w="6104"/>
      </w:tblGrid>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57" w:type="dxa"/>
            <w:bottom w:w="0" w:type="dxa"/>
            <w:right w:w="57" w:type="dxa"/>
          </w:tblCellMar>
        </w:tblPrEx>
        <w:trPr>
          <w:trHeight w:val="397" w:hRule="atLeast"/>
          <w:jc w:val="center"/>
        </w:trPr>
        <w:tc>
          <w:tcPr>
            <w:tcW w:w="3375" w:type="dxa"/>
            <w:shd w:val="clear" w:color="auto" w:fill="A5A5A5" w:themeFill="background1" w:themeFillShade="A6"/>
            <w:vAlign w:val="center"/>
          </w:tcPr>
          <w:p>
            <w:pPr>
              <w:widowControl/>
              <w:autoSpaceDE w:val="0"/>
              <w:autoSpaceDN w:val="0"/>
              <w:adjustRightInd w:val="0"/>
              <w:spacing w:beforeLines="0" w:afterLines="0"/>
              <w:ind w:firstLine="0" w:firstLineChars="0"/>
              <w:jc w:val="center"/>
              <w:rPr>
                <w:rFonts w:ascii="宋体" w:hAnsi="宋体" w:cs="楷体_GB2312"/>
                <w:b/>
                <w:kern w:val="0"/>
                <w:sz w:val="21"/>
                <w:szCs w:val="21"/>
                <w:lang w:bidi="en-US"/>
              </w:rPr>
            </w:pPr>
            <w:r>
              <w:rPr>
                <w:rFonts w:hint="eastAsia" w:ascii="宋体" w:hAnsi="宋体" w:cs="楷体_GB2312"/>
                <w:b/>
                <w:kern w:val="0"/>
                <w:sz w:val="21"/>
                <w:szCs w:val="21"/>
                <w:lang w:bidi="en-US"/>
              </w:rPr>
              <w:t>简称</w:t>
            </w:r>
          </w:p>
        </w:tc>
        <w:tc>
          <w:tcPr>
            <w:tcW w:w="505" w:type="dxa"/>
            <w:shd w:val="clear" w:color="auto" w:fill="A5A5A5" w:themeFill="background1" w:themeFillShade="A6"/>
            <w:vAlign w:val="center"/>
          </w:tcPr>
          <w:p>
            <w:pPr>
              <w:widowControl/>
              <w:autoSpaceDE w:val="0"/>
              <w:autoSpaceDN w:val="0"/>
              <w:adjustRightInd w:val="0"/>
              <w:spacing w:beforeLines="0" w:afterLines="0"/>
              <w:ind w:firstLine="0" w:firstLineChars="0"/>
              <w:jc w:val="center"/>
              <w:rPr>
                <w:rFonts w:ascii="宋体" w:hAnsi="宋体" w:cs="楷体_GB2312"/>
                <w:b/>
                <w:kern w:val="0"/>
                <w:sz w:val="21"/>
                <w:szCs w:val="21"/>
                <w:lang w:bidi="en-US"/>
              </w:rPr>
            </w:pPr>
          </w:p>
        </w:tc>
        <w:tc>
          <w:tcPr>
            <w:tcW w:w="6104" w:type="dxa"/>
            <w:shd w:val="clear" w:color="auto" w:fill="A5A5A5" w:themeFill="background1" w:themeFillShade="A6"/>
            <w:vAlign w:val="center"/>
          </w:tcPr>
          <w:p>
            <w:pPr>
              <w:widowControl/>
              <w:autoSpaceDE w:val="0"/>
              <w:autoSpaceDN w:val="0"/>
              <w:adjustRightInd w:val="0"/>
              <w:spacing w:beforeLines="0" w:afterLines="0"/>
              <w:ind w:firstLine="0" w:firstLineChars="0"/>
              <w:jc w:val="center"/>
              <w:rPr>
                <w:rFonts w:ascii="宋体" w:hAnsi="宋体" w:cs="楷体_GB2312"/>
                <w:b/>
                <w:kern w:val="0"/>
                <w:sz w:val="21"/>
                <w:szCs w:val="21"/>
                <w:lang w:bidi="en-US"/>
              </w:rPr>
            </w:pPr>
            <w:r>
              <w:rPr>
                <w:rFonts w:hint="eastAsia" w:ascii="宋体" w:hAnsi="宋体" w:cs="楷体_GB2312"/>
                <w:b/>
                <w:kern w:val="0"/>
                <w:sz w:val="21"/>
                <w:szCs w:val="21"/>
                <w:lang w:bidi="en-US"/>
              </w:rPr>
              <w:t>全称</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57" w:type="dxa"/>
            <w:bottom w:w="0" w:type="dxa"/>
            <w:right w:w="57" w:type="dxa"/>
          </w:tblCellMar>
        </w:tblPrEx>
        <w:trPr>
          <w:trHeight w:val="397" w:hRule="atLeast"/>
          <w:jc w:val="center"/>
        </w:trPr>
        <w:tc>
          <w:tcPr>
            <w:tcW w:w="3375" w:type="dxa"/>
            <w:vAlign w:val="center"/>
          </w:tcPr>
          <w:p>
            <w:pPr>
              <w:widowControl/>
              <w:autoSpaceDE w:val="0"/>
              <w:autoSpaceDN w:val="0"/>
              <w:adjustRightInd w:val="0"/>
              <w:spacing w:beforeLines="0" w:afterLines="0"/>
              <w:ind w:firstLine="0" w:firstLineChars="0"/>
              <w:jc w:val="left"/>
              <w:rPr>
                <w:rFonts w:ascii="宋体" w:hAnsi="宋体" w:cs="楷体_GB2312"/>
                <w:kern w:val="0"/>
                <w:sz w:val="21"/>
                <w:szCs w:val="21"/>
                <w:lang w:bidi="en-US"/>
              </w:rPr>
            </w:pPr>
            <w:r>
              <w:rPr>
                <w:rFonts w:hint="eastAsia" w:ascii="宋体" w:hAnsi="宋体" w:cs="楷体_GB2312"/>
                <w:kern w:val="0"/>
                <w:sz w:val="21"/>
                <w:szCs w:val="21"/>
                <w:lang w:bidi="en-US"/>
              </w:rPr>
              <w:t>伟隆股份、公司</w:t>
            </w:r>
          </w:p>
        </w:tc>
        <w:tc>
          <w:tcPr>
            <w:tcW w:w="505" w:type="dxa"/>
            <w:vAlign w:val="center"/>
          </w:tcPr>
          <w:p>
            <w:pPr>
              <w:widowControl/>
              <w:autoSpaceDE w:val="0"/>
              <w:autoSpaceDN w:val="0"/>
              <w:adjustRightInd w:val="0"/>
              <w:spacing w:beforeLines="0" w:afterLines="0"/>
              <w:ind w:firstLine="0" w:firstLineChars="0"/>
              <w:jc w:val="center"/>
              <w:rPr>
                <w:rFonts w:ascii="宋体" w:hAnsi="宋体" w:cs="楷体_GB2312"/>
                <w:kern w:val="0"/>
                <w:sz w:val="21"/>
                <w:szCs w:val="21"/>
                <w:lang w:bidi="en-US"/>
              </w:rPr>
            </w:pPr>
            <w:r>
              <w:rPr>
                <w:rFonts w:ascii="宋体" w:hAnsi="宋体" w:cs="楷体_GB2312"/>
                <w:sz w:val="21"/>
                <w:szCs w:val="21"/>
              </w:rPr>
              <w:t>指</w:t>
            </w:r>
          </w:p>
        </w:tc>
        <w:tc>
          <w:tcPr>
            <w:tcW w:w="6104" w:type="dxa"/>
            <w:vAlign w:val="center"/>
          </w:tcPr>
          <w:p>
            <w:pPr>
              <w:widowControl/>
              <w:autoSpaceDE w:val="0"/>
              <w:autoSpaceDN w:val="0"/>
              <w:adjustRightInd w:val="0"/>
              <w:spacing w:beforeLines="0" w:afterLines="0"/>
              <w:ind w:firstLine="0" w:firstLineChars="0"/>
              <w:jc w:val="left"/>
              <w:rPr>
                <w:rFonts w:ascii="宋体" w:hAnsi="宋体" w:cs="楷体_GB2312"/>
                <w:kern w:val="0"/>
                <w:sz w:val="21"/>
                <w:szCs w:val="21"/>
                <w:lang w:bidi="en-US"/>
              </w:rPr>
            </w:pPr>
            <w:r>
              <w:rPr>
                <w:rFonts w:hint="eastAsia" w:ascii="宋体" w:hAnsi="宋体" w:cs="楷体_GB2312"/>
                <w:kern w:val="0"/>
                <w:sz w:val="21"/>
                <w:szCs w:val="21"/>
                <w:lang w:bidi="en-US"/>
              </w:rPr>
              <w:t>青岛伟隆阀门股份有限公司</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57" w:type="dxa"/>
            <w:bottom w:w="0" w:type="dxa"/>
            <w:right w:w="57" w:type="dxa"/>
          </w:tblCellMar>
        </w:tblPrEx>
        <w:trPr>
          <w:trHeight w:val="397" w:hRule="atLeast"/>
          <w:jc w:val="center"/>
        </w:trPr>
        <w:tc>
          <w:tcPr>
            <w:tcW w:w="3375" w:type="dxa"/>
            <w:vAlign w:val="center"/>
          </w:tcPr>
          <w:p>
            <w:pPr>
              <w:widowControl/>
              <w:autoSpaceDE w:val="0"/>
              <w:autoSpaceDN w:val="0"/>
              <w:adjustRightInd w:val="0"/>
              <w:spacing w:beforeLines="0" w:afterLines="0"/>
              <w:ind w:firstLine="0" w:firstLineChars="0"/>
              <w:jc w:val="left"/>
              <w:rPr>
                <w:rFonts w:ascii="宋体" w:hAnsi="宋体" w:cs="楷体_GB2312"/>
                <w:kern w:val="0"/>
                <w:sz w:val="21"/>
                <w:szCs w:val="21"/>
                <w:highlight w:val="yellow"/>
                <w:lang w:bidi="en-US"/>
              </w:rPr>
            </w:pPr>
            <w:r>
              <w:rPr>
                <w:rFonts w:hint="eastAsia" w:ascii="宋体" w:hAnsi="宋体"/>
                <w:sz w:val="21"/>
                <w:szCs w:val="21"/>
                <w:lang w:bidi="en-US"/>
              </w:rPr>
              <w:t>《激励计划（草案）》</w:t>
            </w:r>
          </w:p>
        </w:tc>
        <w:tc>
          <w:tcPr>
            <w:tcW w:w="505" w:type="dxa"/>
            <w:vAlign w:val="center"/>
          </w:tcPr>
          <w:p>
            <w:pPr>
              <w:widowControl/>
              <w:autoSpaceDE w:val="0"/>
              <w:autoSpaceDN w:val="0"/>
              <w:adjustRightInd w:val="0"/>
              <w:spacing w:beforeLines="0" w:afterLines="0"/>
              <w:ind w:firstLine="0" w:firstLineChars="0"/>
              <w:jc w:val="center"/>
              <w:rPr>
                <w:rFonts w:ascii="宋体" w:hAnsi="宋体" w:cs="楷体_GB2312"/>
                <w:kern w:val="0"/>
                <w:sz w:val="21"/>
                <w:szCs w:val="21"/>
                <w:highlight w:val="yellow"/>
                <w:lang w:bidi="en-US"/>
              </w:rPr>
            </w:pPr>
            <w:r>
              <w:rPr>
                <w:rFonts w:ascii="宋体" w:hAnsi="宋体" w:cs="楷体_GB2312"/>
                <w:sz w:val="21"/>
                <w:szCs w:val="21"/>
              </w:rPr>
              <w:t>指</w:t>
            </w:r>
          </w:p>
        </w:tc>
        <w:tc>
          <w:tcPr>
            <w:tcW w:w="6104" w:type="dxa"/>
            <w:vAlign w:val="center"/>
          </w:tcPr>
          <w:p>
            <w:pPr>
              <w:widowControl/>
              <w:autoSpaceDE w:val="0"/>
              <w:autoSpaceDN w:val="0"/>
              <w:adjustRightInd w:val="0"/>
              <w:spacing w:beforeLines="0" w:afterLines="0"/>
              <w:ind w:firstLine="0" w:firstLineChars="0"/>
              <w:jc w:val="left"/>
              <w:rPr>
                <w:rFonts w:ascii="宋体" w:hAnsi="宋体" w:cs="楷体_GB2312"/>
                <w:kern w:val="0"/>
                <w:sz w:val="21"/>
                <w:szCs w:val="21"/>
                <w:highlight w:val="yellow"/>
                <w:lang w:bidi="en-US"/>
              </w:rPr>
            </w:pPr>
            <w:r>
              <w:rPr>
                <w:rFonts w:hint="eastAsia" w:ascii="宋体" w:hAnsi="宋体" w:cs="楷体_GB2312"/>
                <w:kern w:val="0"/>
                <w:sz w:val="21"/>
                <w:szCs w:val="21"/>
                <w:lang w:bidi="en-US"/>
              </w:rPr>
              <w:t>《青岛伟隆阀门股份有限公司20</w:t>
            </w:r>
            <w:r>
              <w:rPr>
                <w:rFonts w:ascii="宋体" w:hAnsi="宋体" w:cs="楷体_GB2312"/>
                <w:kern w:val="0"/>
                <w:sz w:val="21"/>
                <w:szCs w:val="21"/>
                <w:lang w:bidi="en-US"/>
              </w:rPr>
              <w:t>21</w:t>
            </w:r>
            <w:r>
              <w:rPr>
                <w:rFonts w:hint="eastAsia" w:ascii="宋体" w:hAnsi="宋体" w:cs="楷体_GB2312"/>
                <w:kern w:val="0"/>
                <w:sz w:val="21"/>
                <w:szCs w:val="21"/>
                <w:lang w:bidi="en-US"/>
              </w:rPr>
              <w:t>年限制性股票激励计划（草案）》</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57" w:type="dxa"/>
            <w:bottom w:w="0" w:type="dxa"/>
            <w:right w:w="57" w:type="dxa"/>
          </w:tblCellMar>
        </w:tblPrEx>
        <w:trPr>
          <w:trHeight w:val="397" w:hRule="atLeast"/>
          <w:jc w:val="center"/>
        </w:trPr>
        <w:tc>
          <w:tcPr>
            <w:tcW w:w="3375" w:type="dxa"/>
            <w:vAlign w:val="center"/>
          </w:tcPr>
          <w:p>
            <w:pPr>
              <w:widowControl/>
              <w:autoSpaceDE w:val="0"/>
              <w:autoSpaceDN w:val="0"/>
              <w:adjustRightInd w:val="0"/>
              <w:spacing w:beforeLines="0" w:afterLines="0"/>
              <w:ind w:firstLine="0" w:firstLineChars="0"/>
              <w:jc w:val="left"/>
              <w:rPr>
                <w:rFonts w:ascii="宋体" w:hAnsi="宋体"/>
                <w:sz w:val="21"/>
                <w:szCs w:val="21"/>
                <w:lang w:bidi="en-US"/>
              </w:rPr>
            </w:pPr>
            <w:r>
              <w:rPr>
                <w:rFonts w:hint="eastAsia" w:ascii="宋体" w:hAnsi="宋体"/>
                <w:sz w:val="21"/>
                <w:szCs w:val="21"/>
                <w:lang w:bidi="en-US"/>
              </w:rPr>
              <w:t>《考核管理办法》</w:t>
            </w:r>
          </w:p>
        </w:tc>
        <w:tc>
          <w:tcPr>
            <w:tcW w:w="505" w:type="dxa"/>
            <w:vAlign w:val="center"/>
          </w:tcPr>
          <w:p>
            <w:pPr>
              <w:widowControl/>
              <w:autoSpaceDE w:val="0"/>
              <w:autoSpaceDN w:val="0"/>
              <w:adjustRightInd w:val="0"/>
              <w:spacing w:beforeLines="0" w:afterLines="0"/>
              <w:ind w:firstLine="0" w:firstLineChars="0"/>
              <w:jc w:val="center"/>
              <w:rPr>
                <w:rFonts w:ascii="宋体" w:hAnsi="宋体" w:cs="楷体_GB2312"/>
                <w:sz w:val="21"/>
                <w:szCs w:val="21"/>
              </w:rPr>
            </w:pPr>
            <w:r>
              <w:rPr>
                <w:rFonts w:ascii="宋体" w:hAnsi="宋体" w:cs="楷体_GB2312"/>
                <w:sz w:val="21"/>
                <w:szCs w:val="21"/>
              </w:rPr>
              <w:t>指</w:t>
            </w:r>
          </w:p>
        </w:tc>
        <w:tc>
          <w:tcPr>
            <w:tcW w:w="6104" w:type="dxa"/>
            <w:vAlign w:val="center"/>
          </w:tcPr>
          <w:p>
            <w:pPr>
              <w:widowControl/>
              <w:autoSpaceDE w:val="0"/>
              <w:autoSpaceDN w:val="0"/>
              <w:adjustRightInd w:val="0"/>
              <w:spacing w:beforeLines="0" w:afterLines="0"/>
              <w:ind w:firstLine="0" w:firstLineChars="0"/>
              <w:jc w:val="left"/>
              <w:rPr>
                <w:rFonts w:ascii="宋体" w:hAnsi="宋体" w:cs="楷体_GB2312"/>
                <w:kern w:val="0"/>
                <w:sz w:val="21"/>
                <w:szCs w:val="21"/>
                <w:lang w:bidi="en-US"/>
              </w:rPr>
            </w:pPr>
            <w:r>
              <w:rPr>
                <w:rFonts w:hint="eastAsia" w:ascii="宋体" w:hAnsi="宋体" w:cs="楷体_GB2312"/>
                <w:kern w:val="0"/>
                <w:sz w:val="21"/>
                <w:szCs w:val="21"/>
                <w:lang w:bidi="en-US"/>
              </w:rPr>
              <w:t>《20</w:t>
            </w:r>
            <w:r>
              <w:rPr>
                <w:rFonts w:ascii="宋体" w:hAnsi="宋体" w:cs="楷体_GB2312"/>
                <w:kern w:val="0"/>
                <w:sz w:val="21"/>
                <w:szCs w:val="21"/>
                <w:lang w:bidi="en-US"/>
              </w:rPr>
              <w:t>21</w:t>
            </w:r>
            <w:r>
              <w:rPr>
                <w:rFonts w:hint="eastAsia" w:ascii="宋体" w:hAnsi="宋体" w:cs="楷体_GB2312"/>
                <w:kern w:val="0"/>
                <w:sz w:val="21"/>
                <w:szCs w:val="21"/>
                <w:lang w:bidi="en-US"/>
              </w:rPr>
              <w:t>年限制性股票激励计划实施考核管理办法》</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57" w:type="dxa"/>
            <w:bottom w:w="0" w:type="dxa"/>
            <w:right w:w="57" w:type="dxa"/>
          </w:tblCellMar>
        </w:tblPrEx>
        <w:trPr>
          <w:trHeight w:val="397" w:hRule="atLeast"/>
          <w:jc w:val="center"/>
        </w:trPr>
        <w:tc>
          <w:tcPr>
            <w:tcW w:w="3375" w:type="dxa"/>
            <w:vAlign w:val="center"/>
          </w:tcPr>
          <w:p>
            <w:pPr>
              <w:widowControl/>
              <w:autoSpaceDE w:val="0"/>
              <w:autoSpaceDN w:val="0"/>
              <w:adjustRightInd w:val="0"/>
              <w:spacing w:beforeLines="0" w:afterLines="0"/>
              <w:ind w:firstLine="0" w:firstLineChars="0"/>
              <w:jc w:val="left"/>
              <w:rPr>
                <w:rFonts w:ascii="宋体" w:hAnsi="宋体" w:cs="楷体_GB2312"/>
                <w:kern w:val="0"/>
                <w:sz w:val="21"/>
                <w:szCs w:val="21"/>
                <w:lang w:bidi="en-US"/>
              </w:rPr>
            </w:pPr>
            <w:r>
              <w:rPr>
                <w:rFonts w:hint="eastAsia" w:ascii="宋体" w:hAnsi="宋体" w:cs="楷体_GB2312"/>
                <w:kern w:val="0"/>
                <w:sz w:val="21"/>
                <w:szCs w:val="21"/>
                <w:lang w:bidi="en-US"/>
              </w:rPr>
              <w:t>证监会</w:t>
            </w:r>
          </w:p>
        </w:tc>
        <w:tc>
          <w:tcPr>
            <w:tcW w:w="505" w:type="dxa"/>
            <w:vAlign w:val="center"/>
          </w:tcPr>
          <w:p>
            <w:pPr>
              <w:widowControl/>
              <w:autoSpaceDE w:val="0"/>
              <w:autoSpaceDN w:val="0"/>
              <w:adjustRightInd w:val="0"/>
              <w:spacing w:beforeLines="0" w:afterLines="0"/>
              <w:ind w:firstLine="0" w:firstLineChars="0"/>
              <w:jc w:val="center"/>
              <w:rPr>
                <w:rFonts w:ascii="宋体" w:hAnsi="宋体" w:cs="楷体_GB2312"/>
                <w:sz w:val="21"/>
                <w:szCs w:val="21"/>
              </w:rPr>
            </w:pPr>
            <w:r>
              <w:rPr>
                <w:rFonts w:ascii="宋体" w:hAnsi="宋体" w:cs="楷体_GB2312"/>
                <w:sz w:val="21"/>
                <w:szCs w:val="21"/>
              </w:rPr>
              <w:t>指</w:t>
            </w:r>
          </w:p>
        </w:tc>
        <w:tc>
          <w:tcPr>
            <w:tcW w:w="6104" w:type="dxa"/>
            <w:vAlign w:val="center"/>
          </w:tcPr>
          <w:p>
            <w:pPr>
              <w:widowControl/>
              <w:autoSpaceDE w:val="0"/>
              <w:autoSpaceDN w:val="0"/>
              <w:adjustRightInd w:val="0"/>
              <w:spacing w:beforeLines="0" w:afterLines="0"/>
              <w:ind w:firstLine="0" w:firstLineChars="0"/>
              <w:jc w:val="left"/>
              <w:rPr>
                <w:rFonts w:ascii="宋体" w:hAnsi="宋体" w:cs="楷体_GB2312"/>
                <w:sz w:val="21"/>
                <w:szCs w:val="21"/>
              </w:rPr>
            </w:pPr>
            <w:r>
              <w:rPr>
                <w:rFonts w:hint="eastAsia" w:ascii="宋体" w:hAnsi="宋体" w:cs="楷体_GB2312"/>
                <w:sz w:val="21"/>
                <w:szCs w:val="21"/>
              </w:rPr>
              <w:t>中国证券监督管理委员会</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57" w:type="dxa"/>
            <w:bottom w:w="0" w:type="dxa"/>
            <w:right w:w="57" w:type="dxa"/>
          </w:tblCellMar>
        </w:tblPrEx>
        <w:trPr>
          <w:trHeight w:val="397" w:hRule="atLeast"/>
          <w:jc w:val="center"/>
        </w:trPr>
        <w:tc>
          <w:tcPr>
            <w:tcW w:w="3375" w:type="dxa"/>
            <w:vAlign w:val="center"/>
          </w:tcPr>
          <w:p>
            <w:pPr>
              <w:widowControl/>
              <w:autoSpaceDE w:val="0"/>
              <w:autoSpaceDN w:val="0"/>
              <w:adjustRightInd w:val="0"/>
              <w:spacing w:beforeLines="0" w:afterLines="0"/>
              <w:ind w:firstLine="0" w:firstLineChars="0"/>
              <w:jc w:val="left"/>
              <w:rPr>
                <w:rFonts w:ascii="宋体" w:hAnsi="宋体" w:cs="楷体_GB2312"/>
                <w:kern w:val="0"/>
                <w:sz w:val="21"/>
                <w:szCs w:val="21"/>
                <w:lang w:bidi="en-US"/>
              </w:rPr>
            </w:pPr>
            <w:r>
              <w:rPr>
                <w:rFonts w:hint="eastAsia" w:ascii="宋体" w:hAnsi="宋体" w:cs="楷体_GB2312"/>
                <w:kern w:val="0"/>
                <w:sz w:val="21"/>
                <w:szCs w:val="21"/>
                <w:lang w:bidi="en-US"/>
              </w:rPr>
              <w:t>《公司法》</w:t>
            </w:r>
          </w:p>
        </w:tc>
        <w:tc>
          <w:tcPr>
            <w:tcW w:w="505" w:type="dxa"/>
            <w:vAlign w:val="center"/>
          </w:tcPr>
          <w:p>
            <w:pPr>
              <w:widowControl/>
              <w:autoSpaceDE w:val="0"/>
              <w:autoSpaceDN w:val="0"/>
              <w:adjustRightInd w:val="0"/>
              <w:spacing w:beforeLines="0" w:afterLines="0"/>
              <w:ind w:firstLine="0" w:firstLineChars="0"/>
              <w:jc w:val="center"/>
              <w:rPr>
                <w:rFonts w:ascii="宋体" w:hAnsi="宋体" w:cs="楷体_GB2312"/>
                <w:kern w:val="0"/>
                <w:sz w:val="21"/>
                <w:szCs w:val="21"/>
                <w:lang w:bidi="en-US"/>
              </w:rPr>
            </w:pPr>
            <w:r>
              <w:rPr>
                <w:rFonts w:ascii="宋体" w:hAnsi="宋体" w:cs="楷体_GB2312"/>
                <w:kern w:val="0"/>
                <w:sz w:val="21"/>
                <w:szCs w:val="21"/>
                <w:lang w:bidi="en-US"/>
              </w:rPr>
              <w:t>指</w:t>
            </w:r>
          </w:p>
        </w:tc>
        <w:tc>
          <w:tcPr>
            <w:tcW w:w="6104" w:type="dxa"/>
            <w:vAlign w:val="center"/>
          </w:tcPr>
          <w:p>
            <w:pPr>
              <w:widowControl/>
              <w:autoSpaceDE w:val="0"/>
              <w:autoSpaceDN w:val="0"/>
              <w:adjustRightInd w:val="0"/>
              <w:spacing w:beforeLines="0" w:afterLines="0"/>
              <w:ind w:firstLine="0" w:firstLineChars="0"/>
              <w:jc w:val="left"/>
              <w:rPr>
                <w:rFonts w:ascii="宋体" w:hAnsi="宋体" w:cs="楷体_GB2312"/>
                <w:kern w:val="0"/>
                <w:sz w:val="21"/>
                <w:szCs w:val="21"/>
                <w:lang w:bidi="en-US"/>
              </w:rPr>
            </w:pPr>
            <w:r>
              <w:rPr>
                <w:rFonts w:hint="eastAsia" w:ascii="宋体" w:hAnsi="宋体" w:cs="楷体_GB2312"/>
                <w:kern w:val="0"/>
                <w:sz w:val="21"/>
                <w:szCs w:val="21"/>
                <w:lang w:bidi="en-US"/>
              </w:rPr>
              <w:t>《中华人民共和国公司法》</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57" w:type="dxa"/>
            <w:bottom w:w="0" w:type="dxa"/>
            <w:right w:w="57" w:type="dxa"/>
          </w:tblCellMar>
        </w:tblPrEx>
        <w:trPr>
          <w:trHeight w:val="397" w:hRule="atLeast"/>
          <w:jc w:val="center"/>
        </w:trPr>
        <w:tc>
          <w:tcPr>
            <w:tcW w:w="3375" w:type="dxa"/>
            <w:vAlign w:val="center"/>
          </w:tcPr>
          <w:p>
            <w:pPr>
              <w:widowControl/>
              <w:autoSpaceDE w:val="0"/>
              <w:autoSpaceDN w:val="0"/>
              <w:adjustRightInd w:val="0"/>
              <w:spacing w:beforeLines="0" w:afterLines="0"/>
              <w:ind w:firstLine="0" w:firstLineChars="0"/>
              <w:jc w:val="left"/>
              <w:rPr>
                <w:rFonts w:ascii="宋体" w:hAnsi="宋体" w:cs="楷体_GB2312"/>
                <w:kern w:val="0"/>
                <w:sz w:val="21"/>
                <w:szCs w:val="21"/>
                <w:lang w:bidi="en-US"/>
              </w:rPr>
            </w:pPr>
            <w:r>
              <w:rPr>
                <w:rFonts w:hint="eastAsia" w:ascii="宋体" w:hAnsi="宋体" w:cs="楷体_GB2312"/>
                <w:kern w:val="0"/>
                <w:sz w:val="21"/>
                <w:szCs w:val="21"/>
                <w:lang w:bidi="en-US"/>
              </w:rPr>
              <w:t>《证券法》</w:t>
            </w:r>
          </w:p>
        </w:tc>
        <w:tc>
          <w:tcPr>
            <w:tcW w:w="505" w:type="dxa"/>
            <w:vAlign w:val="center"/>
          </w:tcPr>
          <w:p>
            <w:pPr>
              <w:widowControl/>
              <w:autoSpaceDE w:val="0"/>
              <w:autoSpaceDN w:val="0"/>
              <w:adjustRightInd w:val="0"/>
              <w:spacing w:beforeLines="0" w:afterLines="0"/>
              <w:ind w:firstLine="0" w:firstLineChars="0"/>
              <w:jc w:val="center"/>
              <w:rPr>
                <w:rFonts w:ascii="宋体" w:hAnsi="宋体" w:cs="楷体_GB2312"/>
                <w:kern w:val="0"/>
                <w:sz w:val="21"/>
                <w:szCs w:val="21"/>
                <w:lang w:bidi="en-US"/>
              </w:rPr>
            </w:pPr>
            <w:r>
              <w:rPr>
                <w:rFonts w:ascii="宋体" w:hAnsi="宋体" w:cs="楷体_GB2312"/>
                <w:kern w:val="0"/>
                <w:sz w:val="21"/>
                <w:szCs w:val="21"/>
                <w:lang w:bidi="en-US"/>
              </w:rPr>
              <w:t>指</w:t>
            </w:r>
          </w:p>
        </w:tc>
        <w:tc>
          <w:tcPr>
            <w:tcW w:w="6104" w:type="dxa"/>
            <w:vAlign w:val="center"/>
          </w:tcPr>
          <w:p>
            <w:pPr>
              <w:widowControl/>
              <w:autoSpaceDE w:val="0"/>
              <w:autoSpaceDN w:val="0"/>
              <w:adjustRightInd w:val="0"/>
              <w:spacing w:beforeLines="0" w:afterLines="0"/>
              <w:ind w:firstLine="0" w:firstLineChars="0"/>
              <w:jc w:val="left"/>
              <w:rPr>
                <w:rFonts w:ascii="宋体" w:hAnsi="宋体" w:cs="楷体_GB2312"/>
                <w:kern w:val="0"/>
                <w:sz w:val="21"/>
                <w:szCs w:val="21"/>
                <w:lang w:bidi="en-US"/>
              </w:rPr>
            </w:pPr>
            <w:r>
              <w:rPr>
                <w:rFonts w:hint="eastAsia" w:ascii="宋体" w:hAnsi="宋体" w:cs="楷体_GB2312"/>
                <w:kern w:val="0"/>
                <w:sz w:val="21"/>
                <w:szCs w:val="21"/>
                <w:lang w:bidi="en-US"/>
              </w:rPr>
              <w:t>《中华人民共和国证券法》</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57" w:type="dxa"/>
            <w:bottom w:w="0" w:type="dxa"/>
            <w:right w:w="57" w:type="dxa"/>
          </w:tblCellMar>
        </w:tblPrEx>
        <w:trPr>
          <w:trHeight w:val="397" w:hRule="atLeast"/>
          <w:jc w:val="center"/>
        </w:trPr>
        <w:tc>
          <w:tcPr>
            <w:tcW w:w="3375" w:type="dxa"/>
            <w:vAlign w:val="center"/>
          </w:tcPr>
          <w:p>
            <w:pPr>
              <w:widowControl/>
              <w:autoSpaceDE w:val="0"/>
              <w:autoSpaceDN w:val="0"/>
              <w:adjustRightInd w:val="0"/>
              <w:spacing w:beforeLines="0" w:afterLines="0"/>
              <w:ind w:firstLine="0" w:firstLineChars="0"/>
              <w:jc w:val="left"/>
              <w:rPr>
                <w:rFonts w:ascii="宋体" w:hAnsi="宋体" w:cs="楷体_GB2312"/>
                <w:kern w:val="0"/>
                <w:sz w:val="21"/>
                <w:szCs w:val="21"/>
                <w:lang w:bidi="en-US"/>
              </w:rPr>
            </w:pPr>
            <w:r>
              <w:rPr>
                <w:rFonts w:hint="eastAsia" w:ascii="宋体" w:hAnsi="宋体" w:cs="楷体_GB2312"/>
                <w:kern w:val="0"/>
                <w:sz w:val="21"/>
                <w:szCs w:val="21"/>
                <w:lang w:bidi="en-US"/>
              </w:rPr>
              <w:t>《管理办法》</w:t>
            </w:r>
          </w:p>
        </w:tc>
        <w:tc>
          <w:tcPr>
            <w:tcW w:w="505" w:type="dxa"/>
            <w:vAlign w:val="center"/>
          </w:tcPr>
          <w:p>
            <w:pPr>
              <w:widowControl/>
              <w:autoSpaceDE w:val="0"/>
              <w:autoSpaceDN w:val="0"/>
              <w:adjustRightInd w:val="0"/>
              <w:spacing w:beforeLines="0" w:afterLines="0"/>
              <w:ind w:firstLine="0" w:firstLineChars="0"/>
              <w:jc w:val="center"/>
              <w:rPr>
                <w:rFonts w:ascii="宋体" w:hAnsi="宋体" w:cs="楷体_GB2312"/>
                <w:kern w:val="0"/>
                <w:sz w:val="21"/>
                <w:szCs w:val="21"/>
                <w:lang w:bidi="en-US"/>
              </w:rPr>
            </w:pPr>
            <w:r>
              <w:rPr>
                <w:rFonts w:ascii="宋体" w:hAnsi="宋体" w:cs="楷体_GB2312"/>
                <w:kern w:val="0"/>
                <w:sz w:val="21"/>
                <w:szCs w:val="21"/>
                <w:lang w:bidi="en-US"/>
              </w:rPr>
              <w:t>指</w:t>
            </w:r>
          </w:p>
        </w:tc>
        <w:tc>
          <w:tcPr>
            <w:tcW w:w="6104" w:type="dxa"/>
            <w:vAlign w:val="center"/>
          </w:tcPr>
          <w:p>
            <w:pPr>
              <w:widowControl/>
              <w:autoSpaceDE w:val="0"/>
              <w:autoSpaceDN w:val="0"/>
              <w:adjustRightInd w:val="0"/>
              <w:spacing w:beforeLines="0" w:afterLines="0"/>
              <w:ind w:firstLine="0" w:firstLineChars="0"/>
              <w:jc w:val="left"/>
              <w:rPr>
                <w:rFonts w:ascii="宋体" w:hAnsi="宋体" w:cs="楷体_GB2312"/>
                <w:kern w:val="0"/>
                <w:sz w:val="21"/>
                <w:szCs w:val="21"/>
                <w:lang w:bidi="en-US"/>
              </w:rPr>
            </w:pPr>
            <w:r>
              <w:rPr>
                <w:rFonts w:hint="eastAsia" w:ascii="宋体" w:hAnsi="宋体" w:cs="楷体_GB2312"/>
                <w:kern w:val="0"/>
                <w:sz w:val="21"/>
                <w:szCs w:val="21"/>
                <w:lang w:bidi="en-US"/>
              </w:rPr>
              <w:t>《上市公司股权激励管理办法》</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57" w:type="dxa"/>
            <w:bottom w:w="0" w:type="dxa"/>
            <w:right w:w="57" w:type="dxa"/>
          </w:tblCellMar>
        </w:tblPrEx>
        <w:trPr>
          <w:trHeight w:val="397" w:hRule="atLeast"/>
          <w:jc w:val="center"/>
        </w:trPr>
        <w:tc>
          <w:tcPr>
            <w:tcW w:w="3375" w:type="dxa"/>
            <w:vAlign w:val="center"/>
          </w:tcPr>
          <w:p>
            <w:pPr>
              <w:widowControl/>
              <w:autoSpaceDE w:val="0"/>
              <w:autoSpaceDN w:val="0"/>
              <w:adjustRightInd w:val="0"/>
              <w:spacing w:beforeLines="0" w:afterLines="0"/>
              <w:ind w:firstLine="0" w:firstLineChars="0"/>
              <w:jc w:val="left"/>
              <w:rPr>
                <w:rFonts w:ascii="宋体" w:hAnsi="宋体" w:cs="楷体_GB2312"/>
                <w:kern w:val="0"/>
                <w:sz w:val="21"/>
                <w:szCs w:val="21"/>
                <w:lang w:bidi="en-US"/>
              </w:rPr>
            </w:pPr>
            <w:r>
              <w:rPr>
                <w:rFonts w:hint="eastAsia" w:ascii="宋体" w:hAnsi="宋体" w:cs="楷体_GB2312"/>
                <w:kern w:val="0"/>
                <w:sz w:val="21"/>
                <w:szCs w:val="21"/>
                <w:lang w:bidi="en-US"/>
              </w:rPr>
              <w:t>《公司章程》</w:t>
            </w:r>
          </w:p>
        </w:tc>
        <w:tc>
          <w:tcPr>
            <w:tcW w:w="505" w:type="dxa"/>
            <w:vAlign w:val="center"/>
          </w:tcPr>
          <w:p>
            <w:pPr>
              <w:widowControl/>
              <w:autoSpaceDE w:val="0"/>
              <w:autoSpaceDN w:val="0"/>
              <w:adjustRightInd w:val="0"/>
              <w:spacing w:beforeLines="0" w:afterLines="0"/>
              <w:ind w:firstLine="0" w:firstLineChars="0"/>
              <w:jc w:val="center"/>
              <w:rPr>
                <w:rFonts w:ascii="宋体" w:hAnsi="宋体" w:cs="楷体_GB2312"/>
                <w:kern w:val="0"/>
                <w:sz w:val="21"/>
                <w:szCs w:val="21"/>
                <w:lang w:bidi="en-US"/>
              </w:rPr>
            </w:pPr>
            <w:r>
              <w:rPr>
                <w:rFonts w:ascii="宋体" w:hAnsi="宋体" w:cs="楷体_GB2312"/>
                <w:kern w:val="0"/>
                <w:sz w:val="21"/>
                <w:szCs w:val="21"/>
                <w:lang w:bidi="en-US"/>
              </w:rPr>
              <w:t>指</w:t>
            </w:r>
          </w:p>
        </w:tc>
        <w:tc>
          <w:tcPr>
            <w:tcW w:w="6104" w:type="dxa"/>
            <w:vAlign w:val="center"/>
          </w:tcPr>
          <w:p>
            <w:pPr>
              <w:widowControl/>
              <w:autoSpaceDE w:val="0"/>
              <w:autoSpaceDN w:val="0"/>
              <w:adjustRightInd w:val="0"/>
              <w:spacing w:beforeLines="0" w:afterLines="0"/>
              <w:ind w:firstLine="0" w:firstLineChars="0"/>
              <w:jc w:val="left"/>
              <w:rPr>
                <w:rFonts w:ascii="宋体" w:hAnsi="宋体" w:cs="楷体_GB2312"/>
                <w:kern w:val="0"/>
                <w:sz w:val="21"/>
                <w:szCs w:val="21"/>
                <w:lang w:bidi="en-US"/>
              </w:rPr>
            </w:pPr>
            <w:r>
              <w:rPr>
                <w:rFonts w:hint="eastAsia" w:ascii="宋体" w:hAnsi="宋体" w:cs="楷体_GB2312"/>
                <w:kern w:val="0"/>
                <w:sz w:val="21"/>
                <w:szCs w:val="21"/>
                <w:lang w:bidi="en-US"/>
              </w:rPr>
              <w:t>《青岛伟隆阀门股份有限公司章程》</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57" w:type="dxa"/>
            <w:bottom w:w="0" w:type="dxa"/>
            <w:right w:w="57" w:type="dxa"/>
          </w:tblCellMar>
        </w:tblPrEx>
        <w:trPr>
          <w:trHeight w:val="397" w:hRule="atLeast"/>
          <w:jc w:val="center"/>
        </w:trPr>
        <w:tc>
          <w:tcPr>
            <w:tcW w:w="3375" w:type="dxa"/>
            <w:vAlign w:val="center"/>
          </w:tcPr>
          <w:p>
            <w:pPr>
              <w:widowControl/>
              <w:autoSpaceDE w:val="0"/>
              <w:autoSpaceDN w:val="0"/>
              <w:adjustRightInd w:val="0"/>
              <w:spacing w:beforeLines="0" w:afterLines="0"/>
              <w:ind w:firstLine="0" w:firstLineChars="0"/>
              <w:jc w:val="left"/>
              <w:rPr>
                <w:rFonts w:ascii="宋体" w:hAnsi="宋体" w:cs="楷体_GB2312"/>
                <w:kern w:val="0"/>
                <w:sz w:val="21"/>
                <w:szCs w:val="21"/>
                <w:lang w:bidi="en-US"/>
              </w:rPr>
            </w:pPr>
            <w:r>
              <w:rPr>
                <w:rFonts w:hint="eastAsia" w:ascii="宋体" w:hAnsi="宋体" w:cs="楷体_GB2312"/>
                <w:kern w:val="0"/>
                <w:sz w:val="21"/>
                <w:szCs w:val="21"/>
                <w:lang w:bidi="en-US"/>
              </w:rPr>
              <w:t>本次回购注销</w:t>
            </w:r>
          </w:p>
        </w:tc>
        <w:tc>
          <w:tcPr>
            <w:tcW w:w="505" w:type="dxa"/>
            <w:vAlign w:val="center"/>
          </w:tcPr>
          <w:p>
            <w:pPr>
              <w:widowControl/>
              <w:autoSpaceDE w:val="0"/>
              <w:autoSpaceDN w:val="0"/>
              <w:adjustRightInd w:val="0"/>
              <w:spacing w:beforeLines="0" w:afterLines="0"/>
              <w:ind w:firstLine="0" w:firstLineChars="0"/>
              <w:jc w:val="center"/>
              <w:rPr>
                <w:rFonts w:ascii="宋体" w:hAnsi="宋体" w:cs="楷体_GB2312"/>
                <w:kern w:val="0"/>
                <w:sz w:val="21"/>
                <w:szCs w:val="21"/>
                <w:lang w:bidi="en-US"/>
              </w:rPr>
            </w:pPr>
            <w:r>
              <w:rPr>
                <w:rFonts w:hint="eastAsia" w:ascii="宋体" w:hAnsi="宋体" w:cs="楷体_GB2312"/>
                <w:kern w:val="0"/>
                <w:sz w:val="21"/>
                <w:szCs w:val="21"/>
                <w:lang w:bidi="en-US"/>
              </w:rPr>
              <w:t>指</w:t>
            </w:r>
          </w:p>
        </w:tc>
        <w:tc>
          <w:tcPr>
            <w:tcW w:w="6104" w:type="dxa"/>
            <w:vAlign w:val="center"/>
          </w:tcPr>
          <w:p>
            <w:pPr>
              <w:widowControl/>
              <w:autoSpaceDE w:val="0"/>
              <w:autoSpaceDN w:val="0"/>
              <w:adjustRightInd w:val="0"/>
              <w:spacing w:beforeLines="0" w:afterLines="0"/>
              <w:ind w:firstLine="0" w:firstLineChars="0"/>
              <w:jc w:val="left"/>
              <w:rPr>
                <w:rFonts w:ascii="宋体" w:hAnsi="宋体" w:cs="楷体_GB2312"/>
                <w:kern w:val="0"/>
                <w:sz w:val="21"/>
                <w:szCs w:val="21"/>
                <w:lang w:bidi="en-US"/>
              </w:rPr>
            </w:pPr>
            <w:r>
              <w:rPr>
                <w:rFonts w:hint="eastAsia" w:ascii="宋体" w:hAnsi="宋体" w:cs="楷体_GB2312"/>
                <w:kern w:val="0"/>
                <w:sz w:val="21"/>
                <w:szCs w:val="21"/>
                <w:lang w:bidi="en-US"/>
              </w:rPr>
              <w:t>本次回购注销部分已授予尚未解锁限制性股票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57" w:type="dxa"/>
            <w:bottom w:w="0" w:type="dxa"/>
            <w:right w:w="57" w:type="dxa"/>
          </w:tblCellMar>
        </w:tblPrEx>
        <w:trPr>
          <w:trHeight w:val="397" w:hRule="atLeast"/>
          <w:jc w:val="center"/>
        </w:trPr>
        <w:tc>
          <w:tcPr>
            <w:tcW w:w="3375" w:type="dxa"/>
            <w:vAlign w:val="center"/>
          </w:tcPr>
          <w:p>
            <w:pPr>
              <w:widowControl/>
              <w:autoSpaceDE w:val="0"/>
              <w:autoSpaceDN w:val="0"/>
              <w:adjustRightInd w:val="0"/>
              <w:spacing w:beforeLines="0" w:afterLines="0"/>
              <w:ind w:firstLine="0" w:firstLineChars="0"/>
              <w:jc w:val="left"/>
              <w:rPr>
                <w:rFonts w:ascii="宋体" w:hAnsi="宋体" w:cs="楷体_GB2312"/>
                <w:kern w:val="0"/>
                <w:sz w:val="21"/>
                <w:szCs w:val="21"/>
                <w:lang w:bidi="en-US"/>
              </w:rPr>
            </w:pPr>
            <w:r>
              <w:rPr>
                <w:rFonts w:hint="eastAsia" w:ascii="宋体" w:hAnsi="宋体" w:cs="楷体_GB2312"/>
                <w:kern w:val="0"/>
                <w:sz w:val="21"/>
                <w:szCs w:val="21"/>
                <w:lang w:bidi="en-US"/>
              </w:rPr>
              <w:t>本次解除限售</w:t>
            </w:r>
          </w:p>
        </w:tc>
        <w:tc>
          <w:tcPr>
            <w:tcW w:w="505" w:type="dxa"/>
            <w:vAlign w:val="center"/>
          </w:tcPr>
          <w:p>
            <w:pPr>
              <w:widowControl/>
              <w:autoSpaceDE w:val="0"/>
              <w:autoSpaceDN w:val="0"/>
              <w:adjustRightInd w:val="0"/>
              <w:spacing w:beforeLines="0" w:afterLines="0"/>
              <w:ind w:firstLine="0" w:firstLineChars="0"/>
              <w:jc w:val="center"/>
              <w:rPr>
                <w:rFonts w:ascii="宋体" w:hAnsi="宋体" w:cs="楷体_GB2312"/>
                <w:kern w:val="0"/>
                <w:sz w:val="21"/>
                <w:szCs w:val="21"/>
                <w:lang w:bidi="en-US"/>
              </w:rPr>
            </w:pPr>
            <w:r>
              <w:rPr>
                <w:rFonts w:hint="eastAsia" w:ascii="宋体" w:hAnsi="宋体" w:cs="楷体_GB2312"/>
                <w:kern w:val="0"/>
                <w:sz w:val="21"/>
                <w:szCs w:val="21"/>
                <w:lang w:bidi="en-US"/>
              </w:rPr>
              <w:t>指</w:t>
            </w:r>
          </w:p>
        </w:tc>
        <w:tc>
          <w:tcPr>
            <w:tcW w:w="6104" w:type="dxa"/>
            <w:vAlign w:val="center"/>
          </w:tcPr>
          <w:p>
            <w:pPr>
              <w:widowControl/>
              <w:autoSpaceDE w:val="0"/>
              <w:autoSpaceDN w:val="0"/>
              <w:adjustRightInd w:val="0"/>
              <w:spacing w:beforeLines="0" w:afterLines="0"/>
              <w:ind w:firstLine="0" w:firstLineChars="0"/>
              <w:jc w:val="left"/>
              <w:rPr>
                <w:rFonts w:ascii="宋体" w:hAnsi="宋体" w:cs="楷体_GB2312"/>
                <w:kern w:val="0"/>
                <w:sz w:val="21"/>
                <w:szCs w:val="21"/>
                <w:lang w:bidi="en-US"/>
              </w:rPr>
            </w:pPr>
            <w:r>
              <w:rPr>
                <w:rFonts w:hint="eastAsia" w:ascii="宋体" w:hAnsi="宋体" w:cs="楷体_GB2312"/>
                <w:kern w:val="0"/>
                <w:sz w:val="21"/>
                <w:szCs w:val="21"/>
                <w:lang w:bidi="en-US"/>
              </w:rPr>
              <w:t>第二个解除限售期可解除限售限制性股票</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57" w:type="dxa"/>
            <w:bottom w:w="0" w:type="dxa"/>
            <w:right w:w="57" w:type="dxa"/>
          </w:tblCellMar>
        </w:tblPrEx>
        <w:trPr>
          <w:trHeight w:val="397" w:hRule="atLeast"/>
          <w:jc w:val="center"/>
        </w:trPr>
        <w:tc>
          <w:tcPr>
            <w:tcW w:w="3375" w:type="dxa"/>
            <w:vAlign w:val="center"/>
          </w:tcPr>
          <w:p>
            <w:pPr>
              <w:widowControl/>
              <w:autoSpaceDE w:val="0"/>
              <w:autoSpaceDN w:val="0"/>
              <w:adjustRightInd w:val="0"/>
              <w:spacing w:beforeLines="0" w:afterLines="0"/>
              <w:ind w:firstLine="0" w:firstLineChars="0"/>
              <w:jc w:val="left"/>
              <w:rPr>
                <w:rFonts w:ascii="宋体" w:hAnsi="宋体" w:cs="楷体_GB2312"/>
                <w:kern w:val="0"/>
                <w:sz w:val="21"/>
                <w:szCs w:val="21"/>
                <w:lang w:bidi="en-US"/>
              </w:rPr>
            </w:pPr>
            <w:r>
              <w:rPr>
                <w:rFonts w:hint="eastAsia" w:ascii="宋体" w:hAnsi="宋体" w:cs="楷体_GB2312"/>
                <w:kern w:val="0"/>
                <w:sz w:val="21"/>
                <w:szCs w:val="21"/>
                <w:lang w:bidi="en-US"/>
              </w:rPr>
              <w:t>本所</w:t>
            </w:r>
          </w:p>
        </w:tc>
        <w:tc>
          <w:tcPr>
            <w:tcW w:w="505" w:type="dxa"/>
            <w:vAlign w:val="center"/>
          </w:tcPr>
          <w:p>
            <w:pPr>
              <w:widowControl/>
              <w:autoSpaceDE w:val="0"/>
              <w:autoSpaceDN w:val="0"/>
              <w:adjustRightInd w:val="0"/>
              <w:spacing w:beforeLines="0" w:afterLines="0"/>
              <w:ind w:firstLine="0" w:firstLineChars="0"/>
              <w:jc w:val="center"/>
              <w:rPr>
                <w:rFonts w:ascii="宋体" w:hAnsi="宋体" w:cs="楷体_GB2312"/>
                <w:kern w:val="0"/>
                <w:sz w:val="21"/>
                <w:szCs w:val="21"/>
                <w:lang w:bidi="en-US"/>
              </w:rPr>
            </w:pPr>
            <w:r>
              <w:rPr>
                <w:rFonts w:ascii="宋体" w:hAnsi="宋体" w:cs="楷体_GB2312"/>
                <w:kern w:val="0"/>
                <w:sz w:val="21"/>
                <w:szCs w:val="21"/>
                <w:lang w:bidi="en-US"/>
              </w:rPr>
              <w:t>指</w:t>
            </w:r>
          </w:p>
        </w:tc>
        <w:tc>
          <w:tcPr>
            <w:tcW w:w="6104" w:type="dxa"/>
            <w:vAlign w:val="center"/>
          </w:tcPr>
          <w:p>
            <w:pPr>
              <w:widowControl/>
              <w:autoSpaceDE w:val="0"/>
              <w:autoSpaceDN w:val="0"/>
              <w:adjustRightInd w:val="0"/>
              <w:spacing w:beforeLines="0" w:afterLines="0"/>
              <w:ind w:firstLine="0" w:firstLineChars="0"/>
              <w:jc w:val="left"/>
              <w:rPr>
                <w:rFonts w:ascii="宋体" w:hAnsi="宋体" w:cs="楷体_GB2312"/>
                <w:kern w:val="0"/>
                <w:sz w:val="21"/>
                <w:szCs w:val="21"/>
                <w:lang w:bidi="en-US"/>
              </w:rPr>
            </w:pPr>
            <w:r>
              <w:rPr>
                <w:rFonts w:hint="eastAsia" w:ascii="宋体" w:hAnsi="宋体" w:cs="楷体_GB2312"/>
                <w:kern w:val="0"/>
                <w:sz w:val="21"/>
                <w:szCs w:val="21"/>
                <w:lang w:bidi="en-US"/>
              </w:rPr>
              <w:t>北京德和衡律师事务所</w:t>
            </w:r>
          </w:p>
        </w:tc>
      </w:tr>
      <w:tr>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57" w:type="dxa"/>
            <w:bottom w:w="0" w:type="dxa"/>
            <w:right w:w="57" w:type="dxa"/>
          </w:tblCellMar>
        </w:tblPrEx>
        <w:trPr>
          <w:trHeight w:val="397" w:hRule="atLeast"/>
          <w:jc w:val="center"/>
        </w:trPr>
        <w:tc>
          <w:tcPr>
            <w:tcW w:w="3375" w:type="dxa"/>
            <w:vAlign w:val="center"/>
          </w:tcPr>
          <w:p>
            <w:pPr>
              <w:widowControl/>
              <w:autoSpaceDE w:val="0"/>
              <w:autoSpaceDN w:val="0"/>
              <w:adjustRightInd w:val="0"/>
              <w:spacing w:beforeLines="0" w:afterLines="0"/>
              <w:ind w:firstLine="0" w:firstLineChars="0"/>
              <w:jc w:val="left"/>
              <w:rPr>
                <w:rFonts w:ascii="宋体" w:hAnsi="宋体" w:cs="楷体_GB2312"/>
                <w:kern w:val="0"/>
                <w:sz w:val="21"/>
                <w:szCs w:val="21"/>
                <w:lang w:bidi="en-US"/>
              </w:rPr>
            </w:pPr>
            <w:r>
              <w:rPr>
                <w:rFonts w:hint="eastAsia" w:ascii="宋体" w:hAnsi="宋体" w:cs="楷体_GB2312"/>
                <w:kern w:val="0"/>
                <w:sz w:val="21"/>
                <w:szCs w:val="21"/>
                <w:lang w:bidi="en-US"/>
              </w:rPr>
              <w:t>元</w:t>
            </w:r>
          </w:p>
        </w:tc>
        <w:tc>
          <w:tcPr>
            <w:tcW w:w="505" w:type="dxa"/>
            <w:vAlign w:val="center"/>
          </w:tcPr>
          <w:p>
            <w:pPr>
              <w:widowControl/>
              <w:autoSpaceDE w:val="0"/>
              <w:autoSpaceDN w:val="0"/>
              <w:adjustRightInd w:val="0"/>
              <w:spacing w:beforeLines="0" w:afterLines="0"/>
              <w:ind w:firstLine="0" w:firstLineChars="0"/>
              <w:jc w:val="center"/>
              <w:rPr>
                <w:rFonts w:ascii="宋体" w:hAnsi="宋体" w:cs="楷体_GB2312"/>
                <w:kern w:val="0"/>
                <w:sz w:val="21"/>
                <w:szCs w:val="21"/>
                <w:lang w:bidi="en-US"/>
              </w:rPr>
            </w:pPr>
            <w:r>
              <w:rPr>
                <w:rFonts w:ascii="宋体" w:hAnsi="宋体" w:cs="楷体_GB2312"/>
                <w:kern w:val="0"/>
                <w:sz w:val="21"/>
                <w:szCs w:val="21"/>
                <w:lang w:bidi="en-US"/>
              </w:rPr>
              <w:t>指</w:t>
            </w:r>
          </w:p>
        </w:tc>
        <w:tc>
          <w:tcPr>
            <w:tcW w:w="6104" w:type="dxa"/>
            <w:vAlign w:val="center"/>
          </w:tcPr>
          <w:p>
            <w:pPr>
              <w:widowControl/>
              <w:autoSpaceDE w:val="0"/>
              <w:autoSpaceDN w:val="0"/>
              <w:adjustRightInd w:val="0"/>
              <w:spacing w:beforeLines="0" w:afterLines="0"/>
              <w:ind w:firstLine="0" w:firstLineChars="0"/>
              <w:jc w:val="left"/>
              <w:rPr>
                <w:rFonts w:ascii="宋体" w:hAnsi="宋体" w:cs="楷体_GB2312"/>
                <w:kern w:val="0"/>
                <w:sz w:val="21"/>
                <w:szCs w:val="21"/>
                <w:lang w:bidi="en-US"/>
              </w:rPr>
            </w:pPr>
            <w:r>
              <w:rPr>
                <w:rFonts w:hint="eastAsia" w:ascii="宋体" w:hAnsi="宋体" w:cs="楷体_GB2312"/>
                <w:kern w:val="0"/>
                <w:sz w:val="21"/>
                <w:szCs w:val="21"/>
                <w:lang w:bidi="en-US"/>
              </w:rPr>
              <w:t>人民币元</w:t>
            </w:r>
          </w:p>
        </w:tc>
      </w:tr>
    </w:tbl>
    <w:p>
      <w:pPr>
        <w:spacing w:beforeLines="0" w:afterLines="0"/>
        <w:ind w:firstLine="0" w:firstLineChars="0"/>
        <w:rPr>
          <w:rFonts w:ascii="宋体" w:hAnsi="宋体"/>
        </w:rPr>
      </w:pPr>
      <w:r>
        <w:rPr>
          <w:rFonts w:ascii="宋体" w:hAnsi="宋体"/>
        </w:rPr>
        <w:br w:type="page"/>
      </w:r>
    </w:p>
    <w:p>
      <w:pPr>
        <w:spacing w:beforeLines="0" w:afterLines="0"/>
        <w:ind w:firstLine="0" w:firstLineChars="0"/>
        <w:rPr>
          <w:rFonts w:ascii="宋体" w:hAnsi="宋体"/>
        </w:rPr>
      </w:pPr>
    </w:p>
    <w:p>
      <w:pPr>
        <w:spacing w:beforeLines="0" w:afterLines="0"/>
        <w:ind w:firstLine="0" w:firstLineChars="0"/>
        <w:jc w:val="center"/>
        <w:rPr>
          <w:rFonts w:ascii="宋体" w:hAnsi="宋体"/>
          <w:b/>
          <w:sz w:val="32"/>
          <w:szCs w:val="32"/>
        </w:rPr>
      </w:pPr>
      <w:r>
        <w:rPr>
          <w:rFonts w:hint="eastAsia" w:ascii="宋体" w:hAnsi="宋体"/>
          <w:b/>
          <w:sz w:val="32"/>
          <w:szCs w:val="32"/>
        </w:rPr>
        <w:t>北京德和衡律师事务所</w:t>
      </w:r>
    </w:p>
    <w:p>
      <w:pPr>
        <w:spacing w:beforeLines="0" w:afterLines="0"/>
        <w:ind w:firstLine="0" w:firstLineChars="0"/>
        <w:jc w:val="center"/>
        <w:rPr>
          <w:rFonts w:ascii="宋体" w:hAnsi="宋体"/>
          <w:b/>
          <w:sz w:val="32"/>
          <w:szCs w:val="32"/>
        </w:rPr>
      </w:pPr>
      <w:r>
        <w:rPr>
          <w:rFonts w:hint="eastAsia" w:ascii="宋体" w:hAnsi="宋体"/>
          <w:b/>
          <w:sz w:val="32"/>
          <w:szCs w:val="32"/>
        </w:rPr>
        <w:t>关于青岛伟隆阀门股份有限公司</w:t>
      </w:r>
    </w:p>
    <w:p>
      <w:pPr>
        <w:spacing w:beforeLines="0" w:afterLines="0"/>
        <w:ind w:firstLine="0" w:firstLineChars="0"/>
        <w:jc w:val="center"/>
        <w:rPr>
          <w:rFonts w:ascii="宋体" w:hAnsi="宋体"/>
          <w:b/>
          <w:sz w:val="32"/>
          <w:szCs w:val="32"/>
        </w:rPr>
      </w:pPr>
      <w:r>
        <w:rPr>
          <w:rFonts w:hint="eastAsia" w:ascii="宋体" w:hAnsi="宋体"/>
          <w:b/>
          <w:sz w:val="32"/>
          <w:szCs w:val="32"/>
        </w:rPr>
        <w:t>2021年限制性股票激励计划首次授予部分第二次解除限售及回购注销部分限制性股票相关事项</w:t>
      </w:r>
    </w:p>
    <w:p>
      <w:pPr>
        <w:spacing w:beforeLines="0" w:afterLines="0"/>
        <w:ind w:firstLine="0" w:firstLineChars="0"/>
        <w:jc w:val="center"/>
        <w:rPr>
          <w:rFonts w:ascii="宋体" w:hAnsi="宋体"/>
          <w:b/>
          <w:sz w:val="32"/>
          <w:szCs w:val="32"/>
        </w:rPr>
      </w:pPr>
      <w:r>
        <w:rPr>
          <w:rFonts w:hint="eastAsia" w:ascii="宋体" w:hAnsi="宋体"/>
          <w:b/>
          <w:sz w:val="32"/>
          <w:szCs w:val="32"/>
        </w:rPr>
        <w:t>的法律意见书</w:t>
      </w:r>
    </w:p>
    <w:p>
      <w:pPr>
        <w:spacing w:before="163" w:after="326" w:afterLines="100"/>
        <w:ind w:firstLine="420"/>
        <w:jc w:val="right"/>
        <w:rPr>
          <w:rFonts w:ascii="宋体" w:hAnsi="宋体"/>
          <w:sz w:val="21"/>
          <w:szCs w:val="21"/>
        </w:rPr>
      </w:pPr>
      <w:r>
        <w:rPr>
          <w:rFonts w:hint="eastAsia" w:ascii="宋体" w:hAnsi="宋体"/>
          <w:sz w:val="21"/>
          <w:szCs w:val="21"/>
        </w:rPr>
        <w:t>德和衡证律意见（202</w:t>
      </w:r>
      <w:r>
        <w:rPr>
          <w:rFonts w:ascii="宋体" w:hAnsi="宋体"/>
          <w:sz w:val="21"/>
          <w:szCs w:val="21"/>
        </w:rPr>
        <w:t>3</w:t>
      </w:r>
      <w:r>
        <w:rPr>
          <w:rFonts w:hint="eastAsia" w:ascii="宋体" w:hAnsi="宋体"/>
          <w:sz w:val="21"/>
          <w:szCs w:val="21"/>
        </w:rPr>
        <w:t>）第6</w:t>
      </w:r>
      <w:r>
        <w:rPr>
          <w:rFonts w:ascii="宋体" w:hAnsi="宋体"/>
          <w:sz w:val="21"/>
          <w:szCs w:val="21"/>
        </w:rPr>
        <w:t>77</w:t>
      </w:r>
      <w:r>
        <w:rPr>
          <w:rFonts w:hint="eastAsia" w:ascii="宋体" w:hAnsi="宋体"/>
          <w:sz w:val="21"/>
          <w:szCs w:val="21"/>
        </w:rPr>
        <w:t>号</w:t>
      </w:r>
    </w:p>
    <w:p>
      <w:pPr>
        <w:spacing w:before="163" w:after="163"/>
        <w:ind w:firstLine="0" w:firstLineChars="0"/>
        <w:rPr>
          <w:rFonts w:ascii="宋体" w:hAnsi="宋体"/>
          <w:b/>
          <w:szCs w:val="24"/>
        </w:rPr>
      </w:pPr>
      <w:r>
        <w:rPr>
          <w:rFonts w:hint="eastAsia" w:ascii="宋体" w:hAnsi="宋体"/>
          <w:b/>
          <w:szCs w:val="24"/>
        </w:rPr>
        <w:t>致：青岛伟隆阀门股份有限公司</w:t>
      </w:r>
    </w:p>
    <w:p>
      <w:pPr>
        <w:spacing w:before="163" w:after="163"/>
        <w:ind w:firstLine="480"/>
        <w:rPr>
          <w:rFonts w:ascii="宋体" w:hAnsi="宋体"/>
        </w:rPr>
      </w:pPr>
      <w:bookmarkStart w:id="4" w:name="_Toc282015043"/>
      <w:bookmarkStart w:id="5" w:name="_Toc318985350"/>
      <w:bookmarkStart w:id="6" w:name="_Toc235508072"/>
      <w:r>
        <w:rPr>
          <w:rFonts w:hint="eastAsia" w:ascii="宋体" w:hAnsi="宋体" w:cs="楷体_GB2312"/>
        </w:rPr>
        <w:t>根据本所与青岛伟隆阀门股份有限公司签订的《专项法律服务协议》，本所指派律师为青岛伟隆阀门股份有限公司本次实施限制性股票激励计划提供专项法律服务。本所依据《公司法》《证券法》《管理办法》《律师事务所从事证券法律业务管理办法》《律师事务所证券法律业务执业规则（试行）》及《公司章程》等有关法律、法规及规范性文件的规定，按照律师行业公认的业务标准、道德规范和勤勉尽责精神，</w:t>
      </w:r>
      <w:r>
        <w:rPr>
          <w:rFonts w:hint="eastAsia" w:ascii="宋体" w:hAnsi="宋体"/>
        </w:rPr>
        <w:t>以事实为依据，以法律为准绳开展核查工作并出具法律意见。</w:t>
      </w:r>
    </w:p>
    <w:p>
      <w:pPr>
        <w:spacing w:before="163" w:after="163"/>
        <w:ind w:firstLine="480"/>
        <w:rPr>
          <w:rFonts w:ascii="宋体" w:hAnsi="宋体"/>
        </w:rPr>
      </w:pPr>
      <w:r>
        <w:rPr>
          <w:rFonts w:hint="eastAsia" w:ascii="宋体" w:hAnsi="宋体"/>
        </w:rPr>
        <w:t>本所及本所律师根据有关法律、行政法规、规范性文件的规定和本所业务规则的要求，本着审慎性及重要性原则对公司本次解除限售及本次回购注销有关的文件资料和事实进行了核查和验证。在开展核查验证过程中，本所律师得到了公司如下保证：</w:t>
      </w:r>
    </w:p>
    <w:p>
      <w:pPr>
        <w:spacing w:before="163" w:after="163"/>
        <w:ind w:firstLine="480"/>
        <w:rPr>
          <w:rFonts w:ascii="宋体" w:hAnsi="宋体"/>
        </w:rPr>
      </w:pPr>
      <w:r>
        <w:rPr>
          <w:rFonts w:hint="eastAsia" w:ascii="宋体" w:hAnsi="宋体"/>
        </w:rPr>
        <w:t>公司已向本所提供了本所律师认为出具法律意见书所必需的真实的原始书面材料、副本材料或复印件；公司在向本所提供文件时并无遗漏，所有文件上的签名、印章均是真实的，所有副本材料或复印件均与原件一致。</w:t>
      </w:r>
    </w:p>
    <w:p>
      <w:pPr>
        <w:spacing w:before="163" w:after="163"/>
        <w:ind w:firstLine="480"/>
        <w:rPr>
          <w:rFonts w:ascii="宋体" w:hAnsi="宋体"/>
        </w:rPr>
      </w:pPr>
      <w:r>
        <w:rPr>
          <w:rFonts w:hint="eastAsia" w:ascii="宋体" w:hAnsi="宋体"/>
        </w:rPr>
        <w:t>本法律意见书仅供公司实施本次解除限售及本次回购注销之目的使用，未经本所书面同意不得用作其他目的。本所律师同意将本法律意见书作为公司实施本次解除限售及本次回购注销的必备文件之一，随其他文件材料一同上报或公告。</w:t>
      </w:r>
    </w:p>
    <w:p>
      <w:pPr>
        <w:autoSpaceDE w:val="0"/>
        <w:autoSpaceDN w:val="0"/>
        <w:adjustRightInd w:val="0"/>
        <w:spacing w:before="163" w:after="163"/>
        <w:ind w:firstLine="480"/>
        <w:rPr>
          <w:rFonts w:ascii="宋体" w:hAnsi="宋体" w:cs="楷体_GB2312"/>
        </w:rPr>
      </w:pPr>
      <w:r>
        <w:rPr>
          <w:rFonts w:hint="eastAsia" w:ascii="宋体" w:hAnsi="宋体" w:cs="楷体_GB2312"/>
        </w:rPr>
        <w:t>为出具本</w:t>
      </w:r>
      <w:r>
        <w:rPr>
          <w:rFonts w:ascii="宋体" w:hAnsi="宋体" w:cs="楷体_GB2312"/>
        </w:rPr>
        <w:t>法律意见书</w:t>
      </w:r>
      <w:r>
        <w:rPr>
          <w:rFonts w:hint="eastAsia" w:ascii="宋体" w:hAnsi="宋体" w:cs="楷体_GB2312"/>
        </w:rPr>
        <w:t>，本所律师特作如下声明：</w:t>
      </w:r>
    </w:p>
    <w:p>
      <w:pPr>
        <w:autoSpaceDE w:val="0"/>
        <w:autoSpaceDN w:val="0"/>
        <w:adjustRightInd w:val="0"/>
        <w:spacing w:before="163" w:after="163"/>
        <w:ind w:firstLine="480"/>
        <w:rPr>
          <w:rFonts w:ascii="宋体" w:hAnsi="宋体" w:cs="楷体_GB2312"/>
        </w:rPr>
      </w:pPr>
      <w:r>
        <w:rPr>
          <w:rFonts w:hint="eastAsia" w:ascii="宋体" w:hAnsi="宋体" w:cs="楷体_GB2312"/>
        </w:rPr>
        <w:t>1.本</w:t>
      </w:r>
      <w:r>
        <w:rPr>
          <w:rFonts w:ascii="宋体" w:hAnsi="宋体" w:cs="楷体_GB2312"/>
        </w:rPr>
        <w:t>法律意见书</w:t>
      </w:r>
      <w:r>
        <w:rPr>
          <w:rFonts w:hint="eastAsia" w:ascii="宋体" w:hAnsi="宋体" w:cs="楷体_GB2312"/>
        </w:rPr>
        <w:t>系本所律师根据出具之日以前已经发生或存在的事实和有关法律法规的有关规定，并基于本所律师对有关事实的了解及对法律法规的理解出具。</w:t>
      </w:r>
    </w:p>
    <w:p>
      <w:pPr>
        <w:autoSpaceDE w:val="0"/>
        <w:autoSpaceDN w:val="0"/>
        <w:adjustRightInd w:val="0"/>
        <w:spacing w:before="163" w:after="163"/>
        <w:ind w:firstLine="480"/>
        <w:rPr>
          <w:rFonts w:ascii="宋体" w:hAnsi="宋体" w:cs="楷体_GB2312"/>
        </w:rPr>
      </w:pPr>
      <w:r>
        <w:rPr>
          <w:rFonts w:hint="eastAsia" w:ascii="宋体" w:hAnsi="宋体" w:cs="楷体_GB2312"/>
        </w:rPr>
        <w:t>2.伟隆股份保证已提供本所律师为出具本</w:t>
      </w:r>
      <w:r>
        <w:rPr>
          <w:rFonts w:ascii="宋体" w:hAnsi="宋体" w:cs="楷体_GB2312"/>
        </w:rPr>
        <w:t>法律意见书</w:t>
      </w:r>
      <w:r>
        <w:rPr>
          <w:rFonts w:hint="eastAsia" w:ascii="宋体" w:hAnsi="宋体" w:cs="楷体_GB2312"/>
        </w:rPr>
        <w:t>所必需的、真实的、完整的原始书面资料、副本资料或口头证言，一切足以影响本</w:t>
      </w:r>
      <w:r>
        <w:rPr>
          <w:rFonts w:ascii="宋体" w:hAnsi="宋体" w:cs="楷体_GB2312"/>
        </w:rPr>
        <w:t>法律意见书</w:t>
      </w:r>
      <w:r>
        <w:rPr>
          <w:rFonts w:hint="eastAsia" w:ascii="宋体" w:hAnsi="宋体" w:cs="楷体_GB2312"/>
        </w:rPr>
        <w:t>的事实和文件已向本所披露，并无任何隐瞒、虚假或误导之处，进而保证资料上的签字和/或印章均是真实的，有关副本资料或复印件与正本或原件相一致。</w:t>
      </w:r>
    </w:p>
    <w:p>
      <w:pPr>
        <w:autoSpaceDE w:val="0"/>
        <w:autoSpaceDN w:val="0"/>
        <w:adjustRightInd w:val="0"/>
        <w:spacing w:before="163" w:after="163"/>
        <w:ind w:firstLine="480"/>
        <w:rPr>
          <w:rFonts w:ascii="宋体" w:hAnsi="宋体" w:cs="楷体_GB2312"/>
        </w:rPr>
      </w:pPr>
      <w:r>
        <w:rPr>
          <w:rFonts w:hint="eastAsia" w:ascii="宋体" w:hAnsi="宋体" w:cs="楷体_GB2312"/>
        </w:rPr>
        <w:t>3.本所律师已对与出具本</w:t>
      </w:r>
      <w:r>
        <w:rPr>
          <w:rFonts w:ascii="宋体" w:hAnsi="宋体" w:cs="楷体_GB2312"/>
        </w:rPr>
        <w:t>法律意见书</w:t>
      </w:r>
      <w:r>
        <w:rPr>
          <w:rFonts w:hint="eastAsia" w:ascii="宋体" w:hAnsi="宋体" w:cs="楷体_GB2312"/>
        </w:rPr>
        <w:t>有关的伟隆股份所有文件、资料及证言进行了审查、判断，并据此发表法律意见；对本所律师法律尽职调查工作至关重要又无法得到独立证据支持的事实，本所律师依赖有关政府主管部门、伟隆股份或者其他有关机构出具的证明文件作出判断。</w:t>
      </w:r>
    </w:p>
    <w:p>
      <w:pPr>
        <w:autoSpaceDE w:val="0"/>
        <w:autoSpaceDN w:val="0"/>
        <w:adjustRightInd w:val="0"/>
        <w:spacing w:before="163" w:after="163"/>
        <w:ind w:firstLine="480"/>
        <w:rPr>
          <w:rFonts w:ascii="宋体" w:hAnsi="宋体" w:cs="楷体_GB2312"/>
        </w:rPr>
      </w:pPr>
      <w:r>
        <w:rPr>
          <w:rFonts w:hint="eastAsia" w:ascii="宋体" w:hAnsi="宋体" w:cs="楷体_GB2312"/>
        </w:rPr>
        <w:t>4.本所律师业已严格履行法定职责，遵循了勤勉尽责和诚实守信原则，对伟隆股份本次实施限制性股票激励计划进行了充分的核查验证，保证本</w:t>
      </w:r>
      <w:r>
        <w:rPr>
          <w:rFonts w:ascii="宋体" w:hAnsi="宋体" w:cs="楷体_GB2312"/>
        </w:rPr>
        <w:t>法律意见书</w:t>
      </w:r>
      <w:r>
        <w:rPr>
          <w:rFonts w:hint="eastAsia" w:ascii="宋体" w:hAnsi="宋体" w:cs="楷体_GB2312"/>
        </w:rPr>
        <w:t>不存在虚假记载、误导性陈述及重大遗漏。</w:t>
      </w:r>
    </w:p>
    <w:p>
      <w:pPr>
        <w:autoSpaceDE w:val="0"/>
        <w:autoSpaceDN w:val="0"/>
        <w:adjustRightInd w:val="0"/>
        <w:spacing w:before="163" w:after="163"/>
        <w:ind w:firstLine="480"/>
        <w:rPr>
          <w:rFonts w:ascii="宋体" w:hAnsi="宋体" w:cs="楷体_GB2312"/>
        </w:rPr>
      </w:pPr>
      <w:r>
        <w:rPr>
          <w:rFonts w:ascii="宋体" w:hAnsi="宋体" w:cs="楷体_GB2312"/>
        </w:rPr>
        <w:t>5</w:t>
      </w:r>
      <w:r>
        <w:rPr>
          <w:rFonts w:hint="eastAsia" w:ascii="宋体" w:hAnsi="宋体" w:cs="楷体_GB2312"/>
        </w:rPr>
        <w:t>.本</w:t>
      </w:r>
      <w:r>
        <w:rPr>
          <w:rFonts w:ascii="宋体" w:hAnsi="宋体" w:cs="楷体_GB2312"/>
        </w:rPr>
        <w:t>法律意见书</w:t>
      </w:r>
      <w:r>
        <w:rPr>
          <w:rFonts w:hint="eastAsia" w:ascii="宋体" w:hAnsi="宋体" w:cs="楷体_GB2312"/>
        </w:rPr>
        <w:t>仅就与本次解除限售及回购注销有关的法律问题发表意见，并不对会计、财务等专业事项发表意见。本所律师在本</w:t>
      </w:r>
      <w:r>
        <w:rPr>
          <w:rFonts w:ascii="宋体" w:hAnsi="宋体" w:cs="楷体_GB2312"/>
        </w:rPr>
        <w:t>法律意见书</w:t>
      </w:r>
      <w:r>
        <w:rPr>
          <w:rFonts w:hint="eastAsia" w:ascii="宋体" w:hAnsi="宋体" w:cs="楷体_GB2312"/>
        </w:rPr>
        <w:t>中对有关中介机构出具的报告、文件中某些数据和结论的引述，并不意味着本所对这些数据、结论的真实性和准确性作出任何明示或默示的保证。</w:t>
      </w:r>
      <w:r>
        <w:rPr>
          <w:rFonts w:hint="eastAsia" w:ascii="宋体" w:hAnsi="宋体"/>
          <w:color w:val="000000"/>
        </w:rPr>
        <w:t>本法律意见书仅供</w:t>
      </w:r>
      <w:r>
        <w:rPr>
          <w:rFonts w:hint="eastAsia" w:ascii="宋体" w:hAnsi="宋体" w:cs="楷体_GB2312"/>
        </w:rPr>
        <w:t>伟隆股份</w:t>
      </w:r>
      <w:r>
        <w:rPr>
          <w:rFonts w:hint="eastAsia" w:ascii="宋体" w:hAnsi="宋体"/>
          <w:color w:val="000000"/>
        </w:rPr>
        <w:t>为本次解除限售及回购注销之目的使用，不得用作其他任何目的。</w:t>
      </w:r>
    </w:p>
    <w:p>
      <w:pPr>
        <w:autoSpaceDE w:val="0"/>
        <w:autoSpaceDN w:val="0"/>
        <w:adjustRightInd w:val="0"/>
        <w:spacing w:before="163" w:after="163"/>
        <w:ind w:firstLine="480"/>
        <w:rPr>
          <w:rFonts w:ascii="宋体" w:hAnsi="宋体" w:cs="楷体_GB2312"/>
        </w:rPr>
      </w:pPr>
      <w:r>
        <w:rPr>
          <w:rFonts w:ascii="宋体" w:hAnsi="宋体" w:cs="楷体_GB2312"/>
        </w:rPr>
        <w:t>6</w:t>
      </w:r>
      <w:r>
        <w:rPr>
          <w:rFonts w:hint="eastAsia" w:ascii="宋体" w:hAnsi="宋体" w:cs="楷体_GB2312"/>
        </w:rPr>
        <w:t>.本所同意将本</w:t>
      </w:r>
      <w:r>
        <w:rPr>
          <w:rFonts w:ascii="宋体" w:hAnsi="宋体" w:cs="楷体_GB2312"/>
        </w:rPr>
        <w:t>法律意见书</w:t>
      </w:r>
      <w:r>
        <w:rPr>
          <w:rFonts w:hint="eastAsia" w:ascii="宋体" w:hAnsi="宋体" w:cs="楷体_GB2312"/>
        </w:rPr>
        <w:t>作为伟隆股份解除限售及回购注销所必备的法律文件，随同其他材料一同公告，并愿意依法对发表的法律意见承担相应的法律责任。</w:t>
      </w:r>
    </w:p>
    <w:p>
      <w:pPr>
        <w:spacing w:before="163" w:after="163"/>
        <w:ind w:left="480" w:leftChars="200" w:firstLine="0" w:firstLineChars="0"/>
        <w:rPr>
          <w:rFonts w:ascii="宋体" w:hAnsi="宋体"/>
        </w:rPr>
      </w:pPr>
      <w:r>
        <w:rPr>
          <w:rFonts w:hint="eastAsia" w:ascii="宋体" w:hAnsi="宋体"/>
        </w:rPr>
        <w:t>本所律师按照律师行业公认的业务标准、道德规范和勤勉尽责精神出具法律意见书如下：</w:t>
      </w:r>
      <w:bookmarkEnd w:id="4"/>
      <w:bookmarkEnd w:id="5"/>
      <w:bookmarkEnd w:id="6"/>
    </w:p>
    <w:p>
      <w:pPr>
        <w:spacing w:before="163" w:after="163"/>
        <w:ind w:left="480" w:leftChars="200" w:firstLine="0" w:firstLineChars="0"/>
        <w:rPr>
          <w:rFonts w:ascii="宋体" w:hAnsi="宋体"/>
          <w:b/>
          <w:lang w:bidi="en-US"/>
        </w:rPr>
      </w:pPr>
      <w:r>
        <w:rPr>
          <w:rFonts w:hint="eastAsia" w:ascii="宋体" w:hAnsi="宋体"/>
          <w:b/>
          <w:lang w:bidi="en-US"/>
        </w:rPr>
        <w:t>一、公司本次解除限售及本次回购注销的批准与授权</w:t>
      </w:r>
    </w:p>
    <w:p>
      <w:pPr>
        <w:spacing w:before="163" w:after="163"/>
        <w:ind w:firstLine="480"/>
        <w:rPr>
          <w:rFonts w:ascii="宋体" w:hAnsi="宋体"/>
          <w:lang w:bidi="en-US"/>
        </w:rPr>
      </w:pPr>
      <w:r>
        <w:rPr>
          <w:rFonts w:hint="eastAsia" w:ascii="宋体" w:hAnsi="宋体"/>
          <w:lang w:bidi="en-US"/>
        </w:rPr>
        <w:t>（一）公司本次解除限售的批准与授权</w:t>
      </w:r>
    </w:p>
    <w:p>
      <w:pPr>
        <w:spacing w:before="163" w:after="163"/>
        <w:ind w:firstLine="480"/>
        <w:rPr>
          <w:rFonts w:ascii="宋体" w:hAnsi="宋体"/>
          <w:lang w:bidi="en-US"/>
        </w:rPr>
      </w:pPr>
      <w:r>
        <w:rPr>
          <w:rFonts w:hint="eastAsia" w:ascii="宋体" w:hAnsi="宋体"/>
          <w:lang w:bidi="en-US"/>
        </w:rPr>
        <w:t>根据公司于</w:t>
      </w:r>
      <w:r>
        <w:rPr>
          <w:rFonts w:hint="eastAsia" w:asciiTheme="majorEastAsia" w:hAnsiTheme="majorEastAsia" w:eastAsiaTheme="majorEastAsia"/>
          <w:lang w:bidi="en-US"/>
        </w:rPr>
        <w:t>20</w:t>
      </w:r>
      <w:r>
        <w:rPr>
          <w:rFonts w:asciiTheme="majorEastAsia" w:hAnsiTheme="majorEastAsia" w:eastAsiaTheme="majorEastAsia"/>
          <w:lang w:bidi="en-US"/>
        </w:rPr>
        <w:t>21</w:t>
      </w:r>
      <w:r>
        <w:rPr>
          <w:rFonts w:hint="eastAsia" w:asciiTheme="majorEastAsia" w:hAnsiTheme="majorEastAsia" w:eastAsiaTheme="majorEastAsia"/>
          <w:lang w:bidi="en-US"/>
        </w:rPr>
        <w:t>年</w:t>
      </w:r>
      <w:r>
        <w:rPr>
          <w:rFonts w:asciiTheme="majorEastAsia" w:hAnsiTheme="majorEastAsia" w:eastAsiaTheme="majorEastAsia"/>
          <w:lang w:bidi="en-US"/>
        </w:rPr>
        <w:t>10</w:t>
      </w:r>
      <w:r>
        <w:rPr>
          <w:rFonts w:hint="eastAsia" w:asciiTheme="majorEastAsia" w:hAnsiTheme="majorEastAsia" w:eastAsiaTheme="majorEastAsia"/>
          <w:lang w:bidi="en-US"/>
        </w:rPr>
        <w:t>月1</w:t>
      </w:r>
      <w:r>
        <w:rPr>
          <w:rFonts w:asciiTheme="majorEastAsia" w:hAnsiTheme="majorEastAsia" w:eastAsiaTheme="majorEastAsia"/>
          <w:lang w:bidi="en-US"/>
        </w:rPr>
        <w:t>4</w:t>
      </w:r>
      <w:r>
        <w:rPr>
          <w:rFonts w:hint="eastAsia" w:asciiTheme="majorEastAsia" w:hAnsiTheme="majorEastAsia" w:eastAsiaTheme="majorEastAsia"/>
          <w:lang w:bidi="en-US"/>
        </w:rPr>
        <w:t>日召开的20</w:t>
      </w:r>
      <w:r>
        <w:rPr>
          <w:rFonts w:asciiTheme="majorEastAsia" w:hAnsiTheme="majorEastAsia" w:eastAsiaTheme="majorEastAsia"/>
          <w:lang w:bidi="en-US"/>
        </w:rPr>
        <w:t>21</w:t>
      </w:r>
      <w:r>
        <w:rPr>
          <w:rFonts w:hint="eastAsia" w:asciiTheme="majorEastAsia" w:hAnsiTheme="majorEastAsia" w:eastAsiaTheme="majorEastAsia"/>
          <w:lang w:bidi="en-US"/>
        </w:rPr>
        <w:t>年第二次临时股东大会审议通过的</w:t>
      </w:r>
      <w:r>
        <w:rPr>
          <w:rFonts w:hint="eastAsia" w:ascii="宋体" w:hAnsi="宋体"/>
          <w:lang w:bidi="en-US"/>
        </w:rPr>
        <w:t>《关于提请公司股东大会授权董事会办理公司2021年限制性股票激励计划有关事项的议案》，公司股东大会授权董事会对激励对象的解除限售资格和解除限售条件进行审查确认，按照限制性股票激励计划的规定，为符合条件的激励对象办理解除限售的全部事宜等。授权期限与本次股权激励计划有效期一致。</w:t>
      </w:r>
    </w:p>
    <w:p>
      <w:pPr>
        <w:spacing w:before="163" w:after="163"/>
        <w:ind w:firstLine="480"/>
        <w:rPr>
          <w:rFonts w:ascii="宋体" w:hAnsi="宋体"/>
          <w:szCs w:val="21"/>
          <w:lang w:bidi="en-US"/>
        </w:rPr>
      </w:pPr>
      <w:r>
        <w:rPr>
          <w:rFonts w:hint="eastAsia" w:ascii="宋体" w:hAnsi="宋体"/>
          <w:lang w:bidi="en-US"/>
        </w:rPr>
        <w:t>1.</w:t>
      </w:r>
      <w:r>
        <w:rPr>
          <w:rFonts w:hint="eastAsia" w:ascii="宋体" w:hAnsi="宋体"/>
          <w:szCs w:val="21"/>
          <w:lang w:bidi="en-US"/>
        </w:rPr>
        <w:t>202</w:t>
      </w:r>
      <w:r>
        <w:rPr>
          <w:rFonts w:ascii="宋体" w:hAnsi="宋体"/>
          <w:szCs w:val="21"/>
          <w:lang w:bidi="en-US"/>
        </w:rPr>
        <w:t>3</w:t>
      </w:r>
      <w:r>
        <w:rPr>
          <w:rFonts w:hint="eastAsia" w:ascii="宋体" w:hAnsi="宋体"/>
          <w:szCs w:val="21"/>
          <w:lang w:bidi="en-US"/>
        </w:rPr>
        <w:t>年1</w:t>
      </w:r>
      <w:r>
        <w:rPr>
          <w:rFonts w:ascii="宋体" w:hAnsi="宋体"/>
          <w:szCs w:val="21"/>
          <w:lang w:bidi="en-US"/>
        </w:rPr>
        <w:t>0</w:t>
      </w:r>
      <w:r>
        <w:rPr>
          <w:rFonts w:hint="eastAsia" w:ascii="宋体" w:hAnsi="宋体"/>
          <w:szCs w:val="21"/>
          <w:lang w:bidi="en-US"/>
        </w:rPr>
        <w:t>月1</w:t>
      </w:r>
      <w:r>
        <w:rPr>
          <w:rFonts w:hint="default" w:ascii="宋体" w:hAnsi="宋体"/>
          <w:szCs w:val="21"/>
          <w:lang w:val="en-US" w:bidi="en-US"/>
        </w:rPr>
        <w:t>8</w:t>
      </w:r>
      <w:r>
        <w:rPr>
          <w:rFonts w:hint="eastAsia" w:ascii="宋体" w:hAnsi="宋体"/>
          <w:szCs w:val="21"/>
          <w:lang w:bidi="en-US"/>
        </w:rPr>
        <w:t>日，公司第四届董事会第</w:t>
      </w:r>
      <w:r>
        <w:rPr>
          <w:rFonts w:hint="eastAsia" w:asciiTheme="minorEastAsia" w:hAnsiTheme="minorEastAsia" w:eastAsiaTheme="minorEastAsia"/>
          <w:szCs w:val="23"/>
        </w:rPr>
        <w:t>二十六</w:t>
      </w:r>
      <w:r>
        <w:rPr>
          <w:rFonts w:hint="eastAsia" w:ascii="宋体" w:hAnsi="宋体"/>
          <w:szCs w:val="21"/>
          <w:lang w:bidi="en-US"/>
        </w:rPr>
        <w:t>次会议审议通过了《</w:t>
      </w:r>
      <w:bookmarkStart w:id="7" w:name="_Hlk117587319"/>
      <w:r>
        <w:rPr>
          <w:rFonts w:hint="eastAsia" w:ascii="宋体" w:hAnsi="宋体"/>
          <w:szCs w:val="21"/>
          <w:lang w:bidi="en-US"/>
        </w:rPr>
        <w:t>关于2021年限制性股票激励计划首次授予部分第二个解锁期解锁条件成就的议案</w:t>
      </w:r>
      <w:bookmarkEnd w:id="7"/>
      <w:r>
        <w:rPr>
          <w:rFonts w:hint="eastAsia" w:ascii="宋体" w:hAnsi="宋体"/>
          <w:szCs w:val="21"/>
          <w:lang w:bidi="en-US"/>
        </w:rPr>
        <w:t>》。公司董事会认为：2021年限制性股票激励计划中</w:t>
      </w:r>
      <w:r>
        <w:rPr>
          <w:rFonts w:hint="eastAsia" w:asciiTheme="minorEastAsia" w:hAnsiTheme="minorEastAsia" w:eastAsiaTheme="minorEastAsia"/>
          <w:szCs w:val="23"/>
        </w:rPr>
        <w:t>第二个解锁期解锁条件已经成就，其中1名激励对象由于离职不符合解锁条件，其所持有的未解禁部分股票全部回购注销；1名激励对象绩效考核为不合格，不符合解锁条件；2名激励对象绩效考核为合格，可以申请解除当期80%限售股份；1名激励对象绩效考核为良好，可以申请解除当期90%限售股份，前述4名激励对象其所持有的本期未解禁部分股票全部回购注销，其余72名激励对象本期</w:t>
      </w:r>
      <w:r>
        <w:rPr>
          <w:rFonts w:asciiTheme="minorEastAsia" w:hAnsiTheme="minorEastAsia" w:eastAsiaTheme="minorEastAsia"/>
          <w:szCs w:val="23"/>
        </w:rPr>
        <w:t>限售股份解锁比例为100%</w:t>
      </w:r>
      <w:r>
        <w:rPr>
          <w:rFonts w:hint="eastAsia" w:asciiTheme="minorEastAsia" w:hAnsiTheme="minorEastAsia" w:eastAsiaTheme="minorEastAsia"/>
          <w:szCs w:val="23"/>
        </w:rPr>
        <w:t>。根据公司《激励计划（草案）》的相关规定，2名激励对象可以申请解除限售所获限制性股票总量的24%，</w:t>
      </w:r>
      <w:r>
        <w:rPr>
          <w:rFonts w:asciiTheme="minorEastAsia" w:hAnsiTheme="minorEastAsia" w:eastAsiaTheme="minorEastAsia"/>
          <w:szCs w:val="23"/>
        </w:rPr>
        <w:t>1</w:t>
      </w:r>
      <w:r>
        <w:rPr>
          <w:rFonts w:hint="eastAsia" w:asciiTheme="minorEastAsia" w:hAnsiTheme="minorEastAsia" w:eastAsiaTheme="minorEastAsia"/>
          <w:szCs w:val="23"/>
        </w:rPr>
        <w:t>名激励对象可以申请解除限售所获限制性股票总量的2</w:t>
      </w:r>
      <w:r>
        <w:rPr>
          <w:rFonts w:asciiTheme="minorEastAsia" w:hAnsiTheme="minorEastAsia" w:eastAsiaTheme="minorEastAsia"/>
          <w:szCs w:val="23"/>
        </w:rPr>
        <w:t>7</w:t>
      </w:r>
      <w:r>
        <w:rPr>
          <w:rFonts w:hint="eastAsia" w:asciiTheme="minorEastAsia" w:hAnsiTheme="minorEastAsia" w:eastAsiaTheme="minorEastAsia"/>
          <w:szCs w:val="23"/>
        </w:rPr>
        <w:t>%，其余72名激励对象可申请解除限售所获限制性股票总量的3</w:t>
      </w:r>
      <w:r>
        <w:rPr>
          <w:rFonts w:asciiTheme="minorEastAsia" w:hAnsiTheme="minorEastAsia" w:eastAsiaTheme="minorEastAsia"/>
          <w:szCs w:val="23"/>
        </w:rPr>
        <w:t>0%</w:t>
      </w:r>
      <w:r>
        <w:rPr>
          <w:rFonts w:hint="eastAsia" w:asciiTheme="minorEastAsia" w:hAnsiTheme="minorEastAsia" w:eastAsiaTheme="minorEastAsia"/>
          <w:szCs w:val="23"/>
        </w:rPr>
        <w:t>。</w:t>
      </w:r>
      <w:r>
        <w:rPr>
          <w:rFonts w:asciiTheme="minorEastAsia" w:hAnsiTheme="minorEastAsia" w:eastAsiaTheme="minorEastAsia"/>
          <w:szCs w:val="23"/>
        </w:rPr>
        <w:t>75</w:t>
      </w:r>
      <w:r>
        <w:rPr>
          <w:rFonts w:hint="eastAsia" w:asciiTheme="minorEastAsia" w:hAnsiTheme="minorEastAsia" w:eastAsiaTheme="minorEastAsia"/>
          <w:szCs w:val="23"/>
        </w:rPr>
        <w:t>名激励对象获授限制性股票总数为3,269,500股，本次可申请解锁的限制性股票数量为973</w:t>
      </w:r>
      <w:r>
        <w:rPr>
          <w:rFonts w:asciiTheme="minorEastAsia" w:hAnsiTheme="minorEastAsia" w:eastAsiaTheme="minorEastAsia"/>
          <w:szCs w:val="23"/>
        </w:rPr>
        <w:t>,</w:t>
      </w:r>
      <w:r>
        <w:rPr>
          <w:rFonts w:hint="eastAsia" w:asciiTheme="minorEastAsia" w:hAnsiTheme="minorEastAsia" w:eastAsiaTheme="minorEastAsia"/>
          <w:szCs w:val="23"/>
        </w:rPr>
        <w:t>245股，占目前公司总股本的0.4433%。</w:t>
      </w:r>
    </w:p>
    <w:p>
      <w:pPr>
        <w:spacing w:before="163" w:after="163"/>
        <w:ind w:firstLine="480"/>
        <w:rPr>
          <w:rFonts w:cs="宋体" w:asciiTheme="minorEastAsia" w:hAnsiTheme="minorEastAsia" w:eastAsiaTheme="minorEastAsia"/>
          <w:szCs w:val="24"/>
        </w:rPr>
      </w:pPr>
      <w:r>
        <w:rPr>
          <w:rFonts w:hint="eastAsia" w:ascii="宋体" w:hAnsi="宋体"/>
          <w:szCs w:val="21"/>
          <w:lang w:bidi="en-US"/>
        </w:rPr>
        <w:t>2.公司独立董事发表了同意的独立意见，认为：</w:t>
      </w:r>
      <w:r>
        <w:rPr>
          <w:rFonts w:hint="eastAsia" w:cs="宋体" w:asciiTheme="minorEastAsia" w:hAnsiTheme="minorEastAsia" w:eastAsiaTheme="minorEastAsia"/>
          <w:szCs w:val="24"/>
        </w:rPr>
        <w:t>本激励计划首次授予部分第二个解锁期解锁条件已全部成就，并同意公司按照《激励计划（草案）》及相关法律法规的要求，为</w:t>
      </w:r>
      <w:r>
        <w:rPr>
          <w:rFonts w:cs="宋体" w:asciiTheme="minorEastAsia" w:hAnsiTheme="minorEastAsia" w:eastAsiaTheme="minorEastAsia"/>
          <w:szCs w:val="24"/>
        </w:rPr>
        <w:t>7</w:t>
      </w:r>
      <w:r>
        <w:rPr>
          <w:rFonts w:hint="eastAsia" w:cs="宋体" w:asciiTheme="minorEastAsia" w:hAnsiTheme="minorEastAsia" w:eastAsiaTheme="minorEastAsia"/>
          <w:szCs w:val="24"/>
        </w:rPr>
        <w:t>5名激励对象所持共计</w:t>
      </w:r>
      <w:r>
        <w:rPr>
          <w:rFonts w:hint="eastAsia" w:asciiTheme="minorEastAsia" w:hAnsiTheme="minorEastAsia" w:eastAsiaTheme="minorEastAsia"/>
          <w:szCs w:val="23"/>
        </w:rPr>
        <w:t>973</w:t>
      </w:r>
      <w:r>
        <w:rPr>
          <w:rFonts w:asciiTheme="minorEastAsia" w:hAnsiTheme="minorEastAsia" w:eastAsiaTheme="minorEastAsia"/>
          <w:szCs w:val="23"/>
        </w:rPr>
        <w:t>,</w:t>
      </w:r>
      <w:r>
        <w:rPr>
          <w:rFonts w:hint="eastAsia" w:asciiTheme="minorEastAsia" w:hAnsiTheme="minorEastAsia" w:eastAsiaTheme="minorEastAsia"/>
          <w:szCs w:val="23"/>
        </w:rPr>
        <w:t>245</w:t>
      </w:r>
      <w:r>
        <w:rPr>
          <w:rFonts w:hint="eastAsia" w:cs="宋体" w:asciiTheme="minorEastAsia" w:hAnsiTheme="minorEastAsia" w:eastAsiaTheme="minorEastAsia"/>
          <w:szCs w:val="24"/>
        </w:rPr>
        <w:t>股限制性股票安排解除限售。</w:t>
      </w:r>
    </w:p>
    <w:p>
      <w:pPr>
        <w:spacing w:before="163" w:after="163"/>
        <w:ind w:firstLine="480"/>
        <w:rPr>
          <w:rFonts w:cs="宋体" w:asciiTheme="minorEastAsia" w:hAnsiTheme="minorEastAsia" w:eastAsiaTheme="minorEastAsia"/>
          <w:szCs w:val="24"/>
        </w:rPr>
      </w:pPr>
      <w:r>
        <w:rPr>
          <w:rFonts w:hint="eastAsia" w:asciiTheme="minorEastAsia" w:hAnsiTheme="minorEastAsia" w:eastAsiaTheme="minorEastAsia"/>
        </w:rPr>
        <w:t>3.</w:t>
      </w:r>
      <w:r>
        <w:rPr>
          <w:rFonts w:hint="eastAsia" w:ascii="宋体" w:hAnsi="宋体"/>
          <w:szCs w:val="21"/>
          <w:lang w:bidi="en-US"/>
        </w:rPr>
        <w:t>202</w:t>
      </w:r>
      <w:r>
        <w:rPr>
          <w:rFonts w:ascii="宋体" w:hAnsi="宋体"/>
          <w:szCs w:val="21"/>
          <w:lang w:bidi="en-US"/>
        </w:rPr>
        <w:t>3</w:t>
      </w:r>
      <w:r>
        <w:rPr>
          <w:rFonts w:hint="eastAsia" w:ascii="宋体" w:hAnsi="宋体"/>
          <w:szCs w:val="21"/>
          <w:lang w:bidi="en-US"/>
        </w:rPr>
        <w:t>年1</w:t>
      </w:r>
      <w:r>
        <w:rPr>
          <w:rFonts w:ascii="宋体" w:hAnsi="宋体"/>
          <w:szCs w:val="21"/>
          <w:lang w:bidi="en-US"/>
        </w:rPr>
        <w:t>0</w:t>
      </w:r>
      <w:r>
        <w:rPr>
          <w:rFonts w:hint="eastAsia" w:ascii="宋体" w:hAnsi="宋体"/>
          <w:szCs w:val="21"/>
          <w:lang w:bidi="en-US"/>
        </w:rPr>
        <w:t>月1</w:t>
      </w:r>
      <w:r>
        <w:rPr>
          <w:rFonts w:hint="default" w:ascii="宋体" w:hAnsi="宋体"/>
          <w:szCs w:val="21"/>
          <w:lang w:val="en-US" w:bidi="en-US"/>
        </w:rPr>
        <w:t>8</w:t>
      </w:r>
      <w:r>
        <w:rPr>
          <w:rFonts w:hint="eastAsia" w:ascii="宋体" w:hAnsi="宋体"/>
          <w:szCs w:val="21"/>
          <w:lang w:bidi="en-US"/>
        </w:rPr>
        <w:t>日，公司第四届监事会第二十次会议通过了《关于2021年限制性股票激励计划首次授予部分第二个解锁期解锁条件成就的议案》，公司监事会认为：</w:t>
      </w:r>
      <w:r>
        <w:rPr>
          <w:rFonts w:hint="eastAsia" w:cs="宋体" w:asciiTheme="minorEastAsia" w:hAnsiTheme="minorEastAsia" w:eastAsiaTheme="minorEastAsia"/>
          <w:szCs w:val="24"/>
        </w:rPr>
        <w:t>公司</w:t>
      </w:r>
      <w:r>
        <w:rPr>
          <w:rFonts w:cs="宋体" w:asciiTheme="minorEastAsia" w:hAnsiTheme="minorEastAsia" w:eastAsiaTheme="minorEastAsia"/>
          <w:szCs w:val="24"/>
        </w:rPr>
        <w:t>7</w:t>
      </w:r>
      <w:r>
        <w:rPr>
          <w:rFonts w:hint="eastAsia" w:cs="宋体" w:asciiTheme="minorEastAsia" w:hAnsiTheme="minorEastAsia" w:eastAsiaTheme="minorEastAsia"/>
          <w:szCs w:val="24"/>
        </w:rPr>
        <w:t>5名激励对象解除限售资格合法有效，公司20</w:t>
      </w:r>
      <w:r>
        <w:rPr>
          <w:rFonts w:cs="宋体" w:asciiTheme="minorEastAsia" w:hAnsiTheme="minorEastAsia" w:eastAsiaTheme="minorEastAsia"/>
          <w:szCs w:val="24"/>
        </w:rPr>
        <w:t>21</w:t>
      </w:r>
      <w:r>
        <w:rPr>
          <w:rFonts w:hint="eastAsia" w:cs="宋体" w:asciiTheme="minorEastAsia" w:hAnsiTheme="minorEastAsia" w:eastAsiaTheme="minorEastAsia"/>
          <w:szCs w:val="24"/>
        </w:rPr>
        <w:t>年限制性股票预留部分第二个解锁期解锁条件已经成就，同意公司按《激励计划（草案）》办理限制性股票预留部分第二个解除限售期解除限售的相关事宜。</w:t>
      </w:r>
    </w:p>
    <w:p>
      <w:pPr>
        <w:spacing w:before="163" w:after="163"/>
        <w:ind w:firstLine="480"/>
        <w:rPr>
          <w:rFonts w:ascii="宋体" w:hAnsi="宋体"/>
          <w:szCs w:val="21"/>
          <w:lang w:bidi="en-US"/>
        </w:rPr>
      </w:pPr>
      <w:r>
        <w:rPr>
          <w:rFonts w:hint="eastAsia"/>
        </w:rPr>
        <w:t>综上，本所律师认为，截至本法律意见书出具之日，</w:t>
      </w:r>
      <w:r>
        <w:rPr>
          <w:rFonts w:hint="eastAsia" w:ascii="宋体" w:hAnsi="宋体"/>
          <w:lang w:bidi="en-US"/>
        </w:rPr>
        <w:t>公司本次解除限售已经取得必要的授权和批准，</w:t>
      </w:r>
      <w:r>
        <w:rPr>
          <w:rFonts w:hint="eastAsia"/>
        </w:rPr>
        <w:t>符合《公司法》《证券法》《管理办法》以及《公司章程》《激励计划（草案）》的相关规定。</w:t>
      </w:r>
    </w:p>
    <w:p>
      <w:pPr>
        <w:spacing w:before="163" w:after="163"/>
        <w:ind w:firstLine="480"/>
        <w:rPr>
          <w:rFonts w:ascii="宋体" w:hAnsi="宋体"/>
          <w:lang w:bidi="en-US"/>
        </w:rPr>
      </w:pPr>
      <w:r>
        <w:rPr>
          <w:rFonts w:hint="eastAsia" w:ascii="宋体" w:hAnsi="宋体"/>
          <w:lang w:bidi="en-US"/>
        </w:rPr>
        <w:t>（二）公司本次回购注销的批准与授权</w:t>
      </w:r>
    </w:p>
    <w:p>
      <w:pPr>
        <w:spacing w:before="163" w:after="163"/>
        <w:ind w:firstLine="480"/>
        <w:rPr>
          <w:rFonts w:ascii="宋体" w:hAnsi="宋体"/>
          <w:lang w:bidi="en-US"/>
        </w:rPr>
      </w:pPr>
      <w:r>
        <w:rPr>
          <w:rFonts w:hint="eastAsia" w:ascii="宋体" w:hAnsi="宋体"/>
          <w:lang w:bidi="en-US"/>
        </w:rPr>
        <w:t>根据公司于2021年10月14日召开的2021年第二次临时股东大会审议通过的《关于提请公司股东大会授权董事会办理公司2021年限制性股票激励计划有关事项的议案》，股东大会同意“授权董事会对激励对象的解除限售资格、解除限售条件进行审查确认，并同意董事会将该项权利授予薪酬与考核委员会行使”、“授权董事会决定激励对象是否可以解除限售”、“取消激励对象的解除限售资格，对激励对象尚未解除限售的限制性股票回购注销”。</w:t>
      </w:r>
    </w:p>
    <w:p>
      <w:pPr>
        <w:spacing w:before="163" w:after="163"/>
        <w:ind w:firstLine="480"/>
        <w:rPr>
          <w:rFonts w:ascii="宋体" w:hAnsi="宋体"/>
          <w:szCs w:val="21"/>
          <w:lang w:bidi="en-US"/>
        </w:rPr>
      </w:pPr>
      <w:r>
        <w:rPr>
          <w:rFonts w:hint="eastAsia" w:ascii="宋体" w:hAnsi="宋体"/>
          <w:lang w:bidi="en-US"/>
        </w:rPr>
        <w:t>1．</w:t>
      </w:r>
      <w:r>
        <w:rPr>
          <w:rFonts w:hint="eastAsia" w:ascii="宋体" w:hAnsi="宋体"/>
          <w:szCs w:val="21"/>
          <w:lang w:bidi="en-US"/>
        </w:rPr>
        <w:t>202</w:t>
      </w:r>
      <w:r>
        <w:rPr>
          <w:rFonts w:ascii="宋体" w:hAnsi="宋体"/>
          <w:szCs w:val="21"/>
          <w:lang w:bidi="en-US"/>
        </w:rPr>
        <w:t>3</w:t>
      </w:r>
      <w:r>
        <w:rPr>
          <w:rFonts w:hint="eastAsia" w:ascii="宋体" w:hAnsi="宋体"/>
          <w:szCs w:val="21"/>
          <w:lang w:bidi="en-US"/>
        </w:rPr>
        <w:t>年1</w:t>
      </w:r>
      <w:r>
        <w:rPr>
          <w:rFonts w:ascii="宋体" w:hAnsi="宋体"/>
          <w:szCs w:val="21"/>
          <w:lang w:bidi="en-US"/>
        </w:rPr>
        <w:t>0</w:t>
      </w:r>
      <w:r>
        <w:rPr>
          <w:rFonts w:hint="eastAsia" w:ascii="宋体" w:hAnsi="宋体"/>
          <w:szCs w:val="21"/>
          <w:lang w:bidi="en-US"/>
        </w:rPr>
        <w:t>月</w:t>
      </w:r>
      <w:r>
        <w:rPr>
          <w:rFonts w:ascii="宋体" w:hAnsi="宋体"/>
          <w:szCs w:val="21"/>
          <w:lang w:bidi="en-US"/>
        </w:rPr>
        <w:t>1</w:t>
      </w:r>
      <w:r>
        <w:rPr>
          <w:rFonts w:hint="default" w:ascii="宋体" w:hAnsi="宋体"/>
          <w:szCs w:val="21"/>
          <w:lang w:val="en-US" w:bidi="en-US"/>
        </w:rPr>
        <w:t>8</w:t>
      </w:r>
      <w:r>
        <w:rPr>
          <w:rFonts w:hint="eastAsia" w:ascii="宋体" w:hAnsi="宋体"/>
          <w:szCs w:val="21"/>
          <w:lang w:bidi="en-US"/>
        </w:rPr>
        <w:t>日，公司第四届董事会第</w:t>
      </w:r>
      <w:r>
        <w:rPr>
          <w:rFonts w:hint="eastAsia" w:asciiTheme="minorEastAsia" w:hAnsiTheme="minorEastAsia" w:eastAsiaTheme="minorEastAsia"/>
          <w:szCs w:val="23"/>
        </w:rPr>
        <w:t>二十六</w:t>
      </w:r>
      <w:r>
        <w:rPr>
          <w:rFonts w:hint="eastAsia" w:ascii="宋体" w:hAnsi="宋体"/>
          <w:szCs w:val="21"/>
          <w:lang w:bidi="en-US"/>
        </w:rPr>
        <w:t>次会议通过了《关于回购注销部分限制性股票的议案》等议案。经董事会审议，认为</w:t>
      </w:r>
      <w:r>
        <w:rPr>
          <w:rFonts w:hint="eastAsia" w:asciiTheme="minorEastAsia" w:hAnsiTheme="minorEastAsia" w:eastAsiaTheme="minorEastAsia"/>
          <w:szCs w:val="23"/>
        </w:rPr>
        <w:t>公司2021年限制性股票激励计划首次授予部分的激励对象1名人员因个人原因离职，不符合解锁条件；</w:t>
      </w:r>
      <w:bookmarkStart w:id="8" w:name="_Hlk117256671"/>
      <w:r>
        <w:rPr>
          <w:rFonts w:hint="eastAsia" w:asciiTheme="minorEastAsia" w:hAnsiTheme="minorEastAsia" w:eastAsiaTheme="minorEastAsia"/>
          <w:szCs w:val="23"/>
        </w:rPr>
        <w:t>1名激励对象绩效考核为不合格，不符合解锁条件；2名激励对象绩效考核为合格，可以申请解除当期80%限售股份；1名激励对象绩效考核为良好，可以申请解除当期90%限售股份</w:t>
      </w:r>
      <w:bookmarkEnd w:id="8"/>
      <w:r>
        <w:rPr>
          <w:rFonts w:hint="eastAsia" w:asciiTheme="minorEastAsia" w:hAnsiTheme="minorEastAsia" w:eastAsiaTheme="minorEastAsia"/>
          <w:szCs w:val="23"/>
        </w:rPr>
        <w:t>；2021年限制性股票激励计划激励预留部分的激励对象3名人员因个人原因离职，不符合解锁条件；根据公司《激励计划（草案）》的规定，公司董事会决定对</w:t>
      </w:r>
      <w:r>
        <w:rPr>
          <w:rFonts w:asciiTheme="minorEastAsia" w:hAnsiTheme="minorEastAsia" w:eastAsiaTheme="minorEastAsia"/>
          <w:szCs w:val="23"/>
        </w:rPr>
        <w:t>4</w:t>
      </w:r>
      <w:r>
        <w:rPr>
          <w:rFonts w:hint="eastAsia" w:asciiTheme="minorEastAsia" w:hAnsiTheme="minorEastAsia" w:eastAsiaTheme="minorEastAsia"/>
          <w:szCs w:val="23"/>
        </w:rPr>
        <w:t>名离职人员和4名考核结果未达优秀的人员所持已获授但尚未解锁的171,405股限制性股票进行回购注销。</w:t>
      </w:r>
    </w:p>
    <w:p>
      <w:pPr>
        <w:spacing w:before="163" w:after="163"/>
        <w:ind w:firstLine="480"/>
        <w:rPr>
          <w:rFonts w:asciiTheme="minorEastAsia" w:hAnsiTheme="minorEastAsia"/>
          <w:szCs w:val="24"/>
        </w:rPr>
      </w:pPr>
      <w:r>
        <w:rPr>
          <w:rFonts w:hint="eastAsia" w:ascii="宋体" w:hAnsi="宋体"/>
          <w:lang w:bidi="en-US"/>
        </w:rPr>
        <w:t>2.公司独立董事对本次回购注销事项发表了独立意见，</w:t>
      </w:r>
      <w:r>
        <w:rPr>
          <w:rFonts w:hint="eastAsia" w:asciiTheme="minorEastAsia" w:hAnsiTheme="minorEastAsia"/>
          <w:szCs w:val="24"/>
        </w:rPr>
        <w:t>认为：</w:t>
      </w:r>
      <w:r>
        <w:rPr>
          <w:rFonts w:hint="eastAsia" w:ascii="宋体" w:hAnsi="宋体"/>
          <w:szCs w:val="21"/>
          <w:lang w:bidi="en-US"/>
        </w:rPr>
        <w:t>由于公司4名激励对象因个人原因离职，已不符合公司限制性股票激励计划中有关激励对象的规定，其所持有的未解禁部分股票全部回购；</w:t>
      </w:r>
      <w:r>
        <w:rPr>
          <w:rFonts w:hint="eastAsia" w:asciiTheme="minorEastAsia" w:hAnsiTheme="minorEastAsia" w:eastAsiaTheme="minorEastAsia"/>
          <w:szCs w:val="23"/>
        </w:rPr>
        <w:t>1名激励对象绩效考核为不合格，不符合解锁条件；2名激励对象绩效考核为合格，可以申请解除当期80%限售股份；1名激励对象绩效考核为良好，可以申请解除当期90%限售股份，</w:t>
      </w:r>
      <w:bookmarkStart w:id="9" w:name="_Hlk147838241"/>
      <w:r>
        <w:rPr>
          <w:rFonts w:hint="eastAsia" w:ascii="宋体" w:hAnsi="宋体"/>
          <w:szCs w:val="21"/>
          <w:lang w:bidi="en-US"/>
        </w:rPr>
        <w:t>前述4名激励对象其所持有的本期未解禁部分股票全部回购，</w:t>
      </w:r>
      <w:bookmarkEnd w:id="9"/>
      <w:r>
        <w:rPr>
          <w:rFonts w:hint="eastAsia" w:ascii="宋体" w:hAnsi="宋体"/>
          <w:szCs w:val="21"/>
          <w:lang w:bidi="en-US"/>
        </w:rPr>
        <w:t>经公司董事会审议，决定回购注销其已获授但尚未解除限售的限制性股票合计171,405股。我们认为上述回购注销部分已授予但尚未解除限售的限制性股票事项，符合《管理办法》《激励计划（草案）》和《考核管理办法》等相关法律、法规的规定，程序合法、合规，公司本次回购注销不影响公司持续经营，也不会损害公司及全体股东利益。我们同意上述回购注销部分限制性股票事项。</w:t>
      </w:r>
    </w:p>
    <w:p>
      <w:pPr>
        <w:spacing w:before="163" w:after="163"/>
        <w:ind w:firstLine="480"/>
        <w:rPr>
          <w:rFonts w:ascii="宋体" w:hAnsi="宋体"/>
          <w:szCs w:val="21"/>
          <w:lang w:bidi="en-US"/>
        </w:rPr>
      </w:pPr>
      <w:r>
        <w:rPr>
          <w:rFonts w:hint="eastAsia" w:ascii="宋体" w:hAnsi="宋体"/>
          <w:lang w:bidi="en-US"/>
        </w:rPr>
        <w:t>3．</w:t>
      </w:r>
      <w:r>
        <w:rPr>
          <w:rFonts w:hint="eastAsia" w:ascii="宋体" w:hAnsi="宋体"/>
          <w:szCs w:val="21"/>
          <w:lang w:bidi="en-US"/>
        </w:rPr>
        <w:t>202</w:t>
      </w:r>
      <w:r>
        <w:rPr>
          <w:rFonts w:ascii="宋体" w:hAnsi="宋体"/>
          <w:szCs w:val="21"/>
          <w:lang w:bidi="en-US"/>
        </w:rPr>
        <w:t>3</w:t>
      </w:r>
      <w:r>
        <w:rPr>
          <w:rFonts w:hint="eastAsia" w:ascii="宋体" w:hAnsi="宋体"/>
          <w:szCs w:val="21"/>
          <w:lang w:bidi="en-US"/>
        </w:rPr>
        <w:t>年1</w:t>
      </w:r>
      <w:r>
        <w:rPr>
          <w:rFonts w:ascii="宋体" w:hAnsi="宋体"/>
          <w:szCs w:val="21"/>
          <w:lang w:bidi="en-US"/>
        </w:rPr>
        <w:t>0</w:t>
      </w:r>
      <w:r>
        <w:rPr>
          <w:rFonts w:hint="eastAsia" w:ascii="宋体" w:hAnsi="宋体"/>
          <w:szCs w:val="21"/>
          <w:lang w:bidi="en-US"/>
        </w:rPr>
        <w:t>月</w:t>
      </w:r>
      <w:r>
        <w:rPr>
          <w:rFonts w:ascii="宋体" w:hAnsi="宋体"/>
          <w:szCs w:val="21"/>
          <w:lang w:bidi="en-US"/>
        </w:rPr>
        <w:t>1</w:t>
      </w:r>
      <w:r>
        <w:rPr>
          <w:rFonts w:hint="default" w:ascii="宋体" w:hAnsi="宋体"/>
          <w:szCs w:val="21"/>
          <w:lang w:val="en-US" w:bidi="en-US"/>
        </w:rPr>
        <w:t>8</w:t>
      </w:r>
      <w:r>
        <w:rPr>
          <w:rFonts w:hint="eastAsia" w:ascii="宋体" w:hAnsi="宋体"/>
          <w:szCs w:val="21"/>
          <w:lang w:bidi="en-US"/>
        </w:rPr>
        <w:t>日，公司第四届监事会第二十次会议通过了《关于回购注销部分限制性股票的议案》等议案。公司监事会对本次回购注销的限制性股票涉及的激励对象、数量和价格进行了审核后认为：</w:t>
      </w:r>
      <w:r>
        <w:rPr>
          <w:rFonts w:hint="eastAsia" w:asciiTheme="minorEastAsia" w:hAnsiTheme="minorEastAsia" w:eastAsiaTheme="minorEastAsia"/>
          <w:szCs w:val="23"/>
        </w:rPr>
        <w:t>鉴于公司2021年限制性股票激励计划首次授予部分的激励对象1名人员因个人原因离职，不符合解锁条件；1名激励对象绩效考核为不合格，不符合解锁条件；2名激励对象绩效考核为合格，可以申请解除当期80%限售股份；1名激励对象绩效考核为良好，可以申请解除当期90%限售股份；2021年限制性股票激励计划激励预留部分的激励对象3名人员因个人原因离职，不符合解锁条件；根据公司《2021年限制性股票激励计划（草案）》的规定，公司董事会决定对</w:t>
      </w:r>
      <w:r>
        <w:rPr>
          <w:rFonts w:asciiTheme="minorEastAsia" w:hAnsiTheme="minorEastAsia" w:eastAsiaTheme="minorEastAsia"/>
          <w:szCs w:val="23"/>
        </w:rPr>
        <w:t>4</w:t>
      </w:r>
      <w:r>
        <w:rPr>
          <w:rFonts w:hint="eastAsia" w:asciiTheme="minorEastAsia" w:hAnsiTheme="minorEastAsia" w:eastAsiaTheme="minorEastAsia"/>
          <w:szCs w:val="23"/>
        </w:rPr>
        <w:t>名离职人员和4名考核结果未达优秀的人员所持已获授但尚未解锁的171,405股限制性股票进行回购注销，回购价格为3.35元/股，回购金额为574,206.75元，回购资金为公司自有资金。本次回购注销的限制性股票合计171,405股，占本次股权激励计划合计授予的限制性股票比例为</w:t>
      </w:r>
      <w:r>
        <w:rPr>
          <w:rFonts w:hint="eastAsia" w:ascii="宋体" w:hAnsi="宋体"/>
          <w:szCs w:val="21"/>
          <w:lang w:bidi="en-US"/>
        </w:rPr>
        <w:t>4.3912</w:t>
      </w:r>
      <w:r>
        <w:rPr>
          <w:rFonts w:hint="eastAsia" w:asciiTheme="minorEastAsia" w:hAnsiTheme="minorEastAsia" w:eastAsiaTheme="minorEastAsia"/>
          <w:szCs w:val="23"/>
        </w:rPr>
        <w:t>%，占回购注销前总股本比例为</w:t>
      </w:r>
      <w:r>
        <w:rPr>
          <w:rFonts w:hint="eastAsia" w:ascii="宋体" w:hAnsi="宋体"/>
          <w:szCs w:val="21"/>
          <w:lang w:bidi="en-US"/>
        </w:rPr>
        <w:t>0.0781</w:t>
      </w:r>
      <w:r>
        <w:rPr>
          <w:rFonts w:hint="eastAsia" w:asciiTheme="minorEastAsia" w:hAnsiTheme="minorEastAsia" w:eastAsiaTheme="minorEastAsia"/>
          <w:szCs w:val="23"/>
        </w:rPr>
        <w:t>%。公司董事会关于本次回购注销部分限制性股票的审议程序符合相关规定，合法有效，</w:t>
      </w:r>
      <w:r>
        <w:rPr>
          <w:rFonts w:hint="eastAsia" w:ascii="宋体" w:hAnsi="宋体"/>
          <w:szCs w:val="21"/>
          <w:lang w:bidi="en-US"/>
        </w:rPr>
        <w:t>监事会同意上述回购注销部分限制性股票事项</w:t>
      </w:r>
      <w:r>
        <w:rPr>
          <w:rFonts w:hint="eastAsia" w:asciiTheme="minorEastAsia" w:hAnsiTheme="minorEastAsia" w:eastAsiaTheme="minorEastAsia"/>
          <w:szCs w:val="23"/>
        </w:rPr>
        <w:t>。</w:t>
      </w:r>
    </w:p>
    <w:p>
      <w:pPr>
        <w:spacing w:before="163" w:after="163"/>
        <w:ind w:firstLine="480"/>
        <w:rPr>
          <w:rFonts w:asciiTheme="majorEastAsia" w:hAnsiTheme="majorEastAsia" w:eastAsiaTheme="majorEastAsia"/>
          <w:lang w:bidi="en-US"/>
        </w:rPr>
      </w:pPr>
      <w:r>
        <w:rPr>
          <w:rFonts w:hint="eastAsia" w:asciiTheme="majorEastAsia" w:hAnsiTheme="majorEastAsia" w:eastAsiaTheme="majorEastAsia"/>
          <w:lang w:bidi="en-US"/>
        </w:rPr>
        <w:t>根据《管理办法》的规定，本次回购注销尚需要提交公司股东大会审议通过，同时办理修改公司章程、减少注册资本的手续。</w:t>
      </w:r>
    </w:p>
    <w:p>
      <w:pPr>
        <w:spacing w:before="163" w:after="163"/>
        <w:ind w:firstLine="480"/>
        <w:rPr>
          <w:rFonts w:asciiTheme="majorEastAsia" w:hAnsiTheme="majorEastAsia" w:eastAsiaTheme="majorEastAsia"/>
          <w:lang w:bidi="en-US"/>
        </w:rPr>
      </w:pPr>
      <w:r>
        <w:rPr>
          <w:rFonts w:hint="eastAsia" w:asciiTheme="majorEastAsia" w:hAnsiTheme="majorEastAsia" w:eastAsiaTheme="majorEastAsia"/>
          <w:lang w:bidi="en-US"/>
        </w:rPr>
        <w:t>综上，本所律师认为，截至本法律意见书出具之日，公司本次回购注销已经取得必要的授权和批准，符合《公司法》《证券法》《管理办法》以及《公司章程》《激励计划（草案）》的相关规定。本次回购注销尚需要履行股东大会审议程序及办理修改公司章程、减少注册资本和股份注销登记手续。</w:t>
      </w:r>
    </w:p>
    <w:p>
      <w:pPr>
        <w:spacing w:before="163" w:after="163"/>
        <w:ind w:firstLine="482"/>
        <w:rPr>
          <w:rFonts w:ascii="宋体" w:hAnsi="宋体"/>
          <w:b/>
          <w:lang w:bidi="en-US"/>
        </w:rPr>
      </w:pPr>
      <w:r>
        <w:rPr>
          <w:rFonts w:hint="eastAsia" w:ascii="宋体" w:hAnsi="宋体"/>
          <w:b/>
          <w:lang w:bidi="en-US"/>
        </w:rPr>
        <w:t>二、本次解除限售条件的满足情况</w:t>
      </w:r>
    </w:p>
    <w:p>
      <w:pPr>
        <w:spacing w:before="163" w:after="163"/>
        <w:ind w:firstLine="480"/>
        <w:rPr>
          <w:rFonts w:ascii="宋体" w:hAnsi="宋体"/>
          <w:lang w:bidi="en-US"/>
        </w:rPr>
      </w:pPr>
      <w:r>
        <w:rPr>
          <w:rFonts w:hint="eastAsia" w:ascii="宋体" w:hAnsi="宋体"/>
          <w:lang w:bidi="en-US"/>
        </w:rPr>
        <w:t>（一）本次解除限售涉及的限售期</w:t>
      </w:r>
    </w:p>
    <w:p>
      <w:pPr>
        <w:pStyle w:val="97"/>
        <w:spacing w:before="163" w:beforeLines="50" w:after="163" w:afterLines="50" w:line="360" w:lineRule="auto"/>
        <w:ind w:firstLine="480" w:firstLineChars="200"/>
        <w:rPr>
          <w:rFonts w:asciiTheme="minorEastAsia" w:hAnsiTheme="minorEastAsia" w:eastAsiaTheme="minorEastAsia"/>
          <w:sz w:val="24"/>
          <w:szCs w:val="23"/>
        </w:rPr>
      </w:pPr>
      <w:r>
        <w:rPr>
          <w:rFonts w:hint="eastAsia" w:asciiTheme="minorEastAsia" w:hAnsiTheme="minorEastAsia" w:eastAsiaTheme="minorEastAsia"/>
          <w:sz w:val="24"/>
          <w:szCs w:val="23"/>
        </w:rPr>
        <w:t>根据公司《激励计划（草案）》的相关规定，本激励计划首次授予部分第二个解除限售期为自授予完成登记之日起</w:t>
      </w:r>
      <w:r>
        <w:rPr>
          <w:rFonts w:asciiTheme="minorEastAsia" w:hAnsiTheme="minorEastAsia" w:eastAsiaTheme="minorEastAsia"/>
          <w:sz w:val="24"/>
          <w:szCs w:val="23"/>
        </w:rPr>
        <w:t>24</w:t>
      </w:r>
      <w:r>
        <w:rPr>
          <w:rFonts w:hint="eastAsia" w:asciiTheme="minorEastAsia" w:hAnsiTheme="minorEastAsia" w:eastAsiaTheme="minorEastAsia"/>
          <w:sz w:val="24"/>
          <w:szCs w:val="23"/>
        </w:rPr>
        <w:t>个月后的首个交易日起至授予登记完成之日起</w:t>
      </w:r>
      <w:r>
        <w:rPr>
          <w:rFonts w:asciiTheme="minorEastAsia" w:hAnsiTheme="minorEastAsia" w:eastAsiaTheme="minorEastAsia"/>
          <w:sz w:val="24"/>
          <w:szCs w:val="23"/>
        </w:rPr>
        <w:t>36</w:t>
      </w:r>
      <w:r>
        <w:rPr>
          <w:rFonts w:hint="eastAsia" w:asciiTheme="minorEastAsia" w:hAnsiTheme="minorEastAsia" w:eastAsiaTheme="minorEastAsia"/>
          <w:sz w:val="24"/>
          <w:szCs w:val="23"/>
        </w:rPr>
        <w:t>个月内的最后一个交易日当日止。</w:t>
      </w:r>
    </w:p>
    <w:p>
      <w:pPr>
        <w:pStyle w:val="97"/>
        <w:spacing w:before="163" w:beforeLines="50" w:after="163" w:afterLines="50" w:line="360" w:lineRule="auto"/>
        <w:ind w:firstLine="480" w:firstLineChars="200"/>
        <w:rPr>
          <w:rFonts w:asciiTheme="minorEastAsia" w:hAnsiTheme="minorEastAsia" w:eastAsiaTheme="minorEastAsia"/>
          <w:sz w:val="24"/>
          <w:szCs w:val="23"/>
        </w:rPr>
      </w:pPr>
      <w:r>
        <w:rPr>
          <w:rFonts w:hint="eastAsia" w:asciiTheme="minorEastAsia" w:hAnsiTheme="minorEastAsia" w:eastAsiaTheme="minorEastAsia"/>
          <w:sz w:val="24"/>
          <w:szCs w:val="23"/>
        </w:rPr>
        <w:t>本次授予的限制性股票首次授予完成登记日为</w:t>
      </w:r>
      <w:r>
        <w:rPr>
          <w:rFonts w:asciiTheme="minorEastAsia" w:hAnsiTheme="minorEastAsia" w:eastAsiaTheme="minorEastAsia"/>
          <w:sz w:val="24"/>
          <w:szCs w:val="23"/>
        </w:rPr>
        <w:t>2021</w:t>
      </w:r>
      <w:r>
        <w:rPr>
          <w:rFonts w:hint="eastAsia" w:asciiTheme="minorEastAsia" w:hAnsiTheme="minorEastAsia" w:eastAsiaTheme="minorEastAsia"/>
          <w:sz w:val="24"/>
          <w:szCs w:val="23"/>
        </w:rPr>
        <w:t>年</w:t>
      </w:r>
      <w:r>
        <w:rPr>
          <w:rFonts w:asciiTheme="minorEastAsia" w:hAnsiTheme="minorEastAsia" w:eastAsiaTheme="minorEastAsia"/>
          <w:sz w:val="24"/>
          <w:szCs w:val="23"/>
        </w:rPr>
        <w:t>11</w:t>
      </w:r>
      <w:r>
        <w:rPr>
          <w:rFonts w:hint="eastAsia" w:asciiTheme="minorEastAsia" w:hAnsiTheme="minorEastAsia" w:eastAsiaTheme="minorEastAsia"/>
          <w:sz w:val="24"/>
          <w:szCs w:val="23"/>
        </w:rPr>
        <w:t>月</w:t>
      </w:r>
      <w:r>
        <w:rPr>
          <w:rFonts w:asciiTheme="minorEastAsia" w:hAnsiTheme="minorEastAsia" w:eastAsiaTheme="minorEastAsia"/>
          <w:sz w:val="24"/>
          <w:szCs w:val="23"/>
        </w:rPr>
        <w:t>5</w:t>
      </w:r>
      <w:r>
        <w:rPr>
          <w:rFonts w:hint="eastAsia" w:asciiTheme="minorEastAsia" w:hAnsiTheme="minorEastAsia" w:eastAsiaTheme="minorEastAsia"/>
          <w:sz w:val="24"/>
          <w:szCs w:val="23"/>
        </w:rPr>
        <w:t>日，授予股份的上市日期为2</w:t>
      </w:r>
      <w:r>
        <w:rPr>
          <w:rFonts w:asciiTheme="minorEastAsia" w:hAnsiTheme="minorEastAsia" w:eastAsiaTheme="minorEastAsia"/>
          <w:sz w:val="24"/>
          <w:szCs w:val="23"/>
        </w:rPr>
        <w:t>021</w:t>
      </w:r>
      <w:r>
        <w:rPr>
          <w:rFonts w:hint="eastAsia" w:asciiTheme="minorEastAsia" w:hAnsiTheme="minorEastAsia" w:eastAsiaTheme="minorEastAsia"/>
          <w:sz w:val="24"/>
          <w:szCs w:val="23"/>
        </w:rPr>
        <w:t>年</w:t>
      </w:r>
      <w:r>
        <w:rPr>
          <w:rFonts w:asciiTheme="minorEastAsia" w:hAnsiTheme="minorEastAsia" w:eastAsiaTheme="minorEastAsia"/>
          <w:sz w:val="24"/>
          <w:szCs w:val="23"/>
        </w:rPr>
        <w:t>11</w:t>
      </w:r>
      <w:r>
        <w:rPr>
          <w:rFonts w:hint="eastAsia" w:asciiTheme="minorEastAsia" w:hAnsiTheme="minorEastAsia" w:eastAsiaTheme="minorEastAsia"/>
          <w:sz w:val="24"/>
          <w:szCs w:val="23"/>
        </w:rPr>
        <w:t>月5日，首次授予部分第二个限售期将于2</w:t>
      </w:r>
      <w:r>
        <w:rPr>
          <w:rFonts w:asciiTheme="minorEastAsia" w:hAnsiTheme="minorEastAsia" w:eastAsiaTheme="minorEastAsia"/>
          <w:sz w:val="24"/>
          <w:szCs w:val="23"/>
        </w:rPr>
        <w:t>023</w:t>
      </w:r>
      <w:r>
        <w:rPr>
          <w:rFonts w:hint="eastAsia" w:asciiTheme="minorEastAsia" w:hAnsiTheme="minorEastAsia" w:eastAsiaTheme="minorEastAsia"/>
          <w:sz w:val="24"/>
          <w:szCs w:val="23"/>
        </w:rPr>
        <w:t>年1</w:t>
      </w:r>
      <w:r>
        <w:rPr>
          <w:rFonts w:asciiTheme="minorEastAsia" w:hAnsiTheme="minorEastAsia" w:eastAsiaTheme="minorEastAsia"/>
          <w:sz w:val="24"/>
          <w:szCs w:val="23"/>
        </w:rPr>
        <w:t>1</w:t>
      </w:r>
      <w:r>
        <w:rPr>
          <w:rFonts w:hint="eastAsia" w:asciiTheme="minorEastAsia" w:hAnsiTheme="minorEastAsia" w:eastAsiaTheme="minorEastAsia"/>
          <w:sz w:val="24"/>
          <w:szCs w:val="23"/>
        </w:rPr>
        <w:t>月6日届满。根据《激励计划（草案）》及《考核管理办法》规定的考核指标及激励对象的考核指标完成情况，</w:t>
      </w:r>
      <w:bookmarkStart w:id="10" w:name="_Hlk117255420"/>
      <w:r>
        <w:rPr>
          <w:rFonts w:hint="eastAsia" w:asciiTheme="minorEastAsia" w:hAnsiTheme="minorEastAsia" w:eastAsiaTheme="minorEastAsia"/>
          <w:sz w:val="24"/>
          <w:szCs w:val="23"/>
        </w:rPr>
        <w:t>除1名激励对象由于离职，不符合解锁条件；1名激励对象绩效考核为不合格，不符合解锁条件；2名激励对象绩效考核为合格，可以申请解除当期80%限售股份；1名激励对象绩效考核为良好，可以申请解除当期90%限售股份外，其余72名激励对象本期</w:t>
      </w:r>
      <w:r>
        <w:rPr>
          <w:rFonts w:asciiTheme="minorEastAsia" w:hAnsiTheme="minorEastAsia" w:eastAsiaTheme="minorEastAsia"/>
          <w:sz w:val="24"/>
          <w:szCs w:val="23"/>
        </w:rPr>
        <w:t>限售股份解锁比例为100%</w:t>
      </w:r>
      <w:r>
        <w:rPr>
          <w:rFonts w:hint="eastAsia" w:asciiTheme="minorEastAsia" w:hAnsiTheme="minorEastAsia" w:eastAsiaTheme="minorEastAsia"/>
          <w:sz w:val="24"/>
          <w:szCs w:val="23"/>
        </w:rPr>
        <w:t>。根据公司《激励计划（草案）》的相关规定，2名激励对象可以申请解除限售所获限制性股票总量的24%，</w:t>
      </w:r>
      <w:r>
        <w:rPr>
          <w:rFonts w:asciiTheme="minorEastAsia" w:hAnsiTheme="minorEastAsia" w:eastAsiaTheme="minorEastAsia"/>
          <w:sz w:val="24"/>
          <w:szCs w:val="23"/>
        </w:rPr>
        <w:t>1</w:t>
      </w:r>
      <w:r>
        <w:rPr>
          <w:rFonts w:hint="eastAsia" w:asciiTheme="minorEastAsia" w:hAnsiTheme="minorEastAsia" w:eastAsiaTheme="minorEastAsia"/>
          <w:sz w:val="24"/>
          <w:szCs w:val="23"/>
        </w:rPr>
        <w:t>名激励对象可以申请解除限售所获限制性股票总量的2</w:t>
      </w:r>
      <w:r>
        <w:rPr>
          <w:rFonts w:asciiTheme="minorEastAsia" w:hAnsiTheme="minorEastAsia" w:eastAsiaTheme="minorEastAsia"/>
          <w:sz w:val="24"/>
          <w:szCs w:val="23"/>
        </w:rPr>
        <w:t>7</w:t>
      </w:r>
      <w:r>
        <w:rPr>
          <w:rFonts w:hint="eastAsia" w:asciiTheme="minorEastAsia" w:hAnsiTheme="minorEastAsia" w:eastAsiaTheme="minorEastAsia"/>
          <w:sz w:val="24"/>
          <w:szCs w:val="23"/>
        </w:rPr>
        <w:t>%，其余72名激励对象可申请解除限售所获限制性股票总量的3</w:t>
      </w:r>
      <w:r>
        <w:rPr>
          <w:rFonts w:asciiTheme="minorEastAsia" w:hAnsiTheme="minorEastAsia" w:eastAsiaTheme="minorEastAsia"/>
          <w:sz w:val="24"/>
          <w:szCs w:val="23"/>
        </w:rPr>
        <w:t>0%</w:t>
      </w:r>
      <w:bookmarkEnd w:id="10"/>
      <w:r>
        <w:rPr>
          <w:rFonts w:hint="eastAsia" w:asciiTheme="minorEastAsia" w:hAnsiTheme="minorEastAsia" w:eastAsiaTheme="minorEastAsia"/>
          <w:sz w:val="24"/>
          <w:szCs w:val="23"/>
        </w:rPr>
        <w:t>。</w:t>
      </w:r>
    </w:p>
    <w:p>
      <w:pPr>
        <w:spacing w:before="163" w:after="163"/>
        <w:ind w:firstLine="480"/>
        <w:rPr>
          <w:rFonts w:ascii="宋体" w:hAnsi="宋体"/>
          <w:lang w:bidi="en-US"/>
        </w:rPr>
      </w:pPr>
      <w:r>
        <w:rPr>
          <w:rFonts w:hint="eastAsia" w:ascii="宋体" w:hAnsi="宋体"/>
          <w:lang w:bidi="en-US"/>
        </w:rPr>
        <w:t>（二）参与本次解除限售的激励对象具备申请解除限售的主体资格</w:t>
      </w:r>
    </w:p>
    <w:p>
      <w:pPr>
        <w:spacing w:before="163" w:after="163"/>
        <w:ind w:firstLine="480"/>
        <w:rPr>
          <w:rFonts w:ascii="宋体" w:hAnsi="宋体"/>
          <w:lang w:bidi="en-US"/>
        </w:rPr>
      </w:pPr>
      <w:r>
        <w:rPr>
          <w:rFonts w:hint="eastAsia" w:ascii="宋体" w:hAnsi="宋体"/>
          <w:lang w:bidi="en-US"/>
        </w:rPr>
        <w:t>1.激励对象资格合法合规</w:t>
      </w:r>
    </w:p>
    <w:p>
      <w:pPr>
        <w:spacing w:before="163" w:after="163"/>
        <w:ind w:firstLine="480"/>
        <w:rPr>
          <w:rFonts w:ascii="宋体" w:hAnsi="宋体"/>
          <w:lang w:bidi="en-US"/>
        </w:rPr>
      </w:pPr>
      <w:r>
        <w:rPr>
          <w:rFonts w:hint="eastAsia" w:ascii="宋体" w:hAnsi="宋体"/>
          <w:lang w:bidi="en-US"/>
        </w:rPr>
        <w:t>根据公司的说明以及相关会议文件，并经本所律师核查，参与本次解除限售的激励对象不存在下述情况的人员：</w:t>
      </w:r>
    </w:p>
    <w:p>
      <w:pPr>
        <w:spacing w:before="163" w:after="163"/>
        <w:ind w:firstLine="480"/>
        <w:rPr>
          <w:rFonts w:ascii="宋体" w:hAnsi="宋体"/>
          <w:lang w:bidi="en-US"/>
        </w:rPr>
      </w:pPr>
      <w:r>
        <w:rPr>
          <w:rFonts w:hint="eastAsia" w:ascii="宋体" w:hAnsi="宋体"/>
          <w:lang w:bidi="en-US"/>
        </w:rPr>
        <w:t>（1）最近12个月内被证券交易所认定为不适当人选；</w:t>
      </w:r>
    </w:p>
    <w:p>
      <w:pPr>
        <w:spacing w:before="163" w:after="163"/>
        <w:ind w:firstLine="480"/>
        <w:rPr>
          <w:rFonts w:ascii="宋体" w:hAnsi="宋体"/>
          <w:lang w:bidi="en-US"/>
        </w:rPr>
      </w:pPr>
      <w:r>
        <w:rPr>
          <w:rFonts w:hint="eastAsia" w:ascii="宋体" w:hAnsi="宋体"/>
          <w:lang w:bidi="en-US"/>
        </w:rPr>
        <w:t>（2）最近12个月内被证监会及其派出机构认定为不适当人选；</w:t>
      </w:r>
    </w:p>
    <w:p>
      <w:pPr>
        <w:spacing w:before="163" w:after="163"/>
        <w:ind w:firstLine="480"/>
        <w:rPr>
          <w:rFonts w:ascii="宋体" w:hAnsi="宋体"/>
          <w:lang w:bidi="en-US"/>
        </w:rPr>
      </w:pPr>
      <w:r>
        <w:rPr>
          <w:rFonts w:hint="eastAsia" w:ascii="宋体" w:hAnsi="宋体"/>
          <w:lang w:bidi="en-US"/>
        </w:rPr>
        <w:t>（3）最近12个月内因重大违法违规行为被证监会及其派出机构行政处罚或者采取市场禁入措施；</w:t>
      </w:r>
    </w:p>
    <w:p>
      <w:pPr>
        <w:spacing w:before="163" w:after="163"/>
        <w:ind w:firstLine="480"/>
        <w:rPr>
          <w:rFonts w:ascii="宋体" w:hAnsi="宋体"/>
          <w:lang w:bidi="en-US"/>
        </w:rPr>
      </w:pPr>
      <w:r>
        <w:rPr>
          <w:rFonts w:hint="eastAsia" w:ascii="宋体" w:hAnsi="宋体"/>
          <w:lang w:bidi="en-US"/>
        </w:rPr>
        <w:t>（4）具有《公司法》规定的不得担任公司董事、高级管理人员情形的；</w:t>
      </w:r>
    </w:p>
    <w:p>
      <w:pPr>
        <w:spacing w:before="163" w:after="163"/>
        <w:ind w:firstLine="480"/>
        <w:rPr>
          <w:rFonts w:ascii="宋体" w:hAnsi="宋体"/>
          <w:lang w:bidi="en-US"/>
        </w:rPr>
      </w:pPr>
      <w:r>
        <w:rPr>
          <w:rFonts w:hint="eastAsia" w:ascii="宋体" w:hAnsi="宋体"/>
          <w:lang w:bidi="en-US"/>
        </w:rPr>
        <w:t>（5）法律法规规定不得参与上市公司股权激励的；</w:t>
      </w:r>
    </w:p>
    <w:p>
      <w:pPr>
        <w:spacing w:before="163" w:after="163"/>
        <w:ind w:firstLine="480"/>
        <w:rPr>
          <w:rFonts w:ascii="宋体" w:hAnsi="宋体"/>
          <w:lang w:bidi="en-US"/>
        </w:rPr>
      </w:pPr>
      <w:r>
        <w:rPr>
          <w:rFonts w:hint="eastAsia" w:ascii="宋体" w:hAnsi="宋体"/>
          <w:lang w:bidi="en-US"/>
        </w:rPr>
        <w:t>（6）证监会认定的其他情形。</w:t>
      </w:r>
    </w:p>
    <w:p>
      <w:pPr>
        <w:spacing w:before="163" w:after="163"/>
        <w:ind w:firstLine="480"/>
        <w:rPr>
          <w:rFonts w:ascii="宋体" w:hAnsi="宋体"/>
          <w:lang w:bidi="en-US"/>
        </w:rPr>
      </w:pPr>
      <w:r>
        <w:rPr>
          <w:rFonts w:hint="eastAsia" w:ascii="宋体" w:hAnsi="宋体"/>
          <w:lang w:bidi="en-US"/>
        </w:rPr>
        <w:t>2．参与本次解除限售的激励对象已通过考核</w:t>
      </w:r>
    </w:p>
    <w:p>
      <w:pPr>
        <w:spacing w:before="163" w:after="163"/>
        <w:ind w:firstLine="480"/>
        <w:rPr>
          <w:rFonts w:ascii="宋体" w:hAnsi="宋体"/>
          <w:lang w:bidi="en-US"/>
        </w:rPr>
      </w:pPr>
      <w:r>
        <w:rPr>
          <w:rFonts w:hint="eastAsia" w:ascii="宋体" w:hAnsi="宋体"/>
          <w:lang w:bidi="en-US"/>
        </w:rPr>
        <w:t>（1）公司层面业绩考核目标的实现</w:t>
      </w:r>
    </w:p>
    <w:p>
      <w:pPr>
        <w:spacing w:before="163" w:after="163"/>
        <w:ind w:firstLine="480"/>
        <w:rPr>
          <w:rFonts w:ascii="宋体" w:hAnsi="宋体" w:cs="宋体"/>
          <w:kern w:val="0"/>
          <w:szCs w:val="21"/>
        </w:rPr>
      </w:pPr>
      <w:r>
        <w:rPr>
          <w:rFonts w:hint="eastAsia" w:ascii="宋体" w:hAnsi="宋体"/>
          <w:lang w:bidi="en-US"/>
        </w:rPr>
        <w:t>根据《激励计划（草案）》《考核管理办法》，第二个解除限售期公司业绩考核目标为“</w:t>
      </w:r>
      <w:r>
        <w:rPr>
          <w:rFonts w:hint="eastAsia" w:ascii="宋体" w:hAnsi="宋体" w:cs="宋体"/>
          <w:kern w:val="0"/>
          <w:szCs w:val="21"/>
        </w:rPr>
        <w:t>以2020年营业收入为基数，202</w:t>
      </w:r>
      <w:r>
        <w:rPr>
          <w:rFonts w:ascii="宋体" w:hAnsi="宋体" w:cs="宋体"/>
          <w:kern w:val="0"/>
          <w:szCs w:val="21"/>
        </w:rPr>
        <w:t>2</w:t>
      </w:r>
      <w:r>
        <w:rPr>
          <w:rFonts w:hint="eastAsia" w:ascii="宋体" w:hAnsi="宋体" w:cs="宋体"/>
          <w:kern w:val="0"/>
          <w:szCs w:val="21"/>
        </w:rPr>
        <w:t>年营业收入增长率不低于1</w:t>
      </w:r>
      <w:r>
        <w:rPr>
          <w:rFonts w:ascii="宋体" w:hAnsi="宋体" w:cs="宋体"/>
          <w:kern w:val="0"/>
          <w:szCs w:val="21"/>
        </w:rPr>
        <w:t>5</w:t>
      </w:r>
      <w:r>
        <w:rPr>
          <w:rFonts w:hint="eastAsia" w:ascii="宋体" w:hAnsi="宋体" w:cs="宋体"/>
          <w:kern w:val="0"/>
          <w:szCs w:val="21"/>
        </w:rPr>
        <w:t>%；同时以2020年净利润为基数，202</w:t>
      </w:r>
      <w:r>
        <w:rPr>
          <w:rFonts w:ascii="宋体" w:hAnsi="宋体" w:cs="宋体"/>
          <w:kern w:val="0"/>
          <w:szCs w:val="21"/>
        </w:rPr>
        <w:t>2</w:t>
      </w:r>
      <w:r>
        <w:rPr>
          <w:rFonts w:hint="eastAsia" w:ascii="宋体" w:hAnsi="宋体" w:cs="宋体"/>
          <w:kern w:val="0"/>
          <w:szCs w:val="21"/>
        </w:rPr>
        <w:t>年净利润增长率不低于</w:t>
      </w:r>
      <w:r>
        <w:rPr>
          <w:rFonts w:ascii="宋体" w:hAnsi="宋体" w:cs="宋体"/>
          <w:kern w:val="0"/>
          <w:szCs w:val="21"/>
        </w:rPr>
        <w:t>10</w:t>
      </w:r>
      <w:r>
        <w:rPr>
          <w:rFonts w:hint="eastAsia" w:ascii="宋体" w:hAnsi="宋体" w:cs="宋体"/>
          <w:kern w:val="0"/>
          <w:szCs w:val="21"/>
        </w:rPr>
        <w:t>%。</w:t>
      </w:r>
    </w:p>
    <w:p>
      <w:pPr>
        <w:spacing w:before="163" w:after="163"/>
        <w:ind w:firstLine="480"/>
        <w:rPr>
          <w:rFonts w:ascii="宋体" w:hAnsi="宋体" w:cs="宋体"/>
          <w:kern w:val="0"/>
          <w:szCs w:val="21"/>
        </w:rPr>
      </w:pPr>
      <w:r>
        <w:rPr>
          <w:rFonts w:hint="eastAsia" w:ascii="宋体" w:hAnsi="宋体" w:cs="宋体"/>
          <w:kern w:val="0"/>
          <w:szCs w:val="21"/>
        </w:rPr>
        <w:t>注：“净利润”指归属于上市公司股东的净利润。</w:t>
      </w:r>
    </w:p>
    <w:p>
      <w:pPr>
        <w:spacing w:before="163" w:after="163"/>
        <w:ind w:firstLine="480"/>
        <w:rPr>
          <w:rFonts w:ascii="宋体" w:hAnsi="宋体" w:cs="宋体"/>
          <w:kern w:val="0"/>
          <w:szCs w:val="21"/>
        </w:rPr>
      </w:pPr>
      <w:r>
        <w:rPr>
          <w:rFonts w:hint="eastAsia" w:ascii="宋体" w:hAnsi="宋体" w:cs="宋体"/>
          <w:kern w:val="0"/>
          <w:szCs w:val="21"/>
        </w:rPr>
        <w:t>其中按照营业收入（</w:t>
      </w:r>
      <w:r>
        <w:rPr>
          <w:rFonts w:ascii="宋体" w:hAnsi="宋体" w:cs="宋体"/>
          <w:kern w:val="0"/>
          <w:szCs w:val="21"/>
        </w:rPr>
        <w:t>S1</w:t>
      </w:r>
      <w:r>
        <w:rPr>
          <w:rFonts w:hint="eastAsia" w:ascii="宋体" w:hAnsi="宋体" w:cs="宋体"/>
          <w:kern w:val="0"/>
          <w:szCs w:val="21"/>
        </w:rPr>
        <w:t>）占比</w:t>
      </w:r>
      <w:r>
        <w:rPr>
          <w:rFonts w:ascii="宋体" w:hAnsi="宋体" w:cs="宋体"/>
          <w:kern w:val="0"/>
          <w:szCs w:val="21"/>
        </w:rPr>
        <w:t>40%</w:t>
      </w:r>
      <w:r>
        <w:rPr>
          <w:rFonts w:hint="eastAsia" w:ascii="宋体" w:hAnsi="宋体" w:cs="宋体"/>
          <w:kern w:val="0"/>
          <w:szCs w:val="21"/>
        </w:rPr>
        <w:t>、净利润（</w:t>
      </w:r>
      <w:r>
        <w:rPr>
          <w:rFonts w:ascii="宋体" w:hAnsi="宋体" w:cs="宋体"/>
          <w:kern w:val="0"/>
          <w:szCs w:val="21"/>
        </w:rPr>
        <w:t>S2</w:t>
      </w:r>
      <w:r>
        <w:rPr>
          <w:rFonts w:hint="eastAsia" w:ascii="宋体" w:hAnsi="宋体" w:cs="宋体"/>
          <w:kern w:val="0"/>
          <w:szCs w:val="21"/>
        </w:rPr>
        <w:t>）占比</w:t>
      </w:r>
      <w:r>
        <w:rPr>
          <w:rFonts w:ascii="宋体" w:hAnsi="宋体" w:cs="宋体"/>
          <w:kern w:val="0"/>
          <w:szCs w:val="21"/>
        </w:rPr>
        <w:t>60%</w:t>
      </w:r>
      <w:r>
        <w:rPr>
          <w:rFonts w:hint="eastAsia" w:ascii="宋体" w:hAnsi="宋体" w:cs="宋体"/>
          <w:kern w:val="0"/>
          <w:szCs w:val="21"/>
        </w:rPr>
        <w:t>的比例加权计算作为考核指标</w:t>
      </w:r>
      <w:r>
        <w:rPr>
          <w:rFonts w:ascii="宋体" w:hAnsi="宋体" w:cs="宋体"/>
          <w:kern w:val="0"/>
          <w:szCs w:val="21"/>
        </w:rPr>
        <w:t>S</w:t>
      </w:r>
      <w:r>
        <w:rPr>
          <w:rFonts w:hint="eastAsia" w:ascii="宋体" w:hAnsi="宋体" w:cs="宋体"/>
          <w:kern w:val="0"/>
          <w:szCs w:val="21"/>
        </w:rPr>
        <w:t>，即</w:t>
      </w:r>
      <w:r>
        <w:rPr>
          <w:rFonts w:ascii="宋体" w:hAnsi="宋体" w:cs="宋体"/>
          <w:kern w:val="0"/>
          <w:szCs w:val="21"/>
        </w:rPr>
        <w:t>S=S1+S2</w:t>
      </w:r>
      <w:r>
        <w:rPr>
          <w:rFonts w:hint="eastAsia" w:ascii="宋体" w:hAnsi="宋体" w:cs="宋体"/>
          <w:kern w:val="0"/>
          <w:szCs w:val="21"/>
        </w:rPr>
        <w:t>。</w:t>
      </w:r>
    </w:p>
    <w:p>
      <w:pPr>
        <w:spacing w:before="163" w:after="163"/>
        <w:ind w:firstLine="480"/>
        <w:rPr>
          <w:rFonts w:ascii="宋体" w:hAnsi="宋体" w:cs="宋体"/>
          <w:kern w:val="0"/>
          <w:szCs w:val="21"/>
        </w:rPr>
      </w:pPr>
      <w:r>
        <w:rPr>
          <w:rFonts w:hint="eastAsia" w:ascii="宋体" w:hAnsi="宋体" w:cs="宋体"/>
          <w:kern w:val="0"/>
          <w:szCs w:val="21"/>
        </w:rPr>
        <w:t>营业收入考核指标</w:t>
      </w:r>
      <w:r>
        <w:rPr>
          <w:rFonts w:ascii="宋体" w:hAnsi="宋体" w:cs="宋体"/>
          <w:kern w:val="0"/>
          <w:szCs w:val="21"/>
        </w:rPr>
        <w:t>S1=</w:t>
      </w:r>
      <w:r>
        <w:rPr>
          <w:rFonts w:hint="eastAsia" w:ascii="宋体" w:hAnsi="宋体" w:cs="宋体"/>
          <w:kern w:val="0"/>
          <w:szCs w:val="21"/>
        </w:rPr>
        <w:t>当年实现值</w:t>
      </w:r>
      <w:r>
        <w:rPr>
          <w:rFonts w:ascii="宋体" w:hAnsi="宋体" w:cs="宋体"/>
          <w:kern w:val="0"/>
          <w:szCs w:val="21"/>
        </w:rPr>
        <w:t>/</w:t>
      </w:r>
      <w:r>
        <w:rPr>
          <w:rFonts w:hint="eastAsia" w:ascii="宋体" w:hAnsi="宋体" w:cs="宋体"/>
          <w:kern w:val="0"/>
          <w:szCs w:val="21"/>
        </w:rPr>
        <w:t>考核指标值</w:t>
      </w:r>
      <w:r>
        <w:rPr>
          <w:rFonts w:ascii="宋体" w:hAnsi="宋体" w:cs="宋体"/>
          <w:kern w:val="0"/>
          <w:szCs w:val="21"/>
        </w:rPr>
        <w:t>*40%</w:t>
      </w:r>
      <w:r>
        <w:rPr>
          <w:rFonts w:hint="eastAsia" w:ascii="宋体" w:hAnsi="宋体" w:cs="宋体"/>
          <w:kern w:val="0"/>
          <w:szCs w:val="21"/>
        </w:rPr>
        <w:t>，（注：</w:t>
      </w:r>
      <w:r>
        <w:rPr>
          <w:rFonts w:ascii="宋体" w:hAnsi="宋体" w:cs="宋体"/>
          <w:kern w:val="0"/>
          <w:szCs w:val="21"/>
        </w:rPr>
        <w:t>S1</w:t>
      </w:r>
      <w:r>
        <w:rPr>
          <w:rFonts w:hint="eastAsia" w:ascii="宋体" w:hAnsi="宋体" w:cs="宋体"/>
          <w:kern w:val="0"/>
          <w:szCs w:val="21"/>
        </w:rPr>
        <w:t>最大值等于</w:t>
      </w:r>
      <w:r>
        <w:rPr>
          <w:rFonts w:ascii="宋体" w:hAnsi="宋体" w:cs="宋体"/>
          <w:kern w:val="0"/>
          <w:szCs w:val="21"/>
        </w:rPr>
        <w:t>0.4</w:t>
      </w:r>
      <w:r>
        <w:rPr>
          <w:rFonts w:hint="eastAsia" w:ascii="宋体" w:hAnsi="宋体" w:cs="宋体"/>
          <w:kern w:val="0"/>
          <w:szCs w:val="21"/>
        </w:rPr>
        <w:t>）</w:t>
      </w:r>
    </w:p>
    <w:p>
      <w:pPr>
        <w:spacing w:before="163" w:after="163"/>
        <w:ind w:firstLine="480"/>
        <w:rPr>
          <w:rFonts w:ascii="宋体" w:hAnsi="宋体" w:cs="宋体"/>
          <w:kern w:val="0"/>
          <w:szCs w:val="21"/>
        </w:rPr>
      </w:pPr>
      <w:r>
        <w:rPr>
          <w:rFonts w:hint="eastAsia" w:ascii="宋体" w:hAnsi="宋体" w:cs="宋体"/>
          <w:kern w:val="0"/>
          <w:szCs w:val="21"/>
        </w:rPr>
        <w:t>净利润考核指标</w:t>
      </w:r>
      <w:r>
        <w:rPr>
          <w:rFonts w:ascii="宋体" w:hAnsi="宋体" w:cs="宋体"/>
          <w:kern w:val="0"/>
          <w:szCs w:val="21"/>
        </w:rPr>
        <w:t>S2=</w:t>
      </w:r>
      <w:r>
        <w:rPr>
          <w:rFonts w:hint="eastAsia" w:ascii="宋体" w:hAnsi="宋体" w:cs="宋体"/>
          <w:kern w:val="0"/>
          <w:szCs w:val="21"/>
        </w:rPr>
        <w:t>当年实现值</w:t>
      </w:r>
      <w:r>
        <w:rPr>
          <w:rFonts w:ascii="宋体" w:hAnsi="宋体" w:cs="宋体"/>
          <w:kern w:val="0"/>
          <w:szCs w:val="21"/>
        </w:rPr>
        <w:t>/</w:t>
      </w:r>
      <w:r>
        <w:rPr>
          <w:rFonts w:hint="eastAsia" w:ascii="宋体" w:hAnsi="宋体" w:cs="宋体"/>
          <w:kern w:val="0"/>
          <w:szCs w:val="21"/>
        </w:rPr>
        <w:t>考核指标值</w:t>
      </w:r>
      <w:r>
        <w:rPr>
          <w:rFonts w:ascii="宋体" w:hAnsi="宋体" w:cs="宋体"/>
          <w:kern w:val="0"/>
          <w:szCs w:val="21"/>
        </w:rPr>
        <w:t>*60%</w:t>
      </w:r>
      <w:r>
        <w:rPr>
          <w:rFonts w:hint="eastAsia" w:ascii="宋体" w:hAnsi="宋体" w:cs="宋体"/>
          <w:kern w:val="0"/>
          <w:szCs w:val="21"/>
        </w:rPr>
        <w:t>，（注：</w:t>
      </w:r>
      <w:r>
        <w:rPr>
          <w:rFonts w:ascii="宋体" w:hAnsi="宋体" w:cs="宋体"/>
          <w:kern w:val="0"/>
          <w:szCs w:val="21"/>
        </w:rPr>
        <w:t>S2</w:t>
      </w:r>
      <w:r>
        <w:rPr>
          <w:rFonts w:hint="eastAsia" w:ascii="宋体" w:hAnsi="宋体" w:cs="宋体"/>
          <w:kern w:val="0"/>
          <w:szCs w:val="21"/>
        </w:rPr>
        <w:t>最大值等于</w:t>
      </w:r>
      <w:r>
        <w:rPr>
          <w:rFonts w:ascii="宋体" w:hAnsi="宋体" w:cs="宋体"/>
          <w:kern w:val="0"/>
          <w:szCs w:val="21"/>
        </w:rPr>
        <w:t>0.6</w:t>
      </w:r>
      <w:r>
        <w:rPr>
          <w:rFonts w:hint="eastAsia" w:ascii="宋体" w:hAnsi="宋体" w:cs="宋体"/>
          <w:kern w:val="0"/>
          <w:szCs w:val="21"/>
        </w:rPr>
        <w:t>）</w:t>
      </w:r>
    </w:p>
    <w:p>
      <w:pPr>
        <w:spacing w:before="163" w:after="163"/>
        <w:ind w:firstLine="480"/>
        <w:rPr>
          <w:rFonts w:ascii="宋体" w:hAnsi="宋体" w:cs="宋体"/>
          <w:kern w:val="0"/>
          <w:szCs w:val="21"/>
        </w:rPr>
      </w:pPr>
      <w:r>
        <w:rPr>
          <w:rFonts w:hint="eastAsia" w:ascii="宋体" w:hAnsi="宋体" w:cs="宋体"/>
          <w:kern w:val="0"/>
          <w:szCs w:val="21"/>
        </w:rPr>
        <w:t>公司层面按照当年实现的考核指标</w:t>
      </w:r>
      <w:r>
        <w:rPr>
          <w:rFonts w:ascii="宋体" w:hAnsi="宋体" w:cs="宋体"/>
          <w:kern w:val="0"/>
          <w:szCs w:val="21"/>
        </w:rPr>
        <w:t>S</w:t>
      </w:r>
      <w:r>
        <w:rPr>
          <w:rFonts w:hint="eastAsia" w:ascii="宋体" w:hAnsi="宋体" w:cs="宋体"/>
          <w:kern w:val="0"/>
          <w:szCs w:val="21"/>
        </w:rPr>
        <w:t>值确定解除限售比例，确定标准如下：</w:t>
      </w:r>
    </w:p>
    <w:p>
      <w:pPr>
        <w:spacing w:before="163" w:after="163"/>
        <w:ind w:firstLine="480"/>
        <w:rPr>
          <w:rFonts w:ascii="宋体" w:hAnsi="宋体" w:cs="宋体"/>
          <w:kern w:val="0"/>
          <w:szCs w:val="21"/>
        </w:rPr>
      </w:pPr>
      <w:r>
        <w:rPr>
          <w:rFonts w:hint="eastAsia" w:ascii="宋体" w:hAnsi="宋体" w:cs="宋体"/>
          <w:kern w:val="0"/>
          <w:szCs w:val="21"/>
        </w:rPr>
        <w:t>1、S=1；则 100%解除当期限售股份。</w:t>
      </w:r>
    </w:p>
    <w:p>
      <w:pPr>
        <w:spacing w:before="163" w:after="163"/>
        <w:ind w:firstLine="480"/>
        <w:rPr>
          <w:rFonts w:ascii="宋体" w:hAnsi="宋体" w:cs="宋体"/>
          <w:kern w:val="0"/>
          <w:szCs w:val="21"/>
        </w:rPr>
      </w:pPr>
      <w:r>
        <w:rPr>
          <w:rFonts w:hint="eastAsia" w:ascii="宋体" w:hAnsi="宋体" w:cs="宋体"/>
          <w:kern w:val="0"/>
          <w:szCs w:val="21"/>
        </w:rPr>
        <w:t>2、0.9≤S＜1；则 90%解除当期限售股份。</w:t>
      </w:r>
    </w:p>
    <w:p>
      <w:pPr>
        <w:spacing w:before="163" w:after="163"/>
        <w:ind w:firstLine="480"/>
        <w:rPr>
          <w:rFonts w:ascii="宋体" w:hAnsi="宋体" w:cs="宋体"/>
          <w:kern w:val="0"/>
          <w:szCs w:val="21"/>
        </w:rPr>
      </w:pPr>
      <w:r>
        <w:rPr>
          <w:rFonts w:hint="eastAsia" w:ascii="宋体" w:hAnsi="宋体" w:cs="宋体"/>
          <w:kern w:val="0"/>
          <w:szCs w:val="21"/>
        </w:rPr>
        <w:t>3、0.8≤S＜0.9；则 80%解除当期限售股份。</w:t>
      </w:r>
    </w:p>
    <w:p>
      <w:pPr>
        <w:spacing w:before="163" w:after="163"/>
        <w:ind w:firstLine="480"/>
        <w:rPr>
          <w:rFonts w:ascii="宋体" w:hAnsi="宋体"/>
          <w:lang w:bidi="en-US"/>
        </w:rPr>
      </w:pPr>
      <w:r>
        <w:rPr>
          <w:rFonts w:hint="eastAsia" w:ascii="宋体" w:hAnsi="宋体" w:cs="宋体"/>
          <w:kern w:val="0"/>
          <w:szCs w:val="21"/>
        </w:rPr>
        <w:t>4、S＜0.8；则不得解除当期限售股份。</w:t>
      </w:r>
      <w:r>
        <w:rPr>
          <w:rFonts w:hint="eastAsia" w:ascii="宋体" w:hAnsi="宋体"/>
          <w:lang w:bidi="en-US"/>
        </w:rPr>
        <w:t>”</w:t>
      </w:r>
    </w:p>
    <w:p>
      <w:pPr>
        <w:spacing w:before="163" w:after="163"/>
        <w:ind w:firstLine="480"/>
        <w:rPr>
          <w:rFonts w:asciiTheme="minorEastAsia" w:hAnsiTheme="minorEastAsia" w:eastAsiaTheme="minorEastAsia"/>
        </w:rPr>
      </w:pPr>
      <w:r>
        <w:rPr>
          <w:rFonts w:hint="eastAsia" w:asciiTheme="minorEastAsia" w:hAnsiTheme="minorEastAsia" w:eastAsiaTheme="minorEastAsia"/>
        </w:rPr>
        <w:t>根据和信会计师事务所（特殊普通合伙）出具的和信审字（2023）第000254号审计报告，以2020年营业收入为基数，2022年营业收入增长率为56.75%；同时以2020年净利润为基数，2022年净利润增长率为130.81%，本期限售股份解锁比例为100%。</w:t>
      </w:r>
    </w:p>
    <w:p>
      <w:pPr>
        <w:spacing w:before="163" w:after="163"/>
        <w:ind w:firstLine="480"/>
        <w:rPr>
          <w:rFonts w:asciiTheme="minorEastAsia" w:hAnsiTheme="minorEastAsia" w:eastAsiaTheme="minorEastAsia"/>
        </w:rPr>
      </w:pPr>
      <w:r>
        <w:rPr>
          <w:rFonts w:hint="eastAsia" w:ascii="宋体" w:hAnsi="宋体"/>
          <w:lang w:bidi="en-US"/>
        </w:rPr>
        <w:t>（2）激励对象个人层面绩效考核目标的实现</w:t>
      </w:r>
    </w:p>
    <w:p>
      <w:pPr>
        <w:spacing w:before="163" w:after="163"/>
        <w:ind w:firstLine="480"/>
        <w:rPr>
          <w:rFonts w:asciiTheme="minorEastAsia" w:hAnsiTheme="minorEastAsia"/>
          <w:szCs w:val="24"/>
        </w:rPr>
      </w:pPr>
      <w:r>
        <w:rPr>
          <w:rFonts w:hint="eastAsia" w:asciiTheme="minorEastAsia" w:hAnsiTheme="minorEastAsia"/>
          <w:szCs w:val="24"/>
        </w:rPr>
        <w:t>激励对象个人层面的考核根据公司绩效考核相关制度组织实施。根据年度绩效考核结果，若激励对象上一年度个人绩效考核等级为A/B/C级，则上一年度激励对象个人绩效考核结果为合格；若激励对象上一年度个人绩效考核等级为D等级，则上一年度激励对象个人绩效考核结果为不合格。</w:t>
      </w:r>
    </w:p>
    <w:p>
      <w:pPr>
        <w:spacing w:before="163" w:after="163"/>
        <w:ind w:firstLine="480"/>
        <w:rPr>
          <w:rFonts w:asciiTheme="minorEastAsia" w:hAnsiTheme="minorEastAsia"/>
          <w:szCs w:val="24"/>
        </w:rPr>
      </w:pPr>
      <w:r>
        <w:rPr>
          <w:rFonts w:hint="eastAsia" w:asciiTheme="minorEastAsia" w:hAnsiTheme="minorEastAsia"/>
          <w:szCs w:val="24"/>
        </w:rPr>
        <w:t>在公司业绩目标达成的前提下，若激励对象上一年度个人绩效考核结果达到合格及以上，则其当年度所获授的限制性股票仍按照本激励计划规定的程序进行解除限售；若激励对象在上一年度绩效考核结果不合格，则其当年度所对应的已获授但尚未解除限售的限制性股票不可解除限售，由公司按授予价格回购注销。</w:t>
      </w:r>
    </w:p>
    <w:p>
      <w:pPr>
        <w:spacing w:before="163" w:after="163"/>
        <w:ind w:firstLine="480"/>
        <w:rPr>
          <w:rFonts w:asciiTheme="minorEastAsia" w:hAnsiTheme="minorEastAsia" w:eastAsiaTheme="minorEastAsia"/>
        </w:rPr>
      </w:pPr>
      <w:r>
        <w:rPr>
          <w:rFonts w:hint="eastAsia" w:asciiTheme="minorEastAsia" w:hAnsiTheme="minorEastAsia" w:eastAsiaTheme="minorEastAsia"/>
        </w:rPr>
        <w:t>除1名激励对象离职已不具备激励资格；1名激励对象绩效考核为不合格，不符合解锁条件；2名激励对象绩效考核为合格，可以申请解除当期80%限售股份；1名激励对象绩效考核为良好，可以申请解除当期90%限售股份；其余72名激励对象绩效考核均为优秀，均满足本次全比例解锁条件。</w:t>
      </w:r>
    </w:p>
    <w:p>
      <w:pPr>
        <w:spacing w:before="163" w:after="163"/>
        <w:ind w:firstLine="480"/>
        <w:rPr>
          <w:rFonts w:asciiTheme="minorEastAsia" w:hAnsiTheme="minorEastAsia"/>
          <w:szCs w:val="24"/>
        </w:rPr>
      </w:pPr>
      <w:r>
        <w:rPr>
          <w:rFonts w:hint="eastAsia" w:asciiTheme="minorEastAsia" w:hAnsiTheme="minorEastAsia"/>
          <w:szCs w:val="24"/>
        </w:rPr>
        <w:t>基于上述，本所律师认为，参与本次解除限售的激励对象具备申请解除限售的主体资格。</w:t>
      </w:r>
    </w:p>
    <w:p>
      <w:pPr>
        <w:spacing w:before="163" w:after="163"/>
        <w:ind w:firstLine="480"/>
        <w:rPr>
          <w:rFonts w:asciiTheme="minorEastAsia" w:hAnsiTheme="minorEastAsia"/>
          <w:szCs w:val="24"/>
        </w:rPr>
      </w:pPr>
      <w:r>
        <w:rPr>
          <w:rFonts w:hint="eastAsia" w:asciiTheme="minorEastAsia" w:hAnsiTheme="minorEastAsia"/>
          <w:szCs w:val="24"/>
        </w:rPr>
        <w:t>（三）公司不存在不得实施股权激励的情况</w:t>
      </w:r>
    </w:p>
    <w:p>
      <w:pPr>
        <w:spacing w:before="163" w:after="163"/>
        <w:ind w:firstLine="480"/>
        <w:rPr>
          <w:rFonts w:ascii="宋体" w:hAnsi="宋体"/>
          <w:lang w:bidi="en-US"/>
        </w:rPr>
      </w:pPr>
      <w:r>
        <w:rPr>
          <w:rFonts w:hint="eastAsia" w:ascii="宋体" w:hAnsi="宋体"/>
          <w:lang w:bidi="en-US"/>
        </w:rPr>
        <w:t>经核查，截至本法律意见书出具之日，公司不存在《管理办法》及《激励计划（草案）》规定的下述不得实施股权激励的任一情形：</w:t>
      </w:r>
    </w:p>
    <w:p>
      <w:pPr>
        <w:spacing w:before="163" w:after="163"/>
        <w:ind w:firstLine="480"/>
        <w:rPr>
          <w:rFonts w:ascii="宋体" w:hAnsi="宋体"/>
          <w:lang w:bidi="en-US"/>
        </w:rPr>
      </w:pPr>
      <w:r>
        <w:rPr>
          <w:rFonts w:hint="eastAsia" w:ascii="宋体" w:hAnsi="宋体"/>
          <w:lang w:bidi="en-US"/>
        </w:rPr>
        <w:t>1.最近一个会计年度财务会计报告被注册会计师出具否定意见或者无法表示意见的审计报告；</w:t>
      </w:r>
    </w:p>
    <w:p>
      <w:pPr>
        <w:spacing w:before="163" w:after="163"/>
        <w:ind w:firstLine="480"/>
        <w:rPr>
          <w:rFonts w:ascii="宋体" w:hAnsi="宋体"/>
          <w:lang w:bidi="en-US"/>
        </w:rPr>
      </w:pPr>
      <w:r>
        <w:rPr>
          <w:rFonts w:hint="eastAsia" w:ascii="宋体" w:hAnsi="宋体"/>
          <w:lang w:bidi="en-US"/>
        </w:rPr>
        <w:t>2.最近一个会计年度财务报告内部控制被注册会计师出具否定意见或者无法表示意见的审计报告；</w:t>
      </w:r>
    </w:p>
    <w:p>
      <w:pPr>
        <w:spacing w:before="163" w:after="163"/>
        <w:ind w:firstLine="480"/>
        <w:rPr>
          <w:rFonts w:ascii="宋体" w:hAnsi="宋体"/>
          <w:lang w:bidi="en-US"/>
        </w:rPr>
      </w:pPr>
      <w:r>
        <w:rPr>
          <w:rFonts w:hint="eastAsia" w:ascii="宋体" w:hAnsi="宋体"/>
          <w:lang w:bidi="en-US"/>
        </w:rPr>
        <w:t>3.上市后最近36个月内出现过未按法律法规、公司章程、公开承诺进行利润分配的情形；</w:t>
      </w:r>
    </w:p>
    <w:p>
      <w:pPr>
        <w:spacing w:before="163" w:after="163"/>
        <w:ind w:firstLine="480"/>
        <w:rPr>
          <w:rFonts w:ascii="宋体" w:hAnsi="宋体"/>
          <w:lang w:bidi="en-US"/>
        </w:rPr>
      </w:pPr>
      <w:r>
        <w:rPr>
          <w:rFonts w:hint="eastAsia" w:ascii="宋体" w:hAnsi="宋体"/>
          <w:lang w:bidi="en-US"/>
        </w:rPr>
        <w:t>4.法律法规规定不得实行股权激励的；</w:t>
      </w:r>
    </w:p>
    <w:p>
      <w:pPr>
        <w:spacing w:before="163" w:after="163"/>
        <w:ind w:firstLine="480"/>
        <w:rPr>
          <w:rFonts w:ascii="宋体" w:hAnsi="宋体"/>
          <w:lang w:bidi="en-US"/>
        </w:rPr>
      </w:pPr>
      <w:r>
        <w:rPr>
          <w:rFonts w:hint="eastAsia" w:ascii="宋体" w:hAnsi="宋体"/>
          <w:lang w:bidi="en-US"/>
        </w:rPr>
        <w:t>5.证监会认定的其他情形。</w:t>
      </w:r>
    </w:p>
    <w:p>
      <w:pPr>
        <w:spacing w:before="163" w:after="163"/>
        <w:ind w:firstLine="480"/>
        <w:rPr>
          <w:rFonts w:asciiTheme="minorEastAsia" w:hAnsiTheme="minorEastAsia"/>
          <w:szCs w:val="24"/>
        </w:rPr>
      </w:pPr>
      <w:r>
        <w:rPr>
          <w:rFonts w:hint="eastAsia" w:asciiTheme="minorEastAsia" w:hAnsiTheme="minorEastAsia"/>
          <w:szCs w:val="24"/>
        </w:rPr>
        <w:t>综上，本所律师认为，截至本法律意见书出具之日，参与本次解除限售的激励对象具备申请解除限售的主体资格；公司不存在不得实施股权激励的情况；本次解除限售涉及的解除限售条件已经成就，符合《公司法》《证券法》《管理办法》以及《激励计划（草案）》的相关规定。</w:t>
      </w:r>
    </w:p>
    <w:p>
      <w:pPr>
        <w:spacing w:before="163" w:after="163"/>
        <w:ind w:firstLine="482"/>
        <w:rPr>
          <w:rFonts w:asciiTheme="minorEastAsia" w:hAnsiTheme="minorEastAsia"/>
          <w:b/>
          <w:szCs w:val="24"/>
        </w:rPr>
      </w:pPr>
      <w:r>
        <w:rPr>
          <w:rFonts w:hint="eastAsia" w:asciiTheme="minorEastAsia" w:hAnsiTheme="minorEastAsia"/>
          <w:b/>
          <w:szCs w:val="24"/>
        </w:rPr>
        <w:t>三、本次回购注销相关事宜</w:t>
      </w:r>
    </w:p>
    <w:p>
      <w:pPr>
        <w:spacing w:before="163" w:after="163"/>
        <w:ind w:firstLine="480"/>
        <w:rPr>
          <w:rFonts w:ascii="宋体" w:hAnsi="宋体"/>
          <w:lang w:bidi="en-US"/>
        </w:rPr>
      </w:pPr>
      <w:r>
        <w:rPr>
          <w:rFonts w:hint="eastAsia" w:ascii="宋体" w:hAnsi="宋体"/>
          <w:lang w:bidi="en-US"/>
        </w:rPr>
        <w:t>（一）本次回购注销的原因</w:t>
      </w:r>
    </w:p>
    <w:p>
      <w:pPr>
        <w:spacing w:before="163" w:after="163"/>
        <w:ind w:firstLine="480"/>
        <w:rPr>
          <w:rFonts w:ascii="宋体" w:hAnsi="宋体"/>
          <w:lang w:bidi="en-US"/>
        </w:rPr>
      </w:pPr>
      <w:r>
        <w:rPr>
          <w:rFonts w:hint="eastAsia" w:ascii="宋体" w:hAnsi="宋体"/>
          <w:lang w:bidi="en-US"/>
        </w:rPr>
        <w:t>根据《激励计划（草案）》的相关规定，激励对象离职的，包括主动辞职、因公司裁员而离职、合同到期不再续约、因个人过错被公司解聘等，自离职日起激励对象已获授但尚未解除限售的限制性股票不得解除限售，由公司按授予价格回购注销，激励对象离职前需缴纳完毕限制性股票已解除限售部分的个人所得税；个人绩效考核未达标的，该激励对象当年度所对应的已获授但尚未解除限售的限制性股票不可解除限售，由公司按授予价格回购注销。</w:t>
      </w:r>
    </w:p>
    <w:p>
      <w:pPr>
        <w:spacing w:before="163" w:after="163"/>
        <w:ind w:firstLine="480"/>
        <w:rPr>
          <w:rFonts w:ascii="宋体" w:hAnsi="宋体"/>
          <w:szCs w:val="21"/>
          <w:lang w:bidi="en-US"/>
        </w:rPr>
      </w:pPr>
      <w:r>
        <w:rPr>
          <w:rFonts w:hint="eastAsia" w:ascii="宋体" w:hAnsi="宋体"/>
          <w:lang w:bidi="en-US"/>
        </w:rPr>
        <w:t>根据公司说明经本所律师核查，</w:t>
      </w:r>
      <w:r>
        <w:rPr>
          <w:rFonts w:hint="eastAsia" w:ascii="宋体" w:hAnsi="宋体"/>
          <w:szCs w:val="21"/>
          <w:lang w:bidi="en-US"/>
        </w:rPr>
        <w:t>公司4名激励对象因个人原因离职，其所持有的未解禁部分股票全部回购；1名激励对象绩效考核为不合格，不符合解锁条件；2名激励对象绩效考核为合格，可以申请解除当期80%限售股份；1名激励对象绩效考核为良好，可以申请解除当期90%限售股份，前述4名激励对象其所持有的本期未解禁部分股票全部回购；根据《激励计划（草案）》规定，公司应将其持有的已获授但尚未解除限售的限制性股票回购注销。</w:t>
      </w:r>
    </w:p>
    <w:p>
      <w:pPr>
        <w:spacing w:before="163" w:after="163"/>
        <w:ind w:firstLine="480"/>
        <w:rPr>
          <w:rFonts w:asciiTheme="majorEastAsia" w:hAnsiTheme="majorEastAsia" w:eastAsiaTheme="majorEastAsia"/>
          <w:lang w:bidi="en-US"/>
        </w:rPr>
      </w:pPr>
      <w:r>
        <w:rPr>
          <w:rFonts w:hint="eastAsia" w:ascii="宋体" w:hAnsi="宋体"/>
          <w:lang w:bidi="en-US"/>
        </w:rPr>
        <w:t>（二）本次回购注销的回购价格和定价依据、回购数量</w:t>
      </w:r>
    </w:p>
    <w:p>
      <w:pPr>
        <w:spacing w:before="163" w:after="163"/>
        <w:ind w:firstLine="480"/>
        <w:rPr>
          <w:rFonts w:ascii="宋体" w:hAnsi="宋体"/>
          <w:szCs w:val="21"/>
          <w:lang w:bidi="en-US"/>
        </w:rPr>
      </w:pPr>
      <w:r>
        <w:rPr>
          <w:rFonts w:hint="eastAsia" w:ascii="宋体" w:hAnsi="宋体"/>
          <w:szCs w:val="21"/>
          <w:lang w:bidi="en-US"/>
        </w:rPr>
        <w:t>根据</w:t>
      </w:r>
      <w:r>
        <w:rPr>
          <w:rFonts w:hint="eastAsia" w:asciiTheme="minorEastAsia" w:hAnsiTheme="minorEastAsia" w:eastAsiaTheme="minorEastAsia"/>
          <w:szCs w:val="23"/>
        </w:rPr>
        <w:t>《激励计划（草案）》</w:t>
      </w:r>
      <w:r>
        <w:rPr>
          <w:rFonts w:hint="eastAsia" w:ascii="宋体" w:hAnsi="宋体"/>
          <w:szCs w:val="21"/>
          <w:lang w:bidi="en-US"/>
        </w:rPr>
        <w:t>规定，激励对象获授的限制性股票完成股份登记后，若公司发生资本公积转增股本、派送股票红利、股份拆细、配股或缩股、派息等影响公司股本总额或公司股票价格事项的，公司应对尚未解除限售的限制性股票的回购数量和回购价格做相应的调整。具体调整方法如下：</w:t>
      </w:r>
    </w:p>
    <w:p>
      <w:pPr>
        <w:spacing w:before="163" w:after="163"/>
        <w:ind w:firstLine="480"/>
        <w:rPr>
          <w:rFonts w:ascii="宋体" w:hAnsi="宋体"/>
          <w:szCs w:val="21"/>
          <w:lang w:bidi="en-US"/>
        </w:rPr>
      </w:pPr>
      <w:r>
        <w:rPr>
          <w:rFonts w:hint="eastAsia" w:ascii="宋体" w:hAnsi="宋体"/>
          <w:szCs w:val="21"/>
          <w:lang w:bidi="en-US"/>
        </w:rPr>
        <w:t>回购价格的调整方法</w:t>
      </w:r>
    </w:p>
    <w:p>
      <w:pPr>
        <w:spacing w:before="163" w:after="163"/>
        <w:ind w:firstLine="480"/>
        <w:rPr>
          <w:rFonts w:ascii="宋体" w:hAnsi="宋体"/>
          <w:szCs w:val="21"/>
          <w:lang w:bidi="en-US"/>
        </w:rPr>
      </w:pPr>
      <w:r>
        <w:rPr>
          <w:rFonts w:hint="eastAsia" w:ascii="宋体" w:hAnsi="宋体"/>
          <w:szCs w:val="21"/>
          <w:lang w:bidi="en-US"/>
        </w:rPr>
        <w:t>在公司发生资本公积转增股本、派送股票红利、股票拆细时，按照以下方法调整回购价格：P＝P0÷(1＋n)</w:t>
      </w:r>
    </w:p>
    <w:p>
      <w:pPr>
        <w:spacing w:before="163" w:after="163"/>
        <w:ind w:firstLine="480"/>
        <w:rPr>
          <w:rFonts w:ascii="宋体" w:hAnsi="宋体"/>
          <w:szCs w:val="21"/>
          <w:lang w:bidi="en-US"/>
        </w:rPr>
      </w:pPr>
      <w:r>
        <w:rPr>
          <w:rFonts w:hint="eastAsia" w:ascii="宋体" w:hAnsi="宋体"/>
          <w:szCs w:val="21"/>
          <w:lang w:bidi="en-US"/>
        </w:rPr>
        <w:t>其中：</w:t>
      </w:r>
      <w:r>
        <w:rPr>
          <w:rFonts w:ascii="宋体" w:hAnsi="宋体"/>
          <w:szCs w:val="21"/>
          <w:lang w:bidi="en-US"/>
        </w:rPr>
        <w:t>P</w:t>
      </w:r>
      <w:r>
        <w:rPr>
          <w:rFonts w:hint="eastAsia" w:ascii="宋体" w:hAnsi="宋体"/>
          <w:szCs w:val="21"/>
          <w:lang w:bidi="en-US"/>
        </w:rPr>
        <w:t>为调整后的每股限制性股票回购价格，</w:t>
      </w:r>
      <w:r>
        <w:rPr>
          <w:rFonts w:ascii="宋体" w:hAnsi="宋体"/>
          <w:szCs w:val="21"/>
          <w:lang w:bidi="en-US"/>
        </w:rPr>
        <w:t>P0</w:t>
      </w:r>
      <w:r>
        <w:rPr>
          <w:rFonts w:hint="eastAsia" w:ascii="宋体" w:hAnsi="宋体"/>
          <w:szCs w:val="21"/>
          <w:lang w:bidi="en-US"/>
        </w:rPr>
        <w:t>为每股限制性股票授予价格；</w:t>
      </w:r>
      <w:r>
        <w:rPr>
          <w:rFonts w:ascii="宋体" w:hAnsi="宋体"/>
          <w:szCs w:val="21"/>
          <w:lang w:bidi="en-US"/>
        </w:rPr>
        <w:t>n</w:t>
      </w:r>
      <w:r>
        <w:rPr>
          <w:rFonts w:hint="eastAsia" w:ascii="宋体" w:hAnsi="宋体"/>
          <w:szCs w:val="21"/>
          <w:lang w:bidi="en-US"/>
        </w:rPr>
        <w:t>为每股公积金转增股本、派送股票红利、股票拆细的比率（即每股股票经转增、送股或股票拆细后增加的股票数量）。</w:t>
      </w:r>
    </w:p>
    <w:p>
      <w:pPr>
        <w:spacing w:before="163" w:after="163"/>
        <w:ind w:firstLine="480"/>
        <w:rPr>
          <w:rFonts w:ascii="宋体" w:hAnsi="宋体"/>
          <w:szCs w:val="21"/>
          <w:lang w:bidi="en-US"/>
        </w:rPr>
      </w:pPr>
      <w:r>
        <w:rPr>
          <w:rFonts w:hint="eastAsia" w:ascii="宋体" w:hAnsi="宋体"/>
          <w:szCs w:val="21"/>
          <w:lang w:bidi="en-US"/>
        </w:rPr>
        <w:t>在公司发生派息时，按如下方法调整回购价格：P＝P0-V</w:t>
      </w:r>
    </w:p>
    <w:p>
      <w:pPr>
        <w:spacing w:before="163" w:after="163"/>
        <w:ind w:firstLine="480"/>
        <w:rPr>
          <w:rFonts w:ascii="宋体" w:hAnsi="宋体"/>
          <w:szCs w:val="21"/>
          <w:lang w:bidi="en-US"/>
        </w:rPr>
      </w:pPr>
      <w:r>
        <w:rPr>
          <w:rFonts w:hint="eastAsia" w:ascii="宋体" w:hAnsi="宋体"/>
          <w:szCs w:val="21"/>
          <w:lang w:bidi="en-US"/>
        </w:rPr>
        <w:t>其中：P0为调整前的每股限制性股票回购价格；V为每股的派息额；P为调整后的每股限制性股票回购价格。经派息调整后，P仍须大于1。</w:t>
      </w:r>
    </w:p>
    <w:p>
      <w:pPr>
        <w:spacing w:before="163" w:after="163"/>
        <w:ind w:firstLine="480"/>
        <w:rPr>
          <w:rFonts w:ascii="宋体" w:hAnsi="宋体"/>
          <w:szCs w:val="21"/>
          <w:lang w:bidi="en-US"/>
        </w:rPr>
      </w:pPr>
      <w:r>
        <w:rPr>
          <w:rFonts w:hint="eastAsia" w:ascii="宋体" w:hAnsi="宋体"/>
          <w:szCs w:val="21"/>
          <w:lang w:bidi="en-US"/>
        </w:rPr>
        <w:t>20</w:t>
      </w:r>
      <w:r>
        <w:rPr>
          <w:rFonts w:ascii="宋体" w:hAnsi="宋体"/>
          <w:szCs w:val="21"/>
          <w:lang w:bidi="en-US"/>
        </w:rPr>
        <w:t>2</w:t>
      </w:r>
      <w:r>
        <w:rPr>
          <w:rFonts w:hint="eastAsia" w:ascii="宋体" w:hAnsi="宋体"/>
          <w:szCs w:val="21"/>
          <w:lang w:bidi="en-US"/>
        </w:rPr>
        <w:t>2年度权益分派情况：</w:t>
      </w:r>
    </w:p>
    <w:p>
      <w:pPr>
        <w:spacing w:before="163" w:after="163"/>
        <w:ind w:firstLine="480"/>
        <w:rPr>
          <w:rFonts w:ascii="宋体" w:hAnsi="宋体"/>
          <w:szCs w:val="21"/>
          <w:lang w:bidi="en-US"/>
        </w:rPr>
      </w:pPr>
      <w:r>
        <w:rPr>
          <w:rFonts w:hint="eastAsia" w:ascii="宋体" w:hAnsi="宋体" w:cs="宋体"/>
          <w:color w:val="000000"/>
        </w:rPr>
        <w:t>公司于202</w:t>
      </w:r>
      <w:r>
        <w:rPr>
          <w:rFonts w:ascii="宋体" w:hAnsi="宋体" w:cs="宋体"/>
          <w:color w:val="000000"/>
        </w:rPr>
        <w:t>3</w:t>
      </w:r>
      <w:r>
        <w:rPr>
          <w:rFonts w:hint="eastAsia" w:ascii="宋体" w:hAnsi="宋体" w:cs="宋体"/>
          <w:color w:val="000000"/>
        </w:rPr>
        <w:t>年</w:t>
      </w:r>
      <w:r>
        <w:rPr>
          <w:rFonts w:ascii="宋体" w:hAnsi="宋体" w:cs="宋体"/>
          <w:color w:val="000000"/>
        </w:rPr>
        <w:t>4</w:t>
      </w:r>
      <w:r>
        <w:rPr>
          <w:rFonts w:hint="eastAsia" w:ascii="宋体" w:hAnsi="宋体" w:cs="宋体"/>
          <w:color w:val="000000"/>
        </w:rPr>
        <w:t>月2</w:t>
      </w:r>
      <w:r>
        <w:rPr>
          <w:rFonts w:ascii="宋体" w:hAnsi="宋体" w:cs="宋体"/>
          <w:color w:val="000000"/>
        </w:rPr>
        <w:t>0</w:t>
      </w:r>
      <w:r>
        <w:rPr>
          <w:rFonts w:hint="eastAsia" w:ascii="宋体" w:hAnsi="宋体" w:cs="宋体"/>
          <w:color w:val="000000"/>
        </w:rPr>
        <w:t>日公告了《2022年度分红派息、转增股本实施公告》，分配方案为：以公司现有总股本168,877,148.00股为基数，向全体股东每10股派3.000000元人民币现金，同时，以资本公积金向全体股东每10股转增3.000000股。上述分红派息已经于202</w:t>
      </w:r>
      <w:r>
        <w:rPr>
          <w:rFonts w:ascii="宋体" w:hAnsi="宋体" w:cs="宋体"/>
          <w:color w:val="000000"/>
        </w:rPr>
        <w:t>3</w:t>
      </w:r>
      <w:r>
        <w:rPr>
          <w:rFonts w:hint="eastAsia" w:ascii="宋体" w:hAnsi="宋体" w:cs="宋体"/>
          <w:color w:val="000000"/>
        </w:rPr>
        <w:t>年4月28日实施完毕。</w:t>
      </w:r>
    </w:p>
    <w:p>
      <w:pPr>
        <w:spacing w:before="163" w:after="163"/>
        <w:ind w:firstLine="480"/>
        <w:rPr>
          <w:rFonts w:ascii="宋体" w:hAnsi="宋体" w:cs="宋体"/>
          <w:color w:val="000000"/>
        </w:rPr>
      </w:pPr>
      <w:r>
        <w:rPr>
          <w:rFonts w:hint="eastAsia" w:ascii="宋体" w:hAnsi="宋体" w:cs="宋体"/>
          <w:color w:val="000000"/>
        </w:rPr>
        <w:t>基于上述分红派息、转增股本方案的实施情况，对公司首次授予及预留授予的限制性股票回购价格调整如下：</w:t>
      </w:r>
    </w:p>
    <w:p>
      <w:pPr>
        <w:spacing w:before="163" w:after="163"/>
        <w:ind w:firstLine="480"/>
        <w:rPr>
          <w:rFonts w:ascii="宋体" w:hAnsi="宋体"/>
          <w:szCs w:val="21"/>
          <w:lang w:bidi="en-US"/>
        </w:rPr>
      </w:pPr>
      <w:r>
        <w:rPr>
          <w:rFonts w:hint="eastAsia" w:ascii="宋体" w:hAnsi="宋体"/>
          <w:szCs w:val="21"/>
          <w:lang w:bidi="en-US"/>
        </w:rPr>
        <w:t>调整后的回购价格=（4</w:t>
      </w:r>
      <w:r>
        <w:rPr>
          <w:rFonts w:ascii="宋体" w:hAnsi="宋体"/>
          <w:szCs w:val="21"/>
          <w:lang w:bidi="en-US"/>
        </w:rPr>
        <w:t>.65</w:t>
      </w:r>
      <w:r>
        <w:rPr>
          <w:rFonts w:hint="eastAsia" w:ascii="宋体" w:hAnsi="宋体"/>
          <w:szCs w:val="21"/>
          <w:lang w:bidi="en-US"/>
        </w:rPr>
        <w:t>-</w:t>
      </w:r>
      <w:r>
        <w:rPr>
          <w:rFonts w:ascii="宋体" w:hAnsi="宋体"/>
          <w:szCs w:val="21"/>
          <w:lang w:bidi="en-US"/>
        </w:rPr>
        <w:t>0.3</w:t>
      </w:r>
      <w:r>
        <w:rPr>
          <w:rFonts w:hint="eastAsia" w:ascii="宋体" w:hAnsi="宋体"/>
          <w:szCs w:val="21"/>
          <w:lang w:bidi="en-US"/>
        </w:rPr>
        <w:t>）÷（1+</w:t>
      </w:r>
      <w:r>
        <w:rPr>
          <w:rFonts w:ascii="宋体" w:hAnsi="宋体"/>
          <w:szCs w:val="21"/>
          <w:lang w:bidi="en-US"/>
        </w:rPr>
        <w:t>0.3</w:t>
      </w:r>
      <w:r>
        <w:rPr>
          <w:rFonts w:hint="eastAsia" w:ascii="宋体" w:hAnsi="宋体"/>
          <w:szCs w:val="21"/>
          <w:lang w:bidi="en-US"/>
        </w:rPr>
        <w:t>）=</w:t>
      </w:r>
      <w:r>
        <w:rPr>
          <w:rFonts w:ascii="宋体" w:hAnsi="宋体"/>
          <w:szCs w:val="21"/>
          <w:lang w:bidi="en-US"/>
        </w:rPr>
        <w:t>3.35</w:t>
      </w:r>
      <w:r>
        <w:rPr>
          <w:rFonts w:hint="eastAsia" w:ascii="宋体" w:hAnsi="宋体"/>
          <w:szCs w:val="21"/>
          <w:lang w:bidi="en-US"/>
        </w:rPr>
        <w:t>元/股。</w:t>
      </w:r>
    </w:p>
    <w:p>
      <w:pPr>
        <w:spacing w:before="163" w:after="163"/>
        <w:ind w:firstLine="480"/>
        <w:rPr>
          <w:rFonts w:ascii="宋体" w:hAnsi="宋体"/>
          <w:szCs w:val="21"/>
          <w:lang w:bidi="en-US"/>
        </w:rPr>
      </w:pPr>
      <w:r>
        <w:rPr>
          <w:rFonts w:hint="eastAsia" w:ascii="宋体" w:hAnsi="宋体"/>
          <w:szCs w:val="21"/>
          <w:lang w:bidi="en-US"/>
        </w:rPr>
        <w:t>（三）本次回购注销的种类、数量及占本次股权激励计划涉及的标的股票的比例、占总股本的比例</w:t>
      </w:r>
    </w:p>
    <w:p>
      <w:pPr>
        <w:spacing w:before="163" w:after="163"/>
        <w:ind w:firstLine="480"/>
        <w:rPr>
          <w:rFonts w:ascii="宋体" w:hAnsi="宋体"/>
          <w:szCs w:val="21"/>
          <w:lang w:bidi="en-US"/>
        </w:rPr>
      </w:pPr>
      <w:r>
        <w:rPr>
          <w:rFonts w:hint="eastAsia" w:ascii="宋体" w:hAnsi="宋体"/>
          <w:szCs w:val="21"/>
          <w:lang w:bidi="en-US"/>
        </w:rPr>
        <w:t>根据《激励计划（草案）》的规定，本次回购注销的股份种类为人民币普通股，回购注销的股票数量为</w:t>
      </w:r>
      <w:r>
        <w:rPr>
          <w:rFonts w:ascii="宋体" w:hAnsi="宋体"/>
          <w:szCs w:val="21"/>
          <w:lang w:bidi="en-US"/>
        </w:rPr>
        <w:t>171,405</w:t>
      </w:r>
      <w:r>
        <w:rPr>
          <w:rFonts w:hint="eastAsia" w:ascii="宋体" w:hAnsi="宋体"/>
          <w:szCs w:val="21"/>
          <w:lang w:bidi="en-US"/>
        </w:rPr>
        <w:t>股，占本次股权激励计划合计授予的限制性股票比例为</w:t>
      </w:r>
      <w:r>
        <w:rPr>
          <w:rFonts w:ascii="宋体" w:hAnsi="宋体"/>
          <w:szCs w:val="21"/>
          <w:lang w:bidi="en-US"/>
        </w:rPr>
        <w:t>4.3912%，占回购注销前总股本比例为</w:t>
      </w:r>
      <w:r>
        <w:rPr>
          <w:rFonts w:hint="eastAsia" w:ascii="宋体" w:hAnsi="宋体"/>
          <w:szCs w:val="21"/>
          <w:lang w:bidi="en-US"/>
        </w:rPr>
        <w:t>0.0</w:t>
      </w:r>
      <w:r>
        <w:rPr>
          <w:rFonts w:ascii="宋体" w:hAnsi="宋体"/>
          <w:szCs w:val="21"/>
          <w:lang w:bidi="en-US"/>
        </w:rPr>
        <w:t>781%</w:t>
      </w:r>
      <w:r>
        <w:rPr>
          <w:rFonts w:hint="eastAsia" w:ascii="宋体" w:hAnsi="宋体"/>
          <w:szCs w:val="21"/>
          <w:lang w:bidi="en-US"/>
        </w:rPr>
        <w:t>。</w:t>
      </w:r>
    </w:p>
    <w:p>
      <w:pPr>
        <w:spacing w:before="163" w:after="163"/>
        <w:ind w:firstLine="480"/>
        <w:rPr>
          <w:rFonts w:ascii="宋体" w:hAnsi="宋体"/>
          <w:szCs w:val="21"/>
          <w:lang w:bidi="en-US"/>
        </w:rPr>
      </w:pPr>
      <w:r>
        <w:rPr>
          <w:rFonts w:hint="eastAsia" w:ascii="宋体" w:hAnsi="宋体"/>
          <w:szCs w:val="21"/>
          <w:lang w:bidi="en-US"/>
        </w:rPr>
        <w:t>（四）本次回购注销的资金来源</w:t>
      </w:r>
    </w:p>
    <w:p>
      <w:pPr>
        <w:widowControl/>
        <w:adjustRightInd w:val="0"/>
        <w:snapToGrid w:val="0"/>
        <w:spacing w:before="163" w:after="163"/>
        <w:ind w:firstLine="480"/>
        <w:jc w:val="left"/>
        <w:rPr>
          <w:rFonts w:asciiTheme="minorEastAsia" w:hAnsiTheme="minorEastAsia" w:eastAsiaTheme="minorEastAsia"/>
          <w:szCs w:val="24"/>
        </w:rPr>
      </w:pPr>
      <w:r>
        <w:rPr>
          <w:rFonts w:hint="eastAsia" w:ascii="宋体" w:hAnsi="宋体"/>
          <w:szCs w:val="21"/>
          <w:lang w:bidi="en-US"/>
        </w:rPr>
        <w:t>根据公司第四届董事会第二十六次会议决议，本次拟回购注销的限制性股票数量为</w:t>
      </w:r>
      <w:r>
        <w:rPr>
          <w:rFonts w:ascii="宋体" w:hAnsi="宋体"/>
          <w:szCs w:val="21"/>
          <w:lang w:bidi="en-US"/>
        </w:rPr>
        <w:t>171,405</w:t>
      </w:r>
      <w:r>
        <w:rPr>
          <w:rFonts w:hint="eastAsia" w:asciiTheme="minorEastAsia" w:hAnsiTheme="minorEastAsia" w:eastAsiaTheme="minorEastAsia"/>
          <w:szCs w:val="23"/>
        </w:rPr>
        <w:t>股</w:t>
      </w:r>
      <w:r>
        <w:rPr>
          <w:rFonts w:hint="eastAsia" w:ascii="宋体" w:hAnsi="宋体"/>
          <w:szCs w:val="21"/>
          <w:lang w:bidi="en-US"/>
        </w:rPr>
        <w:t>，公司本次回购注销的回购资金为公司自有资金。</w:t>
      </w:r>
    </w:p>
    <w:p>
      <w:pPr>
        <w:widowControl/>
        <w:adjustRightInd w:val="0"/>
        <w:snapToGrid w:val="0"/>
        <w:spacing w:before="163" w:after="163"/>
        <w:ind w:firstLine="480"/>
        <w:jc w:val="left"/>
        <w:rPr>
          <w:rFonts w:asciiTheme="minorEastAsia" w:hAnsiTheme="minorEastAsia" w:eastAsiaTheme="minorEastAsia"/>
          <w:szCs w:val="24"/>
        </w:rPr>
      </w:pPr>
      <w:r>
        <w:rPr>
          <w:rFonts w:hint="eastAsia" w:asciiTheme="minorEastAsia" w:hAnsiTheme="minorEastAsia" w:eastAsiaTheme="minorEastAsia"/>
          <w:szCs w:val="24"/>
        </w:rPr>
        <w:t>（五）本次回购注销后对公司股权变动的影响</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5"/>
        <w:gridCol w:w="1528"/>
        <w:gridCol w:w="1618"/>
        <w:gridCol w:w="1424"/>
        <w:gridCol w:w="1528"/>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870" w:type="dxa"/>
            <w:vMerge w:val="restart"/>
            <w:shd w:val="clear" w:color="auto" w:fill="D8D8D8" w:themeFill="background1" w:themeFillShade="D9"/>
            <w:vAlign w:val="center"/>
          </w:tcPr>
          <w:p>
            <w:pPr>
              <w:autoSpaceDE w:val="0"/>
              <w:autoSpaceDN w:val="0"/>
              <w:spacing w:before="163" w:after="163" w:line="240" w:lineRule="auto"/>
              <w:ind w:firstLine="0" w:firstLineChars="0"/>
              <w:jc w:val="center"/>
              <w:textAlignment w:val="center"/>
              <w:rPr>
                <w:rFonts w:ascii="宋体" w:hAnsi="宋体"/>
                <w:b/>
                <w:sz w:val="21"/>
                <w:szCs w:val="21"/>
                <w:lang w:eastAsia="en-US" w:bidi="en-US"/>
              </w:rPr>
            </w:pPr>
            <w:r>
              <w:rPr>
                <w:rFonts w:hint="eastAsia" w:ascii="宋体" w:hAnsi="宋体" w:cs="宋体"/>
                <w:b/>
                <w:bCs/>
                <w:color w:val="000000"/>
                <w:kern w:val="0"/>
                <w:sz w:val="21"/>
                <w:szCs w:val="21"/>
                <w:lang w:eastAsia="zh-CN" w:bidi="ar"/>
              </w:rPr>
              <w:t>股份性质</w:t>
            </w:r>
          </w:p>
        </w:tc>
        <w:tc>
          <w:tcPr>
            <w:tcW w:w="2532" w:type="dxa"/>
            <w:gridSpan w:val="2"/>
            <w:shd w:val="clear" w:color="auto" w:fill="D8D8D8" w:themeFill="background1" w:themeFillShade="D9"/>
            <w:vAlign w:val="center"/>
          </w:tcPr>
          <w:p>
            <w:pPr>
              <w:autoSpaceDE w:val="0"/>
              <w:autoSpaceDN w:val="0"/>
              <w:spacing w:before="163" w:after="163" w:line="240" w:lineRule="auto"/>
              <w:ind w:firstLine="0" w:firstLineChars="0"/>
              <w:jc w:val="center"/>
              <w:textAlignment w:val="center"/>
              <w:rPr>
                <w:rFonts w:ascii="宋体" w:hAnsi="宋体"/>
                <w:b/>
                <w:sz w:val="21"/>
                <w:szCs w:val="21"/>
                <w:lang w:eastAsia="en-US" w:bidi="en-US"/>
              </w:rPr>
            </w:pPr>
            <w:r>
              <w:rPr>
                <w:rFonts w:hint="eastAsia" w:ascii="宋体" w:hAnsi="宋体" w:cs="宋体"/>
                <w:b/>
                <w:bCs/>
                <w:color w:val="000000"/>
                <w:kern w:val="0"/>
                <w:sz w:val="21"/>
                <w:szCs w:val="21"/>
                <w:lang w:eastAsia="zh-CN" w:bidi="ar"/>
              </w:rPr>
              <w:t>本次回购注销前</w:t>
            </w:r>
          </w:p>
        </w:tc>
        <w:tc>
          <w:tcPr>
            <w:tcW w:w="1277" w:type="dxa"/>
            <w:vMerge w:val="restart"/>
            <w:shd w:val="clear" w:color="auto" w:fill="D8D8D8" w:themeFill="background1" w:themeFillShade="D9"/>
            <w:vAlign w:val="center"/>
          </w:tcPr>
          <w:p>
            <w:pPr>
              <w:autoSpaceDE w:val="0"/>
              <w:autoSpaceDN w:val="0"/>
              <w:spacing w:before="163" w:after="163" w:line="240" w:lineRule="auto"/>
              <w:ind w:firstLine="0" w:firstLineChars="0"/>
              <w:jc w:val="center"/>
              <w:textAlignment w:val="center"/>
              <w:rPr>
                <w:rFonts w:ascii="宋体" w:hAnsi="宋体"/>
                <w:b/>
                <w:sz w:val="21"/>
                <w:szCs w:val="21"/>
                <w:lang w:eastAsia="en-US" w:bidi="en-US"/>
              </w:rPr>
            </w:pPr>
            <w:r>
              <w:rPr>
                <w:rFonts w:hint="eastAsia" w:ascii="宋体" w:hAnsi="宋体" w:cs="宋体"/>
                <w:b/>
                <w:bCs/>
                <w:color w:val="000000"/>
                <w:kern w:val="0"/>
                <w:sz w:val="21"/>
                <w:szCs w:val="21"/>
                <w:lang w:eastAsia="zh-CN" w:bidi="ar"/>
              </w:rPr>
              <w:t>变动数（+、-）</w:t>
            </w:r>
          </w:p>
        </w:tc>
        <w:tc>
          <w:tcPr>
            <w:tcW w:w="2843" w:type="dxa"/>
            <w:gridSpan w:val="2"/>
            <w:shd w:val="clear" w:color="auto" w:fill="D8D8D8" w:themeFill="background1" w:themeFillShade="D9"/>
            <w:vAlign w:val="center"/>
          </w:tcPr>
          <w:p>
            <w:pPr>
              <w:autoSpaceDE w:val="0"/>
              <w:autoSpaceDN w:val="0"/>
              <w:spacing w:before="163" w:after="163" w:line="240" w:lineRule="auto"/>
              <w:ind w:firstLine="0" w:firstLineChars="0"/>
              <w:jc w:val="center"/>
              <w:textAlignment w:val="center"/>
              <w:rPr>
                <w:rFonts w:ascii="宋体" w:hAnsi="宋体"/>
                <w:b/>
                <w:sz w:val="21"/>
                <w:szCs w:val="21"/>
                <w:lang w:eastAsia="en-US" w:bidi="en-US"/>
              </w:rPr>
            </w:pPr>
            <w:r>
              <w:rPr>
                <w:rFonts w:hint="eastAsia" w:ascii="宋体" w:hAnsi="宋体" w:cs="宋体"/>
                <w:b/>
                <w:bCs/>
                <w:color w:val="000000"/>
                <w:kern w:val="0"/>
                <w:sz w:val="21"/>
                <w:szCs w:val="21"/>
                <w:lang w:eastAsia="zh-CN" w:bidi="ar"/>
              </w:rPr>
              <w:t>本次回购注销后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870" w:type="dxa"/>
            <w:vMerge w:val="continue"/>
            <w:shd w:val="clear" w:color="auto" w:fill="D8D8D8" w:themeFill="background1" w:themeFillShade="D9"/>
            <w:vAlign w:val="center"/>
          </w:tcPr>
          <w:p>
            <w:pPr>
              <w:autoSpaceDE w:val="0"/>
              <w:autoSpaceDN w:val="0"/>
              <w:spacing w:before="163" w:after="163" w:line="240" w:lineRule="auto"/>
              <w:ind w:firstLine="0" w:firstLineChars="0"/>
              <w:jc w:val="center"/>
              <w:rPr>
                <w:rFonts w:ascii="宋体" w:hAnsi="宋体"/>
                <w:b/>
                <w:sz w:val="21"/>
                <w:szCs w:val="21"/>
                <w:lang w:eastAsia="en-US" w:bidi="en-US"/>
              </w:rPr>
            </w:pPr>
          </w:p>
        </w:tc>
        <w:tc>
          <w:tcPr>
            <w:tcW w:w="1231" w:type="dxa"/>
            <w:shd w:val="clear" w:color="auto" w:fill="D8D8D8" w:themeFill="background1" w:themeFillShade="D9"/>
            <w:vAlign w:val="center"/>
          </w:tcPr>
          <w:p>
            <w:pPr>
              <w:autoSpaceDE w:val="0"/>
              <w:autoSpaceDN w:val="0"/>
              <w:spacing w:before="163" w:after="163" w:line="240" w:lineRule="auto"/>
              <w:ind w:firstLine="0" w:firstLineChars="0"/>
              <w:jc w:val="center"/>
              <w:textAlignment w:val="center"/>
              <w:rPr>
                <w:rFonts w:ascii="宋体" w:hAnsi="宋体"/>
                <w:b/>
                <w:sz w:val="21"/>
                <w:szCs w:val="21"/>
                <w:lang w:eastAsia="en-US" w:bidi="en-US"/>
              </w:rPr>
            </w:pPr>
            <w:r>
              <w:rPr>
                <w:rFonts w:hint="eastAsia" w:ascii="宋体" w:hAnsi="宋体" w:cs="宋体"/>
                <w:b/>
                <w:bCs/>
                <w:color w:val="000000"/>
                <w:kern w:val="0"/>
                <w:sz w:val="21"/>
                <w:szCs w:val="21"/>
                <w:lang w:eastAsia="zh-CN" w:bidi="ar"/>
              </w:rPr>
              <w:t>股份数量（股）</w:t>
            </w:r>
          </w:p>
        </w:tc>
        <w:tc>
          <w:tcPr>
            <w:tcW w:w="1451" w:type="dxa"/>
            <w:shd w:val="clear" w:color="auto" w:fill="D8D8D8" w:themeFill="background1" w:themeFillShade="D9"/>
            <w:vAlign w:val="center"/>
          </w:tcPr>
          <w:p>
            <w:pPr>
              <w:autoSpaceDE w:val="0"/>
              <w:autoSpaceDN w:val="0"/>
              <w:spacing w:before="163" w:after="163" w:line="240" w:lineRule="auto"/>
              <w:ind w:firstLine="0" w:firstLineChars="0"/>
              <w:jc w:val="center"/>
              <w:textAlignment w:val="center"/>
              <w:rPr>
                <w:rFonts w:ascii="宋体" w:hAnsi="宋体"/>
                <w:b/>
                <w:sz w:val="21"/>
                <w:szCs w:val="21"/>
                <w:lang w:eastAsia="en-US" w:bidi="en-US"/>
              </w:rPr>
            </w:pPr>
            <w:r>
              <w:rPr>
                <w:rFonts w:hint="eastAsia" w:ascii="宋体" w:hAnsi="宋体" w:cs="宋体"/>
                <w:b/>
                <w:bCs/>
                <w:color w:val="000000"/>
                <w:kern w:val="0"/>
                <w:sz w:val="21"/>
                <w:szCs w:val="21"/>
                <w:lang w:eastAsia="zh-CN" w:bidi="ar"/>
              </w:rPr>
              <w:t>比例</w:t>
            </w:r>
          </w:p>
        </w:tc>
        <w:tc>
          <w:tcPr>
            <w:tcW w:w="1277" w:type="dxa"/>
            <w:vMerge w:val="continue"/>
            <w:shd w:val="clear" w:color="auto" w:fill="D8D8D8" w:themeFill="background1" w:themeFillShade="D9"/>
            <w:vAlign w:val="center"/>
          </w:tcPr>
          <w:p>
            <w:pPr>
              <w:autoSpaceDE w:val="0"/>
              <w:autoSpaceDN w:val="0"/>
              <w:spacing w:before="163" w:after="163" w:line="240" w:lineRule="auto"/>
              <w:ind w:firstLine="0" w:firstLineChars="0"/>
              <w:jc w:val="center"/>
              <w:rPr>
                <w:rFonts w:ascii="宋体" w:hAnsi="宋体"/>
                <w:b/>
                <w:sz w:val="21"/>
                <w:szCs w:val="21"/>
                <w:lang w:eastAsia="en-US" w:bidi="en-US"/>
              </w:rPr>
            </w:pPr>
          </w:p>
        </w:tc>
        <w:tc>
          <w:tcPr>
            <w:tcW w:w="1308" w:type="dxa"/>
            <w:shd w:val="clear" w:color="auto" w:fill="D8D8D8" w:themeFill="background1" w:themeFillShade="D9"/>
            <w:vAlign w:val="center"/>
          </w:tcPr>
          <w:p>
            <w:pPr>
              <w:autoSpaceDE w:val="0"/>
              <w:autoSpaceDN w:val="0"/>
              <w:spacing w:before="163" w:after="163" w:line="240" w:lineRule="auto"/>
              <w:ind w:firstLine="0" w:firstLineChars="0"/>
              <w:textAlignment w:val="center"/>
              <w:rPr>
                <w:rFonts w:ascii="宋体" w:hAnsi="宋体"/>
                <w:b/>
                <w:sz w:val="21"/>
                <w:szCs w:val="21"/>
                <w:lang w:eastAsia="en-US" w:bidi="en-US"/>
              </w:rPr>
            </w:pPr>
            <w:r>
              <w:rPr>
                <w:rFonts w:hint="eastAsia" w:ascii="宋体" w:hAnsi="宋体" w:cs="宋体"/>
                <w:b/>
                <w:bCs/>
                <w:color w:val="000000"/>
                <w:kern w:val="0"/>
                <w:sz w:val="21"/>
                <w:szCs w:val="21"/>
                <w:lang w:eastAsia="zh-CN" w:bidi="ar"/>
              </w:rPr>
              <w:t>股份数量（股）</w:t>
            </w:r>
          </w:p>
        </w:tc>
        <w:tc>
          <w:tcPr>
            <w:tcW w:w="1601" w:type="dxa"/>
            <w:shd w:val="clear" w:color="auto" w:fill="D8D8D8" w:themeFill="background1" w:themeFillShade="D9"/>
            <w:vAlign w:val="center"/>
          </w:tcPr>
          <w:p>
            <w:pPr>
              <w:autoSpaceDE w:val="0"/>
              <w:autoSpaceDN w:val="0"/>
              <w:spacing w:before="163" w:after="163" w:line="240" w:lineRule="auto"/>
              <w:ind w:firstLine="0" w:firstLineChars="0"/>
              <w:jc w:val="center"/>
              <w:textAlignment w:val="center"/>
              <w:rPr>
                <w:rFonts w:ascii="宋体" w:hAnsi="宋体"/>
                <w:b/>
                <w:sz w:val="21"/>
                <w:szCs w:val="21"/>
                <w:lang w:eastAsia="en-US" w:bidi="en-US"/>
              </w:rPr>
            </w:pPr>
            <w:r>
              <w:rPr>
                <w:rFonts w:hint="eastAsia" w:ascii="宋体" w:hAnsi="宋体" w:cs="宋体"/>
                <w:b/>
                <w:bCs/>
                <w:color w:val="000000"/>
                <w:kern w:val="0"/>
                <w:sz w:val="21"/>
                <w:szCs w:val="21"/>
                <w:lang w:eastAsia="zh-CN" w:bidi="ar"/>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870" w:type="dxa"/>
            <w:vAlign w:val="center"/>
          </w:tcPr>
          <w:p>
            <w:pPr>
              <w:autoSpaceDE w:val="0"/>
              <w:autoSpaceDN w:val="0"/>
              <w:spacing w:before="163" w:after="163" w:line="240" w:lineRule="auto"/>
              <w:ind w:firstLine="0" w:firstLineChars="0"/>
              <w:textAlignment w:val="center"/>
              <w:rPr>
                <w:rFonts w:ascii="宋体" w:hAnsi="宋体"/>
                <w:sz w:val="21"/>
                <w:szCs w:val="21"/>
                <w:lang w:eastAsia="zh-CN" w:bidi="en-US"/>
              </w:rPr>
            </w:pPr>
            <w:r>
              <w:rPr>
                <w:rFonts w:hint="eastAsia" w:ascii="宋体" w:hAnsi="宋体" w:cs="宋体"/>
                <w:color w:val="000000"/>
                <w:kern w:val="0"/>
                <w:sz w:val="21"/>
                <w:szCs w:val="21"/>
                <w:lang w:eastAsia="zh-CN" w:bidi="ar"/>
              </w:rPr>
              <w:t>一、有限售条件流通股</w:t>
            </w:r>
          </w:p>
        </w:tc>
        <w:tc>
          <w:tcPr>
            <w:tcW w:w="1231" w:type="dxa"/>
            <w:vAlign w:val="center"/>
          </w:tcPr>
          <w:p>
            <w:pPr>
              <w:autoSpaceDE w:val="0"/>
              <w:autoSpaceDN w:val="0"/>
              <w:spacing w:before="163" w:after="163" w:line="240" w:lineRule="auto"/>
              <w:ind w:firstLine="0" w:firstLineChars="0"/>
              <w:jc w:val="center"/>
              <w:textAlignment w:val="center"/>
              <w:rPr>
                <w:rFonts w:hint="eastAsia" w:ascii="宋体" w:hAnsi="宋体" w:cs="宋体"/>
                <w:color w:val="000000"/>
                <w:kern w:val="0"/>
                <w:sz w:val="21"/>
                <w:szCs w:val="21"/>
                <w:lang w:eastAsia="en-US" w:bidi="ar"/>
              </w:rPr>
            </w:pPr>
            <w:r>
              <w:rPr>
                <w:rFonts w:hint="eastAsia" w:ascii="宋体" w:hAnsi="宋体" w:cs="宋体"/>
                <w:color w:val="000000"/>
                <w:kern w:val="0"/>
                <w:sz w:val="21"/>
                <w:szCs w:val="21"/>
                <w:lang w:val="en-US" w:eastAsia="zh-CN" w:bidi="ar"/>
              </w:rPr>
              <w:t>100,848,464</w:t>
            </w:r>
          </w:p>
        </w:tc>
        <w:tc>
          <w:tcPr>
            <w:tcW w:w="1451" w:type="dxa"/>
            <w:vAlign w:val="center"/>
          </w:tcPr>
          <w:p>
            <w:pPr>
              <w:autoSpaceDE w:val="0"/>
              <w:autoSpaceDN w:val="0"/>
              <w:spacing w:before="163" w:after="163" w:line="240" w:lineRule="auto"/>
              <w:ind w:firstLine="0" w:firstLineChars="0"/>
              <w:jc w:val="center"/>
              <w:textAlignment w:val="center"/>
              <w:rPr>
                <w:rFonts w:hint="eastAsia" w:ascii="宋体" w:hAnsi="宋体" w:cs="宋体"/>
                <w:color w:val="000000"/>
                <w:kern w:val="0"/>
                <w:sz w:val="21"/>
                <w:szCs w:val="21"/>
                <w:lang w:eastAsia="en-US" w:bidi="ar"/>
              </w:rPr>
            </w:pPr>
            <w:r>
              <w:rPr>
                <w:rFonts w:hint="eastAsia" w:ascii="宋体" w:hAnsi="宋体" w:cs="宋体"/>
                <w:color w:val="000000"/>
                <w:kern w:val="0"/>
                <w:sz w:val="21"/>
                <w:szCs w:val="21"/>
                <w:lang w:val="en-US" w:eastAsia="zh-CN" w:bidi="ar"/>
              </w:rPr>
              <w:t>45.94%</w:t>
            </w:r>
          </w:p>
        </w:tc>
        <w:tc>
          <w:tcPr>
            <w:tcW w:w="1277" w:type="dxa"/>
            <w:vAlign w:val="center"/>
          </w:tcPr>
          <w:p>
            <w:pPr>
              <w:autoSpaceDE w:val="0"/>
              <w:autoSpaceDN w:val="0"/>
              <w:spacing w:before="163" w:after="163" w:line="240" w:lineRule="auto"/>
              <w:ind w:firstLine="0" w:firstLineChars="0"/>
              <w:jc w:val="center"/>
              <w:textAlignment w:val="center"/>
              <w:rPr>
                <w:rFonts w:hint="eastAsia" w:ascii="宋体" w:hAnsi="宋体" w:cs="宋体"/>
                <w:color w:val="000000"/>
                <w:kern w:val="0"/>
                <w:sz w:val="21"/>
                <w:szCs w:val="21"/>
                <w:lang w:eastAsia="en-US" w:bidi="ar"/>
              </w:rPr>
            </w:pPr>
            <w:r>
              <w:rPr>
                <w:rFonts w:hint="eastAsia" w:ascii="宋体" w:hAnsi="宋体" w:cs="宋体"/>
                <w:color w:val="000000"/>
                <w:kern w:val="0"/>
                <w:sz w:val="21"/>
                <w:szCs w:val="21"/>
                <w:lang w:val="en-US" w:eastAsia="zh-CN" w:bidi="ar"/>
              </w:rPr>
              <w:t>-171,405</w:t>
            </w:r>
          </w:p>
        </w:tc>
        <w:tc>
          <w:tcPr>
            <w:tcW w:w="1308" w:type="dxa"/>
            <w:vAlign w:val="center"/>
          </w:tcPr>
          <w:p>
            <w:pPr>
              <w:autoSpaceDE w:val="0"/>
              <w:autoSpaceDN w:val="0"/>
              <w:spacing w:before="163" w:after="163" w:line="240" w:lineRule="auto"/>
              <w:ind w:firstLine="0" w:firstLineChars="0"/>
              <w:jc w:val="center"/>
              <w:textAlignment w:val="center"/>
              <w:rPr>
                <w:rFonts w:hint="eastAsia" w:ascii="宋体" w:hAnsi="宋体" w:cs="宋体"/>
                <w:color w:val="000000"/>
                <w:kern w:val="0"/>
                <w:sz w:val="21"/>
                <w:szCs w:val="21"/>
                <w:lang w:eastAsia="en-US" w:bidi="ar"/>
              </w:rPr>
            </w:pPr>
            <w:r>
              <w:rPr>
                <w:rFonts w:hint="eastAsia" w:ascii="宋体" w:hAnsi="宋体" w:cs="宋体"/>
                <w:color w:val="000000"/>
                <w:kern w:val="0"/>
                <w:sz w:val="21"/>
                <w:szCs w:val="21"/>
                <w:lang w:val="en-US" w:eastAsia="zh-CN" w:bidi="ar"/>
              </w:rPr>
              <w:t>100,677,059</w:t>
            </w:r>
          </w:p>
        </w:tc>
        <w:tc>
          <w:tcPr>
            <w:tcW w:w="1601" w:type="dxa"/>
            <w:vAlign w:val="center"/>
          </w:tcPr>
          <w:p>
            <w:pPr>
              <w:autoSpaceDE w:val="0"/>
              <w:autoSpaceDN w:val="0"/>
              <w:spacing w:before="163" w:after="163" w:line="240" w:lineRule="auto"/>
              <w:ind w:firstLine="0" w:firstLineChars="0"/>
              <w:jc w:val="center"/>
              <w:textAlignment w:val="center"/>
              <w:rPr>
                <w:rFonts w:hint="eastAsia" w:ascii="宋体" w:hAnsi="宋体" w:cs="宋体"/>
                <w:color w:val="000000"/>
                <w:kern w:val="0"/>
                <w:sz w:val="21"/>
                <w:szCs w:val="21"/>
                <w:lang w:eastAsia="en-US" w:bidi="ar"/>
              </w:rPr>
            </w:pPr>
            <w:r>
              <w:rPr>
                <w:rFonts w:hint="eastAsia" w:ascii="宋体" w:hAnsi="宋体" w:cs="宋体"/>
                <w:color w:val="000000"/>
                <w:kern w:val="0"/>
                <w:sz w:val="21"/>
                <w:szCs w:val="21"/>
                <w:lang w:val="en-US" w:eastAsia="zh-CN" w:bidi="ar"/>
              </w:rPr>
              <w:t>45.89%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870" w:type="dxa"/>
            <w:vAlign w:val="center"/>
          </w:tcPr>
          <w:p>
            <w:pPr>
              <w:autoSpaceDE w:val="0"/>
              <w:autoSpaceDN w:val="0"/>
              <w:spacing w:before="163" w:after="163" w:line="240" w:lineRule="auto"/>
              <w:ind w:firstLine="0" w:firstLineChars="0"/>
              <w:textAlignment w:val="center"/>
              <w:rPr>
                <w:rFonts w:ascii="宋体" w:hAnsi="宋体"/>
                <w:sz w:val="21"/>
                <w:szCs w:val="21"/>
                <w:lang w:eastAsia="en-US" w:bidi="en-US"/>
              </w:rPr>
            </w:pPr>
            <w:r>
              <w:rPr>
                <w:rFonts w:hint="eastAsia" w:ascii="宋体" w:hAnsi="宋体" w:cs="宋体"/>
                <w:color w:val="000000"/>
                <w:kern w:val="0"/>
                <w:sz w:val="21"/>
                <w:szCs w:val="21"/>
                <w:lang w:eastAsia="zh-CN" w:bidi="ar"/>
              </w:rPr>
              <w:t>1、股权激励限售股</w:t>
            </w:r>
          </w:p>
        </w:tc>
        <w:tc>
          <w:tcPr>
            <w:tcW w:w="1231" w:type="dxa"/>
            <w:vAlign w:val="center"/>
          </w:tcPr>
          <w:p>
            <w:pPr>
              <w:autoSpaceDE w:val="0"/>
              <w:autoSpaceDN w:val="0"/>
              <w:spacing w:before="163" w:after="163" w:line="240" w:lineRule="auto"/>
              <w:ind w:firstLine="0" w:firstLineChars="0"/>
              <w:jc w:val="center"/>
              <w:textAlignment w:val="center"/>
              <w:rPr>
                <w:rFonts w:hint="eastAsia" w:ascii="宋体" w:hAnsi="宋体" w:cs="宋体"/>
                <w:color w:val="000000"/>
                <w:kern w:val="0"/>
                <w:sz w:val="21"/>
                <w:szCs w:val="21"/>
                <w:lang w:eastAsia="en-US" w:bidi="ar"/>
              </w:rPr>
            </w:pPr>
            <w:r>
              <w:rPr>
                <w:rFonts w:hint="eastAsia" w:ascii="宋体" w:hAnsi="宋体" w:cs="宋体"/>
                <w:color w:val="000000"/>
                <w:kern w:val="0"/>
                <w:sz w:val="21"/>
                <w:szCs w:val="21"/>
                <w:lang w:val="en-US" w:eastAsia="zh-CN" w:bidi="ar"/>
              </w:rPr>
              <w:t>98,162,257</w:t>
            </w:r>
          </w:p>
        </w:tc>
        <w:tc>
          <w:tcPr>
            <w:tcW w:w="1451" w:type="dxa"/>
            <w:vAlign w:val="center"/>
          </w:tcPr>
          <w:p>
            <w:pPr>
              <w:autoSpaceDE w:val="0"/>
              <w:autoSpaceDN w:val="0"/>
              <w:spacing w:before="163" w:after="163" w:line="240" w:lineRule="auto"/>
              <w:ind w:firstLine="0" w:firstLineChars="0"/>
              <w:jc w:val="center"/>
              <w:textAlignment w:val="center"/>
              <w:rPr>
                <w:rFonts w:hint="eastAsia" w:ascii="宋体" w:hAnsi="宋体" w:cs="宋体"/>
                <w:color w:val="000000"/>
                <w:kern w:val="0"/>
                <w:sz w:val="21"/>
                <w:szCs w:val="21"/>
                <w:lang w:eastAsia="en-US" w:bidi="ar"/>
              </w:rPr>
            </w:pPr>
            <w:r>
              <w:rPr>
                <w:rFonts w:hint="eastAsia" w:ascii="宋体" w:hAnsi="宋体" w:cs="宋体"/>
                <w:color w:val="000000"/>
                <w:kern w:val="0"/>
                <w:sz w:val="21"/>
                <w:szCs w:val="21"/>
                <w:lang w:val="en-US" w:eastAsia="zh-CN" w:bidi="ar"/>
              </w:rPr>
              <w:t>44.71%</w:t>
            </w:r>
          </w:p>
        </w:tc>
        <w:tc>
          <w:tcPr>
            <w:tcW w:w="1277" w:type="dxa"/>
            <w:vAlign w:val="center"/>
          </w:tcPr>
          <w:p>
            <w:pPr>
              <w:autoSpaceDE w:val="0"/>
              <w:autoSpaceDN w:val="0"/>
              <w:spacing w:before="163" w:after="163" w:line="240" w:lineRule="auto"/>
              <w:ind w:firstLine="0" w:firstLineChars="0"/>
              <w:jc w:val="center"/>
              <w:textAlignment w:val="center"/>
              <w:rPr>
                <w:rFonts w:hint="eastAsia" w:ascii="宋体" w:hAnsi="宋体" w:cs="宋体"/>
                <w:color w:val="000000"/>
                <w:kern w:val="0"/>
                <w:sz w:val="21"/>
                <w:szCs w:val="21"/>
                <w:lang w:eastAsia="en-US" w:bidi="ar"/>
              </w:rPr>
            </w:pPr>
            <w:r>
              <w:rPr>
                <w:rFonts w:hint="eastAsia" w:ascii="宋体" w:hAnsi="宋体" w:cs="宋体"/>
                <w:color w:val="000000"/>
                <w:kern w:val="0"/>
                <w:sz w:val="21"/>
                <w:szCs w:val="21"/>
                <w:lang w:val="en-US" w:eastAsia="zh-CN" w:bidi="ar"/>
              </w:rPr>
              <w:t>-171,405</w:t>
            </w:r>
          </w:p>
        </w:tc>
        <w:tc>
          <w:tcPr>
            <w:tcW w:w="1308" w:type="dxa"/>
            <w:vAlign w:val="center"/>
          </w:tcPr>
          <w:p>
            <w:pPr>
              <w:autoSpaceDE w:val="0"/>
              <w:autoSpaceDN w:val="0"/>
              <w:spacing w:before="163" w:after="163" w:line="240" w:lineRule="auto"/>
              <w:ind w:firstLine="0" w:firstLineChars="0"/>
              <w:jc w:val="center"/>
              <w:textAlignment w:val="center"/>
              <w:rPr>
                <w:rFonts w:hint="eastAsia" w:ascii="宋体" w:hAnsi="宋体" w:cs="宋体"/>
                <w:color w:val="000000"/>
                <w:kern w:val="0"/>
                <w:sz w:val="21"/>
                <w:szCs w:val="21"/>
                <w:lang w:eastAsia="en-US" w:bidi="ar"/>
              </w:rPr>
            </w:pPr>
            <w:r>
              <w:rPr>
                <w:rFonts w:hint="eastAsia" w:ascii="宋体" w:hAnsi="宋体" w:cs="宋体"/>
                <w:color w:val="000000"/>
                <w:kern w:val="0"/>
                <w:sz w:val="21"/>
                <w:szCs w:val="21"/>
                <w:lang w:val="en-US" w:eastAsia="zh-CN" w:bidi="ar"/>
              </w:rPr>
              <w:t>97,990,852</w:t>
            </w:r>
          </w:p>
        </w:tc>
        <w:tc>
          <w:tcPr>
            <w:tcW w:w="1601" w:type="dxa"/>
            <w:vAlign w:val="center"/>
          </w:tcPr>
          <w:p>
            <w:pPr>
              <w:autoSpaceDE w:val="0"/>
              <w:autoSpaceDN w:val="0"/>
              <w:spacing w:before="163" w:after="163" w:line="240" w:lineRule="auto"/>
              <w:ind w:firstLine="0" w:firstLineChars="0"/>
              <w:jc w:val="center"/>
              <w:textAlignment w:val="center"/>
              <w:rPr>
                <w:rFonts w:hint="eastAsia" w:ascii="宋体" w:hAnsi="宋体" w:cs="宋体"/>
                <w:color w:val="000000"/>
                <w:kern w:val="0"/>
                <w:sz w:val="21"/>
                <w:szCs w:val="21"/>
                <w:lang w:eastAsia="en-US" w:bidi="ar"/>
              </w:rPr>
            </w:pPr>
            <w:r>
              <w:rPr>
                <w:rFonts w:hint="eastAsia" w:ascii="宋体" w:hAnsi="宋体" w:cs="宋体"/>
                <w:color w:val="000000"/>
                <w:kern w:val="0"/>
                <w:sz w:val="21"/>
                <w:szCs w:val="21"/>
                <w:lang w:val="en-US" w:eastAsia="zh-CN" w:bidi="ar"/>
              </w:rPr>
              <w:t>44.67%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0" w:type="dxa"/>
            <w:vAlign w:val="center"/>
          </w:tcPr>
          <w:p>
            <w:pPr>
              <w:autoSpaceDE w:val="0"/>
              <w:autoSpaceDN w:val="0"/>
              <w:spacing w:before="163" w:after="163" w:line="240" w:lineRule="auto"/>
              <w:ind w:firstLine="0" w:firstLineChars="0"/>
              <w:textAlignment w:val="center"/>
              <w:rPr>
                <w:rFonts w:ascii="宋体" w:hAnsi="宋体"/>
                <w:sz w:val="21"/>
                <w:szCs w:val="21"/>
                <w:lang w:eastAsia="en-US" w:bidi="en-US"/>
              </w:rPr>
            </w:pPr>
            <w:r>
              <w:rPr>
                <w:rFonts w:hint="eastAsia" w:ascii="宋体" w:hAnsi="宋体" w:cs="宋体"/>
                <w:color w:val="000000"/>
                <w:kern w:val="0"/>
                <w:sz w:val="21"/>
                <w:szCs w:val="21"/>
                <w:lang w:eastAsia="zh-CN" w:bidi="ar"/>
              </w:rPr>
              <w:t>2、高管锁定股</w:t>
            </w:r>
          </w:p>
        </w:tc>
        <w:tc>
          <w:tcPr>
            <w:tcW w:w="1231" w:type="dxa"/>
            <w:vAlign w:val="center"/>
          </w:tcPr>
          <w:p>
            <w:pPr>
              <w:autoSpaceDE w:val="0"/>
              <w:autoSpaceDN w:val="0"/>
              <w:spacing w:before="163" w:after="163" w:line="240" w:lineRule="auto"/>
              <w:ind w:firstLine="0" w:firstLineChars="0"/>
              <w:jc w:val="center"/>
              <w:textAlignment w:val="center"/>
              <w:rPr>
                <w:rFonts w:hint="eastAsia" w:ascii="宋体" w:hAnsi="宋体" w:cs="宋体"/>
                <w:color w:val="000000"/>
                <w:kern w:val="0"/>
                <w:sz w:val="21"/>
                <w:szCs w:val="21"/>
                <w:lang w:eastAsia="en-US" w:bidi="ar"/>
              </w:rPr>
            </w:pPr>
            <w:r>
              <w:rPr>
                <w:rFonts w:hint="eastAsia" w:ascii="宋体" w:hAnsi="宋体" w:cs="宋体"/>
                <w:color w:val="000000"/>
                <w:kern w:val="0"/>
                <w:sz w:val="21"/>
                <w:szCs w:val="21"/>
                <w:lang w:val="en-US" w:eastAsia="zh-CN" w:bidi="ar"/>
              </w:rPr>
              <w:t>2,686,207</w:t>
            </w:r>
          </w:p>
        </w:tc>
        <w:tc>
          <w:tcPr>
            <w:tcW w:w="1451" w:type="dxa"/>
            <w:vAlign w:val="center"/>
          </w:tcPr>
          <w:p>
            <w:pPr>
              <w:autoSpaceDE w:val="0"/>
              <w:autoSpaceDN w:val="0"/>
              <w:spacing w:before="163" w:after="163" w:line="240" w:lineRule="auto"/>
              <w:ind w:firstLine="0" w:firstLineChars="0"/>
              <w:jc w:val="center"/>
              <w:textAlignment w:val="center"/>
              <w:rPr>
                <w:rFonts w:hint="eastAsia" w:ascii="宋体" w:hAnsi="宋体" w:cs="宋体"/>
                <w:color w:val="000000"/>
                <w:kern w:val="0"/>
                <w:sz w:val="21"/>
                <w:szCs w:val="21"/>
                <w:lang w:eastAsia="en-US" w:bidi="ar"/>
              </w:rPr>
            </w:pPr>
            <w:r>
              <w:rPr>
                <w:rFonts w:hint="eastAsia" w:ascii="宋体" w:hAnsi="宋体" w:cs="宋体"/>
                <w:color w:val="000000"/>
                <w:kern w:val="0"/>
                <w:sz w:val="21"/>
                <w:szCs w:val="21"/>
                <w:lang w:val="en-US" w:eastAsia="zh-CN" w:bidi="ar"/>
              </w:rPr>
              <w:t>1.22%</w:t>
            </w:r>
            <w:bookmarkStart w:id="11" w:name="_GoBack"/>
            <w:bookmarkEnd w:id="11"/>
          </w:p>
        </w:tc>
        <w:tc>
          <w:tcPr>
            <w:tcW w:w="1277" w:type="dxa"/>
            <w:vAlign w:val="center"/>
          </w:tcPr>
          <w:p>
            <w:pPr>
              <w:autoSpaceDE w:val="0"/>
              <w:autoSpaceDN w:val="0"/>
              <w:spacing w:before="163" w:after="163" w:line="240" w:lineRule="auto"/>
              <w:ind w:firstLine="0" w:firstLineChars="0"/>
              <w:jc w:val="center"/>
              <w:textAlignment w:val="center"/>
              <w:rPr>
                <w:rFonts w:hint="eastAsia" w:ascii="宋体" w:hAnsi="宋体" w:cs="宋体"/>
                <w:color w:val="000000"/>
                <w:kern w:val="0"/>
                <w:sz w:val="21"/>
                <w:szCs w:val="21"/>
                <w:lang w:eastAsia="en-US" w:bidi="ar"/>
              </w:rPr>
            </w:pPr>
          </w:p>
        </w:tc>
        <w:tc>
          <w:tcPr>
            <w:tcW w:w="1308" w:type="dxa"/>
            <w:vAlign w:val="center"/>
          </w:tcPr>
          <w:p>
            <w:pPr>
              <w:autoSpaceDE w:val="0"/>
              <w:autoSpaceDN w:val="0"/>
              <w:spacing w:before="163" w:after="163" w:line="240" w:lineRule="auto"/>
              <w:ind w:firstLine="0" w:firstLineChars="0"/>
              <w:jc w:val="center"/>
              <w:textAlignment w:val="center"/>
              <w:rPr>
                <w:rFonts w:hint="eastAsia" w:ascii="宋体" w:hAnsi="宋体" w:cs="宋体"/>
                <w:color w:val="000000"/>
                <w:kern w:val="0"/>
                <w:sz w:val="21"/>
                <w:szCs w:val="21"/>
                <w:lang w:eastAsia="en-US" w:bidi="ar"/>
              </w:rPr>
            </w:pPr>
            <w:r>
              <w:rPr>
                <w:rFonts w:hint="eastAsia" w:ascii="宋体" w:hAnsi="宋体" w:cs="宋体"/>
                <w:color w:val="000000"/>
                <w:kern w:val="0"/>
                <w:sz w:val="21"/>
                <w:szCs w:val="21"/>
                <w:lang w:val="en-US" w:eastAsia="zh-CN" w:bidi="ar"/>
              </w:rPr>
              <w:t>2,686,207</w:t>
            </w:r>
          </w:p>
        </w:tc>
        <w:tc>
          <w:tcPr>
            <w:tcW w:w="1601" w:type="dxa"/>
            <w:vAlign w:val="center"/>
          </w:tcPr>
          <w:p>
            <w:pPr>
              <w:autoSpaceDE w:val="0"/>
              <w:autoSpaceDN w:val="0"/>
              <w:spacing w:before="163" w:after="163" w:line="240" w:lineRule="auto"/>
              <w:ind w:firstLine="0" w:firstLineChars="0"/>
              <w:jc w:val="center"/>
              <w:textAlignment w:val="center"/>
              <w:rPr>
                <w:rFonts w:hint="eastAsia" w:ascii="宋体" w:hAnsi="宋体" w:cs="宋体"/>
                <w:color w:val="000000"/>
                <w:kern w:val="0"/>
                <w:sz w:val="21"/>
                <w:szCs w:val="21"/>
                <w:lang w:eastAsia="en-US" w:bidi="ar"/>
              </w:rPr>
            </w:pPr>
            <w:r>
              <w:rPr>
                <w:rFonts w:hint="eastAsia" w:ascii="宋体" w:hAnsi="宋体" w:cs="宋体"/>
                <w:color w:val="000000"/>
                <w:kern w:val="0"/>
                <w:sz w:val="21"/>
                <w:szCs w:val="21"/>
                <w:lang w:val="en-US" w:eastAsia="zh-CN" w:bidi="ar"/>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0" w:type="dxa"/>
            <w:vAlign w:val="center"/>
          </w:tcPr>
          <w:p>
            <w:pPr>
              <w:autoSpaceDE w:val="0"/>
              <w:autoSpaceDN w:val="0"/>
              <w:spacing w:before="163" w:after="163" w:line="240" w:lineRule="auto"/>
              <w:ind w:firstLine="0" w:firstLineChars="0"/>
              <w:textAlignment w:val="center"/>
              <w:rPr>
                <w:rFonts w:ascii="宋体" w:hAnsi="宋体"/>
                <w:sz w:val="21"/>
                <w:szCs w:val="21"/>
                <w:lang w:eastAsia="zh-CN" w:bidi="en-US"/>
              </w:rPr>
            </w:pPr>
            <w:r>
              <w:rPr>
                <w:rFonts w:hint="eastAsia" w:ascii="宋体" w:hAnsi="宋体" w:cs="宋体"/>
                <w:color w:val="000000"/>
                <w:kern w:val="0"/>
                <w:sz w:val="21"/>
                <w:szCs w:val="21"/>
                <w:lang w:eastAsia="zh-CN" w:bidi="ar"/>
              </w:rPr>
              <w:t>二、无限售条件流通股</w:t>
            </w:r>
          </w:p>
        </w:tc>
        <w:tc>
          <w:tcPr>
            <w:tcW w:w="1231" w:type="dxa"/>
            <w:vAlign w:val="center"/>
          </w:tcPr>
          <w:p>
            <w:pPr>
              <w:autoSpaceDE w:val="0"/>
              <w:autoSpaceDN w:val="0"/>
              <w:spacing w:before="163" w:after="163" w:line="240" w:lineRule="auto"/>
              <w:ind w:firstLine="0" w:firstLineChars="0"/>
              <w:jc w:val="center"/>
              <w:textAlignment w:val="center"/>
              <w:rPr>
                <w:rFonts w:hint="eastAsia" w:ascii="宋体" w:hAnsi="宋体" w:cs="宋体"/>
                <w:color w:val="000000"/>
                <w:kern w:val="0"/>
                <w:sz w:val="21"/>
                <w:szCs w:val="21"/>
                <w:lang w:eastAsia="en-US" w:bidi="ar"/>
              </w:rPr>
            </w:pPr>
            <w:r>
              <w:rPr>
                <w:rFonts w:hint="eastAsia" w:ascii="宋体" w:hAnsi="宋体" w:cs="宋体"/>
                <w:color w:val="000000"/>
                <w:kern w:val="0"/>
                <w:sz w:val="21"/>
                <w:szCs w:val="21"/>
                <w:lang w:val="en-US" w:eastAsia="zh-CN" w:bidi="ar"/>
              </w:rPr>
              <w:t>118,691,828</w:t>
            </w:r>
          </w:p>
        </w:tc>
        <w:tc>
          <w:tcPr>
            <w:tcW w:w="1451" w:type="dxa"/>
            <w:vAlign w:val="center"/>
          </w:tcPr>
          <w:p>
            <w:pPr>
              <w:autoSpaceDE w:val="0"/>
              <w:autoSpaceDN w:val="0"/>
              <w:spacing w:before="163" w:after="163" w:line="240" w:lineRule="auto"/>
              <w:ind w:firstLine="0" w:firstLineChars="0"/>
              <w:jc w:val="center"/>
              <w:textAlignment w:val="center"/>
              <w:rPr>
                <w:rFonts w:hint="eastAsia" w:ascii="宋体" w:hAnsi="宋体" w:cs="宋体"/>
                <w:color w:val="000000"/>
                <w:kern w:val="0"/>
                <w:sz w:val="21"/>
                <w:szCs w:val="21"/>
                <w:lang w:eastAsia="en-US" w:bidi="ar"/>
              </w:rPr>
            </w:pPr>
            <w:r>
              <w:rPr>
                <w:rFonts w:hint="eastAsia" w:ascii="宋体" w:hAnsi="宋体" w:cs="宋体"/>
                <w:color w:val="000000"/>
                <w:kern w:val="0"/>
                <w:sz w:val="21"/>
                <w:szCs w:val="21"/>
                <w:lang w:val="en-US" w:eastAsia="zh-CN" w:bidi="ar"/>
              </w:rPr>
              <w:t>54.06%</w:t>
            </w:r>
          </w:p>
        </w:tc>
        <w:tc>
          <w:tcPr>
            <w:tcW w:w="1277" w:type="dxa"/>
            <w:vAlign w:val="center"/>
          </w:tcPr>
          <w:p>
            <w:pPr>
              <w:autoSpaceDE w:val="0"/>
              <w:autoSpaceDN w:val="0"/>
              <w:spacing w:before="163" w:after="163" w:line="240" w:lineRule="auto"/>
              <w:ind w:firstLine="0" w:firstLineChars="0"/>
              <w:jc w:val="center"/>
              <w:textAlignment w:val="center"/>
              <w:rPr>
                <w:rFonts w:hint="eastAsia" w:ascii="宋体" w:hAnsi="宋体" w:cs="宋体"/>
                <w:color w:val="000000"/>
                <w:kern w:val="0"/>
                <w:sz w:val="21"/>
                <w:szCs w:val="21"/>
                <w:lang w:eastAsia="en-US" w:bidi="ar"/>
              </w:rPr>
            </w:pPr>
          </w:p>
        </w:tc>
        <w:tc>
          <w:tcPr>
            <w:tcW w:w="1308" w:type="dxa"/>
            <w:vAlign w:val="center"/>
          </w:tcPr>
          <w:p>
            <w:pPr>
              <w:autoSpaceDE w:val="0"/>
              <w:autoSpaceDN w:val="0"/>
              <w:spacing w:before="163" w:after="163" w:line="240" w:lineRule="auto"/>
              <w:ind w:firstLine="0" w:firstLineChars="0"/>
              <w:jc w:val="center"/>
              <w:textAlignment w:val="center"/>
              <w:rPr>
                <w:rFonts w:hint="eastAsia" w:ascii="宋体" w:hAnsi="宋体" w:cs="宋体"/>
                <w:color w:val="000000"/>
                <w:kern w:val="0"/>
                <w:sz w:val="21"/>
                <w:szCs w:val="21"/>
                <w:lang w:eastAsia="en-US" w:bidi="ar"/>
              </w:rPr>
            </w:pPr>
            <w:r>
              <w:rPr>
                <w:rFonts w:hint="eastAsia" w:ascii="宋体" w:hAnsi="宋体" w:cs="宋体"/>
                <w:color w:val="000000"/>
                <w:kern w:val="0"/>
                <w:sz w:val="21"/>
                <w:szCs w:val="21"/>
                <w:lang w:val="en-US" w:eastAsia="zh-CN" w:bidi="ar"/>
              </w:rPr>
              <w:t>118,691,828</w:t>
            </w:r>
          </w:p>
        </w:tc>
        <w:tc>
          <w:tcPr>
            <w:tcW w:w="1601" w:type="dxa"/>
            <w:vAlign w:val="center"/>
          </w:tcPr>
          <w:p>
            <w:pPr>
              <w:autoSpaceDE w:val="0"/>
              <w:autoSpaceDN w:val="0"/>
              <w:spacing w:before="163" w:after="163" w:line="240" w:lineRule="auto"/>
              <w:ind w:firstLine="0" w:firstLineChars="0"/>
              <w:jc w:val="center"/>
              <w:textAlignment w:val="center"/>
              <w:rPr>
                <w:rFonts w:hint="eastAsia" w:ascii="宋体" w:hAnsi="宋体" w:cs="宋体"/>
                <w:color w:val="000000"/>
                <w:kern w:val="0"/>
                <w:sz w:val="21"/>
                <w:szCs w:val="21"/>
                <w:lang w:eastAsia="en-US" w:bidi="ar"/>
              </w:rPr>
            </w:pPr>
            <w:r>
              <w:rPr>
                <w:rFonts w:hint="eastAsia" w:ascii="宋体" w:hAnsi="宋体" w:cs="宋体"/>
                <w:color w:val="000000"/>
                <w:kern w:val="0"/>
                <w:sz w:val="21"/>
                <w:szCs w:val="21"/>
                <w:lang w:val="en-US" w:eastAsia="zh-CN" w:bidi="ar"/>
              </w:rPr>
              <w:t>54.11%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0" w:type="dxa"/>
            <w:vAlign w:val="center"/>
          </w:tcPr>
          <w:p>
            <w:pPr>
              <w:autoSpaceDE w:val="0"/>
              <w:autoSpaceDN w:val="0"/>
              <w:spacing w:before="163" w:after="163" w:line="240" w:lineRule="auto"/>
              <w:ind w:firstLine="0" w:firstLineChars="0"/>
              <w:jc w:val="center"/>
              <w:textAlignment w:val="center"/>
              <w:rPr>
                <w:rFonts w:ascii="宋体" w:hAnsi="宋体"/>
                <w:sz w:val="21"/>
                <w:szCs w:val="21"/>
                <w:lang w:eastAsia="en-US" w:bidi="en-US"/>
              </w:rPr>
            </w:pPr>
            <w:r>
              <w:rPr>
                <w:rFonts w:hint="eastAsia" w:ascii="宋体" w:hAnsi="宋体" w:cs="宋体"/>
                <w:color w:val="000000"/>
                <w:kern w:val="0"/>
                <w:sz w:val="21"/>
                <w:szCs w:val="21"/>
                <w:lang w:eastAsia="zh-CN" w:bidi="ar"/>
              </w:rPr>
              <w:t>合计</w:t>
            </w:r>
          </w:p>
        </w:tc>
        <w:tc>
          <w:tcPr>
            <w:tcW w:w="1231" w:type="dxa"/>
            <w:vAlign w:val="center"/>
          </w:tcPr>
          <w:p>
            <w:pPr>
              <w:autoSpaceDE w:val="0"/>
              <w:autoSpaceDN w:val="0"/>
              <w:spacing w:before="163" w:after="163" w:line="240" w:lineRule="auto"/>
              <w:ind w:firstLine="0" w:firstLineChars="0"/>
              <w:jc w:val="center"/>
              <w:textAlignment w:val="center"/>
              <w:rPr>
                <w:rFonts w:hint="eastAsia" w:ascii="宋体" w:hAnsi="宋体" w:cs="宋体"/>
                <w:color w:val="000000"/>
                <w:kern w:val="0"/>
                <w:sz w:val="21"/>
                <w:szCs w:val="21"/>
                <w:lang w:eastAsia="en-US" w:bidi="ar"/>
              </w:rPr>
            </w:pPr>
            <w:r>
              <w:rPr>
                <w:rFonts w:hint="eastAsia" w:ascii="宋体" w:hAnsi="宋体" w:cs="宋体"/>
                <w:color w:val="000000"/>
                <w:kern w:val="0"/>
                <w:sz w:val="21"/>
                <w:szCs w:val="21"/>
                <w:lang w:val="en-US" w:eastAsia="zh-CN" w:bidi="ar"/>
              </w:rPr>
              <w:t>219,540,292</w:t>
            </w:r>
          </w:p>
        </w:tc>
        <w:tc>
          <w:tcPr>
            <w:tcW w:w="1451" w:type="dxa"/>
            <w:vAlign w:val="center"/>
          </w:tcPr>
          <w:p>
            <w:pPr>
              <w:autoSpaceDE w:val="0"/>
              <w:autoSpaceDN w:val="0"/>
              <w:spacing w:before="163" w:after="163" w:line="240" w:lineRule="auto"/>
              <w:ind w:firstLine="0" w:firstLineChars="0"/>
              <w:jc w:val="center"/>
              <w:textAlignment w:val="center"/>
              <w:rPr>
                <w:rFonts w:hint="eastAsia" w:ascii="宋体" w:hAnsi="宋体" w:cs="宋体"/>
                <w:color w:val="000000"/>
                <w:kern w:val="0"/>
                <w:sz w:val="21"/>
                <w:szCs w:val="21"/>
                <w:lang w:eastAsia="en-US" w:bidi="ar"/>
              </w:rPr>
            </w:pPr>
            <w:r>
              <w:rPr>
                <w:rFonts w:hint="eastAsia" w:ascii="宋体" w:hAnsi="宋体" w:cs="宋体"/>
                <w:color w:val="000000"/>
                <w:kern w:val="0"/>
                <w:sz w:val="21"/>
                <w:szCs w:val="21"/>
                <w:lang w:val="en-US" w:eastAsia="zh-CN" w:bidi="ar"/>
              </w:rPr>
              <w:t>100.00%</w:t>
            </w:r>
          </w:p>
        </w:tc>
        <w:tc>
          <w:tcPr>
            <w:tcW w:w="1277" w:type="dxa"/>
            <w:vAlign w:val="center"/>
          </w:tcPr>
          <w:p>
            <w:pPr>
              <w:autoSpaceDE w:val="0"/>
              <w:autoSpaceDN w:val="0"/>
              <w:spacing w:before="163" w:after="163" w:line="240" w:lineRule="auto"/>
              <w:ind w:firstLine="0" w:firstLineChars="0"/>
              <w:jc w:val="center"/>
              <w:textAlignment w:val="center"/>
              <w:rPr>
                <w:rFonts w:hint="eastAsia" w:ascii="宋体" w:hAnsi="宋体" w:cs="宋体"/>
                <w:color w:val="000000"/>
                <w:kern w:val="0"/>
                <w:sz w:val="21"/>
                <w:szCs w:val="21"/>
                <w:lang w:eastAsia="en-US" w:bidi="ar"/>
              </w:rPr>
            </w:pPr>
            <w:r>
              <w:rPr>
                <w:rFonts w:hint="eastAsia" w:ascii="宋体" w:hAnsi="宋体" w:cs="宋体"/>
                <w:color w:val="000000"/>
                <w:kern w:val="0"/>
                <w:sz w:val="21"/>
                <w:szCs w:val="21"/>
                <w:lang w:val="en-US" w:eastAsia="zh-CN" w:bidi="ar"/>
              </w:rPr>
              <w:t>-171,405</w:t>
            </w:r>
          </w:p>
        </w:tc>
        <w:tc>
          <w:tcPr>
            <w:tcW w:w="1308" w:type="dxa"/>
            <w:vAlign w:val="center"/>
          </w:tcPr>
          <w:p>
            <w:pPr>
              <w:autoSpaceDE w:val="0"/>
              <w:autoSpaceDN w:val="0"/>
              <w:spacing w:before="163" w:after="163" w:line="240" w:lineRule="auto"/>
              <w:ind w:firstLine="0" w:firstLineChars="0"/>
              <w:jc w:val="center"/>
              <w:textAlignment w:val="center"/>
              <w:rPr>
                <w:rFonts w:hint="eastAsia" w:ascii="宋体" w:hAnsi="宋体" w:cs="宋体"/>
                <w:color w:val="000000"/>
                <w:kern w:val="0"/>
                <w:sz w:val="21"/>
                <w:szCs w:val="21"/>
                <w:lang w:eastAsia="en-US" w:bidi="ar"/>
              </w:rPr>
            </w:pPr>
            <w:r>
              <w:rPr>
                <w:rFonts w:hint="eastAsia" w:ascii="宋体" w:hAnsi="宋体" w:cs="宋体"/>
                <w:color w:val="000000"/>
                <w:kern w:val="0"/>
                <w:sz w:val="21"/>
                <w:szCs w:val="21"/>
                <w:lang w:val="en-US" w:eastAsia="zh-CN" w:bidi="ar"/>
              </w:rPr>
              <w:t>219,368,887</w:t>
            </w:r>
          </w:p>
        </w:tc>
        <w:tc>
          <w:tcPr>
            <w:tcW w:w="1601" w:type="dxa"/>
            <w:vAlign w:val="center"/>
          </w:tcPr>
          <w:p>
            <w:pPr>
              <w:autoSpaceDE w:val="0"/>
              <w:autoSpaceDN w:val="0"/>
              <w:spacing w:before="163" w:after="163" w:line="240" w:lineRule="auto"/>
              <w:ind w:firstLine="0" w:firstLineChars="0"/>
              <w:jc w:val="center"/>
              <w:textAlignment w:val="center"/>
              <w:rPr>
                <w:rFonts w:hint="eastAsia" w:ascii="宋体" w:hAnsi="宋体" w:cs="宋体"/>
                <w:color w:val="000000"/>
                <w:kern w:val="0"/>
                <w:sz w:val="21"/>
                <w:szCs w:val="21"/>
                <w:lang w:eastAsia="en-US" w:bidi="ar"/>
              </w:rPr>
            </w:pPr>
            <w:r>
              <w:rPr>
                <w:rFonts w:hint="eastAsia" w:ascii="宋体" w:hAnsi="宋体" w:cs="宋体"/>
                <w:color w:val="000000"/>
                <w:kern w:val="0"/>
                <w:sz w:val="21"/>
                <w:szCs w:val="21"/>
                <w:lang w:val="en-US" w:eastAsia="zh-CN" w:bidi="ar"/>
              </w:rPr>
              <w:t>100.00%</w:t>
            </w:r>
          </w:p>
        </w:tc>
      </w:tr>
    </w:tbl>
    <w:p>
      <w:pPr>
        <w:pStyle w:val="97"/>
        <w:ind w:firstLine="420" w:firstLineChars="200"/>
        <w:rPr>
          <w:rFonts w:ascii="宋体" w:hAnsi="宋体"/>
          <w:lang w:bidi="en-US"/>
        </w:rPr>
      </w:pPr>
      <w:r>
        <w:rPr>
          <w:rFonts w:hint="eastAsia" w:ascii="宋体" w:hAnsi="宋体"/>
          <w:lang w:bidi="en-US"/>
        </w:rPr>
        <w:t>（备注：1、本表中合计数与各明细数直接相加之和在尾数上如有差异，是由于四舍五入所造成。2、实际情况应以回购注销事项完成后中国证券登记结算有限公司深圳分公司出具的股本结构表为准。）</w:t>
      </w:r>
    </w:p>
    <w:p>
      <w:pPr>
        <w:widowControl/>
        <w:adjustRightInd w:val="0"/>
        <w:snapToGrid w:val="0"/>
        <w:spacing w:before="163" w:after="163"/>
        <w:ind w:firstLine="480"/>
        <w:rPr>
          <w:rFonts w:ascii="宋体" w:hAnsi="宋体"/>
          <w:szCs w:val="21"/>
          <w:lang w:bidi="en-US"/>
        </w:rPr>
      </w:pPr>
      <w:r>
        <w:rPr>
          <w:rFonts w:hint="eastAsia" w:ascii="宋体" w:hAnsi="宋体"/>
          <w:szCs w:val="21"/>
          <w:lang w:bidi="en-US"/>
        </w:rPr>
        <w:t>上述股票的拟回购注销将导致公司股份总数减少171,405股，公司总股本将由219,540,292</w:t>
      </w:r>
      <w:r>
        <w:rPr>
          <w:rFonts w:hint="eastAsia" w:asciiTheme="minorEastAsia" w:hAnsiTheme="minorEastAsia" w:eastAsiaTheme="minorEastAsia"/>
          <w:szCs w:val="23"/>
        </w:rPr>
        <w:t>股变更为</w:t>
      </w:r>
      <w:r>
        <w:rPr>
          <w:rFonts w:hint="eastAsia" w:ascii="宋体" w:hAnsi="宋体"/>
          <w:szCs w:val="21"/>
          <w:lang w:bidi="en-US"/>
        </w:rPr>
        <w:t>219,368,887</w:t>
      </w:r>
      <w:r>
        <w:rPr>
          <w:rFonts w:hint="eastAsia" w:asciiTheme="minorEastAsia" w:hAnsiTheme="minorEastAsia" w:eastAsiaTheme="minorEastAsia"/>
          <w:szCs w:val="23"/>
        </w:rPr>
        <w:t>股</w:t>
      </w:r>
      <w:r>
        <w:rPr>
          <w:rFonts w:hint="eastAsia" w:ascii="宋体" w:hAnsi="宋体"/>
          <w:szCs w:val="21"/>
          <w:lang w:bidi="en-US"/>
        </w:rPr>
        <w:t>。公司将在限制性股票回购注销办理完成后，将及时披露公司股份总数和股本结构的变动情况。</w:t>
      </w:r>
    </w:p>
    <w:p>
      <w:pPr>
        <w:widowControl/>
        <w:adjustRightInd w:val="0"/>
        <w:snapToGrid w:val="0"/>
        <w:spacing w:before="163" w:after="163"/>
        <w:ind w:firstLine="480"/>
        <w:jc w:val="left"/>
        <w:rPr>
          <w:rFonts w:asciiTheme="minorEastAsia" w:hAnsiTheme="minorEastAsia" w:eastAsiaTheme="minorEastAsia"/>
          <w:szCs w:val="24"/>
        </w:rPr>
      </w:pPr>
      <w:r>
        <w:rPr>
          <w:rFonts w:hint="eastAsia" w:asciiTheme="minorEastAsia" w:hAnsiTheme="minorEastAsia" w:eastAsiaTheme="minorEastAsia"/>
          <w:szCs w:val="24"/>
        </w:rPr>
        <w:t xml:space="preserve">（六）本次回购注销对公司的影响 </w:t>
      </w:r>
    </w:p>
    <w:p>
      <w:pPr>
        <w:spacing w:before="163" w:after="163"/>
        <w:ind w:firstLine="480"/>
        <w:rPr>
          <w:rFonts w:ascii="宋体" w:hAnsi="宋体"/>
          <w:szCs w:val="21"/>
          <w:lang w:bidi="en-US"/>
        </w:rPr>
      </w:pPr>
      <w:r>
        <w:rPr>
          <w:rFonts w:hint="eastAsia" w:ascii="宋体" w:hAnsi="宋体"/>
          <w:szCs w:val="21"/>
          <w:lang w:bidi="en-US"/>
        </w:rPr>
        <w:t>本次对公司限制性股票回购不会对公司的财务状况和经营成果产生重大影响。不影响公司2021年限制性股票激励计划的继续实施。</w:t>
      </w:r>
    </w:p>
    <w:p>
      <w:pPr>
        <w:spacing w:before="163" w:after="163"/>
        <w:ind w:firstLine="480"/>
        <w:rPr>
          <w:rFonts w:ascii="宋体" w:hAnsi="宋体"/>
          <w:szCs w:val="21"/>
          <w:lang w:bidi="en-US"/>
        </w:rPr>
      </w:pPr>
      <w:r>
        <w:rPr>
          <w:rFonts w:hint="eastAsia" w:ascii="宋体" w:hAnsi="宋体"/>
          <w:lang w:bidi="en-US"/>
        </w:rPr>
        <w:t>综上，本所律师认为，截至本法律意见书出具之日，</w:t>
      </w:r>
      <w:r>
        <w:rPr>
          <w:rFonts w:hint="eastAsia" w:ascii="宋体" w:hAnsi="宋体"/>
          <w:szCs w:val="21"/>
          <w:lang w:bidi="en-US"/>
        </w:rPr>
        <w:t>公司对4名离职人员、4名个人绩效考核未达优秀的人员已获授但尚未解除限售的限制性股票</w:t>
      </w:r>
      <w:r>
        <w:rPr>
          <w:rFonts w:hint="eastAsia" w:asciiTheme="minorEastAsia" w:hAnsiTheme="minorEastAsia" w:eastAsiaTheme="minorEastAsia"/>
          <w:szCs w:val="23"/>
        </w:rPr>
        <w:t>予以回购注销</w:t>
      </w:r>
      <w:r>
        <w:rPr>
          <w:rFonts w:asciiTheme="minorEastAsia" w:hAnsiTheme="minorEastAsia" w:eastAsiaTheme="minorEastAsia"/>
          <w:szCs w:val="23"/>
        </w:rPr>
        <w:t>，</w:t>
      </w:r>
      <w:r>
        <w:rPr>
          <w:rFonts w:hint="eastAsia" w:ascii="宋体" w:hAnsi="宋体"/>
          <w:szCs w:val="21"/>
          <w:lang w:bidi="en-US"/>
        </w:rPr>
        <w:t>回购原因、数量及价格均符合《管理办法》及《激励计划》的有关规定。该等回购注销已履行现阶段必要的法律程序，尚需提交202</w:t>
      </w:r>
      <w:r>
        <w:rPr>
          <w:rFonts w:ascii="宋体" w:hAnsi="宋体"/>
          <w:szCs w:val="21"/>
          <w:lang w:bidi="en-US"/>
        </w:rPr>
        <w:t>3</w:t>
      </w:r>
      <w:r>
        <w:rPr>
          <w:rFonts w:hint="eastAsia" w:ascii="宋体" w:hAnsi="宋体"/>
          <w:szCs w:val="21"/>
          <w:lang w:bidi="en-US"/>
        </w:rPr>
        <w:t>年第三次临时股东大会审议批准并按照《公司法》及相关规定办理回购注销手续及减资的工商变更手续。</w:t>
      </w:r>
    </w:p>
    <w:p>
      <w:pPr>
        <w:spacing w:before="163" w:after="163"/>
        <w:ind w:firstLine="482"/>
        <w:rPr>
          <w:rFonts w:ascii="宋体" w:hAnsi="宋体"/>
          <w:lang w:bidi="en-US"/>
        </w:rPr>
      </w:pPr>
      <w:r>
        <w:rPr>
          <w:rFonts w:hint="eastAsia" w:ascii="宋体" w:hAnsi="宋体"/>
          <w:b/>
          <w:lang w:bidi="en-US"/>
        </w:rPr>
        <w:t>四、结论意见</w:t>
      </w:r>
    </w:p>
    <w:p>
      <w:pPr>
        <w:spacing w:before="163" w:after="163"/>
        <w:ind w:firstLine="480"/>
        <w:rPr>
          <w:rFonts w:ascii="宋体" w:hAnsi="宋体"/>
          <w:lang w:bidi="en-US"/>
        </w:rPr>
      </w:pPr>
      <w:r>
        <w:rPr>
          <w:rFonts w:hint="eastAsia" w:ascii="宋体" w:hAnsi="宋体"/>
          <w:lang w:bidi="en-US"/>
        </w:rPr>
        <w:t>综上所述，本所律师认为：</w:t>
      </w:r>
    </w:p>
    <w:p>
      <w:pPr>
        <w:spacing w:before="163" w:after="163"/>
        <w:ind w:firstLine="480"/>
        <w:rPr>
          <w:rFonts w:ascii="宋体" w:hAnsi="宋体"/>
          <w:lang w:bidi="en-US"/>
        </w:rPr>
      </w:pPr>
      <w:r>
        <w:rPr>
          <w:rFonts w:hint="eastAsia" w:ascii="宋体" w:hAnsi="宋体"/>
          <w:lang w:bidi="en-US"/>
        </w:rPr>
        <w:t>（一）截至本法律意见书出具之日，公司本次解除限售及本次回购注销已经取得必要的授权和批准，符合《公司法》《证券法》《管理办法》以及《公司章程》《激励计划（草案）》的相关规定。</w:t>
      </w:r>
    </w:p>
    <w:p>
      <w:pPr>
        <w:spacing w:before="163" w:after="163"/>
        <w:ind w:firstLine="480"/>
        <w:rPr>
          <w:rFonts w:ascii="宋体" w:hAnsi="宋体"/>
          <w:lang w:bidi="en-US"/>
        </w:rPr>
      </w:pPr>
      <w:r>
        <w:rPr>
          <w:rFonts w:hint="eastAsia" w:ascii="宋体" w:hAnsi="宋体"/>
          <w:lang w:bidi="en-US"/>
        </w:rPr>
        <w:t>（二）截至本法律意见书出具之日，参与本次解除限售的激励对象具备申请解除限售的主体资格，公司不存在不得实施股权激励的情况，公司本次解除限售涉及的解除限售条件已经成就，符合《公司法》《证券法》《管理办法》以及《激励计划（草案）》的相关规定。</w:t>
      </w:r>
    </w:p>
    <w:p>
      <w:pPr>
        <w:spacing w:before="163" w:after="163"/>
        <w:ind w:firstLine="480"/>
        <w:rPr>
          <w:rFonts w:ascii="宋体" w:hAnsi="宋体"/>
          <w:szCs w:val="21"/>
          <w:lang w:bidi="en-US"/>
        </w:rPr>
      </w:pPr>
      <w:r>
        <w:rPr>
          <w:rFonts w:hint="eastAsia" w:ascii="宋体" w:hAnsi="宋体"/>
          <w:lang w:bidi="en-US"/>
        </w:rPr>
        <w:t>（三）截至本法律意见书出具之日，</w:t>
      </w:r>
      <w:r>
        <w:rPr>
          <w:rFonts w:hint="eastAsia" w:ascii="宋体" w:hAnsi="宋体"/>
          <w:szCs w:val="21"/>
          <w:lang w:bidi="en-US"/>
        </w:rPr>
        <w:t>公司对4名离职人员、4名个人绩效考核未达优秀的人员已获授但尚未解除限售的限制性股票</w:t>
      </w:r>
      <w:r>
        <w:rPr>
          <w:rFonts w:hint="eastAsia" w:asciiTheme="minorEastAsia" w:hAnsiTheme="minorEastAsia" w:eastAsiaTheme="minorEastAsia"/>
          <w:szCs w:val="23"/>
        </w:rPr>
        <w:t>予以回购注销</w:t>
      </w:r>
      <w:r>
        <w:rPr>
          <w:rFonts w:asciiTheme="minorEastAsia" w:hAnsiTheme="minorEastAsia" w:eastAsiaTheme="minorEastAsia"/>
          <w:szCs w:val="23"/>
        </w:rPr>
        <w:t>，</w:t>
      </w:r>
      <w:r>
        <w:rPr>
          <w:rFonts w:hint="eastAsia" w:ascii="宋体" w:hAnsi="宋体"/>
          <w:szCs w:val="21"/>
          <w:lang w:bidi="en-US"/>
        </w:rPr>
        <w:t>回购原因、数量及价格均符合《管理办法》及《激励计划》的有关规定。该等回购注销已履行现阶段必要的法律程序，尚需提交202</w:t>
      </w:r>
      <w:r>
        <w:rPr>
          <w:rFonts w:ascii="宋体" w:hAnsi="宋体"/>
          <w:szCs w:val="21"/>
          <w:lang w:bidi="en-US"/>
        </w:rPr>
        <w:t>3</w:t>
      </w:r>
      <w:r>
        <w:rPr>
          <w:rFonts w:hint="eastAsia" w:ascii="宋体" w:hAnsi="宋体"/>
          <w:szCs w:val="21"/>
          <w:lang w:bidi="en-US"/>
        </w:rPr>
        <w:t>年第三次临时股东大会审议批准并按照《公司法》及相关规定办理回购注销手续及减资的工商变更手续。</w:t>
      </w:r>
    </w:p>
    <w:p>
      <w:pPr>
        <w:spacing w:before="163" w:after="163"/>
        <w:ind w:firstLine="480"/>
        <w:rPr>
          <w:rFonts w:ascii="宋体" w:hAnsi="宋体"/>
        </w:rPr>
        <w:sectPr>
          <w:headerReference r:id="rId7" w:type="first"/>
          <w:footerReference r:id="rId10" w:type="first"/>
          <w:headerReference r:id="rId5" w:type="default"/>
          <w:footerReference r:id="rId8" w:type="default"/>
          <w:headerReference r:id="rId6" w:type="even"/>
          <w:footerReference r:id="rId9" w:type="even"/>
          <w:pgSz w:w="11906" w:h="16838"/>
          <w:pgMar w:top="1440" w:right="1077" w:bottom="1440" w:left="1077" w:header="851" w:footer="567" w:gutter="0"/>
          <w:cols w:space="720" w:num="1"/>
          <w:docGrid w:type="lines" w:linePitch="326" w:charSpace="0"/>
        </w:sectPr>
      </w:pPr>
      <w:r>
        <w:rPr>
          <w:rFonts w:hint="eastAsia" w:ascii="宋体" w:hAnsi="宋体"/>
          <w:lang w:bidi="en-US"/>
        </w:rPr>
        <w:t>（以下无正文）</w:t>
      </w:r>
    </w:p>
    <w:p>
      <w:pPr>
        <w:spacing w:beforeLines="0" w:afterLines="0"/>
        <w:ind w:firstLine="0" w:firstLineChars="0"/>
        <w:rPr>
          <w:rFonts w:ascii="宋体" w:hAnsi="宋体"/>
        </w:rPr>
      </w:pPr>
      <w:r>
        <w:rPr>
          <w:rFonts w:hint="eastAsia" w:ascii="宋体" w:hAnsi="宋体"/>
        </w:rPr>
        <w:t>（本页无正文，为《北京德和衡律师事务所关于青岛伟隆阀门股份有限公司2021年限制性股票激励计划首次授予部分第二次解除限售及回购注销部分限制性股票相关事项的法律意见书》之签署页）</w:t>
      </w:r>
    </w:p>
    <w:p>
      <w:pPr>
        <w:pStyle w:val="10"/>
        <w:autoSpaceDE w:val="0"/>
        <w:autoSpaceDN w:val="0"/>
        <w:spacing w:before="163" w:beforeLines="50" w:after="163" w:afterLines="50" w:line="360" w:lineRule="auto"/>
        <w:ind w:firstLine="480"/>
        <w:rPr>
          <w:rFonts w:ascii="宋体" w:hAnsi="宋体"/>
          <w:sz w:val="24"/>
        </w:rPr>
      </w:pPr>
    </w:p>
    <w:p>
      <w:pPr>
        <w:pStyle w:val="10"/>
        <w:autoSpaceDE w:val="0"/>
        <w:autoSpaceDN w:val="0"/>
        <w:spacing w:before="163" w:beforeLines="50" w:after="163" w:afterLines="50" w:line="360" w:lineRule="auto"/>
        <w:ind w:firstLine="480"/>
        <w:rPr>
          <w:rFonts w:ascii="宋体" w:hAnsi="宋体"/>
          <w:sz w:val="24"/>
        </w:rPr>
      </w:pPr>
    </w:p>
    <w:p>
      <w:pPr>
        <w:pStyle w:val="10"/>
        <w:autoSpaceDE w:val="0"/>
        <w:autoSpaceDN w:val="0"/>
        <w:spacing w:before="163" w:beforeLines="50" w:after="163" w:afterLines="50" w:line="360" w:lineRule="auto"/>
        <w:ind w:right="980" w:firstLine="480"/>
        <w:rPr>
          <w:rFonts w:ascii="宋体" w:hAnsi="宋体"/>
          <w:sz w:val="24"/>
        </w:rPr>
      </w:pPr>
      <w:r>
        <w:rPr>
          <w:rFonts w:hint="eastAsia" w:ascii="宋体" w:hAnsi="宋体"/>
          <w:sz w:val="24"/>
        </w:rPr>
        <w:t xml:space="preserve">北京德和衡律师事务所 </w:t>
      </w:r>
    </w:p>
    <w:p>
      <w:pPr>
        <w:pStyle w:val="10"/>
        <w:autoSpaceDE w:val="0"/>
        <w:autoSpaceDN w:val="0"/>
        <w:spacing w:before="163" w:beforeLines="50" w:after="163" w:afterLines="50" w:line="360" w:lineRule="auto"/>
        <w:ind w:right="980" w:firstLine="480"/>
        <w:jc w:val="center"/>
        <w:rPr>
          <w:rFonts w:ascii="宋体" w:hAnsi="宋体"/>
          <w:sz w:val="24"/>
        </w:rPr>
      </w:pPr>
    </w:p>
    <w:p>
      <w:pPr>
        <w:pStyle w:val="10"/>
        <w:autoSpaceDE w:val="0"/>
        <w:autoSpaceDN w:val="0"/>
        <w:spacing w:before="163" w:beforeLines="50" w:after="163" w:afterLines="50" w:line="360" w:lineRule="auto"/>
        <w:ind w:right="560" w:firstLine="480"/>
        <w:rPr>
          <w:rFonts w:ascii="宋体" w:hAnsi="宋体"/>
          <w:sz w:val="24"/>
          <w:u w:val="single"/>
        </w:rPr>
      </w:pPr>
      <w:r>
        <w:rPr>
          <w:rFonts w:hint="eastAsia" w:ascii="宋体" w:hAnsi="宋体"/>
          <w:sz w:val="24"/>
        </w:rPr>
        <w:t>负责人： 刘克江</w:t>
      </w:r>
      <w:r>
        <w:rPr>
          <w:rFonts w:hint="eastAsia" w:ascii="宋体" w:hAnsi="宋体"/>
          <w:sz w:val="24"/>
          <w:u w:val="single"/>
        </w:rPr>
        <w:t>_______________</w:t>
      </w:r>
      <w:r>
        <w:rPr>
          <w:rFonts w:hint="eastAsia" w:ascii="宋体" w:hAnsi="宋体"/>
          <w:sz w:val="24"/>
        </w:rPr>
        <w:t xml:space="preserve">      经办律师：张明波</w:t>
      </w:r>
      <w:r>
        <w:rPr>
          <w:rFonts w:hint="eastAsia" w:ascii="宋体" w:hAnsi="宋体"/>
          <w:sz w:val="24"/>
          <w:u w:val="single"/>
        </w:rPr>
        <w:t>______________</w:t>
      </w:r>
    </w:p>
    <w:p>
      <w:pPr>
        <w:pStyle w:val="10"/>
        <w:tabs>
          <w:tab w:val="left" w:pos="7740"/>
        </w:tabs>
        <w:autoSpaceDE w:val="0"/>
        <w:autoSpaceDN w:val="0"/>
        <w:spacing w:before="163" w:beforeLines="50" w:after="163" w:afterLines="50" w:line="360" w:lineRule="auto"/>
        <w:ind w:firstLine="480"/>
        <w:rPr>
          <w:rFonts w:ascii="宋体" w:hAnsi="宋体"/>
          <w:sz w:val="24"/>
        </w:rPr>
      </w:pPr>
    </w:p>
    <w:p>
      <w:pPr>
        <w:pStyle w:val="10"/>
        <w:tabs>
          <w:tab w:val="left" w:pos="7740"/>
        </w:tabs>
        <w:autoSpaceDE w:val="0"/>
        <w:autoSpaceDN w:val="0"/>
        <w:spacing w:before="163" w:beforeLines="50" w:after="163" w:afterLines="50" w:line="360" w:lineRule="auto"/>
        <w:ind w:firstLine="480"/>
        <w:rPr>
          <w:rFonts w:ascii="宋体" w:hAnsi="宋体"/>
          <w:sz w:val="24"/>
        </w:rPr>
      </w:pPr>
      <w:r>
        <w:rPr>
          <w:rFonts w:hint="eastAsia" w:ascii="宋体" w:hAnsi="宋体"/>
          <w:sz w:val="24"/>
        </w:rPr>
        <w:t xml:space="preserve">                                              马龙飞</w:t>
      </w:r>
      <w:r>
        <w:rPr>
          <w:rFonts w:hint="eastAsia" w:ascii="宋体" w:hAnsi="宋体"/>
          <w:sz w:val="24"/>
          <w:u w:val="single"/>
        </w:rPr>
        <w:t>______________</w:t>
      </w:r>
    </w:p>
    <w:p>
      <w:pPr>
        <w:pStyle w:val="10"/>
        <w:autoSpaceDE w:val="0"/>
        <w:autoSpaceDN w:val="0"/>
        <w:spacing w:before="163" w:beforeLines="50" w:after="163" w:afterLines="50" w:line="360" w:lineRule="auto"/>
        <w:ind w:firstLine="480"/>
        <w:rPr>
          <w:rFonts w:ascii="宋体" w:hAnsi="宋体"/>
          <w:sz w:val="24"/>
        </w:rPr>
      </w:pPr>
    </w:p>
    <w:p>
      <w:pPr>
        <w:pStyle w:val="10"/>
        <w:autoSpaceDE w:val="0"/>
        <w:autoSpaceDN w:val="0"/>
        <w:spacing w:before="163" w:beforeLines="50" w:after="163" w:afterLines="50" w:line="360" w:lineRule="auto"/>
        <w:ind w:firstLine="5880" w:firstLineChars="2450"/>
        <w:rPr>
          <w:rFonts w:ascii="宋体" w:hAnsi="宋体"/>
          <w:sz w:val="24"/>
        </w:rPr>
      </w:pPr>
      <w:r>
        <w:rPr>
          <w:rFonts w:hint="eastAsia" w:ascii="宋体" w:hAnsi="宋体"/>
          <w:sz w:val="24"/>
        </w:rPr>
        <w:t xml:space="preserve">       年    月    日</w:t>
      </w:r>
    </w:p>
    <w:p>
      <w:pPr>
        <w:spacing w:before="163" w:after="163"/>
        <w:ind w:firstLine="480"/>
        <w:rPr>
          <w:rFonts w:ascii="宋体" w:hAnsi="宋体"/>
        </w:rPr>
      </w:pPr>
    </w:p>
    <w:p>
      <w:pPr>
        <w:spacing w:before="163" w:after="163"/>
        <w:ind w:firstLine="480"/>
        <w:rPr>
          <w:rFonts w:ascii="宋体" w:hAnsi="宋体"/>
        </w:rPr>
      </w:pPr>
    </w:p>
    <w:p>
      <w:pPr>
        <w:spacing w:before="163" w:after="163"/>
        <w:ind w:firstLine="480"/>
        <w:rPr>
          <w:rFonts w:ascii="宋体" w:hAnsi="宋体"/>
        </w:rPr>
      </w:pPr>
    </w:p>
    <w:p>
      <w:pPr>
        <w:spacing w:before="163" w:after="163"/>
        <w:ind w:firstLine="480"/>
        <w:rPr>
          <w:rFonts w:ascii="宋体" w:hAnsi="宋体"/>
        </w:rPr>
      </w:pPr>
    </w:p>
    <w:p>
      <w:pPr>
        <w:spacing w:before="163" w:after="163"/>
        <w:ind w:firstLine="480"/>
        <w:rPr>
          <w:rFonts w:ascii="宋体" w:hAnsi="宋体"/>
        </w:rPr>
      </w:pPr>
    </w:p>
    <w:p>
      <w:pPr>
        <w:spacing w:before="163" w:after="163"/>
        <w:ind w:firstLine="480"/>
        <w:rPr>
          <w:rFonts w:ascii="宋体" w:hAnsi="宋体"/>
        </w:rPr>
      </w:pPr>
    </w:p>
    <w:p>
      <w:pPr>
        <w:spacing w:before="163" w:after="163"/>
        <w:ind w:firstLine="480"/>
        <w:rPr>
          <w:rFonts w:ascii="宋体" w:hAnsi="宋体"/>
        </w:rPr>
      </w:pPr>
    </w:p>
    <w:p>
      <w:pPr>
        <w:spacing w:before="163" w:after="163"/>
        <w:ind w:firstLine="480"/>
        <w:rPr>
          <w:rFonts w:ascii="宋体" w:hAnsi="宋体"/>
        </w:rPr>
      </w:pPr>
    </w:p>
    <w:p>
      <w:pPr>
        <w:spacing w:before="163" w:after="163"/>
        <w:ind w:firstLine="0" w:firstLineChars="0"/>
        <w:rPr>
          <w:rFonts w:ascii="宋体" w:hAnsi="宋体"/>
        </w:rPr>
      </w:pPr>
    </w:p>
    <w:sectPr>
      <w:footerReference r:id="rId11" w:type="default"/>
      <w:pgSz w:w="11906" w:h="16838"/>
      <w:pgMar w:top="1440" w:right="1077" w:bottom="1440" w:left="1077" w:header="851" w:footer="567" w:gutter="0"/>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before="120" w:after="120"/>
      <w:ind w:firstLine="360"/>
      <w:jc w:val="center"/>
    </w:pPr>
    <w:r>
      <w:fldChar w:fldCharType="begin"/>
    </w:r>
    <w:r>
      <w:instrText xml:space="preserve"> PAGE   \* MERGEFORMAT </w:instrText>
    </w:r>
    <w:r>
      <w:fldChar w:fldCharType="separate"/>
    </w:r>
    <w:r>
      <w:rPr>
        <w:lang w:val="zh-CN"/>
      </w:rPr>
      <w:t>12</w:t>
    </w:r>
    <w:r>
      <w:rPr>
        <w:lang w:val="zh-CN"/>
      </w:rPr>
      <w:fldChar w:fldCharType="end"/>
    </w:r>
  </w:p>
  <w:p>
    <w:pPr>
      <w:pStyle w:val="20"/>
      <w:spacing w:beforeLines="0" w:afterLines="0" w:line="240" w:lineRule="auto"/>
      <w:ind w:firstLine="0" w:firstLineChars="0"/>
      <w:jc w:val="right"/>
    </w:pPr>
    <w:r>
      <w:rPr>
        <w:rFonts w:hint="eastAsia"/>
      </w:rPr>
      <w:t>中国·北京市朝阳区建国门外大街2号银泰中心C座11、12层</w:t>
    </w:r>
  </w:p>
  <w:p>
    <w:pPr>
      <w:pStyle w:val="20"/>
      <w:spacing w:beforeLines="0" w:afterLines="0" w:line="240" w:lineRule="auto"/>
      <w:ind w:firstLine="0" w:firstLineChars="0"/>
      <w:jc w:val="right"/>
    </w:pPr>
    <w:r>
      <w:rPr>
        <w:rFonts w:hint="eastAsia"/>
      </w:rPr>
      <w:t>电话： (+86 10) 8540 7666 邮编：100022  www.deheheng.com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before="120" w:after="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before="120" w:after="12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beforeLines="0" w:after="120" w:line="240" w:lineRule="auto"/>
      <w:ind w:firstLine="0" w:firstLineChars="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80"/>
      </w:pPr>
      <w:r>
        <w:separator/>
      </w:r>
    </w:p>
  </w:footnote>
  <w:footnote w:type="continuationSeparator" w:id="1">
    <w:p>
      <w:pPr>
        <w:spacing w:before="0" w:after="0"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after="120"/>
      <w:ind w:firstLine="480"/>
    </w:pPr>
    <w:r>
      <w:drawing>
        <wp:anchor distT="0" distB="0" distL="114300" distR="114300" simplePos="0" relativeHeight="251660288" behindDoc="1" locked="0" layoutInCell="1" allowOverlap="1">
          <wp:simplePos x="0" y="0"/>
          <wp:positionH relativeFrom="column">
            <wp:posOffset>-755015</wp:posOffset>
          </wp:positionH>
          <wp:positionV relativeFrom="paragraph">
            <wp:posOffset>-616585</wp:posOffset>
          </wp:positionV>
          <wp:extent cx="7667625" cy="1087120"/>
          <wp:effectExtent l="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667625" cy="1087120"/>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spacing w:before="120" w:after="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spacing w:before="120" w:after="1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1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iYWIwNzkzYTg0MzhhYmIxYTgwNmNhNDYxODQzNjMifQ=="/>
  </w:docVars>
  <w:rsids>
    <w:rsidRoot w:val="008476E9"/>
    <w:rsid w:val="00001B04"/>
    <w:rsid w:val="00002F70"/>
    <w:rsid w:val="0000701E"/>
    <w:rsid w:val="0001145F"/>
    <w:rsid w:val="00012628"/>
    <w:rsid w:val="00014332"/>
    <w:rsid w:val="00014574"/>
    <w:rsid w:val="000163AE"/>
    <w:rsid w:val="000225DE"/>
    <w:rsid w:val="000232BC"/>
    <w:rsid w:val="000269E6"/>
    <w:rsid w:val="00030035"/>
    <w:rsid w:val="000302D7"/>
    <w:rsid w:val="00031A28"/>
    <w:rsid w:val="00034530"/>
    <w:rsid w:val="000346CB"/>
    <w:rsid w:val="00036294"/>
    <w:rsid w:val="000406E9"/>
    <w:rsid w:val="00040961"/>
    <w:rsid w:val="000440B9"/>
    <w:rsid w:val="00044958"/>
    <w:rsid w:val="00045490"/>
    <w:rsid w:val="00045DAA"/>
    <w:rsid w:val="00046C44"/>
    <w:rsid w:val="0005020E"/>
    <w:rsid w:val="00051DCC"/>
    <w:rsid w:val="00054CFA"/>
    <w:rsid w:val="00056987"/>
    <w:rsid w:val="000577F4"/>
    <w:rsid w:val="0006113A"/>
    <w:rsid w:val="00061466"/>
    <w:rsid w:val="00064519"/>
    <w:rsid w:val="00064E7D"/>
    <w:rsid w:val="00071EB3"/>
    <w:rsid w:val="00072AF9"/>
    <w:rsid w:val="00072B59"/>
    <w:rsid w:val="00080E62"/>
    <w:rsid w:val="00082A05"/>
    <w:rsid w:val="00082DAD"/>
    <w:rsid w:val="000903E5"/>
    <w:rsid w:val="000A134E"/>
    <w:rsid w:val="000A3C99"/>
    <w:rsid w:val="000A4B4B"/>
    <w:rsid w:val="000A5721"/>
    <w:rsid w:val="000A6AC3"/>
    <w:rsid w:val="000A7644"/>
    <w:rsid w:val="000B16DB"/>
    <w:rsid w:val="000B26BB"/>
    <w:rsid w:val="000B26F6"/>
    <w:rsid w:val="000B55C0"/>
    <w:rsid w:val="000B7FBD"/>
    <w:rsid w:val="000C01CF"/>
    <w:rsid w:val="000C098D"/>
    <w:rsid w:val="000C243B"/>
    <w:rsid w:val="000C5BE7"/>
    <w:rsid w:val="000C632B"/>
    <w:rsid w:val="000C6732"/>
    <w:rsid w:val="000D00A1"/>
    <w:rsid w:val="000D12B9"/>
    <w:rsid w:val="000D5376"/>
    <w:rsid w:val="000D6918"/>
    <w:rsid w:val="000D7750"/>
    <w:rsid w:val="000E4989"/>
    <w:rsid w:val="000E6725"/>
    <w:rsid w:val="000E6D35"/>
    <w:rsid w:val="000E79AB"/>
    <w:rsid w:val="000F1266"/>
    <w:rsid w:val="000F1975"/>
    <w:rsid w:val="000F32BE"/>
    <w:rsid w:val="000F33AD"/>
    <w:rsid w:val="000F3C26"/>
    <w:rsid w:val="000F4C18"/>
    <w:rsid w:val="000F5933"/>
    <w:rsid w:val="000F5A2B"/>
    <w:rsid w:val="000F7767"/>
    <w:rsid w:val="00101090"/>
    <w:rsid w:val="001030E5"/>
    <w:rsid w:val="00107165"/>
    <w:rsid w:val="00107A59"/>
    <w:rsid w:val="00113A66"/>
    <w:rsid w:val="00116ADB"/>
    <w:rsid w:val="00120E3F"/>
    <w:rsid w:val="00121713"/>
    <w:rsid w:val="00121C64"/>
    <w:rsid w:val="00122C56"/>
    <w:rsid w:val="0012459E"/>
    <w:rsid w:val="0012545B"/>
    <w:rsid w:val="001264C8"/>
    <w:rsid w:val="0012695F"/>
    <w:rsid w:val="00132587"/>
    <w:rsid w:val="00134600"/>
    <w:rsid w:val="0013592C"/>
    <w:rsid w:val="001361BB"/>
    <w:rsid w:val="001447E6"/>
    <w:rsid w:val="00147059"/>
    <w:rsid w:val="001476F2"/>
    <w:rsid w:val="0015075F"/>
    <w:rsid w:val="0015369C"/>
    <w:rsid w:val="001551EE"/>
    <w:rsid w:val="00157F6C"/>
    <w:rsid w:val="00160135"/>
    <w:rsid w:val="001605EB"/>
    <w:rsid w:val="0016064E"/>
    <w:rsid w:val="0016110E"/>
    <w:rsid w:val="001622A2"/>
    <w:rsid w:val="001702ED"/>
    <w:rsid w:val="001734E0"/>
    <w:rsid w:val="001768C4"/>
    <w:rsid w:val="00176BCA"/>
    <w:rsid w:val="00176D60"/>
    <w:rsid w:val="001778C4"/>
    <w:rsid w:val="001800FC"/>
    <w:rsid w:val="0018244E"/>
    <w:rsid w:val="00183C35"/>
    <w:rsid w:val="00185BAC"/>
    <w:rsid w:val="001863A0"/>
    <w:rsid w:val="0019083E"/>
    <w:rsid w:val="00191C87"/>
    <w:rsid w:val="001960ED"/>
    <w:rsid w:val="0019629B"/>
    <w:rsid w:val="00196920"/>
    <w:rsid w:val="001A0336"/>
    <w:rsid w:val="001A15B3"/>
    <w:rsid w:val="001B2BD7"/>
    <w:rsid w:val="001B39B9"/>
    <w:rsid w:val="001B45FC"/>
    <w:rsid w:val="001B4EAE"/>
    <w:rsid w:val="001B5386"/>
    <w:rsid w:val="001B5D72"/>
    <w:rsid w:val="001C1FD2"/>
    <w:rsid w:val="001C200D"/>
    <w:rsid w:val="001C370B"/>
    <w:rsid w:val="001C55EC"/>
    <w:rsid w:val="001D31F0"/>
    <w:rsid w:val="001D42B9"/>
    <w:rsid w:val="001D7D0E"/>
    <w:rsid w:val="001E0A48"/>
    <w:rsid w:val="001E4C12"/>
    <w:rsid w:val="001E5C2F"/>
    <w:rsid w:val="001E76A3"/>
    <w:rsid w:val="001F001C"/>
    <w:rsid w:val="001F1D30"/>
    <w:rsid w:val="001F3888"/>
    <w:rsid w:val="001F38FD"/>
    <w:rsid w:val="001F4766"/>
    <w:rsid w:val="001F52DE"/>
    <w:rsid w:val="001F67D5"/>
    <w:rsid w:val="00201DD1"/>
    <w:rsid w:val="00202785"/>
    <w:rsid w:val="002059CF"/>
    <w:rsid w:val="00207079"/>
    <w:rsid w:val="002075F9"/>
    <w:rsid w:val="002111E1"/>
    <w:rsid w:val="002124BE"/>
    <w:rsid w:val="00212798"/>
    <w:rsid w:val="00212C52"/>
    <w:rsid w:val="00212ECE"/>
    <w:rsid w:val="00213453"/>
    <w:rsid w:val="00213631"/>
    <w:rsid w:val="002176B4"/>
    <w:rsid w:val="00220F2B"/>
    <w:rsid w:val="002210DE"/>
    <w:rsid w:val="00221A9D"/>
    <w:rsid w:val="002258EF"/>
    <w:rsid w:val="002272CA"/>
    <w:rsid w:val="002273B8"/>
    <w:rsid w:val="00230926"/>
    <w:rsid w:val="00232409"/>
    <w:rsid w:val="002325CE"/>
    <w:rsid w:val="00232722"/>
    <w:rsid w:val="002329CB"/>
    <w:rsid w:val="0023410A"/>
    <w:rsid w:val="00236A24"/>
    <w:rsid w:val="0023735C"/>
    <w:rsid w:val="0024016E"/>
    <w:rsid w:val="002424DA"/>
    <w:rsid w:val="00246247"/>
    <w:rsid w:val="0024699A"/>
    <w:rsid w:val="00247662"/>
    <w:rsid w:val="00247E28"/>
    <w:rsid w:val="0025119C"/>
    <w:rsid w:val="00254814"/>
    <w:rsid w:val="002549D4"/>
    <w:rsid w:val="00255152"/>
    <w:rsid w:val="002555F1"/>
    <w:rsid w:val="00257883"/>
    <w:rsid w:val="00260AE0"/>
    <w:rsid w:val="00261D7A"/>
    <w:rsid w:val="00263C12"/>
    <w:rsid w:val="00264DB7"/>
    <w:rsid w:val="0026544A"/>
    <w:rsid w:val="00265B7C"/>
    <w:rsid w:val="00270335"/>
    <w:rsid w:val="00271EDB"/>
    <w:rsid w:val="00272209"/>
    <w:rsid w:val="00274676"/>
    <w:rsid w:val="00275028"/>
    <w:rsid w:val="00275A56"/>
    <w:rsid w:val="0027610F"/>
    <w:rsid w:val="00276508"/>
    <w:rsid w:val="00276A62"/>
    <w:rsid w:val="00276DF9"/>
    <w:rsid w:val="002776A7"/>
    <w:rsid w:val="00277B37"/>
    <w:rsid w:val="00280D3D"/>
    <w:rsid w:val="00280E4B"/>
    <w:rsid w:val="0028100A"/>
    <w:rsid w:val="00282DC7"/>
    <w:rsid w:val="00283E89"/>
    <w:rsid w:val="00284CEC"/>
    <w:rsid w:val="00286751"/>
    <w:rsid w:val="00287A56"/>
    <w:rsid w:val="00293D0B"/>
    <w:rsid w:val="00294962"/>
    <w:rsid w:val="00297553"/>
    <w:rsid w:val="00297D7B"/>
    <w:rsid w:val="002A034C"/>
    <w:rsid w:val="002A5194"/>
    <w:rsid w:val="002A5820"/>
    <w:rsid w:val="002A7161"/>
    <w:rsid w:val="002A7654"/>
    <w:rsid w:val="002B1253"/>
    <w:rsid w:val="002B1572"/>
    <w:rsid w:val="002B3451"/>
    <w:rsid w:val="002B6A34"/>
    <w:rsid w:val="002B70B8"/>
    <w:rsid w:val="002C158B"/>
    <w:rsid w:val="002C3396"/>
    <w:rsid w:val="002C42D5"/>
    <w:rsid w:val="002C6F22"/>
    <w:rsid w:val="002C7F95"/>
    <w:rsid w:val="002D11D0"/>
    <w:rsid w:val="002D192E"/>
    <w:rsid w:val="002D3144"/>
    <w:rsid w:val="002D37A2"/>
    <w:rsid w:val="002D6D27"/>
    <w:rsid w:val="002D79A8"/>
    <w:rsid w:val="002E0685"/>
    <w:rsid w:val="002E2395"/>
    <w:rsid w:val="002E2522"/>
    <w:rsid w:val="002E7831"/>
    <w:rsid w:val="002F5511"/>
    <w:rsid w:val="002F5702"/>
    <w:rsid w:val="002F691C"/>
    <w:rsid w:val="002F7B8E"/>
    <w:rsid w:val="0030110F"/>
    <w:rsid w:val="00301E72"/>
    <w:rsid w:val="0030225B"/>
    <w:rsid w:val="00302897"/>
    <w:rsid w:val="00303F50"/>
    <w:rsid w:val="003045FF"/>
    <w:rsid w:val="003072C7"/>
    <w:rsid w:val="00307887"/>
    <w:rsid w:val="003179BE"/>
    <w:rsid w:val="00322F41"/>
    <w:rsid w:val="003264A8"/>
    <w:rsid w:val="00327661"/>
    <w:rsid w:val="00327E30"/>
    <w:rsid w:val="00327F3E"/>
    <w:rsid w:val="0033306F"/>
    <w:rsid w:val="00340DA0"/>
    <w:rsid w:val="00340FC9"/>
    <w:rsid w:val="003416E0"/>
    <w:rsid w:val="00341850"/>
    <w:rsid w:val="003428AF"/>
    <w:rsid w:val="00345365"/>
    <w:rsid w:val="00350F3E"/>
    <w:rsid w:val="003529CF"/>
    <w:rsid w:val="00352CE6"/>
    <w:rsid w:val="00357B3D"/>
    <w:rsid w:val="00357D04"/>
    <w:rsid w:val="003619D4"/>
    <w:rsid w:val="00363779"/>
    <w:rsid w:val="00364944"/>
    <w:rsid w:val="00365253"/>
    <w:rsid w:val="00365FFB"/>
    <w:rsid w:val="00366D10"/>
    <w:rsid w:val="00367618"/>
    <w:rsid w:val="00371319"/>
    <w:rsid w:val="00372BF6"/>
    <w:rsid w:val="00374343"/>
    <w:rsid w:val="00374901"/>
    <w:rsid w:val="00374D79"/>
    <w:rsid w:val="00374E76"/>
    <w:rsid w:val="00375466"/>
    <w:rsid w:val="0037658D"/>
    <w:rsid w:val="00376E0D"/>
    <w:rsid w:val="00380971"/>
    <w:rsid w:val="0038252B"/>
    <w:rsid w:val="0038261A"/>
    <w:rsid w:val="00383D1C"/>
    <w:rsid w:val="00384411"/>
    <w:rsid w:val="00385ADE"/>
    <w:rsid w:val="003860C3"/>
    <w:rsid w:val="00386291"/>
    <w:rsid w:val="00387017"/>
    <w:rsid w:val="00387520"/>
    <w:rsid w:val="00390BFD"/>
    <w:rsid w:val="0039638E"/>
    <w:rsid w:val="00397E1A"/>
    <w:rsid w:val="00397EE7"/>
    <w:rsid w:val="003A07CA"/>
    <w:rsid w:val="003A200C"/>
    <w:rsid w:val="003A418E"/>
    <w:rsid w:val="003A53D9"/>
    <w:rsid w:val="003A58CC"/>
    <w:rsid w:val="003A698F"/>
    <w:rsid w:val="003A6CD8"/>
    <w:rsid w:val="003A7DA3"/>
    <w:rsid w:val="003B074D"/>
    <w:rsid w:val="003B084D"/>
    <w:rsid w:val="003B20B6"/>
    <w:rsid w:val="003B46EF"/>
    <w:rsid w:val="003B49B6"/>
    <w:rsid w:val="003B4CA9"/>
    <w:rsid w:val="003B6A25"/>
    <w:rsid w:val="003B7E7F"/>
    <w:rsid w:val="003C5E4E"/>
    <w:rsid w:val="003D1A1A"/>
    <w:rsid w:val="003D3531"/>
    <w:rsid w:val="003D35E9"/>
    <w:rsid w:val="003D410B"/>
    <w:rsid w:val="003D48A1"/>
    <w:rsid w:val="003E4CD0"/>
    <w:rsid w:val="003E4E22"/>
    <w:rsid w:val="003E50CE"/>
    <w:rsid w:val="003E5FE9"/>
    <w:rsid w:val="003E7323"/>
    <w:rsid w:val="003F07B9"/>
    <w:rsid w:val="003F0F03"/>
    <w:rsid w:val="003F133C"/>
    <w:rsid w:val="003F6AD6"/>
    <w:rsid w:val="00400978"/>
    <w:rsid w:val="004022D4"/>
    <w:rsid w:val="00403DF7"/>
    <w:rsid w:val="00404076"/>
    <w:rsid w:val="004043ED"/>
    <w:rsid w:val="00404712"/>
    <w:rsid w:val="00404CBF"/>
    <w:rsid w:val="00406207"/>
    <w:rsid w:val="00407033"/>
    <w:rsid w:val="004076C1"/>
    <w:rsid w:val="00410594"/>
    <w:rsid w:val="00412F83"/>
    <w:rsid w:val="00415348"/>
    <w:rsid w:val="00416263"/>
    <w:rsid w:val="004166F5"/>
    <w:rsid w:val="00421E27"/>
    <w:rsid w:val="004221A3"/>
    <w:rsid w:val="0042594E"/>
    <w:rsid w:val="00430245"/>
    <w:rsid w:val="00430A3A"/>
    <w:rsid w:val="00430D0C"/>
    <w:rsid w:val="00432410"/>
    <w:rsid w:val="0043652C"/>
    <w:rsid w:val="004416F1"/>
    <w:rsid w:val="00443DFA"/>
    <w:rsid w:val="00447C93"/>
    <w:rsid w:val="00447F54"/>
    <w:rsid w:val="00452750"/>
    <w:rsid w:val="004529D5"/>
    <w:rsid w:val="00453CB6"/>
    <w:rsid w:val="00456151"/>
    <w:rsid w:val="00456CB2"/>
    <w:rsid w:val="00456F9B"/>
    <w:rsid w:val="00461A70"/>
    <w:rsid w:val="004626E0"/>
    <w:rsid w:val="0046342C"/>
    <w:rsid w:val="00464177"/>
    <w:rsid w:val="00464C1E"/>
    <w:rsid w:val="0047134F"/>
    <w:rsid w:val="00471D54"/>
    <w:rsid w:val="00472FBB"/>
    <w:rsid w:val="00473060"/>
    <w:rsid w:val="00474DDC"/>
    <w:rsid w:val="004775C7"/>
    <w:rsid w:val="004779AE"/>
    <w:rsid w:val="00477B53"/>
    <w:rsid w:val="004803A1"/>
    <w:rsid w:val="004803FB"/>
    <w:rsid w:val="00480CB1"/>
    <w:rsid w:val="00481246"/>
    <w:rsid w:val="0048138B"/>
    <w:rsid w:val="004850A0"/>
    <w:rsid w:val="004851CE"/>
    <w:rsid w:val="0049017F"/>
    <w:rsid w:val="0049039C"/>
    <w:rsid w:val="004903CA"/>
    <w:rsid w:val="0049070F"/>
    <w:rsid w:val="004922B1"/>
    <w:rsid w:val="00492A1A"/>
    <w:rsid w:val="004938E3"/>
    <w:rsid w:val="0049511A"/>
    <w:rsid w:val="00496A54"/>
    <w:rsid w:val="004A0052"/>
    <w:rsid w:val="004A2613"/>
    <w:rsid w:val="004A5DB3"/>
    <w:rsid w:val="004B0382"/>
    <w:rsid w:val="004C0BCD"/>
    <w:rsid w:val="004C59FD"/>
    <w:rsid w:val="004D0824"/>
    <w:rsid w:val="004D3D7A"/>
    <w:rsid w:val="004D3F4B"/>
    <w:rsid w:val="004D4E1B"/>
    <w:rsid w:val="004D5937"/>
    <w:rsid w:val="004D6B3A"/>
    <w:rsid w:val="004E06A9"/>
    <w:rsid w:val="004E0C85"/>
    <w:rsid w:val="004E1E9D"/>
    <w:rsid w:val="004E2871"/>
    <w:rsid w:val="004E4ADF"/>
    <w:rsid w:val="004E5D1A"/>
    <w:rsid w:val="004E6C1B"/>
    <w:rsid w:val="004E7263"/>
    <w:rsid w:val="004F00A6"/>
    <w:rsid w:val="004F111B"/>
    <w:rsid w:val="004F6A57"/>
    <w:rsid w:val="004F7E5A"/>
    <w:rsid w:val="00501353"/>
    <w:rsid w:val="00501BBC"/>
    <w:rsid w:val="00505B6F"/>
    <w:rsid w:val="0050668C"/>
    <w:rsid w:val="00507E15"/>
    <w:rsid w:val="00511ABA"/>
    <w:rsid w:val="00514295"/>
    <w:rsid w:val="0051467B"/>
    <w:rsid w:val="00516C63"/>
    <w:rsid w:val="00517A65"/>
    <w:rsid w:val="00520317"/>
    <w:rsid w:val="0052309E"/>
    <w:rsid w:val="005244B2"/>
    <w:rsid w:val="00524FE8"/>
    <w:rsid w:val="005252F8"/>
    <w:rsid w:val="00530A22"/>
    <w:rsid w:val="0053119F"/>
    <w:rsid w:val="00531FCC"/>
    <w:rsid w:val="0053462B"/>
    <w:rsid w:val="00535179"/>
    <w:rsid w:val="00537CA0"/>
    <w:rsid w:val="00540EB2"/>
    <w:rsid w:val="0054206C"/>
    <w:rsid w:val="00542A47"/>
    <w:rsid w:val="00543A37"/>
    <w:rsid w:val="00547F92"/>
    <w:rsid w:val="0055083E"/>
    <w:rsid w:val="00552B8A"/>
    <w:rsid w:val="00552C87"/>
    <w:rsid w:val="0055574C"/>
    <w:rsid w:val="00556D6D"/>
    <w:rsid w:val="00561C4C"/>
    <w:rsid w:val="00562890"/>
    <w:rsid w:val="0056349C"/>
    <w:rsid w:val="00567240"/>
    <w:rsid w:val="005674EB"/>
    <w:rsid w:val="00570F58"/>
    <w:rsid w:val="00571288"/>
    <w:rsid w:val="005724FD"/>
    <w:rsid w:val="00572805"/>
    <w:rsid w:val="005750FF"/>
    <w:rsid w:val="00577CE4"/>
    <w:rsid w:val="0058207A"/>
    <w:rsid w:val="00583878"/>
    <w:rsid w:val="00584470"/>
    <w:rsid w:val="005848BF"/>
    <w:rsid w:val="00584CA0"/>
    <w:rsid w:val="00585787"/>
    <w:rsid w:val="005864D1"/>
    <w:rsid w:val="00586888"/>
    <w:rsid w:val="005875D7"/>
    <w:rsid w:val="0059037C"/>
    <w:rsid w:val="00590810"/>
    <w:rsid w:val="005917C9"/>
    <w:rsid w:val="0059594C"/>
    <w:rsid w:val="00596D43"/>
    <w:rsid w:val="005A12FD"/>
    <w:rsid w:val="005A1915"/>
    <w:rsid w:val="005A32F0"/>
    <w:rsid w:val="005A392D"/>
    <w:rsid w:val="005A474D"/>
    <w:rsid w:val="005A7AAD"/>
    <w:rsid w:val="005B026B"/>
    <w:rsid w:val="005B177E"/>
    <w:rsid w:val="005B3489"/>
    <w:rsid w:val="005B3819"/>
    <w:rsid w:val="005B6B5A"/>
    <w:rsid w:val="005C02AE"/>
    <w:rsid w:val="005C6F28"/>
    <w:rsid w:val="005C7221"/>
    <w:rsid w:val="005D0F41"/>
    <w:rsid w:val="005D11BD"/>
    <w:rsid w:val="005D4E0F"/>
    <w:rsid w:val="005D5240"/>
    <w:rsid w:val="005D52FC"/>
    <w:rsid w:val="005D5A08"/>
    <w:rsid w:val="005D5DAB"/>
    <w:rsid w:val="005D7C4F"/>
    <w:rsid w:val="005E1C04"/>
    <w:rsid w:val="005E23BC"/>
    <w:rsid w:val="005F01DB"/>
    <w:rsid w:val="005F10C6"/>
    <w:rsid w:val="005F5AD4"/>
    <w:rsid w:val="005F7DC7"/>
    <w:rsid w:val="006005A8"/>
    <w:rsid w:val="00600E69"/>
    <w:rsid w:val="00603ACE"/>
    <w:rsid w:val="0060567F"/>
    <w:rsid w:val="00614265"/>
    <w:rsid w:val="00622A7A"/>
    <w:rsid w:val="00623021"/>
    <w:rsid w:val="00623AE2"/>
    <w:rsid w:val="00624097"/>
    <w:rsid w:val="006261C2"/>
    <w:rsid w:val="006312B7"/>
    <w:rsid w:val="0063235F"/>
    <w:rsid w:val="006326D2"/>
    <w:rsid w:val="00632F89"/>
    <w:rsid w:val="0063333D"/>
    <w:rsid w:val="00634CCE"/>
    <w:rsid w:val="00637EF6"/>
    <w:rsid w:val="00640752"/>
    <w:rsid w:val="0064167A"/>
    <w:rsid w:val="006420C3"/>
    <w:rsid w:val="006422BE"/>
    <w:rsid w:val="0064306B"/>
    <w:rsid w:val="006440BB"/>
    <w:rsid w:val="00646746"/>
    <w:rsid w:val="00646C83"/>
    <w:rsid w:val="00650695"/>
    <w:rsid w:val="00652FF2"/>
    <w:rsid w:val="00653BAD"/>
    <w:rsid w:val="00655003"/>
    <w:rsid w:val="0065693E"/>
    <w:rsid w:val="00656A40"/>
    <w:rsid w:val="00656B7D"/>
    <w:rsid w:val="00656C2C"/>
    <w:rsid w:val="006633C9"/>
    <w:rsid w:val="00664E6D"/>
    <w:rsid w:val="00665277"/>
    <w:rsid w:val="00665C40"/>
    <w:rsid w:val="00667291"/>
    <w:rsid w:val="00667A8B"/>
    <w:rsid w:val="00670BE4"/>
    <w:rsid w:val="00670F00"/>
    <w:rsid w:val="00671116"/>
    <w:rsid w:val="00676276"/>
    <w:rsid w:val="00676D90"/>
    <w:rsid w:val="006801D8"/>
    <w:rsid w:val="00684D3D"/>
    <w:rsid w:val="0068567F"/>
    <w:rsid w:val="00686865"/>
    <w:rsid w:val="006872FC"/>
    <w:rsid w:val="0069123C"/>
    <w:rsid w:val="00694434"/>
    <w:rsid w:val="00694BC1"/>
    <w:rsid w:val="0069538B"/>
    <w:rsid w:val="00695B11"/>
    <w:rsid w:val="00697A1A"/>
    <w:rsid w:val="006A1540"/>
    <w:rsid w:val="006A181B"/>
    <w:rsid w:val="006A23F5"/>
    <w:rsid w:val="006A3E2D"/>
    <w:rsid w:val="006A78B6"/>
    <w:rsid w:val="006B0024"/>
    <w:rsid w:val="006B0C78"/>
    <w:rsid w:val="006B0EDF"/>
    <w:rsid w:val="006B11F8"/>
    <w:rsid w:val="006B3033"/>
    <w:rsid w:val="006B5966"/>
    <w:rsid w:val="006B5B08"/>
    <w:rsid w:val="006C16F9"/>
    <w:rsid w:val="006C3CD6"/>
    <w:rsid w:val="006C539A"/>
    <w:rsid w:val="006C7743"/>
    <w:rsid w:val="006D067C"/>
    <w:rsid w:val="006D3031"/>
    <w:rsid w:val="006D3139"/>
    <w:rsid w:val="006D3DDC"/>
    <w:rsid w:val="006D6B47"/>
    <w:rsid w:val="006D6D78"/>
    <w:rsid w:val="006E15FF"/>
    <w:rsid w:val="006E24E5"/>
    <w:rsid w:val="006E2CBF"/>
    <w:rsid w:val="006F0337"/>
    <w:rsid w:val="006F2BD6"/>
    <w:rsid w:val="006F6860"/>
    <w:rsid w:val="007002F0"/>
    <w:rsid w:val="00700CE1"/>
    <w:rsid w:val="00701267"/>
    <w:rsid w:val="007072E7"/>
    <w:rsid w:val="00707587"/>
    <w:rsid w:val="0071278E"/>
    <w:rsid w:val="007151FC"/>
    <w:rsid w:val="007154AC"/>
    <w:rsid w:val="00715B51"/>
    <w:rsid w:val="00715D04"/>
    <w:rsid w:val="00715E94"/>
    <w:rsid w:val="00720B11"/>
    <w:rsid w:val="0072459A"/>
    <w:rsid w:val="00724AAD"/>
    <w:rsid w:val="00724D8C"/>
    <w:rsid w:val="0072515B"/>
    <w:rsid w:val="00725E8E"/>
    <w:rsid w:val="00725F18"/>
    <w:rsid w:val="007274DA"/>
    <w:rsid w:val="0073198C"/>
    <w:rsid w:val="007324D3"/>
    <w:rsid w:val="0073253D"/>
    <w:rsid w:val="007358DD"/>
    <w:rsid w:val="007365D1"/>
    <w:rsid w:val="00737106"/>
    <w:rsid w:val="007403BA"/>
    <w:rsid w:val="007403BB"/>
    <w:rsid w:val="007405EC"/>
    <w:rsid w:val="00741033"/>
    <w:rsid w:val="00742B3E"/>
    <w:rsid w:val="0074444D"/>
    <w:rsid w:val="0075251C"/>
    <w:rsid w:val="00752D44"/>
    <w:rsid w:val="00753E04"/>
    <w:rsid w:val="0075453F"/>
    <w:rsid w:val="007559BA"/>
    <w:rsid w:val="00760ED9"/>
    <w:rsid w:val="00764CE5"/>
    <w:rsid w:val="00766051"/>
    <w:rsid w:val="00770A16"/>
    <w:rsid w:val="00771F42"/>
    <w:rsid w:val="007736D7"/>
    <w:rsid w:val="0077468F"/>
    <w:rsid w:val="00775167"/>
    <w:rsid w:val="00775F28"/>
    <w:rsid w:val="007769CD"/>
    <w:rsid w:val="00776CC0"/>
    <w:rsid w:val="00777636"/>
    <w:rsid w:val="0078043B"/>
    <w:rsid w:val="00780EC1"/>
    <w:rsid w:val="00781411"/>
    <w:rsid w:val="007817D2"/>
    <w:rsid w:val="00782DA0"/>
    <w:rsid w:val="00785409"/>
    <w:rsid w:val="00785CD9"/>
    <w:rsid w:val="00785DCE"/>
    <w:rsid w:val="00786A6C"/>
    <w:rsid w:val="00786ED4"/>
    <w:rsid w:val="00790094"/>
    <w:rsid w:val="0079053A"/>
    <w:rsid w:val="00793291"/>
    <w:rsid w:val="00793E8C"/>
    <w:rsid w:val="00796401"/>
    <w:rsid w:val="00796AD5"/>
    <w:rsid w:val="00797537"/>
    <w:rsid w:val="0079795A"/>
    <w:rsid w:val="007A4A3C"/>
    <w:rsid w:val="007A75C5"/>
    <w:rsid w:val="007B4166"/>
    <w:rsid w:val="007B77A1"/>
    <w:rsid w:val="007C1212"/>
    <w:rsid w:val="007C1A77"/>
    <w:rsid w:val="007C1C5D"/>
    <w:rsid w:val="007C35C7"/>
    <w:rsid w:val="007C3973"/>
    <w:rsid w:val="007C7988"/>
    <w:rsid w:val="007C79C7"/>
    <w:rsid w:val="007D114D"/>
    <w:rsid w:val="007D1C29"/>
    <w:rsid w:val="007D3BD7"/>
    <w:rsid w:val="007D567B"/>
    <w:rsid w:val="007D587E"/>
    <w:rsid w:val="007D62DF"/>
    <w:rsid w:val="007D666C"/>
    <w:rsid w:val="007D68F1"/>
    <w:rsid w:val="007D6D50"/>
    <w:rsid w:val="007D7E98"/>
    <w:rsid w:val="007E045A"/>
    <w:rsid w:val="007E1F7C"/>
    <w:rsid w:val="007E29BF"/>
    <w:rsid w:val="007E3A69"/>
    <w:rsid w:val="007E404B"/>
    <w:rsid w:val="007E67C9"/>
    <w:rsid w:val="007E7792"/>
    <w:rsid w:val="007E7C43"/>
    <w:rsid w:val="007E7EBD"/>
    <w:rsid w:val="007F00E5"/>
    <w:rsid w:val="00801D39"/>
    <w:rsid w:val="00801DAB"/>
    <w:rsid w:val="0080299D"/>
    <w:rsid w:val="00803060"/>
    <w:rsid w:val="008038D7"/>
    <w:rsid w:val="00803BFC"/>
    <w:rsid w:val="00804355"/>
    <w:rsid w:val="00804917"/>
    <w:rsid w:val="00804CCA"/>
    <w:rsid w:val="008062F4"/>
    <w:rsid w:val="00806B92"/>
    <w:rsid w:val="00810C32"/>
    <w:rsid w:val="008142C5"/>
    <w:rsid w:val="00814454"/>
    <w:rsid w:val="008165A0"/>
    <w:rsid w:val="00816F61"/>
    <w:rsid w:val="00820BB5"/>
    <w:rsid w:val="00824883"/>
    <w:rsid w:val="00825FF2"/>
    <w:rsid w:val="00827362"/>
    <w:rsid w:val="00831597"/>
    <w:rsid w:val="00834EE7"/>
    <w:rsid w:val="00835119"/>
    <w:rsid w:val="00835BB6"/>
    <w:rsid w:val="00835C78"/>
    <w:rsid w:val="00836EF1"/>
    <w:rsid w:val="00840921"/>
    <w:rsid w:val="00841361"/>
    <w:rsid w:val="00843075"/>
    <w:rsid w:val="0084517C"/>
    <w:rsid w:val="008476E9"/>
    <w:rsid w:val="00850326"/>
    <w:rsid w:val="00854971"/>
    <w:rsid w:val="00856484"/>
    <w:rsid w:val="0085708B"/>
    <w:rsid w:val="00857F31"/>
    <w:rsid w:val="00862197"/>
    <w:rsid w:val="00862B18"/>
    <w:rsid w:val="008670AC"/>
    <w:rsid w:val="008703FE"/>
    <w:rsid w:val="008705DD"/>
    <w:rsid w:val="00871AE4"/>
    <w:rsid w:val="00873178"/>
    <w:rsid w:val="00874730"/>
    <w:rsid w:val="00874B18"/>
    <w:rsid w:val="0087547B"/>
    <w:rsid w:val="008754C6"/>
    <w:rsid w:val="008756A3"/>
    <w:rsid w:val="00875AB3"/>
    <w:rsid w:val="0087621E"/>
    <w:rsid w:val="00880265"/>
    <w:rsid w:val="00881630"/>
    <w:rsid w:val="00881C40"/>
    <w:rsid w:val="00882817"/>
    <w:rsid w:val="00886CAF"/>
    <w:rsid w:val="008922F7"/>
    <w:rsid w:val="00892E12"/>
    <w:rsid w:val="00896329"/>
    <w:rsid w:val="00896C04"/>
    <w:rsid w:val="00897460"/>
    <w:rsid w:val="008A321D"/>
    <w:rsid w:val="008A330C"/>
    <w:rsid w:val="008A43FA"/>
    <w:rsid w:val="008A556E"/>
    <w:rsid w:val="008A5957"/>
    <w:rsid w:val="008A6D03"/>
    <w:rsid w:val="008B05E4"/>
    <w:rsid w:val="008B1881"/>
    <w:rsid w:val="008B4C9B"/>
    <w:rsid w:val="008B5164"/>
    <w:rsid w:val="008B5F68"/>
    <w:rsid w:val="008B623D"/>
    <w:rsid w:val="008B6AA7"/>
    <w:rsid w:val="008B6F05"/>
    <w:rsid w:val="008C0553"/>
    <w:rsid w:val="008C0ADD"/>
    <w:rsid w:val="008C21B3"/>
    <w:rsid w:val="008C3850"/>
    <w:rsid w:val="008C3C55"/>
    <w:rsid w:val="008C4788"/>
    <w:rsid w:val="008C6D95"/>
    <w:rsid w:val="008C736A"/>
    <w:rsid w:val="008D01E5"/>
    <w:rsid w:val="008D0639"/>
    <w:rsid w:val="008D0644"/>
    <w:rsid w:val="008D06E6"/>
    <w:rsid w:val="008D2914"/>
    <w:rsid w:val="008D2945"/>
    <w:rsid w:val="008D3B4A"/>
    <w:rsid w:val="008D3FFB"/>
    <w:rsid w:val="008D5154"/>
    <w:rsid w:val="008D5770"/>
    <w:rsid w:val="008D6694"/>
    <w:rsid w:val="008E0C9E"/>
    <w:rsid w:val="008E1EB6"/>
    <w:rsid w:val="008E498D"/>
    <w:rsid w:val="008E4CA7"/>
    <w:rsid w:val="008E771A"/>
    <w:rsid w:val="008F633C"/>
    <w:rsid w:val="008F7900"/>
    <w:rsid w:val="00902856"/>
    <w:rsid w:val="00902E0F"/>
    <w:rsid w:val="009036AB"/>
    <w:rsid w:val="0090576E"/>
    <w:rsid w:val="00905E14"/>
    <w:rsid w:val="00906C43"/>
    <w:rsid w:val="00906EE6"/>
    <w:rsid w:val="009102C4"/>
    <w:rsid w:val="009105E0"/>
    <w:rsid w:val="00910A42"/>
    <w:rsid w:val="00911BB6"/>
    <w:rsid w:val="00911D12"/>
    <w:rsid w:val="00915A6D"/>
    <w:rsid w:val="00915CD1"/>
    <w:rsid w:val="00916A87"/>
    <w:rsid w:val="00917556"/>
    <w:rsid w:val="0092375F"/>
    <w:rsid w:val="009241CD"/>
    <w:rsid w:val="00924455"/>
    <w:rsid w:val="00924D55"/>
    <w:rsid w:val="009254E3"/>
    <w:rsid w:val="00930365"/>
    <w:rsid w:val="00932F09"/>
    <w:rsid w:val="00933EDC"/>
    <w:rsid w:val="00941178"/>
    <w:rsid w:val="00941BD1"/>
    <w:rsid w:val="00945FD3"/>
    <w:rsid w:val="00947A3F"/>
    <w:rsid w:val="00951CFB"/>
    <w:rsid w:val="009529CB"/>
    <w:rsid w:val="009550A8"/>
    <w:rsid w:val="0095581D"/>
    <w:rsid w:val="00955A59"/>
    <w:rsid w:val="009601D7"/>
    <w:rsid w:val="00960468"/>
    <w:rsid w:val="00960B83"/>
    <w:rsid w:val="00964813"/>
    <w:rsid w:val="00964C6B"/>
    <w:rsid w:val="0096544C"/>
    <w:rsid w:val="00966249"/>
    <w:rsid w:val="0096753A"/>
    <w:rsid w:val="0097010C"/>
    <w:rsid w:val="00970CE4"/>
    <w:rsid w:val="00972D32"/>
    <w:rsid w:val="009747FA"/>
    <w:rsid w:val="0097689D"/>
    <w:rsid w:val="00976D75"/>
    <w:rsid w:val="00977B44"/>
    <w:rsid w:val="009802F2"/>
    <w:rsid w:val="0098214F"/>
    <w:rsid w:val="00983114"/>
    <w:rsid w:val="00983857"/>
    <w:rsid w:val="0098437C"/>
    <w:rsid w:val="00990C37"/>
    <w:rsid w:val="00990DBC"/>
    <w:rsid w:val="00990EF2"/>
    <w:rsid w:val="00992D22"/>
    <w:rsid w:val="00996093"/>
    <w:rsid w:val="00996357"/>
    <w:rsid w:val="009A051B"/>
    <w:rsid w:val="009A1046"/>
    <w:rsid w:val="009A497E"/>
    <w:rsid w:val="009A7444"/>
    <w:rsid w:val="009B0323"/>
    <w:rsid w:val="009B053C"/>
    <w:rsid w:val="009B105F"/>
    <w:rsid w:val="009B12AF"/>
    <w:rsid w:val="009B19DC"/>
    <w:rsid w:val="009B266D"/>
    <w:rsid w:val="009B375F"/>
    <w:rsid w:val="009B4396"/>
    <w:rsid w:val="009B6000"/>
    <w:rsid w:val="009B7456"/>
    <w:rsid w:val="009B7561"/>
    <w:rsid w:val="009C026D"/>
    <w:rsid w:val="009C12D6"/>
    <w:rsid w:val="009C54A5"/>
    <w:rsid w:val="009C699E"/>
    <w:rsid w:val="009C6EFF"/>
    <w:rsid w:val="009C7984"/>
    <w:rsid w:val="009D08D4"/>
    <w:rsid w:val="009D17EA"/>
    <w:rsid w:val="009D1B9C"/>
    <w:rsid w:val="009D24B3"/>
    <w:rsid w:val="009D3B91"/>
    <w:rsid w:val="009D5042"/>
    <w:rsid w:val="009D5681"/>
    <w:rsid w:val="009D5E7B"/>
    <w:rsid w:val="009D7AF1"/>
    <w:rsid w:val="009E1ADB"/>
    <w:rsid w:val="009E62D7"/>
    <w:rsid w:val="009E73C9"/>
    <w:rsid w:val="009E7E0A"/>
    <w:rsid w:val="009F2929"/>
    <w:rsid w:val="009F5A29"/>
    <w:rsid w:val="009F6217"/>
    <w:rsid w:val="009F6BD4"/>
    <w:rsid w:val="009F7E76"/>
    <w:rsid w:val="00A01F2B"/>
    <w:rsid w:val="00A04767"/>
    <w:rsid w:val="00A04CCF"/>
    <w:rsid w:val="00A04E12"/>
    <w:rsid w:val="00A05A8C"/>
    <w:rsid w:val="00A06B51"/>
    <w:rsid w:val="00A06DEE"/>
    <w:rsid w:val="00A0784F"/>
    <w:rsid w:val="00A078A8"/>
    <w:rsid w:val="00A10A52"/>
    <w:rsid w:val="00A1182A"/>
    <w:rsid w:val="00A14F75"/>
    <w:rsid w:val="00A15136"/>
    <w:rsid w:val="00A15DC4"/>
    <w:rsid w:val="00A16B94"/>
    <w:rsid w:val="00A20205"/>
    <w:rsid w:val="00A20D5A"/>
    <w:rsid w:val="00A22045"/>
    <w:rsid w:val="00A24BED"/>
    <w:rsid w:val="00A30619"/>
    <w:rsid w:val="00A30B31"/>
    <w:rsid w:val="00A32343"/>
    <w:rsid w:val="00A337C5"/>
    <w:rsid w:val="00A341F3"/>
    <w:rsid w:val="00A34408"/>
    <w:rsid w:val="00A366A9"/>
    <w:rsid w:val="00A40FBE"/>
    <w:rsid w:val="00A4633D"/>
    <w:rsid w:val="00A465E8"/>
    <w:rsid w:val="00A46C47"/>
    <w:rsid w:val="00A50E24"/>
    <w:rsid w:val="00A51806"/>
    <w:rsid w:val="00A54763"/>
    <w:rsid w:val="00A57D3B"/>
    <w:rsid w:val="00A62239"/>
    <w:rsid w:val="00A623B5"/>
    <w:rsid w:val="00A630F4"/>
    <w:rsid w:val="00A63C17"/>
    <w:rsid w:val="00A63C25"/>
    <w:rsid w:val="00A65B51"/>
    <w:rsid w:val="00A703CD"/>
    <w:rsid w:val="00A73774"/>
    <w:rsid w:val="00A737BF"/>
    <w:rsid w:val="00A73CBD"/>
    <w:rsid w:val="00A761BB"/>
    <w:rsid w:val="00A76392"/>
    <w:rsid w:val="00A83C50"/>
    <w:rsid w:val="00A86F4D"/>
    <w:rsid w:val="00A91E8F"/>
    <w:rsid w:val="00A9487E"/>
    <w:rsid w:val="00A94F1F"/>
    <w:rsid w:val="00A95530"/>
    <w:rsid w:val="00A9566D"/>
    <w:rsid w:val="00A956B5"/>
    <w:rsid w:val="00A96378"/>
    <w:rsid w:val="00AA030D"/>
    <w:rsid w:val="00AA10D4"/>
    <w:rsid w:val="00AA1C55"/>
    <w:rsid w:val="00AA1CCC"/>
    <w:rsid w:val="00AA418C"/>
    <w:rsid w:val="00AA45C3"/>
    <w:rsid w:val="00AA487C"/>
    <w:rsid w:val="00AA551E"/>
    <w:rsid w:val="00AA565B"/>
    <w:rsid w:val="00AB05E0"/>
    <w:rsid w:val="00AB3935"/>
    <w:rsid w:val="00AB46B3"/>
    <w:rsid w:val="00AB4E5F"/>
    <w:rsid w:val="00AB51BE"/>
    <w:rsid w:val="00AB5477"/>
    <w:rsid w:val="00AB5B79"/>
    <w:rsid w:val="00AB7D88"/>
    <w:rsid w:val="00AC3373"/>
    <w:rsid w:val="00AC3DC8"/>
    <w:rsid w:val="00AC5E3C"/>
    <w:rsid w:val="00AC6990"/>
    <w:rsid w:val="00AD0442"/>
    <w:rsid w:val="00AD42EA"/>
    <w:rsid w:val="00AD6365"/>
    <w:rsid w:val="00AE59EB"/>
    <w:rsid w:val="00AE5BBB"/>
    <w:rsid w:val="00AF0598"/>
    <w:rsid w:val="00AF5E27"/>
    <w:rsid w:val="00AF6217"/>
    <w:rsid w:val="00AF7F9F"/>
    <w:rsid w:val="00B00D12"/>
    <w:rsid w:val="00B03FBF"/>
    <w:rsid w:val="00B03FDE"/>
    <w:rsid w:val="00B05257"/>
    <w:rsid w:val="00B05A7A"/>
    <w:rsid w:val="00B07214"/>
    <w:rsid w:val="00B10B7C"/>
    <w:rsid w:val="00B135A1"/>
    <w:rsid w:val="00B16056"/>
    <w:rsid w:val="00B167F5"/>
    <w:rsid w:val="00B206F4"/>
    <w:rsid w:val="00B21770"/>
    <w:rsid w:val="00B23EED"/>
    <w:rsid w:val="00B32F5A"/>
    <w:rsid w:val="00B37163"/>
    <w:rsid w:val="00B379F1"/>
    <w:rsid w:val="00B37DC1"/>
    <w:rsid w:val="00B40B64"/>
    <w:rsid w:val="00B41D6F"/>
    <w:rsid w:val="00B44785"/>
    <w:rsid w:val="00B45016"/>
    <w:rsid w:val="00B46545"/>
    <w:rsid w:val="00B52361"/>
    <w:rsid w:val="00B53D41"/>
    <w:rsid w:val="00B53F58"/>
    <w:rsid w:val="00B5430B"/>
    <w:rsid w:val="00B55561"/>
    <w:rsid w:val="00B57C24"/>
    <w:rsid w:val="00B60D48"/>
    <w:rsid w:val="00B618B8"/>
    <w:rsid w:val="00B6574C"/>
    <w:rsid w:val="00B66403"/>
    <w:rsid w:val="00B67BCF"/>
    <w:rsid w:val="00B70871"/>
    <w:rsid w:val="00B74753"/>
    <w:rsid w:val="00B7532A"/>
    <w:rsid w:val="00B7600A"/>
    <w:rsid w:val="00B7756B"/>
    <w:rsid w:val="00B77C63"/>
    <w:rsid w:val="00B82CB7"/>
    <w:rsid w:val="00B83831"/>
    <w:rsid w:val="00B84A9A"/>
    <w:rsid w:val="00B85801"/>
    <w:rsid w:val="00B87C1F"/>
    <w:rsid w:val="00B9433F"/>
    <w:rsid w:val="00B97630"/>
    <w:rsid w:val="00BA191E"/>
    <w:rsid w:val="00BA2AE3"/>
    <w:rsid w:val="00BA6477"/>
    <w:rsid w:val="00BA7697"/>
    <w:rsid w:val="00BB1600"/>
    <w:rsid w:val="00BB414F"/>
    <w:rsid w:val="00BB61CA"/>
    <w:rsid w:val="00BC29DC"/>
    <w:rsid w:val="00BC2CB7"/>
    <w:rsid w:val="00BC5072"/>
    <w:rsid w:val="00BC623A"/>
    <w:rsid w:val="00BC663B"/>
    <w:rsid w:val="00BD0BDF"/>
    <w:rsid w:val="00BD11AC"/>
    <w:rsid w:val="00BD1EC5"/>
    <w:rsid w:val="00BD272B"/>
    <w:rsid w:val="00BD39E4"/>
    <w:rsid w:val="00BD62A4"/>
    <w:rsid w:val="00BD6809"/>
    <w:rsid w:val="00BE09EB"/>
    <w:rsid w:val="00BE16C7"/>
    <w:rsid w:val="00BE2CE4"/>
    <w:rsid w:val="00BE5318"/>
    <w:rsid w:val="00BE6E9D"/>
    <w:rsid w:val="00BF086D"/>
    <w:rsid w:val="00BF3324"/>
    <w:rsid w:val="00BF4F29"/>
    <w:rsid w:val="00C0090D"/>
    <w:rsid w:val="00C01333"/>
    <w:rsid w:val="00C01913"/>
    <w:rsid w:val="00C02720"/>
    <w:rsid w:val="00C02EC7"/>
    <w:rsid w:val="00C039A3"/>
    <w:rsid w:val="00C0546A"/>
    <w:rsid w:val="00C109C4"/>
    <w:rsid w:val="00C10F44"/>
    <w:rsid w:val="00C11C5E"/>
    <w:rsid w:val="00C142A8"/>
    <w:rsid w:val="00C200BB"/>
    <w:rsid w:val="00C2223B"/>
    <w:rsid w:val="00C228DB"/>
    <w:rsid w:val="00C22AB2"/>
    <w:rsid w:val="00C22E2D"/>
    <w:rsid w:val="00C255DE"/>
    <w:rsid w:val="00C271B2"/>
    <w:rsid w:val="00C30176"/>
    <w:rsid w:val="00C30C1A"/>
    <w:rsid w:val="00C315A5"/>
    <w:rsid w:val="00C37980"/>
    <w:rsid w:val="00C37DA8"/>
    <w:rsid w:val="00C40D05"/>
    <w:rsid w:val="00C41FE3"/>
    <w:rsid w:val="00C421F7"/>
    <w:rsid w:val="00C4297A"/>
    <w:rsid w:val="00C452BE"/>
    <w:rsid w:val="00C457E5"/>
    <w:rsid w:val="00C45FD4"/>
    <w:rsid w:val="00C46B44"/>
    <w:rsid w:val="00C47354"/>
    <w:rsid w:val="00C5105D"/>
    <w:rsid w:val="00C51216"/>
    <w:rsid w:val="00C51B78"/>
    <w:rsid w:val="00C525CB"/>
    <w:rsid w:val="00C527E5"/>
    <w:rsid w:val="00C553ED"/>
    <w:rsid w:val="00C5692B"/>
    <w:rsid w:val="00C5710C"/>
    <w:rsid w:val="00C60ADA"/>
    <w:rsid w:val="00C65298"/>
    <w:rsid w:val="00C7111C"/>
    <w:rsid w:val="00C73813"/>
    <w:rsid w:val="00C7595A"/>
    <w:rsid w:val="00C862F4"/>
    <w:rsid w:val="00C9296C"/>
    <w:rsid w:val="00C94672"/>
    <w:rsid w:val="00C976D0"/>
    <w:rsid w:val="00C978FD"/>
    <w:rsid w:val="00CA0DDB"/>
    <w:rsid w:val="00CA38AD"/>
    <w:rsid w:val="00CA4604"/>
    <w:rsid w:val="00CA4F88"/>
    <w:rsid w:val="00CA65CE"/>
    <w:rsid w:val="00CB0572"/>
    <w:rsid w:val="00CB0C60"/>
    <w:rsid w:val="00CB1812"/>
    <w:rsid w:val="00CB314B"/>
    <w:rsid w:val="00CB3349"/>
    <w:rsid w:val="00CB5E6B"/>
    <w:rsid w:val="00CC0C0C"/>
    <w:rsid w:val="00CC2990"/>
    <w:rsid w:val="00CC4295"/>
    <w:rsid w:val="00CD01AC"/>
    <w:rsid w:val="00CD0E59"/>
    <w:rsid w:val="00CD1529"/>
    <w:rsid w:val="00CD3910"/>
    <w:rsid w:val="00CD486E"/>
    <w:rsid w:val="00CD6CD7"/>
    <w:rsid w:val="00CE1979"/>
    <w:rsid w:val="00CE358F"/>
    <w:rsid w:val="00CE46FB"/>
    <w:rsid w:val="00CE555E"/>
    <w:rsid w:val="00CF0767"/>
    <w:rsid w:val="00CF11D7"/>
    <w:rsid w:val="00CF171E"/>
    <w:rsid w:val="00CF17EF"/>
    <w:rsid w:val="00CF2429"/>
    <w:rsid w:val="00CF2F95"/>
    <w:rsid w:val="00CF6125"/>
    <w:rsid w:val="00CF6F3B"/>
    <w:rsid w:val="00CF7638"/>
    <w:rsid w:val="00D01C1C"/>
    <w:rsid w:val="00D02E6A"/>
    <w:rsid w:val="00D068AA"/>
    <w:rsid w:val="00D10A14"/>
    <w:rsid w:val="00D13158"/>
    <w:rsid w:val="00D16572"/>
    <w:rsid w:val="00D2247B"/>
    <w:rsid w:val="00D24608"/>
    <w:rsid w:val="00D249B6"/>
    <w:rsid w:val="00D316EA"/>
    <w:rsid w:val="00D31C6F"/>
    <w:rsid w:val="00D323E5"/>
    <w:rsid w:val="00D36442"/>
    <w:rsid w:val="00D37496"/>
    <w:rsid w:val="00D40ABC"/>
    <w:rsid w:val="00D427EA"/>
    <w:rsid w:val="00D431BF"/>
    <w:rsid w:val="00D452F1"/>
    <w:rsid w:val="00D45651"/>
    <w:rsid w:val="00D4617A"/>
    <w:rsid w:val="00D47C26"/>
    <w:rsid w:val="00D50491"/>
    <w:rsid w:val="00D506A6"/>
    <w:rsid w:val="00D51D07"/>
    <w:rsid w:val="00D53F25"/>
    <w:rsid w:val="00D5493D"/>
    <w:rsid w:val="00D54BE9"/>
    <w:rsid w:val="00D57DF2"/>
    <w:rsid w:val="00D60140"/>
    <w:rsid w:val="00D649BB"/>
    <w:rsid w:val="00D65460"/>
    <w:rsid w:val="00D66BF9"/>
    <w:rsid w:val="00D66E39"/>
    <w:rsid w:val="00D67B69"/>
    <w:rsid w:val="00D706F7"/>
    <w:rsid w:val="00D70B6B"/>
    <w:rsid w:val="00D77520"/>
    <w:rsid w:val="00D77AEB"/>
    <w:rsid w:val="00D806BF"/>
    <w:rsid w:val="00D81FDB"/>
    <w:rsid w:val="00D8481B"/>
    <w:rsid w:val="00D85C41"/>
    <w:rsid w:val="00D87C37"/>
    <w:rsid w:val="00D9797B"/>
    <w:rsid w:val="00DA1856"/>
    <w:rsid w:val="00DA20AF"/>
    <w:rsid w:val="00DA4134"/>
    <w:rsid w:val="00DA5650"/>
    <w:rsid w:val="00DA57C7"/>
    <w:rsid w:val="00DA5DC2"/>
    <w:rsid w:val="00DA5E17"/>
    <w:rsid w:val="00DA67F7"/>
    <w:rsid w:val="00DA74DB"/>
    <w:rsid w:val="00DA7DE1"/>
    <w:rsid w:val="00DB0083"/>
    <w:rsid w:val="00DB0246"/>
    <w:rsid w:val="00DB0C7C"/>
    <w:rsid w:val="00DB3CA1"/>
    <w:rsid w:val="00DB5A38"/>
    <w:rsid w:val="00DB70C8"/>
    <w:rsid w:val="00DB7ED0"/>
    <w:rsid w:val="00DC01F6"/>
    <w:rsid w:val="00DC2163"/>
    <w:rsid w:val="00DC2927"/>
    <w:rsid w:val="00DC3170"/>
    <w:rsid w:val="00DC5739"/>
    <w:rsid w:val="00DD05AD"/>
    <w:rsid w:val="00DD273B"/>
    <w:rsid w:val="00DD36FD"/>
    <w:rsid w:val="00DD4EDF"/>
    <w:rsid w:val="00DD7494"/>
    <w:rsid w:val="00DE12FB"/>
    <w:rsid w:val="00DE1B1B"/>
    <w:rsid w:val="00DE61FC"/>
    <w:rsid w:val="00DE7532"/>
    <w:rsid w:val="00DF3D5C"/>
    <w:rsid w:val="00DF7EA1"/>
    <w:rsid w:val="00E02439"/>
    <w:rsid w:val="00E028B9"/>
    <w:rsid w:val="00E05773"/>
    <w:rsid w:val="00E05B70"/>
    <w:rsid w:val="00E12541"/>
    <w:rsid w:val="00E125AB"/>
    <w:rsid w:val="00E15D07"/>
    <w:rsid w:val="00E211CB"/>
    <w:rsid w:val="00E2190D"/>
    <w:rsid w:val="00E22FD0"/>
    <w:rsid w:val="00E24E92"/>
    <w:rsid w:val="00E260EC"/>
    <w:rsid w:val="00E26D1D"/>
    <w:rsid w:val="00E26D7E"/>
    <w:rsid w:val="00E30C01"/>
    <w:rsid w:val="00E30E0F"/>
    <w:rsid w:val="00E32548"/>
    <w:rsid w:val="00E3329B"/>
    <w:rsid w:val="00E33694"/>
    <w:rsid w:val="00E35E04"/>
    <w:rsid w:val="00E43D57"/>
    <w:rsid w:val="00E4588B"/>
    <w:rsid w:val="00E47EA2"/>
    <w:rsid w:val="00E51845"/>
    <w:rsid w:val="00E5290F"/>
    <w:rsid w:val="00E547F8"/>
    <w:rsid w:val="00E62761"/>
    <w:rsid w:val="00E6654C"/>
    <w:rsid w:val="00E66BC2"/>
    <w:rsid w:val="00E67A09"/>
    <w:rsid w:val="00E72B9D"/>
    <w:rsid w:val="00E7346F"/>
    <w:rsid w:val="00E73810"/>
    <w:rsid w:val="00E74313"/>
    <w:rsid w:val="00E749B4"/>
    <w:rsid w:val="00E76001"/>
    <w:rsid w:val="00E76EE1"/>
    <w:rsid w:val="00E7784D"/>
    <w:rsid w:val="00E77D33"/>
    <w:rsid w:val="00E80131"/>
    <w:rsid w:val="00E80EA2"/>
    <w:rsid w:val="00E8158C"/>
    <w:rsid w:val="00E8303D"/>
    <w:rsid w:val="00E856AA"/>
    <w:rsid w:val="00E85EB7"/>
    <w:rsid w:val="00E861BD"/>
    <w:rsid w:val="00E9029F"/>
    <w:rsid w:val="00E9088F"/>
    <w:rsid w:val="00E90B31"/>
    <w:rsid w:val="00E9129A"/>
    <w:rsid w:val="00E92997"/>
    <w:rsid w:val="00EA1637"/>
    <w:rsid w:val="00EA2C4B"/>
    <w:rsid w:val="00EA3276"/>
    <w:rsid w:val="00EA3528"/>
    <w:rsid w:val="00EA58BD"/>
    <w:rsid w:val="00EA66C7"/>
    <w:rsid w:val="00EA6739"/>
    <w:rsid w:val="00EA7D22"/>
    <w:rsid w:val="00EB033E"/>
    <w:rsid w:val="00EC08C2"/>
    <w:rsid w:val="00EC279F"/>
    <w:rsid w:val="00EC5C82"/>
    <w:rsid w:val="00EC5CBE"/>
    <w:rsid w:val="00EC77A0"/>
    <w:rsid w:val="00EC788F"/>
    <w:rsid w:val="00ED1A81"/>
    <w:rsid w:val="00ED1CE2"/>
    <w:rsid w:val="00ED1F58"/>
    <w:rsid w:val="00ED2491"/>
    <w:rsid w:val="00ED2895"/>
    <w:rsid w:val="00ED3607"/>
    <w:rsid w:val="00ED441B"/>
    <w:rsid w:val="00ED4BC5"/>
    <w:rsid w:val="00EE0CA0"/>
    <w:rsid w:val="00EE240A"/>
    <w:rsid w:val="00EE25E8"/>
    <w:rsid w:val="00EE2BD3"/>
    <w:rsid w:val="00EE34FA"/>
    <w:rsid w:val="00EE5D4F"/>
    <w:rsid w:val="00EF0D05"/>
    <w:rsid w:val="00EF1B10"/>
    <w:rsid w:val="00EF3D19"/>
    <w:rsid w:val="00F0102C"/>
    <w:rsid w:val="00F02533"/>
    <w:rsid w:val="00F02F04"/>
    <w:rsid w:val="00F04323"/>
    <w:rsid w:val="00F047A4"/>
    <w:rsid w:val="00F05786"/>
    <w:rsid w:val="00F06D28"/>
    <w:rsid w:val="00F07B34"/>
    <w:rsid w:val="00F07B89"/>
    <w:rsid w:val="00F1019F"/>
    <w:rsid w:val="00F13A4D"/>
    <w:rsid w:val="00F14524"/>
    <w:rsid w:val="00F17F59"/>
    <w:rsid w:val="00F22530"/>
    <w:rsid w:val="00F23C66"/>
    <w:rsid w:val="00F24DD1"/>
    <w:rsid w:val="00F2544C"/>
    <w:rsid w:val="00F254C0"/>
    <w:rsid w:val="00F25789"/>
    <w:rsid w:val="00F26968"/>
    <w:rsid w:val="00F27D25"/>
    <w:rsid w:val="00F27D2D"/>
    <w:rsid w:val="00F32BE6"/>
    <w:rsid w:val="00F346E2"/>
    <w:rsid w:val="00F34B25"/>
    <w:rsid w:val="00F36A6F"/>
    <w:rsid w:val="00F372F0"/>
    <w:rsid w:val="00F412F4"/>
    <w:rsid w:val="00F416C9"/>
    <w:rsid w:val="00F435ED"/>
    <w:rsid w:val="00F51131"/>
    <w:rsid w:val="00F5145E"/>
    <w:rsid w:val="00F547A4"/>
    <w:rsid w:val="00F56A08"/>
    <w:rsid w:val="00F61826"/>
    <w:rsid w:val="00F62DE9"/>
    <w:rsid w:val="00F62EEE"/>
    <w:rsid w:val="00F63B4E"/>
    <w:rsid w:val="00F64939"/>
    <w:rsid w:val="00F6572F"/>
    <w:rsid w:val="00F66AD3"/>
    <w:rsid w:val="00F67D3E"/>
    <w:rsid w:val="00F701A2"/>
    <w:rsid w:val="00F70EAA"/>
    <w:rsid w:val="00F72675"/>
    <w:rsid w:val="00F72E63"/>
    <w:rsid w:val="00F73CB2"/>
    <w:rsid w:val="00F7779B"/>
    <w:rsid w:val="00F803A4"/>
    <w:rsid w:val="00F82DB4"/>
    <w:rsid w:val="00F867A3"/>
    <w:rsid w:val="00F8694C"/>
    <w:rsid w:val="00F90ED7"/>
    <w:rsid w:val="00F9115C"/>
    <w:rsid w:val="00F94ED8"/>
    <w:rsid w:val="00F95562"/>
    <w:rsid w:val="00F95E4E"/>
    <w:rsid w:val="00F965DD"/>
    <w:rsid w:val="00F96734"/>
    <w:rsid w:val="00F96A95"/>
    <w:rsid w:val="00FA047F"/>
    <w:rsid w:val="00FA168D"/>
    <w:rsid w:val="00FA194B"/>
    <w:rsid w:val="00FA639E"/>
    <w:rsid w:val="00FA6B65"/>
    <w:rsid w:val="00FA7F96"/>
    <w:rsid w:val="00FB11AC"/>
    <w:rsid w:val="00FB4715"/>
    <w:rsid w:val="00FB5402"/>
    <w:rsid w:val="00FB674A"/>
    <w:rsid w:val="00FB6D99"/>
    <w:rsid w:val="00FB70F3"/>
    <w:rsid w:val="00FC1AD8"/>
    <w:rsid w:val="00FC42E1"/>
    <w:rsid w:val="00FC5831"/>
    <w:rsid w:val="00FD0D54"/>
    <w:rsid w:val="00FD20AA"/>
    <w:rsid w:val="00FD2633"/>
    <w:rsid w:val="00FD2893"/>
    <w:rsid w:val="00FD4D6F"/>
    <w:rsid w:val="00FD6CC9"/>
    <w:rsid w:val="00FE0ABE"/>
    <w:rsid w:val="00FE2AD7"/>
    <w:rsid w:val="00FE2B51"/>
    <w:rsid w:val="00FE4A9A"/>
    <w:rsid w:val="00FE6978"/>
    <w:rsid w:val="00FF0E52"/>
    <w:rsid w:val="00FF1FC1"/>
    <w:rsid w:val="00FF3C54"/>
    <w:rsid w:val="00FF4D95"/>
    <w:rsid w:val="00FF4E08"/>
    <w:rsid w:val="00FF6AAA"/>
    <w:rsid w:val="00FF6B2B"/>
    <w:rsid w:val="00FF760F"/>
    <w:rsid w:val="00FF7F13"/>
    <w:rsid w:val="03DC33D0"/>
    <w:rsid w:val="067D193A"/>
    <w:rsid w:val="0B57681E"/>
    <w:rsid w:val="18EB64EC"/>
    <w:rsid w:val="29740E56"/>
    <w:rsid w:val="2DAD5E97"/>
    <w:rsid w:val="2DCB55EF"/>
    <w:rsid w:val="303B7EEC"/>
    <w:rsid w:val="32EC147E"/>
    <w:rsid w:val="3EF1259E"/>
    <w:rsid w:val="41C20525"/>
    <w:rsid w:val="4C5530E5"/>
    <w:rsid w:val="4F774971"/>
    <w:rsid w:val="50130115"/>
    <w:rsid w:val="5C672A57"/>
    <w:rsid w:val="6A4E534E"/>
    <w:rsid w:val="6B0010B4"/>
    <w:rsid w:val="6B2036AC"/>
    <w:rsid w:val="6B47356F"/>
    <w:rsid w:val="7C7C6D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iPriority="0" w:semiHidden="0" w:name="footnote text"/>
    <w:lsdException w:qFormat="1" w:unhideWhenUsed="0" w:uiPriority="99" w:semiHidden="0" w:name="annotation text"/>
    <w:lsdException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iPriority="0" w:semiHidden="0" w:name="footnote reference"/>
    <w:lsdException w:qFormat="1" w:unhideWhenUsed="0" w:uiPriority="99" w:semiHidden="0" w:name="annotation reference"/>
    <w:lsdException w:uiPriority="0" w:name="line number"/>
    <w:lsdException w:qFormat="1"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Lines="50" w:afterLines="50" w:line="360" w:lineRule="auto"/>
      <w:ind w:firstLine="200" w:firstLineChars="200"/>
      <w:jc w:val="both"/>
    </w:pPr>
    <w:rPr>
      <w:rFonts w:ascii="Calibri" w:hAnsi="Calibri" w:eastAsia="宋体" w:cs="Times New Roman"/>
      <w:kern w:val="2"/>
      <w:sz w:val="24"/>
      <w:szCs w:val="22"/>
      <w:lang w:val="en-US" w:eastAsia="zh-CN" w:bidi="ar-SA"/>
    </w:rPr>
  </w:style>
  <w:style w:type="paragraph" w:styleId="2">
    <w:name w:val="heading 1"/>
    <w:basedOn w:val="1"/>
    <w:next w:val="1"/>
    <w:link w:val="70"/>
    <w:qFormat/>
    <w:uiPriority w:val="0"/>
    <w:pPr>
      <w:keepNext/>
      <w:keepLines/>
      <w:outlineLvl w:val="0"/>
    </w:pPr>
    <w:rPr>
      <w:b/>
      <w:bCs/>
      <w:kern w:val="44"/>
      <w:sz w:val="28"/>
      <w:szCs w:val="44"/>
    </w:rPr>
  </w:style>
  <w:style w:type="paragraph" w:styleId="3">
    <w:name w:val="heading 2"/>
    <w:basedOn w:val="1"/>
    <w:next w:val="1"/>
    <w:link w:val="60"/>
    <w:qFormat/>
    <w:uiPriority w:val="0"/>
    <w:pPr>
      <w:keepNext/>
      <w:keepLines/>
      <w:widowControl/>
      <w:spacing w:beforeLines="0" w:afterLines="0" w:line="413" w:lineRule="auto"/>
      <w:ind w:firstLine="0" w:firstLineChars="0"/>
      <w:jc w:val="left"/>
      <w:outlineLvl w:val="1"/>
    </w:pPr>
    <w:rPr>
      <w:rFonts w:ascii="Arial" w:hAnsi="Arial" w:eastAsia="黑体"/>
      <w:b/>
      <w:kern w:val="0"/>
      <w:sz w:val="32"/>
      <w:szCs w:val="20"/>
    </w:rPr>
  </w:style>
  <w:style w:type="paragraph" w:styleId="4">
    <w:name w:val="heading 3"/>
    <w:basedOn w:val="1"/>
    <w:next w:val="1"/>
    <w:link w:val="58"/>
    <w:qFormat/>
    <w:uiPriority w:val="0"/>
    <w:pPr>
      <w:keepNext/>
      <w:keepLines/>
      <w:spacing w:beforeLines="0" w:afterLines="0" w:line="416" w:lineRule="auto"/>
      <w:ind w:firstLine="0" w:firstLineChars="0"/>
      <w:outlineLvl w:val="2"/>
    </w:pPr>
    <w:rPr>
      <w:rFonts w:ascii="Times New Roman" w:hAnsi="Times New Roman"/>
      <w:b/>
      <w:bCs/>
      <w:sz w:val="28"/>
      <w:szCs w:val="32"/>
    </w:rPr>
  </w:style>
  <w:style w:type="paragraph" w:styleId="5">
    <w:name w:val="heading 4"/>
    <w:basedOn w:val="1"/>
    <w:next w:val="1"/>
    <w:link w:val="72"/>
    <w:qFormat/>
    <w:uiPriority w:val="0"/>
    <w:pPr>
      <w:keepNext/>
      <w:keepLines/>
      <w:spacing w:line="376" w:lineRule="auto"/>
      <w:outlineLvl w:val="3"/>
    </w:pPr>
    <w:rPr>
      <w:rFonts w:ascii="Cambria" w:hAnsi="Cambria"/>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0"/>
    <w:pPr>
      <w:ind w:left="2520" w:leftChars="1200"/>
    </w:pPr>
  </w:style>
  <w:style w:type="paragraph" w:styleId="7">
    <w:name w:val="Normal Indent"/>
    <w:basedOn w:val="1"/>
    <w:qFormat/>
    <w:uiPriority w:val="0"/>
    <w:pPr>
      <w:spacing w:beforeLines="0" w:afterLines="0" w:line="240" w:lineRule="auto"/>
      <w:ind w:firstLine="420" w:firstLineChars="0"/>
    </w:pPr>
    <w:rPr>
      <w:rFonts w:ascii="Times New Roman" w:hAnsi="Times New Roman"/>
      <w:sz w:val="21"/>
      <w:szCs w:val="20"/>
    </w:rPr>
  </w:style>
  <w:style w:type="paragraph" w:styleId="8">
    <w:name w:val="Document Map"/>
    <w:basedOn w:val="1"/>
    <w:link w:val="48"/>
    <w:semiHidden/>
    <w:qFormat/>
    <w:uiPriority w:val="0"/>
    <w:pPr>
      <w:shd w:val="clear" w:color="auto" w:fill="000080"/>
      <w:spacing w:beforeLines="0" w:afterLines="0" w:line="240" w:lineRule="auto"/>
      <w:ind w:firstLine="0" w:firstLineChars="0"/>
    </w:pPr>
    <w:rPr>
      <w:rFonts w:ascii="Times New Roman" w:hAnsi="Times New Roman"/>
      <w:sz w:val="21"/>
      <w:szCs w:val="24"/>
    </w:rPr>
  </w:style>
  <w:style w:type="paragraph" w:styleId="9">
    <w:name w:val="annotation text"/>
    <w:basedOn w:val="1"/>
    <w:link w:val="66"/>
    <w:qFormat/>
    <w:uiPriority w:val="99"/>
    <w:pPr>
      <w:spacing w:beforeLines="0" w:afterLines="0" w:line="240" w:lineRule="auto"/>
      <w:ind w:firstLine="0" w:firstLineChars="0"/>
      <w:jc w:val="left"/>
    </w:pPr>
    <w:rPr>
      <w:rFonts w:ascii="Times New Roman" w:hAnsi="Times New Roman"/>
      <w:sz w:val="21"/>
      <w:szCs w:val="24"/>
    </w:rPr>
  </w:style>
  <w:style w:type="paragraph" w:styleId="10">
    <w:name w:val="Body Text"/>
    <w:basedOn w:val="1"/>
    <w:link w:val="63"/>
    <w:qFormat/>
    <w:uiPriority w:val="0"/>
    <w:pPr>
      <w:spacing w:beforeLines="0" w:afterLines="0" w:line="240" w:lineRule="auto"/>
      <w:ind w:firstLine="0" w:firstLineChars="0"/>
    </w:pPr>
    <w:rPr>
      <w:rFonts w:ascii="Times New Roman" w:hAnsi="Times New Roman"/>
      <w:sz w:val="21"/>
      <w:szCs w:val="24"/>
    </w:rPr>
  </w:style>
  <w:style w:type="paragraph" w:styleId="11">
    <w:name w:val="Body Text Indent"/>
    <w:basedOn w:val="1"/>
    <w:link w:val="54"/>
    <w:qFormat/>
    <w:uiPriority w:val="0"/>
    <w:pPr>
      <w:spacing w:beforeLines="0" w:afterLines="0" w:line="240" w:lineRule="auto"/>
      <w:ind w:left="420" w:leftChars="200" w:firstLine="0" w:firstLineChars="0"/>
    </w:pPr>
    <w:rPr>
      <w:rFonts w:ascii="Times New Roman" w:hAnsi="Times New Roman"/>
      <w:sz w:val="21"/>
      <w:szCs w:val="24"/>
    </w:rPr>
  </w:style>
  <w:style w:type="paragraph" w:styleId="12">
    <w:name w:val="toc 5"/>
    <w:basedOn w:val="1"/>
    <w:next w:val="1"/>
    <w:unhideWhenUsed/>
    <w:qFormat/>
    <w:uiPriority w:val="0"/>
    <w:pPr>
      <w:ind w:left="1680" w:leftChars="800"/>
    </w:pPr>
  </w:style>
  <w:style w:type="paragraph" w:styleId="13">
    <w:name w:val="toc 3"/>
    <w:basedOn w:val="1"/>
    <w:next w:val="1"/>
    <w:unhideWhenUsed/>
    <w:qFormat/>
    <w:uiPriority w:val="0"/>
    <w:pPr>
      <w:ind w:left="840" w:leftChars="400"/>
    </w:pPr>
  </w:style>
  <w:style w:type="paragraph" w:styleId="14">
    <w:name w:val="Plain Text"/>
    <w:basedOn w:val="1"/>
    <w:link w:val="62"/>
    <w:qFormat/>
    <w:uiPriority w:val="0"/>
    <w:pPr>
      <w:spacing w:beforeLines="0" w:afterLines="0" w:line="240" w:lineRule="auto"/>
      <w:ind w:firstLine="0" w:firstLineChars="0"/>
    </w:pPr>
    <w:rPr>
      <w:rFonts w:ascii="宋体" w:hAnsi="Courier New"/>
      <w:sz w:val="21"/>
      <w:szCs w:val="21"/>
    </w:rPr>
  </w:style>
  <w:style w:type="paragraph" w:styleId="15">
    <w:name w:val="toc 8"/>
    <w:basedOn w:val="1"/>
    <w:next w:val="1"/>
    <w:unhideWhenUsed/>
    <w:qFormat/>
    <w:uiPriority w:val="0"/>
    <w:pPr>
      <w:ind w:left="2940" w:leftChars="1400"/>
    </w:pPr>
  </w:style>
  <w:style w:type="paragraph" w:styleId="16">
    <w:name w:val="Date"/>
    <w:basedOn w:val="1"/>
    <w:next w:val="1"/>
    <w:link w:val="69"/>
    <w:qFormat/>
    <w:uiPriority w:val="0"/>
    <w:pPr>
      <w:spacing w:beforeLines="0" w:afterLines="0" w:line="240" w:lineRule="auto"/>
      <w:ind w:left="100" w:leftChars="2500" w:firstLine="0" w:firstLineChars="0"/>
    </w:pPr>
    <w:rPr>
      <w:rFonts w:ascii="Times New Roman" w:hAnsi="Times New Roman"/>
      <w:sz w:val="21"/>
      <w:szCs w:val="24"/>
    </w:rPr>
  </w:style>
  <w:style w:type="paragraph" w:styleId="17">
    <w:name w:val="Body Text Indent 2"/>
    <w:basedOn w:val="1"/>
    <w:link w:val="56"/>
    <w:qFormat/>
    <w:uiPriority w:val="0"/>
    <w:pPr>
      <w:spacing w:beforeLines="0" w:afterLines="0" w:line="480" w:lineRule="auto"/>
      <w:ind w:left="420" w:leftChars="200" w:firstLine="0" w:firstLineChars="0"/>
    </w:pPr>
    <w:rPr>
      <w:rFonts w:ascii="Times New Roman" w:hAnsi="Times New Roman"/>
      <w:sz w:val="21"/>
      <w:szCs w:val="24"/>
    </w:rPr>
  </w:style>
  <w:style w:type="paragraph" w:styleId="18">
    <w:name w:val="endnote text"/>
    <w:basedOn w:val="1"/>
    <w:link w:val="49"/>
    <w:qFormat/>
    <w:uiPriority w:val="0"/>
    <w:pPr>
      <w:snapToGrid w:val="0"/>
      <w:spacing w:beforeLines="0" w:afterLines="0" w:line="240" w:lineRule="auto"/>
      <w:ind w:firstLine="0" w:firstLineChars="0"/>
      <w:jc w:val="left"/>
    </w:pPr>
    <w:rPr>
      <w:rFonts w:ascii="Times New Roman" w:hAnsi="Times New Roman"/>
      <w:sz w:val="21"/>
      <w:szCs w:val="24"/>
    </w:rPr>
  </w:style>
  <w:style w:type="paragraph" w:styleId="19">
    <w:name w:val="Balloon Text"/>
    <w:basedOn w:val="1"/>
    <w:link w:val="55"/>
    <w:unhideWhenUsed/>
    <w:qFormat/>
    <w:uiPriority w:val="99"/>
    <w:rPr>
      <w:rFonts w:ascii="Times New Roman" w:hAnsi="Times New Roman"/>
      <w:kern w:val="0"/>
      <w:sz w:val="18"/>
      <w:szCs w:val="18"/>
    </w:rPr>
  </w:style>
  <w:style w:type="paragraph" w:styleId="20">
    <w:name w:val="footer"/>
    <w:basedOn w:val="1"/>
    <w:link w:val="50"/>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21">
    <w:name w:val="header"/>
    <w:basedOn w:val="1"/>
    <w:link w:val="51"/>
    <w:unhideWhenUsed/>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22">
    <w:name w:val="toc 1"/>
    <w:basedOn w:val="1"/>
    <w:next w:val="1"/>
    <w:unhideWhenUsed/>
    <w:qFormat/>
    <w:uiPriority w:val="39"/>
  </w:style>
  <w:style w:type="paragraph" w:styleId="23">
    <w:name w:val="toc 4"/>
    <w:basedOn w:val="1"/>
    <w:next w:val="1"/>
    <w:unhideWhenUsed/>
    <w:qFormat/>
    <w:uiPriority w:val="0"/>
    <w:pPr>
      <w:ind w:left="1260" w:leftChars="600"/>
    </w:pPr>
  </w:style>
  <w:style w:type="paragraph" w:styleId="24">
    <w:name w:val="List"/>
    <w:basedOn w:val="1"/>
    <w:uiPriority w:val="0"/>
    <w:pPr>
      <w:spacing w:beforeLines="0" w:afterLines="0" w:line="240" w:lineRule="auto"/>
      <w:ind w:left="200" w:hanging="200" w:hangingChars="200"/>
    </w:pPr>
    <w:rPr>
      <w:rFonts w:ascii="Times New Roman" w:hAnsi="Times New Roman"/>
      <w:sz w:val="21"/>
      <w:szCs w:val="24"/>
    </w:rPr>
  </w:style>
  <w:style w:type="paragraph" w:styleId="25">
    <w:name w:val="footnote text"/>
    <w:basedOn w:val="1"/>
    <w:link w:val="71"/>
    <w:unhideWhenUsed/>
    <w:qFormat/>
    <w:uiPriority w:val="0"/>
    <w:pPr>
      <w:snapToGrid w:val="0"/>
      <w:spacing w:beforeLines="0" w:afterLines="0" w:line="240" w:lineRule="auto"/>
      <w:ind w:firstLine="0" w:firstLineChars="0"/>
      <w:jc w:val="left"/>
    </w:pPr>
    <w:rPr>
      <w:sz w:val="18"/>
      <w:szCs w:val="18"/>
    </w:rPr>
  </w:style>
  <w:style w:type="paragraph" w:styleId="26">
    <w:name w:val="toc 6"/>
    <w:basedOn w:val="1"/>
    <w:next w:val="1"/>
    <w:unhideWhenUsed/>
    <w:qFormat/>
    <w:uiPriority w:val="0"/>
    <w:pPr>
      <w:ind w:left="2100" w:leftChars="1000"/>
    </w:pPr>
  </w:style>
  <w:style w:type="paragraph" w:styleId="27">
    <w:name w:val="Body Text Indent 3"/>
    <w:basedOn w:val="1"/>
    <w:link w:val="57"/>
    <w:qFormat/>
    <w:uiPriority w:val="0"/>
    <w:pPr>
      <w:spacing w:beforeLines="0" w:afterLines="0" w:line="240" w:lineRule="auto"/>
      <w:ind w:left="420" w:leftChars="200" w:firstLine="0" w:firstLineChars="0"/>
    </w:pPr>
    <w:rPr>
      <w:rFonts w:ascii="Times New Roman" w:hAnsi="Times New Roman"/>
      <w:sz w:val="16"/>
      <w:szCs w:val="16"/>
    </w:rPr>
  </w:style>
  <w:style w:type="paragraph" w:styleId="28">
    <w:name w:val="toc 2"/>
    <w:basedOn w:val="1"/>
    <w:next w:val="1"/>
    <w:unhideWhenUsed/>
    <w:qFormat/>
    <w:uiPriority w:val="39"/>
    <w:pPr>
      <w:ind w:left="420" w:leftChars="200"/>
    </w:pPr>
  </w:style>
  <w:style w:type="paragraph" w:styleId="29">
    <w:name w:val="toc 9"/>
    <w:basedOn w:val="1"/>
    <w:next w:val="1"/>
    <w:unhideWhenUsed/>
    <w:qFormat/>
    <w:uiPriority w:val="0"/>
    <w:pPr>
      <w:ind w:left="3360" w:leftChars="1600"/>
    </w:pPr>
  </w:style>
  <w:style w:type="paragraph" w:styleId="30">
    <w:name w:val="Body Text 2"/>
    <w:basedOn w:val="1"/>
    <w:link w:val="53"/>
    <w:uiPriority w:val="0"/>
    <w:pPr>
      <w:spacing w:beforeLines="0" w:afterLines="0" w:line="480" w:lineRule="auto"/>
      <w:ind w:firstLine="0" w:firstLineChars="0"/>
    </w:pPr>
    <w:rPr>
      <w:rFonts w:ascii="Times New Roman" w:hAnsi="Times New Roman"/>
      <w:sz w:val="21"/>
      <w:szCs w:val="24"/>
    </w:rPr>
  </w:style>
  <w:style w:type="paragraph" w:styleId="31">
    <w:name w:val="HTML Preformatted"/>
    <w:basedOn w:val="1"/>
    <w:link w:val="4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0" w:afterLines="0" w:line="240" w:lineRule="auto"/>
      <w:ind w:firstLine="0" w:firstLineChars="0"/>
      <w:jc w:val="left"/>
    </w:pPr>
    <w:rPr>
      <w:rFonts w:ascii="宋体" w:hAnsi="宋体"/>
      <w:kern w:val="0"/>
      <w:szCs w:val="24"/>
    </w:rPr>
  </w:style>
  <w:style w:type="paragraph" w:styleId="32">
    <w:name w:val="Normal (Web)"/>
    <w:basedOn w:val="1"/>
    <w:unhideWhenUsed/>
    <w:qFormat/>
    <w:uiPriority w:val="99"/>
    <w:pPr>
      <w:widowControl/>
      <w:spacing w:beforeLines="0" w:beforeAutospacing="1" w:afterLines="0" w:afterAutospacing="1" w:line="240" w:lineRule="auto"/>
      <w:ind w:firstLine="0" w:firstLineChars="0"/>
      <w:jc w:val="left"/>
    </w:pPr>
    <w:rPr>
      <w:rFonts w:ascii="宋体" w:hAnsi="宋体" w:cs="宋体"/>
      <w:kern w:val="0"/>
      <w:szCs w:val="24"/>
    </w:rPr>
  </w:style>
  <w:style w:type="paragraph" w:styleId="33">
    <w:name w:val="index 1"/>
    <w:basedOn w:val="1"/>
    <w:next w:val="1"/>
    <w:qFormat/>
    <w:uiPriority w:val="0"/>
    <w:pPr>
      <w:spacing w:beforeLines="0" w:afterLines="0" w:line="240" w:lineRule="auto"/>
      <w:ind w:firstLine="420"/>
      <w:jc w:val="center"/>
    </w:pPr>
    <w:rPr>
      <w:rFonts w:ascii="宋体" w:hAnsi="宋体"/>
      <w:color w:val="0000FF"/>
      <w:kern w:val="0"/>
      <w:sz w:val="21"/>
      <w:szCs w:val="21"/>
    </w:rPr>
  </w:style>
  <w:style w:type="paragraph" w:styleId="34">
    <w:name w:val="Title"/>
    <w:basedOn w:val="1"/>
    <w:next w:val="1"/>
    <w:link w:val="64"/>
    <w:qFormat/>
    <w:uiPriority w:val="0"/>
    <w:pPr>
      <w:spacing w:beforeLines="0" w:afterLines="0" w:line="240" w:lineRule="auto"/>
      <w:ind w:firstLine="0" w:firstLineChars="0"/>
      <w:jc w:val="center"/>
      <w:outlineLvl w:val="0"/>
    </w:pPr>
    <w:rPr>
      <w:rFonts w:ascii="Cambria" w:hAnsi="Cambria"/>
      <w:b/>
      <w:bCs/>
      <w:sz w:val="32"/>
      <w:szCs w:val="32"/>
    </w:rPr>
  </w:style>
  <w:style w:type="paragraph" w:styleId="35">
    <w:name w:val="annotation subject"/>
    <w:basedOn w:val="9"/>
    <w:next w:val="9"/>
    <w:link w:val="65"/>
    <w:qFormat/>
    <w:uiPriority w:val="0"/>
    <w:rPr>
      <w:b/>
      <w:bCs/>
    </w:rPr>
  </w:style>
  <w:style w:type="table" w:styleId="37">
    <w:name w:val="Table Grid"/>
    <w:basedOn w:val="36"/>
    <w:qFormat/>
    <w:uiPriority w:val="59"/>
    <w:pPr>
      <w:widowControl w:val="0"/>
      <w:autoSpaceDE w:val="0"/>
      <w:autoSpaceDN w:val="0"/>
    </w:pPr>
    <w:rPr>
      <w:rFonts w:ascii="Calibri" w:hAnsi="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22"/>
    <w:rPr>
      <w:b/>
      <w:bCs/>
    </w:rPr>
  </w:style>
  <w:style w:type="character" w:styleId="40">
    <w:name w:val="endnote reference"/>
    <w:qFormat/>
    <w:uiPriority w:val="0"/>
    <w:rPr>
      <w:vertAlign w:val="superscript"/>
    </w:rPr>
  </w:style>
  <w:style w:type="character" w:styleId="41">
    <w:name w:val="page number"/>
    <w:basedOn w:val="38"/>
    <w:unhideWhenUsed/>
    <w:qFormat/>
    <w:uiPriority w:val="0"/>
  </w:style>
  <w:style w:type="character" w:styleId="42">
    <w:name w:val="Emphasis"/>
    <w:qFormat/>
    <w:uiPriority w:val="0"/>
    <w:rPr>
      <w:color w:val="CC0033"/>
    </w:rPr>
  </w:style>
  <w:style w:type="character" w:styleId="43">
    <w:name w:val="Hyperlink"/>
    <w:unhideWhenUsed/>
    <w:qFormat/>
    <w:uiPriority w:val="99"/>
    <w:rPr>
      <w:color w:val="0000FF"/>
      <w:u w:val="single"/>
    </w:rPr>
  </w:style>
  <w:style w:type="character" w:styleId="44">
    <w:name w:val="annotation reference"/>
    <w:qFormat/>
    <w:uiPriority w:val="99"/>
    <w:rPr>
      <w:sz w:val="21"/>
      <w:szCs w:val="21"/>
    </w:rPr>
  </w:style>
  <w:style w:type="character" w:styleId="45">
    <w:name w:val="footnote reference"/>
    <w:unhideWhenUsed/>
    <w:qFormat/>
    <w:uiPriority w:val="0"/>
    <w:rPr>
      <w:vertAlign w:val="superscript"/>
    </w:rPr>
  </w:style>
  <w:style w:type="character" w:customStyle="1" w:styleId="46">
    <w:name w:val="style31"/>
    <w:qFormat/>
    <w:uiPriority w:val="0"/>
    <w:rPr>
      <w:color w:val="C1DDF5"/>
    </w:rPr>
  </w:style>
  <w:style w:type="character" w:customStyle="1" w:styleId="47">
    <w:name w:val="HTML 预设格式 字符"/>
    <w:link w:val="31"/>
    <w:qFormat/>
    <w:uiPriority w:val="0"/>
    <w:rPr>
      <w:rFonts w:ascii="宋体" w:hAnsi="宋体"/>
      <w:sz w:val="24"/>
      <w:szCs w:val="24"/>
    </w:rPr>
  </w:style>
  <w:style w:type="character" w:customStyle="1" w:styleId="48">
    <w:name w:val="文档结构图 字符"/>
    <w:link w:val="8"/>
    <w:semiHidden/>
    <w:qFormat/>
    <w:uiPriority w:val="0"/>
    <w:rPr>
      <w:kern w:val="2"/>
      <w:sz w:val="21"/>
      <w:szCs w:val="24"/>
      <w:shd w:val="clear" w:color="auto" w:fill="000080"/>
    </w:rPr>
  </w:style>
  <w:style w:type="character" w:customStyle="1" w:styleId="49">
    <w:name w:val="尾注文本 字符"/>
    <w:link w:val="18"/>
    <w:qFormat/>
    <w:uiPriority w:val="0"/>
    <w:rPr>
      <w:kern w:val="2"/>
      <w:sz w:val="21"/>
      <w:szCs w:val="24"/>
    </w:rPr>
  </w:style>
  <w:style w:type="character" w:customStyle="1" w:styleId="50">
    <w:name w:val="页脚 字符"/>
    <w:link w:val="20"/>
    <w:qFormat/>
    <w:uiPriority w:val="99"/>
    <w:rPr>
      <w:sz w:val="18"/>
      <w:szCs w:val="18"/>
    </w:rPr>
  </w:style>
  <w:style w:type="character" w:customStyle="1" w:styleId="51">
    <w:name w:val="页眉 字符"/>
    <w:link w:val="21"/>
    <w:qFormat/>
    <w:uiPriority w:val="99"/>
    <w:rPr>
      <w:sz w:val="18"/>
      <w:szCs w:val="18"/>
    </w:rPr>
  </w:style>
  <w:style w:type="character" w:customStyle="1" w:styleId="52">
    <w:name w:val="apple-style-span"/>
    <w:qFormat/>
    <w:uiPriority w:val="0"/>
  </w:style>
  <w:style w:type="character" w:customStyle="1" w:styleId="53">
    <w:name w:val="正文文本 2 字符"/>
    <w:link w:val="30"/>
    <w:qFormat/>
    <w:uiPriority w:val="0"/>
    <w:rPr>
      <w:kern w:val="2"/>
      <w:sz w:val="21"/>
      <w:szCs w:val="24"/>
    </w:rPr>
  </w:style>
  <w:style w:type="character" w:customStyle="1" w:styleId="54">
    <w:name w:val="正文文本缩进 字符"/>
    <w:link w:val="11"/>
    <w:qFormat/>
    <w:uiPriority w:val="0"/>
    <w:rPr>
      <w:kern w:val="2"/>
      <w:sz w:val="21"/>
      <w:szCs w:val="24"/>
    </w:rPr>
  </w:style>
  <w:style w:type="character" w:customStyle="1" w:styleId="55">
    <w:name w:val="批注框文本 字符"/>
    <w:link w:val="19"/>
    <w:semiHidden/>
    <w:qFormat/>
    <w:uiPriority w:val="99"/>
    <w:rPr>
      <w:sz w:val="18"/>
      <w:szCs w:val="18"/>
    </w:rPr>
  </w:style>
  <w:style w:type="character" w:customStyle="1" w:styleId="56">
    <w:name w:val="正文文本缩进 2 字符"/>
    <w:link w:val="17"/>
    <w:qFormat/>
    <w:uiPriority w:val="0"/>
    <w:rPr>
      <w:kern w:val="2"/>
      <w:sz w:val="21"/>
      <w:szCs w:val="24"/>
    </w:rPr>
  </w:style>
  <w:style w:type="character" w:customStyle="1" w:styleId="57">
    <w:name w:val="正文文本缩进 3 字符"/>
    <w:link w:val="27"/>
    <w:qFormat/>
    <w:uiPriority w:val="0"/>
    <w:rPr>
      <w:kern w:val="2"/>
      <w:sz w:val="16"/>
      <w:szCs w:val="16"/>
    </w:rPr>
  </w:style>
  <w:style w:type="character" w:customStyle="1" w:styleId="58">
    <w:name w:val="标题 3 字符"/>
    <w:link w:val="4"/>
    <w:qFormat/>
    <w:uiPriority w:val="0"/>
    <w:rPr>
      <w:b/>
      <w:bCs/>
      <w:kern w:val="2"/>
      <w:sz w:val="28"/>
      <w:szCs w:val="32"/>
    </w:rPr>
  </w:style>
  <w:style w:type="character" w:customStyle="1" w:styleId="59">
    <w:name w:val="headline-content"/>
    <w:qFormat/>
    <w:uiPriority w:val="0"/>
  </w:style>
  <w:style w:type="character" w:customStyle="1" w:styleId="60">
    <w:name w:val="标题 2 字符"/>
    <w:link w:val="3"/>
    <w:qFormat/>
    <w:uiPriority w:val="0"/>
    <w:rPr>
      <w:rFonts w:ascii="Arial" w:hAnsi="Arial" w:eastAsia="黑体" w:cs="宋体"/>
      <w:b/>
      <w:sz w:val="32"/>
    </w:rPr>
  </w:style>
  <w:style w:type="character" w:customStyle="1" w:styleId="61">
    <w:name w:val="apple-converted-space"/>
    <w:qFormat/>
    <w:uiPriority w:val="0"/>
  </w:style>
  <w:style w:type="character" w:customStyle="1" w:styleId="62">
    <w:name w:val="纯文本 字符"/>
    <w:link w:val="14"/>
    <w:qFormat/>
    <w:uiPriority w:val="0"/>
    <w:rPr>
      <w:rFonts w:ascii="宋体" w:hAnsi="Courier New" w:cs="Courier New"/>
      <w:kern w:val="2"/>
      <w:sz w:val="21"/>
      <w:szCs w:val="21"/>
    </w:rPr>
  </w:style>
  <w:style w:type="character" w:customStyle="1" w:styleId="63">
    <w:name w:val="正文文本 字符"/>
    <w:link w:val="10"/>
    <w:qFormat/>
    <w:uiPriority w:val="0"/>
    <w:rPr>
      <w:kern w:val="2"/>
      <w:sz w:val="21"/>
      <w:szCs w:val="24"/>
    </w:rPr>
  </w:style>
  <w:style w:type="character" w:customStyle="1" w:styleId="64">
    <w:name w:val="标题 字符"/>
    <w:link w:val="34"/>
    <w:qFormat/>
    <w:uiPriority w:val="0"/>
    <w:rPr>
      <w:rFonts w:ascii="Cambria" w:hAnsi="Cambria"/>
      <w:b/>
      <w:bCs/>
      <w:kern w:val="2"/>
      <w:sz w:val="32"/>
      <w:szCs w:val="32"/>
    </w:rPr>
  </w:style>
  <w:style w:type="character" w:customStyle="1" w:styleId="65">
    <w:name w:val="批注主题 字符"/>
    <w:link w:val="35"/>
    <w:uiPriority w:val="0"/>
    <w:rPr>
      <w:b/>
      <w:bCs/>
      <w:kern w:val="2"/>
      <w:sz w:val="21"/>
      <w:szCs w:val="24"/>
    </w:rPr>
  </w:style>
  <w:style w:type="character" w:customStyle="1" w:styleId="66">
    <w:name w:val="批注文字 字符"/>
    <w:link w:val="9"/>
    <w:qFormat/>
    <w:uiPriority w:val="99"/>
    <w:rPr>
      <w:kern w:val="2"/>
      <w:sz w:val="21"/>
      <w:szCs w:val="24"/>
    </w:rPr>
  </w:style>
  <w:style w:type="character" w:customStyle="1" w:styleId="67">
    <w:name w:val="正文文本缩进字符1"/>
    <w:semiHidden/>
    <w:qFormat/>
    <w:uiPriority w:val="0"/>
    <w:rPr>
      <w:rFonts w:ascii="Calibri" w:hAnsi="Calibri" w:eastAsia="宋体"/>
      <w:kern w:val="2"/>
      <w:sz w:val="24"/>
      <w:szCs w:val="22"/>
    </w:rPr>
  </w:style>
  <w:style w:type="character" w:customStyle="1" w:styleId="68">
    <w:name w:val="纯文本字符1"/>
    <w:semiHidden/>
    <w:qFormat/>
    <w:uiPriority w:val="0"/>
    <w:rPr>
      <w:rFonts w:ascii="宋体" w:hAnsi="Courier"/>
      <w:kern w:val="2"/>
      <w:sz w:val="24"/>
      <w:szCs w:val="24"/>
    </w:rPr>
  </w:style>
  <w:style w:type="character" w:customStyle="1" w:styleId="69">
    <w:name w:val="日期 字符"/>
    <w:link w:val="16"/>
    <w:qFormat/>
    <w:uiPriority w:val="0"/>
    <w:rPr>
      <w:kern w:val="2"/>
      <w:sz w:val="21"/>
      <w:szCs w:val="24"/>
    </w:rPr>
  </w:style>
  <w:style w:type="character" w:customStyle="1" w:styleId="70">
    <w:name w:val="标题 1 字符"/>
    <w:link w:val="2"/>
    <w:qFormat/>
    <w:uiPriority w:val="0"/>
    <w:rPr>
      <w:rFonts w:ascii="Calibri" w:hAnsi="Calibri" w:eastAsia="宋体"/>
      <w:b/>
      <w:bCs/>
      <w:kern w:val="44"/>
      <w:sz w:val="28"/>
      <w:szCs w:val="44"/>
    </w:rPr>
  </w:style>
  <w:style w:type="character" w:customStyle="1" w:styleId="71">
    <w:name w:val="脚注文本 字符"/>
    <w:link w:val="25"/>
    <w:qFormat/>
    <w:uiPriority w:val="0"/>
    <w:rPr>
      <w:rFonts w:ascii="Calibri" w:hAnsi="Calibri"/>
      <w:kern w:val="2"/>
      <w:sz w:val="18"/>
      <w:szCs w:val="18"/>
    </w:rPr>
  </w:style>
  <w:style w:type="character" w:customStyle="1" w:styleId="72">
    <w:name w:val="标题 4 字符"/>
    <w:link w:val="5"/>
    <w:qFormat/>
    <w:uiPriority w:val="0"/>
    <w:rPr>
      <w:rFonts w:ascii="Cambria" w:hAnsi="Cambria" w:eastAsia="宋体" w:cs="黑体"/>
      <w:b/>
      <w:bCs/>
      <w:kern w:val="2"/>
      <w:sz w:val="28"/>
      <w:szCs w:val="28"/>
    </w:rPr>
  </w:style>
  <w:style w:type="paragraph" w:customStyle="1" w:styleId="73">
    <w:name w:val="标准段落"/>
    <w:basedOn w:val="1"/>
    <w:qFormat/>
    <w:uiPriority w:val="0"/>
    <w:pPr>
      <w:widowControl/>
      <w:spacing w:beforeLines="0" w:afterLines="0" w:line="440" w:lineRule="atLeast"/>
      <w:ind w:firstLine="480" w:firstLineChars="0"/>
    </w:pPr>
    <w:rPr>
      <w:rFonts w:ascii="Times New Roman" w:hAnsi="Times New Roman"/>
      <w:kern w:val="0"/>
      <w:szCs w:val="20"/>
    </w:rPr>
  </w:style>
  <w:style w:type="paragraph" w:customStyle="1" w:styleId="74">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75">
    <w:name w:val="Char"/>
    <w:basedOn w:val="1"/>
    <w:qFormat/>
    <w:uiPriority w:val="0"/>
    <w:pPr>
      <w:widowControl/>
      <w:spacing w:beforeLines="0" w:afterLines="0" w:line="240" w:lineRule="exact"/>
      <w:ind w:firstLine="0" w:firstLineChars="0"/>
      <w:jc w:val="left"/>
    </w:pPr>
    <w:rPr>
      <w:rFonts w:ascii="Verdana" w:hAnsi="Verdana"/>
      <w:kern w:val="0"/>
      <w:sz w:val="20"/>
      <w:szCs w:val="20"/>
      <w:lang w:eastAsia="en-US"/>
    </w:rPr>
  </w:style>
  <w:style w:type="paragraph" w:customStyle="1" w:styleId="76">
    <w:name w:val="Level 3"/>
    <w:basedOn w:val="1"/>
    <w:qFormat/>
    <w:uiPriority w:val="0"/>
    <w:pPr>
      <w:tabs>
        <w:tab w:val="left" w:pos="624"/>
      </w:tabs>
      <w:adjustRightInd w:val="0"/>
      <w:snapToGrid w:val="0"/>
      <w:spacing w:beforeLines="0" w:afterLines="0" w:line="288" w:lineRule="auto"/>
      <w:ind w:left="624" w:hanging="624" w:firstLineChars="0"/>
      <w:outlineLvl w:val="2"/>
    </w:pPr>
    <w:rPr>
      <w:rFonts w:ascii="Arial" w:hAnsi="Arial"/>
      <w:spacing w:val="20"/>
      <w:w w:val="105"/>
      <w:kern w:val="20"/>
      <w:szCs w:val="24"/>
      <w:lang w:eastAsia="en-US"/>
    </w:rPr>
  </w:style>
  <w:style w:type="paragraph" w:customStyle="1" w:styleId="77">
    <w:name w:val="图片"/>
    <w:basedOn w:val="1"/>
    <w:qFormat/>
    <w:uiPriority w:val="0"/>
    <w:pPr>
      <w:adjustRightInd w:val="0"/>
      <w:spacing w:beforeLines="0" w:afterLines="0" w:line="312" w:lineRule="atLeast"/>
      <w:ind w:firstLine="0" w:firstLineChars="0"/>
      <w:textAlignment w:val="baseline"/>
    </w:pPr>
    <w:rPr>
      <w:rFonts w:ascii="Times New Roman" w:hAnsi="Times New Roman" w:eastAsia="仿宋_GB2312"/>
      <w:kern w:val="0"/>
      <w:sz w:val="21"/>
      <w:szCs w:val="20"/>
    </w:rPr>
  </w:style>
  <w:style w:type="paragraph" w:customStyle="1" w:styleId="78">
    <w:name w:val="Level 5"/>
    <w:basedOn w:val="79"/>
    <w:qFormat/>
    <w:uiPriority w:val="0"/>
    <w:pPr>
      <w:tabs>
        <w:tab w:val="left" w:pos="1361"/>
      </w:tabs>
      <w:outlineLvl w:val="4"/>
    </w:pPr>
  </w:style>
  <w:style w:type="paragraph" w:customStyle="1" w:styleId="79">
    <w:name w:val="Level 4"/>
    <w:basedOn w:val="1"/>
    <w:qFormat/>
    <w:uiPriority w:val="0"/>
    <w:pPr>
      <w:widowControl/>
      <w:tabs>
        <w:tab w:val="left" w:pos="1361"/>
      </w:tabs>
      <w:spacing w:beforeLines="0" w:afterLines="0" w:line="288" w:lineRule="auto"/>
      <w:ind w:left="1361" w:hanging="737" w:firstLineChars="0"/>
      <w:outlineLvl w:val="3"/>
    </w:pPr>
    <w:rPr>
      <w:rFonts w:ascii="Arial" w:hAnsi="Arial"/>
      <w:spacing w:val="20"/>
      <w:w w:val="105"/>
      <w:kern w:val="20"/>
      <w:szCs w:val="24"/>
      <w:lang w:eastAsia="en-US"/>
    </w:rPr>
  </w:style>
  <w:style w:type="paragraph" w:customStyle="1" w:styleId="80">
    <w:name w:val="Level 7"/>
    <w:basedOn w:val="1"/>
    <w:qFormat/>
    <w:uiPriority w:val="0"/>
    <w:pPr>
      <w:widowControl/>
      <w:tabs>
        <w:tab w:val="left" w:pos="2041"/>
      </w:tabs>
      <w:spacing w:beforeLines="0" w:afterLines="0" w:line="336" w:lineRule="auto"/>
      <w:ind w:left="2041" w:hanging="680" w:firstLineChars="0"/>
      <w:outlineLvl w:val="6"/>
    </w:pPr>
    <w:rPr>
      <w:rFonts w:ascii="Arial" w:hAnsi="Arial"/>
      <w:w w:val="105"/>
      <w:kern w:val="20"/>
      <w:szCs w:val="20"/>
      <w:lang w:eastAsia="en-US"/>
    </w:rPr>
  </w:style>
  <w:style w:type="paragraph" w:customStyle="1" w:styleId="81">
    <w:name w:val="列出段落2"/>
    <w:basedOn w:val="1"/>
    <w:qFormat/>
    <w:uiPriority w:val="34"/>
    <w:pPr>
      <w:ind w:firstLine="420"/>
    </w:pPr>
  </w:style>
  <w:style w:type="paragraph" w:customStyle="1" w:styleId="82">
    <w:name w:val="content"/>
    <w:basedOn w:val="1"/>
    <w:qFormat/>
    <w:uiPriority w:val="0"/>
    <w:pPr>
      <w:widowControl/>
      <w:spacing w:beforeLines="0" w:beforeAutospacing="1" w:afterLines="0" w:afterAutospacing="1" w:line="240" w:lineRule="auto"/>
      <w:ind w:firstLine="0" w:firstLineChars="0"/>
      <w:jc w:val="left"/>
    </w:pPr>
    <w:rPr>
      <w:rFonts w:ascii="宋体" w:hAnsi="宋体"/>
      <w:kern w:val="0"/>
      <w:sz w:val="18"/>
      <w:szCs w:val="18"/>
    </w:rPr>
  </w:style>
  <w:style w:type="paragraph" w:customStyle="1" w:styleId="8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4">
    <w:name w:val="段"/>
    <w:basedOn w:val="1"/>
    <w:qFormat/>
    <w:uiPriority w:val="0"/>
    <w:pPr>
      <w:tabs>
        <w:tab w:val="left" w:pos="180"/>
        <w:tab w:val="left" w:pos="6960"/>
        <w:tab w:val="left" w:pos="8100"/>
      </w:tabs>
      <w:adjustRightInd w:val="0"/>
      <w:snapToGrid w:val="0"/>
      <w:spacing w:beforeLines="0" w:afterLines="0" w:line="520" w:lineRule="atLeast"/>
      <w:ind w:firstLine="480" w:firstLineChars="0"/>
    </w:pPr>
    <w:rPr>
      <w:rFonts w:ascii="Arial" w:hAnsi="Arial"/>
      <w:szCs w:val="20"/>
    </w:rPr>
  </w:style>
  <w:style w:type="paragraph" w:customStyle="1" w:styleId="85">
    <w:name w:val="Char Char Char Char Char Char1 Char Char Char"/>
    <w:basedOn w:val="1"/>
    <w:qFormat/>
    <w:uiPriority w:val="0"/>
    <w:pPr>
      <w:autoSpaceDE w:val="0"/>
      <w:autoSpaceDN w:val="0"/>
      <w:adjustRightInd w:val="0"/>
      <w:spacing w:beforeLines="0" w:afterLines="0" w:line="240" w:lineRule="auto"/>
      <w:ind w:firstLine="0" w:firstLineChars="0"/>
      <w:jc w:val="left"/>
      <w:textAlignment w:val="baseline"/>
    </w:pPr>
    <w:rPr>
      <w:rFonts w:ascii="宋体" w:hAnsi="Times New Roman"/>
      <w:kern w:val="0"/>
      <w:sz w:val="34"/>
      <w:szCs w:val="20"/>
    </w:rPr>
  </w:style>
  <w:style w:type="paragraph" w:customStyle="1" w:styleId="86">
    <w:name w:val="Level 1"/>
    <w:basedOn w:val="1"/>
    <w:next w:val="1"/>
    <w:uiPriority w:val="0"/>
    <w:pPr>
      <w:widowControl/>
      <w:tabs>
        <w:tab w:val="left" w:pos="624"/>
      </w:tabs>
      <w:adjustRightInd w:val="0"/>
      <w:snapToGrid w:val="0"/>
      <w:spacing w:beforeLines="0" w:afterLines="0"/>
      <w:ind w:left="624" w:hanging="624" w:firstLineChars="0"/>
      <w:outlineLvl w:val="0"/>
    </w:pPr>
    <w:rPr>
      <w:rFonts w:ascii="Arial" w:hAnsi="Arial"/>
      <w:b/>
      <w:caps/>
      <w:spacing w:val="20"/>
      <w:w w:val="105"/>
      <w:kern w:val="20"/>
      <w:szCs w:val="24"/>
      <w:lang w:eastAsia="en-US"/>
    </w:rPr>
  </w:style>
  <w:style w:type="paragraph" w:customStyle="1" w:styleId="87">
    <w:name w:val="Level 6"/>
    <w:basedOn w:val="78"/>
    <w:uiPriority w:val="0"/>
    <w:pPr>
      <w:tabs>
        <w:tab w:val="left" w:pos="2041"/>
        <w:tab w:val="clear" w:pos="1361"/>
      </w:tabs>
      <w:ind w:left="2041" w:hanging="680"/>
      <w:outlineLvl w:val="5"/>
    </w:pPr>
  </w:style>
  <w:style w:type="paragraph" w:customStyle="1" w:styleId="88">
    <w:name w:val="Table Paragraph"/>
    <w:basedOn w:val="1"/>
    <w:qFormat/>
    <w:uiPriority w:val="1"/>
    <w:pPr>
      <w:autoSpaceDE w:val="0"/>
      <w:autoSpaceDN w:val="0"/>
      <w:spacing w:beforeLines="0" w:afterLines="0" w:line="240" w:lineRule="auto"/>
      <w:ind w:left="105" w:firstLine="0" w:firstLineChars="0"/>
      <w:jc w:val="left"/>
    </w:pPr>
    <w:rPr>
      <w:rFonts w:ascii="宋体" w:hAnsi="宋体" w:cs="宋体"/>
      <w:kern w:val="0"/>
      <w:sz w:val="22"/>
      <w:lang w:eastAsia="en-US"/>
    </w:rPr>
  </w:style>
  <w:style w:type="paragraph" w:customStyle="1" w:styleId="89">
    <w:name w:val="列出段落1"/>
    <w:basedOn w:val="1"/>
    <w:qFormat/>
    <w:uiPriority w:val="0"/>
    <w:pPr>
      <w:spacing w:beforeLines="0" w:afterLines="0" w:line="240" w:lineRule="auto"/>
      <w:ind w:firstLine="420"/>
    </w:pPr>
    <w:rPr>
      <w:rFonts w:ascii="Times New Roman" w:hAnsi="Times New Roman"/>
      <w:sz w:val="21"/>
      <w:szCs w:val="20"/>
    </w:rPr>
  </w:style>
  <w:style w:type="paragraph" w:customStyle="1" w:styleId="90">
    <w:name w:val="Level 2"/>
    <w:basedOn w:val="1"/>
    <w:next w:val="1"/>
    <w:uiPriority w:val="0"/>
    <w:pPr>
      <w:keepNext/>
      <w:widowControl/>
      <w:tabs>
        <w:tab w:val="left" w:pos="624"/>
      </w:tabs>
      <w:spacing w:beforeLines="0" w:afterLines="0" w:line="288" w:lineRule="auto"/>
      <w:ind w:left="624" w:hanging="624" w:firstLineChars="0"/>
      <w:outlineLvl w:val="1"/>
    </w:pPr>
    <w:rPr>
      <w:rFonts w:ascii="Arial" w:hAnsi="Arial"/>
      <w:b/>
      <w:spacing w:val="20"/>
      <w:w w:val="105"/>
      <w:kern w:val="20"/>
      <w:szCs w:val="24"/>
      <w:lang w:eastAsia="en-US"/>
    </w:rPr>
  </w:style>
  <w:style w:type="paragraph" w:customStyle="1" w:styleId="91">
    <w:name w:val="Level 8"/>
    <w:basedOn w:val="1"/>
    <w:qFormat/>
    <w:uiPriority w:val="0"/>
    <w:pPr>
      <w:widowControl/>
      <w:tabs>
        <w:tab w:val="left" w:pos="2722"/>
      </w:tabs>
      <w:spacing w:beforeLines="0" w:afterLines="0" w:line="336" w:lineRule="auto"/>
      <w:ind w:left="2722" w:hanging="681" w:firstLineChars="0"/>
      <w:outlineLvl w:val="7"/>
    </w:pPr>
    <w:rPr>
      <w:rFonts w:ascii="Arial" w:hAnsi="Arial"/>
      <w:w w:val="105"/>
      <w:kern w:val="20"/>
      <w:szCs w:val="20"/>
      <w:lang w:eastAsia="en-US"/>
    </w:rPr>
  </w:style>
  <w:style w:type="paragraph" w:customStyle="1" w:styleId="92">
    <w:name w:val="Char Char Char Char"/>
    <w:basedOn w:val="1"/>
    <w:qFormat/>
    <w:uiPriority w:val="0"/>
    <w:pPr>
      <w:spacing w:beforeLines="0" w:afterLines="0" w:line="240" w:lineRule="auto"/>
      <w:ind w:firstLine="0" w:firstLineChars="0"/>
    </w:pPr>
    <w:rPr>
      <w:rFonts w:ascii="Tahoma" w:hAnsi="Tahoma"/>
      <w:szCs w:val="20"/>
    </w:rPr>
  </w:style>
  <w:style w:type="paragraph" w:customStyle="1" w:styleId="93">
    <w:name w:val="TOC 标题1"/>
    <w:basedOn w:val="2"/>
    <w:next w:val="1"/>
    <w:qFormat/>
    <w:uiPriority w:val="39"/>
    <w:pPr>
      <w:widowControl/>
      <w:spacing w:beforeLines="0" w:afterLines="0" w:line="276" w:lineRule="auto"/>
      <w:ind w:firstLine="0" w:firstLineChars="0"/>
      <w:jc w:val="left"/>
      <w:outlineLvl w:val="9"/>
    </w:pPr>
    <w:rPr>
      <w:rFonts w:ascii="Cambria" w:hAnsi="Cambria"/>
      <w:color w:val="365F91"/>
      <w:kern w:val="0"/>
      <w:szCs w:val="28"/>
    </w:rPr>
  </w:style>
  <w:style w:type="paragraph" w:customStyle="1" w:styleId="94">
    <w:name w:val="修订1"/>
    <w:unhideWhenUsed/>
    <w:qFormat/>
    <w:uiPriority w:val="99"/>
    <w:rPr>
      <w:rFonts w:ascii="Calibri" w:hAnsi="Calibri" w:eastAsia="宋体" w:cs="Times New Roman"/>
      <w:kern w:val="2"/>
      <w:sz w:val="24"/>
      <w:szCs w:val="22"/>
      <w:lang w:val="en-US" w:eastAsia="zh-CN" w:bidi="ar-SA"/>
    </w:rPr>
  </w:style>
  <w:style w:type="table" w:customStyle="1" w:styleId="95">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styleId="96">
    <w:name w:val="List Paragraph"/>
    <w:basedOn w:val="1"/>
    <w:semiHidden/>
    <w:qFormat/>
    <w:uiPriority w:val="99"/>
    <w:pPr>
      <w:ind w:firstLine="420"/>
    </w:pPr>
  </w:style>
  <w:style w:type="paragraph" w:customStyle="1" w:styleId="97">
    <w:name w:val="p0"/>
    <w:basedOn w:val="1"/>
    <w:qFormat/>
    <w:uiPriority w:val="0"/>
    <w:pPr>
      <w:widowControl/>
      <w:spacing w:beforeLines="0" w:afterLines="0" w:line="240" w:lineRule="auto"/>
      <w:ind w:firstLine="0" w:firstLineChars="0"/>
    </w:pPr>
    <w:rPr>
      <w:rFonts w:ascii="Times New Roman" w:hAnsi="Times New Roman"/>
      <w:kern w:val="0"/>
      <w:sz w:val="21"/>
      <w:szCs w:val="21"/>
    </w:rPr>
  </w:style>
  <w:style w:type="paragraph" w:customStyle="1" w:styleId="98">
    <w:name w:val="修订2"/>
    <w:hidden/>
    <w:semiHidden/>
    <w:qFormat/>
    <w:uiPriority w:val="99"/>
    <w:rPr>
      <w:rFonts w:ascii="Calibri" w:hAnsi="Calibri" w:eastAsia="宋体" w:cs="Times New Roman"/>
      <w:kern w:val="2"/>
      <w:sz w:val="24"/>
      <w:szCs w:val="22"/>
      <w:lang w:val="en-US" w:eastAsia="zh-CN" w:bidi="ar-SA"/>
    </w:rPr>
  </w:style>
  <w:style w:type="paragraph" w:customStyle="1" w:styleId="99">
    <w:name w:val="Revision"/>
    <w:hidden/>
    <w:semiHidden/>
    <w:uiPriority w:val="99"/>
    <w:rPr>
      <w:rFonts w:ascii="Calibri" w:hAnsi="Calibri" w:eastAsia="宋体" w:cs="Times New Roman"/>
      <w:kern w:val="2"/>
      <w:sz w:val="24"/>
      <w:szCs w:val="22"/>
      <w:lang w:val="en-US" w:eastAsia="zh-CN" w:bidi="ar-SA"/>
    </w:rPr>
  </w:style>
  <w:style w:type="character" w:customStyle="1" w:styleId="100">
    <w:name w:val="页脚 Char"/>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jpe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7EAB4-1462-46D9-9EC5-CEF98F46BFE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1402</Words>
  <Characters>7998</Characters>
  <Lines>66</Lines>
  <Paragraphs>18</Paragraphs>
  <TotalTime>1</TotalTime>
  <ScaleCrop>false</ScaleCrop>
  <LinksUpToDate>false</LinksUpToDate>
  <CharactersWithSpaces>9382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2019-11-20T06:49:00Z</dcterms:created>
  <dc:creator>www</dc:creator>
  <cp:lastModifiedBy>Mr.翔</cp:lastModifiedBy>
  <dcterms:modified xsi:type="dcterms:W3CDTF">2023-10-18T07:09:20Z</dcterms:modified>
  <cp:revision>1053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AD3BA5E77A5C46ED9F0B6DF4B801671E</vt:lpwstr>
  </property>
</Properties>
</file>