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ascii="Times New Roman" w:hAnsi="Times New Roman" w:eastAsia="宋体" w:cs="Times New Roman"/>
          <w:sz w:val="24"/>
          <w:szCs w:val="23"/>
        </w:rPr>
      </w:pPr>
      <w:r>
        <w:rPr>
          <w:rFonts w:hint="eastAsia" w:ascii="Times New Roman" w:hAnsi="Times New Roman" w:eastAsia="宋体" w:cs="Times New Roman"/>
          <w:sz w:val="24"/>
          <w:szCs w:val="23"/>
        </w:rPr>
        <w:t>证券代码：002871                  证券简称：伟隆股份               公告编号：202</w:t>
      </w:r>
      <w:r>
        <w:rPr>
          <w:rFonts w:hint="eastAsia" w:ascii="Times New Roman" w:hAnsi="Times New Roman" w:eastAsia="宋体" w:cs="Times New Roman"/>
          <w:sz w:val="24"/>
          <w:szCs w:val="23"/>
          <w:highlight w:val="none"/>
        </w:rPr>
        <w:t>3-</w:t>
      </w:r>
      <w:r>
        <w:rPr>
          <w:rFonts w:ascii="Times New Roman" w:hAnsi="Times New Roman" w:eastAsia="宋体" w:cs="Times New Roman"/>
          <w:sz w:val="24"/>
          <w:szCs w:val="23"/>
          <w:highlight w:val="none"/>
        </w:rPr>
        <w:t>0</w:t>
      </w:r>
      <w:r>
        <w:rPr>
          <w:rFonts w:hint="default" w:ascii="Times New Roman" w:hAnsi="Times New Roman" w:eastAsia="宋体" w:cs="Times New Roman"/>
          <w:sz w:val="24"/>
          <w:szCs w:val="23"/>
          <w:highlight w:val="none"/>
          <w:lang w:val="en-US"/>
        </w:rPr>
        <w:t>94</w:t>
      </w:r>
    </w:p>
    <w:p>
      <w:pPr>
        <w:spacing w:before="120" w:beforeLines="50" w:after="0"/>
        <w:jc w:val="center"/>
        <w:rPr>
          <w:rFonts w:ascii="宋体" w:hAnsi="宋体"/>
          <w:b/>
          <w:bCs/>
          <w:sz w:val="28"/>
          <w:szCs w:val="24"/>
        </w:rPr>
      </w:pPr>
      <w:r>
        <w:rPr>
          <w:rFonts w:hint="eastAsia" w:ascii="Times New Roman" w:hAnsi="Times New Roman" w:eastAsia="宋体" w:cs="Times New Roman"/>
          <w:sz w:val="24"/>
          <w:szCs w:val="23"/>
        </w:rPr>
        <w:t xml:space="preserve"> </w:t>
      </w:r>
      <w:r>
        <w:rPr>
          <w:rFonts w:hint="eastAsia" w:ascii="宋体" w:hAnsi="宋体"/>
          <w:b/>
          <w:bCs/>
          <w:sz w:val="28"/>
          <w:szCs w:val="24"/>
        </w:rPr>
        <w:t>青岛伟隆阀门股份有限公司</w:t>
      </w:r>
    </w:p>
    <w:p>
      <w:pPr>
        <w:spacing w:before="120" w:beforeLines="50" w:after="0"/>
        <w:jc w:val="center"/>
        <w:rPr>
          <w:rFonts w:ascii="宋体" w:hAnsi="宋体"/>
          <w:b/>
          <w:bCs/>
          <w:sz w:val="28"/>
          <w:szCs w:val="24"/>
        </w:rPr>
      </w:pPr>
      <w:r>
        <w:rPr>
          <w:rFonts w:ascii="宋体" w:hAnsi="宋体"/>
          <w:b/>
          <w:bCs/>
          <w:sz w:val="28"/>
          <w:szCs w:val="24"/>
        </w:rPr>
        <w:t>关于2021年限制性股票激励计划</w:t>
      </w:r>
      <w:r>
        <w:rPr>
          <w:rFonts w:hint="eastAsia" w:ascii="宋体" w:hAnsi="宋体"/>
          <w:b/>
          <w:bCs/>
          <w:sz w:val="28"/>
          <w:szCs w:val="24"/>
        </w:rPr>
        <w:t>首次授予部分第二个解锁期</w:t>
      </w:r>
      <w:r>
        <w:rPr>
          <w:rFonts w:ascii="宋体" w:hAnsi="宋体"/>
          <w:b/>
          <w:bCs/>
          <w:sz w:val="28"/>
          <w:szCs w:val="24"/>
        </w:rPr>
        <w:t>解锁条件成就的公告</w:t>
      </w:r>
    </w:p>
    <w:p>
      <w:pPr>
        <w:spacing w:before="120" w:beforeLines="50" w:after="0"/>
        <w:jc w:val="center"/>
        <w:rPr>
          <w:rFonts w:ascii="宋体" w:hAnsi="宋体"/>
          <w:b/>
          <w:bCs/>
          <w:sz w:val="18"/>
          <w:szCs w:val="16"/>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spacing w:before="120" w:beforeLines="50" w:after="120" w:after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特别提示：</w:t>
      </w:r>
    </w:p>
    <w:p>
      <w:pPr>
        <w:spacing w:before="120" w:beforeLines="50" w:after="120" w:afterLines="50" w:line="360" w:lineRule="auto"/>
        <w:ind w:firstLine="440" w:firstLineChars="200"/>
        <w:jc w:val="both"/>
        <w:rPr>
          <w:rFonts w:asciiTheme="minorEastAsia" w:hAnsiTheme="minorEastAsia" w:eastAsiaTheme="minorEastAsia"/>
        </w:rPr>
      </w:pPr>
      <w:r>
        <w:rPr>
          <w:rFonts w:hint="eastAsia" w:asciiTheme="minorEastAsia" w:hAnsiTheme="minorEastAsia" w:eastAsiaTheme="minorEastAsia"/>
        </w:rPr>
        <w:t>1、本次解除限售涉及的激励对象共计</w:t>
      </w:r>
      <w:r>
        <w:rPr>
          <w:rFonts w:asciiTheme="minorEastAsia" w:hAnsiTheme="minorEastAsia" w:eastAsiaTheme="minorEastAsia"/>
        </w:rPr>
        <w:t>75</w:t>
      </w:r>
      <w:r>
        <w:rPr>
          <w:rFonts w:hint="eastAsia" w:asciiTheme="minorEastAsia" w:hAnsiTheme="minorEastAsia" w:eastAsiaTheme="minorEastAsia"/>
        </w:rPr>
        <w:t>人；可申请解锁的限制性股票数量为</w:t>
      </w:r>
      <w:r>
        <w:rPr>
          <w:rFonts w:asciiTheme="minorEastAsia" w:hAnsiTheme="minorEastAsia" w:eastAsiaTheme="minorEastAsia"/>
          <w:sz w:val="22"/>
          <w:szCs w:val="22"/>
        </w:rPr>
        <w:t>973,245</w:t>
      </w:r>
      <w:r>
        <w:rPr>
          <w:rFonts w:hint="eastAsia" w:asciiTheme="minorEastAsia" w:hAnsiTheme="minorEastAsia" w:eastAsiaTheme="minorEastAsia"/>
        </w:rPr>
        <w:t>股，占公司目前总股本的</w:t>
      </w:r>
      <w:r>
        <w:rPr>
          <w:rFonts w:asciiTheme="minorEastAsia" w:hAnsiTheme="minorEastAsia" w:eastAsiaTheme="minorEastAsia"/>
          <w:sz w:val="22"/>
          <w:szCs w:val="22"/>
        </w:rPr>
        <w:t>0.4433</w:t>
      </w:r>
      <w:r>
        <w:rPr>
          <w:rFonts w:hint="eastAsia" w:asciiTheme="minorEastAsia" w:hAnsiTheme="minorEastAsia" w:eastAsiaTheme="minorEastAsia"/>
        </w:rPr>
        <w:t>%。</w:t>
      </w:r>
    </w:p>
    <w:p>
      <w:pPr>
        <w:spacing w:before="120" w:beforeLines="50" w:after="120" w:afterLines="50" w:line="360" w:lineRule="auto"/>
        <w:ind w:firstLine="440" w:firstLineChars="200"/>
        <w:jc w:val="both"/>
        <w:rPr>
          <w:rFonts w:asciiTheme="minorEastAsia" w:hAnsiTheme="minorEastAsia" w:eastAsiaTheme="minorEastAsia"/>
        </w:rPr>
      </w:pPr>
      <w:r>
        <w:rPr>
          <w:rFonts w:hint="eastAsia" w:asciiTheme="minorEastAsia" w:hAnsiTheme="minorEastAsia" w:eastAsiaTheme="minorEastAsia"/>
        </w:rPr>
        <w:t>2、本次限制性股票在有关机关办理完解锁手续后、上市流通前，公司将另行发布相关提示性公告。</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青岛伟隆阀门股份有限公司（以下简称“公司”）第四届董事会第二十六次会议审议通过了《关于20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年限制性股票激励计划首次授予部分第二个解锁期解锁条件成就的议案》，根据公司《2021年限制性股票激励计划（草案）》（以下简称“《激励计划》”）规定及</w:t>
      </w:r>
      <w:r>
        <w:rPr>
          <w:rFonts w:ascii="宋体" w:hAnsi="宋体" w:eastAsia="宋体"/>
          <w:sz w:val="24"/>
          <w:lang w:bidi="en-US"/>
        </w:rPr>
        <w:t>2021年第</w:t>
      </w:r>
      <w:r>
        <w:rPr>
          <w:rFonts w:hint="eastAsia" w:ascii="宋体" w:hAnsi="宋体" w:eastAsia="宋体"/>
          <w:sz w:val="24"/>
          <w:lang w:bidi="en-US"/>
        </w:rPr>
        <w:t>二</w:t>
      </w:r>
      <w:r>
        <w:rPr>
          <w:rFonts w:ascii="宋体" w:hAnsi="宋体" w:eastAsia="宋体"/>
          <w:sz w:val="24"/>
          <w:lang w:bidi="en-US"/>
        </w:rPr>
        <w:t>次临时股东大会</w:t>
      </w:r>
      <w:r>
        <w:rPr>
          <w:rFonts w:hint="eastAsia" w:asciiTheme="minorEastAsia" w:hAnsiTheme="minorEastAsia" w:eastAsiaTheme="minorEastAsia"/>
          <w:sz w:val="24"/>
          <w:szCs w:val="23"/>
        </w:rPr>
        <w:t>的授权，公司董事会办理了上述限制性股票解除限售的相关事宜，现就有关事项公告如下：</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4、2021年10月27日，公司分别召开第四届董事会第六次会议和第四届监事会第五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授予价格为5.00元/股。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5、2022年09月08日，公司分别召开第四届董事会第十四次会议和第四届监事会第十二次会议，审议通过了《关于调整2021年限制性股票激励计划预留部分授予价格的议案》《关于向2021年限制性股票激励计划激励对象授予预留部分限制性股票的议案》，同意公司2021年限制性股票激励计划预留部分限制性股票授予价格由5.00元/股调整为4.65元/股。董事会认为激励计划规定的预留部分授予条件已经成就，同意以2022年09月08日为授予日，向符合条件的27名激励对象授予42.7626万股限制性股票。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6、2022年10月27日，公司分别召开了第四届董事会第十五次会议和第四届监事会第十三次会议，审议通过了《关于2021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7、2023年8月29日，公司分别召开了第四届董事会第二十五次会议和第四届监事会第十九次会议，审议通过了《关于2021年限制性股票激励计划预留部分第一个解锁期解锁条件成就的议案》《关于调整2021年限制性股票激励计划回购数量及价格的议案》等议案，认为2021年限制性股票激励计划预留部分第一个解锁期解锁条件已成就，同时因2022年权益分配事项，同意调整2021年限制性股票激励计划回购数量及价格。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8、2023年1</w:t>
      </w:r>
      <w:r>
        <w:rPr>
          <w:rFonts w:hint="eastAsia" w:asciiTheme="minorEastAsia" w:hAnsiTheme="minorEastAsia" w:eastAsiaTheme="minorEastAsia"/>
          <w:sz w:val="24"/>
          <w:szCs w:val="23"/>
          <w:highlight w:val="none"/>
        </w:rPr>
        <w:t>0月1</w:t>
      </w:r>
      <w:r>
        <w:rPr>
          <w:rFonts w:hint="default" w:asciiTheme="minorEastAsia" w:hAnsiTheme="minorEastAsia" w:eastAsiaTheme="minorEastAsia"/>
          <w:sz w:val="24"/>
          <w:szCs w:val="23"/>
          <w:highlight w:val="none"/>
          <w:lang w:val="en-US"/>
        </w:rPr>
        <w:t>8</w:t>
      </w:r>
      <w:r>
        <w:rPr>
          <w:rFonts w:hint="eastAsia" w:asciiTheme="minorEastAsia" w:hAnsiTheme="minorEastAsia" w:eastAsiaTheme="minorEastAsia"/>
          <w:sz w:val="24"/>
          <w:szCs w:val="23"/>
          <w:highlight w:val="none"/>
        </w:rPr>
        <w:t>日，公司分别召开了第四届董事会第二十六次会议和第四届监事会第二十次会议，审议通过了《关于2021</w:t>
      </w:r>
      <w:r>
        <w:rPr>
          <w:rFonts w:hint="eastAsia" w:asciiTheme="minorEastAsia" w:hAnsiTheme="minorEastAsia" w:eastAsiaTheme="minorEastAsia"/>
          <w:sz w:val="24"/>
          <w:szCs w:val="23"/>
        </w:rPr>
        <w:t>年限制性股票激励计划首次授予部分第二个解锁期解锁条件成就的议案》《关于回购注销部分限制性股票的议案》等议案，认为2021年限制性股票激励计划首次授予部分第二个解锁期解除限售和回购注销已不符合激励条件的激励对象已获授但尚未解除限售的限制性股票符合《上市公司股权激励管理办法》等法律、法规和规范性文件及《激励计划》的规定，同意首次授予部分第二次解除限售和回购注销已不符合激励条件的激励对象已获授但尚未解除限售的限制性股票事项。公司独立董事对此发表了独立意见。</w:t>
      </w:r>
    </w:p>
    <w:p>
      <w:pPr>
        <w:spacing w:before="120" w:beforeLines="50" w:after="120" w:afterLines="50" w:line="360" w:lineRule="auto"/>
        <w:ind w:firstLine="482" w:firstLineChars="20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二、限制性股票激励计划首次授予部分第二个解锁期解锁条件已达成的说明</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（一）限售期届满</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根据公司《激励计划》的相关规定，本激励计划首次授予部分第二个解除限售期为自授予完成登记之日起</w:t>
      </w:r>
      <w:r>
        <w:rPr>
          <w:rFonts w:asciiTheme="minorEastAsia" w:hAnsiTheme="minorEastAsia" w:eastAsiaTheme="minorEastAsia"/>
          <w:sz w:val="24"/>
          <w:szCs w:val="23"/>
        </w:rPr>
        <w:t>24</w:t>
      </w:r>
      <w:r>
        <w:rPr>
          <w:rFonts w:hint="eastAsia" w:asciiTheme="minorEastAsia" w:hAnsiTheme="minorEastAsia" w:eastAsiaTheme="minorEastAsia"/>
          <w:sz w:val="24"/>
          <w:szCs w:val="23"/>
        </w:rPr>
        <w:t>个月后的首个交易日起至授予登记完成之日起</w:t>
      </w:r>
      <w:r>
        <w:rPr>
          <w:rFonts w:asciiTheme="minorEastAsia" w:hAnsiTheme="minorEastAsia" w:eastAsiaTheme="minorEastAsia"/>
          <w:sz w:val="24"/>
          <w:szCs w:val="23"/>
        </w:rPr>
        <w:t>36</w:t>
      </w:r>
      <w:r>
        <w:rPr>
          <w:rFonts w:hint="eastAsia" w:asciiTheme="minorEastAsia" w:hAnsiTheme="minorEastAsia" w:eastAsiaTheme="minorEastAsia"/>
          <w:sz w:val="24"/>
          <w:szCs w:val="23"/>
        </w:rPr>
        <w:t>个月内的最后一个交易日当日止。</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本次授予的限制性股票首次授予完成登记日为</w:t>
      </w:r>
      <w:r>
        <w:rPr>
          <w:rFonts w:asciiTheme="minorEastAsia" w:hAnsiTheme="minorEastAsia" w:eastAsiaTheme="minorEastAsia"/>
          <w:sz w:val="24"/>
          <w:szCs w:val="23"/>
        </w:rPr>
        <w:t>2021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w:t>
      </w:r>
      <w:r>
        <w:rPr>
          <w:rFonts w:asciiTheme="minorEastAsia" w:hAnsiTheme="minorEastAsia" w:eastAsiaTheme="minorEastAsia"/>
          <w:sz w:val="24"/>
          <w:szCs w:val="23"/>
        </w:rPr>
        <w:t>5</w:t>
      </w:r>
      <w:r>
        <w:rPr>
          <w:rFonts w:hint="eastAsia" w:asciiTheme="minorEastAsia" w:hAnsiTheme="minorEastAsia" w:eastAsiaTheme="minorEastAsia"/>
          <w:sz w:val="24"/>
          <w:szCs w:val="23"/>
        </w:rPr>
        <w:t>日，授予股份的上市日期为2</w:t>
      </w:r>
      <w:r>
        <w:rPr>
          <w:rFonts w:asciiTheme="minorEastAsia" w:hAnsiTheme="minorEastAsia" w:eastAsiaTheme="minorEastAsia"/>
          <w:sz w:val="24"/>
          <w:szCs w:val="23"/>
        </w:rPr>
        <w:t>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月5日，首次授予部分第二个限售期将于2</w:t>
      </w:r>
      <w:r>
        <w:rPr>
          <w:rFonts w:asciiTheme="minorEastAsia" w:hAnsiTheme="minorEastAsia" w:eastAsiaTheme="minorEastAsia"/>
          <w:sz w:val="24"/>
          <w:szCs w:val="23"/>
        </w:rPr>
        <w:t>023</w:t>
      </w:r>
      <w:r>
        <w:rPr>
          <w:rFonts w:hint="eastAsia" w:asciiTheme="minorEastAsia" w:hAnsiTheme="minorEastAsia" w:eastAsiaTheme="minorEastAsia"/>
          <w:sz w:val="24"/>
          <w:szCs w:val="23"/>
        </w:rPr>
        <w:t>年1</w:t>
      </w:r>
      <w:r>
        <w:rPr>
          <w:rFonts w:asciiTheme="minorEastAsia" w:hAnsiTheme="minorEastAsia" w:eastAsiaTheme="minorEastAsia"/>
          <w:sz w:val="24"/>
          <w:szCs w:val="23"/>
        </w:rPr>
        <w:t>1</w:t>
      </w:r>
      <w:r>
        <w:rPr>
          <w:rFonts w:hint="eastAsia" w:asciiTheme="minorEastAsia" w:hAnsiTheme="minorEastAsia" w:eastAsiaTheme="minorEastAsia"/>
          <w:sz w:val="24"/>
          <w:szCs w:val="23"/>
        </w:rPr>
        <w:t>月6日届满。根据《激励计划（草案）》及《考核管理办法》规定的考核指标及激励对象的考核指标完成情况，</w:t>
      </w:r>
      <w:bookmarkStart w:id="0" w:name="_Hlk117255420"/>
      <w:r>
        <w:rPr>
          <w:rFonts w:hint="eastAsia" w:asciiTheme="minorEastAsia" w:hAnsiTheme="minorEastAsia" w:eastAsiaTheme="minorEastAsia"/>
          <w:sz w:val="24"/>
          <w:szCs w:val="23"/>
        </w:rPr>
        <w:t>除1名激励对象由于离职，不符合解锁条件；</w:t>
      </w:r>
      <w:bookmarkStart w:id="1" w:name="_Hlk117256671"/>
      <w:r>
        <w:rPr>
          <w:rFonts w:hint="eastAsia" w:asciiTheme="minorEastAsia" w:hAnsiTheme="minorEastAsia" w:eastAsiaTheme="minorEastAsia"/>
          <w:sz w:val="24"/>
          <w:szCs w:val="23"/>
        </w:rPr>
        <w:t>1名激励对象绩效考核为不合格，不符合解锁条件；2名激励对象绩效考核为合格，可以申请解除当期80%限售股份；1名激励对象绩效考核为良好，可以申请解除当期90%限售股份</w:t>
      </w:r>
      <w:bookmarkEnd w:id="1"/>
      <w:r>
        <w:rPr>
          <w:rFonts w:hint="eastAsia" w:asciiTheme="minorEastAsia" w:hAnsiTheme="minorEastAsia" w:eastAsiaTheme="minorEastAsia"/>
          <w:sz w:val="24"/>
          <w:szCs w:val="23"/>
        </w:rPr>
        <w:t>外，其余72名激励对象本期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。根据公司《激励计划》的相关规定，2名激励对象可以申请解除限售所获限制性股票总量的24%，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%，其余72名激励对象可申请解除限售所获限制性股票总量的3</w:t>
      </w:r>
      <w:r>
        <w:rPr>
          <w:rFonts w:asciiTheme="minorEastAsia" w:hAnsiTheme="minorEastAsia" w:eastAsiaTheme="minorEastAsia"/>
          <w:sz w:val="24"/>
          <w:szCs w:val="23"/>
        </w:rPr>
        <w:t>0%</w:t>
      </w:r>
      <w:bookmarkEnd w:id="0"/>
      <w:r>
        <w:rPr>
          <w:rFonts w:hint="eastAsia" w:asciiTheme="minorEastAsia" w:hAnsiTheme="minorEastAsia" w:eastAsiaTheme="minorEastAsia"/>
          <w:sz w:val="24"/>
          <w:szCs w:val="23"/>
        </w:rPr>
        <w:t>。</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（二）解锁条件成就说明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解锁条件类型</w:t>
            </w:r>
          </w:p>
        </w:tc>
        <w:tc>
          <w:tcPr>
            <w:tcW w:w="4722"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w:t>
            </w:r>
          </w:p>
        </w:tc>
        <w:tc>
          <w:tcPr>
            <w:tcW w:w="2841"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公司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公司未发生如下任一情形：</w:t>
            </w:r>
          </w:p>
          <w:p>
            <w:pPr>
              <w:spacing w:after="0"/>
              <w:rPr>
                <w:rFonts w:ascii="宋体" w:hAnsi="宋体" w:eastAsia="宋体" w:cs="宋体"/>
                <w:sz w:val="24"/>
                <w:szCs w:val="24"/>
              </w:rPr>
            </w:pPr>
            <w:r>
              <w:rPr>
                <w:rFonts w:hint="eastAsia" w:ascii="宋体" w:hAnsi="宋体" w:eastAsia="宋体" w:cs="宋体"/>
                <w:sz w:val="24"/>
                <w:szCs w:val="24"/>
              </w:rPr>
              <w:t>1、最近一个会计年度财务会计报告被注册会计师出具否定意见或者无法表示意见的审计报告；</w:t>
            </w:r>
          </w:p>
          <w:p>
            <w:pPr>
              <w:spacing w:after="0"/>
              <w:rPr>
                <w:rFonts w:ascii="宋体" w:hAnsi="宋体" w:eastAsia="宋体" w:cs="宋体"/>
                <w:sz w:val="24"/>
                <w:szCs w:val="24"/>
              </w:rPr>
            </w:pPr>
            <w:r>
              <w:rPr>
                <w:rFonts w:hint="eastAsia" w:ascii="宋体" w:hAnsi="宋体" w:eastAsia="宋体" w:cs="宋体"/>
                <w:sz w:val="24"/>
                <w:szCs w:val="24"/>
              </w:rPr>
              <w:t>2、最近一个会计年度财务报告内部控制被注册会计师出具否定意见或者无法表示意见的审计报告；</w:t>
            </w:r>
          </w:p>
          <w:p>
            <w:pPr>
              <w:spacing w:after="0"/>
              <w:rPr>
                <w:rFonts w:ascii="宋体" w:hAnsi="宋体" w:eastAsia="宋体" w:cs="宋体"/>
                <w:sz w:val="24"/>
                <w:szCs w:val="24"/>
              </w:rPr>
            </w:pPr>
            <w:r>
              <w:rPr>
                <w:rFonts w:hint="eastAsia" w:ascii="宋体" w:hAnsi="宋体" w:eastAsia="宋体" w:cs="宋体"/>
                <w:sz w:val="24"/>
                <w:szCs w:val="24"/>
              </w:rPr>
              <w:t>3 、上市后最近 36 个月内出现过未按法律法规、公司章程、公开承诺进行利润分配的情形；</w:t>
            </w:r>
          </w:p>
          <w:p>
            <w:pPr>
              <w:spacing w:after="0"/>
              <w:rPr>
                <w:rFonts w:ascii="宋体" w:hAnsi="宋体" w:eastAsia="宋体" w:cs="宋体"/>
                <w:sz w:val="24"/>
                <w:szCs w:val="24"/>
              </w:rPr>
            </w:pPr>
            <w:r>
              <w:rPr>
                <w:rFonts w:hint="eastAsia" w:ascii="宋体" w:hAnsi="宋体" w:eastAsia="宋体" w:cs="宋体"/>
                <w:sz w:val="24"/>
                <w:szCs w:val="24"/>
              </w:rPr>
              <w:t>4、法律法规规定不得实行股权激励的；</w:t>
            </w:r>
          </w:p>
          <w:p>
            <w:pPr>
              <w:spacing w:after="0"/>
              <w:rPr>
                <w:rFonts w:ascii="宋体" w:hAnsi="宋体" w:eastAsia="宋体" w:cs="宋体"/>
                <w:sz w:val="24"/>
                <w:szCs w:val="24"/>
              </w:rPr>
            </w:pPr>
            <w:r>
              <w:rPr>
                <w:rFonts w:hint="eastAsia" w:ascii="宋体" w:hAnsi="宋体" w:eastAsia="宋体" w:cs="宋体"/>
                <w:sz w:val="24"/>
                <w:szCs w:val="24"/>
              </w:rPr>
              <w:t>5、中国证监会认定的其他情形</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公司未发生前述情形，满足解锁条件。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激励对象</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激励对象未发生如下任一情形：</w:t>
            </w:r>
          </w:p>
          <w:p>
            <w:pPr>
              <w:spacing w:after="0"/>
              <w:rPr>
                <w:rFonts w:ascii="宋体" w:hAnsi="宋体" w:eastAsia="宋体" w:cs="宋体"/>
                <w:sz w:val="24"/>
                <w:szCs w:val="24"/>
              </w:rPr>
            </w:pPr>
            <w:r>
              <w:rPr>
                <w:rFonts w:hint="eastAsia" w:ascii="宋体" w:hAnsi="宋体" w:eastAsia="宋体" w:cs="宋体"/>
                <w:sz w:val="24"/>
                <w:szCs w:val="24"/>
              </w:rPr>
              <w:t>1、最近 12 个月内被证券交易所认定为不适当人选；</w:t>
            </w:r>
          </w:p>
          <w:p>
            <w:pPr>
              <w:spacing w:after="0"/>
              <w:rPr>
                <w:rFonts w:ascii="宋体" w:hAnsi="宋体" w:eastAsia="宋体" w:cs="宋体"/>
                <w:sz w:val="24"/>
                <w:szCs w:val="24"/>
              </w:rPr>
            </w:pPr>
            <w:r>
              <w:rPr>
                <w:rFonts w:hint="eastAsia" w:ascii="宋体" w:hAnsi="宋体" w:eastAsia="宋体" w:cs="宋体"/>
                <w:sz w:val="24"/>
                <w:szCs w:val="24"/>
              </w:rPr>
              <w:t>2、最近 12 个月内被中国证监会及其派出机构认定为不适当人选；</w:t>
            </w:r>
          </w:p>
          <w:p>
            <w:pPr>
              <w:spacing w:after="0"/>
              <w:rPr>
                <w:rFonts w:ascii="宋体" w:hAnsi="宋体" w:eastAsia="宋体" w:cs="宋体"/>
                <w:sz w:val="24"/>
                <w:szCs w:val="24"/>
              </w:rPr>
            </w:pPr>
            <w:r>
              <w:rPr>
                <w:rFonts w:hint="eastAsia" w:ascii="宋体" w:hAnsi="宋体" w:eastAsia="宋体" w:cs="宋体"/>
                <w:sz w:val="24"/>
                <w:szCs w:val="24"/>
              </w:rPr>
              <w:t>3、最近 12 个月内因重大违法违规行为被中国证监会及其派出机构行政处罚或者采取市场禁入措施；</w:t>
            </w:r>
          </w:p>
          <w:p>
            <w:pPr>
              <w:spacing w:after="0"/>
              <w:rPr>
                <w:rFonts w:ascii="宋体" w:hAnsi="宋体" w:eastAsia="宋体" w:cs="宋体"/>
                <w:sz w:val="24"/>
                <w:szCs w:val="24"/>
              </w:rPr>
            </w:pPr>
            <w:r>
              <w:rPr>
                <w:rFonts w:hint="eastAsia" w:ascii="宋体" w:hAnsi="宋体" w:eastAsia="宋体" w:cs="宋体"/>
                <w:sz w:val="24"/>
                <w:szCs w:val="24"/>
              </w:rPr>
              <w:t>4、具有《公司法》规定的不得担任公司董事、高级管理人员情形的；</w:t>
            </w:r>
          </w:p>
          <w:p>
            <w:pPr>
              <w:spacing w:after="0"/>
              <w:rPr>
                <w:rFonts w:ascii="宋体" w:hAnsi="宋体" w:eastAsia="宋体" w:cs="宋体"/>
                <w:sz w:val="24"/>
                <w:szCs w:val="24"/>
              </w:rPr>
            </w:pPr>
            <w:r>
              <w:rPr>
                <w:rFonts w:hint="eastAsia" w:ascii="宋体" w:hAnsi="宋体" w:eastAsia="宋体" w:cs="宋体"/>
                <w:sz w:val="24"/>
                <w:szCs w:val="24"/>
              </w:rPr>
              <w:t>5 、法律法规规定不得参与上市公司股权激励的；</w:t>
            </w:r>
          </w:p>
          <w:p>
            <w:pPr>
              <w:spacing w:after="0"/>
              <w:rPr>
                <w:rFonts w:ascii="宋体" w:hAnsi="宋体" w:eastAsia="宋体" w:cs="宋体"/>
                <w:sz w:val="24"/>
                <w:szCs w:val="24"/>
              </w:rPr>
            </w:pPr>
            <w:r>
              <w:rPr>
                <w:rFonts w:hint="eastAsia" w:ascii="宋体" w:hAnsi="宋体" w:eastAsia="宋体" w:cs="宋体"/>
                <w:sz w:val="24"/>
                <w:szCs w:val="24"/>
              </w:rPr>
              <w:t>6、中国证监会认定的其他情形。</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激励对象未发生前述情形，满足解锁条件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公司业</w:t>
            </w:r>
          </w:p>
          <w:p>
            <w:pPr>
              <w:spacing w:after="0"/>
              <w:jc w:val="center"/>
              <w:rPr>
                <w:rFonts w:ascii="宋体" w:hAnsi="宋体" w:eastAsia="宋体" w:cs="宋体"/>
                <w:sz w:val="24"/>
                <w:szCs w:val="24"/>
              </w:rPr>
            </w:pPr>
            <w:r>
              <w:rPr>
                <w:rFonts w:hint="eastAsia" w:ascii="宋体" w:hAnsi="宋体" w:eastAsia="宋体" w:cs="宋体"/>
                <w:sz w:val="24"/>
                <w:szCs w:val="24"/>
              </w:rPr>
              <w:t>绩考核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以2020年营业收入为基数，2022年营业收入增长率不低于15%；同时以2020年净利润为基数，2022年净利润增长率不低于10%。</w:t>
            </w:r>
          </w:p>
          <w:p>
            <w:pPr>
              <w:spacing w:after="0"/>
              <w:rPr>
                <w:rFonts w:ascii="宋体" w:hAnsi="宋体" w:eastAsia="宋体" w:cs="宋体"/>
                <w:sz w:val="24"/>
                <w:szCs w:val="24"/>
              </w:rPr>
            </w:pPr>
            <w:r>
              <w:rPr>
                <w:rFonts w:hint="eastAsia" w:ascii="宋体" w:hAnsi="宋体" w:eastAsia="宋体" w:cs="宋体"/>
                <w:sz w:val="24"/>
                <w:szCs w:val="24"/>
              </w:rPr>
              <w:t>其中按照营业收入（S1）占比40%、净利润（S2）占比60%的比例加权计算作为考核指标S，即S=S1+S2。</w:t>
            </w:r>
          </w:p>
          <w:p>
            <w:pPr>
              <w:spacing w:after="0"/>
              <w:rPr>
                <w:rFonts w:ascii="宋体" w:hAnsi="宋体" w:eastAsia="宋体" w:cs="宋体"/>
                <w:sz w:val="24"/>
                <w:szCs w:val="24"/>
              </w:rPr>
            </w:pPr>
            <w:r>
              <w:rPr>
                <w:rFonts w:hint="eastAsia" w:ascii="宋体" w:hAnsi="宋体" w:eastAsia="宋体" w:cs="宋体"/>
                <w:sz w:val="24"/>
                <w:szCs w:val="24"/>
              </w:rPr>
              <w:t>营业收入考核指标S1=当年实现值/考核指标值*40%，（注：S1最大值等于0.4）</w:t>
            </w:r>
          </w:p>
          <w:p>
            <w:pPr>
              <w:spacing w:after="0"/>
              <w:rPr>
                <w:rFonts w:ascii="宋体" w:hAnsi="宋体" w:eastAsia="宋体" w:cs="宋体"/>
                <w:sz w:val="24"/>
                <w:szCs w:val="24"/>
              </w:rPr>
            </w:pPr>
            <w:r>
              <w:rPr>
                <w:rFonts w:hint="eastAsia" w:ascii="宋体" w:hAnsi="宋体" w:eastAsia="宋体" w:cs="宋体"/>
                <w:sz w:val="24"/>
                <w:szCs w:val="24"/>
              </w:rPr>
              <w:t>净利润考核指标S2=当年实现值/考核指标值*60%，（注：S2最大值等于0.6）</w:t>
            </w:r>
          </w:p>
          <w:p>
            <w:pPr>
              <w:spacing w:after="0"/>
              <w:rPr>
                <w:rFonts w:ascii="宋体" w:hAnsi="宋体" w:eastAsia="宋体" w:cs="宋体"/>
                <w:sz w:val="24"/>
                <w:szCs w:val="24"/>
              </w:rPr>
            </w:pPr>
            <w:r>
              <w:rPr>
                <w:rFonts w:hint="eastAsia" w:ascii="宋体" w:hAnsi="宋体" w:eastAsia="宋体" w:cs="宋体"/>
                <w:sz w:val="24"/>
                <w:szCs w:val="24"/>
              </w:rPr>
              <w:t>1、S=1；则100%解除当期限售股份。</w:t>
            </w:r>
          </w:p>
          <w:p>
            <w:pPr>
              <w:spacing w:after="0"/>
              <w:rPr>
                <w:rFonts w:ascii="宋体" w:hAnsi="宋体" w:eastAsia="宋体" w:cs="宋体"/>
                <w:sz w:val="24"/>
                <w:szCs w:val="24"/>
              </w:rPr>
            </w:pPr>
            <w:r>
              <w:rPr>
                <w:rFonts w:hint="eastAsia" w:ascii="宋体" w:hAnsi="宋体" w:eastAsia="宋体" w:cs="宋体"/>
                <w:sz w:val="24"/>
                <w:szCs w:val="24"/>
              </w:rPr>
              <w:t>2、0.9≤S＜1；则90%解除当期限售股份。</w:t>
            </w:r>
          </w:p>
          <w:p>
            <w:pPr>
              <w:spacing w:after="0"/>
              <w:rPr>
                <w:rFonts w:ascii="宋体" w:hAnsi="宋体" w:eastAsia="宋体" w:cs="宋体"/>
                <w:sz w:val="24"/>
                <w:szCs w:val="24"/>
              </w:rPr>
            </w:pPr>
            <w:r>
              <w:rPr>
                <w:rFonts w:hint="eastAsia" w:ascii="宋体" w:hAnsi="宋体" w:eastAsia="宋体" w:cs="宋体"/>
                <w:sz w:val="24"/>
                <w:szCs w:val="24"/>
              </w:rPr>
              <w:t>3、0.8≤S＜0.9；则80%解除当期限售股份。</w:t>
            </w:r>
          </w:p>
          <w:p>
            <w:pPr>
              <w:spacing w:after="0"/>
              <w:rPr>
                <w:rFonts w:ascii="宋体" w:hAnsi="宋体" w:eastAsia="宋体" w:cs="宋体"/>
                <w:sz w:val="24"/>
                <w:szCs w:val="24"/>
              </w:rPr>
            </w:pPr>
            <w:r>
              <w:rPr>
                <w:rFonts w:hint="eastAsia" w:ascii="宋体" w:hAnsi="宋体" w:eastAsia="宋体" w:cs="宋体"/>
                <w:sz w:val="24"/>
                <w:szCs w:val="24"/>
              </w:rPr>
              <w:t>4、S＜0.8；则不得解除当期限售股份。</w:t>
            </w:r>
          </w:p>
        </w:tc>
        <w:tc>
          <w:tcPr>
            <w:tcW w:w="2841" w:type="dxa"/>
            <w:vAlign w:val="center"/>
          </w:tcPr>
          <w:p>
            <w:pPr>
              <w:spacing w:after="0"/>
              <w:rPr>
                <w:rFonts w:ascii="宋体" w:hAnsi="宋体" w:eastAsia="宋体" w:cs="宋体"/>
                <w:sz w:val="24"/>
                <w:szCs w:val="24"/>
              </w:rPr>
            </w:pPr>
            <w:r>
              <w:rPr>
                <w:rFonts w:hint="eastAsia" w:ascii="宋体" w:hAnsi="宋体" w:eastAsia="宋体" w:cs="宋体"/>
                <w:sz w:val="24"/>
                <w:szCs w:val="24"/>
              </w:rPr>
              <w:t>根据和信会计师事务所（特殊普通合伙）出具的和信审字（2023）第</w:t>
            </w:r>
            <w:r>
              <w:rPr>
                <w:rFonts w:ascii="宋体" w:hAnsi="宋体" w:eastAsia="宋体" w:cs="宋体"/>
                <w:sz w:val="24"/>
                <w:szCs w:val="24"/>
              </w:rPr>
              <w:t>000254</w:t>
            </w:r>
            <w:r>
              <w:rPr>
                <w:rFonts w:hint="eastAsia" w:ascii="宋体" w:hAnsi="宋体" w:eastAsia="宋体" w:cs="宋体"/>
                <w:sz w:val="24"/>
                <w:szCs w:val="24"/>
              </w:rPr>
              <w:t xml:space="preserve"> 号审计报告，以2020年营业收入为基数，2022年营业收入增长率为56.75%；同时以2020 年净利润为基数，2022年净利润增长率为130.81%，本期限售股份解锁比例为100%。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after="0"/>
              <w:jc w:val="center"/>
              <w:rPr>
                <w:rFonts w:ascii="宋体" w:hAnsi="宋体" w:eastAsia="宋体" w:cs="宋体"/>
                <w:sz w:val="24"/>
                <w:szCs w:val="24"/>
              </w:rPr>
            </w:pPr>
            <w:r>
              <w:rPr>
                <w:rFonts w:hint="eastAsia" w:ascii="宋体" w:hAnsi="宋体" w:eastAsia="宋体" w:cs="宋体"/>
                <w:sz w:val="24"/>
                <w:szCs w:val="24"/>
              </w:rPr>
              <w:t>个人业</w:t>
            </w:r>
          </w:p>
          <w:p>
            <w:pPr>
              <w:spacing w:after="0"/>
              <w:jc w:val="center"/>
              <w:rPr>
                <w:rFonts w:ascii="宋体" w:hAnsi="宋体" w:eastAsia="宋体" w:cs="宋体"/>
                <w:sz w:val="24"/>
                <w:szCs w:val="24"/>
              </w:rPr>
            </w:pPr>
            <w:r>
              <w:rPr>
                <w:rFonts w:hint="eastAsia" w:ascii="宋体" w:hAnsi="宋体" w:eastAsia="宋体" w:cs="宋体"/>
                <w:sz w:val="24"/>
                <w:szCs w:val="24"/>
              </w:rPr>
              <w:t>绩考核</w:t>
            </w:r>
          </w:p>
        </w:tc>
        <w:tc>
          <w:tcPr>
            <w:tcW w:w="4722" w:type="dxa"/>
          </w:tcPr>
          <w:p>
            <w:pPr>
              <w:spacing w:after="0"/>
              <w:rPr>
                <w:rFonts w:ascii="宋体" w:hAnsi="宋体" w:eastAsia="宋体" w:cs="宋体"/>
                <w:sz w:val="24"/>
                <w:szCs w:val="24"/>
              </w:rPr>
            </w:pPr>
            <w:r>
              <w:rPr>
                <w:rFonts w:hint="eastAsia" w:ascii="宋体" w:hAnsi="宋体" w:eastAsia="宋体" w:cs="宋体"/>
                <w:sz w:val="24"/>
                <w:szCs w:val="24"/>
              </w:rPr>
              <w:t>个人业绩考核结果（X）</w:t>
            </w:r>
          </w:p>
          <w:p>
            <w:pPr>
              <w:spacing w:after="0"/>
              <w:rPr>
                <w:rFonts w:ascii="宋体" w:hAnsi="宋体" w:eastAsia="宋体" w:cs="宋体"/>
                <w:sz w:val="24"/>
                <w:szCs w:val="24"/>
              </w:rPr>
            </w:pPr>
            <w:r>
              <w:rPr>
                <w:rFonts w:hint="eastAsia" w:ascii="宋体" w:hAnsi="宋体" w:eastAsia="宋体" w:cs="宋体"/>
                <w:sz w:val="24"/>
                <w:szCs w:val="24"/>
              </w:rPr>
              <w:t>1、95≤X；则100%解除当期限售股份。</w:t>
            </w:r>
          </w:p>
          <w:p>
            <w:pPr>
              <w:spacing w:after="0"/>
              <w:rPr>
                <w:rFonts w:ascii="宋体" w:hAnsi="宋体" w:eastAsia="宋体" w:cs="宋体"/>
                <w:sz w:val="24"/>
                <w:szCs w:val="24"/>
              </w:rPr>
            </w:pPr>
            <w:r>
              <w:rPr>
                <w:rFonts w:hint="eastAsia" w:ascii="宋体" w:hAnsi="宋体" w:eastAsia="宋体" w:cs="宋体"/>
                <w:sz w:val="24"/>
                <w:szCs w:val="24"/>
              </w:rPr>
              <w:t>2、85≤X＜95；则90%解除当期限售股份。</w:t>
            </w:r>
          </w:p>
          <w:p>
            <w:pPr>
              <w:spacing w:after="0"/>
              <w:rPr>
                <w:rFonts w:ascii="宋体" w:hAnsi="宋体" w:eastAsia="宋体" w:cs="宋体"/>
                <w:sz w:val="24"/>
                <w:szCs w:val="24"/>
              </w:rPr>
            </w:pPr>
            <w:r>
              <w:rPr>
                <w:rFonts w:hint="eastAsia" w:ascii="宋体" w:hAnsi="宋体" w:eastAsia="宋体" w:cs="宋体"/>
                <w:sz w:val="24"/>
                <w:szCs w:val="24"/>
              </w:rPr>
              <w:t>3、75≤X＜85；则80%解除当期限售股份。</w:t>
            </w:r>
          </w:p>
          <w:p>
            <w:pPr>
              <w:spacing w:after="0"/>
              <w:rPr>
                <w:rFonts w:ascii="宋体" w:hAnsi="宋体" w:eastAsia="宋体" w:cs="宋体"/>
                <w:sz w:val="24"/>
                <w:szCs w:val="24"/>
              </w:rPr>
            </w:pPr>
            <w:r>
              <w:rPr>
                <w:rFonts w:hint="eastAsia" w:ascii="宋体" w:hAnsi="宋体" w:eastAsia="宋体" w:cs="宋体"/>
                <w:sz w:val="24"/>
                <w:szCs w:val="24"/>
              </w:rPr>
              <w:t>4、X＜75；则不得解除当期限售股份。</w:t>
            </w:r>
          </w:p>
        </w:tc>
        <w:tc>
          <w:tcPr>
            <w:tcW w:w="2841" w:type="dxa"/>
            <w:vAlign w:val="center"/>
          </w:tcPr>
          <w:p>
            <w:pPr>
              <w:spacing w:after="0"/>
              <w:rPr>
                <w:rFonts w:ascii="宋体" w:hAnsi="宋体" w:eastAsia="宋体" w:cs="宋体"/>
                <w:sz w:val="24"/>
                <w:szCs w:val="24"/>
              </w:rPr>
            </w:pPr>
            <w:r>
              <w:rPr>
                <w:rFonts w:hint="eastAsia" w:asciiTheme="minorEastAsia" w:hAnsiTheme="minorEastAsia" w:eastAsiaTheme="minorEastAsia"/>
                <w:u w:val="single"/>
              </w:rPr>
              <w:t>1</w:t>
            </w:r>
            <w:r>
              <w:rPr>
                <w:rFonts w:hint="eastAsia" w:asciiTheme="minorEastAsia" w:hAnsiTheme="minorEastAsia" w:eastAsiaTheme="minorEastAsia"/>
              </w:rPr>
              <w:t>名激励对象离职已不具备激励资格；</w:t>
            </w:r>
            <w:r>
              <w:rPr>
                <w:rFonts w:hint="eastAsia" w:asciiTheme="minorEastAsia" w:hAnsiTheme="minorEastAsia" w:eastAsiaTheme="minorEastAsia"/>
                <w:u w:val="single"/>
              </w:rPr>
              <w:t>1</w:t>
            </w:r>
            <w:r>
              <w:rPr>
                <w:rFonts w:hint="eastAsia" w:asciiTheme="minorEastAsia" w:hAnsiTheme="minorEastAsia" w:eastAsiaTheme="minorEastAsia"/>
              </w:rPr>
              <w:t>名激励对象绩效考核为不合格，不符合解锁条件；2名激励对象绩效考核为合格，可以申请解除当期80%限售股份；1名激励对象绩效考核为良好，可以申请解除当期90%限售股份；其余</w:t>
            </w:r>
            <w:r>
              <w:rPr>
                <w:rFonts w:asciiTheme="minorEastAsia" w:hAnsiTheme="minorEastAsia" w:eastAsiaTheme="minorEastAsia"/>
                <w:u w:val="single"/>
              </w:rPr>
              <w:t xml:space="preserve"> 7</w:t>
            </w:r>
            <w:r>
              <w:rPr>
                <w:rFonts w:hint="eastAsia" w:asciiTheme="minorEastAsia" w:hAnsiTheme="minorEastAsia" w:eastAsiaTheme="minorEastAsia"/>
                <w:u w:val="single"/>
              </w:rPr>
              <w:t>2</w:t>
            </w:r>
            <w:r>
              <w:rPr>
                <w:rFonts w:asciiTheme="minorEastAsia" w:hAnsiTheme="minorEastAsia" w:eastAsiaTheme="minorEastAsia"/>
                <w:u w:val="single"/>
              </w:rPr>
              <w:t xml:space="preserve"> </w:t>
            </w:r>
            <w:r>
              <w:rPr>
                <w:rFonts w:hint="eastAsia" w:asciiTheme="minorEastAsia" w:hAnsiTheme="minorEastAsia" w:eastAsiaTheme="minorEastAsia"/>
              </w:rPr>
              <w:t>名激励对象绩效考核均为优秀，均满足本次全比例解锁条件。</w:t>
            </w:r>
          </w:p>
        </w:tc>
      </w:tr>
    </w:tbl>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综上所述，董事会认为股权激励计划中首次授予部分第二个解锁期解锁条件已经成就，其中</w:t>
      </w:r>
      <w:r>
        <w:rPr>
          <w:rFonts w:asciiTheme="minorEastAsia" w:hAnsiTheme="minorEastAsia" w:eastAsiaTheme="minorEastAsia"/>
          <w:sz w:val="24"/>
          <w:szCs w:val="23"/>
        </w:rPr>
        <w:t xml:space="preserve"> </w:t>
      </w:r>
      <w:r>
        <w:rPr>
          <w:rFonts w:hint="eastAsia" w:asciiTheme="minorEastAsia" w:hAnsiTheme="minorEastAsia" w:eastAsiaTheme="minorEastAsia"/>
          <w:sz w:val="24"/>
          <w:szCs w:val="23"/>
        </w:rPr>
        <w:t>1名激励对象由于离职不符合解锁条件，其所持有的未解禁部分股票全部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注销，其余72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。根据公司《激励计划》的相关规定，2名激励对象可以申请解除限售所获限制性股票总量的24%，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%，其余72名激励对象可申请解除限售所获限制性股票总量的3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w:t>
      </w:r>
      <w:r>
        <w:rPr>
          <w:rFonts w:asciiTheme="minorEastAsia" w:hAnsiTheme="minorEastAsia" w:eastAsiaTheme="minorEastAsia"/>
          <w:sz w:val="24"/>
          <w:szCs w:val="23"/>
        </w:rPr>
        <w:t>7</w:t>
      </w:r>
      <w:r>
        <w:rPr>
          <w:rFonts w:asciiTheme="minorEastAsia" w:hAnsiTheme="minorEastAsia" w:eastAsiaTheme="minorEastAsia"/>
          <w:sz w:val="24"/>
          <w:szCs w:val="23"/>
          <w:highlight w:val="none"/>
        </w:rPr>
        <w:t>5</w:t>
      </w:r>
      <w:r>
        <w:rPr>
          <w:rFonts w:hint="eastAsia" w:asciiTheme="minorEastAsia" w:hAnsiTheme="minorEastAsia" w:eastAsiaTheme="minorEastAsia"/>
          <w:sz w:val="24"/>
          <w:szCs w:val="23"/>
        </w:rPr>
        <w:t>名激励对象获授限制性股票总数为3,269,500股，本次可申请解锁的限制性股票数量为973</w:t>
      </w:r>
      <w:r>
        <w:rPr>
          <w:rFonts w:asciiTheme="minorEastAsia" w:hAnsiTheme="minorEastAsia" w:eastAsiaTheme="minorEastAsia"/>
          <w:sz w:val="24"/>
          <w:szCs w:val="23"/>
        </w:rPr>
        <w:t>,</w:t>
      </w:r>
      <w:r>
        <w:rPr>
          <w:rFonts w:hint="eastAsia" w:asciiTheme="minorEastAsia" w:hAnsiTheme="minorEastAsia" w:eastAsiaTheme="minorEastAsia"/>
          <w:sz w:val="24"/>
          <w:szCs w:val="23"/>
        </w:rPr>
        <w:t>245股，占目前公司总股本的0.4433%。根据公司20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年第二次临时股东大会对董事会的授权，同意按照激励计划的相关规定办理限制性股票首次授予部分第二个解锁期解锁的相关事宜。</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三、本次可解除限制性股票的激励对象及可解锁限制性股票数量</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根据公司《激励计划》的相关规定，第二个解锁期2名激励对象可以申请解除限售所获限制性股票总量的24%，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%，其余72名激励对象可申请解除限售所获限制性股票总量的3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除1名激励对象由于离职不符合解锁条件；1名激励对象绩效考核为不合格，不符合解锁条件；2名激励对象绩效考核为合格，可以申请解除当期80%限售股份；1名激励对象绩效考核为良好，可以申请解除当期90%限售股份；其余72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。即本次满足解锁条件的激励对象人数为75名，可申请解锁的限制性股票数量为973</w:t>
      </w:r>
      <w:r>
        <w:rPr>
          <w:rFonts w:asciiTheme="minorEastAsia" w:hAnsiTheme="minorEastAsia" w:eastAsiaTheme="minorEastAsia"/>
          <w:sz w:val="24"/>
          <w:szCs w:val="23"/>
        </w:rPr>
        <w:t>,</w:t>
      </w:r>
      <w:r>
        <w:rPr>
          <w:rFonts w:hint="eastAsia" w:asciiTheme="minorEastAsia" w:hAnsiTheme="minorEastAsia" w:eastAsiaTheme="minorEastAsia"/>
          <w:sz w:val="24"/>
          <w:szCs w:val="23"/>
        </w:rPr>
        <w:t>245股，占目前公司总股本的0.4433%。</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2267"/>
        <w:gridCol w:w="1557"/>
        <w:gridCol w:w="1557"/>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1001"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姓 名</w:t>
            </w:r>
          </w:p>
        </w:tc>
        <w:tc>
          <w:tcPr>
            <w:tcW w:w="2267"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职 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获授的限制性股票数量（万股）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本期可解锁数量（万股）</w:t>
            </w:r>
          </w:p>
        </w:tc>
        <w:tc>
          <w:tcPr>
            <w:tcW w:w="1934"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剩余未解锁数量（万股）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李会君</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董事、总经理</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迟娜娜</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董事、财务总监</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刘克平</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原董事会秘书、原副总经理</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szCs w:val="21"/>
                <w:lang w:eastAsia="en-US"/>
              </w:rPr>
            </w:pPr>
            <w:r>
              <w:rPr>
                <w:rFonts w:hint="eastAsia" w:ascii="宋体" w:hAnsi="宋体" w:eastAsia="宋体" w:cs="宋体"/>
                <w:color w:val="000000"/>
                <w:lang w:bidi="ar"/>
              </w:rPr>
              <w:t>张会亭</w:t>
            </w:r>
          </w:p>
        </w:tc>
        <w:tc>
          <w:tcPr>
            <w:tcW w:w="226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研发总监</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郭成尼</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国际销售总监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渠汇成</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生产总监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王兆健</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品质总监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10.4</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3.12</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Style w:val="26"/>
                <w:rFonts w:hint="default"/>
                <w:lang w:bidi="ar"/>
              </w:rPr>
            </w:pPr>
            <w:r>
              <w:rPr>
                <w:rFonts w:hint="eastAsia" w:ascii="宋体" w:hAnsi="宋体" w:eastAsia="宋体" w:cs="宋体"/>
                <w:color w:val="000000"/>
                <w:lang w:bidi="ar"/>
              </w:rPr>
              <w:t>李鹏飞</w:t>
            </w:r>
          </w:p>
        </w:tc>
        <w:tc>
          <w:tcPr>
            <w:tcW w:w="2267" w:type="dxa"/>
            <w:vAlign w:val="center"/>
          </w:tcPr>
          <w:p>
            <w:pPr>
              <w:jc w:val="center"/>
              <w:textAlignment w:val="center"/>
              <w:rPr>
                <w:rStyle w:val="26"/>
                <w:rFonts w:hint="default"/>
                <w:lang w:bidi="ar"/>
              </w:rPr>
            </w:pPr>
            <w:r>
              <w:rPr>
                <w:rFonts w:hint="eastAsia" w:ascii="宋体" w:hAnsi="宋体" w:eastAsia="宋体" w:cs="宋体"/>
                <w:color w:val="000000"/>
                <w:lang w:bidi="ar"/>
              </w:rPr>
              <w:t>董事会秘书</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3.9</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1.17</w:t>
            </w:r>
          </w:p>
        </w:tc>
        <w:tc>
          <w:tcPr>
            <w:tcW w:w="1934"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3268" w:type="dxa"/>
            <w:gridSpan w:val="2"/>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其他核心人员（67人）</w:t>
            </w:r>
          </w:p>
        </w:tc>
        <w:tc>
          <w:tcPr>
            <w:tcW w:w="155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250.25</w:t>
            </w:r>
          </w:p>
        </w:tc>
        <w:tc>
          <w:tcPr>
            <w:tcW w:w="155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74.3145</w:t>
            </w:r>
          </w:p>
        </w:tc>
        <w:tc>
          <w:tcPr>
            <w:tcW w:w="1934"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70.98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3268" w:type="dxa"/>
            <w:gridSpan w:val="2"/>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合  计</w:t>
            </w:r>
          </w:p>
        </w:tc>
        <w:tc>
          <w:tcPr>
            <w:tcW w:w="1557" w:type="dxa"/>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326.95</w:t>
            </w:r>
          </w:p>
        </w:tc>
        <w:tc>
          <w:tcPr>
            <w:tcW w:w="1557" w:type="dxa"/>
            <w:vAlign w:val="center"/>
          </w:tcPr>
          <w:p>
            <w:pPr>
              <w:jc w:val="center"/>
              <w:textAlignment w:val="center"/>
              <w:rPr>
                <w:rFonts w:ascii="宋体" w:hAnsi="宋体" w:eastAsia="宋体" w:cs="宋体"/>
                <w:b/>
                <w:bCs/>
                <w:szCs w:val="21"/>
              </w:rPr>
            </w:pPr>
            <w:r>
              <w:rPr>
                <w:rFonts w:hint="eastAsia" w:ascii="宋体" w:hAnsi="宋体" w:eastAsia="宋体" w:cs="宋体"/>
                <w:b/>
                <w:bCs/>
                <w:color w:val="000000"/>
                <w:lang w:bidi="ar"/>
              </w:rPr>
              <w:t>97.3245</w:t>
            </w:r>
          </w:p>
        </w:tc>
        <w:tc>
          <w:tcPr>
            <w:tcW w:w="1934" w:type="dxa"/>
            <w:vAlign w:val="center"/>
          </w:tcPr>
          <w:p>
            <w:pPr>
              <w:jc w:val="center"/>
              <w:textAlignment w:val="center"/>
              <w:rPr>
                <w:rFonts w:ascii="宋体" w:hAnsi="宋体" w:eastAsia="宋体" w:cs="宋体"/>
                <w:b/>
                <w:bCs/>
                <w:szCs w:val="21"/>
              </w:rPr>
            </w:pPr>
            <w:r>
              <w:rPr>
                <w:rFonts w:hint="eastAsia" w:ascii="宋体" w:hAnsi="宋体" w:eastAsia="宋体" w:cs="宋体"/>
                <w:b/>
                <w:bCs/>
                <w:color w:val="000000"/>
                <w:lang w:bidi="ar"/>
              </w:rPr>
              <w:t>101.66</w:t>
            </w:r>
          </w:p>
        </w:tc>
      </w:tr>
    </w:tbl>
    <w:p>
      <w:pPr>
        <w:pStyle w:val="18"/>
        <w:spacing w:before="120" w:beforeLines="50" w:after="120" w:afterLines="50" w:line="360" w:lineRule="auto"/>
        <w:ind w:firstLine="480" w:firstLineChars="200"/>
        <w:rPr>
          <w:rFonts w:hint="eastAsia" w:ascii="宋体" w:hAnsi="宋体" w:eastAsia="宋体" w:cs="宋体"/>
          <w:sz w:val="24"/>
          <w:szCs w:val="23"/>
        </w:rPr>
      </w:pPr>
      <w:r>
        <w:rPr>
          <w:rFonts w:hint="eastAsia" w:ascii="宋体" w:hAnsi="宋体" w:eastAsia="宋体" w:cs="宋体"/>
          <w:sz w:val="24"/>
          <w:szCs w:val="23"/>
        </w:rPr>
        <w:t>（注：1、公司高级管理人员李会君、迟娜娜</w:t>
      </w:r>
      <w:r>
        <w:rPr>
          <w:rFonts w:hint="eastAsia" w:ascii="宋体" w:hAnsi="宋体" w:eastAsia="宋体" w:cs="宋体"/>
          <w:sz w:val="24"/>
          <w:szCs w:val="24"/>
        </w:rPr>
        <w:t>、张会亭、郭成尼、渠汇成、王兆健及原高级管理人员刘克平本次可解锁的限制性股票数量均为</w:t>
      </w:r>
      <w:r>
        <w:rPr>
          <w:rFonts w:hint="eastAsia" w:ascii="宋体" w:hAnsi="宋体" w:eastAsia="宋体" w:cs="宋体"/>
          <w:color w:val="000000"/>
          <w:sz w:val="24"/>
          <w:szCs w:val="24"/>
          <w:lang w:bidi="ar"/>
        </w:rPr>
        <w:t xml:space="preserve">3.12 </w:t>
      </w:r>
      <w:r>
        <w:rPr>
          <w:rFonts w:hint="eastAsia" w:ascii="宋体" w:hAnsi="宋体" w:eastAsia="宋体" w:cs="宋体"/>
          <w:sz w:val="24"/>
          <w:szCs w:val="24"/>
        </w:rPr>
        <w:t>万股，公司高级管理人员李鹏飞本次可解锁的限制性股票数量为1.17万股，其买卖股份将遵守《证券法》《上市公司股东、董监高减持股份的若干</w:t>
      </w:r>
      <w:r>
        <w:rPr>
          <w:rFonts w:hint="eastAsia" w:ascii="宋体" w:hAnsi="宋体" w:eastAsia="宋体" w:cs="宋体"/>
          <w:sz w:val="24"/>
          <w:szCs w:val="23"/>
        </w:rPr>
        <w:t>规定》《深圳证券交易所上市公司股东及董事、监事、高级管理人员减持股份实施细则》等相关规定；2、鉴于激励对象中张晓军因个人原因已在本激励计划首次授予部分第二个限售期内离职，失去本次股权激励资格,其所持有的未解禁部分股票全部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其余72名激励对象本期限售股份解锁比例为100%。）</w:t>
      </w:r>
    </w:p>
    <w:p>
      <w:pPr>
        <w:spacing w:before="120" w:beforeLines="50" w:after="120" w:afterLines="50" w:line="360" w:lineRule="auto"/>
        <w:ind w:firstLine="482" w:firstLineChars="200"/>
        <w:jc w:val="both"/>
        <w:rPr>
          <w:rFonts w:asciiTheme="minorEastAsia" w:hAnsiTheme="minorEastAsia" w:eastAsiaTheme="minorEastAsia"/>
          <w:b/>
          <w:sz w:val="24"/>
          <w:szCs w:val="23"/>
        </w:rPr>
      </w:pPr>
      <w:r>
        <w:rPr>
          <w:rFonts w:hint="eastAsia" w:asciiTheme="minorEastAsia" w:hAnsiTheme="minorEastAsia" w:eastAsiaTheme="minorEastAsia"/>
          <w:b/>
          <w:sz w:val="24"/>
          <w:szCs w:val="23"/>
        </w:rPr>
        <w:t>四、董事会薪酬与考核委员会的核查意见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薪酬与考核委员会审核后认为：本期除1名激励对象离职已不具备激励资格，1名激励对象绩效考核为不合格，不符合解锁条件；2名激励对象绩效考核为合格，可以申请解除当期80%限售股份；1名激励对象绩效考核为良好，可以申请解除当期90%限售股份；其余</w:t>
      </w:r>
      <w:r>
        <w:rPr>
          <w:rFonts w:asciiTheme="minorEastAsia" w:hAnsiTheme="minorEastAsia" w:eastAsiaTheme="minorEastAsia"/>
          <w:sz w:val="24"/>
          <w:szCs w:val="23"/>
        </w:rPr>
        <w:t>7</w:t>
      </w:r>
      <w:r>
        <w:rPr>
          <w:rFonts w:hint="eastAsia" w:asciiTheme="minorEastAsia" w:hAnsiTheme="minorEastAsia" w:eastAsiaTheme="minorEastAsia"/>
          <w:sz w:val="24"/>
          <w:szCs w:val="23"/>
        </w:rPr>
        <w:t>2名激励对象绩效考核等级均为优秀，本期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；且公司符合业绩指标等其他解锁条件，可解锁的激励对象的资格合法、有效。综上，董事会薪酬与考核委员会一致同意75名激励对象在公司激励计划规定的首次授予部分第二个解锁期内按比例解锁。</w:t>
      </w:r>
    </w:p>
    <w:p>
      <w:pPr>
        <w:spacing w:before="120" w:beforeLines="50" w:after="120" w:afterLines="50" w:line="360" w:lineRule="auto"/>
        <w:ind w:firstLine="419" w:firstLineChars="174"/>
        <w:rPr>
          <w:rFonts w:asciiTheme="minorEastAsia" w:hAnsiTheme="minorEastAsia" w:eastAsiaTheme="minorEastAsia"/>
          <w:b/>
          <w:sz w:val="24"/>
          <w:szCs w:val="24"/>
        </w:rPr>
      </w:pPr>
      <w:r>
        <w:rPr>
          <w:rFonts w:hint="eastAsia" w:asciiTheme="minorEastAsia" w:hAnsiTheme="minorEastAsia" w:eastAsiaTheme="minorEastAsia"/>
          <w:b/>
          <w:sz w:val="24"/>
          <w:szCs w:val="24"/>
        </w:rPr>
        <w:t>五、独立董事意见</w:t>
      </w:r>
    </w:p>
    <w:p>
      <w:pPr>
        <w:spacing w:before="120" w:beforeLines="50" w:after="120" w:afterLines="50" w:line="360" w:lineRule="auto"/>
        <w:ind w:firstLine="480" w:firstLineChars="200"/>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经核查，我们认为：</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1、公司符合《上市公司股权激励管理办法》等法律、法规以及《20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年限制性股票激励计划（草案）》规定的实施股权激励计划的情形，公司具备实施股权激励计划的主体资格，未发生激励计划中规定的不得解除限售的情形。</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2、激励对象不存在最近 12 个月内被证券交易所公开谴责或宣布为不适当人员的情形、最近 12 个月内因重大违法违规行为被中国证监会予以行政处罚的情形、《公司法》规定的不得担任公司高级管理人员的情形、公司董事会认定的其他严重违反公司有关规定的情形，满足《激励计划》等规定的解除限售条件（包括但不限于考核条件等），其作为公司本次可解除限售的激励对象主体资格合法、有效。</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3、以2020年营业收入为基数，2022年度营业收入的增长率为56.75%，不低于15%；同时以2020年净利润为基数，2022年净利润增长率为130.81%，不低于10%；本期限售股份解锁比例为100%。</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4、公司依据《2021年限制性股票激励计划实施考核管理办法》等相关绩效考核办法对全体激励对象所属部门在考核年度内进行了工作绩效考核，公司董事会薪酬与考核委员会对该考核结果予以审核，确认202</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年度</w:t>
      </w:r>
      <w:r>
        <w:rPr>
          <w:rFonts w:hint="eastAsia" w:asciiTheme="minorEastAsia" w:hAnsiTheme="minorEastAsia" w:eastAsiaTheme="minorEastAsia"/>
          <w:sz w:val="24"/>
          <w:szCs w:val="23"/>
        </w:rPr>
        <w:t>本期除1名</w:t>
      </w:r>
      <w:bookmarkStart w:id="2" w:name="_Hlk147574572"/>
      <w:r>
        <w:rPr>
          <w:rFonts w:hint="eastAsia" w:asciiTheme="minorEastAsia" w:hAnsiTheme="minorEastAsia" w:eastAsiaTheme="minorEastAsia"/>
          <w:sz w:val="24"/>
          <w:szCs w:val="23"/>
        </w:rPr>
        <w:t>激励对象离职已不具备激励资格</w:t>
      </w:r>
      <w:bookmarkEnd w:id="2"/>
      <w:r>
        <w:rPr>
          <w:rFonts w:hint="eastAsia" w:asciiTheme="minorEastAsia" w:hAnsiTheme="minorEastAsia" w:eastAsiaTheme="minorEastAsia"/>
          <w:sz w:val="24"/>
          <w:szCs w:val="23"/>
        </w:rPr>
        <w:t>，其所持有的未解禁部分股票全部由公司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由公司回购注销；其余</w:t>
      </w:r>
      <w:r>
        <w:rPr>
          <w:rFonts w:asciiTheme="minorEastAsia" w:hAnsiTheme="minorEastAsia" w:eastAsiaTheme="minorEastAsia"/>
          <w:sz w:val="24"/>
          <w:szCs w:val="23"/>
        </w:rPr>
        <w:t>7</w:t>
      </w:r>
      <w:r>
        <w:rPr>
          <w:rFonts w:hint="eastAsia" w:asciiTheme="minorEastAsia" w:hAnsiTheme="minorEastAsia" w:eastAsiaTheme="minorEastAsia"/>
          <w:sz w:val="24"/>
          <w:szCs w:val="23"/>
        </w:rPr>
        <w:t>2名激励对象绩效考核等级均为优秀，本期</w:t>
      </w:r>
      <w:r>
        <w:rPr>
          <w:rFonts w:asciiTheme="minorEastAsia" w:hAnsiTheme="minorEastAsia" w:eastAsiaTheme="minorEastAsia"/>
          <w:sz w:val="24"/>
          <w:szCs w:val="23"/>
        </w:rPr>
        <w:t>限售股份解锁比例为100%</w:t>
      </w:r>
      <w:r>
        <w:rPr>
          <w:rFonts w:hint="eastAsia" w:cs="宋体" w:asciiTheme="minorEastAsia" w:hAnsiTheme="minorEastAsia" w:eastAsiaTheme="minorEastAsia"/>
          <w:sz w:val="24"/>
          <w:szCs w:val="24"/>
        </w:rPr>
        <w:t>。</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5、公司有关限制性股票授予和解除限售程序未违反有关法律、法规及《激励计划》的规定，未侵犯公司及全体股东的利益，没有损害公司及公司股东尤其是中小股东的利益。</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综上，独立董事一致同意：本激励计划首次授予部分第二个解锁期解锁条件已全部成就，并同意公司按照《激励计划》及相关法律法规的要求，为</w:t>
      </w: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5名激励对象所持共计</w:t>
      </w:r>
      <w:r>
        <w:rPr>
          <w:rFonts w:hint="eastAsia" w:asciiTheme="minorEastAsia" w:hAnsiTheme="minorEastAsia" w:eastAsiaTheme="minorEastAsia"/>
          <w:sz w:val="24"/>
          <w:szCs w:val="23"/>
        </w:rPr>
        <w:t>973</w:t>
      </w:r>
      <w:r>
        <w:rPr>
          <w:rFonts w:asciiTheme="minorEastAsia" w:hAnsiTheme="minorEastAsia" w:eastAsiaTheme="minorEastAsia"/>
          <w:sz w:val="24"/>
          <w:szCs w:val="23"/>
        </w:rPr>
        <w:t>,</w:t>
      </w:r>
      <w:r>
        <w:rPr>
          <w:rFonts w:hint="eastAsia" w:asciiTheme="minorEastAsia" w:hAnsiTheme="minorEastAsia" w:eastAsiaTheme="minorEastAsia"/>
          <w:sz w:val="24"/>
          <w:szCs w:val="23"/>
        </w:rPr>
        <w:t>245</w:t>
      </w:r>
      <w:r>
        <w:rPr>
          <w:rFonts w:hint="eastAsia" w:cs="宋体" w:asciiTheme="minorEastAsia" w:hAnsiTheme="minorEastAsia" w:eastAsiaTheme="minorEastAsia"/>
          <w:sz w:val="24"/>
          <w:szCs w:val="24"/>
        </w:rPr>
        <w:t>股限制性股票安排解除限售。</w:t>
      </w:r>
    </w:p>
    <w:p>
      <w:pPr>
        <w:spacing w:before="120" w:beforeLines="50" w:after="120" w:afterLines="50" w:line="360" w:lineRule="auto"/>
        <w:ind w:firstLine="419" w:firstLineChars="174"/>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六、监事会意见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经核查，监事会认为：公司</w:t>
      </w:r>
      <w:r>
        <w:rPr>
          <w:rFonts w:cs="宋体" w:asciiTheme="minorEastAsia" w:hAnsiTheme="minorEastAsia" w:eastAsiaTheme="minorEastAsia"/>
          <w:sz w:val="24"/>
          <w:szCs w:val="24"/>
        </w:rPr>
        <w:t>7</w:t>
      </w:r>
      <w:r>
        <w:rPr>
          <w:rFonts w:hint="eastAsia" w:cs="宋体" w:asciiTheme="minorEastAsia" w:hAnsiTheme="minorEastAsia" w:eastAsiaTheme="minorEastAsia"/>
          <w:sz w:val="24"/>
          <w:szCs w:val="24"/>
        </w:rPr>
        <w:t>5名激励对象解除限售资格合法有效，公司 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年限制性股票预留部分第二个解锁期解锁条件已经成就，同意公司按《激励计划》办理限制性股票预留部分第二个解除限售期解除限售的相关事宜。</w:t>
      </w:r>
    </w:p>
    <w:p>
      <w:pPr>
        <w:spacing w:before="120" w:beforeLines="50" w:after="120" w:afterLines="50"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七、律师出具的法律意见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北京德和衡律师事务所认为：</w:t>
      </w:r>
      <w:bookmarkStart w:id="3" w:name="_GoBack"/>
      <w:bookmarkEnd w:id="3"/>
      <w:r>
        <w:rPr>
          <w:rFonts w:hint="eastAsia" w:cs="宋体" w:asciiTheme="minorEastAsia" w:hAnsiTheme="minorEastAsia" w:eastAsiaTheme="minorEastAsia"/>
          <w:sz w:val="24"/>
          <w:szCs w:val="24"/>
        </w:rPr>
        <w:t>公司本次解除限售已经取得必要的授权和批准，符合《公司法》《证券法》《管理办法》以及《公司章程》《激励计划》的相关规定；参与本次解除限售的激励对象具备申请解除限售的主体资格，公司不存在不得实施股权激励的情况，公司本次解除限售涉及的解除限售条件已经成就，符合《公司法》《证券法》《管理办法》以及《激励计划》的相关规定。</w:t>
      </w:r>
    </w:p>
    <w:p>
      <w:pPr>
        <w:spacing w:before="120" w:beforeLines="50" w:after="120" w:afterLines="50"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八、备查文件</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1．《青岛伟隆阀门股份有限公司第四届董事会第二十六次会议决议》；</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2．《青岛伟隆阀门股份有限公司第四届监事会第二十次会议决议》；</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3．《青岛伟隆阀门股份有限公司独立董事关于第四届董事会第二十六次会议相关事项的独立意见》；</w:t>
      </w:r>
    </w:p>
    <w:p>
      <w:pPr>
        <w:spacing w:before="120" w:beforeLines="50" w:after="120" w:afterLines="50" w:line="360" w:lineRule="auto"/>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4.《北京德和衡律师事务所关于青岛伟隆阀门股份有限公司20</w:t>
      </w:r>
      <w:r>
        <w:rPr>
          <w:rFonts w:cs="宋体" w:asciiTheme="minorEastAsia" w:hAnsiTheme="minorEastAsia" w:eastAsiaTheme="minorEastAsia"/>
          <w:sz w:val="24"/>
          <w:szCs w:val="24"/>
          <w:highlight w:val="none"/>
        </w:rPr>
        <w:t>21</w:t>
      </w:r>
      <w:r>
        <w:rPr>
          <w:rFonts w:hint="eastAsia" w:cs="宋体" w:asciiTheme="minorEastAsia" w:hAnsiTheme="minorEastAsia" w:eastAsiaTheme="minorEastAsia"/>
          <w:sz w:val="24"/>
          <w:szCs w:val="24"/>
          <w:highlight w:val="none"/>
        </w:rPr>
        <w:t>年限制性股票激励计划首次授予部分第二次解除限售及回购注销部分限制性股票相关事项的法律意见书》。</w:t>
      </w:r>
    </w:p>
    <w:p>
      <w:pPr>
        <w:spacing w:before="120" w:beforeLines="50" w:after="120" w:afterLines="50" w:line="360" w:lineRule="auto"/>
        <w:ind w:firstLine="468"/>
        <w:rPr>
          <w:rFonts w:asciiTheme="minorEastAsia" w:hAnsiTheme="minorEastAsia" w:eastAsiaTheme="minorEastAsia"/>
          <w:sz w:val="24"/>
          <w:szCs w:val="24"/>
          <w:highlight w:val="none"/>
        </w:rPr>
      </w:pPr>
      <w:r>
        <w:rPr>
          <w:rFonts w:hint="eastAsia" w:asciiTheme="minorEastAsia" w:hAnsiTheme="minorEastAsia" w:eastAsiaTheme="minorEastAsia"/>
          <w:color w:val="000000"/>
          <w:sz w:val="24"/>
          <w:highlight w:val="none"/>
        </w:rPr>
        <w:t>特此公告。</w:t>
      </w:r>
    </w:p>
    <w:p>
      <w:pPr>
        <w:pStyle w:val="18"/>
        <w:spacing w:before="120" w:beforeLines="50" w:after="120" w:afterLines="50" w:line="360" w:lineRule="auto"/>
        <w:ind w:firstLine="480" w:firstLineChars="200"/>
        <w:rPr>
          <w:rFonts w:asciiTheme="minorEastAsia" w:hAnsiTheme="minorEastAsia" w:eastAsiaTheme="minorEastAsia"/>
          <w:sz w:val="24"/>
          <w:szCs w:val="23"/>
          <w:highlight w:val="none"/>
        </w:rPr>
      </w:pPr>
    </w:p>
    <w:p>
      <w:pPr>
        <w:spacing w:before="120" w:beforeLines="50" w:after="120" w:afterLines="50" w:line="360" w:lineRule="auto"/>
        <w:ind w:firstLine="4560" w:firstLineChars="19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青岛伟隆阀门股份有限公司</w:t>
      </w:r>
    </w:p>
    <w:p>
      <w:pPr>
        <w:spacing w:before="120" w:beforeLines="50" w:after="120" w:afterLines="50" w:line="360" w:lineRule="auto"/>
        <w:ind w:firstLine="5640" w:firstLineChars="23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董事会 </w:t>
      </w:r>
    </w:p>
    <w:p>
      <w:pPr>
        <w:spacing w:before="120" w:beforeLines="50" w:after="120" w:afterLines="50" w:line="360" w:lineRule="auto"/>
        <w:ind w:firstLine="5040" w:firstLineChars="21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2023年10月1</w:t>
      </w:r>
      <w:r>
        <w:rPr>
          <w:rFonts w:hint="default" w:asciiTheme="minorEastAsia" w:hAnsiTheme="minorEastAsia" w:eastAsiaTheme="minorEastAsia"/>
          <w:sz w:val="24"/>
          <w:szCs w:val="24"/>
          <w:highlight w:val="none"/>
          <w:lang w:val="en-US"/>
        </w:rPr>
        <w:t>9</w:t>
      </w:r>
      <w:r>
        <w:rPr>
          <w:rFonts w:hint="eastAsia" w:asciiTheme="minorEastAsia" w:hAnsiTheme="minorEastAsia" w:eastAsiaTheme="minorEastAsia"/>
          <w:sz w:val="24"/>
          <w:szCs w:val="24"/>
          <w:highlight w:val="none"/>
        </w:rPr>
        <w:t>日</w:t>
      </w:r>
    </w:p>
    <w:p>
      <w:pPr>
        <w:spacing w:line="360" w:lineRule="auto"/>
        <w:ind w:firstLine="5059" w:firstLineChars="2108"/>
        <w:rPr>
          <w:rFonts w:ascii="宋体" w:hAnsi="宋体" w:cs="宋体"/>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03C24"/>
    <w:rsid w:val="000133CD"/>
    <w:rsid w:val="00022A9E"/>
    <w:rsid w:val="00023BAC"/>
    <w:rsid w:val="00031AFA"/>
    <w:rsid w:val="00032328"/>
    <w:rsid w:val="00034380"/>
    <w:rsid w:val="00074DD9"/>
    <w:rsid w:val="00080C5D"/>
    <w:rsid w:val="00083826"/>
    <w:rsid w:val="000931CF"/>
    <w:rsid w:val="000A0FB4"/>
    <w:rsid w:val="000B2414"/>
    <w:rsid w:val="000B38AE"/>
    <w:rsid w:val="000B5CC8"/>
    <w:rsid w:val="000B6DBF"/>
    <w:rsid w:val="000C6274"/>
    <w:rsid w:val="000D6589"/>
    <w:rsid w:val="000E3FA3"/>
    <w:rsid w:val="00100F35"/>
    <w:rsid w:val="0010482D"/>
    <w:rsid w:val="00105553"/>
    <w:rsid w:val="0010568E"/>
    <w:rsid w:val="001118CE"/>
    <w:rsid w:val="00115BE8"/>
    <w:rsid w:val="00121BA8"/>
    <w:rsid w:val="00123DE7"/>
    <w:rsid w:val="00126F55"/>
    <w:rsid w:val="001306E7"/>
    <w:rsid w:val="00140D0E"/>
    <w:rsid w:val="0016383F"/>
    <w:rsid w:val="001840A0"/>
    <w:rsid w:val="00191D6D"/>
    <w:rsid w:val="001A16F8"/>
    <w:rsid w:val="001B33ED"/>
    <w:rsid w:val="001C0510"/>
    <w:rsid w:val="001C2D84"/>
    <w:rsid w:val="001C4F3D"/>
    <w:rsid w:val="001C59F6"/>
    <w:rsid w:val="001C72E9"/>
    <w:rsid w:val="001D4D05"/>
    <w:rsid w:val="001E4C2B"/>
    <w:rsid w:val="001E4C2E"/>
    <w:rsid w:val="001E5BA2"/>
    <w:rsid w:val="001E7A4C"/>
    <w:rsid w:val="001F18B8"/>
    <w:rsid w:val="00205726"/>
    <w:rsid w:val="00216B51"/>
    <w:rsid w:val="002268D0"/>
    <w:rsid w:val="0023003D"/>
    <w:rsid w:val="00245758"/>
    <w:rsid w:val="00256DE7"/>
    <w:rsid w:val="00263DBE"/>
    <w:rsid w:val="0027366B"/>
    <w:rsid w:val="0027623A"/>
    <w:rsid w:val="002858DA"/>
    <w:rsid w:val="00285CE5"/>
    <w:rsid w:val="00286302"/>
    <w:rsid w:val="00290C2B"/>
    <w:rsid w:val="002B0EBD"/>
    <w:rsid w:val="002F0E27"/>
    <w:rsid w:val="00304F62"/>
    <w:rsid w:val="00307052"/>
    <w:rsid w:val="00315304"/>
    <w:rsid w:val="0031708D"/>
    <w:rsid w:val="00320D5B"/>
    <w:rsid w:val="00322965"/>
    <w:rsid w:val="00323B43"/>
    <w:rsid w:val="00330707"/>
    <w:rsid w:val="00336BC7"/>
    <w:rsid w:val="00355DB7"/>
    <w:rsid w:val="00356595"/>
    <w:rsid w:val="00361523"/>
    <w:rsid w:val="00371FC3"/>
    <w:rsid w:val="003836CA"/>
    <w:rsid w:val="003861A5"/>
    <w:rsid w:val="00397139"/>
    <w:rsid w:val="003B4DB1"/>
    <w:rsid w:val="003D37D8"/>
    <w:rsid w:val="003D7858"/>
    <w:rsid w:val="003E6E49"/>
    <w:rsid w:val="004026E7"/>
    <w:rsid w:val="004054E9"/>
    <w:rsid w:val="00405E3D"/>
    <w:rsid w:val="004164C3"/>
    <w:rsid w:val="00424778"/>
    <w:rsid w:val="00426133"/>
    <w:rsid w:val="00426947"/>
    <w:rsid w:val="00430C7C"/>
    <w:rsid w:val="004358AB"/>
    <w:rsid w:val="0044283A"/>
    <w:rsid w:val="004435DA"/>
    <w:rsid w:val="004543EA"/>
    <w:rsid w:val="004562BF"/>
    <w:rsid w:val="00461DAC"/>
    <w:rsid w:val="00481EA2"/>
    <w:rsid w:val="00493366"/>
    <w:rsid w:val="004A0AEE"/>
    <w:rsid w:val="004A622F"/>
    <w:rsid w:val="004B5F5B"/>
    <w:rsid w:val="004D4CF5"/>
    <w:rsid w:val="004E1A97"/>
    <w:rsid w:val="00504566"/>
    <w:rsid w:val="00504912"/>
    <w:rsid w:val="00516573"/>
    <w:rsid w:val="005265D8"/>
    <w:rsid w:val="00542EC3"/>
    <w:rsid w:val="00547A07"/>
    <w:rsid w:val="00556CA9"/>
    <w:rsid w:val="00565B67"/>
    <w:rsid w:val="005673E7"/>
    <w:rsid w:val="00571328"/>
    <w:rsid w:val="0057718B"/>
    <w:rsid w:val="005856B9"/>
    <w:rsid w:val="005933E0"/>
    <w:rsid w:val="00596292"/>
    <w:rsid w:val="005A4475"/>
    <w:rsid w:val="005B32C7"/>
    <w:rsid w:val="005C0288"/>
    <w:rsid w:val="005C270C"/>
    <w:rsid w:val="005C3A4D"/>
    <w:rsid w:val="005C5AC8"/>
    <w:rsid w:val="005D2F48"/>
    <w:rsid w:val="005D4FA7"/>
    <w:rsid w:val="005D6C16"/>
    <w:rsid w:val="005F0BBF"/>
    <w:rsid w:val="005F36CE"/>
    <w:rsid w:val="005F3F03"/>
    <w:rsid w:val="00607D7B"/>
    <w:rsid w:val="00617684"/>
    <w:rsid w:val="006234A3"/>
    <w:rsid w:val="006234D3"/>
    <w:rsid w:val="00641D9C"/>
    <w:rsid w:val="006553C2"/>
    <w:rsid w:val="0067417E"/>
    <w:rsid w:val="00676193"/>
    <w:rsid w:val="006A1459"/>
    <w:rsid w:val="006A7490"/>
    <w:rsid w:val="006B53EC"/>
    <w:rsid w:val="006B6A27"/>
    <w:rsid w:val="006E0CAF"/>
    <w:rsid w:val="006E5BCD"/>
    <w:rsid w:val="006E7605"/>
    <w:rsid w:val="006F3AC2"/>
    <w:rsid w:val="006F4987"/>
    <w:rsid w:val="00702023"/>
    <w:rsid w:val="00706841"/>
    <w:rsid w:val="00711ADD"/>
    <w:rsid w:val="00712C1E"/>
    <w:rsid w:val="00721BDE"/>
    <w:rsid w:val="00723678"/>
    <w:rsid w:val="00736CCB"/>
    <w:rsid w:val="00745A00"/>
    <w:rsid w:val="007536C2"/>
    <w:rsid w:val="00760A31"/>
    <w:rsid w:val="00763722"/>
    <w:rsid w:val="00785158"/>
    <w:rsid w:val="00791AA1"/>
    <w:rsid w:val="007A72B5"/>
    <w:rsid w:val="007C4641"/>
    <w:rsid w:val="007D348A"/>
    <w:rsid w:val="007E25F6"/>
    <w:rsid w:val="007F1020"/>
    <w:rsid w:val="007F3803"/>
    <w:rsid w:val="00812732"/>
    <w:rsid w:val="00825861"/>
    <w:rsid w:val="00832250"/>
    <w:rsid w:val="008322CD"/>
    <w:rsid w:val="008347DD"/>
    <w:rsid w:val="008424D8"/>
    <w:rsid w:val="00856162"/>
    <w:rsid w:val="00862320"/>
    <w:rsid w:val="00862530"/>
    <w:rsid w:val="0087540C"/>
    <w:rsid w:val="00881A67"/>
    <w:rsid w:val="00882566"/>
    <w:rsid w:val="00885EF3"/>
    <w:rsid w:val="00887176"/>
    <w:rsid w:val="008948D7"/>
    <w:rsid w:val="00895B95"/>
    <w:rsid w:val="008A287C"/>
    <w:rsid w:val="008B7726"/>
    <w:rsid w:val="008C4867"/>
    <w:rsid w:val="008D17AC"/>
    <w:rsid w:val="008E0129"/>
    <w:rsid w:val="008F2CD2"/>
    <w:rsid w:val="00902D11"/>
    <w:rsid w:val="0090339E"/>
    <w:rsid w:val="0090428C"/>
    <w:rsid w:val="0090559A"/>
    <w:rsid w:val="0091337C"/>
    <w:rsid w:val="00927414"/>
    <w:rsid w:val="00931492"/>
    <w:rsid w:val="009406EE"/>
    <w:rsid w:val="00957604"/>
    <w:rsid w:val="00962038"/>
    <w:rsid w:val="0096231F"/>
    <w:rsid w:val="00970166"/>
    <w:rsid w:val="0097585D"/>
    <w:rsid w:val="00980EC7"/>
    <w:rsid w:val="009815D2"/>
    <w:rsid w:val="0098339F"/>
    <w:rsid w:val="0099464B"/>
    <w:rsid w:val="009A3A37"/>
    <w:rsid w:val="009A6CB4"/>
    <w:rsid w:val="009A7751"/>
    <w:rsid w:val="009B0CD2"/>
    <w:rsid w:val="009B3B69"/>
    <w:rsid w:val="009B3E89"/>
    <w:rsid w:val="009B7A89"/>
    <w:rsid w:val="009C0906"/>
    <w:rsid w:val="009C1BE6"/>
    <w:rsid w:val="009C291E"/>
    <w:rsid w:val="009C376A"/>
    <w:rsid w:val="009C4655"/>
    <w:rsid w:val="009C73EF"/>
    <w:rsid w:val="009C7A40"/>
    <w:rsid w:val="009E2F97"/>
    <w:rsid w:val="009F58D5"/>
    <w:rsid w:val="009F71CF"/>
    <w:rsid w:val="00A02B6C"/>
    <w:rsid w:val="00A228CD"/>
    <w:rsid w:val="00A303AA"/>
    <w:rsid w:val="00A53A38"/>
    <w:rsid w:val="00A66B32"/>
    <w:rsid w:val="00A7113F"/>
    <w:rsid w:val="00A81115"/>
    <w:rsid w:val="00A90E6D"/>
    <w:rsid w:val="00AB5A68"/>
    <w:rsid w:val="00AB6CA0"/>
    <w:rsid w:val="00AC779D"/>
    <w:rsid w:val="00AD053D"/>
    <w:rsid w:val="00AD12CF"/>
    <w:rsid w:val="00AE6BB7"/>
    <w:rsid w:val="00AF0BFB"/>
    <w:rsid w:val="00AF2304"/>
    <w:rsid w:val="00AF586F"/>
    <w:rsid w:val="00B022AB"/>
    <w:rsid w:val="00B044CC"/>
    <w:rsid w:val="00B20D1A"/>
    <w:rsid w:val="00B25E89"/>
    <w:rsid w:val="00B354EB"/>
    <w:rsid w:val="00B42411"/>
    <w:rsid w:val="00B524CE"/>
    <w:rsid w:val="00B66B52"/>
    <w:rsid w:val="00B70156"/>
    <w:rsid w:val="00B77036"/>
    <w:rsid w:val="00B90FE1"/>
    <w:rsid w:val="00BA2473"/>
    <w:rsid w:val="00BA2EED"/>
    <w:rsid w:val="00BA537F"/>
    <w:rsid w:val="00BA7825"/>
    <w:rsid w:val="00BB1843"/>
    <w:rsid w:val="00BC2991"/>
    <w:rsid w:val="00BC2A06"/>
    <w:rsid w:val="00BE1655"/>
    <w:rsid w:val="00BE2D68"/>
    <w:rsid w:val="00BE599D"/>
    <w:rsid w:val="00BE7F41"/>
    <w:rsid w:val="00C00963"/>
    <w:rsid w:val="00C05200"/>
    <w:rsid w:val="00C05532"/>
    <w:rsid w:val="00C11D9B"/>
    <w:rsid w:val="00C11DA5"/>
    <w:rsid w:val="00C12712"/>
    <w:rsid w:val="00C13DF9"/>
    <w:rsid w:val="00C15131"/>
    <w:rsid w:val="00C2371A"/>
    <w:rsid w:val="00C31997"/>
    <w:rsid w:val="00C333B8"/>
    <w:rsid w:val="00C61EB3"/>
    <w:rsid w:val="00C62F24"/>
    <w:rsid w:val="00C66033"/>
    <w:rsid w:val="00C66AD0"/>
    <w:rsid w:val="00C7225D"/>
    <w:rsid w:val="00C75AA8"/>
    <w:rsid w:val="00C83CFB"/>
    <w:rsid w:val="00C843B3"/>
    <w:rsid w:val="00C87B02"/>
    <w:rsid w:val="00C87D73"/>
    <w:rsid w:val="00C95A6C"/>
    <w:rsid w:val="00CB28D8"/>
    <w:rsid w:val="00CB4834"/>
    <w:rsid w:val="00CC0AED"/>
    <w:rsid w:val="00CC3C7A"/>
    <w:rsid w:val="00CD0469"/>
    <w:rsid w:val="00CD11B5"/>
    <w:rsid w:val="00CD2256"/>
    <w:rsid w:val="00CD6FFA"/>
    <w:rsid w:val="00CE3854"/>
    <w:rsid w:val="00CE6353"/>
    <w:rsid w:val="00CF39DB"/>
    <w:rsid w:val="00CF6812"/>
    <w:rsid w:val="00D007AE"/>
    <w:rsid w:val="00D031F8"/>
    <w:rsid w:val="00D059F1"/>
    <w:rsid w:val="00D05CD0"/>
    <w:rsid w:val="00D101F5"/>
    <w:rsid w:val="00D10BE2"/>
    <w:rsid w:val="00D117BF"/>
    <w:rsid w:val="00D13AEB"/>
    <w:rsid w:val="00D1782A"/>
    <w:rsid w:val="00D22B4B"/>
    <w:rsid w:val="00D31D50"/>
    <w:rsid w:val="00D33381"/>
    <w:rsid w:val="00D352A3"/>
    <w:rsid w:val="00D36605"/>
    <w:rsid w:val="00D50A86"/>
    <w:rsid w:val="00D56051"/>
    <w:rsid w:val="00D60743"/>
    <w:rsid w:val="00D60E15"/>
    <w:rsid w:val="00D64A80"/>
    <w:rsid w:val="00D72B81"/>
    <w:rsid w:val="00D74541"/>
    <w:rsid w:val="00D747D1"/>
    <w:rsid w:val="00D87CD3"/>
    <w:rsid w:val="00D93814"/>
    <w:rsid w:val="00D94AFA"/>
    <w:rsid w:val="00DA1374"/>
    <w:rsid w:val="00DA2064"/>
    <w:rsid w:val="00DC0C8B"/>
    <w:rsid w:val="00DD1C68"/>
    <w:rsid w:val="00DD3E59"/>
    <w:rsid w:val="00DD54E8"/>
    <w:rsid w:val="00DD7501"/>
    <w:rsid w:val="00DE2901"/>
    <w:rsid w:val="00E07454"/>
    <w:rsid w:val="00E117DE"/>
    <w:rsid w:val="00E1588A"/>
    <w:rsid w:val="00E16FB0"/>
    <w:rsid w:val="00E33C76"/>
    <w:rsid w:val="00E4037B"/>
    <w:rsid w:val="00E41300"/>
    <w:rsid w:val="00E56877"/>
    <w:rsid w:val="00E60327"/>
    <w:rsid w:val="00E65E91"/>
    <w:rsid w:val="00E71239"/>
    <w:rsid w:val="00E93451"/>
    <w:rsid w:val="00E97AF6"/>
    <w:rsid w:val="00EA0938"/>
    <w:rsid w:val="00EA1640"/>
    <w:rsid w:val="00EA2F11"/>
    <w:rsid w:val="00EA5D92"/>
    <w:rsid w:val="00EB4454"/>
    <w:rsid w:val="00ED1A60"/>
    <w:rsid w:val="00ED2416"/>
    <w:rsid w:val="00ED41E8"/>
    <w:rsid w:val="00EE12F1"/>
    <w:rsid w:val="00F0022C"/>
    <w:rsid w:val="00F00B0B"/>
    <w:rsid w:val="00F05437"/>
    <w:rsid w:val="00F14B38"/>
    <w:rsid w:val="00F212C7"/>
    <w:rsid w:val="00F47D98"/>
    <w:rsid w:val="00F53072"/>
    <w:rsid w:val="00F5660A"/>
    <w:rsid w:val="00F61B6C"/>
    <w:rsid w:val="00F63194"/>
    <w:rsid w:val="00F638FC"/>
    <w:rsid w:val="00F82D31"/>
    <w:rsid w:val="00F9053F"/>
    <w:rsid w:val="00F92E21"/>
    <w:rsid w:val="00F94CF8"/>
    <w:rsid w:val="00FA6923"/>
    <w:rsid w:val="00FB33AA"/>
    <w:rsid w:val="00FB4B02"/>
    <w:rsid w:val="00FC4AB2"/>
    <w:rsid w:val="00FE75A4"/>
    <w:rsid w:val="00FF66DC"/>
    <w:rsid w:val="01877D02"/>
    <w:rsid w:val="02627D27"/>
    <w:rsid w:val="043C16EC"/>
    <w:rsid w:val="04582CCD"/>
    <w:rsid w:val="05216551"/>
    <w:rsid w:val="06184A77"/>
    <w:rsid w:val="06AE55E2"/>
    <w:rsid w:val="082967ED"/>
    <w:rsid w:val="082F4AF0"/>
    <w:rsid w:val="09517127"/>
    <w:rsid w:val="0B56757B"/>
    <w:rsid w:val="0E4A76B8"/>
    <w:rsid w:val="121C111E"/>
    <w:rsid w:val="13B862C8"/>
    <w:rsid w:val="14C00400"/>
    <w:rsid w:val="1643280A"/>
    <w:rsid w:val="16454C4B"/>
    <w:rsid w:val="183064CA"/>
    <w:rsid w:val="1B3E5305"/>
    <w:rsid w:val="1D5A719B"/>
    <w:rsid w:val="202E3BE9"/>
    <w:rsid w:val="20781BFB"/>
    <w:rsid w:val="210943B7"/>
    <w:rsid w:val="215B6CBB"/>
    <w:rsid w:val="21954A9A"/>
    <w:rsid w:val="235D3917"/>
    <w:rsid w:val="24EB4B31"/>
    <w:rsid w:val="25FC664A"/>
    <w:rsid w:val="26C868E1"/>
    <w:rsid w:val="27F2555B"/>
    <w:rsid w:val="2875627C"/>
    <w:rsid w:val="294E423C"/>
    <w:rsid w:val="2AF87057"/>
    <w:rsid w:val="2B1B2E38"/>
    <w:rsid w:val="2D1402D8"/>
    <w:rsid w:val="2E903D2B"/>
    <w:rsid w:val="2F836CD2"/>
    <w:rsid w:val="337A2295"/>
    <w:rsid w:val="361A165F"/>
    <w:rsid w:val="38464D4B"/>
    <w:rsid w:val="3BD741A5"/>
    <w:rsid w:val="3C9D64F0"/>
    <w:rsid w:val="3CEA21E5"/>
    <w:rsid w:val="41856170"/>
    <w:rsid w:val="418B6E78"/>
    <w:rsid w:val="468616E7"/>
    <w:rsid w:val="46F8310E"/>
    <w:rsid w:val="48B007A2"/>
    <w:rsid w:val="49891460"/>
    <w:rsid w:val="49A21555"/>
    <w:rsid w:val="4A652818"/>
    <w:rsid w:val="4E0A5FB9"/>
    <w:rsid w:val="4F954086"/>
    <w:rsid w:val="509A04C8"/>
    <w:rsid w:val="531E7B18"/>
    <w:rsid w:val="532625AA"/>
    <w:rsid w:val="543D030D"/>
    <w:rsid w:val="574674EF"/>
    <w:rsid w:val="59884304"/>
    <w:rsid w:val="5A1B12D8"/>
    <w:rsid w:val="5ACB0A85"/>
    <w:rsid w:val="5B2B1DCF"/>
    <w:rsid w:val="5D2C0593"/>
    <w:rsid w:val="5FB17A73"/>
    <w:rsid w:val="60DB39BE"/>
    <w:rsid w:val="623F40D9"/>
    <w:rsid w:val="63295C91"/>
    <w:rsid w:val="6379684E"/>
    <w:rsid w:val="64310C45"/>
    <w:rsid w:val="64A25BED"/>
    <w:rsid w:val="66A357A5"/>
    <w:rsid w:val="673C0498"/>
    <w:rsid w:val="679F79D6"/>
    <w:rsid w:val="686A6131"/>
    <w:rsid w:val="6BA41121"/>
    <w:rsid w:val="6CF33B45"/>
    <w:rsid w:val="6D992452"/>
    <w:rsid w:val="6DEA6169"/>
    <w:rsid w:val="6EEA2E97"/>
    <w:rsid w:val="6F6F473B"/>
    <w:rsid w:val="7106478C"/>
    <w:rsid w:val="714E08D2"/>
    <w:rsid w:val="727A68F5"/>
    <w:rsid w:val="732D703E"/>
    <w:rsid w:val="73814FB2"/>
    <w:rsid w:val="73912F38"/>
    <w:rsid w:val="749A637B"/>
    <w:rsid w:val="755721EA"/>
    <w:rsid w:val="75826128"/>
    <w:rsid w:val="771B2FE0"/>
    <w:rsid w:val="775D2173"/>
    <w:rsid w:val="7909705C"/>
    <w:rsid w:val="7AF001A7"/>
    <w:rsid w:val="7C460FDB"/>
    <w:rsid w:val="7C7D702F"/>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unhideWhenUsed/>
    <w:qFormat/>
    <w:uiPriority w:val="0"/>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Tahoma" w:hAnsi="Tahoma"/>
      <w:sz w:val="18"/>
      <w:szCs w:val="18"/>
    </w:rPr>
  </w:style>
  <w:style w:type="character" w:customStyle="1" w:styleId="13">
    <w:name w:val="页脚 字符"/>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2"/>
    <w:semiHidden/>
    <w:qFormat/>
    <w:uiPriority w:val="99"/>
    <w:rPr>
      <w:rFonts w:ascii="Tahoma" w:hAnsi="Tahoma"/>
    </w:rPr>
  </w:style>
  <w:style w:type="character" w:customStyle="1" w:styleId="16">
    <w:name w:val="批注主题 字符"/>
    <w:basedOn w:val="15"/>
    <w:link w:val="7"/>
    <w:semiHidden/>
    <w:qFormat/>
    <w:uiPriority w:val="99"/>
    <w:rPr>
      <w:rFonts w:ascii="Tahoma" w:hAnsi="Tahoma"/>
      <w:b/>
      <w:bCs/>
    </w:rPr>
  </w:style>
  <w:style w:type="character" w:customStyle="1" w:styleId="17">
    <w:name w:val="批注框文本 字符"/>
    <w:basedOn w:val="10"/>
    <w:link w:val="4"/>
    <w:semiHidden/>
    <w:qFormat/>
    <w:uiPriority w:val="99"/>
    <w:rPr>
      <w:rFonts w:ascii="Tahoma" w:hAnsi="Tahoma"/>
      <w:sz w:val="18"/>
      <w:szCs w:val="18"/>
    </w:rPr>
  </w:style>
  <w:style w:type="paragraph" w:customStyle="1" w:styleId="18">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19">
    <w:name w:val="fontstyle01"/>
    <w:basedOn w:val="10"/>
    <w:qFormat/>
    <w:uiPriority w:val="0"/>
    <w:rPr>
      <w:rFonts w:hint="eastAsia" w:ascii="宋体" w:hAnsi="宋体" w:eastAsia="宋体"/>
      <w:color w:val="000000"/>
      <w:sz w:val="24"/>
      <w:szCs w:val="24"/>
    </w:rPr>
  </w:style>
  <w:style w:type="character" w:customStyle="1" w:styleId="20">
    <w:name w:val="fontstyle21"/>
    <w:basedOn w:val="10"/>
    <w:qFormat/>
    <w:uiPriority w:val="0"/>
    <w:rPr>
      <w:rFonts w:hint="default" w:ascii="Times New Roman" w:hAnsi="Times New Roman" w:cs="Times New Roman"/>
      <w:color w:val="000000"/>
      <w:sz w:val="24"/>
      <w:szCs w:val="24"/>
    </w:rPr>
  </w:style>
  <w:style w:type="character" w:customStyle="1" w:styleId="21">
    <w:name w:val="fontstyle11"/>
    <w:basedOn w:val="10"/>
    <w:qFormat/>
    <w:uiPriority w:val="0"/>
    <w:rPr>
      <w:rFonts w:hint="eastAsia" w:ascii="宋体" w:hAnsi="宋体" w:eastAsia="宋体"/>
      <w:color w:val="000000"/>
      <w:sz w:val="24"/>
      <w:szCs w:val="24"/>
    </w:rPr>
  </w:style>
  <w:style w:type="character" w:customStyle="1" w:styleId="22">
    <w:name w:val="font31"/>
    <w:basedOn w:val="10"/>
    <w:qFormat/>
    <w:uiPriority w:val="0"/>
    <w:rPr>
      <w:rFonts w:hint="eastAsia" w:ascii="宋体" w:hAnsi="宋体" w:eastAsia="宋体" w:cs="宋体"/>
      <w:b/>
      <w:color w:val="000000"/>
      <w:sz w:val="22"/>
      <w:szCs w:val="22"/>
      <w:u w:val="none"/>
    </w:rPr>
  </w:style>
  <w:style w:type="table" w:customStyle="1" w:styleId="23">
    <w:name w:val="Table Normal"/>
    <w:semiHidden/>
    <w:unhideWhenUsed/>
    <w:qFormat/>
    <w:uiPriority w:val="2"/>
    <w:tblPr>
      <w:tblCellMar>
        <w:top w:w="0" w:type="dxa"/>
        <w:left w:w="0" w:type="dxa"/>
        <w:bottom w:w="0" w:type="dxa"/>
        <w:right w:w="0" w:type="dxa"/>
      </w:tblCellMar>
    </w:tblPr>
  </w:style>
  <w:style w:type="character" w:customStyle="1" w:styleId="24">
    <w:name w:val="font11"/>
    <w:basedOn w:val="10"/>
    <w:qFormat/>
    <w:uiPriority w:val="0"/>
    <w:rPr>
      <w:rFonts w:hint="eastAsia" w:ascii="宋体" w:hAnsi="宋体" w:eastAsia="宋体" w:cs="宋体"/>
      <w:b/>
      <w:bCs/>
      <w:color w:val="000000"/>
      <w:sz w:val="22"/>
      <w:szCs w:val="22"/>
      <w:u w:val="none"/>
    </w:rPr>
  </w:style>
  <w:style w:type="paragraph" w:customStyle="1" w:styleId="25">
    <w:name w:val="修订1"/>
    <w:hidden/>
    <w:semiHidden/>
    <w:qFormat/>
    <w:uiPriority w:val="99"/>
    <w:rPr>
      <w:rFonts w:ascii="Tahoma" w:hAnsi="Tahoma" w:eastAsia="微软雅黑" w:cstheme="minorBidi"/>
      <w:sz w:val="22"/>
      <w:szCs w:val="22"/>
      <w:lang w:val="en-US" w:eastAsia="zh-CN" w:bidi="ar-SA"/>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修订2"/>
    <w:hidden/>
    <w:unhideWhenUsed/>
    <w:qFormat/>
    <w:uiPriority w:val="99"/>
    <w:rPr>
      <w:rFonts w:ascii="Tahoma" w:hAnsi="Tahoma" w:eastAsia="微软雅黑" w:cstheme="minorBidi"/>
      <w:sz w:val="22"/>
      <w:szCs w:val="22"/>
      <w:lang w:val="en-US" w:eastAsia="zh-CN" w:bidi="ar-SA"/>
    </w:rPr>
  </w:style>
  <w:style w:type="paragraph" w:customStyle="1" w:styleId="28">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1125</Words>
  <Characters>6417</Characters>
  <Lines>53</Lines>
  <Paragraphs>15</Paragraphs>
  <TotalTime>238</TotalTime>
  <ScaleCrop>false</ScaleCrop>
  <LinksUpToDate>false</LinksUpToDate>
  <CharactersWithSpaces>7527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2023-10-18T04:32:50Z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1C5B6CE356FF44E68A9B3B60A77797C9</vt:lpwstr>
  </property>
</Properties>
</file>