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center"/>
        <w:rPr>
          <w:rFonts w:cs="Times New Roman" w:asciiTheme="minorEastAsia" w:hAnsiTheme="minorEastAsia" w:eastAsiaTheme="minorEastAsia"/>
          <w:sz w:val="24"/>
          <w:szCs w:val="23"/>
        </w:rPr>
      </w:pPr>
      <w:r>
        <w:rPr>
          <w:rFonts w:hint="eastAsia" w:cs="Times New Roman" w:asciiTheme="minorEastAsia" w:hAnsiTheme="minorEastAsia" w:eastAsiaTheme="minorEastAsia"/>
          <w:sz w:val="24"/>
          <w:szCs w:val="23"/>
        </w:rPr>
        <w:t>证券代码：002871           证券简称：伟隆股份     公告编号：2023-09</w:t>
      </w:r>
      <w:r>
        <w:rPr>
          <w:rFonts w:hint="default" w:cs="Times New Roman" w:asciiTheme="minorEastAsia" w:hAnsiTheme="minorEastAsia" w:eastAsiaTheme="minorEastAsia"/>
          <w:sz w:val="24"/>
          <w:szCs w:val="23"/>
          <w:lang w:val="en-US"/>
        </w:rPr>
        <w:t>3</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第四届监事会第二十次会议决议的公告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本公司及监事会全体成员保证信息披露内容的真实、准确和完整，没有虚假记载、误导性陈述或重大遗漏。</w:t>
            </w:r>
          </w:p>
        </w:tc>
      </w:tr>
    </w:tbl>
    <w:p>
      <w:pPr>
        <w:spacing w:before="120" w:beforeLines="50" w:after="120" w:afterLines="50" w:line="360" w:lineRule="auto"/>
        <w:ind w:firstLine="570"/>
        <w:rPr>
          <w:rFonts w:asciiTheme="minorEastAsia" w:hAnsiTheme="minorEastAsia" w:eastAsiaTheme="minorEastAsia"/>
          <w:b/>
          <w:sz w:val="24"/>
          <w:szCs w:val="23"/>
        </w:rPr>
      </w:pPr>
      <w:r>
        <w:rPr>
          <w:rFonts w:hint="eastAsia" w:asciiTheme="minorEastAsia" w:hAnsiTheme="minorEastAsia" w:eastAsiaTheme="minorEastAsia"/>
          <w:b/>
          <w:sz w:val="24"/>
          <w:szCs w:val="23"/>
        </w:rPr>
        <w:t>一、监事会会议召开情况</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青岛伟隆阀门股份有限公司（以下称“公司”）第四届监事会第二十次会议通知于2023年</w:t>
      </w:r>
      <w:r>
        <w:rPr>
          <w:rFonts w:hint="default" w:asciiTheme="minorEastAsia" w:hAnsiTheme="minorEastAsia" w:eastAsiaTheme="minorEastAsia"/>
          <w:sz w:val="24"/>
          <w:szCs w:val="23"/>
          <w:lang w:val="en-US"/>
        </w:rPr>
        <w:t>10月11日</w:t>
      </w:r>
      <w:r>
        <w:rPr>
          <w:rFonts w:hint="eastAsia" w:asciiTheme="minorEastAsia" w:hAnsiTheme="minorEastAsia" w:eastAsiaTheme="minorEastAsia"/>
          <w:sz w:val="24"/>
          <w:szCs w:val="23"/>
        </w:rPr>
        <w:t>通过专人送达、电子邮件等方式送达给监事和高级管理人员。会议于2023年</w:t>
      </w:r>
      <w:r>
        <w:rPr>
          <w:rFonts w:hint="default" w:asciiTheme="minorEastAsia" w:hAnsiTheme="minorEastAsia" w:eastAsiaTheme="minorEastAsia"/>
          <w:sz w:val="24"/>
          <w:szCs w:val="23"/>
          <w:lang w:val="en-US"/>
        </w:rPr>
        <w:t>10月18日</w:t>
      </w:r>
      <w:r>
        <w:rPr>
          <w:rFonts w:hint="eastAsia" w:asciiTheme="minorEastAsia" w:hAnsiTheme="minorEastAsia" w:eastAsiaTheme="minorEastAsia"/>
          <w:sz w:val="24"/>
          <w:szCs w:val="23"/>
        </w:rPr>
        <w:t>上午</w:t>
      </w:r>
      <w:r>
        <w:rPr>
          <w:rFonts w:asciiTheme="minorEastAsia" w:hAnsiTheme="minorEastAsia" w:eastAsiaTheme="minorEastAsia"/>
          <w:sz w:val="24"/>
          <w:szCs w:val="23"/>
        </w:rPr>
        <w:t>09</w:t>
      </w:r>
      <w:r>
        <w:rPr>
          <w:rFonts w:hint="eastAsia" w:asciiTheme="minorEastAsia" w:hAnsiTheme="minorEastAsia" w:eastAsiaTheme="minorEastAsia"/>
          <w:sz w:val="24"/>
          <w:szCs w:val="23"/>
        </w:rPr>
        <w:t>时在公司会议室以现场方式召开。本次会议应到监事3名，实到3名。会议由监事会主席于春红女士召集和主持。会议的召集、召开及表决程序符合《中华人民共和国公司法》及《青岛伟隆阀门股份有限公司章程》的规定，合法有效。</w:t>
      </w:r>
    </w:p>
    <w:p>
      <w:pPr>
        <w:spacing w:before="120" w:beforeLines="50" w:after="120" w:afterLines="50" w:line="360" w:lineRule="auto"/>
        <w:ind w:firstLine="482" w:firstLineChars="200"/>
        <w:rPr>
          <w:rFonts w:asciiTheme="minorEastAsia" w:hAnsiTheme="minorEastAsia" w:eastAsiaTheme="minorEastAsia"/>
          <w:b/>
          <w:sz w:val="24"/>
          <w:szCs w:val="23"/>
        </w:rPr>
      </w:pPr>
      <w:r>
        <w:rPr>
          <w:rFonts w:hint="eastAsia" w:asciiTheme="minorEastAsia" w:hAnsiTheme="minorEastAsia" w:eastAsiaTheme="minorEastAsia"/>
          <w:b/>
          <w:sz w:val="24"/>
          <w:szCs w:val="23"/>
        </w:rPr>
        <w:t>二、监事会会议审议情况</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经与会监事充分的讨论和审议本次会议议案并表决，形成如下决议：</w:t>
      </w:r>
    </w:p>
    <w:p>
      <w:pPr>
        <w:spacing w:before="120" w:beforeLines="50" w:after="120" w:afterLines="50" w:line="360" w:lineRule="auto"/>
        <w:ind w:firstLine="482" w:firstLineChars="200"/>
        <w:jc w:val="both"/>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（一）审议通过《关于2021年限制性股票激励计划首次授予部分第二个解锁期解锁条件成就的议案》</w:t>
      </w:r>
    </w:p>
    <w:p>
      <w:pPr>
        <w:spacing w:before="120" w:beforeLines="50" w:after="120" w:afterLines="50" w:line="360" w:lineRule="auto"/>
        <w:ind w:firstLine="480" w:firstLineChars="200"/>
        <w:jc w:val="both"/>
        <w:rPr>
          <w:rFonts w:asciiTheme="minorEastAsia" w:hAnsiTheme="minorEastAsia" w:eastAsiaTheme="minorEastAsia"/>
          <w:b/>
          <w:bCs/>
          <w:sz w:val="24"/>
          <w:szCs w:val="23"/>
        </w:rPr>
      </w:pPr>
      <w:r>
        <w:rPr>
          <w:rFonts w:hint="eastAsia" w:cs="宋体" w:asciiTheme="minorEastAsia" w:hAnsiTheme="minorEastAsia" w:eastAsiaTheme="minorEastAsia"/>
          <w:sz w:val="24"/>
          <w:szCs w:val="24"/>
        </w:rPr>
        <w:t>监事会认为：公司</w:t>
      </w: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5名激励对象解除限售资格合法有效，公司 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年限制性股票首次授予部分第二个解锁期解锁条件已经成就，同意公司按《2021年限制性股票激励计划（草案）》办理限制性股票首次授予部分第二个解除限售期解除限售的相关事宜。</w:t>
      </w:r>
    </w:p>
    <w:p>
      <w:pPr>
        <w:spacing w:before="120" w:beforeLines="50" w:after="120" w:afterLines="50" w:line="360" w:lineRule="auto"/>
        <w:ind w:firstLine="482" w:firstLineChars="200"/>
        <w:jc w:val="both"/>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 </w:t>
      </w: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b/>
          <w:bCs/>
          <w:sz w:val="24"/>
          <w:szCs w:val="23"/>
        </w:rPr>
      </w:pPr>
      <w:r>
        <w:rPr>
          <w:rFonts w:hint="eastAsia" w:asciiTheme="minorEastAsia" w:hAnsiTheme="minorEastAsia" w:eastAsiaTheme="minorEastAsia"/>
          <w:sz w:val="24"/>
          <w:szCs w:val="23"/>
        </w:rPr>
        <w:t>《青岛伟隆阀门股份有限公司关于2021年限制性股票激励计划首次授予部分第二个解锁期解锁条件成就的公告》与本公告同日披露于《证券时报》《中国证券报》《证券日报》及巨潮资讯网站（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120" w:beforeLines="50" w:after="120" w:afterLines="50" w:line="360" w:lineRule="auto"/>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（二）审议通过《关于回购注销部分限制性股票的议案》</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监事会认为：鉴于公司 2021年限制性股票激励计划首次授予部分的激励对象1名人员因个人原因离职，不符合解锁条件；</w:t>
      </w:r>
      <w:bookmarkStart w:id="0" w:name="_Hlk117256671"/>
      <w:r>
        <w:rPr>
          <w:rFonts w:hint="eastAsia" w:asciiTheme="minorEastAsia" w:hAnsiTheme="minorEastAsia" w:eastAsiaTheme="minorEastAsia"/>
          <w:sz w:val="24"/>
          <w:szCs w:val="23"/>
        </w:rPr>
        <w:t>1名激励对象绩效考核为不合格，不符合解锁条件；2名激励对象绩效考核为合格，可以申请解除当期80%限售股份；1名激励对象绩效考核为良好，可以申请解除当期90%限售股份</w:t>
      </w:r>
      <w:bookmarkEnd w:id="0"/>
      <w:r>
        <w:rPr>
          <w:rFonts w:hint="eastAsia" w:asciiTheme="minorEastAsia" w:hAnsiTheme="minorEastAsia" w:eastAsiaTheme="minorEastAsia"/>
          <w:sz w:val="24"/>
          <w:szCs w:val="23"/>
        </w:rPr>
        <w:t>；2021年限制性股票激励计划激励预留部分的激励对象3名人员因个人原因离职，不符合解锁条件；根据公司《2021年限制性股票激励计划（草案）》的规定，公司董事会决定对</w:t>
      </w:r>
      <w:r>
        <w:rPr>
          <w:rFonts w:asciiTheme="minorEastAsia" w:hAnsiTheme="minorEastAsia" w:eastAsiaTheme="minorEastAsia"/>
          <w:sz w:val="24"/>
          <w:szCs w:val="23"/>
        </w:rPr>
        <w:t>4</w:t>
      </w:r>
      <w:r>
        <w:rPr>
          <w:rFonts w:hint="eastAsia" w:asciiTheme="minorEastAsia" w:hAnsiTheme="minorEastAsia" w:eastAsiaTheme="minorEastAsia"/>
          <w:sz w:val="24"/>
          <w:szCs w:val="23"/>
        </w:rPr>
        <w:t>名离职人员和4名考核结果未达优秀的人员所持已获授但尚未解锁的171,405股限制性股票进行回购注销，回购价格为3.35元/股，回购金额为574,206.75元，回购资金为公司自有资金。本次回购注销的限制性股票合计171,405股，占本次股权激励计划合计授予的限制性股票比例为</w:t>
      </w:r>
      <w:r>
        <w:rPr>
          <w:rFonts w:hint="eastAsia" w:ascii="宋体" w:hAnsi="宋体" w:eastAsia="宋体" w:cs="Times New Roman"/>
          <w:sz w:val="24"/>
          <w:szCs w:val="21"/>
          <w:lang w:bidi="en-US"/>
        </w:rPr>
        <w:t>4.3912</w:t>
      </w:r>
      <w:r>
        <w:rPr>
          <w:rFonts w:hint="eastAsia" w:asciiTheme="minorEastAsia" w:hAnsiTheme="minorEastAsia" w:eastAsiaTheme="minorEastAsia"/>
          <w:sz w:val="24"/>
          <w:szCs w:val="23"/>
        </w:rPr>
        <w:t>%，占回购注销前总股本比例为</w:t>
      </w:r>
      <w:r>
        <w:rPr>
          <w:rFonts w:hint="eastAsia" w:ascii="宋体" w:hAnsi="宋体" w:eastAsia="宋体" w:cs="Times New Roman"/>
          <w:sz w:val="24"/>
          <w:szCs w:val="21"/>
          <w:lang w:bidi="en-US"/>
        </w:rPr>
        <w:t>0.0781</w:t>
      </w:r>
      <w:r>
        <w:rPr>
          <w:rFonts w:hint="eastAsia" w:asciiTheme="minorEastAsia" w:hAnsiTheme="minorEastAsia" w:eastAsiaTheme="minorEastAsia"/>
          <w:sz w:val="24"/>
          <w:szCs w:val="23"/>
        </w:rPr>
        <w:t>%。</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公司董事会关于本次回购注销部分限制性股票的审议程序符合相关规定，合法有效。</w:t>
      </w:r>
    </w:p>
    <w:p>
      <w:pPr>
        <w:spacing w:before="120" w:beforeLines="50" w:after="120" w:afterLines="50" w:line="360" w:lineRule="auto"/>
        <w:ind w:firstLine="480" w:firstLineChars="200"/>
        <w:jc w:val="both"/>
        <w:rPr>
          <w:rFonts w:asciiTheme="minorEastAsia" w:hAnsiTheme="minorEastAsia" w:eastAsiaTheme="minorEastAsia"/>
          <w:b/>
          <w:bCs/>
          <w:sz w:val="24"/>
          <w:szCs w:val="23"/>
        </w:rPr>
      </w:pP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《关于回购注销部分限制性股票的公告》与本公告同日披露于《证券时报》《中国证券报》《证券日报》及巨潮资讯网站（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120" w:beforeLines="50" w:after="12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（三）审议通过《关于变更公司注册资本与修改&lt;公司章程&gt;的议案》</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经审核，监事会认为：根据公司《2021年限制性股票激励计划（草案修订稿）》《公司章程》的规定,同意公司现有股本将由</w:t>
      </w:r>
      <w:r>
        <w:rPr>
          <w:rFonts w:hint="eastAsia" w:ascii="宋体" w:hAnsi="宋体" w:eastAsia="宋体" w:cs="Times New Roman"/>
          <w:sz w:val="24"/>
          <w:szCs w:val="21"/>
          <w:lang w:bidi="en-US"/>
        </w:rPr>
        <w:t>219,540,292</w:t>
      </w:r>
      <w:r>
        <w:rPr>
          <w:rFonts w:hint="eastAsia" w:asciiTheme="minorEastAsia" w:hAnsiTheme="minorEastAsia" w:eastAsiaTheme="minorEastAsia"/>
          <w:sz w:val="24"/>
          <w:szCs w:val="23"/>
        </w:rPr>
        <w:t>股变更为</w:t>
      </w:r>
      <w:r>
        <w:rPr>
          <w:rFonts w:hint="eastAsia" w:ascii="宋体" w:hAnsi="宋体" w:eastAsia="宋体" w:cs="Times New Roman"/>
          <w:sz w:val="24"/>
          <w:szCs w:val="21"/>
          <w:lang w:bidi="en-US"/>
        </w:rPr>
        <w:t>219,368,887</w:t>
      </w:r>
      <w:r>
        <w:rPr>
          <w:rFonts w:hint="eastAsia" w:asciiTheme="minorEastAsia" w:hAnsiTheme="minorEastAsia" w:eastAsiaTheme="minorEastAsia"/>
          <w:sz w:val="24"/>
          <w:szCs w:val="23"/>
        </w:rPr>
        <w:t>股，注册资本由变更前</w:t>
      </w:r>
      <w:r>
        <w:rPr>
          <w:rFonts w:hint="eastAsia" w:asciiTheme="minorEastAsia" w:hAnsiTheme="minorEastAsia" w:eastAsiaTheme="minorEastAsia"/>
          <w:sz w:val="24"/>
          <w:szCs w:val="23"/>
          <w:highlight w:val="none"/>
        </w:rPr>
        <w:t>的</w:t>
      </w:r>
      <w:r>
        <w:rPr>
          <w:rFonts w:hint="eastAsia" w:ascii="宋体" w:hAnsi="宋体" w:eastAsia="宋体" w:cs="Times New Roman"/>
          <w:sz w:val="24"/>
          <w:szCs w:val="21"/>
          <w:lang w:bidi="en-US"/>
        </w:rPr>
        <w:t>219,540,292</w:t>
      </w:r>
      <w:r>
        <w:rPr>
          <w:rFonts w:hint="eastAsia" w:asciiTheme="minorEastAsia" w:hAnsiTheme="minorEastAsia" w:eastAsiaTheme="minorEastAsia"/>
          <w:sz w:val="24"/>
          <w:szCs w:val="23"/>
          <w:highlight w:val="none"/>
        </w:rPr>
        <w:t>元</w:t>
      </w:r>
      <w:r>
        <w:rPr>
          <w:rFonts w:hint="eastAsia" w:asciiTheme="minorEastAsia" w:hAnsiTheme="minorEastAsia" w:eastAsiaTheme="minorEastAsia"/>
          <w:sz w:val="24"/>
          <w:szCs w:val="23"/>
        </w:rPr>
        <w:t>变更为</w:t>
      </w:r>
      <w:r>
        <w:rPr>
          <w:rFonts w:hint="eastAsia" w:ascii="宋体" w:hAnsi="宋体" w:eastAsia="宋体" w:cs="Times New Roman"/>
          <w:sz w:val="24"/>
          <w:szCs w:val="21"/>
          <w:lang w:bidi="en-US"/>
        </w:rPr>
        <w:t>219,368,887</w:t>
      </w:r>
      <w:r>
        <w:rPr>
          <w:rFonts w:hint="eastAsia" w:asciiTheme="minorEastAsia" w:hAnsiTheme="minorEastAsia" w:eastAsiaTheme="minorEastAsia"/>
          <w:sz w:val="24"/>
          <w:szCs w:val="23"/>
        </w:rPr>
        <w:t>元，并依据《中华人民共和国公司法》《上市公司治理准则》《上市公司章程指引》和《深圳证券交易所股票上市规则》等法律法规、规范性文件的规定，公司拟对《公司章程》中相关内容进行相应修订。</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《公司章程修订案》与本公告同日披露于《证券时报》《中国证券报》《证券日报》及巨潮资讯网站（</w:t>
      </w:r>
      <w:r>
        <w:rPr>
          <w:rFonts w:hint="eastAsia" w:asciiTheme="minorEastAsia" w:hAnsiTheme="minorEastAsia" w:eastAsiaTheme="minorEastAsia"/>
          <w:color w:val="auto"/>
          <w:sz w:val="24"/>
          <w:szCs w:val="23"/>
          <w:u w:val="none"/>
        </w:rPr>
        <w:t>http://www.cninfo.com.cn</w:t>
      </w:r>
      <w:r>
        <w:rPr>
          <w:rFonts w:hint="eastAsia" w:asciiTheme="minorEastAsia" w:hAnsiTheme="minorEastAsia" w:eastAsiaTheme="minorEastAsia"/>
          <w:sz w:val="24"/>
          <w:szCs w:val="23"/>
        </w:rPr>
        <w:t>）。</w:t>
      </w:r>
    </w:p>
    <w:p>
      <w:pPr>
        <w:spacing w:line="480" w:lineRule="exact"/>
        <w:ind w:firstLine="482" w:firstLineChars="200"/>
        <w:rPr>
          <w:rFonts w:ascii="宋体" w:hAnsi="宋体" w:eastAsia="宋体" w:cs="宋体"/>
          <w:b/>
          <w:sz w:val="24"/>
        </w:rPr>
      </w:pPr>
      <w:r>
        <w:rPr>
          <w:rFonts w:hint="eastAsia" w:asciiTheme="minorEastAsia" w:hAnsiTheme="minorEastAsia" w:eastAsiaTheme="minorEastAsia"/>
          <w:b/>
          <w:bCs/>
          <w:sz w:val="24"/>
          <w:szCs w:val="23"/>
        </w:rPr>
        <w:t>（四）</w:t>
      </w:r>
      <w:r>
        <w:rPr>
          <w:rFonts w:hint="eastAsia" w:ascii="宋体" w:hAnsi="宋体" w:eastAsia="宋体" w:cs="宋体"/>
          <w:b/>
          <w:sz w:val="24"/>
        </w:rPr>
        <w:t>审议通过《关于回购公司股份方案的议案》</w:t>
      </w:r>
    </w:p>
    <w:p>
      <w:pPr>
        <w:spacing w:line="480" w:lineRule="exact"/>
        <w:ind w:firstLine="480" w:firstLineChars="200"/>
        <w:jc w:val="both"/>
        <w:rPr>
          <w:rFonts w:ascii="宋体" w:hAnsi="宋体" w:eastAsia="宋体" w:cs="宋体"/>
          <w:bCs/>
          <w:sz w:val="24"/>
        </w:rPr>
      </w:pPr>
      <w:r>
        <w:rPr>
          <w:rFonts w:hint="eastAsia" w:ascii="宋体" w:hAnsi="宋体" w:eastAsia="宋体" w:cs="宋体"/>
          <w:bCs/>
          <w:sz w:val="24"/>
        </w:rPr>
        <w:t>基于对公司未来持续稳定发展的信心和对公司价值的高度认可，结合公司经营情况、财务状况及近期公司股票在二级市场表现等因素，为了充分展现公司资本市场价值，维护广大投资者的利益，提振投资者对公司的信心，同时，为进一步完善公司长效激励机制，充分调动公司核心骨干及优秀员工的积极性，共同促进公司的长远发展，公司拟以自有资金回购公司部分股份。本次回购的股份将用于实施员工持股计划或者股权激励计划。公司监事会逐项审议通过了《关于回购公司股份方案的议案》：</w:t>
      </w:r>
    </w:p>
    <w:p>
      <w:pPr>
        <w:pStyle w:val="16"/>
        <w:numPr>
          <w:ilvl w:val="0"/>
          <w:numId w:val="1"/>
        </w:numPr>
        <w:spacing w:line="480" w:lineRule="exact"/>
        <w:ind w:firstLineChars="0"/>
        <w:rPr>
          <w:rFonts w:ascii="宋体" w:hAnsi="宋体" w:eastAsia="宋体" w:cs="宋体"/>
          <w:bCs/>
          <w:sz w:val="24"/>
        </w:rPr>
      </w:pPr>
      <w:r>
        <w:rPr>
          <w:rFonts w:hint="eastAsia" w:ascii="宋体" w:hAnsi="宋体" w:eastAsia="宋体" w:cs="宋体"/>
          <w:bCs/>
          <w:sz w:val="24"/>
        </w:rPr>
        <w:t>回购股份的目的</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r>
        <w:rPr>
          <w:rFonts w:hint="eastAsia" w:ascii="宋体" w:hAnsi="宋体" w:eastAsia="宋体" w:cs="宋体"/>
          <w:bCs/>
          <w:sz w:val="24"/>
        </w:rPr>
        <w:t>票，弃权0票，反对0票。获得通过。</w:t>
      </w:r>
    </w:p>
    <w:p>
      <w:pPr>
        <w:pStyle w:val="16"/>
        <w:numPr>
          <w:ilvl w:val="0"/>
          <w:numId w:val="1"/>
        </w:numPr>
        <w:spacing w:line="480" w:lineRule="exact"/>
        <w:ind w:firstLineChars="0"/>
        <w:rPr>
          <w:rFonts w:ascii="宋体" w:hAnsi="宋体" w:eastAsia="宋体" w:cs="宋体"/>
          <w:bCs/>
          <w:sz w:val="24"/>
        </w:rPr>
      </w:pPr>
      <w:r>
        <w:rPr>
          <w:rFonts w:hint="eastAsia" w:ascii="宋体" w:hAnsi="宋体" w:eastAsia="宋体" w:cs="宋体"/>
          <w:bCs/>
          <w:sz w:val="24"/>
        </w:rPr>
        <w:t>本次回购股份符合相关条件</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r>
        <w:rPr>
          <w:rFonts w:hint="eastAsia" w:ascii="宋体" w:hAnsi="宋体" w:eastAsia="宋体" w:cs="宋体"/>
          <w:bCs/>
          <w:sz w:val="24"/>
        </w:rPr>
        <w:t>票，弃权0票，反对0票。获得通过。</w:t>
      </w:r>
    </w:p>
    <w:p>
      <w:pPr>
        <w:pStyle w:val="16"/>
        <w:numPr>
          <w:ilvl w:val="0"/>
          <w:numId w:val="1"/>
        </w:numPr>
        <w:spacing w:line="480" w:lineRule="exact"/>
        <w:ind w:firstLineChars="0"/>
        <w:rPr>
          <w:rFonts w:ascii="宋体" w:hAnsi="宋体" w:eastAsia="宋体" w:cs="宋体"/>
          <w:bCs/>
          <w:sz w:val="24"/>
        </w:rPr>
      </w:pPr>
      <w:r>
        <w:rPr>
          <w:rFonts w:hint="eastAsia" w:ascii="宋体" w:hAnsi="宋体" w:eastAsia="宋体" w:cs="宋体"/>
          <w:bCs/>
          <w:sz w:val="24"/>
        </w:rPr>
        <w:t>回购股份的方式、价格区间</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r>
        <w:rPr>
          <w:rFonts w:hint="eastAsia" w:ascii="宋体" w:hAnsi="宋体" w:eastAsia="宋体" w:cs="宋体"/>
          <w:bCs/>
          <w:sz w:val="24"/>
        </w:rPr>
        <w:t>票，弃权0票，反对0票。获得通过。</w:t>
      </w:r>
    </w:p>
    <w:p>
      <w:pPr>
        <w:pStyle w:val="16"/>
        <w:numPr>
          <w:ilvl w:val="0"/>
          <w:numId w:val="1"/>
        </w:numPr>
        <w:spacing w:line="480" w:lineRule="exact"/>
        <w:ind w:firstLineChars="0"/>
        <w:rPr>
          <w:rFonts w:ascii="宋体" w:hAnsi="宋体" w:eastAsia="宋体" w:cs="宋体"/>
          <w:bCs/>
          <w:sz w:val="24"/>
        </w:rPr>
      </w:pPr>
      <w:r>
        <w:rPr>
          <w:rFonts w:hint="eastAsia" w:ascii="宋体" w:hAnsi="宋体" w:eastAsia="宋体" w:cs="宋体"/>
          <w:bCs/>
          <w:sz w:val="24"/>
        </w:rPr>
        <w:t>回购金额及回购资金来源</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r>
        <w:rPr>
          <w:rFonts w:hint="eastAsia" w:ascii="宋体" w:hAnsi="宋体" w:eastAsia="宋体" w:cs="宋体"/>
          <w:bCs/>
          <w:sz w:val="24"/>
        </w:rPr>
        <w:t>票，弃权0票，反对0票。获得通过。</w:t>
      </w:r>
    </w:p>
    <w:p>
      <w:pPr>
        <w:pStyle w:val="16"/>
        <w:numPr>
          <w:ilvl w:val="0"/>
          <w:numId w:val="1"/>
        </w:numPr>
        <w:spacing w:line="480" w:lineRule="exact"/>
        <w:ind w:firstLineChars="0"/>
        <w:rPr>
          <w:rFonts w:ascii="宋体" w:hAnsi="宋体" w:eastAsia="宋体" w:cs="宋体"/>
          <w:bCs/>
          <w:sz w:val="24"/>
        </w:rPr>
      </w:pPr>
      <w:r>
        <w:rPr>
          <w:rFonts w:hint="eastAsia" w:ascii="宋体" w:hAnsi="宋体" w:eastAsia="宋体" w:cs="宋体"/>
          <w:bCs/>
          <w:sz w:val="24"/>
        </w:rPr>
        <w:t>回购股份的种类、用途、数量、占公司总股本的比例</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r>
        <w:rPr>
          <w:rFonts w:hint="eastAsia" w:ascii="宋体" w:hAnsi="宋体" w:eastAsia="宋体" w:cs="宋体"/>
          <w:bCs/>
          <w:sz w:val="24"/>
        </w:rPr>
        <w:t>票，弃权0票，反对0票。获得通过。</w:t>
      </w:r>
    </w:p>
    <w:p>
      <w:pPr>
        <w:pStyle w:val="16"/>
        <w:numPr>
          <w:ilvl w:val="0"/>
          <w:numId w:val="1"/>
        </w:numPr>
        <w:spacing w:line="480" w:lineRule="exact"/>
        <w:ind w:firstLineChars="0"/>
        <w:rPr>
          <w:rFonts w:ascii="宋体" w:hAnsi="宋体" w:eastAsia="宋体" w:cs="宋体"/>
          <w:bCs/>
          <w:sz w:val="24"/>
        </w:rPr>
      </w:pPr>
      <w:r>
        <w:rPr>
          <w:rFonts w:hint="eastAsia" w:ascii="宋体" w:hAnsi="宋体" w:eastAsia="宋体" w:cs="宋体"/>
          <w:bCs/>
          <w:sz w:val="24"/>
        </w:rPr>
        <w:t>回购股份的实施期限</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r>
        <w:rPr>
          <w:rFonts w:hint="eastAsia" w:ascii="宋体" w:hAnsi="宋体" w:eastAsia="宋体" w:cs="宋体"/>
          <w:bCs/>
          <w:sz w:val="24"/>
        </w:rPr>
        <w:t>票，弃权0票，反对0票。获得通过。</w:t>
      </w:r>
    </w:p>
    <w:p>
      <w:pPr>
        <w:pStyle w:val="16"/>
        <w:numPr>
          <w:ilvl w:val="0"/>
          <w:numId w:val="1"/>
        </w:numPr>
        <w:spacing w:line="480" w:lineRule="exact"/>
        <w:ind w:firstLineChars="0"/>
        <w:rPr>
          <w:rFonts w:hint="eastAsia" w:ascii="宋体" w:hAnsi="宋体" w:eastAsia="宋体" w:cs="宋体"/>
          <w:bCs/>
          <w:sz w:val="24"/>
        </w:rPr>
      </w:pPr>
      <w:r>
        <w:rPr>
          <w:rFonts w:hint="eastAsia" w:ascii="宋体" w:hAnsi="宋体" w:eastAsia="宋体" w:cs="宋体"/>
          <w:bCs/>
          <w:sz w:val="24"/>
        </w:rPr>
        <w:t>办理本次回购股份事宜的具体授权</w:t>
      </w:r>
    </w:p>
    <w:p>
      <w:pPr>
        <w:spacing w:line="480" w:lineRule="exact"/>
        <w:ind w:left="480"/>
        <w:rPr>
          <w:rFonts w:hint="eastAsia" w:ascii="宋体" w:hAnsi="宋体" w:eastAsia="宋体" w:cs="宋体"/>
          <w:bCs/>
          <w:sz w:val="24"/>
        </w:rPr>
      </w:pPr>
      <w:r>
        <w:rPr>
          <w:rFonts w:hint="eastAsia" w:ascii="宋体" w:hAnsi="宋体" w:eastAsia="宋体" w:cs="宋体"/>
          <w:bCs/>
          <w:sz w:val="24"/>
        </w:rPr>
        <w:t>表决结果：同意</w:t>
      </w:r>
      <w:r>
        <w:rPr>
          <w:rFonts w:hint="default" w:ascii="宋体" w:hAnsi="宋体" w:eastAsia="宋体" w:cs="宋体"/>
          <w:bCs/>
          <w:sz w:val="24"/>
          <w:lang w:val="en-US"/>
        </w:rPr>
        <w:t>3</w:t>
      </w:r>
      <w:bookmarkStart w:id="1" w:name="_GoBack"/>
      <w:bookmarkEnd w:id="1"/>
      <w:r>
        <w:rPr>
          <w:rFonts w:hint="eastAsia" w:ascii="宋体" w:hAnsi="宋体" w:eastAsia="宋体" w:cs="宋体"/>
          <w:bCs/>
          <w:sz w:val="24"/>
        </w:rPr>
        <w:t>票，弃权0票，反对0票。获得通过。</w:t>
      </w:r>
    </w:p>
    <w:p>
      <w:pPr>
        <w:pStyle w:val="20"/>
        <w:spacing w:line="360" w:lineRule="auto"/>
        <w:ind w:firstLine="480" w:firstLineChars="200"/>
        <w:rPr>
          <w:rFonts w:hint="eastAsia" w:ascii="宋体" w:hAnsi="宋体" w:cs="宋体" w:eastAsiaTheme="minorEastAsia"/>
          <w:sz w:val="23"/>
          <w:szCs w:val="23"/>
        </w:rPr>
      </w:pPr>
      <w:r>
        <w:rPr>
          <w:rStyle w:val="21"/>
          <w:rFonts w:hint="default"/>
          <w:color w:val="auto"/>
        </w:rPr>
        <w:t>《</w:t>
      </w:r>
      <w:r>
        <w:rPr>
          <w:rFonts w:hint="eastAsia" w:ascii="宋体" w:hAnsi="宋体"/>
          <w:sz w:val="24"/>
        </w:rPr>
        <w:t>关于回购公司股份方案的公告</w:t>
      </w:r>
      <w:r>
        <w:rPr>
          <w:rFonts w:hint="eastAsia" w:ascii="宋体" w:hAnsi="宋体" w:cs="宋体"/>
          <w:sz w:val="24"/>
        </w:rPr>
        <w:t>》具体内容详见巨</w:t>
      </w:r>
      <w:r>
        <w:rPr>
          <w:rFonts w:hint="eastAsia" w:asciiTheme="minorEastAsia" w:hAnsiTheme="minorEastAsia" w:eastAsiaTheme="minorEastAsia"/>
          <w:sz w:val="24"/>
          <w:szCs w:val="24"/>
        </w:rPr>
        <w:t>潮</w:t>
      </w:r>
      <w:r>
        <w:rPr>
          <w:rFonts w:hint="eastAsia" w:ascii="宋体" w:hAnsi="宋体" w:cs="宋体"/>
          <w:sz w:val="24"/>
        </w:rPr>
        <w:t>资讯网（www.cninfo.com.cn）和《证券时报》《中国证券报》《证券日报》。</w:t>
      </w:r>
    </w:p>
    <w:p>
      <w:pPr>
        <w:spacing w:before="120" w:beforeLines="50" w:after="120" w:afterLines="50" w:line="360" w:lineRule="auto"/>
        <w:ind w:firstLine="468"/>
        <w:rPr>
          <w:rFonts w:asciiTheme="minorEastAsia" w:hAnsiTheme="minorEastAsia" w:eastAsiaTheme="minorEastAsia"/>
          <w:b/>
          <w:color w:val="000000"/>
          <w:sz w:val="24"/>
        </w:rPr>
      </w:pPr>
      <w:r>
        <w:rPr>
          <w:rFonts w:asciiTheme="minorEastAsia" w:hAnsiTheme="minorEastAsia" w:eastAsiaTheme="minorEastAsia"/>
          <w:b/>
          <w:color w:val="000000"/>
          <w:sz w:val="24"/>
        </w:rPr>
        <w:t> </w:t>
      </w:r>
      <w:r>
        <w:rPr>
          <w:rFonts w:hint="eastAsia" w:asciiTheme="minorEastAsia" w:hAnsiTheme="minorEastAsia" w:eastAsiaTheme="minorEastAsia"/>
          <w:b/>
          <w:color w:val="000000"/>
          <w:sz w:val="24"/>
        </w:rPr>
        <w:t>三、备查文件</w:t>
      </w:r>
    </w:p>
    <w:p>
      <w:pPr>
        <w:numPr>
          <w:ilvl w:val="0"/>
          <w:numId w:val="2"/>
        </w:num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《青岛伟隆阀门股份有限公司第四届监事会第二十次会议决议》；</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特此公告。</w:t>
      </w:r>
    </w:p>
    <w:p>
      <w:pPr>
        <w:tabs>
          <w:tab w:val="left" w:pos="3735"/>
        </w:tabs>
        <w:spacing w:before="120" w:beforeLines="50" w:after="120" w:afterLines="50" w:line="360" w:lineRule="auto"/>
        <w:ind w:firstLine="468"/>
        <w:rPr>
          <w:rFonts w:asciiTheme="minorEastAsia" w:hAnsiTheme="minorEastAsia" w:eastAsiaTheme="minorEastAsia"/>
          <w:sz w:val="24"/>
          <w:szCs w:val="24"/>
        </w:rPr>
      </w:pPr>
      <w:r>
        <w:rPr>
          <w:rFonts w:asciiTheme="minorEastAsia" w:hAnsiTheme="minorEastAsia" w:eastAsiaTheme="minorEastAsia"/>
          <w:sz w:val="24"/>
          <w:szCs w:val="24"/>
        </w:rPr>
        <w:tab/>
      </w:r>
    </w:p>
    <w:p>
      <w:pPr>
        <w:spacing w:before="120" w:beforeLines="50" w:after="120" w:afterLines="50"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20" w:beforeLines="50" w:after="120" w:afterLines="50"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监事会 </w:t>
      </w:r>
    </w:p>
    <w:p>
      <w:pPr>
        <w:spacing w:before="120" w:beforeLines="50" w:after="12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2023年10月1</w:t>
      </w:r>
      <w:r>
        <w:rPr>
          <w:rFonts w:hint="default" w:asciiTheme="minorEastAsia" w:hAnsiTheme="minorEastAsia" w:eastAsiaTheme="minorEastAsia"/>
          <w:sz w:val="24"/>
          <w:szCs w:val="24"/>
          <w:lang w:val="en-US"/>
        </w:rPr>
        <w:t>9</w:t>
      </w:r>
      <w:r>
        <w:rPr>
          <w:rFonts w:hint="eastAsia" w:asciiTheme="minorEastAsia" w:hAnsiTheme="minorEastAsia" w:eastAsiaTheme="minorEastAsia"/>
          <w:sz w:val="24"/>
          <w:szCs w:val="24"/>
        </w:rPr>
        <w:t xml:space="preserve">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0EE39"/>
    <w:multiLevelType w:val="singleLevel"/>
    <w:tmpl w:val="0ED0EE39"/>
    <w:lvl w:ilvl="0" w:tentative="0">
      <w:start w:val="1"/>
      <w:numFmt w:val="decimal"/>
      <w:suff w:val="nothing"/>
      <w:lvlText w:val="%1．"/>
      <w:lvlJc w:val="left"/>
    </w:lvl>
  </w:abstractNum>
  <w:abstractNum w:abstractNumId="1">
    <w:nsid w:val="7A3646E1"/>
    <w:multiLevelType w:val="multilevel"/>
    <w:tmpl w:val="7A3646E1"/>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3CD"/>
    <w:rsid w:val="00022A9E"/>
    <w:rsid w:val="00023BAC"/>
    <w:rsid w:val="00031AFA"/>
    <w:rsid w:val="00074DD9"/>
    <w:rsid w:val="00080C5D"/>
    <w:rsid w:val="00083826"/>
    <w:rsid w:val="00087BE3"/>
    <w:rsid w:val="00090786"/>
    <w:rsid w:val="000A0FB4"/>
    <w:rsid w:val="000B2414"/>
    <w:rsid w:val="000B5CC8"/>
    <w:rsid w:val="000B6DBF"/>
    <w:rsid w:val="000C6274"/>
    <w:rsid w:val="000D6589"/>
    <w:rsid w:val="000E294A"/>
    <w:rsid w:val="000E3FA3"/>
    <w:rsid w:val="000E4EF4"/>
    <w:rsid w:val="00100F35"/>
    <w:rsid w:val="0010482D"/>
    <w:rsid w:val="00105553"/>
    <w:rsid w:val="0010568E"/>
    <w:rsid w:val="001118CE"/>
    <w:rsid w:val="00115BE8"/>
    <w:rsid w:val="00116D52"/>
    <w:rsid w:val="00121BA8"/>
    <w:rsid w:val="00123DE7"/>
    <w:rsid w:val="001306E7"/>
    <w:rsid w:val="00140D0E"/>
    <w:rsid w:val="00141333"/>
    <w:rsid w:val="001624EA"/>
    <w:rsid w:val="0016383F"/>
    <w:rsid w:val="00172A27"/>
    <w:rsid w:val="001840A0"/>
    <w:rsid w:val="00191D6D"/>
    <w:rsid w:val="001B33ED"/>
    <w:rsid w:val="001B67F9"/>
    <w:rsid w:val="001C0510"/>
    <w:rsid w:val="001C2D84"/>
    <w:rsid w:val="001C4F3D"/>
    <w:rsid w:val="001C59F6"/>
    <w:rsid w:val="001C72E9"/>
    <w:rsid w:val="001D4D05"/>
    <w:rsid w:val="001E4C2B"/>
    <w:rsid w:val="001E5BA2"/>
    <w:rsid w:val="001E7A4C"/>
    <w:rsid w:val="001F18B8"/>
    <w:rsid w:val="00205726"/>
    <w:rsid w:val="002268D0"/>
    <w:rsid w:val="002370B1"/>
    <w:rsid w:val="00256DE7"/>
    <w:rsid w:val="00263224"/>
    <w:rsid w:val="00263DBE"/>
    <w:rsid w:val="0027512C"/>
    <w:rsid w:val="002858DA"/>
    <w:rsid w:val="00285CE5"/>
    <w:rsid w:val="002A61D4"/>
    <w:rsid w:val="002B0EBD"/>
    <w:rsid w:val="002C3FAC"/>
    <w:rsid w:val="002C48BD"/>
    <w:rsid w:val="002F0E27"/>
    <w:rsid w:val="002F48D1"/>
    <w:rsid w:val="002F6919"/>
    <w:rsid w:val="002F7410"/>
    <w:rsid w:val="00304F62"/>
    <w:rsid w:val="00305829"/>
    <w:rsid w:val="00312D15"/>
    <w:rsid w:val="00315304"/>
    <w:rsid w:val="00320D5B"/>
    <w:rsid w:val="00322965"/>
    <w:rsid w:val="00323092"/>
    <w:rsid w:val="00323B43"/>
    <w:rsid w:val="00330707"/>
    <w:rsid w:val="0034236D"/>
    <w:rsid w:val="00350E0A"/>
    <w:rsid w:val="00351C24"/>
    <w:rsid w:val="00366C81"/>
    <w:rsid w:val="00370995"/>
    <w:rsid w:val="00371FC3"/>
    <w:rsid w:val="003836CA"/>
    <w:rsid w:val="003861A5"/>
    <w:rsid w:val="0039237D"/>
    <w:rsid w:val="00397139"/>
    <w:rsid w:val="003B3D60"/>
    <w:rsid w:val="003B4DB1"/>
    <w:rsid w:val="003C37B5"/>
    <w:rsid w:val="003C6F1A"/>
    <w:rsid w:val="003D04A6"/>
    <w:rsid w:val="003D37D8"/>
    <w:rsid w:val="003E6E49"/>
    <w:rsid w:val="004026E7"/>
    <w:rsid w:val="004054E9"/>
    <w:rsid w:val="00405E3D"/>
    <w:rsid w:val="00407B06"/>
    <w:rsid w:val="00412EC7"/>
    <w:rsid w:val="004164C3"/>
    <w:rsid w:val="00424778"/>
    <w:rsid w:val="00426133"/>
    <w:rsid w:val="00430C7C"/>
    <w:rsid w:val="00431DD2"/>
    <w:rsid w:val="004358AB"/>
    <w:rsid w:val="0044283A"/>
    <w:rsid w:val="004435DA"/>
    <w:rsid w:val="00446109"/>
    <w:rsid w:val="004543EA"/>
    <w:rsid w:val="004562BF"/>
    <w:rsid w:val="00461DAC"/>
    <w:rsid w:val="00474557"/>
    <w:rsid w:val="004A0AEE"/>
    <w:rsid w:val="004B5F5B"/>
    <w:rsid w:val="004C3138"/>
    <w:rsid w:val="004C6E03"/>
    <w:rsid w:val="004D4CF5"/>
    <w:rsid w:val="004E1A97"/>
    <w:rsid w:val="004F4AB9"/>
    <w:rsid w:val="00504912"/>
    <w:rsid w:val="00504E75"/>
    <w:rsid w:val="00516B02"/>
    <w:rsid w:val="0051752B"/>
    <w:rsid w:val="00542EC3"/>
    <w:rsid w:val="00547A07"/>
    <w:rsid w:val="00556CA9"/>
    <w:rsid w:val="005673E7"/>
    <w:rsid w:val="005856B9"/>
    <w:rsid w:val="00593596"/>
    <w:rsid w:val="00596292"/>
    <w:rsid w:val="005A4475"/>
    <w:rsid w:val="005B32C7"/>
    <w:rsid w:val="005C0288"/>
    <w:rsid w:val="005C270C"/>
    <w:rsid w:val="005C3A4D"/>
    <w:rsid w:val="005C5AC8"/>
    <w:rsid w:val="005C6F28"/>
    <w:rsid w:val="005D4FA7"/>
    <w:rsid w:val="005D6C16"/>
    <w:rsid w:val="005F0BBF"/>
    <w:rsid w:val="005F36CE"/>
    <w:rsid w:val="005F3F03"/>
    <w:rsid w:val="00600A93"/>
    <w:rsid w:val="00607D7B"/>
    <w:rsid w:val="00617684"/>
    <w:rsid w:val="006234A3"/>
    <w:rsid w:val="006234D3"/>
    <w:rsid w:val="006321B7"/>
    <w:rsid w:val="00641D9C"/>
    <w:rsid w:val="006553C2"/>
    <w:rsid w:val="00667280"/>
    <w:rsid w:val="0068209B"/>
    <w:rsid w:val="006824B5"/>
    <w:rsid w:val="006961B2"/>
    <w:rsid w:val="006B53EC"/>
    <w:rsid w:val="006B6A27"/>
    <w:rsid w:val="006C121B"/>
    <w:rsid w:val="006E314F"/>
    <w:rsid w:val="006E5BCD"/>
    <w:rsid w:val="006E7605"/>
    <w:rsid w:val="006F3AC2"/>
    <w:rsid w:val="006F4987"/>
    <w:rsid w:val="00702023"/>
    <w:rsid w:val="00705C1B"/>
    <w:rsid w:val="00706841"/>
    <w:rsid w:val="00712C1E"/>
    <w:rsid w:val="00723678"/>
    <w:rsid w:val="00736CCB"/>
    <w:rsid w:val="00745A00"/>
    <w:rsid w:val="007536C2"/>
    <w:rsid w:val="00757166"/>
    <w:rsid w:val="00760A31"/>
    <w:rsid w:val="00763722"/>
    <w:rsid w:val="00780673"/>
    <w:rsid w:val="007814FC"/>
    <w:rsid w:val="00785158"/>
    <w:rsid w:val="007967B3"/>
    <w:rsid w:val="007A4BAF"/>
    <w:rsid w:val="007A72B5"/>
    <w:rsid w:val="007B1F9D"/>
    <w:rsid w:val="007C0DCC"/>
    <w:rsid w:val="007C4641"/>
    <w:rsid w:val="007D5D47"/>
    <w:rsid w:val="007E25F6"/>
    <w:rsid w:val="007E77F2"/>
    <w:rsid w:val="007F1020"/>
    <w:rsid w:val="00812732"/>
    <w:rsid w:val="00825861"/>
    <w:rsid w:val="008347DD"/>
    <w:rsid w:val="008424D8"/>
    <w:rsid w:val="00856162"/>
    <w:rsid w:val="00862320"/>
    <w:rsid w:val="00862530"/>
    <w:rsid w:val="0088084E"/>
    <w:rsid w:val="00881A67"/>
    <w:rsid w:val="00882566"/>
    <w:rsid w:val="0088530D"/>
    <w:rsid w:val="00885EF3"/>
    <w:rsid w:val="008948D7"/>
    <w:rsid w:val="00895B95"/>
    <w:rsid w:val="008A11C3"/>
    <w:rsid w:val="008A287C"/>
    <w:rsid w:val="008B7726"/>
    <w:rsid w:val="008C4867"/>
    <w:rsid w:val="008C7DE2"/>
    <w:rsid w:val="008D17AC"/>
    <w:rsid w:val="008E5D7F"/>
    <w:rsid w:val="008F2CD2"/>
    <w:rsid w:val="0090339E"/>
    <w:rsid w:val="0090559A"/>
    <w:rsid w:val="0091337C"/>
    <w:rsid w:val="00931492"/>
    <w:rsid w:val="009550BA"/>
    <w:rsid w:val="00957604"/>
    <w:rsid w:val="00962038"/>
    <w:rsid w:val="0096231F"/>
    <w:rsid w:val="00970166"/>
    <w:rsid w:val="0097585D"/>
    <w:rsid w:val="009815D2"/>
    <w:rsid w:val="0098339F"/>
    <w:rsid w:val="0098467F"/>
    <w:rsid w:val="0098481A"/>
    <w:rsid w:val="0099464B"/>
    <w:rsid w:val="009A3A37"/>
    <w:rsid w:val="009B3B69"/>
    <w:rsid w:val="009B47AC"/>
    <w:rsid w:val="009B7A89"/>
    <w:rsid w:val="009C0906"/>
    <w:rsid w:val="009C376A"/>
    <w:rsid w:val="009C4655"/>
    <w:rsid w:val="009C73EF"/>
    <w:rsid w:val="009D10C7"/>
    <w:rsid w:val="009E2F97"/>
    <w:rsid w:val="009E393E"/>
    <w:rsid w:val="009F58D5"/>
    <w:rsid w:val="009F71CF"/>
    <w:rsid w:val="00A02B6C"/>
    <w:rsid w:val="00A0704F"/>
    <w:rsid w:val="00A155EB"/>
    <w:rsid w:val="00A303AA"/>
    <w:rsid w:val="00A53A38"/>
    <w:rsid w:val="00A53FF2"/>
    <w:rsid w:val="00A7113F"/>
    <w:rsid w:val="00A94246"/>
    <w:rsid w:val="00AA1D1A"/>
    <w:rsid w:val="00AB6CA0"/>
    <w:rsid w:val="00AC2F7D"/>
    <w:rsid w:val="00AC7411"/>
    <w:rsid w:val="00AC779D"/>
    <w:rsid w:val="00AD053D"/>
    <w:rsid w:val="00AD12CF"/>
    <w:rsid w:val="00AE6BB7"/>
    <w:rsid w:val="00AF0BFB"/>
    <w:rsid w:val="00AF2363"/>
    <w:rsid w:val="00AF586F"/>
    <w:rsid w:val="00B022AB"/>
    <w:rsid w:val="00B12263"/>
    <w:rsid w:val="00B20D1A"/>
    <w:rsid w:val="00B25E89"/>
    <w:rsid w:val="00B31B87"/>
    <w:rsid w:val="00B36F76"/>
    <w:rsid w:val="00B447EE"/>
    <w:rsid w:val="00B44968"/>
    <w:rsid w:val="00B524CE"/>
    <w:rsid w:val="00B66B52"/>
    <w:rsid w:val="00B70156"/>
    <w:rsid w:val="00B77036"/>
    <w:rsid w:val="00BA2473"/>
    <w:rsid w:val="00BA2EED"/>
    <w:rsid w:val="00BA537F"/>
    <w:rsid w:val="00BA7825"/>
    <w:rsid w:val="00BB1843"/>
    <w:rsid w:val="00BB24E1"/>
    <w:rsid w:val="00BC2A06"/>
    <w:rsid w:val="00BD0B09"/>
    <w:rsid w:val="00BE2D68"/>
    <w:rsid w:val="00BE6684"/>
    <w:rsid w:val="00BE7F41"/>
    <w:rsid w:val="00C00963"/>
    <w:rsid w:val="00C04E49"/>
    <w:rsid w:val="00C05532"/>
    <w:rsid w:val="00C11DA5"/>
    <w:rsid w:val="00C12712"/>
    <w:rsid w:val="00C13DF9"/>
    <w:rsid w:val="00C26E03"/>
    <w:rsid w:val="00C30361"/>
    <w:rsid w:val="00C31997"/>
    <w:rsid w:val="00C333B8"/>
    <w:rsid w:val="00C52581"/>
    <w:rsid w:val="00C61EB3"/>
    <w:rsid w:val="00C62F24"/>
    <w:rsid w:val="00C66033"/>
    <w:rsid w:val="00C66AD0"/>
    <w:rsid w:val="00C75AA8"/>
    <w:rsid w:val="00C83CFB"/>
    <w:rsid w:val="00C843B3"/>
    <w:rsid w:val="00C87B02"/>
    <w:rsid w:val="00C921FC"/>
    <w:rsid w:val="00C92216"/>
    <w:rsid w:val="00CB28D8"/>
    <w:rsid w:val="00CB4834"/>
    <w:rsid w:val="00CB7E22"/>
    <w:rsid w:val="00CC0AED"/>
    <w:rsid w:val="00CC47F2"/>
    <w:rsid w:val="00CD0469"/>
    <w:rsid w:val="00CD11B5"/>
    <w:rsid w:val="00CE3854"/>
    <w:rsid w:val="00CF39DB"/>
    <w:rsid w:val="00CF6812"/>
    <w:rsid w:val="00D007AE"/>
    <w:rsid w:val="00D031F8"/>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A7810"/>
    <w:rsid w:val="00DB3986"/>
    <w:rsid w:val="00DC0C8B"/>
    <w:rsid w:val="00DD1C68"/>
    <w:rsid w:val="00DD3E59"/>
    <w:rsid w:val="00DD54E8"/>
    <w:rsid w:val="00DE2901"/>
    <w:rsid w:val="00DF3F12"/>
    <w:rsid w:val="00E117DE"/>
    <w:rsid w:val="00E16FB0"/>
    <w:rsid w:val="00E252F6"/>
    <w:rsid w:val="00E33C76"/>
    <w:rsid w:val="00E56877"/>
    <w:rsid w:val="00E64ACB"/>
    <w:rsid w:val="00E65E91"/>
    <w:rsid w:val="00E71239"/>
    <w:rsid w:val="00E763CA"/>
    <w:rsid w:val="00E93451"/>
    <w:rsid w:val="00E97AF6"/>
    <w:rsid w:val="00EA1640"/>
    <w:rsid w:val="00EA2F11"/>
    <w:rsid w:val="00EB4454"/>
    <w:rsid w:val="00EC122A"/>
    <w:rsid w:val="00ED1A60"/>
    <w:rsid w:val="00ED1B38"/>
    <w:rsid w:val="00ED2416"/>
    <w:rsid w:val="00ED41E8"/>
    <w:rsid w:val="00EE12F1"/>
    <w:rsid w:val="00F0022C"/>
    <w:rsid w:val="00F00B0B"/>
    <w:rsid w:val="00F01F91"/>
    <w:rsid w:val="00F05437"/>
    <w:rsid w:val="00F14B38"/>
    <w:rsid w:val="00F212C7"/>
    <w:rsid w:val="00F47D98"/>
    <w:rsid w:val="00F53072"/>
    <w:rsid w:val="00F5660A"/>
    <w:rsid w:val="00F63194"/>
    <w:rsid w:val="00F774B4"/>
    <w:rsid w:val="00F9053F"/>
    <w:rsid w:val="00F92E21"/>
    <w:rsid w:val="00FA6923"/>
    <w:rsid w:val="00FB4B02"/>
    <w:rsid w:val="00FC4AB2"/>
    <w:rsid w:val="00FC5C4C"/>
    <w:rsid w:val="00FD6898"/>
    <w:rsid w:val="00FF66DC"/>
    <w:rsid w:val="00FF74F4"/>
    <w:rsid w:val="03284E8C"/>
    <w:rsid w:val="04582CCD"/>
    <w:rsid w:val="04933A7B"/>
    <w:rsid w:val="05216551"/>
    <w:rsid w:val="059067F4"/>
    <w:rsid w:val="0A1F39CB"/>
    <w:rsid w:val="10173CA8"/>
    <w:rsid w:val="11E33DA5"/>
    <w:rsid w:val="121C111E"/>
    <w:rsid w:val="13F115BD"/>
    <w:rsid w:val="14A85ECD"/>
    <w:rsid w:val="14C00400"/>
    <w:rsid w:val="16454C4B"/>
    <w:rsid w:val="16AB0AA6"/>
    <w:rsid w:val="1B456253"/>
    <w:rsid w:val="1D5A719B"/>
    <w:rsid w:val="1DEA3522"/>
    <w:rsid w:val="1F087DEE"/>
    <w:rsid w:val="202E3BE9"/>
    <w:rsid w:val="20781BFB"/>
    <w:rsid w:val="210943B7"/>
    <w:rsid w:val="22DF73CD"/>
    <w:rsid w:val="235D3917"/>
    <w:rsid w:val="24030698"/>
    <w:rsid w:val="24AA6407"/>
    <w:rsid w:val="25FC664A"/>
    <w:rsid w:val="268179D3"/>
    <w:rsid w:val="26AD3DFC"/>
    <w:rsid w:val="26C868E1"/>
    <w:rsid w:val="272D366F"/>
    <w:rsid w:val="273D3F19"/>
    <w:rsid w:val="27A242AE"/>
    <w:rsid w:val="28446F61"/>
    <w:rsid w:val="294E423C"/>
    <w:rsid w:val="2A696137"/>
    <w:rsid w:val="2A764FC7"/>
    <w:rsid w:val="2AA027A4"/>
    <w:rsid w:val="2AF87057"/>
    <w:rsid w:val="2B853CDD"/>
    <w:rsid w:val="2BBB6116"/>
    <w:rsid w:val="2C16552D"/>
    <w:rsid w:val="2D1402D8"/>
    <w:rsid w:val="2ED92EEA"/>
    <w:rsid w:val="3103761F"/>
    <w:rsid w:val="32545A0A"/>
    <w:rsid w:val="32E83E28"/>
    <w:rsid w:val="36190B81"/>
    <w:rsid w:val="38013B52"/>
    <w:rsid w:val="3BF67029"/>
    <w:rsid w:val="3C9D64F0"/>
    <w:rsid w:val="3DB23653"/>
    <w:rsid w:val="40BA16FA"/>
    <w:rsid w:val="40ED7B5A"/>
    <w:rsid w:val="41771E04"/>
    <w:rsid w:val="421C1499"/>
    <w:rsid w:val="43593420"/>
    <w:rsid w:val="456B3021"/>
    <w:rsid w:val="45D7645E"/>
    <w:rsid w:val="45E55B3D"/>
    <w:rsid w:val="46DD5F48"/>
    <w:rsid w:val="46F8310E"/>
    <w:rsid w:val="48542485"/>
    <w:rsid w:val="492773C9"/>
    <w:rsid w:val="494F3EDE"/>
    <w:rsid w:val="49891460"/>
    <w:rsid w:val="4B2F4F56"/>
    <w:rsid w:val="4C047638"/>
    <w:rsid w:val="4CBB2C39"/>
    <w:rsid w:val="4CFF1931"/>
    <w:rsid w:val="4EA84AD5"/>
    <w:rsid w:val="4F267A7B"/>
    <w:rsid w:val="5059203D"/>
    <w:rsid w:val="50835F8C"/>
    <w:rsid w:val="509A04C8"/>
    <w:rsid w:val="50FC2103"/>
    <w:rsid w:val="55AC6A83"/>
    <w:rsid w:val="562F6EE9"/>
    <w:rsid w:val="575C0D0C"/>
    <w:rsid w:val="57C87E52"/>
    <w:rsid w:val="57F27148"/>
    <w:rsid w:val="58344BBB"/>
    <w:rsid w:val="5AAA6638"/>
    <w:rsid w:val="5ACB0A85"/>
    <w:rsid w:val="5B355B41"/>
    <w:rsid w:val="5C142F3C"/>
    <w:rsid w:val="5C1C47D3"/>
    <w:rsid w:val="5C954D8E"/>
    <w:rsid w:val="607B2B54"/>
    <w:rsid w:val="609151A9"/>
    <w:rsid w:val="60996380"/>
    <w:rsid w:val="61562130"/>
    <w:rsid w:val="6379684E"/>
    <w:rsid w:val="63E56A8C"/>
    <w:rsid w:val="65402374"/>
    <w:rsid w:val="669A6275"/>
    <w:rsid w:val="66A357A5"/>
    <w:rsid w:val="66BC1FA2"/>
    <w:rsid w:val="673C0498"/>
    <w:rsid w:val="686A6131"/>
    <w:rsid w:val="6AEE49E8"/>
    <w:rsid w:val="6BA41121"/>
    <w:rsid w:val="6BF74350"/>
    <w:rsid w:val="6C9333DF"/>
    <w:rsid w:val="6CF33B45"/>
    <w:rsid w:val="6DA112A2"/>
    <w:rsid w:val="6EE36ECA"/>
    <w:rsid w:val="6EEA2E97"/>
    <w:rsid w:val="6F6F473B"/>
    <w:rsid w:val="714E08D2"/>
    <w:rsid w:val="719F55FD"/>
    <w:rsid w:val="71D20BDC"/>
    <w:rsid w:val="723F6EE9"/>
    <w:rsid w:val="724E40E7"/>
    <w:rsid w:val="732D703E"/>
    <w:rsid w:val="75826128"/>
    <w:rsid w:val="767A7B9A"/>
    <w:rsid w:val="771B2FE0"/>
    <w:rsid w:val="775D2173"/>
    <w:rsid w:val="79B25CA9"/>
    <w:rsid w:val="7AE005AA"/>
    <w:rsid w:val="7B27544A"/>
    <w:rsid w:val="7C1E1FF3"/>
    <w:rsid w:val="7D3C4217"/>
    <w:rsid w:val="7D7D34E7"/>
    <w:rsid w:val="7DD96E0C"/>
    <w:rsid w:val="7EB76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semiHidden/>
    <w:unhideWhenUsed/>
    <w:qFormat/>
    <w:uiPriority w:val="99"/>
    <w:pPr>
      <w:spacing w:after="0"/>
    </w:pPr>
    <w:rPr>
      <w:sz w:val="18"/>
      <w:szCs w:val="18"/>
    </w:rPr>
  </w:style>
  <w:style w:type="paragraph" w:styleId="5">
    <w:name w:val="footer"/>
    <w:basedOn w:val="1"/>
    <w:link w:val="15"/>
    <w:unhideWhenUsed/>
    <w:qFormat/>
    <w:uiPriority w:val="0"/>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rFonts w:ascii="Tahoma" w:hAnsi="Tahoma"/>
      <w:sz w:val="18"/>
      <w:szCs w:val="18"/>
    </w:rPr>
  </w:style>
  <w:style w:type="character" w:customStyle="1" w:styleId="15">
    <w:name w:val="页脚 字符"/>
    <w:basedOn w:val="11"/>
    <w:link w:val="5"/>
    <w:semiHidden/>
    <w:qFormat/>
    <w:uiPriority w:val="99"/>
    <w:rPr>
      <w:rFonts w:ascii="Tahoma" w:hAnsi="Tahoma"/>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2"/>
    <w:qFormat/>
    <w:uiPriority w:val="99"/>
    <w:rPr>
      <w:rFonts w:ascii="Tahoma" w:hAnsi="Tahoma"/>
    </w:rPr>
  </w:style>
  <w:style w:type="character" w:customStyle="1" w:styleId="18">
    <w:name w:val="批注主题 字符"/>
    <w:basedOn w:val="17"/>
    <w:link w:val="8"/>
    <w:semiHidden/>
    <w:qFormat/>
    <w:uiPriority w:val="99"/>
    <w:rPr>
      <w:rFonts w:ascii="Tahoma" w:hAnsi="Tahoma"/>
      <w:b/>
      <w:bCs/>
    </w:rPr>
  </w:style>
  <w:style w:type="character" w:customStyle="1" w:styleId="19">
    <w:name w:val="批注框文本 字符"/>
    <w:basedOn w:val="11"/>
    <w:link w:val="4"/>
    <w:semiHidden/>
    <w:qFormat/>
    <w:uiPriority w:val="99"/>
    <w:rPr>
      <w:rFonts w:ascii="Tahoma" w:hAnsi="Tahoma"/>
      <w:sz w:val="18"/>
      <w:szCs w:val="18"/>
    </w:rPr>
  </w:style>
  <w:style w:type="paragraph" w:customStyle="1" w:styleId="20">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1">
    <w:name w:val="fontstyle01"/>
    <w:basedOn w:val="11"/>
    <w:qFormat/>
    <w:uiPriority w:val="0"/>
    <w:rPr>
      <w:rFonts w:hint="eastAsia" w:ascii="宋体" w:hAnsi="宋体" w:eastAsia="宋体"/>
      <w:color w:val="000000"/>
      <w:sz w:val="24"/>
      <w:szCs w:val="24"/>
    </w:rPr>
  </w:style>
  <w:style w:type="character" w:customStyle="1" w:styleId="22">
    <w:name w:val="fontstyle21"/>
    <w:basedOn w:val="11"/>
    <w:qFormat/>
    <w:uiPriority w:val="0"/>
    <w:rPr>
      <w:rFonts w:hint="default" w:ascii="Times New Roman" w:hAnsi="Times New Roman" w:cs="Times New Roman"/>
      <w:color w:val="000000"/>
      <w:sz w:val="24"/>
      <w:szCs w:val="24"/>
    </w:rPr>
  </w:style>
  <w:style w:type="character" w:customStyle="1" w:styleId="23">
    <w:name w:val="fontstyle11"/>
    <w:basedOn w:val="11"/>
    <w:qFormat/>
    <w:uiPriority w:val="0"/>
    <w:rPr>
      <w:rFonts w:hint="eastAsia" w:ascii="宋体" w:hAnsi="宋体" w:eastAsia="宋体"/>
      <w:color w:val="000000"/>
      <w:sz w:val="24"/>
      <w:szCs w:val="24"/>
    </w:rPr>
  </w:style>
  <w:style w:type="character" w:customStyle="1" w:styleId="24">
    <w:name w:val="da1"/>
    <w:qFormat/>
    <w:uiPriority w:val="0"/>
    <w:rPr>
      <w:rFonts w:hint="default" w:ascii="ˎ̥" w:hAnsi="ˎ̥"/>
      <w:color w:val="000000"/>
      <w:sz w:val="28"/>
      <w:szCs w:val="28"/>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修订1"/>
    <w:hidden/>
    <w:semiHidden/>
    <w:qFormat/>
    <w:uiPriority w:val="99"/>
    <w:rPr>
      <w:rFonts w:ascii="Tahoma" w:hAnsi="Tahoma" w:eastAsia="微软雅黑" w:cstheme="minorBidi"/>
      <w:sz w:val="22"/>
      <w:szCs w:val="22"/>
      <w:lang w:val="en-US" w:eastAsia="zh-CN" w:bidi="ar-SA"/>
    </w:rPr>
  </w:style>
  <w:style w:type="paragraph" w:customStyle="1" w:styleId="27">
    <w:name w:val="修订2"/>
    <w:hidden/>
    <w:unhideWhenUsed/>
    <w:qFormat/>
    <w:uiPriority w:val="99"/>
    <w:rPr>
      <w:rFonts w:ascii="Tahoma" w:hAnsi="Tahoma" w:eastAsia="微软雅黑" w:cstheme="minorBidi"/>
      <w:sz w:val="22"/>
      <w:szCs w:val="22"/>
      <w:lang w:val="en-US" w:eastAsia="zh-CN" w:bidi="ar-SA"/>
    </w:rPr>
  </w:style>
  <w:style w:type="paragraph" w:customStyle="1" w:styleId="28">
    <w:name w:val="修订3"/>
    <w:hidden/>
    <w:unhideWhenUsed/>
    <w:qFormat/>
    <w:uiPriority w:val="99"/>
    <w:rPr>
      <w:rFonts w:ascii="Tahoma" w:hAnsi="Tahoma" w:eastAsia="微软雅黑" w:cstheme="minorBidi"/>
      <w:sz w:val="22"/>
      <w:szCs w:val="22"/>
      <w:lang w:val="en-US" w:eastAsia="zh-CN" w:bidi="ar-SA"/>
    </w:rPr>
  </w:style>
  <w:style w:type="character" w:customStyle="1" w:styleId="29">
    <w:name w:val="Unresolved Mention"/>
    <w:basedOn w:val="11"/>
    <w:semiHidden/>
    <w:unhideWhenUsed/>
    <w:qFormat/>
    <w:uiPriority w:val="99"/>
    <w:rPr>
      <w:color w:val="605E5C"/>
      <w:shd w:val="clear" w:color="auto" w:fill="E1DFDD"/>
    </w:rPr>
  </w:style>
  <w:style w:type="paragraph" w:customStyle="1" w:styleId="30">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7395-4930-49A3-B53B-608C3A8208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357</Words>
  <Characters>2035</Characters>
  <Lines>16</Lines>
  <Paragraphs>4</Paragraphs>
  <TotalTime>0</TotalTime>
  <ScaleCrop>false</ScaleCrop>
  <LinksUpToDate>false</LinksUpToDate>
  <CharactersWithSpaces>2388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2019-10-29T03:59:00Z</dcterms:created>
  <dc:creator>Administrator</dc:creator>
  <cp:lastModifiedBy>Mr.翔</cp:lastModifiedBy>
  <dcterms:modified xsi:type="dcterms:W3CDTF">2023-10-18T02:42:44Z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33CE25F40CB7499A934672AFD09EF802</vt:lpwstr>
  </property>
</Properties>
</file>