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80" w:beforeLines="50" w:after="180" w:afterLines="50" w:line="360" w:lineRule="auto"/>
        <w:jc w:val="center"/>
        <w:rPr>
          <w:rFonts w:hint="default" w:ascii="宋体" w:hAnsi="宋体" w:eastAsia="宋体" w:cs="宋体"/>
          <w:highlight w:val="none"/>
          <w:lang w:val="en-US" w:eastAsia="zh-CN"/>
        </w:rPr>
      </w:pPr>
      <w:r>
        <w:rPr>
          <w:rFonts w:hint="eastAsia" w:ascii="宋体" w:hAnsi="宋体" w:eastAsia="宋体" w:cs="宋体"/>
          <w:highlight w:val="none"/>
        </w:rPr>
        <w:t>证券代码：002871            证券简称：伟隆股份           公告编号：2023-0</w:t>
      </w:r>
      <w:r>
        <w:rPr>
          <w:rFonts w:hint="default" w:ascii="宋体" w:hAnsi="宋体" w:eastAsia="宋体" w:cs="宋体"/>
          <w:highlight w:val="none"/>
          <w:lang w:val="en-US"/>
        </w:rPr>
        <w:t>90</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青岛伟隆阀门股份有限公司</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关于使用闲置自有资金进行现金管理的进展公告</w:t>
      </w: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noWrap w:val="0"/>
            <w:vAlign w:val="top"/>
          </w:tcPr>
          <w:p>
            <w:pPr>
              <w:spacing w:after="0" w:line="360" w:lineRule="exact"/>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rPr>
              <w:t>本公司及董事会全体成员保证信息披露的内容真实、准确、完整，没有虚假记载、误导性陈述或重大遗漏。</w:t>
            </w:r>
          </w:p>
        </w:tc>
      </w:tr>
    </w:tbl>
    <w:p>
      <w:pPr>
        <w:spacing w:after="0" w:line="360" w:lineRule="exact"/>
        <w:ind w:firstLine="463" w:firstLineChars="193"/>
        <w:rPr>
          <w:rFonts w:hint="eastAsia" w:ascii="宋体" w:hAnsi="宋体" w:eastAsia="宋体" w:cs="宋体"/>
          <w:sz w:val="24"/>
          <w:szCs w:val="24"/>
          <w:highlight w:val="none"/>
        </w:rPr>
      </w:pP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以下简称“公司”）分别于2023年3月20日召开的第四届董事会第十九次会议、第四届监事会第十五次会议，及2023年4月11日召开的2022年年度股东大会审议通过了《关于继续使用闲置自有资金进行现金管理的议案》，同意公司使用闲置自有资金进行现金管理，额度不超过人民币40,000万元且可滚动使用，投资期限自2022年年度股东大会审议通过之日起一年内有效。公司独立董事对此议案发表了同意的意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具体内容详见2023年3月21日公司刊登于指定信息披露媒体《中国证券报》《证券时报》《证券日报》和巨潮资讯网（http://www.cninfo.com.cn）上的《关于继续使用闲置自有资金进行现金管理的公告》。</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一、闲置自有资金已到期的理财产品赎回情况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公司于202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default" w:ascii="宋体" w:hAnsi="宋体" w:eastAsia="宋体" w:cs="宋体"/>
          <w:sz w:val="24"/>
          <w:szCs w:val="24"/>
          <w:lang w:val="en-US" w:eastAsia="zh-CN"/>
        </w:rPr>
        <w:t>7</w:t>
      </w:r>
      <w:r>
        <w:rPr>
          <w:rFonts w:hint="eastAsia" w:ascii="宋体" w:hAnsi="宋体" w:eastAsia="宋体" w:cs="宋体"/>
          <w:sz w:val="24"/>
          <w:szCs w:val="24"/>
        </w:rPr>
        <w:t>月</w:t>
      </w:r>
      <w:r>
        <w:rPr>
          <w:rFonts w:hint="default" w:ascii="宋体" w:hAnsi="宋体" w:eastAsia="宋体" w:cs="宋体"/>
          <w:sz w:val="24"/>
          <w:szCs w:val="24"/>
          <w:lang w:val="en-US"/>
        </w:rPr>
        <w:t>1</w:t>
      </w:r>
      <w:r>
        <w:rPr>
          <w:rFonts w:hint="eastAsia" w:ascii="宋体" w:hAnsi="宋体" w:eastAsia="宋体" w:cs="宋体"/>
          <w:sz w:val="24"/>
          <w:szCs w:val="24"/>
          <w:lang w:val="en-US" w:eastAsia="zh-CN"/>
        </w:rPr>
        <w:t>2</w:t>
      </w:r>
      <w:r>
        <w:rPr>
          <w:rFonts w:hint="eastAsia" w:ascii="宋体" w:hAnsi="宋体" w:eastAsia="宋体" w:cs="宋体"/>
          <w:sz w:val="24"/>
          <w:szCs w:val="24"/>
        </w:rPr>
        <w:t>日向</w:t>
      </w:r>
      <w:r>
        <w:rPr>
          <w:rFonts w:hint="eastAsia" w:ascii="宋体" w:hAnsi="宋体" w:eastAsia="宋体" w:cs="宋体"/>
          <w:sz w:val="24"/>
          <w:szCs w:val="24"/>
          <w:highlight w:val="none"/>
        </w:rPr>
        <w:t>中信银行城阳支行</w:t>
      </w:r>
      <w:r>
        <w:rPr>
          <w:rFonts w:hint="eastAsia" w:ascii="宋体" w:hAnsi="宋体" w:eastAsia="宋体" w:cs="宋体"/>
          <w:sz w:val="24"/>
          <w:szCs w:val="24"/>
          <w:lang w:eastAsia="zh-CN"/>
        </w:rPr>
        <w:t>滚存</w:t>
      </w:r>
      <w:r>
        <w:rPr>
          <w:rFonts w:hint="eastAsia" w:ascii="宋体" w:hAnsi="宋体" w:eastAsia="宋体" w:cs="宋体"/>
          <w:sz w:val="24"/>
          <w:szCs w:val="24"/>
        </w:rPr>
        <w:t>了</w:t>
      </w:r>
      <w:r>
        <w:rPr>
          <w:rFonts w:hint="default" w:ascii="宋体" w:hAnsi="宋体" w:eastAsia="宋体" w:cs="宋体"/>
          <w:sz w:val="24"/>
          <w:szCs w:val="24"/>
          <w:lang w:val="en-US" w:eastAsia="zh-CN"/>
        </w:rPr>
        <w:t>1</w:t>
      </w:r>
      <w:r>
        <w:rPr>
          <w:rFonts w:hint="eastAsia" w:ascii="宋体" w:hAnsi="宋体" w:eastAsia="宋体" w:cs="宋体"/>
          <w:sz w:val="24"/>
          <w:szCs w:val="24"/>
        </w:rPr>
        <w:t>,000万元的理财产品，具体内容详见刊载于《中国证券报》《证券时报》《证券日报》、巨潮资讯网(www.cninfo.com.cn）上的《关于使用闲置自有资金进行现金管理的进展公告》（公告编号：202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default" w:ascii="宋体" w:hAnsi="宋体" w:eastAsia="宋体" w:cs="宋体"/>
          <w:sz w:val="24"/>
          <w:szCs w:val="24"/>
          <w:lang w:val="en-US" w:eastAsia="zh-CN"/>
        </w:rPr>
        <w:t>75</w:t>
      </w:r>
      <w:r>
        <w:rPr>
          <w:rFonts w:hint="eastAsia" w:ascii="宋体" w:hAnsi="宋体" w:eastAsia="宋体" w:cs="宋体"/>
          <w:sz w:val="24"/>
          <w:szCs w:val="24"/>
        </w:rPr>
        <w:t>）。</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公司于近日赎回中信银行城阳支行理财产品</w:t>
      </w:r>
      <w:r>
        <w:rPr>
          <w:rFonts w:hint="eastAsia" w:ascii="宋体" w:hAnsi="宋体" w:eastAsia="宋体" w:cs="宋体"/>
          <w:sz w:val="24"/>
          <w:szCs w:val="24"/>
          <w:lang w:eastAsia="zh-CN"/>
        </w:rPr>
        <w:t>，</w:t>
      </w:r>
      <w:r>
        <w:rPr>
          <w:rFonts w:hint="eastAsia" w:ascii="宋体" w:hAnsi="宋体" w:eastAsia="宋体" w:cs="宋体"/>
          <w:sz w:val="24"/>
          <w:szCs w:val="24"/>
        </w:rPr>
        <w:t>收回本金为：</w:t>
      </w:r>
      <w:r>
        <w:rPr>
          <w:rFonts w:hint="default" w:ascii="宋体" w:hAnsi="宋体" w:eastAsia="宋体" w:cs="宋体"/>
          <w:sz w:val="24"/>
          <w:szCs w:val="24"/>
          <w:lang w:val="en-US" w:eastAsia="zh-CN"/>
        </w:rPr>
        <w:t>1</w:t>
      </w:r>
      <w:r>
        <w:rPr>
          <w:rFonts w:hint="eastAsia" w:ascii="宋体" w:hAnsi="宋体" w:eastAsia="宋体" w:cs="宋体"/>
          <w:sz w:val="24"/>
          <w:szCs w:val="24"/>
        </w:rPr>
        <w:t>,000万元；获得理财收益为：</w:t>
      </w:r>
      <w:r>
        <w:rPr>
          <w:rFonts w:hint="eastAsia" w:ascii="宋体" w:hAnsi="宋体" w:eastAsia="宋体" w:cs="宋体"/>
          <w:sz w:val="24"/>
          <w:szCs w:val="24"/>
          <w:lang w:val="en-US" w:eastAsia="zh-CN"/>
        </w:rPr>
        <w:t>489,095.05 元</w:t>
      </w:r>
      <w:r>
        <w:rPr>
          <w:rFonts w:hint="eastAsia" w:ascii="宋体" w:hAnsi="宋体" w:eastAsia="宋体" w:cs="宋体"/>
          <w:sz w:val="24"/>
          <w:szCs w:val="24"/>
        </w:rPr>
        <w:t>。</w:t>
      </w:r>
    </w:p>
    <w:p>
      <w:pPr>
        <w:wordWrap w:val="0"/>
        <w:spacing w:before="240" w:after="0" w:line="276" w:lineRule="auto"/>
        <w:ind w:right="-22" w:rightChars="-10" w:firstLine="545" w:firstLineChars="226"/>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、本次使用闲置自有资金购买理财产品主要情况</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近期</w:t>
      </w:r>
      <w:r>
        <w:rPr>
          <w:rFonts w:hint="eastAsia" w:ascii="宋体" w:hAnsi="宋体" w:eastAsia="宋体" w:cs="宋体"/>
          <w:b/>
          <w:bCs/>
          <w:sz w:val="24"/>
          <w:szCs w:val="24"/>
          <w:highlight w:val="none"/>
          <w:lang w:eastAsia="zh-CN"/>
        </w:rPr>
        <w:t>公司及公司全资子公司青岛伟隆五金机械有限公司使用闲置自有资金分别购买了中信银行城阳支行、中国民生银行股份有限公司青岛山东路支行</w:t>
      </w:r>
      <w:r>
        <w:rPr>
          <w:rFonts w:hint="eastAsia" w:ascii="宋体" w:hAnsi="宋体" w:eastAsia="宋体" w:cs="宋体"/>
          <w:b/>
          <w:bCs/>
          <w:sz w:val="24"/>
          <w:szCs w:val="24"/>
          <w:highlight w:val="none"/>
          <w:lang w:val="en-US" w:eastAsia="zh-CN"/>
        </w:rPr>
        <w:t>97</w:t>
      </w:r>
      <w:r>
        <w:rPr>
          <w:rFonts w:hint="eastAsia" w:ascii="宋体" w:hAnsi="宋体" w:eastAsia="宋体" w:cs="宋体"/>
          <w:b/>
          <w:bCs/>
          <w:sz w:val="24"/>
          <w:szCs w:val="24"/>
          <w:highlight w:val="none"/>
          <w:lang w:eastAsia="zh-CN"/>
        </w:rPr>
        <w:t>0万元、</w:t>
      </w:r>
      <w:r>
        <w:rPr>
          <w:rFonts w:hint="eastAsia" w:ascii="宋体" w:hAnsi="宋体" w:eastAsia="宋体" w:cs="宋体"/>
          <w:b/>
          <w:bCs/>
          <w:sz w:val="24"/>
          <w:szCs w:val="24"/>
          <w:highlight w:val="none"/>
          <w:lang w:val="en-US" w:eastAsia="zh-CN"/>
        </w:rPr>
        <w:t>4,000万元、4,000万元</w:t>
      </w:r>
      <w:r>
        <w:rPr>
          <w:rFonts w:hint="eastAsia" w:ascii="宋体" w:hAnsi="宋体" w:eastAsia="宋体" w:cs="宋体"/>
          <w:b/>
          <w:bCs/>
          <w:sz w:val="24"/>
          <w:szCs w:val="24"/>
          <w:highlight w:val="none"/>
          <w:lang w:eastAsia="zh-CN"/>
        </w:rPr>
        <w:t>的理财产品，现将有关情况公告如</w:t>
      </w:r>
      <w:r>
        <w:rPr>
          <w:rFonts w:hint="eastAsia" w:ascii="宋体" w:hAnsi="宋体" w:eastAsia="宋体" w:cs="宋体"/>
          <w:b/>
          <w:bCs/>
          <w:sz w:val="24"/>
          <w:szCs w:val="24"/>
          <w:highlight w:val="none"/>
        </w:rPr>
        <w:t>下：</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highlight w:val="none"/>
        </w:rPr>
        <w:t>公司购买理财产品的主要内容如下：</w:t>
      </w:r>
    </w:p>
    <w:tbl>
      <w:tblPr>
        <w:tblStyle w:val="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7"/>
        <w:gridCol w:w="1433"/>
        <w:gridCol w:w="1117"/>
        <w:gridCol w:w="998"/>
        <w:gridCol w:w="825"/>
        <w:gridCol w:w="1110"/>
        <w:gridCol w:w="89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3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33"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c>
          <w:tcPr>
            <w:tcW w:w="99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825"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1110"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9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70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17" w:type="dxa"/>
            <w:noWrap w:val="0"/>
            <w:vAlign w:val="center"/>
          </w:tcPr>
          <w:p>
            <w:pPr>
              <w:wordWrap w:val="0"/>
              <w:spacing w:after="0"/>
              <w:rPr>
                <w:rFonts w:hint="eastAsia" w:ascii="宋体" w:hAnsi="宋体" w:eastAsia="宋体" w:cs="宋体"/>
                <w:b w:val="0"/>
                <w:bCs w:val="0"/>
                <w:sz w:val="24"/>
                <w:szCs w:val="24"/>
                <w:lang w:eastAsia="zh-CN"/>
              </w:rPr>
            </w:pPr>
            <w:r>
              <w:rPr>
                <w:rFonts w:hint="eastAsia" w:ascii="宋体" w:hAnsi="宋体" w:eastAsia="宋体" w:cs="宋体"/>
                <w:sz w:val="24"/>
                <w:szCs w:val="24"/>
                <w:highlight w:val="none"/>
              </w:rPr>
              <w:t>中信银行城阳支行</w:t>
            </w:r>
          </w:p>
        </w:tc>
        <w:tc>
          <w:tcPr>
            <w:tcW w:w="143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r>
              <w:rPr>
                <w:rFonts w:hint="eastAsia" w:ascii="宋体" w:hAnsi="宋体" w:eastAsia="宋体" w:cs="宋体"/>
                <w:sz w:val="24"/>
                <w:szCs w:val="24"/>
                <w:highlight w:val="none"/>
                <w:lang w:val="en-US" w:eastAsia="zh-CN"/>
              </w:rPr>
              <w:t xml:space="preserve"> </w:t>
            </w:r>
          </w:p>
        </w:tc>
        <w:tc>
          <w:tcPr>
            <w:tcW w:w="1117"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lang w:eastAsia="zh-CN"/>
              </w:rPr>
              <w:t>0万</w:t>
            </w:r>
          </w:p>
        </w:tc>
        <w:tc>
          <w:tcPr>
            <w:tcW w:w="998"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2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2.35%</w:t>
            </w:r>
          </w:p>
        </w:tc>
        <w:tc>
          <w:tcPr>
            <w:tcW w:w="70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17"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3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p>
        </w:tc>
        <w:tc>
          <w:tcPr>
            <w:tcW w:w="1117"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99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2023.9.23-2023.12.22</w:t>
            </w:r>
          </w:p>
        </w:tc>
        <w:tc>
          <w:tcPr>
            <w:tcW w:w="82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2.35%</w:t>
            </w:r>
          </w:p>
        </w:tc>
        <w:tc>
          <w:tcPr>
            <w:tcW w:w="70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中国民生银行股份有限公司青岛山东路支行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聚赢股票-挂钩沪深300指数双向鲨鱼鳍结构性存款（SDGA230502V）</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99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2023.9.22-2023.12.21</w:t>
            </w:r>
          </w:p>
        </w:tc>
        <w:tc>
          <w:tcPr>
            <w:tcW w:w="82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中低风险</w:t>
            </w:r>
          </w:p>
        </w:tc>
        <w:tc>
          <w:tcPr>
            <w:tcW w:w="111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2.60%</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自有资金</w:t>
            </w:r>
          </w:p>
        </w:tc>
      </w:tr>
    </w:tbl>
    <w:p>
      <w:pPr>
        <w:wordWrap w:val="0"/>
        <w:spacing w:after="0" w:line="276" w:lineRule="auto"/>
        <w:rPr>
          <w:rFonts w:hint="eastAsia" w:ascii="宋体" w:hAnsi="宋体" w:eastAsia="宋体" w:cs="宋体"/>
          <w:sz w:val="24"/>
          <w:szCs w:val="24"/>
        </w:rPr>
      </w:pPr>
    </w:p>
    <w:p>
      <w:pPr>
        <w:pStyle w:val="4"/>
        <w:spacing w:after="240" w:line="400" w:lineRule="exact"/>
        <w:ind w:firstLine="463" w:firstLineChars="193"/>
        <w:rPr>
          <w:rFonts w:hint="eastAsia" w:ascii="宋体" w:hAnsi="宋体" w:eastAsia="宋体" w:cs="宋体"/>
          <w:sz w:val="24"/>
          <w:szCs w:val="24"/>
        </w:rPr>
      </w:pPr>
      <w:r>
        <w:rPr>
          <w:rFonts w:hint="eastAsia" w:ascii="宋体" w:hAnsi="宋体" w:eastAsia="宋体" w:cs="宋体"/>
          <w:sz w:val="24"/>
          <w:szCs w:val="24"/>
        </w:rPr>
        <w:t>（二）审批程序</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本次购买理财产品事宜已于2023年3月20日召开的第四届董事会第十九次会议、第四届监事会第十五次会议，及2023年4月11日召开的2022年年度股东大会审议通过，公司独立董事对此发表了同意的独立意见。</w:t>
      </w:r>
    </w:p>
    <w:p>
      <w:pPr>
        <w:pStyle w:val="4"/>
        <w:spacing w:line="400" w:lineRule="exact"/>
        <w:ind w:firstLine="465" w:firstLineChars="193"/>
        <w:rPr>
          <w:rFonts w:hint="eastAsia" w:ascii="宋体" w:hAnsi="宋体" w:eastAsia="宋体" w:cs="宋体"/>
          <w:b/>
          <w:sz w:val="24"/>
          <w:szCs w:val="24"/>
          <w:lang w:eastAsia="zh-CN"/>
        </w:rPr>
      </w:pPr>
      <w:r>
        <w:rPr>
          <w:rFonts w:hint="eastAsia" w:hAnsi="宋体" w:cs="宋体"/>
          <w:b/>
          <w:sz w:val="24"/>
          <w:szCs w:val="24"/>
          <w:lang w:eastAsia="zh-CN"/>
        </w:rPr>
        <w:t>三</w:t>
      </w:r>
      <w:r>
        <w:rPr>
          <w:rFonts w:hint="eastAsia" w:ascii="宋体" w:hAnsi="宋体" w:eastAsia="宋体" w:cs="宋体"/>
          <w:b/>
          <w:sz w:val="24"/>
          <w:szCs w:val="24"/>
        </w:rPr>
        <w:t>、关联关系说明</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公司与上述受托方无关联关系。</w:t>
      </w:r>
    </w:p>
    <w:p>
      <w:pPr>
        <w:pStyle w:val="5"/>
        <w:numPr>
          <w:ilvl w:val="0"/>
          <w:numId w:val="0"/>
        </w:numPr>
        <w:spacing w:after="0" w:line="360" w:lineRule="auto"/>
        <w:ind w:leftChars="200"/>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、投资存在的风险及风险控制措施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1、投资风险</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（1）虽然公司将根据闲置资金实际情况，选择投资合适的中等及以下风险型理财产品，但金融市场受宏观经济的影响较大，不排除该项投资受到市场波动的影响；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（2）公司将根据经济形势以及金融市场的变化适时适量的进行委托理财，因此投资的实际收益存在一定的不可预期性。</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公司购买标的为安全性高、 流动性好、中等及以下风险型、 期限 12个月以内（含）的理财产品；仅限于商业银行、证券公司、信托公司等金融机构发行的中等及以下风险短期理财产品。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董事会授权董事长行使该项投资决策权，并授权财务负责人及财务部门相关岗位人员负责投资理财的具体实施工作。财务部将负责制定购买理财产品计划，合理的购买理财产品以及建立投资台账，及时进行分析和跟踪产品的净值变动，以确保理财资金的安全；</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公司将密切跟踪和分析每笔理财产品的进展情况，关注宏观经济形势和市场变化，对可能存在影响公司资金安全的风险因素，及时采取相应措施，控制投资风险，确保资金安全，实现收益最大化。公司内部审计部门负责对所投资产品的资金使用与保管情况进行审计与监督，并向董事会审计委员会报告；</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（4）独立董事、监事会有权对资金使用情况进行监督与检查，必要时可以聘请专业机构进行审计；</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（5）公司将根据深圳证券交易所的相关规定，披露报告期内投资产品及相关的损益情况。</w:t>
      </w:r>
    </w:p>
    <w:p>
      <w:pPr>
        <w:pStyle w:val="5"/>
        <w:spacing w:after="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、对公司的影响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对委托理财的风险与收益，以及未来的资金需求进行了充分的预估与测算，使用闲置自有资金投资安全性高、流动性好、中等及以下风险型或固定收益类或承诺保本的理财产品，不会影响公司的日常经营运作与主营业务的发展， 且理财产品的收益率一般高于活期存款及同期定期存款利率，理财产品的投资，有利于提高公司闲置自有资金的使用效率，获得一定的投资收益，提升公司整体业绩水平，为股东获取更多投资回报，符合公司及全体股东的利益。</w:t>
      </w:r>
    </w:p>
    <w:p>
      <w:pPr>
        <w:pStyle w:val="4"/>
        <w:ind w:firstLine="465" w:firstLineChars="193"/>
        <w:jc w:val="both"/>
        <w:rPr>
          <w:rFonts w:hint="eastAsia" w:hAnsi="宋体"/>
          <w:b/>
          <w:highlight w:val="none"/>
        </w:rPr>
      </w:pPr>
      <w:r>
        <w:rPr>
          <w:rFonts w:hint="eastAsia" w:hAnsi="宋体"/>
          <w:b/>
          <w:highlight w:val="none"/>
          <w:lang w:eastAsia="zh-CN"/>
        </w:rPr>
        <w:t>六</w:t>
      </w:r>
      <w:r>
        <w:rPr>
          <w:rFonts w:hint="eastAsia" w:hAnsi="宋体"/>
          <w:b/>
          <w:highlight w:val="none"/>
        </w:rPr>
        <w:t>、公告日前十二个月内购买银行理财产品情况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公司本次公告日前十二个月使用闲置自有资金购买理财产品情况，具体详见如下表：</w:t>
      </w:r>
    </w:p>
    <w:tbl>
      <w:tblPr>
        <w:tblStyle w:val="2"/>
        <w:tblpPr w:leftFromText="180" w:rightFromText="180" w:vertAnchor="text" w:horzAnchor="margin" w:tblpX="-494" w:tblpY="27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418"/>
        <w:gridCol w:w="850"/>
        <w:gridCol w:w="851"/>
        <w:gridCol w:w="850"/>
        <w:gridCol w:w="993"/>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75"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18"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投资金额</w:t>
            </w:r>
          </w:p>
        </w:tc>
        <w:tc>
          <w:tcPr>
            <w:tcW w:w="851"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起止日期</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993"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产品类型</w:t>
            </w:r>
          </w:p>
        </w:tc>
        <w:tc>
          <w:tcPr>
            <w:tcW w:w="992"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光大兴陇信托有限责任公司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光大信托-深汇系列集合资金信托计划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2022.10.20-2023.04.20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2022.10.25-2023.4.24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民生理财贵竹固收增利6个月自动续期2号</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2022.11.25-2023.05.23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平安银行对公结构性存款（100%保本挂钩黄金）产品TGG23200049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2023.1.20-2023.4.21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1.75%-3.04%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平安银行对公结构性存款（100%保本挂钩指数）产品TGG23100044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2023.1.20-2023.7.21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招商银行点金系列看涨两层区间93天结构性存款产品（产品代码：NQD00457）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2023.2.24-2023.5.30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平安银行对公结构性存款(100%保本挂钩指数)产品TGG23100114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2023.2.24-2023.8.25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中国民生银行对公大额存单FGG2301A02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2023.03.02-2023.12.02</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共赢智信汇率挂钩人民币结构性存款13938期</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950万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2023.03.01-2023.09.01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招商银行点金系列看涨两层区间92天结构性存款产品 （产品代码NQD00485）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2023.03.30-2023.06.30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1.65%-2.85%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平安银行对公结构性存款（100%保本挂钩指数）2023 年TGG23100212期人民币产品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w:t>
            </w:r>
            <w:r>
              <w:rPr>
                <w:rFonts w:ascii="宋体" w:hAnsi="宋体" w:eastAsia="宋体" w:cs="宋体"/>
                <w:sz w:val="24"/>
                <w:szCs w:val="24"/>
                <w:highlight w:val="none"/>
              </w:rPr>
              <w:t>10</w:t>
            </w:r>
            <w:r>
              <w:rPr>
                <w:rFonts w:hint="eastAsia" w:ascii="宋体" w:hAnsi="宋体" w:eastAsia="宋体" w:cs="宋体"/>
                <w:sz w:val="24"/>
                <w:szCs w:val="24"/>
                <w:highlight w:val="none"/>
              </w:rPr>
              <w:t>.</w:t>
            </w:r>
            <w:r>
              <w:rPr>
                <w:rFonts w:ascii="宋体" w:hAnsi="宋体" w:eastAsia="宋体" w:cs="宋体"/>
                <w:sz w:val="24"/>
                <w:szCs w:val="24"/>
                <w:highlight w:val="none"/>
              </w:rPr>
              <w:t>09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9</w:t>
            </w:r>
            <w:r>
              <w:rPr>
                <w:rFonts w:hint="eastAsia" w:ascii="宋体" w:hAnsi="宋体" w:eastAsia="宋体" w:cs="宋体"/>
                <w:sz w:val="24"/>
                <w:szCs w:val="24"/>
                <w:highlight w:val="none"/>
              </w:rPr>
              <w:t>5%-</w:t>
            </w:r>
            <w:r>
              <w:rPr>
                <w:rFonts w:ascii="宋体" w:hAnsi="宋体" w:eastAsia="宋体" w:cs="宋体"/>
                <w:sz w:val="24"/>
                <w:szCs w:val="24"/>
                <w:highlight w:val="none"/>
              </w:rPr>
              <w:t>3</w:t>
            </w:r>
            <w:r>
              <w:rPr>
                <w:rFonts w:hint="eastAsia" w:ascii="宋体" w:hAnsi="宋体" w:eastAsia="宋体" w:cs="宋体"/>
                <w:sz w:val="24"/>
                <w:szCs w:val="24"/>
                <w:highlight w:val="none"/>
              </w:rPr>
              <w:t>.</w:t>
            </w:r>
            <w:r>
              <w:rPr>
                <w:rFonts w:ascii="宋体" w:hAnsi="宋体" w:eastAsia="宋体" w:cs="宋体"/>
                <w:sz w:val="24"/>
                <w:szCs w:val="24"/>
                <w:highlight w:val="none"/>
              </w:rPr>
              <w:t>00</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2023.4.25-2023.10.24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275" w:type="dxa"/>
            <w:noWrap w:val="0"/>
            <w:vAlign w:val="center"/>
          </w:tcPr>
          <w:p>
            <w:pPr>
              <w:wordWrap w:val="0"/>
              <w:spacing w:after="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平安银行对公结构性存款（100%保本挂钩指数）2023 年TGG23100368期人民币产品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275" w:type="dxa"/>
            <w:noWrap w:val="0"/>
            <w:vAlign w:val="center"/>
          </w:tcPr>
          <w:p>
            <w:pPr>
              <w:wordWrap w:val="0"/>
              <w:spacing w:after="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jc w:val="both"/>
              <w:rPr>
                <w:rFonts w:hint="eastAsia" w:ascii="宋体" w:hAnsi="宋体" w:eastAsia="宋体" w:cs="宋体"/>
                <w:sz w:val="24"/>
                <w:szCs w:val="24"/>
                <w:highlight w:val="none"/>
              </w:rPr>
            </w:pPr>
            <w:r>
              <w:rPr>
                <w:rFonts w:ascii="MicrosoftYaHei" w:hAnsi="MicrosoftYaHei" w:eastAsia="MicrosoftYaHei" w:cs="MicrosoftYaHei"/>
                <w:b w:val="0"/>
                <w:bCs w:val="0"/>
                <w:i w:val="0"/>
                <w:iCs w:val="0"/>
                <w:color w:val="000000"/>
                <w:sz w:val="24"/>
                <w:szCs w:val="24"/>
                <w:highlight w:val="none"/>
              </w:rPr>
              <w:t>招商银行</w:t>
            </w:r>
            <w:r>
              <w:rPr>
                <w:rFonts w:hint="eastAsia" w:ascii="MicrosoftYaHei" w:hAnsi="MicrosoftYaHei" w:eastAsia="宋体" w:cs="MicrosoftYaHei"/>
                <w:b w:val="0"/>
                <w:bCs w:val="0"/>
                <w:i w:val="0"/>
                <w:iCs w:val="0"/>
                <w:color w:val="000000"/>
                <w:sz w:val="24"/>
                <w:szCs w:val="24"/>
                <w:highlight w:val="none"/>
                <w:lang w:val="en-US" w:eastAsia="zh-CN"/>
              </w:rPr>
              <w:t>点金系列看涨两</w:t>
            </w:r>
            <w:r>
              <w:rPr>
                <w:rFonts w:hint="eastAsia" w:ascii="宋体" w:hAnsi="宋体" w:eastAsia="宋体" w:cs="宋体"/>
                <w:sz w:val="24"/>
                <w:szCs w:val="24"/>
                <w:highlight w:val="none"/>
                <w:lang w:val="en-US" w:eastAsia="zh-CN"/>
              </w:rPr>
              <w:t xml:space="preserve">层区间结构性存款NQD00544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275" w:type="dxa"/>
            <w:noWrap w:val="0"/>
            <w:vAlign w:val="center"/>
          </w:tcPr>
          <w:p>
            <w:pPr>
              <w:wordWrap w:val="0"/>
              <w:spacing w:after="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jc w:val="both"/>
              <w:rPr>
                <w:rFonts w:hint="eastAsia" w:ascii="宋体" w:hAnsi="宋体" w:eastAsia="宋体" w:cs="宋体"/>
                <w:sz w:val="24"/>
                <w:szCs w:val="24"/>
                <w:highlight w:val="none"/>
              </w:rPr>
            </w:pPr>
            <w:r>
              <w:rPr>
                <w:rFonts w:ascii="MicrosoftYaHei" w:hAnsi="MicrosoftYaHei" w:eastAsia="MicrosoftYaHei" w:cs="MicrosoftYaHei"/>
                <w:b w:val="0"/>
                <w:bCs w:val="0"/>
                <w:i w:val="0"/>
                <w:iCs w:val="0"/>
                <w:color w:val="000000"/>
                <w:sz w:val="24"/>
                <w:szCs w:val="24"/>
                <w:highlight w:val="none"/>
              </w:rPr>
              <w:t>招商银行</w:t>
            </w:r>
            <w:r>
              <w:rPr>
                <w:rFonts w:hint="eastAsia" w:ascii="MicrosoftYaHei" w:hAnsi="MicrosoftYaHei" w:eastAsia="宋体" w:cs="MicrosoftYaHei"/>
                <w:b w:val="0"/>
                <w:bCs w:val="0"/>
                <w:i w:val="0"/>
                <w:iCs w:val="0"/>
                <w:color w:val="000000"/>
                <w:sz w:val="24"/>
                <w:szCs w:val="24"/>
                <w:highlight w:val="none"/>
                <w:lang w:val="en-US" w:eastAsia="zh-CN"/>
              </w:rPr>
              <w:t>点金系列看涨两</w:t>
            </w:r>
            <w:r>
              <w:rPr>
                <w:rFonts w:hint="eastAsia" w:ascii="宋体" w:hAnsi="宋体" w:eastAsia="宋体" w:cs="宋体"/>
                <w:sz w:val="24"/>
                <w:szCs w:val="24"/>
                <w:highlight w:val="none"/>
                <w:lang w:val="en-US" w:eastAsia="zh-CN"/>
              </w:rPr>
              <w:t xml:space="preserve">层区间结构性存款NQD00544 </w:t>
            </w:r>
            <w:r>
              <w:rPr>
                <w:rFonts w:ascii="宋体" w:hAnsi="宋体" w:eastAsia="宋体" w:cs="宋体"/>
                <w:sz w:val="24"/>
                <w:szCs w:val="24"/>
                <w:highlight w:val="none"/>
              </w:rPr>
              <w:t xml:space="preserve">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中信证券股份有限公司</w:t>
            </w:r>
          </w:p>
        </w:tc>
        <w:tc>
          <w:tcPr>
            <w:tcW w:w="1418" w:type="dxa"/>
            <w:noWrap w:val="0"/>
            <w:vAlign w:val="center"/>
          </w:tcPr>
          <w:p>
            <w:pPr>
              <w:wordWrap w:val="0"/>
              <w:spacing w:after="0"/>
              <w:rPr>
                <w:rFonts w:ascii="MicrosoftYaHei" w:hAnsi="MicrosoftYaHei" w:eastAsia="MicrosoftYaHei" w:cs="MicrosoftYaHei"/>
                <w:b w:val="0"/>
                <w:bCs w:val="0"/>
                <w:i w:val="0"/>
                <w:iCs w:val="0"/>
                <w:color w:val="000000"/>
                <w:sz w:val="24"/>
                <w:szCs w:val="24"/>
                <w:highlight w:val="none"/>
              </w:rPr>
            </w:pPr>
            <w:r>
              <w:rPr>
                <w:rFonts w:hint="eastAsia" w:ascii="宋体" w:hAnsi="宋体" w:eastAsia="宋体" w:cs="宋体"/>
                <w:color w:val="000000"/>
                <w:sz w:val="24"/>
                <w:szCs w:val="24"/>
                <w:highlight w:val="none"/>
              </w:rPr>
              <w:t>中信证券信信向荣1号集合资产管理计划</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1,000万元</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.07.12-202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.07.11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rPr>
              <w:t>平安银行对公结构性存款（100%保本挂钩黄金）TGG23200830期产品</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2.97%</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b w:val="0"/>
                <w:bCs w:val="0"/>
                <w:sz w:val="24"/>
                <w:szCs w:val="24"/>
                <w:lang w:val="en-US" w:eastAsia="zh-CN"/>
              </w:rPr>
            </w:pPr>
            <w:r>
              <w:rPr>
                <w:rFonts w:hint="eastAsia" w:ascii="宋体" w:hAnsi="宋体" w:eastAsia="宋体" w:cs="宋体"/>
                <w:sz w:val="24"/>
                <w:szCs w:val="24"/>
                <w:highlight w:val="none"/>
                <w:lang w:val="en-US" w:eastAsia="zh-CN"/>
              </w:rPr>
              <w:t xml:space="preserve">平安银行对公结构性存款（100%保本挂钩指数）2023 年 TGG23100630 期人民币产品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bl>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截至本公告日，已到期的理财产品的本金及收益均已如期收回。公司累计使用闲置自有资金购买理财产品的未到期余额为人民币</w:t>
      </w:r>
      <w:r>
        <w:rPr>
          <w:rFonts w:hint="default" w:ascii="宋体" w:hAnsi="宋体" w:eastAsia="宋体" w:cs="宋体"/>
          <w:sz w:val="24"/>
          <w:szCs w:val="24"/>
          <w:highlight w:val="none"/>
          <w:lang w:val="en-US" w:eastAsia="zh-CN"/>
        </w:rPr>
        <w:t>29</w:t>
      </w:r>
      <w:bookmarkStart w:id="0" w:name="_GoBack"/>
      <w:bookmarkEnd w:id="0"/>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47</w:t>
      </w:r>
      <w:r>
        <w:rPr>
          <w:rFonts w:hint="eastAsia" w:ascii="宋体" w:hAnsi="宋体" w:eastAsia="宋体" w:cs="宋体"/>
          <w:sz w:val="24"/>
          <w:szCs w:val="24"/>
          <w:highlight w:val="none"/>
        </w:rPr>
        <w:t>0万元（含本次</w:t>
      </w:r>
      <w:r>
        <w:rPr>
          <w:rFonts w:hint="eastAsia" w:ascii="宋体" w:hAnsi="宋体" w:eastAsia="宋体" w:cs="宋体"/>
          <w:sz w:val="24"/>
          <w:szCs w:val="24"/>
          <w:highlight w:val="none"/>
          <w:lang w:eastAsia="zh-CN"/>
        </w:rPr>
        <w:t>购买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8,97</w:t>
      </w:r>
      <w:r>
        <w:rPr>
          <w:rFonts w:hint="eastAsia" w:ascii="宋体" w:hAnsi="宋体" w:eastAsia="宋体" w:cs="宋体"/>
          <w:sz w:val="24"/>
          <w:szCs w:val="24"/>
          <w:highlight w:val="none"/>
        </w:rPr>
        <w:t>0万元），上述未到期余额未超过公司董事会授权购买理财产品的额度范围。</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、备查文件</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1.相关理财产品的银行回单。</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特此公告。</w:t>
      </w:r>
    </w:p>
    <w:p>
      <w:pPr>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青岛伟隆阀门股份有限公司董事会</w:t>
      </w:r>
    </w:p>
    <w:p>
      <w:pPr>
        <w:wordWrap w:val="0"/>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2023年0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 xml:space="preserve">日    </w:t>
      </w:r>
    </w:p>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crosoftYa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B31363F"/>
    <w:rsid w:val="0C224F37"/>
    <w:rsid w:val="23896917"/>
    <w:rsid w:val="26FF0F60"/>
    <w:rsid w:val="3B5265EE"/>
    <w:rsid w:val="489D5DC1"/>
    <w:rsid w:val="4A2A7350"/>
    <w:rsid w:val="4AB96236"/>
    <w:rsid w:val="58962C9C"/>
    <w:rsid w:val="65D63C2A"/>
    <w:rsid w:val="6B220974"/>
    <w:rsid w:val="714D3D36"/>
    <w:rsid w:val="7A1D2938"/>
    <w:rsid w:val="7D836CC1"/>
    <w:rsid w:val="7EFC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2023-09-08T08:42:00Z</dcterms:created>
  <dc:creator>Administrator.WINMICR-GFJCHI7</dc:creator>
  <cp:lastModifiedBy>Mr.翔</cp:lastModifiedBy>
  <dcterms:modified xsi:type="dcterms:W3CDTF">2023-09-25T08:06:55Z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AC242B2958334FBCB721F0917C768AF0_12</vt:lpwstr>
  </property>
</Properties>
</file>