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beforeLines="50" w:after="120" w:afterLines="50" w:line="360" w:lineRule="auto"/>
        <w:jc w:val="center"/>
        <w:rPr>
          <w:rFonts w:cs="Times New Roman" w:asciiTheme="minorEastAsia" w:hAnsiTheme="minorEastAsia" w:eastAsiaTheme="minorEastAsia"/>
          <w:sz w:val="24"/>
          <w:szCs w:val="23"/>
        </w:rPr>
      </w:pPr>
      <w:r>
        <w:rPr>
          <w:rFonts w:hint="eastAsia" w:cs="Times New Roman" w:asciiTheme="minorEastAsia" w:hAnsiTheme="minorEastAsia" w:eastAsiaTheme="minorEastAsia"/>
          <w:sz w:val="24"/>
          <w:szCs w:val="23"/>
        </w:rPr>
        <w:t>证券代码：002871           证券简称：伟隆股份     公告编号</w:t>
      </w:r>
      <w:r>
        <w:rPr>
          <w:rFonts w:hint="eastAsia" w:cs="Times New Roman" w:asciiTheme="minorEastAsia" w:hAnsiTheme="minorEastAsia" w:eastAsiaTheme="minorEastAsia"/>
          <w:sz w:val="24"/>
          <w:szCs w:val="23"/>
          <w:highlight w:val="none"/>
        </w:rPr>
        <w:t>：202</w:t>
      </w:r>
      <w:r>
        <w:rPr>
          <w:rFonts w:cs="Times New Roman" w:asciiTheme="minorEastAsia" w:hAnsiTheme="minorEastAsia" w:eastAsiaTheme="minorEastAsia"/>
          <w:sz w:val="24"/>
          <w:szCs w:val="23"/>
          <w:highlight w:val="none"/>
        </w:rPr>
        <w:t>3</w:t>
      </w:r>
      <w:r>
        <w:rPr>
          <w:rFonts w:hint="eastAsia" w:cs="Times New Roman" w:asciiTheme="minorEastAsia" w:hAnsiTheme="minorEastAsia" w:eastAsiaTheme="minorEastAsia"/>
          <w:sz w:val="24"/>
          <w:szCs w:val="23"/>
          <w:highlight w:val="none"/>
        </w:rPr>
        <w:t>-</w:t>
      </w:r>
      <w:r>
        <w:rPr>
          <w:rFonts w:cs="Times New Roman" w:asciiTheme="minorEastAsia" w:hAnsiTheme="minorEastAsia" w:eastAsiaTheme="minorEastAsia"/>
          <w:sz w:val="24"/>
          <w:szCs w:val="23"/>
          <w:highlight w:val="none"/>
        </w:rPr>
        <w:t>08</w:t>
      </w:r>
      <w:r>
        <w:rPr>
          <w:rFonts w:hint="default" w:cs="Times New Roman" w:asciiTheme="minorEastAsia" w:hAnsiTheme="minorEastAsia" w:eastAsiaTheme="minorEastAsia"/>
          <w:sz w:val="24"/>
          <w:szCs w:val="23"/>
          <w:highlight w:val="none"/>
          <w:lang w:val="en-US"/>
        </w:rPr>
        <w:t>8</w:t>
      </w:r>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青岛伟隆阀门股份有限公司</w:t>
      </w:r>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关于2021年限制性股票激励计划预留部分第一个解锁期</w:t>
      </w:r>
    </w:p>
    <w:p>
      <w:pPr>
        <w:spacing w:before="120" w:beforeLines="50" w:after="120" w:afterLines="50" w:line="360" w:lineRule="auto"/>
        <w:jc w:val="center"/>
        <w:rPr>
          <w:rFonts w:asciiTheme="minorEastAsia" w:hAnsiTheme="minorEastAsia" w:eastAsiaTheme="minorEastAsia"/>
          <w:b/>
          <w:bCs/>
          <w:sz w:val="28"/>
          <w:szCs w:val="24"/>
        </w:rPr>
      </w:pPr>
      <w:r>
        <w:rPr>
          <w:rFonts w:hint="eastAsia" w:asciiTheme="minorEastAsia" w:hAnsiTheme="minorEastAsia" w:eastAsiaTheme="minorEastAsia"/>
          <w:b/>
          <w:bCs/>
          <w:sz w:val="28"/>
          <w:szCs w:val="24"/>
        </w:rPr>
        <w:t>解锁限制性股票上市流通的提示性公告</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spacing w:before="120" w:beforeLines="50" w:after="120" w:afterLines="50"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本公司及董事会全体成员保证信息披露内容的真实、准确和完整，没有虚假记载、误导性陈述或重大遗漏。</w:t>
            </w:r>
          </w:p>
        </w:tc>
      </w:tr>
    </w:tbl>
    <w:p>
      <w:pPr>
        <w:spacing w:before="120" w:beforeLines="50" w:after="120" w:afterLines="50" w:line="360" w:lineRule="auto"/>
        <w:ind w:firstLine="570"/>
        <w:rPr>
          <w:rFonts w:asciiTheme="minorEastAsia" w:hAnsiTheme="minorEastAsia" w:eastAsiaTheme="minorEastAsia"/>
          <w:b/>
          <w:sz w:val="24"/>
          <w:szCs w:val="24"/>
        </w:rPr>
      </w:pPr>
      <w:r>
        <w:rPr>
          <w:rFonts w:hint="eastAsia" w:asciiTheme="minorEastAsia" w:hAnsiTheme="minorEastAsia" w:eastAsiaTheme="minorEastAsia"/>
          <w:b/>
          <w:sz w:val="24"/>
          <w:szCs w:val="24"/>
        </w:rPr>
        <w:t>特别提示：</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1、本次解除限售涉及的激励对象共计</w:t>
      </w:r>
      <w:r>
        <w:rPr>
          <w:rFonts w:asciiTheme="minorEastAsia" w:hAnsiTheme="minorEastAsia" w:eastAsiaTheme="minorEastAsia"/>
          <w:sz w:val="24"/>
          <w:szCs w:val="24"/>
        </w:rPr>
        <w:t>24</w:t>
      </w:r>
      <w:r>
        <w:rPr>
          <w:rFonts w:hint="eastAsia" w:asciiTheme="minorEastAsia" w:hAnsiTheme="minorEastAsia" w:eastAsiaTheme="minorEastAsia"/>
          <w:sz w:val="24"/>
          <w:szCs w:val="24"/>
        </w:rPr>
        <w:t>人；</w:t>
      </w:r>
      <w:bookmarkStart w:id="0" w:name="_Hlk145060734"/>
      <w:r>
        <w:rPr>
          <w:rFonts w:hint="eastAsia" w:asciiTheme="minorEastAsia" w:hAnsiTheme="minorEastAsia" w:eastAsiaTheme="minorEastAsia"/>
          <w:sz w:val="24"/>
          <w:szCs w:val="24"/>
        </w:rPr>
        <w:t>可申请解锁的限制性股票数量为212</w:t>
      </w:r>
      <w:r>
        <w:rPr>
          <w:rFonts w:hint="default" w:asciiTheme="minorEastAsia" w:hAnsiTheme="minorEastAsia" w:eastAsiaTheme="minorEastAsia"/>
          <w:sz w:val="24"/>
          <w:szCs w:val="24"/>
          <w:lang w:val="en-US"/>
        </w:rPr>
        <w:t>,</w:t>
      </w:r>
      <w:r>
        <w:rPr>
          <w:rFonts w:hint="eastAsia" w:asciiTheme="minorEastAsia" w:hAnsiTheme="minorEastAsia" w:eastAsiaTheme="minorEastAsia"/>
          <w:sz w:val="24"/>
          <w:szCs w:val="24"/>
        </w:rPr>
        <w:t>957股，占公司目前总股本的0.097%</w:t>
      </w:r>
      <w:bookmarkEnd w:id="0"/>
      <w:r>
        <w:rPr>
          <w:rFonts w:hint="eastAsia" w:asciiTheme="minorEastAsia" w:hAnsiTheme="minorEastAsia" w:eastAsiaTheme="minorEastAsia"/>
          <w:sz w:val="24"/>
          <w:szCs w:val="24"/>
        </w:rPr>
        <w:t>。</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2、本次解除限售的股份上市流通日期为202</w:t>
      </w:r>
      <w:r>
        <w:rPr>
          <w:rFonts w:asciiTheme="minorEastAsia" w:hAnsiTheme="minorEastAsia" w:eastAsiaTheme="minorEastAsia"/>
          <w:sz w:val="24"/>
          <w:szCs w:val="24"/>
        </w:rPr>
        <w:t>3</w:t>
      </w:r>
      <w:r>
        <w:rPr>
          <w:rFonts w:hint="eastAsia" w:asciiTheme="minorEastAsia" w:hAnsiTheme="minorEastAsia" w:eastAsiaTheme="minorEastAsia"/>
          <w:sz w:val="24"/>
          <w:szCs w:val="24"/>
        </w:rPr>
        <w:t>年9月2</w:t>
      </w:r>
      <w:r>
        <w:rPr>
          <w:rFonts w:asciiTheme="minorEastAsia" w:hAnsiTheme="minorEastAsia" w:eastAsiaTheme="minorEastAsia"/>
          <w:sz w:val="24"/>
          <w:szCs w:val="24"/>
        </w:rPr>
        <w:t>5</w:t>
      </w:r>
      <w:r>
        <w:rPr>
          <w:rFonts w:hint="eastAsia" w:asciiTheme="minorEastAsia" w:hAnsiTheme="minorEastAsia" w:eastAsiaTheme="minorEastAsia"/>
          <w:sz w:val="24"/>
          <w:szCs w:val="24"/>
        </w:rPr>
        <w:t>日。</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青岛伟隆阀门股份有限公司（以下称“公司”）于2</w:t>
      </w:r>
      <w:r>
        <w:rPr>
          <w:rFonts w:asciiTheme="minorEastAsia" w:hAnsiTheme="minorEastAsia" w:eastAsiaTheme="minorEastAsia"/>
          <w:sz w:val="24"/>
          <w:szCs w:val="24"/>
        </w:rPr>
        <w:t>023</w:t>
      </w:r>
      <w:r>
        <w:rPr>
          <w:rFonts w:hint="eastAsia" w:asciiTheme="minorEastAsia" w:hAnsiTheme="minorEastAsia" w:eastAsiaTheme="minorEastAsia"/>
          <w:sz w:val="24"/>
          <w:szCs w:val="24"/>
        </w:rPr>
        <w:t>年8月2</w:t>
      </w:r>
      <w:r>
        <w:rPr>
          <w:rFonts w:asciiTheme="minorEastAsia" w:hAnsiTheme="minorEastAsia" w:eastAsiaTheme="minorEastAsia"/>
          <w:sz w:val="24"/>
          <w:szCs w:val="24"/>
        </w:rPr>
        <w:t>9</w:t>
      </w:r>
      <w:r>
        <w:rPr>
          <w:rFonts w:hint="eastAsia" w:asciiTheme="minorEastAsia" w:hAnsiTheme="minorEastAsia" w:eastAsiaTheme="minorEastAsia"/>
          <w:sz w:val="24"/>
          <w:szCs w:val="24"/>
        </w:rPr>
        <w:t>日召开第四届董事会第二十五次会议审议通过了《关于2021年限制性股票激励计划预留部分第一个解锁期解锁条件成就的议案》。根据《上市公司股权激励管理办法》《青岛伟隆阀门股份有限公司2021年限制性股票激励计划》（以下简称“2021年限制性股票激励计划（草案）”或“《激励计划（草案）》”）的规定和2021年第二次临时股东大会的授权，董事会认为公司2021年限制性股票激励计划预留部分的第一个解锁期解锁条件已经成就，同意公司按照激励计划的相关规定办理预留部分第一期解锁事宜。本次符合解锁条件的激励对象共24人，可申请解锁的限制性股票数量为212</w:t>
      </w:r>
      <w:r>
        <w:rPr>
          <w:rFonts w:hint="default" w:asciiTheme="minorEastAsia" w:hAnsiTheme="minorEastAsia" w:eastAsiaTheme="minorEastAsia"/>
          <w:sz w:val="24"/>
          <w:szCs w:val="24"/>
          <w:lang w:val="en-US"/>
        </w:rPr>
        <w:t>,</w:t>
      </w:r>
      <w:r>
        <w:rPr>
          <w:rFonts w:hint="eastAsia" w:asciiTheme="minorEastAsia" w:hAnsiTheme="minorEastAsia" w:eastAsiaTheme="minorEastAsia"/>
          <w:sz w:val="24"/>
          <w:szCs w:val="24"/>
        </w:rPr>
        <w:t>957股，占公司目前总股本的0.097%。现将相关事项公告如下：</w:t>
      </w:r>
    </w:p>
    <w:p>
      <w:pPr>
        <w:spacing w:before="120" w:beforeLines="50" w:after="120" w:afterLines="50" w:line="360" w:lineRule="auto"/>
        <w:ind w:firstLine="570"/>
        <w:rPr>
          <w:rFonts w:asciiTheme="minorEastAsia" w:hAnsiTheme="minorEastAsia" w:eastAsiaTheme="minorEastAsia"/>
          <w:b/>
          <w:sz w:val="24"/>
          <w:szCs w:val="24"/>
        </w:rPr>
      </w:pPr>
      <w:r>
        <w:rPr>
          <w:rFonts w:hint="eastAsia" w:asciiTheme="minorEastAsia" w:hAnsiTheme="minorEastAsia" w:eastAsiaTheme="minorEastAsia"/>
          <w:b/>
          <w:sz w:val="24"/>
          <w:szCs w:val="24"/>
        </w:rPr>
        <w:t>一、限制性股票激励计划实施简介</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（一）股权激励计划简述</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1、本次激励计划激励形式：</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本次股权激励计划采取的激励形式为限制性股票。</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本次预留部分激励计划首次授予的激励对象：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计划授予的激励对象总人数为27人，包括公司任职的高级管理人员、中层管理人员、核心技术（业务）人员、各子公司的管理骨干和核心技术（业务）人员以及公司董事会认为需要激励的其他员工（不包括独立董事、监事）。</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3、本次预留部分激励计划授予数量：</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本计划预留部分向激励对象授予的股票总数为42.7626万股，占本次股票授予登记前公司总股本（169,032,648股）的0.25%。</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4、本次激励计划授予价格：</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本次激励计划授予限制性股票授予价格为4.65元/股。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5、本次激励计划有效期：</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本激励计划有效期自限制性股票授予登记完成之日起至激励对象获授的限制性股票全部解除限售或回购注销之日止，最长不超过36个月。</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6、本次激励计划解除限售安排及行权：</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解除限售后，公司为满足解除限售条件的激励对象办理解除限售事宜，未满足解除限售条件的激励对象持有的限制性股票由公司回购注销。</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本激励计划授予的预留限制性股票的解除限售期及各期解除限售时间安排如下表所示：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03"/>
        <w:gridCol w:w="4080"/>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exact"/>
          <w:jc w:val="center"/>
        </w:trPr>
        <w:tc>
          <w:tcPr>
            <w:tcW w:w="1385" w:type="pct"/>
            <w:shd w:val="clear" w:color="auto" w:fill="D9D9D9"/>
            <w:vAlign w:val="center"/>
          </w:tcPr>
          <w:p>
            <w:pPr>
              <w:spacing w:before="26"/>
              <w:jc w:val="center"/>
              <w:rPr>
                <w:rFonts w:ascii="宋体" w:hAnsi="宋体" w:eastAsia="宋体"/>
                <w:b/>
                <w:szCs w:val="21"/>
              </w:rPr>
            </w:pPr>
            <w:r>
              <w:rPr>
                <w:rFonts w:ascii="宋体" w:hAnsi="宋体" w:eastAsia="宋体"/>
                <w:b/>
                <w:w w:val="95"/>
                <w:szCs w:val="21"/>
              </w:rPr>
              <w:t>解除</w:t>
            </w:r>
            <w:r>
              <w:rPr>
                <w:rFonts w:hint="eastAsia" w:ascii="宋体" w:hAnsi="宋体" w:eastAsia="宋体"/>
                <w:b/>
                <w:w w:val="95"/>
                <w:szCs w:val="21"/>
              </w:rPr>
              <w:t>限售安排</w:t>
            </w:r>
          </w:p>
        </w:tc>
        <w:tc>
          <w:tcPr>
            <w:tcW w:w="2453" w:type="pct"/>
            <w:shd w:val="clear" w:color="auto" w:fill="D9D9D9"/>
            <w:vAlign w:val="center"/>
          </w:tcPr>
          <w:p>
            <w:pPr>
              <w:spacing w:before="26"/>
              <w:jc w:val="center"/>
              <w:rPr>
                <w:rFonts w:ascii="宋体" w:hAnsi="宋体" w:eastAsia="宋体"/>
                <w:b/>
                <w:szCs w:val="21"/>
              </w:rPr>
            </w:pPr>
            <w:r>
              <w:rPr>
                <w:rFonts w:hint="eastAsia" w:ascii="宋体" w:hAnsi="宋体" w:eastAsia="宋体"/>
                <w:b/>
                <w:szCs w:val="21"/>
              </w:rPr>
              <w:t>解除限售时间</w:t>
            </w:r>
          </w:p>
        </w:tc>
        <w:tc>
          <w:tcPr>
            <w:tcW w:w="1162" w:type="pct"/>
            <w:shd w:val="clear" w:color="auto" w:fill="D9D9D9"/>
            <w:vAlign w:val="center"/>
          </w:tcPr>
          <w:p>
            <w:pPr>
              <w:spacing w:before="26"/>
              <w:jc w:val="center"/>
              <w:rPr>
                <w:rFonts w:ascii="宋体" w:hAnsi="宋体" w:eastAsia="宋体"/>
                <w:b/>
                <w:w w:val="95"/>
                <w:szCs w:val="21"/>
              </w:rPr>
            </w:pPr>
            <w:r>
              <w:rPr>
                <w:rFonts w:hint="eastAsia" w:ascii="宋体" w:hAnsi="宋体" w:eastAsia="宋体"/>
                <w:b/>
                <w:w w:val="95"/>
                <w:szCs w:val="21"/>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385" w:type="pct"/>
            <w:vAlign w:val="center"/>
          </w:tcPr>
          <w:p>
            <w:pPr>
              <w:spacing w:before="158"/>
              <w:jc w:val="center"/>
              <w:rPr>
                <w:rFonts w:ascii="宋体" w:hAnsi="宋体" w:eastAsia="宋体"/>
                <w:szCs w:val="21"/>
              </w:rPr>
            </w:pPr>
            <w:r>
              <w:rPr>
                <w:rFonts w:hint="eastAsia" w:ascii="宋体" w:hAnsi="宋体" w:eastAsia="宋体"/>
                <w:szCs w:val="21"/>
              </w:rPr>
              <w:t>限制性股票第一个解除限售期</w:t>
            </w:r>
          </w:p>
        </w:tc>
        <w:tc>
          <w:tcPr>
            <w:tcW w:w="2453" w:type="pct"/>
            <w:vAlign w:val="center"/>
          </w:tcPr>
          <w:p>
            <w:pPr>
              <w:jc w:val="center"/>
              <w:rPr>
                <w:rFonts w:ascii="宋体" w:hAnsi="宋体" w:eastAsia="宋体"/>
                <w:szCs w:val="21"/>
              </w:rPr>
            </w:pPr>
            <w:r>
              <w:rPr>
                <w:rFonts w:hint="eastAsia" w:ascii="宋体" w:hAnsi="宋体" w:eastAsia="宋体"/>
                <w:szCs w:val="21"/>
              </w:rPr>
              <w:t>自预留授予登记完成之日起满12个月后的首个交易日起至预留授予登记完成之日24个月内的最后一个交易日当日止</w:t>
            </w:r>
          </w:p>
        </w:tc>
        <w:tc>
          <w:tcPr>
            <w:tcW w:w="1162" w:type="pct"/>
            <w:vAlign w:val="center"/>
          </w:tcPr>
          <w:p>
            <w:pPr>
              <w:jc w:val="center"/>
              <w:rPr>
                <w:rFonts w:ascii="宋体" w:hAnsi="宋体" w:eastAsia="宋体"/>
                <w:szCs w:val="21"/>
              </w:rPr>
            </w:pPr>
            <w:r>
              <w:rPr>
                <w:rFonts w:hint="eastAsia" w:ascii="宋体" w:hAnsi="宋体" w:eastAsia="宋体"/>
                <w:szCs w:val="21"/>
              </w:rPr>
              <w:t>5</w:t>
            </w:r>
            <w:r>
              <w:rPr>
                <w:rFonts w:ascii="宋体" w:hAnsi="宋体" w:eastAsia="宋体"/>
                <w:szCs w:val="21"/>
              </w:rPr>
              <w:t>0</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exact"/>
          <w:jc w:val="center"/>
        </w:trPr>
        <w:tc>
          <w:tcPr>
            <w:tcW w:w="1385" w:type="pct"/>
            <w:vAlign w:val="center"/>
          </w:tcPr>
          <w:p>
            <w:pPr>
              <w:spacing w:before="158"/>
              <w:jc w:val="center"/>
              <w:rPr>
                <w:rFonts w:ascii="宋体" w:hAnsi="宋体" w:eastAsia="宋体"/>
                <w:szCs w:val="21"/>
              </w:rPr>
            </w:pPr>
            <w:r>
              <w:rPr>
                <w:rFonts w:hint="eastAsia" w:ascii="宋体" w:hAnsi="宋体" w:eastAsia="宋体"/>
                <w:szCs w:val="21"/>
              </w:rPr>
              <w:t>限制性股票第二个解除限售期</w:t>
            </w:r>
          </w:p>
        </w:tc>
        <w:tc>
          <w:tcPr>
            <w:tcW w:w="2453" w:type="pct"/>
            <w:vAlign w:val="center"/>
          </w:tcPr>
          <w:p>
            <w:pPr>
              <w:jc w:val="center"/>
              <w:rPr>
                <w:rFonts w:ascii="宋体" w:hAnsi="宋体" w:eastAsia="宋体"/>
                <w:szCs w:val="21"/>
              </w:rPr>
            </w:pPr>
            <w:r>
              <w:rPr>
                <w:rFonts w:hint="eastAsia" w:ascii="宋体" w:hAnsi="宋体" w:eastAsia="宋体"/>
                <w:szCs w:val="21"/>
              </w:rPr>
              <w:t>自预留授予登记完成之日起满24个月后的首个交易日起至预留授予登记完成之日36个月内的最后一个交易日当日止</w:t>
            </w:r>
          </w:p>
        </w:tc>
        <w:tc>
          <w:tcPr>
            <w:tcW w:w="1162" w:type="pct"/>
            <w:vAlign w:val="center"/>
          </w:tcPr>
          <w:p>
            <w:pPr>
              <w:jc w:val="center"/>
              <w:rPr>
                <w:rFonts w:ascii="宋体" w:hAnsi="宋体" w:eastAsia="宋体"/>
                <w:szCs w:val="21"/>
              </w:rPr>
            </w:pPr>
            <w:r>
              <w:rPr>
                <w:rFonts w:hint="eastAsia" w:ascii="宋体" w:hAnsi="宋体" w:eastAsia="宋体"/>
                <w:szCs w:val="21"/>
              </w:rPr>
              <w:t>5</w:t>
            </w:r>
            <w:r>
              <w:rPr>
                <w:rFonts w:ascii="宋体" w:hAnsi="宋体" w:eastAsia="宋体"/>
                <w:szCs w:val="21"/>
              </w:rPr>
              <w:t>0</w:t>
            </w:r>
            <w:r>
              <w:rPr>
                <w:rFonts w:hint="eastAsia" w:ascii="宋体" w:hAnsi="宋体" w:eastAsia="宋体"/>
                <w:szCs w:val="21"/>
              </w:rPr>
              <w:t>%</w:t>
            </w:r>
          </w:p>
        </w:tc>
      </w:tr>
    </w:tbl>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（二）本次激励计划已经履行的审批程序</w:t>
      </w:r>
    </w:p>
    <w:p>
      <w:pPr>
        <w:spacing w:before="120" w:beforeLines="50" w:after="120" w:afterLines="50" w:line="360" w:lineRule="auto"/>
        <w:ind w:firstLine="482"/>
        <w:jc w:val="both"/>
        <w:rPr>
          <w:rFonts w:asciiTheme="minorEastAsia" w:hAnsiTheme="minorEastAsia" w:eastAsiaTheme="minorEastAsia"/>
          <w:sz w:val="24"/>
          <w:szCs w:val="24"/>
        </w:rPr>
      </w:pPr>
      <w:r>
        <w:rPr>
          <w:rFonts w:asciiTheme="minorEastAsia" w:hAnsiTheme="minorEastAsia" w:eastAsiaTheme="minorEastAsia"/>
          <w:sz w:val="24"/>
          <w:szCs w:val="24"/>
        </w:rPr>
        <w:t>1、2021年9月28日，公司分别召开了第四届董事会第五次会议和第</w:t>
      </w:r>
      <w:r>
        <w:rPr>
          <w:rFonts w:hint="eastAsia" w:asciiTheme="minorEastAsia" w:hAnsiTheme="minorEastAsia" w:eastAsiaTheme="minorEastAsia"/>
          <w:sz w:val="24"/>
          <w:szCs w:val="24"/>
        </w:rPr>
        <w:t>四届监事会第四次会议，审议通过了《关于</w:t>
      </w:r>
      <w:r>
        <w:rPr>
          <w:rFonts w:asciiTheme="minorEastAsia" w:hAnsiTheme="minorEastAsia" w:eastAsiaTheme="minorEastAsia"/>
          <w:sz w:val="24"/>
          <w:szCs w:val="24"/>
        </w:rPr>
        <w:t>&lt;公司2021年限制性股票激励计划</w:t>
      </w:r>
      <w:r>
        <w:rPr>
          <w:rFonts w:hint="eastAsia" w:asciiTheme="minorEastAsia" w:hAnsiTheme="minorEastAsia" w:eastAsiaTheme="minorEastAsia"/>
          <w:sz w:val="24"/>
          <w:szCs w:val="24"/>
        </w:rPr>
        <w:t>（草案）及其摘要</w:t>
      </w:r>
      <w:r>
        <w:rPr>
          <w:rFonts w:asciiTheme="minorEastAsia" w:hAnsiTheme="minorEastAsia" w:eastAsiaTheme="minorEastAsia"/>
          <w:sz w:val="24"/>
          <w:szCs w:val="24"/>
        </w:rPr>
        <w:t>&gt;的议案》《关于&lt;公司2021年限制性股票激励计划实施</w:t>
      </w:r>
      <w:r>
        <w:rPr>
          <w:rFonts w:hint="eastAsia" w:asciiTheme="minorEastAsia" w:hAnsiTheme="minorEastAsia" w:eastAsiaTheme="minorEastAsia"/>
          <w:sz w:val="24"/>
          <w:szCs w:val="24"/>
        </w:rPr>
        <w:t>考核管理办法</w:t>
      </w:r>
      <w:r>
        <w:rPr>
          <w:rFonts w:asciiTheme="minorEastAsia" w:hAnsiTheme="minorEastAsia" w:eastAsiaTheme="minorEastAsia"/>
          <w:sz w:val="24"/>
          <w:szCs w:val="24"/>
        </w:rPr>
        <w:t>&gt;的议案》以及《关于提请股东大会授权董事会办理公司2021年</w:t>
      </w:r>
      <w:r>
        <w:rPr>
          <w:rFonts w:hint="eastAsia" w:asciiTheme="minorEastAsia" w:hAnsiTheme="minorEastAsia" w:eastAsiaTheme="minorEastAsia"/>
          <w:sz w:val="24"/>
          <w:szCs w:val="24"/>
        </w:rPr>
        <w:t>限制性股票激励计划有关事项的议案》。公司独立董事对此发表了独立意见。</w:t>
      </w:r>
    </w:p>
    <w:p>
      <w:pPr>
        <w:spacing w:before="120" w:beforeLines="50" w:after="120" w:afterLines="50" w:line="360" w:lineRule="auto"/>
        <w:ind w:firstLine="482"/>
        <w:jc w:val="both"/>
        <w:rPr>
          <w:rFonts w:asciiTheme="minorEastAsia" w:hAnsiTheme="minorEastAsia" w:eastAsiaTheme="minorEastAsia"/>
          <w:sz w:val="24"/>
          <w:szCs w:val="24"/>
        </w:rPr>
      </w:pPr>
      <w:r>
        <w:rPr>
          <w:rFonts w:asciiTheme="minorEastAsia" w:hAnsiTheme="minorEastAsia" w:eastAsiaTheme="minorEastAsia"/>
          <w:sz w:val="24"/>
          <w:szCs w:val="24"/>
        </w:rPr>
        <w:t>2、2021年9月28日至2021年10月8日，公司对2021年限制性</w:t>
      </w:r>
      <w:r>
        <w:rPr>
          <w:rFonts w:hint="eastAsia" w:asciiTheme="minorEastAsia" w:hAnsiTheme="minorEastAsia" w:eastAsiaTheme="minorEastAsia"/>
          <w:sz w:val="24"/>
          <w:szCs w:val="24"/>
        </w:rPr>
        <w:t>股票激励计划授予激励对象名单进行了内部公示。公示期内，公司监事会未收到与激励计划拟激励对象有关的任何异议；公示期满，监事会对</w:t>
      </w:r>
      <w:r>
        <w:rPr>
          <w:rFonts w:asciiTheme="minorEastAsia" w:hAnsiTheme="minorEastAsia" w:eastAsiaTheme="minorEastAsia"/>
          <w:sz w:val="24"/>
          <w:szCs w:val="24"/>
        </w:rPr>
        <w:t>2021年限制</w:t>
      </w:r>
      <w:r>
        <w:rPr>
          <w:rFonts w:hint="eastAsia" w:asciiTheme="minorEastAsia" w:hAnsiTheme="minorEastAsia" w:eastAsiaTheme="minorEastAsia"/>
          <w:sz w:val="24"/>
          <w:szCs w:val="24"/>
        </w:rPr>
        <w:t>性股票激励计划授予部分激励对象名单进行了核查并对公示情况进行了说明，于</w:t>
      </w:r>
      <w:r>
        <w:rPr>
          <w:rFonts w:asciiTheme="minorEastAsia" w:hAnsiTheme="minorEastAsia" w:eastAsiaTheme="minorEastAsia"/>
          <w:sz w:val="24"/>
          <w:szCs w:val="24"/>
        </w:rPr>
        <w:t>2021年10月9日公告了《监事会关于2021年限制性股票激励计划授予</w:t>
      </w:r>
      <w:r>
        <w:rPr>
          <w:rFonts w:hint="eastAsia" w:asciiTheme="minorEastAsia" w:hAnsiTheme="minorEastAsia" w:eastAsiaTheme="minorEastAsia"/>
          <w:sz w:val="24"/>
          <w:szCs w:val="24"/>
        </w:rPr>
        <w:t>部分激励对象名单的审核及公示情况说明》。</w:t>
      </w:r>
    </w:p>
    <w:p>
      <w:pPr>
        <w:spacing w:before="120" w:beforeLines="50" w:after="120" w:afterLines="50" w:line="360" w:lineRule="auto"/>
        <w:ind w:firstLine="482"/>
        <w:jc w:val="both"/>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2021年10月14日，公司召开2021年第二次临时股东大会，审议</w:t>
      </w:r>
      <w:r>
        <w:rPr>
          <w:rFonts w:hint="eastAsia" w:asciiTheme="minorEastAsia" w:hAnsiTheme="minorEastAsia" w:eastAsiaTheme="minorEastAsia"/>
          <w:sz w:val="24"/>
          <w:szCs w:val="24"/>
        </w:rPr>
        <w:t>通过了《关于</w:t>
      </w:r>
      <w:r>
        <w:rPr>
          <w:rFonts w:asciiTheme="minorEastAsia" w:hAnsiTheme="minorEastAsia" w:eastAsiaTheme="minorEastAsia"/>
          <w:sz w:val="24"/>
          <w:szCs w:val="24"/>
        </w:rPr>
        <w:t>&lt;公司2021年限制性股票激励计划（草案）及其摘要&gt;的议</w:t>
      </w:r>
      <w:r>
        <w:rPr>
          <w:rFonts w:hint="eastAsia" w:asciiTheme="minorEastAsia" w:hAnsiTheme="minorEastAsia" w:eastAsiaTheme="minorEastAsia"/>
          <w:sz w:val="24"/>
          <w:szCs w:val="24"/>
        </w:rPr>
        <w:t>案》《关于</w:t>
      </w:r>
      <w:r>
        <w:rPr>
          <w:rFonts w:asciiTheme="minorEastAsia" w:hAnsiTheme="minorEastAsia" w:eastAsiaTheme="minorEastAsia"/>
          <w:sz w:val="24"/>
          <w:szCs w:val="24"/>
        </w:rPr>
        <w:t>&lt;公司2021年限制性股票激励计划实施考核管理办法&gt;的议案》</w:t>
      </w:r>
      <w:r>
        <w:rPr>
          <w:rFonts w:hint="eastAsia" w:asciiTheme="minorEastAsia" w:hAnsiTheme="minorEastAsia" w:eastAsiaTheme="minorEastAsia"/>
          <w:sz w:val="24"/>
          <w:szCs w:val="24"/>
        </w:rPr>
        <w:t>以及《关于提请股东大会授权董事会办理公司</w:t>
      </w:r>
      <w:r>
        <w:rPr>
          <w:rFonts w:asciiTheme="minorEastAsia" w:hAnsiTheme="minorEastAsia" w:eastAsiaTheme="minorEastAsia"/>
          <w:sz w:val="24"/>
          <w:szCs w:val="24"/>
        </w:rPr>
        <w:t>2021年限制性股票激励计划有</w:t>
      </w:r>
      <w:r>
        <w:rPr>
          <w:rFonts w:hint="eastAsia" w:asciiTheme="minorEastAsia" w:hAnsiTheme="minorEastAsia" w:eastAsiaTheme="minorEastAsia"/>
          <w:sz w:val="24"/>
          <w:szCs w:val="24"/>
        </w:rPr>
        <w:t>关事项的议案》。公司独立董事向全体股东公开征集了委托投票权。</w:t>
      </w:r>
    </w:p>
    <w:p>
      <w:pPr>
        <w:spacing w:before="120" w:beforeLines="50" w:after="120" w:afterLines="50" w:line="360" w:lineRule="auto"/>
        <w:ind w:firstLine="482"/>
        <w:jc w:val="both"/>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2021年10月27日，公司</w:t>
      </w:r>
      <w:r>
        <w:rPr>
          <w:rFonts w:hint="eastAsia" w:asciiTheme="minorEastAsia" w:hAnsiTheme="minorEastAsia" w:eastAsiaTheme="minorEastAsia"/>
          <w:sz w:val="24"/>
          <w:szCs w:val="24"/>
        </w:rPr>
        <w:t>分别</w:t>
      </w:r>
      <w:r>
        <w:rPr>
          <w:rFonts w:asciiTheme="minorEastAsia" w:hAnsiTheme="minorEastAsia" w:eastAsiaTheme="minorEastAsia"/>
          <w:sz w:val="24"/>
          <w:szCs w:val="24"/>
        </w:rPr>
        <w:t>召开第四届董事会第六次会议</w:t>
      </w:r>
      <w:r>
        <w:rPr>
          <w:rFonts w:hint="eastAsia" w:asciiTheme="minorEastAsia" w:hAnsiTheme="minorEastAsia" w:eastAsiaTheme="minorEastAsia"/>
          <w:sz w:val="24"/>
          <w:szCs w:val="24"/>
        </w:rPr>
        <w:t>和第四届监事会第五次会议</w:t>
      </w:r>
      <w:r>
        <w:rPr>
          <w:rFonts w:asciiTheme="minorEastAsia" w:hAnsiTheme="minorEastAsia" w:eastAsiaTheme="minorEastAsia"/>
          <w:sz w:val="24"/>
          <w:szCs w:val="24"/>
        </w:rPr>
        <w:t>审议通过了</w:t>
      </w:r>
      <w:r>
        <w:rPr>
          <w:rFonts w:hint="eastAsia" w:asciiTheme="minorEastAsia" w:hAnsiTheme="minorEastAsia" w:eastAsiaTheme="minorEastAsia"/>
          <w:sz w:val="24"/>
          <w:szCs w:val="24"/>
        </w:rPr>
        <w:t>《关于调整公司</w:t>
      </w:r>
      <w:r>
        <w:rPr>
          <w:rFonts w:asciiTheme="minorEastAsia" w:hAnsiTheme="minorEastAsia" w:eastAsiaTheme="minorEastAsia"/>
          <w:sz w:val="24"/>
          <w:szCs w:val="24"/>
        </w:rPr>
        <w:t>2021年限制性股票激励计划相关事项的议案》《关于向激</w:t>
      </w:r>
      <w:r>
        <w:rPr>
          <w:rFonts w:hint="eastAsia" w:asciiTheme="minorEastAsia" w:hAnsiTheme="minorEastAsia" w:eastAsiaTheme="minorEastAsia"/>
          <w:sz w:val="24"/>
          <w:szCs w:val="24"/>
        </w:rPr>
        <w:t>励对象授予限制性股票的议案》，董事会认为激励计划规定的授予条件已经成就，同意以</w:t>
      </w:r>
      <w:r>
        <w:rPr>
          <w:rFonts w:asciiTheme="minorEastAsia" w:hAnsiTheme="minorEastAsia" w:eastAsiaTheme="minorEastAsia"/>
          <w:sz w:val="24"/>
          <w:szCs w:val="24"/>
        </w:rPr>
        <w:t>2021年10月28日为授予日，向符合条件的80名激励对象授</w:t>
      </w:r>
      <w:r>
        <w:rPr>
          <w:rFonts w:hint="eastAsia" w:asciiTheme="minorEastAsia" w:hAnsiTheme="minorEastAsia" w:eastAsiaTheme="minorEastAsia"/>
          <w:sz w:val="24"/>
          <w:szCs w:val="24"/>
        </w:rPr>
        <w:t>予</w:t>
      </w:r>
      <w:r>
        <w:rPr>
          <w:rFonts w:asciiTheme="minorEastAsia" w:hAnsiTheme="minorEastAsia" w:eastAsiaTheme="minorEastAsia"/>
          <w:sz w:val="24"/>
          <w:szCs w:val="24"/>
        </w:rPr>
        <w:t>272万股限制性股票</w:t>
      </w:r>
      <w:r>
        <w:rPr>
          <w:rFonts w:hint="eastAsia" w:asciiTheme="minorEastAsia" w:hAnsiTheme="minorEastAsia" w:eastAsiaTheme="minorEastAsia"/>
          <w:sz w:val="24"/>
          <w:szCs w:val="24"/>
        </w:rPr>
        <w:t>，授予价格为5</w:t>
      </w:r>
      <w:r>
        <w:rPr>
          <w:rFonts w:asciiTheme="minorEastAsia" w:hAnsiTheme="minorEastAsia" w:eastAsiaTheme="minorEastAsia"/>
          <w:sz w:val="24"/>
          <w:szCs w:val="24"/>
        </w:rPr>
        <w:t>.00</w:t>
      </w:r>
      <w:r>
        <w:rPr>
          <w:rFonts w:hint="eastAsia" w:asciiTheme="minorEastAsia" w:hAnsiTheme="minorEastAsia" w:eastAsiaTheme="minorEastAsia"/>
          <w:sz w:val="24"/>
          <w:szCs w:val="24"/>
        </w:rPr>
        <w:t>元/股</w:t>
      </w:r>
      <w:r>
        <w:rPr>
          <w:rFonts w:asciiTheme="minorEastAsia" w:hAnsiTheme="minorEastAsia" w:eastAsiaTheme="minorEastAsia"/>
          <w:sz w:val="24"/>
          <w:szCs w:val="24"/>
        </w:rPr>
        <w:t>。公司独立董事对此发表了独立意见。</w:t>
      </w:r>
    </w:p>
    <w:p>
      <w:pPr>
        <w:spacing w:before="120" w:beforeLines="50" w:after="120" w:afterLines="50" w:line="360" w:lineRule="auto"/>
        <w:ind w:firstLine="482"/>
        <w:jc w:val="both"/>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2022年09月08日，公司</w:t>
      </w:r>
      <w:r>
        <w:rPr>
          <w:rFonts w:hint="eastAsia" w:asciiTheme="minorEastAsia" w:hAnsiTheme="minorEastAsia" w:eastAsiaTheme="minorEastAsia"/>
          <w:sz w:val="24"/>
          <w:szCs w:val="24"/>
        </w:rPr>
        <w:t>分别</w:t>
      </w:r>
      <w:r>
        <w:rPr>
          <w:rFonts w:asciiTheme="minorEastAsia" w:hAnsiTheme="minorEastAsia" w:eastAsiaTheme="minorEastAsia"/>
          <w:sz w:val="24"/>
          <w:szCs w:val="24"/>
        </w:rPr>
        <w:t>召开第四届董事会第十四次会议</w:t>
      </w:r>
      <w:r>
        <w:rPr>
          <w:rFonts w:hint="eastAsia" w:asciiTheme="minorEastAsia" w:hAnsiTheme="minorEastAsia" w:eastAsiaTheme="minorEastAsia"/>
          <w:sz w:val="24"/>
          <w:szCs w:val="24"/>
        </w:rPr>
        <w:t>和第四届监事会第十二次会议</w:t>
      </w:r>
      <w:r>
        <w:rPr>
          <w:rFonts w:asciiTheme="minorEastAsia" w:hAnsiTheme="minorEastAsia" w:eastAsiaTheme="minorEastAsia"/>
          <w:sz w:val="24"/>
          <w:szCs w:val="24"/>
        </w:rPr>
        <w:t>，审议通</w:t>
      </w:r>
      <w:r>
        <w:rPr>
          <w:rFonts w:hint="eastAsia" w:asciiTheme="minorEastAsia" w:hAnsiTheme="minorEastAsia" w:eastAsiaTheme="minorEastAsia"/>
          <w:sz w:val="24"/>
          <w:szCs w:val="24"/>
        </w:rPr>
        <w:t>过了《关于调整</w:t>
      </w:r>
      <w:r>
        <w:rPr>
          <w:rFonts w:asciiTheme="minorEastAsia" w:hAnsiTheme="minorEastAsia" w:eastAsiaTheme="minorEastAsia"/>
          <w:sz w:val="24"/>
          <w:szCs w:val="24"/>
        </w:rPr>
        <w:t>2021年限制性股票激励计划预留部分授予价格的议案》《关</w:t>
      </w:r>
      <w:r>
        <w:rPr>
          <w:rFonts w:hint="eastAsia" w:asciiTheme="minorEastAsia" w:hAnsiTheme="minorEastAsia" w:eastAsiaTheme="minorEastAsia"/>
          <w:sz w:val="24"/>
          <w:szCs w:val="24"/>
        </w:rPr>
        <w:t>于向</w:t>
      </w:r>
      <w:r>
        <w:rPr>
          <w:rFonts w:asciiTheme="minorEastAsia" w:hAnsiTheme="minorEastAsia" w:eastAsiaTheme="minorEastAsia"/>
          <w:sz w:val="24"/>
          <w:szCs w:val="24"/>
        </w:rPr>
        <w:t>2021年限制性股票激励计划激励对象授予预留部分限制性股票的议</w:t>
      </w:r>
      <w:r>
        <w:rPr>
          <w:rFonts w:hint="eastAsia" w:asciiTheme="minorEastAsia" w:hAnsiTheme="minorEastAsia" w:eastAsiaTheme="minorEastAsia"/>
          <w:sz w:val="24"/>
          <w:szCs w:val="24"/>
        </w:rPr>
        <w:t>案》，</w:t>
      </w:r>
      <w:r>
        <w:rPr>
          <w:rFonts w:asciiTheme="minorEastAsia" w:hAnsiTheme="minorEastAsia" w:eastAsiaTheme="minorEastAsia"/>
          <w:sz w:val="24"/>
          <w:szCs w:val="24"/>
        </w:rPr>
        <w:t>同意公司2021年限制性股票激励计划预留部分限制性股票授予价格由5.00元/股调整为4.65元/股。董事会认为激励计划规定的预留部分授予条</w:t>
      </w:r>
      <w:r>
        <w:rPr>
          <w:rFonts w:hint="eastAsia" w:asciiTheme="minorEastAsia" w:hAnsiTheme="minorEastAsia" w:eastAsiaTheme="minorEastAsia"/>
          <w:sz w:val="24"/>
          <w:szCs w:val="24"/>
        </w:rPr>
        <w:t>件已经成就，同意以</w:t>
      </w:r>
      <w:r>
        <w:rPr>
          <w:rFonts w:asciiTheme="minorEastAsia" w:hAnsiTheme="minorEastAsia" w:eastAsiaTheme="minorEastAsia"/>
          <w:sz w:val="24"/>
          <w:szCs w:val="24"/>
        </w:rPr>
        <w:t>2022年09月08日为授予日，向符合条件的27名激</w:t>
      </w:r>
      <w:r>
        <w:rPr>
          <w:rFonts w:hint="eastAsia" w:asciiTheme="minorEastAsia" w:hAnsiTheme="minorEastAsia" w:eastAsiaTheme="minorEastAsia"/>
          <w:sz w:val="24"/>
          <w:szCs w:val="24"/>
        </w:rPr>
        <w:t>励对象授予</w:t>
      </w:r>
      <w:r>
        <w:rPr>
          <w:rFonts w:asciiTheme="minorEastAsia" w:hAnsiTheme="minorEastAsia" w:eastAsiaTheme="minorEastAsia"/>
          <w:sz w:val="24"/>
          <w:szCs w:val="24"/>
        </w:rPr>
        <w:t>42.7626万股限制性股票。公司独立董事对此发表了独立意见。</w:t>
      </w:r>
    </w:p>
    <w:p>
      <w:pPr>
        <w:spacing w:before="120" w:beforeLines="50" w:after="120" w:afterLines="50" w:line="360" w:lineRule="auto"/>
        <w:ind w:firstLine="482"/>
        <w:jc w:val="both"/>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2022年10月27日，公司</w:t>
      </w:r>
      <w:r>
        <w:rPr>
          <w:rFonts w:hint="eastAsia" w:asciiTheme="minorEastAsia" w:hAnsiTheme="minorEastAsia" w:eastAsiaTheme="minorEastAsia"/>
          <w:sz w:val="24"/>
          <w:szCs w:val="24"/>
        </w:rPr>
        <w:t>分别召开了</w:t>
      </w:r>
      <w:r>
        <w:rPr>
          <w:rFonts w:asciiTheme="minorEastAsia" w:hAnsiTheme="minorEastAsia" w:eastAsiaTheme="minorEastAsia"/>
          <w:sz w:val="24"/>
          <w:szCs w:val="24"/>
        </w:rPr>
        <w:t>第四届董事会第十五次会议</w:t>
      </w:r>
      <w:r>
        <w:rPr>
          <w:rFonts w:hint="eastAsia" w:asciiTheme="minorEastAsia" w:hAnsiTheme="minorEastAsia" w:eastAsiaTheme="minorEastAsia"/>
          <w:sz w:val="24"/>
          <w:szCs w:val="24"/>
        </w:rPr>
        <w:t>和第四届监事会第十三次会议，审议</w:t>
      </w:r>
      <w:r>
        <w:rPr>
          <w:rFonts w:asciiTheme="minorEastAsia" w:hAnsiTheme="minorEastAsia" w:eastAsiaTheme="minorEastAsia"/>
          <w:sz w:val="24"/>
          <w:szCs w:val="24"/>
        </w:rPr>
        <w:t>通过了《关于2021年限制性股票激励计划第一个解锁期解锁条件成就的议案》《关于调整限</w:t>
      </w:r>
      <w:r>
        <w:rPr>
          <w:rFonts w:hint="eastAsia" w:asciiTheme="minorEastAsia" w:hAnsiTheme="minorEastAsia" w:eastAsiaTheme="minorEastAsia"/>
          <w:sz w:val="24"/>
          <w:szCs w:val="24"/>
        </w:rPr>
        <w:t>制性股票回购价格的议案》《关于回购注销部分限制性股票的议案》等议案，认为本次股权激励计划第一次解除限售和回购注销已不符合激励条件的激励对象以及部分激励对象未全部解锁的已获授但尚未解除限售的限制性股票符合《上市公司股权激励管理办法》等法律、法规和规范性文件及《激励计划》的规定，同意第一次解除限售和回购注销已不符合激励条件的激励对象以及部分激励对象未全部解锁的已获授但尚未解除限售的限制性股票事项。</w:t>
      </w:r>
      <w:r>
        <w:rPr>
          <w:rFonts w:asciiTheme="minorEastAsia" w:hAnsiTheme="minorEastAsia" w:eastAsiaTheme="minorEastAsia"/>
          <w:sz w:val="24"/>
          <w:szCs w:val="24"/>
        </w:rPr>
        <w:t>公司独立董事对此发表了独立意见。</w:t>
      </w:r>
    </w:p>
    <w:p>
      <w:pPr>
        <w:spacing w:before="120" w:beforeLines="50" w:after="120" w:afterLines="50" w:line="360" w:lineRule="auto"/>
        <w:ind w:firstLine="482"/>
        <w:jc w:val="both"/>
        <w:rPr>
          <w:rFonts w:asciiTheme="minorEastAsia" w:hAnsiTheme="minorEastAsia" w:eastAsiaTheme="minorEastAsia"/>
          <w:sz w:val="24"/>
          <w:szCs w:val="24"/>
        </w:rPr>
      </w:pPr>
      <w:r>
        <w:rPr>
          <w:rFonts w:hint="eastAsia" w:asciiTheme="minorEastAsia" w:hAnsiTheme="minorEastAsia" w:eastAsiaTheme="minorEastAsia"/>
          <w:sz w:val="24"/>
          <w:szCs w:val="24"/>
        </w:rPr>
        <w:t>7、2</w:t>
      </w:r>
      <w:r>
        <w:rPr>
          <w:rFonts w:asciiTheme="minorEastAsia" w:hAnsiTheme="minorEastAsia" w:eastAsiaTheme="minorEastAsia"/>
          <w:sz w:val="24"/>
          <w:szCs w:val="24"/>
        </w:rPr>
        <w:t>023</w:t>
      </w:r>
      <w:r>
        <w:rPr>
          <w:rFonts w:hint="eastAsia" w:asciiTheme="minorEastAsia" w:hAnsiTheme="minorEastAsia" w:eastAsiaTheme="minorEastAsia"/>
          <w:sz w:val="24"/>
          <w:szCs w:val="24"/>
        </w:rPr>
        <w:t>年8月2</w:t>
      </w:r>
      <w:r>
        <w:rPr>
          <w:rFonts w:asciiTheme="minorEastAsia" w:hAnsiTheme="minorEastAsia" w:eastAsiaTheme="minorEastAsia"/>
          <w:sz w:val="24"/>
          <w:szCs w:val="24"/>
        </w:rPr>
        <w:t>9</w:t>
      </w:r>
      <w:r>
        <w:rPr>
          <w:rFonts w:hint="eastAsia" w:asciiTheme="minorEastAsia" w:hAnsiTheme="minorEastAsia" w:eastAsiaTheme="minorEastAsia"/>
          <w:sz w:val="24"/>
          <w:szCs w:val="24"/>
        </w:rPr>
        <w:t>日，公司分别召开了第四届董事会第二十五次会议和第四届监事会第十九次会议，审议</w:t>
      </w:r>
      <w:r>
        <w:rPr>
          <w:rFonts w:asciiTheme="minorEastAsia" w:hAnsiTheme="minorEastAsia" w:eastAsiaTheme="minorEastAsia"/>
          <w:sz w:val="24"/>
          <w:szCs w:val="24"/>
        </w:rPr>
        <w:t>通过了《关于2021年限制性股票激励计划</w:t>
      </w:r>
      <w:r>
        <w:rPr>
          <w:rFonts w:hint="eastAsia" w:asciiTheme="minorEastAsia" w:hAnsiTheme="minorEastAsia" w:eastAsiaTheme="minorEastAsia"/>
          <w:sz w:val="24"/>
          <w:szCs w:val="24"/>
        </w:rPr>
        <w:t>预留部分</w:t>
      </w:r>
      <w:r>
        <w:rPr>
          <w:rFonts w:asciiTheme="minorEastAsia" w:hAnsiTheme="minorEastAsia" w:eastAsiaTheme="minorEastAsia"/>
          <w:sz w:val="24"/>
          <w:szCs w:val="24"/>
        </w:rPr>
        <w:t>第一个解锁期解锁条件成就的议案》</w:t>
      </w:r>
      <w:r>
        <w:rPr>
          <w:rFonts w:hint="eastAsia" w:cs="Times New Roman" w:asciiTheme="minorEastAsia" w:hAnsiTheme="minorEastAsia" w:eastAsiaTheme="minorEastAsia"/>
          <w:sz w:val="24"/>
          <w:szCs w:val="24"/>
        </w:rPr>
        <w:t>《关于调整</w:t>
      </w:r>
      <w:r>
        <w:rPr>
          <w:rFonts w:cs="Times New Roman" w:asciiTheme="minorEastAsia" w:hAnsiTheme="minorEastAsia" w:eastAsiaTheme="minorEastAsia"/>
          <w:sz w:val="24"/>
          <w:szCs w:val="24"/>
        </w:rPr>
        <w:t>2021年限制</w:t>
      </w:r>
      <w:r>
        <w:rPr>
          <w:rFonts w:hint="eastAsia" w:cs="Times New Roman" w:asciiTheme="minorEastAsia" w:hAnsiTheme="minorEastAsia" w:eastAsiaTheme="minorEastAsia"/>
          <w:sz w:val="24"/>
          <w:szCs w:val="24"/>
        </w:rPr>
        <w:t>性股票激励计划回购数量及价格的议案》</w:t>
      </w:r>
      <w:r>
        <w:rPr>
          <w:rFonts w:hint="eastAsia" w:asciiTheme="minorEastAsia" w:hAnsiTheme="minorEastAsia" w:eastAsiaTheme="minorEastAsia"/>
          <w:sz w:val="24"/>
          <w:szCs w:val="24"/>
        </w:rPr>
        <w:t>等议案，认为2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年限制性股票激励计划预留部分第一个解锁期解锁条件已成就，同时因2</w:t>
      </w:r>
      <w:r>
        <w:rPr>
          <w:rFonts w:asciiTheme="minorEastAsia" w:hAnsiTheme="minorEastAsia" w:eastAsiaTheme="minorEastAsia"/>
          <w:sz w:val="24"/>
          <w:szCs w:val="24"/>
        </w:rPr>
        <w:t>022</w:t>
      </w:r>
      <w:r>
        <w:rPr>
          <w:rFonts w:hint="eastAsia" w:asciiTheme="minorEastAsia" w:hAnsiTheme="minorEastAsia" w:eastAsiaTheme="minorEastAsia"/>
          <w:sz w:val="24"/>
          <w:szCs w:val="24"/>
        </w:rPr>
        <w:t>年度权益分配事项，同意调整2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年限制性股票激励计划回购数量及价格。</w:t>
      </w:r>
      <w:r>
        <w:rPr>
          <w:rFonts w:asciiTheme="minorEastAsia" w:hAnsiTheme="minorEastAsia" w:eastAsiaTheme="minorEastAsia"/>
          <w:sz w:val="24"/>
          <w:szCs w:val="24"/>
        </w:rPr>
        <w:t>公司独立董事对此发表了独立意见。</w:t>
      </w:r>
    </w:p>
    <w:p>
      <w:pPr>
        <w:spacing w:before="120" w:beforeLines="50" w:after="120" w:afterLines="50" w:line="360" w:lineRule="auto"/>
        <w:ind w:firstLine="570"/>
        <w:rPr>
          <w:rFonts w:ascii="宋体" w:hAnsi="宋体" w:eastAsia="宋体"/>
          <w:b/>
          <w:color w:val="000000" w:themeColor="text1"/>
          <w:sz w:val="24"/>
          <w:szCs w:val="24"/>
        </w:rPr>
      </w:pPr>
      <w:r>
        <w:rPr>
          <w:rFonts w:hint="eastAsia" w:ascii="宋体" w:hAnsi="宋体" w:eastAsia="宋体"/>
          <w:b/>
          <w:color w:val="000000" w:themeColor="text1"/>
          <w:sz w:val="24"/>
          <w:szCs w:val="24"/>
        </w:rPr>
        <w:t>二、2</w:t>
      </w:r>
      <w:r>
        <w:rPr>
          <w:rFonts w:ascii="宋体" w:hAnsi="宋体" w:eastAsia="宋体"/>
          <w:b/>
          <w:color w:val="000000" w:themeColor="text1"/>
          <w:sz w:val="24"/>
          <w:szCs w:val="24"/>
        </w:rPr>
        <w:t>021</w:t>
      </w:r>
      <w:r>
        <w:rPr>
          <w:rFonts w:hint="eastAsia" w:ascii="宋体" w:hAnsi="宋体" w:eastAsia="宋体"/>
          <w:b/>
          <w:color w:val="000000" w:themeColor="text1"/>
          <w:sz w:val="24"/>
          <w:szCs w:val="24"/>
        </w:rPr>
        <w:t>年限制性股票激励计划</w:t>
      </w:r>
      <w:r>
        <w:rPr>
          <w:rFonts w:hint="eastAsia" w:ascii="宋体" w:hAnsi="宋体" w:eastAsia="宋体"/>
          <w:b/>
          <w:sz w:val="24"/>
          <w:szCs w:val="24"/>
        </w:rPr>
        <w:t>预留部分</w:t>
      </w:r>
      <w:r>
        <w:rPr>
          <w:rFonts w:hint="eastAsia" w:ascii="宋体" w:hAnsi="宋体" w:eastAsia="宋体"/>
          <w:b/>
          <w:color w:val="000000" w:themeColor="text1"/>
          <w:sz w:val="24"/>
          <w:szCs w:val="24"/>
        </w:rPr>
        <w:t>第一个解锁期解锁条件已达成的说明</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（一）限售期届满</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根据公司《激励计划（草案）》的相关规定，本激励计划第一个解除限售期为自授予完成登记之日起</w:t>
      </w:r>
      <w:r>
        <w:rPr>
          <w:rFonts w:asciiTheme="minorEastAsia" w:hAnsiTheme="minorEastAsia" w:eastAsiaTheme="minorEastAsia"/>
          <w:sz w:val="24"/>
          <w:szCs w:val="23"/>
        </w:rPr>
        <w:t>12</w:t>
      </w:r>
      <w:r>
        <w:rPr>
          <w:rFonts w:hint="eastAsia" w:asciiTheme="minorEastAsia" w:hAnsiTheme="minorEastAsia" w:eastAsiaTheme="minorEastAsia"/>
          <w:sz w:val="24"/>
          <w:szCs w:val="23"/>
        </w:rPr>
        <w:t>个月后的首个交易日起至授予登记完成之日起</w:t>
      </w:r>
      <w:r>
        <w:rPr>
          <w:rFonts w:asciiTheme="minorEastAsia" w:hAnsiTheme="minorEastAsia" w:eastAsiaTheme="minorEastAsia"/>
          <w:sz w:val="24"/>
          <w:szCs w:val="23"/>
        </w:rPr>
        <w:t>24</w:t>
      </w:r>
      <w:r>
        <w:rPr>
          <w:rFonts w:hint="eastAsia" w:asciiTheme="minorEastAsia" w:hAnsiTheme="minorEastAsia" w:eastAsiaTheme="minorEastAsia"/>
          <w:sz w:val="24"/>
          <w:szCs w:val="23"/>
        </w:rPr>
        <w:t>个月内的最后一个交易日当日止。</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本次授予的预留限制性股票授予完成登记日为</w:t>
      </w:r>
      <w:r>
        <w:rPr>
          <w:rFonts w:asciiTheme="minorEastAsia" w:hAnsiTheme="minorEastAsia" w:eastAsiaTheme="minorEastAsia"/>
          <w:sz w:val="24"/>
          <w:szCs w:val="23"/>
        </w:rPr>
        <w:t>202</w:t>
      </w:r>
      <w:r>
        <w:rPr>
          <w:rFonts w:hint="eastAsia" w:asciiTheme="minorEastAsia" w:hAnsiTheme="minorEastAsia" w:eastAsiaTheme="minorEastAsia"/>
          <w:sz w:val="24"/>
          <w:szCs w:val="23"/>
        </w:rPr>
        <w:t>2年9月22日，授予股份的上市日期为2</w:t>
      </w:r>
      <w:r>
        <w:rPr>
          <w:rFonts w:asciiTheme="minorEastAsia" w:hAnsiTheme="minorEastAsia" w:eastAsiaTheme="minorEastAsia"/>
          <w:sz w:val="24"/>
          <w:szCs w:val="23"/>
        </w:rPr>
        <w:t>022</w:t>
      </w:r>
      <w:r>
        <w:rPr>
          <w:rFonts w:hint="eastAsia" w:asciiTheme="minorEastAsia" w:hAnsiTheme="minorEastAsia" w:eastAsiaTheme="minorEastAsia"/>
          <w:sz w:val="24"/>
          <w:szCs w:val="23"/>
        </w:rPr>
        <w:t>年</w:t>
      </w:r>
      <w:r>
        <w:rPr>
          <w:rFonts w:asciiTheme="minorEastAsia" w:hAnsiTheme="minorEastAsia" w:eastAsiaTheme="minorEastAsia"/>
          <w:sz w:val="24"/>
          <w:szCs w:val="23"/>
        </w:rPr>
        <w:t>9</w:t>
      </w:r>
      <w:r>
        <w:rPr>
          <w:rFonts w:hint="eastAsia" w:asciiTheme="minorEastAsia" w:hAnsiTheme="minorEastAsia" w:eastAsiaTheme="minorEastAsia"/>
          <w:sz w:val="24"/>
          <w:szCs w:val="23"/>
        </w:rPr>
        <w:t>月</w:t>
      </w:r>
      <w:r>
        <w:rPr>
          <w:rFonts w:asciiTheme="minorEastAsia" w:hAnsiTheme="minorEastAsia" w:eastAsiaTheme="minorEastAsia"/>
          <w:sz w:val="24"/>
          <w:szCs w:val="23"/>
        </w:rPr>
        <w:t>22</w:t>
      </w:r>
      <w:r>
        <w:rPr>
          <w:rFonts w:hint="eastAsia" w:asciiTheme="minorEastAsia" w:hAnsiTheme="minorEastAsia" w:eastAsiaTheme="minorEastAsia"/>
          <w:sz w:val="24"/>
          <w:szCs w:val="23"/>
        </w:rPr>
        <w:t>日，因此预留授予限制性股票第一个限售期于2023年</w:t>
      </w:r>
      <w:r>
        <w:rPr>
          <w:rFonts w:asciiTheme="minorEastAsia" w:hAnsiTheme="minorEastAsia" w:eastAsiaTheme="minorEastAsia"/>
          <w:sz w:val="24"/>
          <w:szCs w:val="23"/>
        </w:rPr>
        <w:t>9</w:t>
      </w:r>
      <w:r>
        <w:rPr>
          <w:rFonts w:hint="eastAsia" w:asciiTheme="minorEastAsia" w:hAnsiTheme="minorEastAsia" w:eastAsiaTheme="minorEastAsia"/>
          <w:sz w:val="24"/>
          <w:szCs w:val="23"/>
        </w:rPr>
        <w:t>月2</w:t>
      </w:r>
      <w:r>
        <w:rPr>
          <w:rFonts w:asciiTheme="minorEastAsia" w:hAnsiTheme="minorEastAsia" w:eastAsiaTheme="minorEastAsia"/>
          <w:sz w:val="24"/>
          <w:szCs w:val="23"/>
        </w:rPr>
        <w:t>2</w:t>
      </w:r>
      <w:r>
        <w:rPr>
          <w:rFonts w:hint="eastAsia" w:asciiTheme="minorEastAsia" w:hAnsiTheme="minorEastAsia" w:eastAsiaTheme="minorEastAsia"/>
          <w:sz w:val="24"/>
          <w:szCs w:val="23"/>
        </w:rPr>
        <w:t>日届满。根据《激励计划（草案）》及《考核管理办法》规定的考核指标及激励对象的考核指标完成情况，除3名激励对象离职，已不具备激励资格外，其余24名激励对象本期限售股份解锁比例为100%。即本次满足解锁条件的激励对象人数为24名，可申请解锁的限制性股票数量为212,957股，占目前公司总股本的0.097%。</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（二）解锁条件成就说明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72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59"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解锁条件类型</w:t>
            </w:r>
          </w:p>
        </w:tc>
        <w:tc>
          <w:tcPr>
            <w:tcW w:w="4722"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解锁条件</w:t>
            </w:r>
          </w:p>
        </w:tc>
        <w:tc>
          <w:tcPr>
            <w:tcW w:w="2841"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成就情况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公司</w:t>
            </w:r>
          </w:p>
        </w:tc>
        <w:tc>
          <w:tcPr>
            <w:tcW w:w="4722" w:type="dxa"/>
            <w:vAlign w:val="center"/>
          </w:tcPr>
          <w:p>
            <w:pPr>
              <w:pStyle w:val="19"/>
              <w:spacing w:before="120" w:beforeLines="50" w:after="120" w:afterLines="50"/>
              <w:rPr>
                <w:rFonts w:asciiTheme="minorEastAsia" w:hAnsiTheme="minorEastAsia" w:eastAsiaTheme="minorEastAsia"/>
              </w:rPr>
            </w:pPr>
            <w:r>
              <w:rPr>
                <w:rFonts w:hint="eastAsia" w:asciiTheme="minorEastAsia" w:hAnsiTheme="minorEastAsia" w:eastAsiaTheme="minorEastAsia"/>
              </w:rPr>
              <w:t>公司未发生如下任一情形：</w:t>
            </w:r>
          </w:p>
          <w:p>
            <w:pPr>
              <w:pStyle w:val="19"/>
              <w:spacing w:before="120" w:beforeLines="50" w:after="120" w:afterLines="50"/>
              <w:jc w:val="center"/>
              <w:rPr>
                <w:rFonts w:asciiTheme="minorEastAsia" w:hAnsiTheme="minorEastAsia" w:eastAsiaTheme="minorEastAsia"/>
              </w:rPr>
            </w:pPr>
            <w:r>
              <w:rPr>
                <w:rFonts w:asciiTheme="minorEastAsia" w:hAnsiTheme="minorEastAsia" w:eastAsiaTheme="minorEastAsia"/>
              </w:rPr>
              <w:t>1、最近一个会计年度财务会计报告被注册会计师出具否定意见或者无法表示意见的审计报告；</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2、最近一个会计年度财务报告内部控制被注册会计师出具否定意见或者无法表示意见的审计报告；</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 xml:space="preserve">3、上市后最近 36 </w:t>
            </w:r>
            <w:r>
              <w:rPr>
                <w:rFonts w:hint="eastAsia" w:asciiTheme="minorEastAsia" w:hAnsiTheme="minorEastAsia" w:eastAsiaTheme="minorEastAsia"/>
              </w:rPr>
              <w:t>个月内出现过未按法律法规、公司章程、公开承诺进行利润分配的情形；</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4、法律法规规定不得实行股权激励的；</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5、中国证监会认定的其他情形</w:t>
            </w:r>
          </w:p>
        </w:tc>
        <w:tc>
          <w:tcPr>
            <w:tcW w:w="2841" w:type="dxa"/>
            <w:vAlign w:val="center"/>
          </w:tcPr>
          <w:p>
            <w:pPr>
              <w:pStyle w:val="19"/>
              <w:spacing w:before="120" w:beforeLines="50" w:after="120" w:afterLines="50"/>
              <w:jc w:val="center"/>
              <w:rPr>
                <w:rFonts w:asciiTheme="minorEastAsia" w:hAnsiTheme="minorEastAsia" w:eastAsiaTheme="minorEastAsia"/>
              </w:rPr>
            </w:pPr>
            <w:r>
              <w:rPr>
                <w:rFonts w:hint="eastAsia" w:asciiTheme="minorEastAsia" w:hAnsiTheme="minorEastAsia" w:eastAsiaTheme="minorEastAsia"/>
              </w:rPr>
              <w:t>公司未发生前述情形，满足解锁条件。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激励对象</w:t>
            </w:r>
          </w:p>
        </w:tc>
        <w:tc>
          <w:tcPr>
            <w:tcW w:w="4722" w:type="dxa"/>
            <w:vAlign w:val="center"/>
          </w:tcPr>
          <w:p>
            <w:pPr>
              <w:pStyle w:val="19"/>
              <w:spacing w:before="120" w:beforeLines="50" w:after="120" w:afterLines="50"/>
              <w:rPr>
                <w:rFonts w:asciiTheme="minorEastAsia" w:hAnsiTheme="minorEastAsia" w:eastAsiaTheme="minorEastAsia"/>
              </w:rPr>
            </w:pPr>
            <w:r>
              <w:rPr>
                <w:rFonts w:hint="eastAsia" w:asciiTheme="minorEastAsia" w:hAnsiTheme="minorEastAsia" w:eastAsiaTheme="minorEastAsia"/>
              </w:rPr>
              <w:t>激励对象未发生如下任一情形：</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 xml:space="preserve">1、最近 12 </w:t>
            </w:r>
            <w:r>
              <w:rPr>
                <w:rFonts w:hint="eastAsia" w:asciiTheme="minorEastAsia" w:hAnsiTheme="minorEastAsia" w:eastAsiaTheme="minorEastAsia"/>
              </w:rPr>
              <w:t>个月内被证券交易所认定为不适当人选；</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 xml:space="preserve">2、最近 12 </w:t>
            </w:r>
            <w:r>
              <w:rPr>
                <w:rFonts w:hint="eastAsia" w:asciiTheme="minorEastAsia" w:hAnsiTheme="minorEastAsia" w:eastAsiaTheme="minorEastAsia"/>
              </w:rPr>
              <w:t>个月内被中国证监会及其派出机构认定为不适当人选；</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 xml:space="preserve">3、最近 12 </w:t>
            </w:r>
            <w:r>
              <w:rPr>
                <w:rFonts w:hint="eastAsia" w:asciiTheme="minorEastAsia" w:hAnsiTheme="minorEastAsia" w:eastAsiaTheme="minorEastAsia"/>
              </w:rPr>
              <w:t>个月内因重大违法违规行为被中国证监会及其派出机构行政处罚或者采取市场禁入措施；</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4、具有《公司法》规定的不得担任公司董事、</w:t>
            </w:r>
            <w:r>
              <w:rPr>
                <w:rFonts w:hint="eastAsia" w:asciiTheme="minorEastAsia" w:hAnsiTheme="minorEastAsia" w:eastAsiaTheme="minorEastAsia"/>
              </w:rPr>
              <w:t>高级管理人员情形的；</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5、法律法规规定不得参与上市公司股权激励的；</w:t>
            </w:r>
          </w:p>
          <w:p>
            <w:pPr>
              <w:pStyle w:val="19"/>
              <w:spacing w:before="120" w:beforeLines="50" w:after="120" w:afterLines="50"/>
              <w:rPr>
                <w:rFonts w:asciiTheme="minorEastAsia" w:hAnsiTheme="minorEastAsia" w:eastAsiaTheme="minorEastAsia"/>
              </w:rPr>
            </w:pPr>
            <w:r>
              <w:rPr>
                <w:rFonts w:asciiTheme="minorEastAsia" w:hAnsiTheme="minorEastAsia" w:eastAsiaTheme="minorEastAsia"/>
              </w:rPr>
              <w:t>6、中国证监会认定的其他情形。</w:t>
            </w:r>
          </w:p>
        </w:tc>
        <w:tc>
          <w:tcPr>
            <w:tcW w:w="2841" w:type="dxa"/>
            <w:vAlign w:val="center"/>
          </w:tcPr>
          <w:p>
            <w:pPr>
              <w:pStyle w:val="19"/>
              <w:spacing w:before="120" w:beforeLines="50" w:after="120" w:afterLines="50"/>
              <w:jc w:val="center"/>
              <w:rPr>
                <w:rFonts w:asciiTheme="minorEastAsia" w:hAnsiTheme="minorEastAsia" w:eastAsiaTheme="minorEastAsia"/>
              </w:rPr>
            </w:pPr>
            <w:r>
              <w:rPr>
                <w:rFonts w:hint="eastAsia" w:asciiTheme="minorEastAsia" w:hAnsiTheme="minorEastAsia" w:eastAsiaTheme="minorEastAsia"/>
              </w:rPr>
              <w:t>激励对象未发生前述情形，满足解锁条件。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公司业绩考核</w:t>
            </w:r>
          </w:p>
        </w:tc>
        <w:tc>
          <w:tcPr>
            <w:tcW w:w="4722" w:type="dxa"/>
            <w:vAlign w:val="center"/>
          </w:tcPr>
          <w:p>
            <w:pPr>
              <w:pStyle w:val="19"/>
              <w:spacing w:before="120" w:beforeLines="50" w:after="120" w:afterLines="50"/>
              <w:rPr>
                <w:rFonts w:hint="eastAsia" w:asciiTheme="minorEastAsia" w:hAnsiTheme="minorEastAsia" w:eastAsiaTheme="minorEastAsia"/>
              </w:rPr>
            </w:pPr>
            <w:r>
              <w:rPr>
                <w:rFonts w:hint="eastAsia" w:asciiTheme="minorEastAsia" w:hAnsiTheme="minorEastAsia" w:eastAsiaTheme="minorEastAsia"/>
              </w:rPr>
              <w:t>以2020年营业收入为基数，2022年营业收入增长率不低于15%；同时以2020年净利润为基</w:t>
            </w:r>
          </w:p>
          <w:p>
            <w:pPr>
              <w:pStyle w:val="19"/>
              <w:spacing w:before="120" w:beforeLines="50" w:after="120" w:afterLines="50"/>
              <w:rPr>
                <w:rFonts w:hint="eastAsia" w:asciiTheme="minorEastAsia" w:hAnsiTheme="minorEastAsia" w:eastAsiaTheme="minorEastAsia"/>
              </w:rPr>
            </w:pPr>
            <w:r>
              <w:rPr>
                <w:rFonts w:hint="eastAsia" w:asciiTheme="minorEastAsia" w:hAnsiTheme="minorEastAsia" w:eastAsiaTheme="minorEastAsia"/>
              </w:rPr>
              <w:t>数，2022年净利润增长率不低于10%。</w:t>
            </w:r>
          </w:p>
          <w:p>
            <w:pPr>
              <w:pStyle w:val="19"/>
              <w:spacing w:before="120" w:beforeLines="50" w:after="120" w:afterLines="50"/>
              <w:rPr>
                <w:rFonts w:hint="eastAsia" w:asciiTheme="minorEastAsia" w:hAnsiTheme="minorEastAsia" w:eastAsiaTheme="minorEastAsia"/>
              </w:rPr>
            </w:pPr>
            <w:r>
              <w:rPr>
                <w:rFonts w:hint="eastAsia" w:asciiTheme="minorEastAsia" w:hAnsiTheme="minorEastAsia" w:eastAsiaTheme="minorEastAsia"/>
              </w:rPr>
              <w:t>其中按照营业收入（S1）占比40%、净利润</w:t>
            </w:r>
          </w:p>
          <w:p>
            <w:pPr>
              <w:pStyle w:val="19"/>
              <w:spacing w:before="120" w:beforeLines="50" w:after="120" w:afterLines="50"/>
              <w:rPr>
                <w:rFonts w:hint="eastAsia" w:asciiTheme="minorEastAsia" w:hAnsiTheme="minorEastAsia" w:eastAsiaTheme="minorEastAsia"/>
              </w:rPr>
            </w:pPr>
            <w:r>
              <w:rPr>
                <w:rFonts w:hint="eastAsia" w:asciiTheme="minorEastAsia" w:hAnsiTheme="minorEastAsia" w:eastAsiaTheme="minorEastAsia"/>
              </w:rPr>
              <w:t>（S2）占比60%的比例加权计算作为考核指标</w:t>
            </w:r>
          </w:p>
          <w:p>
            <w:pPr>
              <w:pStyle w:val="19"/>
              <w:spacing w:before="120" w:beforeLines="50" w:after="120" w:afterLines="50"/>
              <w:rPr>
                <w:rFonts w:hint="eastAsia" w:asciiTheme="minorEastAsia" w:hAnsiTheme="minorEastAsia" w:eastAsiaTheme="minorEastAsia"/>
              </w:rPr>
            </w:pPr>
            <w:r>
              <w:rPr>
                <w:rFonts w:hint="eastAsia" w:asciiTheme="minorEastAsia" w:hAnsiTheme="minorEastAsia" w:eastAsiaTheme="minorEastAsia"/>
              </w:rPr>
              <w:t>S，即S=S1+S2。</w:t>
            </w:r>
          </w:p>
          <w:p>
            <w:pPr>
              <w:pStyle w:val="19"/>
              <w:spacing w:before="120" w:beforeLines="50" w:after="120" w:afterLines="50"/>
              <w:rPr>
                <w:rFonts w:hint="eastAsia" w:asciiTheme="minorEastAsia" w:hAnsiTheme="minorEastAsia" w:eastAsiaTheme="minorEastAsia"/>
              </w:rPr>
            </w:pPr>
            <w:r>
              <w:rPr>
                <w:rFonts w:hint="eastAsia" w:asciiTheme="minorEastAsia" w:hAnsiTheme="minorEastAsia" w:eastAsiaTheme="minorEastAsia"/>
              </w:rPr>
              <w:t>营业收入考核指标 S1=当年实现值/考核指标值*40%，（注：S1 最大值等于0.4）</w:t>
            </w:r>
          </w:p>
          <w:p>
            <w:pPr>
              <w:pStyle w:val="19"/>
              <w:spacing w:before="120" w:beforeLines="50" w:after="120" w:afterLines="50"/>
              <w:rPr>
                <w:rFonts w:hint="eastAsia" w:asciiTheme="minorEastAsia" w:hAnsiTheme="minorEastAsia" w:eastAsiaTheme="minorEastAsia"/>
              </w:rPr>
            </w:pPr>
            <w:r>
              <w:rPr>
                <w:rFonts w:hint="eastAsia" w:asciiTheme="minorEastAsia" w:hAnsiTheme="minorEastAsia" w:eastAsiaTheme="minorEastAsia"/>
              </w:rPr>
              <w:t>净利润考核指标S2=当年实现值/考核指标值</w:t>
            </w:r>
          </w:p>
          <w:p>
            <w:pPr>
              <w:pStyle w:val="19"/>
              <w:spacing w:before="120" w:beforeLines="50" w:after="120" w:afterLines="50"/>
              <w:rPr>
                <w:rFonts w:hint="eastAsia" w:asciiTheme="minorEastAsia" w:hAnsiTheme="minorEastAsia" w:eastAsiaTheme="minorEastAsia"/>
              </w:rPr>
            </w:pPr>
            <w:r>
              <w:rPr>
                <w:rFonts w:hint="eastAsia" w:asciiTheme="minorEastAsia" w:hAnsiTheme="minorEastAsia" w:eastAsiaTheme="minorEastAsia"/>
              </w:rPr>
              <w:t>*60%，（注：S2最大值等于0.6）</w:t>
            </w:r>
          </w:p>
          <w:p>
            <w:pPr>
              <w:pStyle w:val="19"/>
              <w:spacing w:before="120" w:beforeLines="50" w:after="120" w:afterLines="50"/>
              <w:rPr>
                <w:rFonts w:hint="eastAsia" w:asciiTheme="minorEastAsia" w:hAnsiTheme="minorEastAsia" w:eastAsiaTheme="minorEastAsia"/>
              </w:rPr>
            </w:pPr>
            <w:r>
              <w:rPr>
                <w:rFonts w:hint="eastAsia" w:asciiTheme="minorEastAsia" w:hAnsiTheme="minorEastAsia" w:eastAsiaTheme="minorEastAsia"/>
              </w:rPr>
              <w:t>1、S=1；则100%解除当期限售股份。</w:t>
            </w:r>
          </w:p>
          <w:p>
            <w:pPr>
              <w:pStyle w:val="19"/>
              <w:spacing w:before="120" w:beforeLines="50" w:after="120" w:afterLines="50"/>
              <w:rPr>
                <w:rFonts w:hint="eastAsia" w:asciiTheme="minorEastAsia" w:hAnsiTheme="minorEastAsia" w:eastAsiaTheme="minorEastAsia"/>
              </w:rPr>
            </w:pPr>
            <w:r>
              <w:rPr>
                <w:rFonts w:hint="eastAsia" w:asciiTheme="minorEastAsia" w:hAnsiTheme="minorEastAsia" w:eastAsiaTheme="minorEastAsia"/>
              </w:rPr>
              <w:t>2、0.9≤S＜1；则90%解除当期限售股份。</w:t>
            </w:r>
          </w:p>
          <w:p>
            <w:pPr>
              <w:pStyle w:val="19"/>
              <w:spacing w:before="120" w:beforeLines="50" w:after="120" w:afterLines="50"/>
              <w:rPr>
                <w:rFonts w:hint="eastAsia" w:asciiTheme="minorEastAsia" w:hAnsiTheme="minorEastAsia" w:eastAsiaTheme="minorEastAsia"/>
              </w:rPr>
            </w:pPr>
            <w:r>
              <w:rPr>
                <w:rFonts w:hint="eastAsia" w:asciiTheme="minorEastAsia" w:hAnsiTheme="minorEastAsia" w:eastAsiaTheme="minorEastAsia"/>
              </w:rPr>
              <w:t>3、0.8≤S＜0.9；则80%解除当期限售股份。</w:t>
            </w:r>
          </w:p>
          <w:p>
            <w:pPr>
              <w:pStyle w:val="19"/>
              <w:spacing w:before="120" w:beforeLines="50" w:after="120" w:afterLines="50"/>
              <w:rPr>
                <w:rFonts w:hint="eastAsia" w:asciiTheme="minorEastAsia" w:hAnsiTheme="minorEastAsia" w:eastAsiaTheme="minorEastAsia"/>
              </w:rPr>
            </w:pPr>
            <w:r>
              <w:rPr>
                <w:rFonts w:hint="eastAsia" w:asciiTheme="minorEastAsia" w:hAnsiTheme="minorEastAsia" w:eastAsiaTheme="minorEastAsia"/>
              </w:rPr>
              <w:t>4、S＜0.8；则不得解除当期限售股份。</w:t>
            </w:r>
          </w:p>
        </w:tc>
        <w:tc>
          <w:tcPr>
            <w:tcW w:w="2841" w:type="dxa"/>
            <w:vAlign w:val="center"/>
          </w:tcPr>
          <w:p>
            <w:pPr>
              <w:pStyle w:val="19"/>
              <w:spacing w:before="120" w:beforeLines="50" w:after="120" w:afterLines="50"/>
              <w:rPr>
                <w:rFonts w:hint="eastAsia" w:asciiTheme="minorEastAsia" w:hAnsiTheme="minorEastAsia" w:eastAsiaTheme="minorEastAsia"/>
              </w:rPr>
            </w:pPr>
            <w:r>
              <w:rPr>
                <w:rFonts w:hint="eastAsia" w:asciiTheme="minorEastAsia" w:hAnsiTheme="minorEastAsia" w:eastAsiaTheme="minorEastAsia"/>
              </w:rPr>
              <w:t>根据和信会计师事务所（特殊普通合伙）出具的和信审字（2023）第000366号审计报告，以2020年营业收入为基数，2022年营业收入增长率为56.75%；同时以2020年净利润为基数，2022年净利润增长率为 130.81%，本期限售股份解锁比例为100%。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9"/>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个人业绩考核</w:t>
            </w:r>
          </w:p>
        </w:tc>
        <w:tc>
          <w:tcPr>
            <w:tcW w:w="4722" w:type="dxa"/>
            <w:vAlign w:val="center"/>
          </w:tcPr>
          <w:p>
            <w:pPr>
              <w:spacing w:before="120" w:beforeLines="50" w:after="120" w:afterLines="50" w:line="360"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个人业绩考核结果（X）</w:t>
            </w:r>
          </w:p>
          <w:p>
            <w:pPr>
              <w:spacing w:before="120" w:beforeLines="50" w:after="120" w:afterLines="50" w:line="360"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1、95≤X；则 100%解除当期限售股份。</w:t>
            </w:r>
          </w:p>
          <w:p>
            <w:pPr>
              <w:spacing w:before="120" w:beforeLines="50" w:after="120" w:afterLines="50" w:line="360"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2、85≤X＜95；则 90%解除当期限售股份。</w:t>
            </w:r>
          </w:p>
          <w:p>
            <w:pPr>
              <w:spacing w:before="120" w:beforeLines="50" w:after="120" w:afterLines="50" w:line="360"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3、75≤X＜85；则 80%解除当期限售股份。</w:t>
            </w:r>
          </w:p>
          <w:p>
            <w:pPr>
              <w:spacing w:before="120" w:beforeLines="50" w:after="120" w:afterLines="50" w:line="360"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4、X＜75；则不得解除当期限售股份。</w:t>
            </w:r>
          </w:p>
        </w:tc>
        <w:tc>
          <w:tcPr>
            <w:tcW w:w="2841" w:type="dxa"/>
            <w:vAlign w:val="center"/>
          </w:tcPr>
          <w:p>
            <w:pPr>
              <w:pStyle w:val="19"/>
              <w:spacing w:before="120" w:beforeLines="50" w:after="120" w:afterLines="50"/>
              <w:rPr>
                <w:rFonts w:asciiTheme="minorEastAsia" w:hAnsiTheme="minorEastAsia" w:eastAsiaTheme="minorEastAsia"/>
              </w:rPr>
            </w:pPr>
            <w:r>
              <w:rPr>
                <w:rFonts w:hint="eastAsia" w:asciiTheme="minorEastAsia" w:hAnsiTheme="minorEastAsia" w:eastAsiaTheme="minorEastAsia"/>
              </w:rPr>
              <w:t>3名激励对象离职已不具备激励资格；其余24名激励对象绩效考核均为优秀，均满足本次全比例解锁条件。</w:t>
            </w:r>
          </w:p>
        </w:tc>
      </w:tr>
    </w:tbl>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（二）解锁条件成就说明</w:t>
      </w:r>
    </w:p>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综上所述，董事会认为公司2021年限制性股票激励计划预留部分第一个解锁期解锁条件已经成就，其中3名激励对象离职已不具备激励资格，其余</w:t>
      </w:r>
      <w:bookmarkStart w:id="1" w:name="_Hlk145060744"/>
      <w:r>
        <w:rPr>
          <w:rFonts w:hint="eastAsia" w:asciiTheme="minorEastAsia" w:hAnsiTheme="minorEastAsia" w:eastAsiaTheme="minorEastAsia"/>
          <w:sz w:val="24"/>
          <w:szCs w:val="23"/>
        </w:rPr>
        <w:t>2</w:t>
      </w:r>
      <w:r>
        <w:rPr>
          <w:rFonts w:asciiTheme="minorEastAsia" w:hAnsiTheme="minorEastAsia" w:eastAsiaTheme="minorEastAsia"/>
          <w:sz w:val="24"/>
          <w:szCs w:val="23"/>
        </w:rPr>
        <w:t>4</w:t>
      </w:r>
      <w:r>
        <w:rPr>
          <w:rFonts w:hint="eastAsia" w:asciiTheme="minorEastAsia" w:hAnsiTheme="minorEastAsia" w:eastAsiaTheme="minorEastAsia"/>
          <w:sz w:val="24"/>
          <w:szCs w:val="23"/>
        </w:rPr>
        <w:t>名激励对象</w:t>
      </w:r>
      <w:bookmarkEnd w:id="1"/>
      <w:r>
        <w:rPr>
          <w:rFonts w:hint="eastAsia" w:asciiTheme="minorEastAsia" w:hAnsiTheme="minorEastAsia" w:eastAsiaTheme="minorEastAsia"/>
          <w:sz w:val="24"/>
          <w:szCs w:val="23"/>
        </w:rPr>
        <w:t>可解锁的预留限制性股票数量为获授预留限制性股票总数的</w:t>
      </w:r>
      <w:r>
        <w:rPr>
          <w:rFonts w:asciiTheme="minorEastAsia" w:hAnsiTheme="minorEastAsia" w:eastAsiaTheme="minorEastAsia"/>
          <w:sz w:val="24"/>
          <w:szCs w:val="23"/>
        </w:rPr>
        <w:t>50%</w:t>
      </w:r>
      <w:r>
        <w:rPr>
          <w:rFonts w:hint="eastAsia" w:asciiTheme="minorEastAsia" w:hAnsiTheme="minorEastAsia" w:eastAsiaTheme="minorEastAsia"/>
          <w:sz w:val="24"/>
          <w:szCs w:val="23"/>
        </w:rPr>
        <w:t>，</w:t>
      </w:r>
      <w:r>
        <w:rPr>
          <w:rFonts w:hint="eastAsia" w:asciiTheme="minorEastAsia" w:hAnsiTheme="minorEastAsia" w:eastAsiaTheme="minorEastAsia"/>
          <w:sz w:val="24"/>
          <w:szCs w:val="24"/>
        </w:rPr>
        <w:t>可申请解锁的限制性股票数量为212</w:t>
      </w:r>
      <w:r>
        <w:rPr>
          <w:rFonts w:hint="default" w:asciiTheme="minorEastAsia" w:hAnsiTheme="minorEastAsia" w:eastAsiaTheme="minorEastAsia"/>
          <w:sz w:val="24"/>
          <w:szCs w:val="24"/>
          <w:lang w:val="en-US"/>
        </w:rPr>
        <w:t>,</w:t>
      </w:r>
      <w:r>
        <w:rPr>
          <w:rFonts w:hint="eastAsia" w:asciiTheme="minorEastAsia" w:hAnsiTheme="minorEastAsia" w:eastAsiaTheme="minorEastAsia"/>
          <w:sz w:val="24"/>
          <w:szCs w:val="24"/>
        </w:rPr>
        <w:t>957股，占公司目前总股本的0.097%</w:t>
      </w:r>
      <w:r>
        <w:rPr>
          <w:rFonts w:hint="eastAsia" w:asciiTheme="minorEastAsia" w:hAnsiTheme="minorEastAsia" w:eastAsiaTheme="minorEastAsia"/>
          <w:sz w:val="24"/>
          <w:szCs w:val="23"/>
        </w:rPr>
        <w:t>。根据公司2021年第二次临时股东大会对董事会授权，同意按照激励计划的相关规定办理限制性股票预留部分第一个解锁期解锁的相关事宜。</w:t>
      </w:r>
    </w:p>
    <w:p>
      <w:pPr>
        <w:numPr>
          <w:ilvl w:val="0"/>
          <w:numId w:val="1"/>
        </w:numPr>
        <w:spacing w:before="120" w:beforeLines="50" w:after="120" w:afterLines="50" w:line="360" w:lineRule="auto"/>
        <w:ind w:firstLine="570"/>
        <w:rPr>
          <w:rFonts w:asciiTheme="minorEastAsia" w:hAnsiTheme="minorEastAsia" w:eastAsiaTheme="minorEastAsia"/>
          <w:b/>
          <w:color w:val="000000" w:themeColor="text1"/>
          <w:sz w:val="24"/>
        </w:rPr>
      </w:pPr>
      <w:r>
        <w:rPr>
          <w:rFonts w:asciiTheme="minorEastAsia" w:hAnsiTheme="minorEastAsia" w:eastAsiaTheme="minorEastAsia"/>
          <w:b/>
          <w:color w:val="000000" w:themeColor="text1"/>
          <w:sz w:val="24"/>
        </w:rPr>
        <w:t>本次实施的激励计划与已披露的激励计划的差异情况</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（一）根据</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w:t>
      </w:r>
      <w:r>
        <w:rPr>
          <w:rFonts w:asciiTheme="minorEastAsia" w:hAnsiTheme="minorEastAsia" w:eastAsiaTheme="minorEastAsia"/>
          <w:sz w:val="24"/>
          <w:szCs w:val="24"/>
        </w:rPr>
        <w:t>10</w:t>
      </w:r>
      <w:r>
        <w:rPr>
          <w:rFonts w:hint="eastAsia" w:asciiTheme="minorEastAsia" w:hAnsiTheme="minorEastAsia" w:eastAsiaTheme="minorEastAsia"/>
          <w:sz w:val="24"/>
          <w:szCs w:val="24"/>
        </w:rPr>
        <w:t>月</w:t>
      </w:r>
      <w:r>
        <w:rPr>
          <w:rFonts w:asciiTheme="minorEastAsia" w:hAnsiTheme="minorEastAsia" w:eastAsiaTheme="minorEastAsia"/>
          <w:sz w:val="24"/>
          <w:szCs w:val="24"/>
        </w:rPr>
        <w:t>27</w:t>
      </w:r>
      <w:r>
        <w:rPr>
          <w:rFonts w:hint="eastAsia" w:asciiTheme="minorEastAsia" w:hAnsiTheme="minorEastAsia" w:eastAsiaTheme="minorEastAsia"/>
          <w:sz w:val="24"/>
          <w:szCs w:val="24"/>
        </w:rPr>
        <w:t>日公司第四届董事会第六次会议通过的《关于调整公司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年限制性股票激励计划相关事项的议案》，对《激励计划（草案）》进行了部分调整，调整的内容主要是对授予激励对象的人员名单以及激励股份数量进行的调整。具体调整如下：</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经公司与授予对象的反复沟通确认，公司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年限制性股票激励计划中确定的部分拟激励对象由于其个人原因，自愿放弃认购拟授予的限制性股票共计</w:t>
      </w:r>
      <w:r>
        <w:rPr>
          <w:rFonts w:asciiTheme="minorEastAsia" w:hAnsiTheme="minorEastAsia" w:eastAsiaTheme="minorEastAsia"/>
          <w:sz w:val="24"/>
          <w:szCs w:val="24"/>
        </w:rPr>
        <w:t xml:space="preserve">4 </w:t>
      </w:r>
      <w:r>
        <w:rPr>
          <w:rFonts w:hint="eastAsia" w:asciiTheme="minorEastAsia" w:hAnsiTheme="minorEastAsia" w:eastAsiaTheme="minorEastAsia"/>
          <w:sz w:val="24"/>
          <w:szCs w:val="24"/>
        </w:rPr>
        <w:t>万股，上述股票将全部调整至公司预留股票。根据公司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年第二次临时股东大会的授权，董事会对激励对象名单及授予数量进行了调整，该事项无需提交公司股东大会审议。公司首次授予限制性股票的激励对象由</w:t>
      </w:r>
      <w:r>
        <w:rPr>
          <w:rFonts w:asciiTheme="minorEastAsia" w:hAnsiTheme="minorEastAsia" w:eastAsiaTheme="minorEastAsia"/>
          <w:sz w:val="24"/>
          <w:szCs w:val="24"/>
        </w:rPr>
        <w:t>81</w:t>
      </w:r>
      <w:r>
        <w:rPr>
          <w:rFonts w:hint="eastAsia" w:asciiTheme="minorEastAsia" w:hAnsiTheme="minorEastAsia" w:eastAsiaTheme="minorEastAsia"/>
          <w:sz w:val="24"/>
          <w:szCs w:val="24"/>
        </w:rPr>
        <w:t>人调整为</w:t>
      </w:r>
      <w:r>
        <w:rPr>
          <w:rFonts w:asciiTheme="minorEastAsia" w:hAnsiTheme="minorEastAsia" w:eastAsiaTheme="minorEastAsia"/>
          <w:sz w:val="24"/>
          <w:szCs w:val="24"/>
        </w:rPr>
        <w:t xml:space="preserve"> 80</w:t>
      </w:r>
      <w:r>
        <w:rPr>
          <w:rFonts w:hint="eastAsia" w:asciiTheme="minorEastAsia" w:hAnsiTheme="minorEastAsia" w:eastAsiaTheme="minorEastAsia"/>
          <w:sz w:val="24"/>
          <w:szCs w:val="24"/>
        </w:rPr>
        <w:t>人，首次授予限制性股票的总数由</w:t>
      </w:r>
      <w:r>
        <w:rPr>
          <w:rFonts w:asciiTheme="minorEastAsia" w:hAnsiTheme="minorEastAsia" w:eastAsiaTheme="minorEastAsia"/>
          <w:sz w:val="24"/>
          <w:szCs w:val="24"/>
        </w:rPr>
        <w:t>276</w:t>
      </w:r>
      <w:r>
        <w:rPr>
          <w:rFonts w:hint="eastAsia" w:asciiTheme="minorEastAsia" w:hAnsiTheme="minorEastAsia" w:eastAsiaTheme="minorEastAsia"/>
          <w:sz w:val="24"/>
          <w:szCs w:val="24"/>
        </w:rPr>
        <w:t>万股调整为</w:t>
      </w:r>
      <w:r>
        <w:rPr>
          <w:rFonts w:asciiTheme="minorEastAsia" w:hAnsiTheme="minorEastAsia" w:eastAsiaTheme="minorEastAsia"/>
          <w:sz w:val="24"/>
          <w:szCs w:val="24"/>
        </w:rPr>
        <w:t>272</w:t>
      </w:r>
      <w:r>
        <w:rPr>
          <w:rFonts w:hint="eastAsia" w:asciiTheme="minorEastAsia" w:hAnsiTheme="minorEastAsia" w:eastAsiaTheme="minorEastAsia"/>
          <w:sz w:val="24"/>
          <w:szCs w:val="24"/>
        </w:rPr>
        <w:t>万股，预留部分股票总数由</w:t>
      </w:r>
      <w:r>
        <w:rPr>
          <w:rFonts w:asciiTheme="minorEastAsia" w:hAnsiTheme="minorEastAsia" w:eastAsiaTheme="minorEastAsia"/>
          <w:sz w:val="24"/>
          <w:szCs w:val="24"/>
        </w:rPr>
        <w:t>38.7626</w:t>
      </w:r>
      <w:r>
        <w:rPr>
          <w:rFonts w:hint="eastAsia" w:asciiTheme="minorEastAsia" w:hAnsiTheme="minorEastAsia" w:eastAsiaTheme="minorEastAsia"/>
          <w:sz w:val="24"/>
          <w:szCs w:val="24"/>
        </w:rPr>
        <w:t>万股调整为</w:t>
      </w:r>
      <w:r>
        <w:rPr>
          <w:rFonts w:asciiTheme="minorEastAsia" w:hAnsiTheme="minorEastAsia" w:eastAsiaTheme="minorEastAsia"/>
          <w:sz w:val="24"/>
          <w:szCs w:val="24"/>
        </w:rPr>
        <w:t>42.7626</w:t>
      </w:r>
      <w:r>
        <w:rPr>
          <w:rFonts w:hint="eastAsia" w:asciiTheme="minorEastAsia" w:hAnsiTheme="minorEastAsia" w:eastAsiaTheme="minorEastAsia"/>
          <w:sz w:val="24"/>
          <w:szCs w:val="24"/>
        </w:rPr>
        <w:t>万股。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（二）根据公司《激励计划（草案）》及公司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年第二次临时股东大会的授权，公司于</w:t>
      </w:r>
      <w:r>
        <w:rPr>
          <w:rFonts w:asciiTheme="minorEastAsia" w:hAnsiTheme="minorEastAsia" w:eastAsiaTheme="minorEastAsia"/>
          <w:sz w:val="24"/>
          <w:szCs w:val="24"/>
        </w:rPr>
        <w:t>2022</w:t>
      </w:r>
      <w:r>
        <w:rPr>
          <w:rFonts w:hint="eastAsia" w:asciiTheme="minorEastAsia" w:hAnsiTheme="minorEastAsia" w:eastAsiaTheme="minorEastAsia"/>
          <w:sz w:val="24"/>
          <w:szCs w:val="24"/>
        </w:rPr>
        <w:t>年</w:t>
      </w:r>
      <w:r>
        <w:rPr>
          <w:rFonts w:asciiTheme="minorEastAsia" w:hAnsiTheme="minorEastAsia" w:eastAsiaTheme="minorEastAsia"/>
          <w:sz w:val="24"/>
          <w:szCs w:val="24"/>
        </w:rPr>
        <w:t>09</w:t>
      </w:r>
      <w:r>
        <w:rPr>
          <w:rFonts w:hint="eastAsia" w:asciiTheme="minorEastAsia" w:hAnsiTheme="minorEastAsia" w:eastAsiaTheme="minorEastAsia"/>
          <w:sz w:val="24"/>
          <w:szCs w:val="24"/>
        </w:rPr>
        <w:t>月</w:t>
      </w:r>
      <w:r>
        <w:rPr>
          <w:rFonts w:asciiTheme="minorEastAsia" w:hAnsiTheme="minorEastAsia" w:eastAsiaTheme="minorEastAsia"/>
          <w:sz w:val="24"/>
          <w:szCs w:val="24"/>
        </w:rPr>
        <w:t>08</w:t>
      </w:r>
      <w:r>
        <w:rPr>
          <w:rFonts w:hint="eastAsia" w:asciiTheme="minorEastAsia" w:hAnsiTheme="minorEastAsia" w:eastAsiaTheme="minorEastAsia"/>
          <w:sz w:val="24"/>
          <w:szCs w:val="24"/>
        </w:rPr>
        <w:t>日召开四届董事会十四次会议与第四届监事会第十二次会议，审议通过了《关于调整</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年限制性股票激励计划预留部分授予价格的议案》，预留部分授予价格由</w:t>
      </w:r>
      <w:r>
        <w:rPr>
          <w:rFonts w:asciiTheme="minorEastAsia" w:hAnsiTheme="minorEastAsia" w:eastAsiaTheme="minorEastAsia"/>
          <w:sz w:val="24"/>
          <w:szCs w:val="24"/>
        </w:rPr>
        <w:t>5.00</w:t>
      </w:r>
      <w:r>
        <w:rPr>
          <w:rFonts w:hint="eastAsia" w:asciiTheme="minorEastAsia" w:hAnsiTheme="minorEastAsia" w:eastAsiaTheme="minorEastAsia"/>
          <w:sz w:val="24"/>
          <w:szCs w:val="24"/>
        </w:rPr>
        <w:t>元</w:t>
      </w:r>
      <w:r>
        <w:rPr>
          <w:rFonts w:asciiTheme="minorEastAsia" w:hAnsiTheme="minorEastAsia" w:eastAsiaTheme="minorEastAsia"/>
          <w:sz w:val="24"/>
          <w:szCs w:val="24"/>
        </w:rPr>
        <w:t>/</w:t>
      </w:r>
      <w:r>
        <w:rPr>
          <w:rFonts w:hint="eastAsia" w:asciiTheme="minorEastAsia" w:hAnsiTheme="minorEastAsia" w:eastAsiaTheme="minorEastAsia"/>
          <w:sz w:val="24"/>
          <w:szCs w:val="24"/>
        </w:rPr>
        <w:t>股调整为</w:t>
      </w:r>
      <w:r>
        <w:rPr>
          <w:rFonts w:asciiTheme="minorEastAsia" w:hAnsiTheme="minorEastAsia" w:eastAsiaTheme="minorEastAsia"/>
          <w:sz w:val="24"/>
          <w:szCs w:val="24"/>
        </w:rPr>
        <w:t>4.65</w:t>
      </w:r>
      <w:r>
        <w:rPr>
          <w:rFonts w:hint="eastAsia" w:asciiTheme="minorEastAsia" w:hAnsiTheme="minorEastAsia" w:eastAsiaTheme="minorEastAsia"/>
          <w:sz w:val="24"/>
          <w:szCs w:val="24"/>
        </w:rPr>
        <w:t>元</w:t>
      </w:r>
      <w:r>
        <w:rPr>
          <w:rFonts w:asciiTheme="minorEastAsia" w:hAnsiTheme="minorEastAsia" w:eastAsiaTheme="minorEastAsia"/>
          <w:sz w:val="24"/>
          <w:szCs w:val="24"/>
        </w:rPr>
        <w:t>/</w:t>
      </w:r>
      <w:r>
        <w:rPr>
          <w:rFonts w:hint="eastAsia" w:asciiTheme="minorEastAsia" w:hAnsiTheme="minorEastAsia" w:eastAsiaTheme="minorEastAsia"/>
          <w:sz w:val="24"/>
          <w:szCs w:val="24"/>
        </w:rPr>
        <w:t>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（三）根据公司《激励计划（草案）》及公司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年第二次临时股东大会的授权，公司于</w:t>
      </w:r>
      <w:r>
        <w:rPr>
          <w:rFonts w:asciiTheme="minorEastAsia" w:hAnsiTheme="minorEastAsia" w:eastAsiaTheme="minorEastAsia"/>
          <w:sz w:val="24"/>
          <w:szCs w:val="24"/>
        </w:rPr>
        <w:t>2022</w:t>
      </w:r>
      <w:r>
        <w:rPr>
          <w:rFonts w:hint="eastAsia" w:asciiTheme="minorEastAsia" w:hAnsiTheme="minorEastAsia" w:eastAsiaTheme="minorEastAsia"/>
          <w:sz w:val="24"/>
          <w:szCs w:val="24"/>
        </w:rPr>
        <w:t>年1</w:t>
      </w:r>
      <w:r>
        <w:rPr>
          <w:rFonts w:asciiTheme="minorEastAsia" w:hAnsiTheme="minorEastAsia" w:eastAsiaTheme="minorEastAsia"/>
          <w:sz w:val="24"/>
          <w:szCs w:val="24"/>
        </w:rPr>
        <w:t>0</w:t>
      </w:r>
      <w:r>
        <w:rPr>
          <w:rFonts w:hint="eastAsia" w:asciiTheme="minorEastAsia" w:hAnsiTheme="minorEastAsia" w:eastAsiaTheme="minorEastAsia"/>
          <w:sz w:val="24"/>
          <w:szCs w:val="24"/>
        </w:rPr>
        <w:t>月2</w:t>
      </w:r>
      <w:r>
        <w:rPr>
          <w:rFonts w:asciiTheme="minorEastAsia" w:hAnsiTheme="minorEastAsia" w:eastAsiaTheme="minorEastAsia"/>
          <w:sz w:val="24"/>
          <w:szCs w:val="24"/>
        </w:rPr>
        <w:t>7</w:t>
      </w:r>
      <w:r>
        <w:rPr>
          <w:rFonts w:hint="eastAsia" w:asciiTheme="minorEastAsia" w:hAnsiTheme="minorEastAsia" w:eastAsiaTheme="minorEastAsia"/>
          <w:sz w:val="24"/>
          <w:szCs w:val="24"/>
        </w:rPr>
        <w:t>日召开四届董事会十五次会议与第四届监事会第十三次会议，审议通过了《关于调整限制性股票回购价格的议案》，根据激励计划（草案）的相关规定，依据公司实施的2021年度分红派息实施方案，对 2021年限制性股票激励计划授予的限制性股票回购价格进行相应调整，同意限制性股票的回购价格由5.00元/股调整为4.65元/股。</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（四）根据公司《激励计划（草案）》及公司</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年第二次临时股东大会的授权，公司于2023年8月29日召开了第四届董事会第二十五次会议和第四届监事会第十九次会议，审议</w:t>
      </w:r>
      <w:r>
        <w:rPr>
          <w:rFonts w:asciiTheme="minorEastAsia" w:hAnsiTheme="minorEastAsia" w:eastAsiaTheme="minorEastAsia"/>
          <w:sz w:val="24"/>
          <w:szCs w:val="24"/>
        </w:rPr>
        <w:t>通过了</w:t>
      </w:r>
      <w:r>
        <w:rPr>
          <w:rFonts w:hint="eastAsia" w:cs="Times New Roman" w:asciiTheme="minorEastAsia" w:hAnsiTheme="minorEastAsia" w:eastAsiaTheme="minorEastAsia"/>
          <w:sz w:val="24"/>
          <w:szCs w:val="24"/>
        </w:rPr>
        <w:t>《关于调整</w:t>
      </w:r>
      <w:r>
        <w:rPr>
          <w:rFonts w:cs="Times New Roman" w:asciiTheme="minorEastAsia" w:hAnsiTheme="minorEastAsia" w:eastAsiaTheme="minorEastAsia"/>
          <w:sz w:val="24"/>
          <w:szCs w:val="24"/>
        </w:rPr>
        <w:t>2021年限制</w:t>
      </w:r>
      <w:r>
        <w:rPr>
          <w:rFonts w:hint="eastAsia" w:cs="Times New Roman" w:asciiTheme="minorEastAsia" w:hAnsiTheme="minorEastAsia" w:eastAsiaTheme="minorEastAsia"/>
          <w:sz w:val="24"/>
          <w:szCs w:val="24"/>
        </w:rPr>
        <w:t>性股票激励计划回购数量及价格的议案》</w:t>
      </w:r>
      <w:r>
        <w:rPr>
          <w:rFonts w:hint="eastAsia" w:asciiTheme="minorEastAsia" w:hAnsiTheme="minorEastAsia" w:eastAsiaTheme="minorEastAsia"/>
          <w:sz w:val="24"/>
          <w:szCs w:val="24"/>
        </w:rPr>
        <w:t>，根据《公司2021年限制性股票激励计划（草案）》的相关规定，依据公司2022年度权益分派方案，公司对2021年限制性股票激励计划授予的限制性股票回购数量及价格进行调整，同意2021年限制性股票激励计划首次授予限制性股票回购数量由180.25万股调整为234.325万股，预留授予限制性股票的回购数量由42.7626万股调整为55.5914万股；同意2021年限制性股票激励计划限制性股票的回购价格由4.65元/股调整为3.35元/股</w:t>
      </w:r>
      <w:r>
        <w:rPr>
          <w:rFonts w:asciiTheme="minorEastAsia" w:hAnsiTheme="minorEastAsia" w:eastAsiaTheme="minorEastAsia"/>
          <w:sz w:val="24"/>
          <w:szCs w:val="24"/>
        </w:rPr>
        <w:t>。</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除上述内容调整外，本次实施的激励计划其他内容与</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w:t>
      </w:r>
      <w:r>
        <w:rPr>
          <w:rFonts w:asciiTheme="minorEastAsia" w:hAnsiTheme="minorEastAsia" w:eastAsiaTheme="minorEastAsia"/>
          <w:sz w:val="24"/>
          <w:szCs w:val="24"/>
        </w:rPr>
        <w:t>10</w:t>
      </w:r>
      <w:r>
        <w:rPr>
          <w:rFonts w:hint="eastAsia" w:asciiTheme="minorEastAsia" w:hAnsiTheme="minorEastAsia" w:eastAsiaTheme="minorEastAsia"/>
          <w:sz w:val="24"/>
          <w:szCs w:val="24"/>
        </w:rPr>
        <w:t>月</w:t>
      </w:r>
      <w:r>
        <w:rPr>
          <w:rFonts w:asciiTheme="minorEastAsia" w:hAnsiTheme="minorEastAsia" w:eastAsiaTheme="minorEastAsia"/>
          <w:sz w:val="24"/>
          <w:szCs w:val="24"/>
        </w:rPr>
        <w:t>14</w:t>
      </w:r>
      <w:r>
        <w:rPr>
          <w:rFonts w:hint="eastAsia" w:asciiTheme="minorEastAsia" w:hAnsiTheme="minorEastAsia" w:eastAsiaTheme="minorEastAsia"/>
          <w:sz w:val="24"/>
          <w:szCs w:val="24"/>
        </w:rPr>
        <w:t>日召开的</w:t>
      </w:r>
      <w:r>
        <w:rPr>
          <w:rFonts w:asciiTheme="minorEastAsia" w:hAnsiTheme="minorEastAsia" w:eastAsiaTheme="minorEastAsia"/>
          <w:sz w:val="24"/>
          <w:szCs w:val="24"/>
        </w:rPr>
        <w:t>2021</w:t>
      </w:r>
      <w:r>
        <w:rPr>
          <w:rFonts w:hint="eastAsia" w:asciiTheme="minorEastAsia" w:hAnsiTheme="minorEastAsia" w:eastAsiaTheme="minorEastAsia"/>
          <w:sz w:val="24"/>
          <w:szCs w:val="24"/>
        </w:rPr>
        <w:t>年第二次临时股东大会审议通过的激励计划（草案）一致。</w:t>
      </w:r>
    </w:p>
    <w:p>
      <w:pPr>
        <w:numPr>
          <w:ilvl w:val="0"/>
          <w:numId w:val="1"/>
        </w:numPr>
        <w:spacing w:before="120" w:beforeLines="50" w:after="120" w:afterLines="50" w:line="360" w:lineRule="auto"/>
        <w:ind w:firstLine="570"/>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本次解锁的预留限制性股票上市流通安排</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1、本次解锁的限制性股票的上市流通日为202</w:t>
      </w:r>
      <w:r>
        <w:rPr>
          <w:rFonts w:asciiTheme="minorEastAsia" w:hAnsiTheme="minorEastAsia" w:eastAsiaTheme="minorEastAsia"/>
          <w:sz w:val="24"/>
          <w:szCs w:val="24"/>
        </w:rPr>
        <w:t>3</w:t>
      </w:r>
      <w:r>
        <w:rPr>
          <w:rFonts w:hint="eastAsia" w:asciiTheme="minorEastAsia" w:hAnsiTheme="minorEastAsia" w:eastAsiaTheme="minorEastAsia"/>
          <w:sz w:val="24"/>
          <w:szCs w:val="24"/>
        </w:rPr>
        <w:t>年</w:t>
      </w:r>
      <w:r>
        <w:rPr>
          <w:rFonts w:asciiTheme="minorEastAsia" w:hAnsiTheme="minorEastAsia" w:eastAsiaTheme="minorEastAsia"/>
          <w:sz w:val="24"/>
          <w:szCs w:val="24"/>
        </w:rPr>
        <w:t>9</w:t>
      </w:r>
      <w:r>
        <w:rPr>
          <w:rFonts w:hint="eastAsia" w:asciiTheme="minorEastAsia" w:hAnsiTheme="minorEastAsia" w:eastAsiaTheme="minorEastAsia"/>
          <w:sz w:val="24"/>
          <w:szCs w:val="24"/>
        </w:rPr>
        <w:t>月</w:t>
      </w:r>
      <w:r>
        <w:rPr>
          <w:rFonts w:asciiTheme="minorEastAsia" w:hAnsiTheme="minorEastAsia" w:eastAsiaTheme="minorEastAsia"/>
          <w:sz w:val="24"/>
          <w:szCs w:val="24"/>
        </w:rPr>
        <w:t>25</w:t>
      </w:r>
      <w:r>
        <w:rPr>
          <w:rFonts w:hint="eastAsia" w:asciiTheme="minorEastAsia" w:hAnsiTheme="minorEastAsia" w:eastAsiaTheme="minorEastAsia"/>
          <w:sz w:val="24"/>
          <w:szCs w:val="24"/>
        </w:rPr>
        <w:t>日。</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2、本次解锁的限制性股票数量为212</w:t>
      </w:r>
      <w:r>
        <w:rPr>
          <w:rFonts w:hint="default" w:asciiTheme="minorEastAsia" w:hAnsiTheme="minorEastAsia" w:eastAsiaTheme="minorEastAsia"/>
          <w:sz w:val="24"/>
          <w:szCs w:val="24"/>
          <w:lang w:val="en-US"/>
        </w:rPr>
        <w:t>,</w:t>
      </w:r>
      <w:r>
        <w:rPr>
          <w:rFonts w:hint="eastAsia" w:asciiTheme="minorEastAsia" w:hAnsiTheme="minorEastAsia" w:eastAsiaTheme="minorEastAsia"/>
          <w:sz w:val="24"/>
          <w:szCs w:val="24"/>
        </w:rPr>
        <w:t>957股，占公司目前总股本的</w:t>
      </w:r>
      <w:r>
        <w:rPr>
          <w:rFonts w:asciiTheme="minorEastAsia" w:hAnsiTheme="minorEastAsia" w:eastAsiaTheme="minorEastAsia"/>
          <w:sz w:val="24"/>
          <w:szCs w:val="24"/>
        </w:rPr>
        <w:t>0.097</w:t>
      </w:r>
      <w:r>
        <w:rPr>
          <w:rFonts w:hint="eastAsia" w:asciiTheme="minorEastAsia" w:hAnsiTheme="minorEastAsia" w:eastAsiaTheme="minorEastAsia"/>
          <w:sz w:val="24"/>
          <w:szCs w:val="24"/>
        </w:rPr>
        <w:t>%。</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3、本次申请解锁的激励对象人数为</w:t>
      </w:r>
      <w:r>
        <w:rPr>
          <w:rFonts w:asciiTheme="minorEastAsia" w:hAnsiTheme="minorEastAsia" w:eastAsiaTheme="minorEastAsia"/>
          <w:sz w:val="24"/>
          <w:szCs w:val="24"/>
        </w:rPr>
        <w:t>24</w:t>
      </w:r>
      <w:r>
        <w:rPr>
          <w:rFonts w:hint="eastAsia" w:asciiTheme="minorEastAsia" w:hAnsiTheme="minorEastAsia" w:eastAsiaTheme="minorEastAsia"/>
          <w:sz w:val="24"/>
          <w:szCs w:val="24"/>
        </w:rPr>
        <w:t>名。</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4、本次可解除限售的激励对象及股票数量如下：</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4"/>
        <w:gridCol w:w="886"/>
        <w:gridCol w:w="1996"/>
        <w:gridCol w:w="1425"/>
        <w:gridCol w:w="1409"/>
        <w:gridCol w:w="1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exact"/>
          <w:jc w:val="center"/>
        </w:trPr>
        <w:tc>
          <w:tcPr>
            <w:tcW w:w="854" w:type="dxa"/>
            <w:shd w:val="clear" w:color="auto" w:fill="DDDDDD"/>
            <w:vAlign w:val="center"/>
          </w:tcPr>
          <w:p>
            <w:pPr>
              <w:spacing w:after="0"/>
              <w:jc w:val="center"/>
              <w:textAlignment w:val="center"/>
              <w:rPr>
                <w:rFonts w:ascii="宋体" w:hAnsi="宋体" w:eastAsia="宋体" w:cs="宋体"/>
                <w:b/>
                <w:bCs/>
                <w:color w:val="000000"/>
              </w:rPr>
            </w:pPr>
            <w:r>
              <w:rPr>
                <w:rFonts w:hint="eastAsia" w:ascii="宋体" w:hAnsi="宋体" w:eastAsia="宋体" w:cs="宋体"/>
                <w:b/>
                <w:bCs/>
                <w:color w:val="000000"/>
              </w:rPr>
              <w:t>序号</w:t>
            </w:r>
          </w:p>
        </w:tc>
        <w:tc>
          <w:tcPr>
            <w:tcW w:w="886" w:type="dxa"/>
            <w:shd w:val="clear" w:color="auto" w:fill="DDDDDD"/>
            <w:vAlign w:val="center"/>
          </w:tcPr>
          <w:p>
            <w:pPr>
              <w:spacing w:after="0"/>
              <w:jc w:val="center"/>
              <w:textAlignment w:val="center"/>
              <w:rPr>
                <w:rFonts w:ascii="宋体" w:hAnsi="宋体" w:eastAsia="宋体" w:cs="宋体"/>
                <w:b/>
                <w:szCs w:val="21"/>
                <w:lang w:eastAsia="en-US"/>
              </w:rPr>
            </w:pPr>
            <w:r>
              <w:rPr>
                <w:rFonts w:hint="eastAsia" w:ascii="宋体" w:hAnsi="宋体" w:eastAsia="宋体" w:cs="宋体"/>
                <w:b/>
                <w:bCs/>
                <w:color w:val="000000"/>
              </w:rPr>
              <w:t>姓 名</w:t>
            </w:r>
          </w:p>
        </w:tc>
        <w:tc>
          <w:tcPr>
            <w:tcW w:w="1996" w:type="dxa"/>
            <w:shd w:val="clear" w:color="auto" w:fill="DDDDDD"/>
            <w:vAlign w:val="center"/>
          </w:tcPr>
          <w:p>
            <w:pPr>
              <w:spacing w:after="0"/>
              <w:jc w:val="center"/>
              <w:textAlignment w:val="center"/>
              <w:rPr>
                <w:rFonts w:ascii="宋体" w:hAnsi="宋体" w:eastAsia="宋体" w:cs="宋体"/>
                <w:b/>
                <w:szCs w:val="21"/>
                <w:lang w:eastAsia="en-US"/>
              </w:rPr>
            </w:pPr>
            <w:r>
              <w:rPr>
                <w:rFonts w:hint="eastAsia" w:ascii="宋体" w:hAnsi="宋体" w:eastAsia="宋体" w:cs="宋体"/>
                <w:b/>
                <w:bCs/>
                <w:color w:val="000000"/>
              </w:rPr>
              <w:t>职 务</w:t>
            </w:r>
          </w:p>
        </w:tc>
        <w:tc>
          <w:tcPr>
            <w:tcW w:w="1425" w:type="dxa"/>
            <w:shd w:val="clear" w:color="auto" w:fill="DDDDDD"/>
            <w:vAlign w:val="center"/>
          </w:tcPr>
          <w:p>
            <w:pPr>
              <w:spacing w:after="0"/>
              <w:jc w:val="center"/>
              <w:textAlignment w:val="center"/>
              <w:rPr>
                <w:rFonts w:ascii="宋体" w:hAnsi="宋体" w:eastAsia="宋体" w:cs="宋体"/>
                <w:b/>
                <w:szCs w:val="21"/>
              </w:rPr>
            </w:pPr>
            <w:r>
              <w:rPr>
                <w:rFonts w:hint="eastAsia" w:ascii="宋体" w:hAnsi="宋体" w:eastAsia="宋体" w:cs="宋体"/>
                <w:b/>
                <w:bCs/>
                <w:color w:val="000000"/>
              </w:rPr>
              <w:t>预留部分获授限制性股票数量（万股）</w:t>
            </w:r>
          </w:p>
        </w:tc>
        <w:tc>
          <w:tcPr>
            <w:tcW w:w="1409" w:type="dxa"/>
            <w:shd w:val="clear" w:color="auto" w:fill="DDDDDD"/>
            <w:vAlign w:val="center"/>
          </w:tcPr>
          <w:p>
            <w:pPr>
              <w:spacing w:after="0"/>
              <w:jc w:val="center"/>
              <w:textAlignment w:val="center"/>
              <w:rPr>
                <w:rFonts w:ascii="宋体" w:hAnsi="宋体" w:eastAsia="宋体" w:cs="宋体"/>
                <w:b/>
                <w:szCs w:val="21"/>
              </w:rPr>
            </w:pPr>
            <w:r>
              <w:rPr>
                <w:rFonts w:hint="eastAsia" w:ascii="宋体" w:hAnsi="宋体" w:eastAsia="宋体" w:cs="宋体"/>
                <w:b/>
                <w:bCs/>
                <w:color w:val="000000"/>
              </w:rPr>
              <w:t>本期可解锁数量（万股）</w:t>
            </w:r>
          </w:p>
        </w:tc>
        <w:tc>
          <w:tcPr>
            <w:tcW w:w="1746" w:type="dxa"/>
            <w:shd w:val="clear" w:color="auto" w:fill="DDDDDD"/>
            <w:vAlign w:val="center"/>
          </w:tcPr>
          <w:p>
            <w:pPr>
              <w:spacing w:after="0"/>
              <w:jc w:val="center"/>
              <w:textAlignment w:val="center"/>
              <w:rPr>
                <w:rFonts w:ascii="宋体" w:hAnsi="宋体" w:eastAsia="宋体" w:cs="宋体"/>
                <w:b/>
                <w:szCs w:val="21"/>
              </w:rPr>
            </w:pPr>
            <w:r>
              <w:rPr>
                <w:rFonts w:hint="eastAsia" w:ascii="宋体" w:hAnsi="宋体" w:eastAsia="宋体" w:cs="宋体"/>
                <w:b/>
                <w:bCs/>
                <w:color w:val="000000"/>
              </w:rPr>
              <w:t>剩余未解锁数量（万股）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exact"/>
          <w:jc w:val="center"/>
        </w:trPr>
        <w:tc>
          <w:tcPr>
            <w:tcW w:w="854" w:type="dxa"/>
            <w:vAlign w:val="center"/>
          </w:tcPr>
          <w:p>
            <w:pPr>
              <w:spacing w:after="0"/>
              <w:jc w:val="center"/>
              <w:textAlignment w:val="center"/>
              <w:rPr>
                <w:rFonts w:ascii="宋体" w:hAnsi="宋体" w:eastAsia="宋体" w:cs="宋体"/>
                <w:color w:val="000000"/>
              </w:rPr>
            </w:pPr>
            <w:r>
              <w:rPr>
                <w:rFonts w:hint="eastAsia" w:ascii="宋体" w:hAnsi="宋体" w:eastAsia="宋体" w:cs="宋体"/>
                <w:color w:val="000000"/>
              </w:rPr>
              <w:t>1</w:t>
            </w:r>
          </w:p>
        </w:tc>
        <w:tc>
          <w:tcPr>
            <w:tcW w:w="886" w:type="dxa"/>
            <w:vAlign w:val="center"/>
          </w:tcPr>
          <w:p>
            <w:pPr>
              <w:spacing w:after="0"/>
              <w:jc w:val="center"/>
              <w:textAlignment w:val="center"/>
              <w:rPr>
                <w:rFonts w:ascii="宋体" w:hAnsi="宋体" w:eastAsia="宋体" w:cs="宋体"/>
                <w:szCs w:val="21"/>
                <w:lang w:eastAsia="en-US"/>
              </w:rPr>
            </w:pPr>
            <w:r>
              <w:rPr>
                <w:rFonts w:hint="eastAsia" w:ascii="宋体" w:hAnsi="宋体" w:eastAsia="宋体" w:cs="宋体"/>
                <w:color w:val="000000"/>
              </w:rPr>
              <w:t>迟娜娜</w:t>
            </w:r>
          </w:p>
        </w:tc>
        <w:tc>
          <w:tcPr>
            <w:tcW w:w="1996" w:type="dxa"/>
            <w:vAlign w:val="center"/>
          </w:tcPr>
          <w:p>
            <w:pPr>
              <w:spacing w:after="0"/>
              <w:jc w:val="center"/>
              <w:textAlignment w:val="center"/>
              <w:rPr>
                <w:rFonts w:ascii="宋体" w:hAnsi="宋体" w:eastAsia="宋体" w:cs="宋体"/>
                <w:szCs w:val="21"/>
              </w:rPr>
            </w:pPr>
            <w:r>
              <w:rPr>
                <w:rFonts w:hint="eastAsia" w:ascii="宋体" w:hAnsi="宋体" w:eastAsia="宋体" w:cs="宋体"/>
                <w:color w:val="000000"/>
              </w:rPr>
              <w:t>董事、财务总监</w:t>
            </w:r>
          </w:p>
        </w:tc>
        <w:tc>
          <w:tcPr>
            <w:tcW w:w="1425" w:type="dxa"/>
            <w:vAlign w:val="center"/>
          </w:tcPr>
          <w:p>
            <w:pPr>
              <w:spacing w:after="0"/>
              <w:ind w:right="95" w:rightChars="43"/>
              <w:jc w:val="right"/>
              <w:textAlignment w:val="center"/>
              <w:rPr>
                <w:rFonts w:ascii="宋体" w:hAnsi="宋体" w:eastAsia="宋体" w:cs="宋体"/>
                <w:szCs w:val="21"/>
                <w:lang w:eastAsia="en-US"/>
              </w:rPr>
            </w:pPr>
            <w:r>
              <w:rPr>
                <w:rFonts w:ascii="宋体" w:hAnsi="宋体" w:eastAsia="宋体" w:cs="宋体"/>
                <w:color w:val="000000"/>
              </w:rPr>
              <w:t>2.60</w:t>
            </w:r>
          </w:p>
        </w:tc>
        <w:tc>
          <w:tcPr>
            <w:tcW w:w="1409" w:type="dxa"/>
            <w:vAlign w:val="center"/>
          </w:tcPr>
          <w:p>
            <w:pPr>
              <w:spacing w:after="0"/>
              <w:ind w:right="95" w:rightChars="43"/>
              <w:jc w:val="right"/>
              <w:textAlignment w:val="center"/>
              <w:rPr>
                <w:rFonts w:ascii="宋体" w:hAnsi="宋体" w:eastAsia="宋体" w:cs="宋体"/>
                <w:szCs w:val="21"/>
              </w:rPr>
            </w:pPr>
            <w:r>
              <w:rPr>
                <w:rFonts w:ascii="宋体" w:hAnsi="宋体" w:eastAsia="宋体" w:cs="宋体"/>
                <w:color w:val="000000"/>
              </w:rPr>
              <w:t>1.30</w:t>
            </w:r>
          </w:p>
        </w:tc>
        <w:tc>
          <w:tcPr>
            <w:tcW w:w="1746" w:type="dxa"/>
            <w:vAlign w:val="center"/>
          </w:tcPr>
          <w:p>
            <w:pPr>
              <w:spacing w:after="0"/>
              <w:ind w:right="95" w:rightChars="43"/>
              <w:jc w:val="right"/>
              <w:textAlignment w:val="center"/>
              <w:rPr>
                <w:rFonts w:ascii="宋体" w:hAnsi="宋体" w:eastAsia="宋体" w:cs="宋体"/>
                <w:szCs w:val="21"/>
              </w:rPr>
            </w:pPr>
            <w:r>
              <w:rPr>
                <w:rFonts w:ascii="宋体" w:hAnsi="宋体" w:eastAsia="宋体" w:cs="宋体"/>
                <w:color w:val="000000"/>
              </w:rPr>
              <w:t>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jc w:val="center"/>
        </w:trPr>
        <w:tc>
          <w:tcPr>
            <w:tcW w:w="854" w:type="dxa"/>
            <w:vAlign w:val="center"/>
          </w:tcPr>
          <w:p>
            <w:pPr>
              <w:spacing w:after="0"/>
              <w:jc w:val="center"/>
              <w:textAlignment w:val="center"/>
              <w:rPr>
                <w:rFonts w:ascii="宋体" w:hAnsi="宋体" w:eastAsia="宋体" w:cs="宋体"/>
                <w:color w:val="000000"/>
              </w:rPr>
            </w:pPr>
            <w:r>
              <w:rPr>
                <w:rFonts w:hint="eastAsia" w:ascii="宋体" w:hAnsi="宋体" w:eastAsia="宋体" w:cs="宋体"/>
                <w:color w:val="000000"/>
              </w:rPr>
              <w:t>2</w:t>
            </w:r>
          </w:p>
        </w:tc>
        <w:tc>
          <w:tcPr>
            <w:tcW w:w="2882" w:type="dxa"/>
            <w:gridSpan w:val="2"/>
            <w:vAlign w:val="center"/>
          </w:tcPr>
          <w:p>
            <w:pPr>
              <w:spacing w:after="0"/>
              <w:jc w:val="center"/>
              <w:textAlignment w:val="center"/>
              <w:rPr>
                <w:rFonts w:ascii="宋体" w:hAnsi="宋体" w:eastAsia="宋体" w:cs="宋体"/>
                <w:szCs w:val="21"/>
                <w:lang w:eastAsia="en-US"/>
              </w:rPr>
            </w:pPr>
            <w:r>
              <w:rPr>
                <w:rFonts w:hint="eastAsia" w:ascii="宋体" w:hAnsi="宋体" w:eastAsia="宋体" w:cs="宋体"/>
                <w:color w:val="000000"/>
              </w:rPr>
              <w:t>其他核心人员（2</w:t>
            </w:r>
            <w:r>
              <w:rPr>
                <w:rFonts w:ascii="宋体" w:hAnsi="宋体" w:eastAsia="宋体" w:cs="宋体"/>
                <w:color w:val="000000"/>
              </w:rPr>
              <w:t>3</w:t>
            </w:r>
            <w:r>
              <w:rPr>
                <w:rFonts w:hint="eastAsia" w:ascii="宋体" w:hAnsi="宋体" w:eastAsia="宋体" w:cs="宋体"/>
                <w:color w:val="000000"/>
              </w:rPr>
              <w:t>人）</w:t>
            </w:r>
          </w:p>
        </w:tc>
        <w:tc>
          <w:tcPr>
            <w:tcW w:w="1425" w:type="dxa"/>
            <w:vAlign w:val="center"/>
          </w:tcPr>
          <w:p>
            <w:pPr>
              <w:spacing w:after="0"/>
              <w:ind w:right="95" w:rightChars="43"/>
              <w:jc w:val="right"/>
              <w:textAlignment w:val="center"/>
              <w:rPr>
                <w:rFonts w:ascii="宋体" w:hAnsi="宋体" w:eastAsia="宋体" w:cs="宋体"/>
                <w:szCs w:val="21"/>
                <w:lang w:eastAsia="en-US"/>
              </w:rPr>
            </w:pPr>
            <w:r>
              <w:rPr>
                <w:rFonts w:ascii="宋体" w:hAnsi="宋体" w:eastAsia="宋体" w:cs="宋体"/>
                <w:color w:val="000000"/>
              </w:rPr>
              <w:t>39.9914</w:t>
            </w:r>
          </w:p>
        </w:tc>
        <w:tc>
          <w:tcPr>
            <w:tcW w:w="1409" w:type="dxa"/>
            <w:vAlign w:val="center"/>
          </w:tcPr>
          <w:p>
            <w:pPr>
              <w:spacing w:after="0"/>
              <w:ind w:right="95" w:rightChars="43"/>
              <w:jc w:val="right"/>
              <w:textAlignment w:val="center"/>
              <w:rPr>
                <w:rFonts w:ascii="宋体" w:hAnsi="宋体" w:eastAsia="宋体" w:cs="宋体"/>
                <w:szCs w:val="21"/>
              </w:rPr>
            </w:pPr>
            <w:r>
              <w:rPr>
                <w:rFonts w:ascii="宋体" w:hAnsi="宋体" w:eastAsia="宋体" w:cs="宋体"/>
                <w:color w:val="000000"/>
              </w:rPr>
              <w:t>19.9957</w:t>
            </w:r>
          </w:p>
        </w:tc>
        <w:tc>
          <w:tcPr>
            <w:tcW w:w="1746" w:type="dxa"/>
            <w:vAlign w:val="center"/>
          </w:tcPr>
          <w:p>
            <w:pPr>
              <w:spacing w:after="0"/>
              <w:ind w:right="95" w:rightChars="43"/>
              <w:jc w:val="right"/>
              <w:textAlignment w:val="center"/>
              <w:rPr>
                <w:rFonts w:ascii="宋体" w:hAnsi="宋体" w:eastAsia="宋体" w:cs="宋体"/>
                <w:szCs w:val="21"/>
              </w:rPr>
            </w:pPr>
            <w:r>
              <w:rPr>
                <w:rFonts w:ascii="宋体" w:hAnsi="宋体" w:eastAsia="宋体" w:cs="宋体"/>
                <w:color w:val="000000"/>
              </w:rPr>
              <w:t>19.9957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jc w:val="center"/>
        </w:trPr>
        <w:tc>
          <w:tcPr>
            <w:tcW w:w="3736" w:type="dxa"/>
            <w:gridSpan w:val="3"/>
          </w:tcPr>
          <w:p>
            <w:pPr>
              <w:spacing w:after="0"/>
              <w:jc w:val="center"/>
              <w:textAlignment w:val="center"/>
              <w:rPr>
                <w:rFonts w:ascii="宋体" w:hAnsi="宋体" w:eastAsia="宋体" w:cs="宋体"/>
                <w:b/>
                <w:szCs w:val="21"/>
                <w:lang w:eastAsia="en-US"/>
              </w:rPr>
            </w:pPr>
            <w:r>
              <w:rPr>
                <w:rFonts w:hint="eastAsia" w:ascii="宋体" w:hAnsi="宋体" w:eastAsia="宋体" w:cs="宋体"/>
                <w:b/>
                <w:bCs/>
                <w:color w:val="000000"/>
              </w:rPr>
              <w:t>合  计</w:t>
            </w:r>
          </w:p>
        </w:tc>
        <w:tc>
          <w:tcPr>
            <w:tcW w:w="1425" w:type="dxa"/>
            <w:vAlign w:val="center"/>
          </w:tcPr>
          <w:p>
            <w:pPr>
              <w:spacing w:after="0"/>
              <w:ind w:right="95" w:rightChars="43"/>
              <w:jc w:val="right"/>
              <w:textAlignment w:val="center"/>
              <w:rPr>
                <w:rFonts w:ascii="宋体" w:hAnsi="宋体" w:eastAsia="宋体" w:cs="宋体"/>
                <w:b/>
                <w:szCs w:val="21"/>
                <w:lang w:eastAsia="en-US"/>
              </w:rPr>
            </w:pPr>
            <w:r>
              <w:rPr>
                <w:rFonts w:ascii="宋体" w:hAnsi="宋体" w:eastAsia="宋体" w:cs="宋体"/>
                <w:b/>
                <w:bCs/>
                <w:color w:val="000000"/>
              </w:rPr>
              <w:t>42.5914</w:t>
            </w:r>
          </w:p>
        </w:tc>
        <w:tc>
          <w:tcPr>
            <w:tcW w:w="1409" w:type="dxa"/>
            <w:vAlign w:val="center"/>
          </w:tcPr>
          <w:p>
            <w:pPr>
              <w:spacing w:after="0"/>
              <w:ind w:right="95" w:rightChars="43"/>
              <w:jc w:val="right"/>
              <w:textAlignment w:val="center"/>
              <w:rPr>
                <w:rFonts w:ascii="宋体" w:hAnsi="宋体" w:eastAsia="宋体" w:cs="宋体"/>
                <w:b/>
                <w:bCs/>
                <w:szCs w:val="21"/>
              </w:rPr>
            </w:pPr>
            <w:r>
              <w:rPr>
                <w:rFonts w:ascii="宋体" w:hAnsi="宋体" w:eastAsia="宋体" w:cs="宋体"/>
                <w:b/>
                <w:bCs/>
                <w:color w:val="000000"/>
              </w:rPr>
              <w:t>21.2957</w:t>
            </w:r>
          </w:p>
        </w:tc>
        <w:tc>
          <w:tcPr>
            <w:tcW w:w="1746" w:type="dxa"/>
            <w:vAlign w:val="center"/>
          </w:tcPr>
          <w:p>
            <w:pPr>
              <w:spacing w:after="0"/>
              <w:ind w:right="95" w:rightChars="43"/>
              <w:jc w:val="right"/>
              <w:textAlignment w:val="center"/>
              <w:rPr>
                <w:rFonts w:ascii="宋体" w:hAnsi="宋体" w:eastAsia="宋体" w:cs="宋体"/>
                <w:b/>
                <w:bCs/>
                <w:szCs w:val="21"/>
              </w:rPr>
            </w:pPr>
            <w:r>
              <w:rPr>
                <w:rFonts w:ascii="宋体" w:hAnsi="宋体" w:eastAsia="宋体" w:cs="宋体"/>
                <w:b/>
                <w:bCs/>
                <w:color w:val="000000"/>
              </w:rPr>
              <w:t>21.2957</w:t>
            </w:r>
          </w:p>
        </w:tc>
      </w:tr>
    </w:tbl>
    <w:p>
      <w:pPr>
        <w:pStyle w:val="19"/>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注：1、公司高级管理人员所持本次限制性股票激励计划预留部分限售股份解锁后，其买卖股份应遵守《深圳证券交易所上市公司自律监管指引第10号——股份变动管理》《深圳证券交易所上市公司自律监管指引第1号——主板上市公司规范运作》以及《深圳证券交易所股票上市规则》等相关法律法规的规定；2、鉴于激励对象中杨杰、赵述峰、金超因个人原因已在本激励计划预留部分第一个限售期内离职，失去本次股权激励资格，公司应对其持有本激励计划预留部分的尚未解除限售的限制性股票合计13.00万股予以回购注销；其余24名激励对象本期限售股份解锁比例为100%。</w:t>
      </w:r>
    </w:p>
    <w:p>
      <w:pPr>
        <w:spacing w:before="120" w:beforeLines="50" w:after="120" w:afterLines="50" w:line="360" w:lineRule="auto"/>
        <w:ind w:firstLine="570"/>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五</w:t>
      </w:r>
      <w:r>
        <w:rPr>
          <w:rFonts w:asciiTheme="minorEastAsia" w:hAnsiTheme="minorEastAsia" w:eastAsiaTheme="minorEastAsia"/>
          <w:b/>
          <w:color w:val="000000" w:themeColor="text1"/>
          <w:sz w:val="24"/>
        </w:rPr>
        <w:t>、本次解除限售股份后的股本结构变动表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1540"/>
        <w:gridCol w:w="1098"/>
        <w:gridCol w:w="1157"/>
        <w:gridCol w:w="1691"/>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929" w:type="dxa"/>
            <w:vMerge w:val="restart"/>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股份性质</w:t>
            </w:r>
          </w:p>
        </w:tc>
        <w:tc>
          <w:tcPr>
            <w:tcW w:w="2638" w:type="dxa"/>
            <w:gridSpan w:val="2"/>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本次变动前</w:t>
            </w:r>
          </w:p>
        </w:tc>
        <w:tc>
          <w:tcPr>
            <w:tcW w:w="1157" w:type="dxa"/>
            <w:vMerge w:val="restart"/>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变动数（+、-）</w:t>
            </w:r>
          </w:p>
        </w:tc>
        <w:tc>
          <w:tcPr>
            <w:tcW w:w="2798" w:type="dxa"/>
            <w:gridSpan w:val="2"/>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929" w:type="dxa"/>
            <w:vMerge w:val="continue"/>
            <w:shd w:val="clear" w:color="auto" w:fill="D8D8D8" w:themeFill="background1" w:themeFillShade="D9"/>
            <w:vAlign w:val="bottom"/>
          </w:tcPr>
          <w:p>
            <w:pPr>
              <w:jc w:val="center"/>
              <w:rPr>
                <w:rFonts w:ascii="宋体" w:hAnsi="宋体"/>
                <w:b/>
                <w:lang w:bidi="en-US"/>
              </w:rPr>
            </w:pPr>
          </w:p>
        </w:tc>
        <w:tc>
          <w:tcPr>
            <w:tcW w:w="1540" w:type="dxa"/>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股份数量（股）</w:t>
            </w:r>
          </w:p>
        </w:tc>
        <w:tc>
          <w:tcPr>
            <w:tcW w:w="1098" w:type="dxa"/>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比例</w:t>
            </w:r>
          </w:p>
        </w:tc>
        <w:tc>
          <w:tcPr>
            <w:tcW w:w="1157" w:type="dxa"/>
            <w:vMerge w:val="continue"/>
            <w:shd w:val="clear" w:color="auto" w:fill="D8D8D8" w:themeFill="background1" w:themeFillShade="D9"/>
            <w:vAlign w:val="bottom"/>
          </w:tcPr>
          <w:p>
            <w:pPr>
              <w:jc w:val="center"/>
              <w:rPr>
                <w:rFonts w:ascii="宋体" w:hAnsi="宋体"/>
                <w:b/>
                <w:lang w:bidi="en-US"/>
              </w:rPr>
            </w:pPr>
          </w:p>
        </w:tc>
        <w:tc>
          <w:tcPr>
            <w:tcW w:w="1691" w:type="dxa"/>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股份数量（股）</w:t>
            </w:r>
          </w:p>
        </w:tc>
        <w:tc>
          <w:tcPr>
            <w:tcW w:w="1107" w:type="dxa"/>
            <w:shd w:val="clear" w:color="auto" w:fill="D8D8D8" w:themeFill="background1" w:themeFillShade="D9"/>
            <w:vAlign w:val="bottom"/>
          </w:tcPr>
          <w:p>
            <w:pPr>
              <w:jc w:val="center"/>
              <w:textAlignment w:val="bottom"/>
              <w:rPr>
                <w:rFonts w:ascii="宋体" w:hAnsi="宋体"/>
                <w:b/>
                <w:lang w:bidi="en-US"/>
              </w:rPr>
            </w:pPr>
            <w:r>
              <w:rPr>
                <w:rFonts w:hint="eastAsia" w:ascii="宋体" w:hAnsi="宋体" w:eastAsia="宋体" w:cs="宋体"/>
                <w:b/>
                <w:bCs/>
                <w:color w:val="000000"/>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29" w:type="dxa"/>
            <w:vAlign w:val="center"/>
          </w:tcPr>
          <w:p>
            <w:pPr>
              <w:keepNext w:val="0"/>
              <w:keepLines w:val="0"/>
              <w:widowControl/>
              <w:suppressLineNumbers w:val="0"/>
              <w:jc w:val="both"/>
              <w:textAlignment w:val="center"/>
              <w:rPr>
                <w:rFonts w:ascii="宋体" w:hAnsi="宋体"/>
                <w:lang w:bidi="en-US"/>
              </w:rPr>
            </w:pPr>
            <w:r>
              <w:rPr>
                <w:rFonts w:hint="eastAsia" w:ascii="宋体" w:hAnsi="宋体" w:eastAsia="宋体" w:cs="宋体"/>
                <w:i w:val="0"/>
                <w:iCs w:val="0"/>
                <w:color w:val="000000"/>
                <w:kern w:val="0"/>
                <w:sz w:val="21"/>
                <w:szCs w:val="21"/>
                <w:u w:val="none"/>
                <w:lang w:val="en-US" w:eastAsia="zh-CN" w:bidi="ar"/>
              </w:rPr>
              <w:t>一、有限售条件流通股</w:t>
            </w:r>
          </w:p>
        </w:tc>
        <w:tc>
          <w:tcPr>
            <w:tcW w:w="15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101,080,934</w:t>
            </w:r>
          </w:p>
        </w:tc>
        <w:tc>
          <w:tcPr>
            <w:tcW w:w="10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46.04%</w:t>
            </w:r>
          </w:p>
        </w:tc>
        <w:tc>
          <w:tcPr>
            <w:tcW w:w="11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-201,257</w:t>
            </w:r>
          </w:p>
        </w:tc>
        <w:tc>
          <w:tcPr>
            <w:tcW w:w="169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100,879,677</w:t>
            </w:r>
          </w:p>
        </w:tc>
        <w:tc>
          <w:tcPr>
            <w:tcW w:w="1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929" w:type="dxa"/>
            <w:vAlign w:val="center"/>
          </w:tcPr>
          <w:p>
            <w:pPr>
              <w:keepNext w:val="0"/>
              <w:keepLines w:val="0"/>
              <w:widowControl/>
              <w:suppressLineNumbers w:val="0"/>
              <w:jc w:val="both"/>
              <w:textAlignment w:val="center"/>
              <w:rPr>
                <w:rFonts w:ascii="宋体" w:hAnsi="宋体"/>
                <w:lang w:bidi="en-US"/>
              </w:rPr>
            </w:pPr>
            <w:r>
              <w:rPr>
                <w:rFonts w:hint="eastAsia" w:ascii="宋体" w:hAnsi="宋体" w:eastAsia="宋体" w:cs="宋体"/>
                <w:i w:val="0"/>
                <w:iCs w:val="0"/>
                <w:color w:val="000000"/>
                <w:kern w:val="0"/>
                <w:sz w:val="21"/>
                <w:szCs w:val="21"/>
                <w:u w:val="none"/>
                <w:lang w:val="en-US" w:eastAsia="zh-CN" w:bidi="ar"/>
              </w:rPr>
              <w:t>1、股权激励限售股</w:t>
            </w:r>
          </w:p>
        </w:tc>
        <w:tc>
          <w:tcPr>
            <w:tcW w:w="15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2,899,164</w:t>
            </w:r>
          </w:p>
        </w:tc>
        <w:tc>
          <w:tcPr>
            <w:tcW w:w="10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2.87%</w:t>
            </w:r>
          </w:p>
        </w:tc>
        <w:tc>
          <w:tcPr>
            <w:tcW w:w="11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-212,957</w:t>
            </w:r>
          </w:p>
        </w:tc>
        <w:tc>
          <w:tcPr>
            <w:tcW w:w="169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2,686,207</w:t>
            </w:r>
          </w:p>
        </w:tc>
        <w:tc>
          <w:tcPr>
            <w:tcW w:w="1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keepNext w:val="0"/>
              <w:keepLines w:val="0"/>
              <w:widowControl/>
              <w:suppressLineNumbers w:val="0"/>
              <w:jc w:val="both"/>
              <w:textAlignment w:val="center"/>
              <w:rPr>
                <w:rFonts w:ascii="宋体" w:hAnsi="宋体"/>
                <w:lang w:bidi="en-US"/>
              </w:rPr>
            </w:pPr>
            <w:r>
              <w:rPr>
                <w:rFonts w:hint="eastAsia" w:ascii="宋体" w:hAnsi="宋体" w:eastAsia="宋体" w:cs="宋体"/>
                <w:i w:val="0"/>
                <w:iCs w:val="0"/>
                <w:color w:val="000000"/>
                <w:kern w:val="0"/>
                <w:sz w:val="21"/>
                <w:szCs w:val="21"/>
                <w:u w:val="none"/>
                <w:lang w:val="en-US" w:eastAsia="zh-CN" w:bidi="ar"/>
              </w:rPr>
              <w:t>2、高管锁定股</w:t>
            </w:r>
          </w:p>
        </w:tc>
        <w:tc>
          <w:tcPr>
            <w:tcW w:w="15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98,181,770</w:t>
            </w:r>
          </w:p>
        </w:tc>
        <w:tc>
          <w:tcPr>
            <w:tcW w:w="10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97.13%</w:t>
            </w:r>
          </w:p>
        </w:tc>
        <w:tc>
          <w:tcPr>
            <w:tcW w:w="11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11,700</w:t>
            </w:r>
          </w:p>
        </w:tc>
        <w:tc>
          <w:tcPr>
            <w:tcW w:w="169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98,193,470</w:t>
            </w:r>
          </w:p>
        </w:tc>
        <w:tc>
          <w:tcPr>
            <w:tcW w:w="1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keepNext w:val="0"/>
              <w:keepLines w:val="0"/>
              <w:widowControl/>
              <w:suppressLineNumbers w:val="0"/>
              <w:jc w:val="both"/>
              <w:textAlignment w:val="center"/>
              <w:rPr>
                <w:rFonts w:ascii="宋体" w:hAnsi="宋体"/>
                <w:lang w:bidi="en-US"/>
              </w:rPr>
            </w:pPr>
            <w:r>
              <w:rPr>
                <w:rFonts w:hint="eastAsia" w:ascii="宋体" w:hAnsi="宋体" w:eastAsia="宋体" w:cs="宋体"/>
                <w:i w:val="0"/>
                <w:iCs w:val="0"/>
                <w:color w:val="000000"/>
                <w:kern w:val="0"/>
                <w:sz w:val="21"/>
                <w:szCs w:val="21"/>
                <w:u w:val="none"/>
                <w:lang w:val="en-US" w:eastAsia="zh-CN" w:bidi="ar"/>
              </w:rPr>
              <w:t>二、无限售条件流通股</w:t>
            </w:r>
          </w:p>
        </w:tc>
        <w:tc>
          <w:tcPr>
            <w:tcW w:w="15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118,459,358</w:t>
            </w:r>
          </w:p>
        </w:tc>
        <w:tc>
          <w:tcPr>
            <w:tcW w:w="10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53.96%</w:t>
            </w:r>
          </w:p>
        </w:tc>
        <w:tc>
          <w:tcPr>
            <w:tcW w:w="11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201,257</w:t>
            </w:r>
          </w:p>
        </w:tc>
        <w:tc>
          <w:tcPr>
            <w:tcW w:w="169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118,660,615</w:t>
            </w:r>
          </w:p>
        </w:tc>
        <w:tc>
          <w:tcPr>
            <w:tcW w:w="1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keepNext w:val="0"/>
              <w:keepLines w:val="0"/>
              <w:widowControl/>
              <w:suppressLineNumbers w:val="0"/>
              <w:jc w:val="center"/>
              <w:textAlignment w:val="center"/>
              <w:rPr>
                <w:rFonts w:ascii="宋体" w:hAnsi="宋体"/>
                <w:lang w:bidi="en-US"/>
              </w:rPr>
            </w:pPr>
            <w:r>
              <w:rPr>
                <w:rFonts w:hint="eastAsia" w:ascii="宋体" w:hAnsi="宋体" w:eastAsia="宋体" w:cs="宋体"/>
                <w:i w:val="0"/>
                <w:iCs w:val="0"/>
                <w:color w:val="000000"/>
                <w:kern w:val="0"/>
                <w:sz w:val="21"/>
                <w:szCs w:val="21"/>
                <w:u w:val="none"/>
                <w:lang w:val="en-US" w:eastAsia="zh-CN" w:bidi="ar"/>
              </w:rPr>
              <w:t>合</w:t>
            </w:r>
            <w:r>
              <w:rPr>
                <w:rFonts w:hint="default"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计</w:t>
            </w:r>
          </w:p>
        </w:tc>
        <w:tc>
          <w:tcPr>
            <w:tcW w:w="15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219,540,292</w:t>
            </w:r>
          </w:p>
        </w:tc>
        <w:tc>
          <w:tcPr>
            <w:tcW w:w="10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c>
          <w:tcPr>
            <w:tcW w:w="115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169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219,540,292</w:t>
            </w:r>
          </w:p>
        </w:tc>
        <w:tc>
          <w:tcPr>
            <w:tcW w:w="11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r>
    </w:tbl>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注：本表格为公司初步测算结果，本次解除限售后的股本结构以中国结算深圳分公司最终办理结果为准。</w:t>
      </w:r>
    </w:p>
    <w:p>
      <w:pPr>
        <w:spacing w:before="120" w:beforeLines="50" w:after="120" w:afterLines="50" w:line="360" w:lineRule="auto"/>
        <w:ind w:firstLine="441" w:firstLineChars="183"/>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六、备案文件</w:t>
      </w:r>
    </w:p>
    <w:p>
      <w:pPr>
        <w:spacing w:before="120" w:beforeLines="50" w:after="120" w:afterLines="50" w:line="360" w:lineRule="auto"/>
        <w:ind w:firstLine="439" w:firstLineChars="183"/>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1、《青岛伟隆阀门股份有限公司第四届董事会第二十五次会议决议》；</w:t>
      </w:r>
    </w:p>
    <w:p>
      <w:pPr>
        <w:spacing w:before="120" w:beforeLines="50" w:after="120" w:afterLines="50" w:line="360" w:lineRule="auto"/>
        <w:ind w:firstLine="439" w:firstLineChars="183"/>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2、《青岛伟隆阀门股份有限公司第四届监事会第十九次会议决议》；</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3、《青岛伟隆阀门股份有限公司独立董事关于第四届董事会第二十五次会议相关事项的独立意见》；</w:t>
      </w:r>
    </w:p>
    <w:p>
      <w:pPr>
        <w:spacing w:before="120" w:beforeLines="50" w:after="120" w:afterLines="50" w:line="360" w:lineRule="auto"/>
        <w:ind w:firstLine="439" w:firstLineChars="183"/>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4、《北京德和衡律师事务所关于青岛伟隆阀门股份有限公司2021年限制性股票激励计划调整回购数量、价格及预留部分第一个解锁期解除限售的法律意见书》；</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、《限售股份上市流通申请表》。</w:t>
      </w:r>
    </w:p>
    <w:p>
      <w:pPr>
        <w:spacing w:before="120" w:beforeLines="50" w:after="120" w:afterLines="50" w:line="360" w:lineRule="auto"/>
        <w:ind w:firstLine="439" w:firstLineChars="183"/>
        <w:jc w:val="both"/>
        <w:rPr>
          <w:rFonts w:asciiTheme="minorEastAsia" w:hAnsiTheme="minorEastAsia" w:eastAsiaTheme="minorEastAsia"/>
          <w:sz w:val="24"/>
          <w:szCs w:val="24"/>
        </w:rPr>
      </w:pPr>
      <w:r>
        <w:rPr>
          <w:rFonts w:hint="eastAsia" w:asciiTheme="minorEastAsia" w:hAnsiTheme="minorEastAsia" w:eastAsiaTheme="minorEastAsia"/>
          <w:sz w:val="24"/>
          <w:szCs w:val="24"/>
        </w:rPr>
        <w:t>特此公告。</w:t>
      </w:r>
    </w:p>
    <w:p>
      <w:pPr>
        <w:spacing w:before="120" w:beforeLines="50" w:after="120" w:afterLines="50" w:line="360" w:lineRule="auto"/>
        <w:ind w:firstLine="3600" w:firstLineChars="15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青岛伟隆阀门股份有限公司董事会 </w:t>
      </w:r>
    </w:p>
    <w:p>
      <w:pPr>
        <w:spacing w:before="120" w:beforeLines="50" w:after="120" w:afterLines="50" w:line="360" w:lineRule="auto"/>
        <w:ind w:firstLine="5040" w:firstLineChars="2100"/>
        <w:rPr>
          <w:rFonts w:asciiTheme="minorEastAsia" w:hAnsiTheme="minorEastAsia" w:eastAsiaTheme="minorEastAsia"/>
          <w:sz w:val="24"/>
          <w:szCs w:val="24"/>
        </w:rPr>
      </w:pPr>
      <w:r>
        <w:rPr>
          <w:rFonts w:hint="eastAsia" w:asciiTheme="minorEastAsia" w:hAnsiTheme="minorEastAsia" w:eastAsiaTheme="minorEastAsia"/>
          <w:sz w:val="24"/>
          <w:szCs w:val="24"/>
        </w:rPr>
        <w:t>202</w:t>
      </w:r>
      <w:r>
        <w:rPr>
          <w:rFonts w:asciiTheme="minorEastAsia" w:hAnsiTheme="minorEastAsia" w:eastAsiaTheme="minorEastAsia"/>
          <w:sz w:val="24"/>
          <w:szCs w:val="24"/>
        </w:rPr>
        <w:t>3</w:t>
      </w:r>
      <w:r>
        <w:rPr>
          <w:rFonts w:hint="eastAsia" w:asciiTheme="minorEastAsia" w:hAnsiTheme="minorEastAsia" w:eastAsiaTheme="minorEastAsia"/>
          <w:sz w:val="24"/>
          <w:szCs w:val="24"/>
        </w:rPr>
        <w:t>年</w:t>
      </w:r>
      <w:r>
        <w:rPr>
          <w:rFonts w:hint="default" w:asciiTheme="minorEastAsia" w:hAnsiTheme="minorEastAsia" w:eastAsiaTheme="minorEastAsia"/>
          <w:sz w:val="24"/>
          <w:szCs w:val="24"/>
          <w:lang w:val="en-US"/>
        </w:rPr>
        <w:t>09</w:t>
      </w:r>
      <w:r>
        <w:rPr>
          <w:rFonts w:hint="eastAsia" w:asciiTheme="minorEastAsia" w:hAnsiTheme="minorEastAsia" w:eastAsiaTheme="minorEastAsia"/>
          <w:sz w:val="24"/>
          <w:szCs w:val="24"/>
        </w:rPr>
        <w:t>月</w:t>
      </w:r>
      <w:r>
        <w:rPr>
          <w:rFonts w:hint="default" w:asciiTheme="minorEastAsia" w:hAnsiTheme="minorEastAsia" w:eastAsiaTheme="minorEastAsia"/>
          <w:sz w:val="24"/>
          <w:szCs w:val="24"/>
          <w:lang w:val="en-US"/>
        </w:rPr>
        <w:t>20</w:t>
      </w:r>
      <w:bookmarkStart w:id="2" w:name="_GoBack"/>
      <w:bookmarkEnd w:id="2"/>
      <w:r>
        <w:rPr>
          <w:rFonts w:hint="eastAsia" w:asciiTheme="minorEastAsia" w:hAnsiTheme="minorEastAsia" w:eastAsiaTheme="minorEastAsia"/>
          <w:sz w:val="24"/>
          <w:szCs w:val="24"/>
        </w:rPr>
        <w:t xml:space="preserve">日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EE1C1"/>
    <w:multiLevelType w:val="singleLevel"/>
    <w:tmpl w:val="C35EE1C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172A27"/>
    <w:rsid w:val="000133CD"/>
    <w:rsid w:val="00022A9E"/>
    <w:rsid w:val="00023BAC"/>
    <w:rsid w:val="00031AFA"/>
    <w:rsid w:val="00074DD9"/>
    <w:rsid w:val="00080C5D"/>
    <w:rsid w:val="00083826"/>
    <w:rsid w:val="00087BE3"/>
    <w:rsid w:val="000A0FB4"/>
    <w:rsid w:val="000B2414"/>
    <w:rsid w:val="000B5CC8"/>
    <w:rsid w:val="000B6DBF"/>
    <w:rsid w:val="000C6274"/>
    <w:rsid w:val="000D6589"/>
    <w:rsid w:val="000E3FA3"/>
    <w:rsid w:val="000E4EF4"/>
    <w:rsid w:val="00100F35"/>
    <w:rsid w:val="0010482D"/>
    <w:rsid w:val="00105553"/>
    <w:rsid w:val="0010568E"/>
    <w:rsid w:val="001118CE"/>
    <w:rsid w:val="00115BE8"/>
    <w:rsid w:val="00121BA8"/>
    <w:rsid w:val="00123DE7"/>
    <w:rsid w:val="001306E7"/>
    <w:rsid w:val="00140D0E"/>
    <w:rsid w:val="001601BB"/>
    <w:rsid w:val="001624EA"/>
    <w:rsid w:val="0016383F"/>
    <w:rsid w:val="00167D58"/>
    <w:rsid w:val="00172A27"/>
    <w:rsid w:val="001840A0"/>
    <w:rsid w:val="00191D6D"/>
    <w:rsid w:val="001B33ED"/>
    <w:rsid w:val="001C0510"/>
    <w:rsid w:val="001C2D84"/>
    <w:rsid w:val="001C4F3D"/>
    <w:rsid w:val="001C59F6"/>
    <w:rsid w:val="001C72E9"/>
    <w:rsid w:val="001D45EA"/>
    <w:rsid w:val="001D4D05"/>
    <w:rsid w:val="001E4C2B"/>
    <w:rsid w:val="001E5BA2"/>
    <w:rsid w:val="001E7A4C"/>
    <w:rsid w:val="001F18B8"/>
    <w:rsid w:val="00205726"/>
    <w:rsid w:val="00211DA7"/>
    <w:rsid w:val="002268D0"/>
    <w:rsid w:val="00232833"/>
    <w:rsid w:val="002370B1"/>
    <w:rsid w:val="00241790"/>
    <w:rsid w:val="00243093"/>
    <w:rsid w:val="00256DE7"/>
    <w:rsid w:val="00263DBE"/>
    <w:rsid w:val="0027512C"/>
    <w:rsid w:val="00281E14"/>
    <w:rsid w:val="002858DA"/>
    <w:rsid w:val="00285CE5"/>
    <w:rsid w:val="002A0D73"/>
    <w:rsid w:val="002A4BA8"/>
    <w:rsid w:val="002A61D4"/>
    <w:rsid w:val="002B0EBD"/>
    <w:rsid w:val="002C284D"/>
    <w:rsid w:val="002C3FAC"/>
    <w:rsid w:val="002C4E5B"/>
    <w:rsid w:val="002F0E27"/>
    <w:rsid w:val="002F48D1"/>
    <w:rsid w:val="002F4963"/>
    <w:rsid w:val="002F6919"/>
    <w:rsid w:val="002F7410"/>
    <w:rsid w:val="00304F62"/>
    <w:rsid w:val="00305829"/>
    <w:rsid w:val="00315304"/>
    <w:rsid w:val="003160E1"/>
    <w:rsid w:val="00320D5B"/>
    <w:rsid w:val="00322965"/>
    <w:rsid w:val="00323B43"/>
    <w:rsid w:val="003246FC"/>
    <w:rsid w:val="00324B1C"/>
    <w:rsid w:val="00330707"/>
    <w:rsid w:val="00351C24"/>
    <w:rsid w:val="00371FC3"/>
    <w:rsid w:val="0037213F"/>
    <w:rsid w:val="003836CA"/>
    <w:rsid w:val="003861A5"/>
    <w:rsid w:val="0039237D"/>
    <w:rsid w:val="00397139"/>
    <w:rsid w:val="003A1595"/>
    <w:rsid w:val="003B3D60"/>
    <w:rsid w:val="003B4DB1"/>
    <w:rsid w:val="003C37B5"/>
    <w:rsid w:val="003C71B0"/>
    <w:rsid w:val="003D37D8"/>
    <w:rsid w:val="003D593A"/>
    <w:rsid w:val="003E1517"/>
    <w:rsid w:val="003E6E49"/>
    <w:rsid w:val="004026E7"/>
    <w:rsid w:val="004054E9"/>
    <w:rsid w:val="00405E3D"/>
    <w:rsid w:val="00407B06"/>
    <w:rsid w:val="00412EC7"/>
    <w:rsid w:val="004164C3"/>
    <w:rsid w:val="00424778"/>
    <w:rsid w:val="00426133"/>
    <w:rsid w:val="00430C7C"/>
    <w:rsid w:val="004358AB"/>
    <w:rsid w:val="004408B8"/>
    <w:rsid w:val="0044283A"/>
    <w:rsid w:val="004435DA"/>
    <w:rsid w:val="00446109"/>
    <w:rsid w:val="004543EA"/>
    <w:rsid w:val="00455315"/>
    <w:rsid w:val="004562BF"/>
    <w:rsid w:val="00461DAC"/>
    <w:rsid w:val="0046529E"/>
    <w:rsid w:val="00474557"/>
    <w:rsid w:val="004A0AEE"/>
    <w:rsid w:val="004B5F5B"/>
    <w:rsid w:val="004C3138"/>
    <w:rsid w:val="004C6E03"/>
    <w:rsid w:val="004D4CF5"/>
    <w:rsid w:val="004E1A97"/>
    <w:rsid w:val="00504912"/>
    <w:rsid w:val="00511E0E"/>
    <w:rsid w:val="00516B02"/>
    <w:rsid w:val="0051752B"/>
    <w:rsid w:val="00542EC3"/>
    <w:rsid w:val="00547A07"/>
    <w:rsid w:val="00556CA9"/>
    <w:rsid w:val="00557805"/>
    <w:rsid w:val="005673E7"/>
    <w:rsid w:val="00574098"/>
    <w:rsid w:val="005856B9"/>
    <w:rsid w:val="00593596"/>
    <w:rsid w:val="00596292"/>
    <w:rsid w:val="005A4475"/>
    <w:rsid w:val="005B32C7"/>
    <w:rsid w:val="005C0288"/>
    <w:rsid w:val="005C270C"/>
    <w:rsid w:val="005C3A4D"/>
    <w:rsid w:val="005C5AC8"/>
    <w:rsid w:val="005D4FA7"/>
    <w:rsid w:val="005D6C16"/>
    <w:rsid w:val="005F0BBF"/>
    <w:rsid w:val="005F36CE"/>
    <w:rsid w:val="005F3F03"/>
    <w:rsid w:val="00607D7B"/>
    <w:rsid w:val="0061650F"/>
    <w:rsid w:val="00617684"/>
    <w:rsid w:val="006234A3"/>
    <w:rsid w:val="006234D3"/>
    <w:rsid w:val="00641D9C"/>
    <w:rsid w:val="00652889"/>
    <w:rsid w:val="006553C2"/>
    <w:rsid w:val="006824B5"/>
    <w:rsid w:val="006B53EC"/>
    <w:rsid w:val="006B6A27"/>
    <w:rsid w:val="006C3592"/>
    <w:rsid w:val="006E314F"/>
    <w:rsid w:val="006E4BBC"/>
    <w:rsid w:val="006E5BCD"/>
    <w:rsid w:val="006E7605"/>
    <w:rsid w:val="006F3AC2"/>
    <w:rsid w:val="006F4987"/>
    <w:rsid w:val="00702023"/>
    <w:rsid w:val="00706841"/>
    <w:rsid w:val="00712C1E"/>
    <w:rsid w:val="00723678"/>
    <w:rsid w:val="00736CCB"/>
    <w:rsid w:val="00745A00"/>
    <w:rsid w:val="007536C2"/>
    <w:rsid w:val="00760A31"/>
    <w:rsid w:val="00763722"/>
    <w:rsid w:val="00780673"/>
    <w:rsid w:val="007814FC"/>
    <w:rsid w:val="00785158"/>
    <w:rsid w:val="007A72B5"/>
    <w:rsid w:val="007B1F9D"/>
    <w:rsid w:val="007C0DCC"/>
    <w:rsid w:val="007C4641"/>
    <w:rsid w:val="007C7F7F"/>
    <w:rsid w:val="007D5D47"/>
    <w:rsid w:val="007E25F6"/>
    <w:rsid w:val="007E77F2"/>
    <w:rsid w:val="007F1020"/>
    <w:rsid w:val="00812732"/>
    <w:rsid w:val="00813D15"/>
    <w:rsid w:val="008231F4"/>
    <w:rsid w:val="00825861"/>
    <w:rsid w:val="008347DD"/>
    <w:rsid w:val="008424D8"/>
    <w:rsid w:val="00856162"/>
    <w:rsid w:val="00862320"/>
    <w:rsid w:val="00862530"/>
    <w:rsid w:val="00865203"/>
    <w:rsid w:val="0088084E"/>
    <w:rsid w:val="00881A67"/>
    <w:rsid w:val="00882566"/>
    <w:rsid w:val="0088530D"/>
    <w:rsid w:val="00885EF3"/>
    <w:rsid w:val="008948D7"/>
    <w:rsid w:val="00895B95"/>
    <w:rsid w:val="00897728"/>
    <w:rsid w:val="008A11C3"/>
    <w:rsid w:val="008A287C"/>
    <w:rsid w:val="008A6D80"/>
    <w:rsid w:val="008B7726"/>
    <w:rsid w:val="008C4867"/>
    <w:rsid w:val="008D170C"/>
    <w:rsid w:val="008D17AC"/>
    <w:rsid w:val="008D4817"/>
    <w:rsid w:val="008F2CD2"/>
    <w:rsid w:val="0090339E"/>
    <w:rsid w:val="0090559A"/>
    <w:rsid w:val="0091337C"/>
    <w:rsid w:val="00931492"/>
    <w:rsid w:val="00946358"/>
    <w:rsid w:val="009550BA"/>
    <w:rsid w:val="00957604"/>
    <w:rsid w:val="00962038"/>
    <w:rsid w:val="0096231F"/>
    <w:rsid w:val="00970166"/>
    <w:rsid w:val="0097585D"/>
    <w:rsid w:val="00977231"/>
    <w:rsid w:val="009815D2"/>
    <w:rsid w:val="0098292C"/>
    <w:rsid w:val="0098339F"/>
    <w:rsid w:val="0098481A"/>
    <w:rsid w:val="0099464B"/>
    <w:rsid w:val="009A3A37"/>
    <w:rsid w:val="009B3B69"/>
    <w:rsid w:val="009B47AC"/>
    <w:rsid w:val="009B7A89"/>
    <w:rsid w:val="009C0906"/>
    <w:rsid w:val="009C376A"/>
    <w:rsid w:val="009C382D"/>
    <w:rsid w:val="009C4655"/>
    <w:rsid w:val="009C73EF"/>
    <w:rsid w:val="009E2F97"/>
    <w:rsid w:val="009E393E"/>
    <w:rsid w:val="009F58D5"/>
    <w:rsid w:val="009F71CF"/>
    <w:rsid w:val="00A02B6C"/>
    <w:rsid w:val="00A0704F"/>
    <w:rsid w:val="00A155EB"/>
    <w:rsid w:val="00A15D55"/>
    <w:rsid w:val="00A303AA"/>
    <w:rsid w:val="00A35ECB"/>
    <w:rsid w:val="00A53A38"/>
    <w:rsid w:val="00A53FF2"/>
    <w:rsid w:val="00A644E1"/>
    <w:rsid w:val="00A66B26"/>
    <w:rsid w:val="00A7080D"/>
    <w:rsid w:val="00A7113F"/>
    <w:rsid w:val="00A7462E"/>
    <w:rsid w:val="00A819FC"/>
    <w:rsid w:val="00AA1D1A"/>
    <w:rsid w:val="00AB6CA0"/>
    <w:rsid w:val="00AC2F7D"/>
    <w:rsid w:val="00AC7411"/>
    <w:rsid w:val="00AC779D"/>
    <w:rsid w:val="00AD053D"/>
    <w:rsid w:val="00AD12CF"/>
    <w:rsid w:val="00AE6197"/>
    <w:rsid w:val="00AE6BB7"/>
    <w:rsid w:val="00AE7B51"/>
    <w:rsid w:val="00AF0BFB"/>
    <w:rsid w:val="00AF2363"/>
    <w:rsid w:val="00AF586F"/>
    <w:rsid w:val="00B022AB"/>
    <w:rsid w:val="00B16ED5"/>
    <w:rsid w:val="00B20D1A"/>
    <w:rsid w:val="00B25E89"/>
    <w:rsid w:val="00B423CE"/>
    <w:rsid w:val="00B447EE"/>
    <w:rsid w:val="00B44968"/>
    <w:rsid w:val="00B524CE"/>
    <w:rsid w:val="00B66B52"/>
    <w:rsid w:val="00B70156"/>
    <w:rsid w:val="00B77036"/>
    <w:rsid w:val="00B8073B"/>
    <w:rsid w:val="00B92F07"/>
    <w:rsid w:val="00BA2473"/>
    <w:rsid w:val="00BA2EED"/>
    <w:rsid w:val="00BA537F"/>
    <w:rsid w:val="00BA7825"/>
    <w:rsid w:val="00BB1843"/>
    <w:rsid w:val="00BB24E1"/>
    <w:rsid w:val="00BB7B47"/>
    <w:rsid w:val="00BC2A06"/>
    <w:rsid w:val="00BD0B09"/>
    <w:rsid w:val="00BE2D68"/>
    <w:rsid w:val="00BE6684"/>
    <w:rsid w:val="00BE7F41"/>
    <w:rsid w:val="00BF2484"/>
    <w:rsid w:val="00C00963"/>
    <w:rsid w:val="00C05532"/>
    <w:rsid w:val="00C11DA5"/>
    <w:rsid w:val="00C12712"/>
    <w:rsid w:val="00C13DF9"/>
    <w:rsid w:val="00C31997"/>
    <w:rsid w:val="00C32929"/>
    <w:rsid w:val="00C333B8"/>
    <w:rsid w:val="00C61EB3"/>
    <w:rsid w:val="00C62F24"/>
    <w:rsid w:val="00C66033"/>
    <w:rsid w:val="00C66AD0"/>
    <w:rsid w:val="00C75AA8"/>
    <w:rsid w:val="00C83CFB"/>
    <w:rsid w:val="00C843B3"/>
    <w:rsid w:val="00C87B02"/>
    <w:rsid w:val="00C92216"/>
    <w:rsid w:val="00CB28D8"/>
    <w:rsid w:val="00CB4834"/>
    <w:rsid w:val="00CC0AED"/>
    <w:rsid w:val="00CD0469"/>
    <w:rsid w:val="00CD11B5"/>
    <w:rsid w:val="00CE3215"/>
    <w:rsid w:val="00CE3854"/>
    <w:rsid w:val="00CE74DC"/>
    <w:rsid w:val="00CF39DB"/>
    <w:rsid w:val="00CF6812"/>
    <w:rsid w:val="00D007AE"/>
    <w:rsid w:val="00D031F8"/>
    <w:rsid w:val="00D03AA9"/>
    <w:rsid w:val="00D117BF"/>
    <w:rsid w:val="00D31D50"/>
    <w:rsid w:val="00D352A3"/>
    <w:rsid w:val="00D50A86"/>
    <w:rsid w:val="00D60743"/>
    <w:rsid w:val="00D60E15"/>
    <w:rsid w:val="00D64A80"/>
    <w:rsid w:val="00D72B81"/>
    <w:rsid w:val="00D731B8"/>
    <w:rsid w:val="00D747D1"/>
    <w:rsid w:val="00D87CD3"/>
    <w:rsid w:val="00D93814"/>
    <w:rsid w:val="00DA1374"/>
    <w:rsid w:val="00DA2064"/>
    <w:rsid w:val="00DB3986"/>
    <w:rsid w:val="00DC0C8B"/>
    <w:rsid w:val="00DC19C0"/>
    <w:rsid w:val="00DD1C68"/>
    <w:rsid w:val="00DD3E59"/>
    <w:rsid w:val="00DD54E8"/>
    <w:rsid w:val="00DE2901"/>
    <w:rsid w:val="00DF3F12"/>
    <w:rsid w:val="00E117DE"/>
    <w:rsid w:val="00E12796"/>
    <w:rsid w:val="00E1641E"/>
    <w:rsid w:val="00E16FB0"/>
    <w:rsid w:val="00E317E3"/>
    <w:rsid w:val="00E33C76"/>
    <w:rsid w:val="00E3696A"/>
    <w:rsid w:val="00E56877"/>
    <w:rsid w:val="00E65E91"/>
    <w:rsid w:val="00E71239"/>
    <w:rsid w:val="00E73530"/>
    <w:rsid w:val="00E763CA"/>
    <w:rsid w:val="00E81E4C"/>
    <w:rsid w:val="00E83D7B"/>
    <w:rsid w:val="00E93451"/>
    <w:rsid w:val="00E97AF6"/>
    <w:rsid w:val="00EA1640"/>
    <w:rsid w:val="00EA2F11"/>
    <w:rsid w:val="00EB1D51"/>
    <w:rsid w:val="00EB4454"/>
    <w:rsid w:val="00EC7802"/>
    <w:rsid w:val="00ED1A60"/>
    <w:rsid w:val="00ED2416"/>
    <w:rsid w:val="00ED41E8"/>
    <w:rsid w:val="00EE12F1"/>
    <w:rsid w:val="00EF6BB7"/>
    <w:rsid w:val="00F0022C"/>
    <w:rsid w:val="00F00B0B"/>
    <w:rsid w:val="00F04CA1"/>
    <w:rsid w:val="00F05437"/>
    <w:rsid w:val="00F0774E"/>
    <w:rsid w:val="00F14B38"/>
    <w:rsid w:val="00F212C7"/>
    <w:rsid w:val="00F27FA1"/>
    <w:rsid w:val="00F42B5D"/>
    <w:rsid w:val="00F47D98"/>
    <w:rsid w:val="00F53072"/>
    <w:rsid w:val="00F5660A"/>
    <w:rsid w:val="00F63194"/>
    <w:rsid w:val="00F713C1"/>
    <w:rsid w:val="00F774B4"/>
    <w:rsid w:val="00F800E5"/>
    <w:rsid w:val="00F9053F"/>
    <w:rsid w:val="00F92E21"/>
    <w:rsid w:val="00FA6923"/>
    <w:rsid w:val="00FB4B02"/>
    <w:rsid w:val="00FC4AB2"/>
    <w:rsid w:val="00FC5C4C"/>
    <w:rsid w:val="00FD6898"/>
    <w:rsid w:val="00FE0898"/>
    <w:rsid w:val="00FF66DC"/>
    <w:rsid w:val="03284E8C"/>
    <w:rsid w:val="04582CCD"/>
    <w:rsid w:val="04933A7B"/>
    <w:rsid w:val="05216551"/>
    <w:rsid w:val="05373F63"/>
    <w:rsid w:val="06AF5A59"/>
    <w:rsid w:val="08E87C52"/>
    <w:rsid w:val="1180655D"/>
    <w:rsid w:val="121C111E"/>
    <w:rsid w:val="12A37653"/>
    <w:rsid w:val="1422164C"/>
    <w:rsid w:val="14A85ECD"/>
    <w:rsid w:val="14C00400"/>
    <w:rsid w:val="15D0510F"/>
    <w:rsid w:val="16374CB6"/>
    <w:rsid w:val="16454C4B"/>
    <w:rsid w:val="16905D6B"/>
    <w:rsid w:val="17312835"/>
    <w:rsid w:val="19404F5B"/>
    <w:rsid w:val="1B456253"/>
    <w:rsid w:val="1D5A719B"/>
    <w:rsid w:val="1D7C04F7"/>
    <w:rsid w:val="1DE952B6"/>
    <w:rsid w:val="1E1D1759"/>
    <w:rsid w:val="1E9362BF"/>
    <w:rsid w:val="202E3BE9"/>
    <w:rsid w:val="20781BFB"/>
    <w:rsid w:val="210943B7"/>
    <w:rsid w:val="235D3917"/>
    <w:rsid w:val="24053CBB"/>
    <w:rsid w:val="25FC664A"/>
    <w:rsid w:val="26C868E1"/>
    <w:rsid w:val="272D366F"/>
    <w:rsid w:val="28F43433"/>
    <w:rsid w:val="294E423C"/>
    <w:rsid w:val="2AF87057"/>
    <w:rsid w:val="2B853CDD"/>
    <w:rsid w:val="2D1402D8"/>
    <w:rsid w:val="2D7735BB"/>
    <w:rsid w:val="2DE04461"/>
    <w:rsid w:val="2FA52DB5"/>
    <w:rsid w:val="309842CB"/>
    <w:rsid w:val="30C1502C"/>
    <w:rsid w:val="3103761F"/>
    <w:rsid w:val="32E83E28"/>
    <w:rsid w:val="35C37E4D"/>
    <w:rsid w:val="36AB7A6B"/>
    <w:rsid w:val="36B810B2"/>
    <w:rsid w:val="38F11F65"/>
    <w:rsid w:val="3C9D64F0"/>
    <w:rsid w:val="40ED7B5A"/>
    <w:rsid w:val="421C1499"/>
    <w:rsid w:val="456B3021"/>
    <w:rsid w:val="45E150B5"/>
    <w:rsid w:val="466549C4"/>
    <w:rsid w:val="46954EFC"/>
    <w:rsid w:val="46DD5F48"/>
    <w:rsid w:val="46F8310E"/>
    <w:rsid w:val="48144CBC"/>
    <w:rsid w:val="49891460"/>
    <w:rsid w:val="49FE5229"/>
    <w:rsid w:val="4AA52AC4"/>
    <w:rsid w:val="4B073AAE"/>
    <w:rsid w:val="4B2F4F56"/>
    <w:rsid w:val="4C047638"/>
    <w:rsid w:val="4CFF1931"/>
    <w:rsid w:val="4E862D24"/>
    <w:rsid w:val="4F822F7B"/>
    <w:rsid w:val="509A04C8"/>
    <w:rsid w:val="52387476"/>
    <w:rsid w:val="545C4C39"/>
    <w:rsid w:val="55AC6A83"/>
    <w:rsid w:val="562F6EE9"/>
    <w:rsid w:val="56770301"/>
    <w:rsid w:val="57612E26"/>
    <w:rsid w:val="57C87E52"/>
    <w:rsid w:val="58B431F3"/>
    <w:rsid w:val="5AAA6638"/>
    <w:rsid w:val="5ACB0A85"/>
    <w:rsid w:val="5B973484"/>
    <w:rsid w:val="5CEB0D68"/>
    <w:rsid w:val="607B2B54"/>
    <w:rsid w:val="614540F1"/>
    <w:rsid w:val="61D447DD"/>
    <w:rsid w:val="62927C3E"/>
    <w:rsid w:val="630823E7"/>
    <w:rsid w:val="6379684E"/>
    <w:rsid w:val="64EF2EA1"/>
    <w:rsid w:val="659326E1"/>
    <w:rsid w:val="65DA64E3"/>
    <w:rsid w:val="669A6275"/>
    <w:rsid w:val="66A357A5"/>
    <w:rsid w:val="66BC1FA2"/>
    <w:rsid w:val="673C0498"/>
    <w:rsid w:val="686A6131"/>
    <w:rsid w:val="69C300E0"/>
    <w:rsid w:val="69DE28A8"/>
    <w:rsid w:val="6B0212A3"/>
    <w:rsid w:val="6BA41121"/>
    <w:rsid w:val="6BF74350"/>
    <w:rsid w:val="6CF33B45"/>
    <w:rsid w:val="6DB53576"/>
    <w:rsid w:val="6E0D3790"/>
    <w:rsid w:val="6EEA2E97"/>
    <w:rsid w:val="6F6F473B"/>
    <w:rsid w:val="6FC64067"/>
    <w:rsid w:val="6FFF6154"/>
    <w:rsid w:val="70800434"/>
    <w:rsid w:val="70E94FC9"/>
    <w:rsid w:val="714E08D2"/>
    <w:rsid w:val="724E40E7"/>
    <w:rsid w:val="732D703E"/>
    <w:rsid w:val="73D133C7"/>
    <w:rsid w:val="75826128"/>
    <w:rsid w:val="771B2FE0"/>
    <w:rsid w:val="775D2173"/>
    <w:rsid w:val="7A5A113C"/>
    <w:rsid w:val="7B0522C1"/>
    <w:rsid w:val="7C3E684C"/>
    <w:rsid w:val="7CD94978"/>
    <w:rsid w:val="7DD96E0C"/>
    <w:rsid w:val="7FDB25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style>
  <w:style w:type="paragraph" w:styleId="3">
    <w:name w:val="Body Text"/>
    <w:basedOn w:val="1"/>
    <w:qFormat/>
    <w:uiPriority w:val="1"/>
    <w:pPr>
      <w:ind w:left="1838"/>
    </w:pPr>
    <w:rPr>
      <w:sz w:val="21"/>
      <w:szCs w:val="21"/>
    </w:rPr>
  </w:style>
  <w:style w:type="paragraph" w:styleId="4">
    <w:name w:val="Body Text Indent"/>
    <w:basedOn w:val="1"/>
    <w:semiHidden/>
    <w:unhideWhenUsed/>
    <w:qFormat/>
    <w:uiPriority w:val="99"/>
    <w:pPr>
      <w:spacing w:after="120"/>
      <w:ind w:left="420" w:leftChars="200"/>
    </w:pPr>
  </w:style>
  <w:style w:type="paragraph" w:styleId="5">
    <w:name w:val="Balloon Text"/>
    <w:basedOn w:val="1"/>
    <w:link w:val="18"/>
    <w:semiHidden/>
    <w:unhideWhenUsed/>
    <w:qFormat/>
    <w:uiPriority w:val="99"/>
    <w:pPr>
      <w:spacing w:after="0"/>
    </w:pPr>
    <w:rPr>
      <w:sz w:val="18"/>
      <w:szCs w:val="18"/>
    </w:rPr>
  </w:style>
  <w:style w:type="paragraph" w:styleId="6">
    <w:name w:val="footer"/>
    <w:basedOn w:val="1"/>
    <w:link w:val="14"/>
    <w:unhideWhenUsed/>
    <w:qFormat/>
    <w:uiPriority w:val="0"/>
    <w:pPr>
      <w:tabs>
        <w:tab w:val="center" w:pos="4153"/>
        <w:tab w:val="right" w:pos="8306"/>
      </w:tabs>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8">
    <w:name w:val="annotation subject"/>
    <w:basedOn w:val="2"/>
    <w:next w:val="2"/>
    <w:link w:val="17"/>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rFonts w:ascii="Tahoma" w:hAnsi="Tahoma"/>
      <w:sz w:val="18"/>
      <w:szCs w:val="18"/>
    </w:rPr>
  </w:style>
  <w:style w:type="character" w:customStyle="1" w:styleId="14">
    <w:name w:val="页脚 字符"/>
    <w:basedOn w:val="11"/>
    <w:link w:val="6"/>
    <w:semiHidden/>
    <w:qFormat/>
    <w:uiPriority w:val="99"/>
    <w:rPr>
      <w:rFonts w:ascii="Tahoma" w:hAnsi="Tahoma"/>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11"/>
    <w:link w:val="2"/>
    <w:semiHidden/>
    <w:qFormat/>
    <w:uiPriority w:val="99"/>
    <w:rPr>
      <w:rFonts w:ascii="Tahoma" w:hAnsi="Tahoma"/>
    </w:rPr>
  </w:style>
  <w:style w:type="character" w:customStyle="1" w:styleId="17">
    <w:name w:val="批注主题 字符"/>
    <w:basedOn w:val="16"/>
    <w:link w:val="8"/>
    <w:semiHidden/>
    <w:qFormat/>
    <w:uiPriority w:val="99"/>
    <w:rPr>
      <w:rFonts w:ascii="Tahoma" w:hAnsi="Tahoma"/>
      <w:b/>
      <w:bCs/>
    </w:rPr>
  </w:style>
  <w:style w:type="character" w:customStyle="1" w:styleId="18">
    <w:name w:val="批注框文本 字符"/>
    <w:basedOn w:val="11"/>
    <w:link w:val="5"/>
    <w:semiHidden/>
    <w:qFormat/>
    <w:uiPriority w:val="99"/>
    <w:rPr>
      <w:rFonts w:ascii="Tahoma" w:hAnsi="Tahoma"/>
      <w:sz w:val="18"/>
      <w:szCs w:val="18"/>
    </w:rPr>
  </w:style>
  <w:style w:type="paragraph" w:customStyle="1" w:styleId="19">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20">
    <w:name w:val="fontstyle01"/>
    <w:basedOn w:val="11"/>
    <w:qFormat/>
    <w:uiPriority w:val="0"/>
    <w:rPr>
      <w:rFonts w:hint="eastAsia" w:ascii="宋体" w:hAnsi="宋体" w:eastAsia="宋体"/>
      <w:color w:val="000000"/>
      <w:sz w:val="24"/>
      <w:szCs w:val="24"/>
    </w:rPr>
  </w:style>
  <w:style w:type="character" w:customStyle="1" w:styleId="21">
    <w:name w:val="fontstyle21"/>
    <w:basedOn w:val="11"/>
    <w:qFormat/>
    <w:uiPriority w:val="0"/>
    <w:rPr>
      <w:rFonts w:hint="default" w:ascii="Times New Roman" w:hAnsi="Times New Roman" w:cs="Times New Roman"/>
      <w:color w:val="000000"/>
      <w:sz w:val="24"/>
      <w:szCs w:val="24"/>
    </w:rPr>
  </w:style>
  <w:style w:type="character" w:customStyle="1" w:styleId="22">
    <w:name w:val="fontstyle11"/>
    <w:basedOn w:val="11"/>
    <w:qFormat/>
    <w:uiPriority w:val="0"/>
    <w:rPr>
      <w:rFonts w:hint="eastAsia" w:ascii="宋体" w:hAnsi="宋体" w:eastAsia="宋体"/>
      <w:color w:val="000000"/>
      <w:sz w:val="24"/>
      <w:szCs w:val="24"/>
    </w:rPr>
  </w:style>
  <w:style w:type="character" w:customStyle="1" w:styleId="23">
    <w:name w:val="da1"/>
    <w:qFormat/>
    <w:uiPriority w:val="0"/>
    <w:rPr>
      <w:rFonts w:hint="default" w:ascii="ˎ̥" w:hAnsi="ˎ̥"/>
      <w:color w:val="000000"/>
      <w:sz w:val="28"/>
      <w:szCs w:val="28"/>
      <w:u w:val="none"/>
    </w:rPr>
  </w:style>
  <w:style w:type="paragraph" w:customStyle="1" w:styleId="2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5">
    <w:name w:val="Table Paragraph"/>
    <w:basedOn w:val="1"/>
    <w:qFormat/>
    <w:uiPriority w:val="1"/>
    <w:pPr>
      <w:spacing w:before="12"/>
      <w:ind w:left="105"/>
    </w:pPr>
  </w:style>
  <w:style w:type="table" w:customStyle="1" w:styleId="26">
    <w:name w:val="Table Normal"/>
    <w:semiHidden/>
    <w:unhideWhenUsed/>
    <w:qFormat/>
    <w:uiPriority w:val="2"/>
    <w:tblPr>
      <w:tblCellMar>
        <w:top w:w="0" w:type="dxa"/>
        <w:left w:w="0" w:type="dxa"/>
        <w:bottom w:w="0" w:type="dxa"/>
        <w:right w:w="0" w:type="dxa"/>
      </w:tblCellMar>
    </w:tblPr>
  </w:style>
  <w:style w:type="paragraph" w:customStyle="1" w:styleId="27">
    <w:name w:val="修订1"/>
    <w:hidden/>
    <w:unhideWhenUsed/>
    <w:qFormat/>
    <w:uiPriority w:val="99"/>
    <w:rPr>
      <w:rFonts w:ascii="Tahoma" w:hAnsi="Tahoma" w:eastAsia="微软雅黑" w:cstheme="minorBidi"/>
      <w:sz w:val="22"/>
      <w:szCs w:val="22"/>
      <w:lang w:val="en-US" w:eastAsia="zh-CN" w:bidi="ar-SA"/>
    </w:rPr>
  </w:style>
  <w:style w:type="character" w:customStyle="1" w:styleId="28">
    <w:name w:val="font41"/>
    <w:basedOn w:val="11"/>
    <w:qFormat/>
    <w:uiPriority w:val="0"/>
    <w:rPr>
      <w:rFonts w:hint="eastAsia" w:ascii="宋体" w:hAnsi="宋体" w:eastAsia="宋体" w:cs="宋体"/>
      <w:b/>
      <w:color w:val="000000"/>
      <w:sz w:val="21"/>
      <w:szCs w:val="21"/>
      <w:u w:val="none"/>
    </w:rPr>
  </w:style>
  <w:style w:type="character" w:customStyle="1" w:styleId="29">
    <w:name w:val="font31"/>
    <w:basedOn w:val="11"/>
    <w:qFormat/>
    <w:uiPriority w:val="0"/>
    <w:rPr>
      <w:rFonts w:hint="eastAsia" w:ascii="宋体" w:hAnsi="宋体" w:eastAsia="宋体" w:cs="宋体"/>
      <w:b/>
      <w:color w:val="000000"/>
      <w:sz w:val="22"/>
      <w:szCs w:val="22"/>
      <w:u w:val="none"/>
    </w:rPr>
  </w:style>
  <w:style w:type="paragraph" w:customStyle="1" w:styleId="30">
    <w:name w:val="修订2"/>
    <w:hidden/>
    <w:semiHidden/>
    <w:qFormat/>
    <w:uiPriority w:val="99"/>
    <w:rPr>
      <w:rFonts w:ascii="Tahoma" w:hAnsi="Tahoma" w:eastAsia="微软雅黑" w:cstheme="minorBidi"/>
      <w:sz w:val="22"/>
      <w:szCs w:val="22"/>
      <w:lang w:val="en-US" w:eastAsia="zh-CN" w:bidi="ar-SA"/>
    </w:rPr>
  </w:style>
  <w:style w:type="paragraph" w:customStyle="1" w:styleId="31">
    <w:name w:val="修订3"/>
    <w:hidden/>
    <w:semiHidden/>
    <w:qFormat/>
    <w:uiPriority w:val="99"/>
    <w:rPr>
      <w:rFonts w:ascii="Tahoma" w:hAnsi="Tahoma" w:eastAsia="微软雅黑" w:cstheme="minorBidi"/>
      <w:sz w:val="22"/>
      <w:szCs w:val="22"/>
      <w:lang w:val="en-US" w:eastAsia="zh-CN" w:bidi="ar-SA"/>
    </w:rPr>
  </w:style>
  <w:style w:type="paragraph" w:customStyle="1" w:styleId="32">
    <w:name w:val="Revision"/>
    <w:hidden/>
    <w:unhideWhenUsed/>
    <w:qFormat/>
    <w:uiPriority w:val="99"/>
    <w:rPr>
      <w:rFonts w:ascii="Tahoma" w:hAnsi="Tahoma" w:eastAsia="微软雅黑" w:cstheme="minorBidi"/>
      <w:sz w:val="22"/>
      <w:szCs w:val="22"/>
      <w:lang w:val="en-US" w:eastAsia="zh-CN" w:bidi="ar-SA"/>
    </w:rPr>
  </w:style>
  <w:style w:type="character" w:customStyle="1" w:styleId="33">
    <w:name w:val="font1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F1BA-CB0B-40EC-94F6-D58B72DACB2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980</Words>
  <Characters>5586</Characters>
  <Lines>46</Lines>
  <Paragraphs>13</Paragraphs>
  <TotalTime>3</TotalTime>
  <ScaleCrop>false</ScaleCrop>
  <LinksUpToDate>false</LinksUpToDate>
  <CharactersWithSpaces>6553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2019-10-28T11:40:00Z</dcterms:created>
  <dc:creator>Administrator</dc:creator>
  <cp:lastModifiedBy>Mr.翔</cp:lastModifiedBy>
  <dcterms:modified xsi:type="dcterms:W3CDTF">2023-09-19T07:49:35Z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32FA3AB4B2704C27BA3457B7141C1E0A</vt:lpwstr>
  </property>
</Properties>
</file>