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Style w:val="7"/>
          <w:rFonts w:asciiTheme="minorEastAsia" w:hAnsiTheme="minorEastAsia" w:eastAsiaTheme="minorEastAsia"/>
          <w:color w:val="auto"/>
        </w:rPr>
      </w:pPr>
    </w:p>
    <w:p>
      <w:pPr>
        <w:spacing w:line="360" w:lineRule="auto"/>
        <w:jc w:val="center"/>
        <w:rPr>
          <w:rStyle w:val="7"/>
          <w:rFonts w:asciiTheme="minorEastAsia" w:hAnsiTheme="minorEastAsia" w:eastAsiaTheme="minorEastAsia"/>
          <w:color w:val="auto"/>
        </w:rPr>
      </w:pPr>
      <w:r>
        <w:rPr>
          <w:rStyle w:val="7"/>
          <w:rFonts w:hint="eastAsia" w:asciiTheme="minorEastAsia" w:hAnsiTheme="minorEastAsia" w:eastAsiaTheme="minorEastAsia"/>
          <w:color w:val="auto"/>
        </w:rPr>
        <w:t>青岛</w:t>
      </w:r>
      <w:r>
        <w:rPr>
          <w:rStyle w:val="7"/>
          <w:rFonts w:asciiTheme="minorEastAsia" w:hAnsiTheme="minorEastAsia" w:eastAsiaTheme="minorEastAsia"/>
          <w:color w:val="auto"/>
        </w:rPr>
        <w:t>伟隆阀门股份有限公司</w:t>
      </w:r>
    </w:p>
    <w:p>
      <w:pPr>
        <w:spacing w:line="360" w:lineRule="auto"/>
        <w:jc w:val="center"/>
        <w:rPr>
          <w:rStyle w:val="8"/>
          <w:rFonts w:hint="default"/>
          <w:color w:val="auto"/>
          <w:sz w:val="24"/>
          <w:szCs w:val="24"/>
        </w:rPr>
      </w:pPr>
      <w:r>
        <w:rPr>
          <w:rStyle w:val="7"/>
          <w:rFonts w:asciiTheme="minorEastAsia" w:hAnsiTheme="minorEastAsia" w:eastAsiaTheme="minorEastAsia"/>
          <w:color w:val="auto"/>
        </w:rPr>
        <w:t>2023</w:t>
      </w:r>
      <w:r>
        <w:rPr>
          <w:rStyle w:val="8"/>
          <w:rFonts w:hint="default" w:asciiTheme="minorEastAsia" w:hAnsiTheme="minorEastAsia" w:eastAsiaTheme="minorEastAsia"/>
          <w:b/>
          <w:color w:val="auto"/>
        </w:rPr>
        <w:t>年度财务预算报告</w:t>
      </w:r>
      <w:r>
        <w:rPr>
          <w:rFonts w:hint="eastAsia"/>
          <w:sz w:val="30"/>
          <w:szCs w:val="30"/>
        </w:rPr>
        <w:br w:type="textWrapping"/>
      </w:r>
    </w:p>
    <w:p>
      <w:pPr>
        <w:numPr>
          <w:ilvl w:val="0"/>
          <w:numId w:val="1"/>
        </w:numPr>
        <w:spacing w:line="360" w:lineRule="auto"/>
        <w:ind w:firstLine="441" w:firstLineChars="183"/>
        <w:jc w:val="both"/>
        <w:rPr>
          <w:rStyle w:val="8"/>
          <w:rFonts w:hint="default"/>
          <w:b/>
          <w:color w:val="auto"/>
          <w:sz w:val="24"/>
          <w:szCs w:val="24"/>
          <w:highlight w:val="none"/>
        </w:rPr>
      </w:pPr>
      <w:r>
        <w:rPr>
          <w:rStyle w:val="8"/>
          <w:rFonts w:hint="default"/>
          <w:b/>
          <w:color w:val="auto"/>
          <w:sz w:val="24"/>
          <w:szCs w:val="24"/>
          <w:highlight w:val="none"/>
        </w:rPr>
        <w:t>预算编制说明</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本预算方案是以经和信会计师事务所（特殊普通合伙）审计的青岛伟隆阀门股份有限公司（以下简称“公司”）2022年度财务报告为基础，参考了公司近几年来的经营业绩及现时的经营能力，分析预测了公司所涉及产业目前的发展阶段、面临的竞争格局、未来的发展趋势以及国内外经济发展形势对公司所属产业的影响等而编制。本预算报告的编制遵循我国现行的法律、法规和企业会计制度，并按照公认的会计准则，秉着稳健、谨慎的原则编制而成。</w:t>
      </w:r>
    </w:p>
    <w:p>
      <w:pPr>
        <w:numPr>
          <w:ilvl w:val="0"/>
          <w:numId w:val="1"/>
        </w:numPr>
        <w:spacing w:line="360" w:lineRule="auto"/>
        <w:ind w:firstLine="441" w:firstLineChars="183"/>
        <w:jc w:val="both"/>
        <w:rPr>
          <w:rStyle w:val="8"/>
          <w:rFonts w:hint="default"/>
          <w:b/>
          <w:color w:val="auto"/>
          <w:sz w:val="24"/>
          <w:szCs w:val="24"/>
          <w:highlight w:val="none"/>
        </w:rPr>
      </w:pPr>
      <w:r>
        <w:rPr>
          <w:rStyle w:val="8"/>
          <w:rFonts w:hint="default"/>
          <w:b/>
          <w:color w:val="auto"/>
          <w:sz w:val="24"/>
          <w:szCs w:val="24"/>
          <w:highlight w:val="none"/>
        </w:rPr>
        <w:t xml:space="preserve">预算编制基本假设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 xml:space="preserve">1、公司所遵循的国家及地方现行的有关法律、法规及产业政策无重大变化；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 xml:space="preserve">2、公司经营业务所涉及的国家或地区的社会经济环境无重大改变，所在行业形势、市场行情、主要产品和原料的市场价格和供求关系无异常变化；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 xml:space="preserve">3、国家现有的银行贷款利率、通货膨胀率无重大改变；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 xml:space="preserve">4、公司所遵循的税收政策和有关税收优惠政策无重大改变；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5、公司的生产经营计划、营销计划、投资计划能够顺利执行，不受政府政策的重大影响；</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6、无其他</w:t>
      </w:r>
      <w:bookmarkStart w:id="5" w:name="_GoBack"/>
      <w:bookmarkEnd w:id="5"/>
      <w:r>
        <w:rPr>
          <w:rStyle w:val="8"/>
          <w:rFonts w:hint="default"/>
          <w:color w:val="auto"/>
          <w:sz w:val="24"/>
          <w:szCs w:val="24"/>
          <w:highlight w:val="none"/>
        </w:rPr>
        <w:t>人力不可预见及不可抗拒因素造成重大不利影响。</w:t>
      </w:r>
    </w:p>
    <w:p>
      <w:pPr>
        <w:numPr>
          <w:ilvl w:val="0"/>
          <w:numId w:val="1"/>
        </w:numPr>
        <w:spacing w:line="360" w:lineRule="auto"/>
        <w:ind w:firstLine="441" w:firstLineChars="183"/>
        <w:jc w:val="both"/>
        <w:rPr>
          <w:rStyle w:val="8"/>
          <w:rFonts w:hint="default"/>
          <w:b/>
          <w:color w:val="auto"/>
          <w:sz w:val="24"/>
          <w:szCs w:val="24"/>
          <w:highlight w:val="none"/>
        </w:rPr>
      </w:pPr>
      <w:r>
        <w:rPr>
          <w:rStyle w:val="8"/>
          <w:rFonts w:hint="default"/>
          <w:b/>
          <w:color w:val="auto"/>
          <w:sz w:val="24"/>
          <w:szCs w:val="24"/>
          <w:highlight w:val="none"/>
        </w:rPr>
        <w:t xml:space="preserve">2023 年度预算 </w:t>
      </w:r>
    </w:p>
    <w:p>
      <w:pPr>
        <w:spacing w:line="360" w:lineRule="auto"/>
        <w:ind w:firstLine="480" w:firstLineChars="200"/>
        <w:jc w:val="both"/>
        <w:rPr>
          <w:highlight w:val="none"/>
        </w:rPr>
      </w:pPr>
      <w:r>
        <w:rPr>
          <w:rStyle w:val="8"/>
          <w:rFonts w:hint="default"/>
          <w:color w:val="auto"/>
          <w:sz w:val="24"/>
          <w:szCs w:val="24"/>
          <w:highlight w:val="none"/>
        </w:rPr>
        <w:t>2023年度预算考虑到国内外经济上行压力、</w:t>
      </w:r>
      <w:r>
        <w:rPr>
          <w:rFonts w:hint="eastAsia" w:asciiTheme="minorEastAsia" w:hAnsiTheme="minorEastAsia" w:eastAsiaTheme="minorEastAsia"/>
          <w:sz w:val="24"/>
          <w:szCs w:val="24"/>
          <w:highlight w:val="none"/>
          <w:lang w:val="zh-CN"/>
        </w:rPr>
        <w:t>中美贸易争端压力升级、地缘政治不稳定等</w:t>
      </w:r>
      <w:r>
        <w:rPr>
          <w:rStyle w:val="8"/>
          <w:rFonts w:hint="default"/>
          <w:color w:val="auto"/>
          <w:sz w:val="24"/>
          <w:szCs w:val="24"/>
          <w:highlight w:val="none"/>
        </w:rPr>
        <w:t>带来的影响，结合2023年度的总体经营计划目标，公司力争通过管理团队的努力，实现</w:t>
      </w:r>
      <w:r>
        <w:rPr>
          <w:rFonts w:hint="eastAsia" w:ascii="宋体" w:hAnsi="宋体" w:eastAsia="宋体" w:cs="宋体"/>
          <w:sz w:val="24"/>
          <w:highlight w:val="none"/>
        </w:rPr>
        <w:t>202</w:t>
      </w:r>
      <w:r>
        <w:rPr>
          <w:rFonts w:ascii="宋体" w:hAnsi="宋体" w:eastAsia="宋体" w:cs="宋体"/>
          <w:sz w:val="24"/>
          <w:highlight w:val="none"/>
        </w:rPr>
        <w:t>3</w:t>
      </w:r>
      <w:r>
        <w:rPr>
          <w:rFonts w:hint="eastAsia" w:ascii="宋体" w:hAnsi="宋体" w:eastAsia="宋体" w:cs="宋体"/>
          <w:sz w:val="24"/>
          <w:highlight w:val="none"/>
        </w:rPr>
        <w:t>年度公司同比上一年营业收入增长</w:t>
      </w:r>
      <w:r>
        <w:rPr>
          <w:rFonts w:ascii="宋体" w:hAnsi="宋体" w:eastAsia="宋体" w:cs="宋体"/>
          <w:sz w:val="24"/>
          <w:highlight w:val="none"/>
        </w:rPr>
        <w:t>10</w:t>
      </w:r>
      <w:r>
        <w:rPr>
          <w:rFonts w:hint="eastAsia" w:ascii="宋体" w:hAnsi="宋体" w:eastAsia="宋体" w:cs="宋体"/>
          <w:sz w:val="24"/>
          <w:highlight w:val="none"/>
        </w:rPr>
        <w:t>%以上、净利润扣非后增长</w:t>
      </w:r>
      <w:r>
        <w:rPr>
          <w:rFonts w:ascii="宋体" w:hAnsi="宋体" w:eastAsia="宋体" w:cs="宋体"/>
          <w:sz w:val="24"/>
          <w:highlight w:val="none"/>
        </w:rPr>
        <w:t>3</w:t>
      </w:r>
      <w:r>
        <w:rPr>
          <w:rFonts w:hint="eastAsia" w:ascii="宋体" w:hAnsi="宋体" w:eastAsia="宋体" w:cs="宋体"/>
          <w:sz w:val="24"/>
          <w:highlight w:val="none"/>
        </w:rPr>
        <w:t>%以上的经营目标</w:t>
      </w:r>
      <w:r>
        <w:rPr>
          <w:rStyle w:val="8"/>
          <w:rFonts w:hint="default"/>
          <w:color w:val="auto"/>
          <w:sz w:val="24"/>
          <w:szCs w:val="24"/>
          <w:highlight w:val="none"/>
        </w:rPr>
        <w:t>。</w:t>
      </w:r>
      <w:r>
        <w:rPr>
          <w:rFonts w:hint="eastAsia" w:ascii="宋体" w:hAnsi="宋体" w:eastAsia="宋体" w:cs="宋体"/>
          <w:sz w:val="24"/>
          <w:highlight w:val="none"/>
        </w:rPr>
        <w:t xml:space="preserve"> </w:t>
      </w:r>
    </w:p>
    <w:p>
      <w:pPr>
        <w:numPr>
          <w:ilvl w:val="0"/>
          <w:numId w:val="1"/>
        </w:numPr>
        <w:spacing w:line="360" w:lineRule="auto"/>
        <w:ind w:firstLine="441" w:firstLineChars="183"/>
        <w:jc w:val="both"/>
        <w:rPr>
          <w:rStyle w:val="8"/>
          <w:rFonts w:hint="default"/>
          <w:b/>
          <w:color w:val="auto"/>
          <w:sz w:val="24"/>
          <w:szCs w:val="24"/>
          <w:highlight w:val="none"/>
        </w:rPr>
      </w:pPr>
      <w:r>
        <w:rPr>
          <w:rStyle w:val="8"/>
          <w:rFonts w:hint="default"/>
          <w:b/>
          <w:color w:val="auto"/>
          <w:sz w:val="24"/>
          <w:szCs w:val="24"/>
          <w:highlight w:val="none"/>
        </w:rPr>
        <w:t>确保预算完成的主要措施</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 xml:space="preserve">1、加大研发技术投入和力度，提高研发效率，提升产品技术工艺水平；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 xml:space="preserve">2、加强市场客户开发，保持产品技术领先优势，巩固并提高市场份额；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 xml:space="preserve">3、加强内控规范管理，实施精益变革措施，提升公司整体管理效率；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 xml:space="preserve">4、严格控制成本，推动生产自动化、数控化水平，提高产能、降低成本； </w:t>
      </w:r>
    </w:p>
    <w:p>
      <w:pPr>
        <w:spacing w:line="360" w:lineRule="auto"/>
        <w:ind w:firstLine="480" w:firstLineChars="200"/>
        <w:jc w:val="both"/>
        <w:rPr>
          <w:rStyle w:val="8"/>
          <w:rFonts w:hint="default"/>
          <w:color w:val="auto"/>
          <w:sz w:val="24"/>
          <w:szCs w:val="24"/>
          <w:highlight w:val="none"/>
        </w:rPr>
      </w:pPr>
      <w:r>
        <w:rPr>
          <w:rStyle w:val="8"/>
          <w:rFonts w:hint="default"/>
          <w:color w:val="auto"/>
          <w:sz w:val="24"/>
          <w:szCs w:val="24"/>
          <w:highlight w:val="none"/>
        </w:rPr>
        <w:t>5、加强员工队伍建设，保证员工队伍始终处于健康充满活力的状态。</w:t>
      </w:r>
    </w:p>
    <w:p>
      <w:pPr>
        <w:numPr>
          <w:ilvl w:val="0"/>
          <w:numId w:val="1"/>
        </w:numPr>
        <w:spacing w:line="360" w:lineRule="auto"/>
        <w:ind w:firstLine="441" w:firstLineChars="183"/>
        <w:jc w:val="both"/>
        <w:rPr>
          <w:rStyle w:val="8"/>
          <w:rFonts w:hint="default"/>
          <w:b/>
          <w:color w:val="auto"/>
          <w:sz w:val="24"/>
          <w:szCs w:val="24"/>
          <w:highlight w:val="none"/>
        </w:rPr>
      </w:pPr>
      <w:r>
        <w:rPr>
          <w:rStyle w:val="8"/>
          <w:rFonts w:hint="default"/>
          <w:b/>
          <w:color w:val="auto"/>
          <w:sz w:val="24"/>
          <w:szCs w:val="24"/>
          <w:highlight w:val="none"/>
        </w:rPr>
        <w:t xml:space="preserve">风险提示 </w:t>
      </w:r>
    </w:p>
    <w:p>
      <w:pPr>
        <w:spacing w:line="360" w:lineRule="auto"/>
        <w:ind w:firstLine="482" w:firstLineChars="200"/>
        <w:jc w:val="both"/>
        <w:rPr>
          <w:rStyle w:val="8"/>
          <w:rFonts w:hint="default"/>
          <w:b/>
          <w:bCs/>
          <w:color w:val="auto"/>
          <w:sz w:val="24"/>
          <w:szCs w:val="24"/>
          <w:highlight w:val="none"/>
        </w:rPr>
      </w:pPr>
      <w:r>
        <w:rPr>
          <w:rStyle w:val="8"/>
          <w:rFonts w:hint="default"/>
          <w:b/>
          <w:bCs/>
          <w:color w:val="auto"/>
          <w:sz w:val="24"/>
          <w:szCs w:val="24"/>
          <w:highlight w:val="none"/>
        </w:rPr>
        <w:t xml:space="preserve">本预算为公司2023年度经营计划的内部管理控制指标，并不代表公司的 盈利预测，能否实现取决于宏观经济环境、市场需求状况、国家产业政策调整 等多种因素，存在一定的不确定性，请投资者特别注意。 </w:t>
      </w:r>
    </w:p>
    <w:p>
      <w:pPr>
        <w:spacing w:line="360" w:lineRule="auto"/>
        <w:jc w:val="both"/>
        <w:rPr>
          <w:rStyle w:val="8"/>
          <w:rFonts w:hint="default"/>
          <w:color w:val="auto"/>
          <w:sz w:val="24"/>
          <w:szCs w:val="24"/>
          <w:highlight w:val="none"/>
        </w:rPr>
      </w:pPr>
      <w:r>
        <w:rPr>
          <w:rStyle w:val="8"/>
          <w:rFonts w:hint="default"/>
          <w:color w:val="auto"/>
          <w:sz w:val="24"/>
          <w:szCs w:val="24"/>
          <w:highlight w:val="none"/>
        </w:rPr>
        <w:t>特此报告。</w:t>
      </w:r>
    </w:p>
    <w:p>
      <w:pPr>
        <w:spacing w:line="360" w:lineRule="auto"/>
        <w:rPr>
          <w:rStyle w:val="8"/>
          <w:rFonts w:hint="default"/>
          <w:color w:val="auto"/>
          <w:sz w:val="24"/>
          <w:szCs w:val="24"/>
        </w:rPr>
      </w:pPr>
      <w:r>
        <w:rPr>
          <w:rStyle w:val="8"/>
          <w:rFonts w:hint="default"/>
          <w:color w:val="auto"/>
          <w:sz w:val="24"/>
          <w:szCs w:val="24"/>
        </w:rPr>
        <w:t xml:space="preserve"> </w:t>
      </w:r>
    </w:p>
    <w:p>
      <w:pPr>
        <w:spacing w:line="360" w:lineRule="auto"/>
        <w:ind w:left="2120" w:leftChars="800" w:hanging="360" w:hangingChars="150"/>
        <w:jc w:val="right"/>
        <w:rPr>
          <w:rStyle w:val="8"/>
          <w:rFonts w:hint="default"/>
          <w:color w:val="auto"/>
          <w:sz w:val="24"/>
          <w:szCs w:val="24"/>
        </w:rPr>
      </w:pPr>
      <w:r>
        <w:rPr>
          <w:rStyle w:val="8"/>
          <w:rFonts w:hint="default"/>
          <w:color w:val="auto"/>
          <w:sz w:val="24"/>
          <w:szCs w:val="24"/>
        </w:rPr>
        <w:t>青岛伟隆阀门股份有限公司</w:t>
      </w:r>
    </w:p>
    <w:p>
      <w:pPr>
        <w:wordWrap w:val="0"/>
        <w:spacing w:line="360" w:lineRule="auto"/>
        <w:ind w:left="2120" w:leftChars="800" w:hanging="360" w:hangingChars="150"/>
        <w:jc w:val="right"/>
        <w:rPr>
          <w:rStyle w:val="8"/>
          <w:rFonts w:hint="default"/>
          <w:color w:val="auto"/>
          <w:sz w:val="24"/>
          <w:szCs w:val="24"/>
        </w:rPr>
      </w:pPr>
      <w:r>
        <w:rPr>
          <w:rStyle w:val="8"/>
          <w:rFonts w:hint="default"/>
          <w:color w:val="auto"/>
          <w:sz w:val="24"/>
          <w:szCs w:val="24"/>
        </w:rPr>
        <w:t xml:space="preserve">董事会        </w:t>
      </w:r>
    </w:p>
    <w:p>
      <w:pPr>
        <w:wordWrap w:val="0"/>
        <w:spacing w:line="360" w:lineRule="auto"/>
        <w:ind w:left="2120" w:leftChars="800" w:hanging="360" w:hangingChars="150"/>
        <w:jc w:val="right"/>
        <w:rPr>
          <w:rFonts w:asciiTheme="minorEastAsia" w:hAnsiTheme="minorEastAsia" w:eastAsiaTheme="minorEastAsia"/>
          <w:sz w:val="24"/>
          <w:szCs w:val="24"/>
        </w:rPr>
      </w:pPr>
      <w:r>
        <w:rPr>
          <w:rStyle w:val="9"/>
          <w:rFonts w:asciiTheme="minorEastAsia" w:hAnsiTheme="minorEastAsia" w:eastAsiaTheme="minorEastAsia"/>
          <w:color w:val="auto"/>
          <w:sz w:val="24"/>
          <w:szCs w:val="24"/>
        </w:rPr>
        <w:t>20</w:t>
      </w:r>
      <w:r>
        <w:rPr>
          <w:rStyle w:val="9"/>
          <w:rFonts w:hint="eastAsia" w:asciiTheme="minorEastAsia" w:hAnsiTheme="minorEastAsia" w:eastAsiaTheme="minorEastAsia"/>
          <w:color w:val="auto"/>
          <w:sz w:val="24"/>
          <w:szCs w:val="24"/>
        </w:rPr>
        <w:t>2</w:t>
      </w:r>
      <w:r>
        <w:rPr>
          <w:rStyle w:val="9"/>
          <w:rFonts w:asciiTheme="minorEastAsia" w:hAnsiTheme="minorEastAsia" w:eastAsiaTheme="minorEastAsia"/>
          <w:color w:val="auto"/>
          <w:sz w:val="24"/>
          <w:szCs w:val="24"/>
        </w:rPr>
        <w:t>3</w:t>
      </w:r>
      <w:r>
        <w:rPr>
          <w:rStyle w:val="8"/>
          <w:rFonts w:hint="default" w:asciiTheme="minorEastAsia" w:hAnsiTheme="minorEastAsia" w:eastAsiaTheme="minorEastAsia"/>
          <w:color w:val="auto"/>
          <w:sz w:val="24"/>
          <w:szCs w:val="24"/>
        </w:rPr>
        <w:t>年</w:t>
      </w:r>
      <w:r>
        <w:rPr>
          <w:rStyle w:val="9"/>
          <w:rFonts w:asciiTheme="minorEastAsia" w:hAnsiTheme="minorEastAsia" w:eastAsiaTheme="minorEastAsia"/>
          <w:color w:val="auto"/>
          <w:sz w:val="24"/>
          <w:szCs w:val="24"/>
        </w:rPr>
        <w:t xml:space="preserve">3 </w:t>
      </w:r>
      <w:r>
        <w:rPr>
          <w:rStyle w:val="8"/>
          <w:rFonts w:hint="default" w:asciiTheme="minorEastAsia" w:hAnsiTheme="minorEastAsia" w:eastAsiaTheme="minorEastAsia"/>
          <w:color w:val="auto"/>
          <w:sz w:val="24"/>
          <w:szCs w:val="24"/>
        </w:rPr>
        <w:t xml:space="preserve">月 </w:t>
      </w:r>
      <w:r>
        <w:rPr>
          <w:rStyle w:val="9"/>
          <w:rFonts w:hint="eastAsia" w:asciiTheme="minorEastAsia" w:hAnsiTheme="minorEastAsia" w:eastAsiaTheme="minorEastAsia"/>
          <w:color w:val="auto"/>
          <w:sz w:val="24"/>
          <w:szCs w:val="24"/>
        </w:rPr>
        <w:t>2</w:t>
      </w:r>
      <w:r>
        <w:rPr>
          <w:rStyle w:val="9"/>
          <w:rFonts w:asciiTheme="minorEastAsia" w:hAnsiTheme="minorEastAsia" w:eastAsiaTheme="minorEastAsia"/>
          <w:color w:val="auto"/>
          <w:sz w:val="24"/>
          <w:szCs w:val="24"/>
        </w:rPr>
        <w:t>0</w:t>
      </w:r>
      <w:r>
        <w:rPr>
          <w:rStyle w:val="8"/>
          <w:rFonts w:hint="default" w:asciiTheme="minorEastAsia" w:hAnsiTheme="minorEastAsia" w:eastAsiaTheme="minorEastAsia"/>
          <w:color w:val="auto"/>
          <w:sz w:val="24"/>
          <w:szCs w:val="24"/>
        </w:rPr>
        <w:t xml:space="preserve">日   </w:t>
      </w:r>
    </w:p>
    <w:p>
      <w:pPr>
        <w:spacing w:line="360" w:lineRule="auto"/>
        <w:ind w:left="4290" w:leftChars="1500" w:hanging="990" w:hangingChars="450"/>
      </w:pPr>
    </w:p>
    <w:sectPr>
      <w:head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pPr>
    <w:bookmarkStart w:id="0" w:name="_Toc515812707"/>
    <w:bookmarkStart w:id="1" w:name="_Toc509307387"/>
    <w:bookmarkStart w:id="2" w:name="_Toc515812377"/>
    <w:bookmarkStart w:id="3" w:name="_Toc509307101"/>
    <w:bookmarkStart w:id="4" w:name="_Toc509306851"/>
    <w:r>
      <w:rPr>
        <w:rStyle w:val="7"/>
        <w:rFonts w:asciiTheme="minorEastAsia" w:hAnsiTheme="minorEastAsia" w:eastAsiaTheme="minorEastAsia"/>
      </w:rPr>
      <w:drawing>
        <wp:inline distT="0" distB="0" distL="0" distR="0">
          <wp:extent cx="1261110" cy="374650"/>
          <wp:effectExtent l="0" t="0" r="15240" b="6350"/>
          <wp:docPr id="1" name="图片 1" descr="WX20180319-09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20180319-095137"/>
                  <pic:cNvPicPr>
                    <a:picLocks noChangeAspect="1" noChangeArrowheads="1"/>
                  </pic:cNvPicPr>
                </pic:nvPicPr>
                <pic:blipFill>
                  <a:blip r:embed="rId1" cstate="print"/>
                  <a:srcRect/>
                  <a:stretch>
                    <a:fillRect/>
                  </a:stretch>
                </pic:blipFill>
                <pic:spPr>
                  <a:xfrm>
                    <a:off x="0" y="0"/>
                    <a:ext cx="1268932" cy="377468"/>
                  </a:xfrm>
                  <a:prstGeom prst="rect">
                    <a:avLst/>
                  </a:prstGeom>
                  <a:noFill/>
                  <a:ln w="9525">
                    <a:noFill/>
                    <a:miter lim="800000"/>
                    <a:headEnd/>
                    <a:tailEnd/>
                  </a:ln>
                </pic:spPr>
              </pic:pic>
            </a:graphicData>
          </a:graphic>
        </wp:inline>
      </w:drawing>
    </w:r>
    <w:bookmarkEnd w:id="0"/>
    <w:bookmarkEnd w:id="1"/>
    <w:bookmarkEnd w:id="2"/>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F5F818"/>
    <w:multiLevelType w:val="singleLevel"/>
    <w:tmpl w:val="6AF5F8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OTRiYWIwNzkzYTg0MzhhYmIxYTgwNmNhNDYxODQzNjMifQ=="/>
  </w:docVars>
  <w:rsids>
    <w:rsidRoot w:val="00D31D50"/>
    <w:rsid w:val="00073199"/>
    <w:rsid w:val="000D2D00"/>
    <w:rsid w:val="000F5C46"/>
    <w:rsid w:val="00113F26"/>
    <w:rsid w:val="00264A77"/>
    <w:rsid w:val="00294ABD"/>
    <w:rsid w:val="00295AC6"/>
    <w:rsid w:val="00323B43"/>
    <w:rsid w:val="0035531E"/>
    <w:rsid w:val="00355D3A"/>
    <w:rsid w:val="003630F5"/>
    <w:rsid w:val="003D37D8"/>
    <w:rsid w:val="0041780B"/>
    <w:rsid w:val="0042477F"/>
    <w:rsid w:val="00426133"/>
    <w:rsid w:val="004358AB"/>
    <w:rsid w:val="00491842"/>
    <w:rsid w:val="00496D2D"/>
    <w:rsid w:val="004D7AB0"/>
    <w:rsid w:val="004E45FD"/>
    <w:rsid w:val="004E647D"/>
    <w:rsid w:val="00597913"/>
    <w:rsid w:val="005B42D7"/>
    <w:rsid w:val="005C7C5B"/>
    <w:rsid w:val="005E66B1"/>
    <w:rsid w:val="005F4919"/>
    <w:rsid w:val="006B381B"/>
    <w:rsid w:val="00741589"/>
    <w:rsid w:val="007F64F1"/>
    <w:rsid w:val="007F7DF5"/>
    <w:rsid w:val="008221C9"/>
    <w:rsid w:val="008A74D8"/>
    <w:rsid w:val="008B7726"/>
    <w:rsid w:val="008C3A4B"/>
    <w:rsid w:val="008E1763"/>
    <w:rsid w:val="00933473"/>
    <w:rsid w:val="009D3F26"/>
    <w:rsid w:val="00A13C72"/>
    <w:rsid w:val="00B811C3"/>
    <w:rsid w:val="00BA18B7"/>
    <w:rsid w:val="00BE55CE"/>
    <w:rsid w:val="00C25FDC"/>
    <w:rsid w:val="00C43A7C"/>
    <w:rsid w:val="00C654EA"/>
    <w:rsid w:val="00C73EFE"/>
    <w:rsid w:val="00CC465F"/>
    <w:rsid w:val="00D31D50"/>
    <w:rsid w:val="00D7798E"/>
    <w:rsid w:val="00DA251E"/>
    <w:rsid w:val="00ED4A00"/>
    <w:rsid w:val="00FB1EF5"/>
    <w:rsid w:val="06661418"/>
    <w:rsid w:val="12131B2F"/>
    <w:rsid w:val="1B59031A"/>
    <w:rsid w:val="1B7F2852"/>
    <w:rsid w:val="2FF51833"/>
    <w:rsid w:val="33794FEE"/>
    <w:rsid w:val="36BE2EBD"/>
    <w:rsid w:val="391B78F6"/>
    <w:rsid w:val="42901470"/>
    <w:rsid w:val="46EF7E04"/>
    <w:rsid w:val="475961D3"/>
    <w:rsid w:val="57031ACD"/>
    <w:rsid w:val="58F633ED"/>
    <w:rsid w:val="6994555E"/>
    <w:rsid w:val="7F986A02"/>
    <w:rsid w:val="7FCB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pPr>
      <w:spacing w:after="0"/>
    </w:pPr>
    <w:rPr>
      <w:sz w:val="18"/>
      <w:szCs w:val="18"/>
    </w:rPr>
  </w:style>
  <w:style w:type="paragraph" w:styleId="3">
    <w:name w:val="footer"/>
    <w:basedOn w:val="1"/>
    <w:link w:val="11"/>
    <w:semiHidden/>
    <w:unhideWhenUsed/>
    <w:qFormat/>
    <w:uiPriority w:val="99"/>
    <w:pPr>
      <w:tabs>
        <w:tab w:val="center" w:pos="4153"/>
        <w:tab w:val="right" w:pos="8306"/>
      </w:tabs>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fontstyle01"/>
    <w:basedOn w:val="6"/>
    <w:qFormat/>
    <w:uiPriority w:val="0"/>
    <w:rPr>
      <w:rFonts w:hint="default" w:ascii="Times New Roman" w:hAnsi="Times New Roman" w:cs="Times New Roman"/>
      <w:b/>
      <w:bCs/>
      <w:color w:val="000000"/>
      <w:sz w:val="30"/>
      <w:szCs w:val="30"/>
    </w:rPr>
  </w:style>
  <w:style w:type="character" w:customStyle="1" w:styleId="8">
    <w:name w:val="fontstyle11"/>
    <w:basedOn w:val="6"/>
    <w:qFormat/>
    <w:uiPriority w:val="0"/>
    <w:rPr>
      <w:rFonts w:hint="eastAsia" w:ascii="宋体" w:hAnsi="宋体" w:eastAsia="宋体"/>
      <w:color w:val="000000"/>
      <w:sz w:val="30"/>
      <w:szCs w:val="30"/>
    </w:rPr>
  </w:style>
  <w:style w:type="character" w:customStyle="1" w:styleId="9">
    <w:name w:val="fontstyle31"/>
    <w:basedOn w:val="6"/>
    <w:qFormat/>
    <w:uiPriority w:val="0"/>
    <w:rPr>
      <w:rFonts w:hint="default" w:ascii="Times New Roman" w:hAnsi="Times New Roman" w:cs="Times New Roman"/>
      <w:color w:val="000000"/>
      <w:sz w:val="22"/>
      <w:szCs w:val="22"/>
    </w:rPr>
  </w:style>
  <w:style w:type="character" w:customStyle="1" w:styleId="10">
    <w:name w:val="页眉 字符"/>
    <w:basedOn w:val="6"/>
    <w:link w:val="4"/>
    <w:semiHidden/>
    <w:qFormat/>
    <w:uiPriority w:val="99"/>
    <w:rPr>
      <w:rFonts w:ascii="Tahoma" w:hAnsi="Tahoma"/>
      <w:sz w:val="18"/>
      <w:szCs w:val="18"/>
    </w:rPr>
  </w:style>
  <w:style w:type="character" w:customStyle="1" w:styleId="11">
    <w:name w:val="页脚 字符"/>
    <w:basedOn w:val="6"/>
    <w:link w:val="3"/>
    <w:semiHidden/>
    <w:qFormat/>
    <w:uiPriority w:val="99"/>
    <w:rPr>
      <w:rFonts w:ascii="Tahoma" w:hAnsi="Tahoma"/>
      <w:sz w:val="18"/>
      <w:szCs w:val="18"/>
    </w:rPr>
  </w:style>
  <w:style w:type="character" w:customStyle="1" w:styleId="12">
    <w:name w:val="批注框文本 字符"/>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140</Words>
  <Characters>804</Characters>
  <Lines>6</Lines>
  <Paragraphs>1</Paragraphs>
  <TotalTime>20</TotalTime>
  <ScaleCrop>false</ScaleCrop>
  <LinksUpToDate>false</LinksUpToDate>
  <CharactersWithSpaces>943</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zhaoxiang</dc:creator>
  <cp:lastModifiedBy>Mr.翔</cp:lastModifiedBy>
  <dcterms:modified xsi:type="dcterms:W3CDTF">2023-03-17T03:29:54Z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0812C8B3296A415B871A21D8A1DF5AAA</vt:lpwstr>
  </property>
</Properties>
</file>