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56" w:beforeLines="50" w:after="156" w:afterLines="50" w:line="360" w:lineRule="auto"/>
        <w:jc w:val="center"/>
        <w:rPr>
          <w:rFonts w:cs="Times New Roman" w:asciiTheme="minorEastAsia" w:hAnsiTheme="minorEastAsia"/>
          <w:szCs w:val="21"/>
        </w:rPr>
      </w:pPr>
      <w:r>
        <w:rPr>
          <w:rFonts w:hint="eastAsia" w:cs="Times New Roman" w:asciiTheme="minorEastAsia" w:hAnsiTheme="minorEastAsia"/>
          <w:szCs w:val="21"/>
        </w:rPr>
        <w:t>证券代码：002871           证券简称：伟隆股份     公告编号：2023-</w:t>
      </w:r>
      <w:r>
        <w:rPr>
          <w:rFonts w:cs="Times New Roman" w:asciiTheme="minorEastAsia" w:hAnsiTheme="minorEastAsia"/>
          <w:szCs w:val="21"/>
        </w:rPr>
        <w:t>0</w:t>
      </w:r>
      <w:r>
        <w:rPr>
          <w:rFonts w:hint="eastAsia" w:cs="Times New Roman" w:asciiTheme="minorEastAsia" w:hAnsiTheme="minorEastAsia"/>
          <w:szCs w:val="21"/>
        </w:rPr>
        <w:t>1</w:t>
      </w:r>
      <w:r>
        <w:rPr>
          <w:rFonts w:cs="Times New Roman" w:asciiTheme="minorEastAsia" w:hAnsiTheme="minorEastAsia"/>
          <w:szCs w:val="21"/>
        </w:rPr>
        <w:t>3</w:t>
      </w:r>
    </w:p>
    <w:p>
      <w:pPr>
        <w:spacing w:before="156" w:beforeLines="50" w:after="156" w:afterLines="50" w:line="360" w:lineRule="auto"/>
        <w:jc w:val="center"/>
        <w:rPr>
          <w:rFonts w:cs="宋体" w:asciiTheme="minorEastAsia" w:hAnsiTheme="minorEastAsia"/>
          <w:b/>
          <w:bCs/>
          <w:sz w:val="28"/>
          <w:szCs w:val="24"/>
        </w:rPr>
      </w:pPr>
      <w:r>
        <w:rPr>
          <w:rFonts w:hint="eastAsia" w:asciiTheme="minorEastAsia" w:hAnsiTheme="minorEastAsia"/>
          <w:b/>
          <w:bCs/>
          <w:sz w:val="28"/>
        </w:rPr>
        <w:t>青岛伟隆阀门股份有限公司</w:t>
      </w:r>
    </w:p>
    <w:p>
      <w:pPr>
        <w:spacing w:before="156" w:beforeLines="50" w:after="156" w:afterLines="50" w:line="360" w:lineRule="auto"/>
        <w:jc w:val="center"/>
        <w:rPr>
          <w:rFonts w:asciiTheme="minorEastAsia" w:hAnsiTheme="minorEastAsia"/>
          <w:b/>
          <w:bCs/>
          <w:sz w:val="28"/>
        </w:rPr>
      </w:pPr>
      <w:r>
        <w:rPr>
          <w:rFonts w:hint="eastAsia" w:asciiTheme="minorEastAsia" w:hAnsiTheme="minorEastAsia"/>
          <w:b/>
          <w:bCs/>
          <w:sz w:val="28"/>
        </w:rPr>
        <w:t>关于投资建设智慧节能阀门建设项目的公告</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56" w:beforeLines="50" w:after="156" w:afterLines="50" w:line="360" w:lineRule="auto"/>
              <w:ind w:firstLine="420" w:firstLineChars="200"/>
              <w:rPr>
                <w:rFonts w:asciiTheme="minorEastAsia" w:hAnsiTheme="minorEastAsia"/>
                <w:sz w:val="24"/>
              </w:rPr>
            </w:pPr>
            <w:r>
              <w:rPr>
                <w:rFonts w:hint="eastAsia" w:asciiTheme="minorEastAsia" w:hAnsiTheme="minorEastAsia"/>
              </w:rPr>
              <w:t>本公司及董事会全体成员保证信息披露内容的真实、准确和完整，没有虚假记载、误导性陈述或重大遗漏。</w:t>
            </w:r>
          </w:p>
        </w:tc>
      </w:tr>
    </w:tbl>
    <w:p>
      <w:pPr>
        <w:spacing w:line="360" w:lineRule="auto"/>
        <w:rPr>
          <w:rFonts w:ascii="Times New Roman" w:hAnsi="Times New Roman" w:cs="Times New Roman"/>
          <w:snapToGrid w:val="0"/>
          <w:sz w:val="24"/>
          <w:szCs w:val="24"/>
        </w:rPr>
      </w:pPr>
    </w:p>
    <w:p>
      <w:pPr>
        <w:snapToGrid w:val="0"/>
        <w:spacing w:before="156" w:beforeLines="50" w:line="360" w:lineRule="auto"/>
        <w:ind w:firstLine="482"/>
        <w:rPr>
          <w:rFonts w:ascii="Times New Roman" w:hAnsi="Times New Roman" w:cs="Times New Roman"/>
          <w:sz w:val="24"/>
        </w:rPr>
      </w:pPr>
      <w:r>
        <w:rPr>
          <w:rFonts w:hint="eastAsia" w:ascii="Times New Roman" w:hAnsi="Times New Roman" w:cs="Times New Roman"/>
          <w:sz w:val="24"/>
        </w:rPr>
        <w:t>青岛伟隆阀门股份有限公司（以下简称“公司”）于2</w:t>
      </w:r>
      <w:r>
        <w:rPr>
          <w:rFonts w:ascii="Times New Roman" w:hAnsi="Times New Roman" w:cs="Times New Roman"/>
          <w:sz w:val="24"/>
        </w:rPr>
        <w:t>023</w:t>
      </w:r>
      <w:r>
        <w:rPr>
          <w:rFonts w:hint="eastAsia" w:ascii="Times New Roman" w:hAnsi="Times New Roman" w:cs="Times New Roman"/>
          <w:sz w:val="24"/>
        </w:rPr>
        <w:t>年1月1</w:t>
      </w:r>
      <w:r>
        <w:rPr>
          <w:rFonts w:ascii="Times New Roman" w:hAnsi="Times New Roman" w:cs="Times New Roman"/>
          <w:sz w:val="24"/>
        </w:rPr>
        <w:t>6</w:t>
      </w:r>
      <w:r>
        <w:rPr>
          <w:rFonts w:hint="eastAsia" w:ascii="Times New Roman" w:hAnsi="Times New Roman" w:cs="Times New Roman"/>
          <w:sz w:val="24"/>
        </w:rPr>
        <w:t>日召开了第四届董事会第十七次会议，审议通过了《关于投资建设智慧节能阀门建设项目的议案》。公司拟投资建设“智慧节能阀门建设项目”，项目建设周期为</w:t>
      </w:r>
      <w:r>
        <w:rPr>
          <w:rFonts w:ascii="Times New Roman" w:hAnsi="Times New Roman" w:cs="Times New Roman"/>
          <w:sz w:val="24"/>
        </w:rPr>
        <w:t>36</w:t>
      </w:r>
      <w:r>
        <w:rPr>
          <w:rFonts w:hint="eastAsia" w:ascii="Times New Roman" w:hAnsi="Times New Roman" w:cs="Times New Roman"/>
          <w:sz w:val="24"/>
        </w:rPr>
        <w:t>个月，项目总投资为2</w:t>
      </w:r>
      <w:r>
        <w:rPr>
          <w:rFonts w:ascii="Times New Roman" w:hAnsi="Times New Roman" w:cs="Times New Roman"/>
          <w:sz w:val="24"/>
        </w:rPr>
        <w:t>9,377.91</w:t>
      </w:r>
      <w:r>
        <w:rPr>
          <w:rFonts w:hint="eastAsia" w:ascii="Times New Roman" w:hAnsi="Times New Roman" w:cs="Times New Roman"/>
          <w:sz w:val="24"/>
        </w:rPr>
        <w:t>万元，本事项无需提交股东大会审议。本事项不构成关联交易，亦不构成《上市公司重大资产重组管理办法》规定的重大资产重组。现将具体内容公告如下：</w:t>
      </w:r>
    </w:p>
    <w:p>
      <w:pPr>
        <w:pStyle w:val="21"/>
        <w:numPr>
          <w:ilvl w:val="0"/>
          <w:numId w:val="1"/>
        </w:numPr>
        <w:snapToGrid w:val="0"/>
        <w:spacing w:before="156" w:beforeLines="50" w:line="360" w:lineRule="auto"/>
        <w:ind w:firstLineChars="0"/>
        <w:rPr>
          <w:rFonts w:ascii="Times New Roman" w:hAnsi="Times New Roman" w:cs="Times New Roman"/>
          <w:b/>
          <w:bCs/>
          <w:sz w:val="24"/>
        </w:rPr>
      </w:pPr>
      <w:r>
        <w:rPr>
          <w:rFonts w:hint="eastAsia" w:ascii="Times New Roman" w:hAnsi="Times New Roman" w:cs="Times New Roman"/>
          <w:b/>
          <w:bCs/>
          <w:sz w:val="24"/>
        </w:rPr>
        <w:t>本项目实施主体</w:t>
      </w:r>
    </w:p>
    <w:tbl>
      <w:tblPr>
        <w:tblStyle w:val="7"/>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snapToGrid w:val="0"/>
              <w:spacing w:line="240" w:lineRule="auto"/>
              <w:jc w:val="center"/>
              <w:rPr>
                <w:rFonts w:ascii="Times New Roman" w:hAnsi="Times New Roman" w:cs="Times New Roman"/>
                <w:b/>
                <w:bCs/>
                <w:szCs w:val="21"/>
              </w:rPr>
            </w:pPr>
            <w:r>
              <w:rPr>
                <w:rFonts w:hint="eastAsia" w:ascii="Times New Roman" w:hAnsi="Times New Roman" w:cs="Times New Roman"/>
                <w:b/>
                <w:bCs/>
                <w:szCs w:val="21"/>
              </w:rPr>
              <w:t>公司名称</w:t>
            </w:r>
          </w:p>
        </w:tc>
        <w:tc>
          <w:tcPr>
            <w:tcW w:w="6287" w:type="dxa"/>
          </w:tcPr>
          <w:p>
            <w:pPr>
              <w:snapToGrid w:val="0"/>
              <w:spacing w:line="240" w:lineRule="auto"/>
              <w:rPr>
                <w:rFonts w:ascii="Times New Roman" w:hAnsi="Times New Roman" w:cs="Times New Roman"/>
                <w:szCs w:val="21"/>
              </w:rPr>
            </w:pPr>
            <w:r>
              <w:rPr>
                <w:rFonts w:hint="eastAsia" w:ascii="Times New Roman" w:hAnsi="Times New Roman" w:cs="Times New Roman"/>
                <w:szCs w:val="21"/>
              </w:rPr>
              <w:t>青岛伟隆阀门股份有限公司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snapToGrid w:val="0"/>
              <w:spacing w:line="240" w:lineRule="auto"/>
              <w:jc w:val="center"/>
              <w:rPr>
                <w:rFonts w:ascii="Times New Roman" w:hAnsi="Times New Roman" w:cs="Times New Roman"/>
                <w:b/>
                <w:bCs/>
                <w:szCs w:val="21"/>
              </w:rPr>
            </w:pPr>
            <w:r>
              <w:rPr>
                <w:rFonts w:hint="eastAsia" w:ascii="Times New Roman" w:hAnsi="Times New Roman" w:cs="Times New Roman"/>
                <w:b/>
                <w:bCs/>
                <w:szCs w:val="21"/>
              </w:rPr>
              <w:t>法定代表人</w:t>
            </w:r>
          </w:p>
        </w:tc>
        <w:tc>
          <w:tcPr>
            <w:tcW w:w="6287" w:type="dxa"/>
          </w:tcPr>
          <w:p>
            <w:pPr>
              <w:snapToGrid w:val="0"/>
              <w:spacing w:line="240" w:lineRule="auto"/>
              <w:rPr>
                <w:rFonts w:ascii="Times New Roman" w:hAnsi="Times New Roman" w:cs="Times New Roman"/>
                <w:szCs w:val="21"/>
              </w:rPr>
            </w:pPr>
            <w:r>
              <w:rPr>
                <w:rFonts w:hint="eastAsia" w:ascii="Times New Roman" w:hAnsi="Times New Roman" w:cs="Times New Roman"/>
                <w:szCs w:val="21"/>
              </w:rPr>
              <w:t>范庆伟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snapToGrid w:val="0"/>
              <w:spacing w:line="240" w:lineRule="auto"/>
              <w:jc w:val="center"/>
              <w:rPr>
                <w:rFonts w:ascii="Times New Roman" w:hAnsi="Times New Roman" w:cs="Times New Roman"/>
                <w:b/>
                <w:bCs/>
                <w:szCs w:val="21"/>
              </w:rPr>
            </w:pPr>
            <w:r>
              <w:rPr>
                <w:rFonts w:hint="eastAsia" w:ascii="Times New Roman" w:hAnsi="Times New Roman" w:cs="Times New Roman"/>
                <w:b/>
                <w:bCs/>
                <w:szCs w:val="21"/>
              </w:rPr>
              <w:t>注册资本</w:t>
            </w:r>
          </w:p>
        </w:tc>
        <w:tc>
          <w:tcPr>
            <w:tcW w:w="6287" w:type="dxa"/>
          </w:tcPr>
          <w:p>
            <w:pPr>
              <w:snapToGrid w:val="0"/>
              <w:spacing w:line="240" w:lineRule="auto"/>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6,887.7148</w:t>
            </w:r>
            <w:r>
              <w:rPr>
                <w:rFonts w:hint="eastAsia" w:ascii="Times New Roman" w:hAnsi="Times New Roman" w:cs="Times New Roman"/>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snapToGrid w:val="0"/>
              <w:spacing w:line="240" w:lineRule="auto"/>
              <w:jc w:val="center"/>
              <w:rPr>
                <w:rFonts w:ascii="Times New Roman" w:hAnsi="Times New Roman" w:cs="Times New Roman"/>
                <w:b/>
                <w:bCs/>
                <w:szCs w:val="21"/>
              </w:rPr>
            </w:pPr>
            <w:r>
              <w:rPr>
                <w:rFonts w:hint="eastAsia" w:ascii="Times New Roman" w:hAnsi="Times New Roman" w:cs="Times New Roman"/>
                <w:b/>
                <w:bCs/>
                <w:szCs w:val="21"/>
              </w:rPr>
              <w:t>成立日期</w:t>
            </w:r>
          </w:p>
        </w:tc>
        <w:tc>
          <w:tcPr>
            <w:tcW w:w="6287" w:type="dxa"/>
          </w:tcPr>
          <w:p>
            <w:pPr>
              <w:snapToGrid w:val="0"/>
              <w:spacing w:line="240" w:lineRule="auto"/>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995</w:t>
            </w:r>
            <w:r>
              <w:rPr>
                <w:rFonts w:hint="eastAsia" w:ascii="Times New Roman" w:hAnsi="Times New Roman" w:cs="Times New Roman"/>
                <w:szCs w:val="21"/>
              </w:rPr>
              <w:t>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snapToGrid w:val="0"/>
              <w:spacing w:line="240" w:lineRule="auto"/>
              <w:jc w:val="center"/>
              <w:rPr>
                <w:rFonts w:ascii="Times New Roman" w:hAnsi="Times New Roman" w:cs="Times New Roman"/>
                <w:b/>
                <w:bCs/>
                <w:szCs w:val="21"/>
              </w:rPr>
            </w:pPr>
            <w:r>
              <w:rPr>
                <w:rFonts w:hint="eastAsia" w:ascii="Times New Roman" w:hAnsi="Times New Roman" w:cs="Times New Roman"/>
                <w:b/>
                <w:bCs/>
                <w:szCs w:val="21"/>
              </w:rPr>
              <w:t>注册地址</w:t>
            </w:r>
          </w:p>
        </w:tc>
        <w:tc>
          <w:tcPr>
            <w:tcW w:w="6287" w:type="dxa"/>
          </w:tcPr>
          <w:p>
            <w:pPr>
              <w:snapToGrid w:val="0"/>
              <w:spacing w:line="240" w:lineRule="auto"/>
              <w:rPr>
                <w:rFonts w:ascii="Times New Roman" w:hAnsi="Times New Roman" w:cs="Times New Roman"/>
                <w:szCs w:val="21"/>
              </w:rPr>
            </w:pPr>
            <w:r>
              <w:rPr>
                <w:rFonts w:hint="eastAsia" w:ascii="Times New Roman" w:hAnsi="Times New Roman" w:cs="Times New Roman"/>
                <w:szCs w:val="21"/>
              </w:rPr>
              <w:t>山东省青岛市高新区春阳路7</w:t>
            </w:r>
            <w:r>
              <w:rPr>
                <w:rFonts w:ascii="Times New Roman" w:hAnsi="Times New Roman" w:cs="Times New Roman"/>
                <w:szCs w:val="21"/>
              </w:rPr>
              <w:t>89</w:t>
            </w:r>
            <w:r>
              <w:rPr>
                <w:rFonts w:hint="eastAsia" w:ascii="Times New Roman" w:hAnsi="Times New Roman" w:cs="Times New Roman"/>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pPr>
              <w:snapToGrid w:val="0"/>
              <w:spacing w:line="240" w:lineRule="auto"/>
              <w:jc w:val="center"/>
              <w:rPr>
                <w:rFonts w:ascii="Times New Roman" w:hAnsi="Times New Roman" w:cs="Times New Roman"/>
                <w:b/>
                <w:bCs/>
                <w:szCs w:val="21"/>
              </w:rPr>
            </w:pPr>
            <w:r>
              <w:rPr>
                <w:rFonts w:hint="eastAsia" w:ascii="Times New Roman" w:hAnsi="Times New Roman" w:cs="Times New Roman"/>
                <w:b/>
                <w:bCs/>
                <w:szCs w:val="21"/>
              </w:rPr>
              <w:t>经营范围</w:t>
            </w:r>
          </w:p>
        </w:tc>
        <w:tc>
          <w:tcPr>
            <w:tcW w:w="6287" w:type="dxa"/>
          </w:tcPr>
          <w:p>
            <w:pPr>
              <w:snapToGrid w:val="0"/>
              <w:spacing w:line="240" w:lineRule="auto"/>
              <w:rPr>
                <w:rFonts w:ascii="Times New Roman" w:hAnsi="Times New Roman" w:cs="Times New Roman"/>
                <w:szCs w:val="21"/>
              </w:rPr>
            </w:pPr>
            <w:r>
              <w:rPr>
                <w:rFonts w:hint="eastAsia" w:ascii="Times New Roman" w:hAnsi="Times New Roman" w:cs="Times New Roman"/>
                <w:szCs w:val="21"/>
              </w:rPr>
              <w:t>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w:t>
            </w:r>
          </w:p>
        </w:tc>
      </w:tr>
    </w:tbl>
    <w:p>
      <w:pPr>
        <w:pStyle w:val="21"/>
        <w:numPr>
          <w:ilvl w:val="0"/>
          <w:numId w:val="1"/>
        </w:numPr>
        <w:snapToGrid w:val="0"/>
        <w:spacing w:before="156" w:beforeLines="50" w:line="360" w:lineRule="auto"/>
        <w:ind w:firstLineChars="0"/>
        <w:rPr>
          <w:rFonts w:ascii="Times New Roman" w:hAnsi="Times New Roman" w:cs="Times New Roman"/>
          <w:b/>
          <w:bCs/>
          <w:sz w:val="24"/>
        </w:rPr>
      </w:pPr>
      <w:r>
        <w:rPr>
          <w:rFonts w:hint="eastAsia" w:ascii="Times New Roman" w:hAnsi="Times New Roman" w:cs="Times New Roman"/>
          <w:b/>
          <w:bCs/>
          <w:sz w:val="24"/>
        </w:rPr>
        <w:t>本次拟投资项目的基本情况</w:t>
      </w:r>
    </w:p>
    <w:p>
      <w:pPr>
        <w:snapToGrid w:val="0"/>
        <w:spacing w:before="156" w:beforeLines="50" w:after="156" w:afterLines="50" w:line="360" w:lineRule="auto"/>
        <w:ind w:firstLine="480"/>
        <w:rPr>
          <w:b/>
          <w:bCs/>
          <w:sz w:val="24"/>
          <w:szCs w:val="24"/>
        </w:rPr>
      </w:pPr>
      <w:r>
        <w:rPr>
          <w:rFonts w:hint="eastAsia"/>
          <w:b/>
          <w:bCs/>
          <w:sz w:val="24"/>
          <w:szCs w:val="24"/>
        </w:rPr>
        <w:t>（一）项目名称</w:t>
      </w:r>
    </w:p>
    <w:p>
      <w:pPr>
        <w:snapToGrid w:val="0"/>
        <w:spacing w:before="156" w:beforeLines="50" w:after="156" w:afterLines="50" w:line="360" w:lineRule="auto"/>
        <w:ind w:firstLine="480" w:firstLineChars="200"/>
        <w:rPr>
          <w:sz w:val="24"/>
          <w:szCs w:val="24"/>
        </w:rPr>
      </w:pPr>
      <w:r>
        <w:rPr>
          <w:rFonts w:hint="eastAsia"/>
          <w:sz w:val="24"/>
          <w:szCs w:val="24"/>
        </w:rPr>
        <w:t>智慧节能阀门建设项目。</w:t>
      </w:r>
    </w:p>
    <w:p>
      <w:pPr>
        <w:snapToGrid w:val="0"/>
        <w:spacing w:before="156" w:beforeLines="50" w:after="156" w:afterLines="50" w:line="360" w:lineRule="auto"/>
        <w:ind w:firstLine="480"/>
        <w:rPr>
          <w:sz w:val="24"/>
          <w:szCs w:val="24"/>
        </w:rPr>
      </w:pPr>
      <w:r>
        <w:rPr>
          <w:rFonts w:hint="eastAsia"/>
          <w:sz w:val="24"/>
          <w:szCs w:val="24"/>
        </w:rPr>
        <w:t>（</w:t>
      </w:r>
      <w:r>
        <w:rPr>
          <w:rFonts w:hint="eastAsia" w:ascii="Times New Roman" w:hAnsi="Times New Roman" w:cs="Times New Roman"/>
          <w:b/>
          <w:bCs/>
          <w:sz w:val="24"/>
        </w:rPr>
        <w:t>二）项目建设地点</w:t>
      </w:r>
    </w:p>
    <w:p>
      <w:pPr>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本项目拟建设地点位于青岛市高新技术产业开发区科韵路东延长线以南、春阳路以北、华贯路以东、规划华东路以西地块</w:t>
      </w:r>
      <w:r>
        <w:rPr>
          <w:rFonts w:hint="eastAsia" w:ascii="宋体" w:hAnsi="宋体" w:eastAsia="宋体" w:cs="Times New Roman"/>
          <w:sz w:val="24"/>
          <w:szCs w:val="24"/>
        </w:rPr>
        <w:t>。截至本公告出具日，公司尚未取得该地块土地使用权。</w:t>
      </w:r>
    </w:p>
    <w:p>
      <w:pPr>
        <w:spacing w:before="156" w:beforeLines="50" w:after="156" w:afterLines="50" w:line="360" w:lineRule="auto"/>
        <w:ind w:firstLine="480"/>
        <w:rPr>
          <w:rFonts w:ascii="Times New Roman" w:hAnsi="Times New Roman" w:cs="Times New Roman"/>
          <w:b/>
          <w:bCs/>
          <w:sz w:val="24"/>
          <w:szCs w:val="24"/>
        </w:rPr>
      </w:pPr>
      <w:r>
        <w:rPr>
          <w:rFonts w:hint="eastAsia" w:ascii="Times New Roman" w:hAnsi="Times New Roman" w:cs="Times New Roman"/>
          <w:b/>
          <w:bCs/>
          <w:sz w:val="24"/>
          <w:szCs w:val="24"/>
        </w:rPr>
        <w:t>（三）项目投资</w:t>
      </w:r>
    </w:p>
    <w:p>
      <w:pPr>
        <w:spacing w:before="156" w:beforeLines="50" w:after="156" w:afterLines="5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本项目总投资29,377.91万元</w:t>
      </w:r>
      <w:r>
        <w:rPr>
          <w:rFonts w:hint="eastAsia" w:ascii="Times New Roman" w:hAnsi="Times New Roman" w:cs="Times New Roman"/>
          <w:sz w:val="24"/>
          <w:szCs w:val="24"/>
        </w:rPr>
        <w:t>。</w:t>
      </w:r>
    </w:p>
    <w:p>
      <w:pPr>
        <w:spacing w:before="156" w:beforeLines="50" w:after="156" w:afterLines="50" w:line="360" w:lineRule="auto"/>
        <w:ind w:firstLine="480"/>
        <w:rPr>
          <w:rFonts w:ascii="Times New Roman" w:hAnsi="Times New Roman" w:cs="Times New Roman"/>
          <w:b/>
          <w:bCs/>
          <w:sz w:val="24"/>
          <w:szCs w:val="24"/>
        </w:rPr>
      </w:pPr>
      <w:r>
        <w:rPr>
          <w:rFonts w:hint="eastAsia" w:ascii="Times New Roman" w:hAnsi="Times New Roman" w:cs="Times New Roman"/>
          <w:b/>
          <w:bCs/>
          <w:sz w:val="24"/>
          <w:szCs w:val="24"/>
        </w:rPr>
        <w:t>（四）建设周期</w:t>
      </w:r>
    </w:p>
    <w:p>
      <w:pPr>
        <w:spacing w:before="156" w:beforeLines="50" w:after="156" w:after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本项目建设周期为3</w:t>
      </w:r>
      <w:r>
        <w:rPr>
          <w:rFonts w:ascii="Times New Roman" w:hAnsi="Times New Roman" w:cs="Times New Roman"/>
          <w:sz w:val="24"/>
          <w:szCs w:val="24"/>
        </w:rPr>
        <w:t>6</w:t>
      </w:r>
      <w:r>
        <w:rPr>
          <w:rFonts w:hint="eastAsia" w:ascii="Times New Roman" w:hAnsi="Times New Roman" w:cs="Times New Roman"/>
          <w:sz w:val="24"/>
          <w:szCs w:val="24"/>
        </w:rPr>
        <w:t>个月。</w:t>
      </w:r>
    </w:p>
    <w:p>
      <w:pPr>
        <w:spacing w:before="156" w:beforeLines="50" w:after="156" w:afterLines="50" w:line="360" w:lineRule="auto"/>
        <w:ind w:firstLine="480"/>
        <w:rPr>
          <w:rFonts w:ascii="Times New Roman" w:hAnsi="Times New Roman" w:cs="Times New Roman"/>
          <w:b/>
          <w:bCs/>
          <w:sz w:val="24"/>
          <w:szCs w:val="24"/>
        </w:rPr>
      </w:pPr>
      <w:r>
        <w:rPr>
          <w:rFonts w:hint="eastAsia" w:ascii="Times New Roman" w:hAnsi="Times New Roman" w:cs="Times New Roman"/>
          <w:b/>
          <w:bCs/>
          <w:sz w:val="24"/>
          <w:szCs w:val="24"/>
        </w:rPr>
        <w:t>（五）项目产品</w:t>
      </w:r>
    </w:p>
    <w:p>
      <w:pPr>
        <w:spacing w:before="156" w:beforeLines="50" w:after="156" w:after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本项目主要产品为智慧节能阀门。</w:t>
      </w:r>
    </w:p>
    <w:p>
      <w:pPr>
        <w:spacing w:before="156" w:beforeLines="50" w:after="156" w:afterLines="50" w:line="360" w:lineRule="auto"/>
        <w:ind w:firstLine="480"/>
        <w:rPr>
          <w:rFonts w:ascii="Times New Roman" w:hAnsi="Times New Roman" w:cs="Times New Roman"/>
          <w:b/>
          <w:bCs/>
          <w:sz w:val="24"/>
          <w:szCs w:val="24"/>
        </w:rPr>
      </w:pPr>
      <w:r>
        <w:rPr>
          <w:rFonts w:hint="eastAsia" w:ascii="Times New Roman" w:hAnsi="Times New Roman" w:cs="Times New Roman"/>
          <w:b/>
          <w:bCs/>
          <w:sz w:val="24"/>
          <w:szCs w:val="24"/>
        </w:rPr>
        <w:t>（六）项目财务效益预测</w:t>
      </w:r>
    </w:p>
    <w:p>
      <w:pPr>
        <w:widowControl/>
        <w:adjustRightInd/>
        <w:spacing w:before="156" w:beforeLines="50"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本项目工程建成达产后静态投资回收期（税后）为7.58年（包括建设期），具有良好的经济效益。</w:t>
      </w:r>
    </w:p>
    <w:p>
      <w:pPr>
        <w:widowControl/>
        <w:adjustRightInd/>
        <w:spacing w:before="156" w:beforeLines="50" w:after="156" w:afterLines="50" w:line="360" w:lineRule="auto"/>
        <w:ind w:firstLine="482" w:firstLineChars="200"/>
        <w:rPr>
          <w:rFonts w:ascii="Times New Roman" w:hAnsi="Times New Roman" w:eastAsia="宋体" w:cs="宋体"/>
          <w:b/>
          <w:bCs/>
          <w:sz w:val="24"/>
          <w:szCs w:val="24"/>
        </w:rPr>
      </w:pPr>
      <w:r>
        <w:rPr>
          <w:rFonts w:hint="eastAsia" w:ascii="Times New Roman" w:hAnsi="Times New Roman" w:eastAsia="宋体" w:cs="宋体"/>
          <w:b/>
          <w:bCs/>
          <w:sz w:val="24"/>
          <w:szCs w:val="24"/>
        </w:rPr>
        <w:t>三、本项目的风险评价</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本投资建设项目受市场环境变化、行业政策变化等不可抗力影响，在后续的实施过程中存在不确定性。项目未来的经营业绩受市场行情波动等因素的影响，也存在不确定性。项目建设周期较长，投产后可能存在因市场供给关系发生较大变化及国家相关政策发生重大调整，导致市场价格大幅下滑，进而导致项目经济效益不达预期的风险。</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公司将加强项目实施监督管理和风险控制，并根据项目的推进情况，及时履行审批程序和信息披露义务，请广大投资者注意投资风险。</w:t>
      </w:r>
    </w:p>
    <w:p>
      <w:pPr>
        <w:spacing w:before="156" w:beforeLines="50" w:after="156" w:afterLines="50" w:line="360" w:lineRule="auto"/>
        <w:ind w:firstLine="482" w:firstLineChars="200"/>
        <w:rPr>
          <w:rFonts w:ascii="宋体" w:hAnsi="宋体" w:eastAsia="宋体"/>
          <w:b/>
          <w:bCs/>
          <w:sz w:val="24"/>
          <w:szCs w:val="24"/>
        </w:rPr>
      </w:pPr>
      <w:r>
        <w:rPr>
          <w:rFonts w:hint="eastAsia" w:ascii="宋体" w:hAnsi="宋体" w:eastAsia="宋体"/>
          <w:b/>
          <w:bCs/>
          <w:sz w:val="24"/>
          <w:szCs w:val="24"/>
        </w:rPr>
        <w:t>四、本次项目投资的目的及对公司的影响</w:t>
      </w:r>
    </w:p>
    <w:p>
      <w:pPr>
        <w:spacing w:before="156" w:beforeLines="50" w:after="156" w:afterLines="50" w:line="360" w:lineRule="auto"/>
        <w:ind w:firstLine="480" w:firstLineChars="200"/>
        <w:rPr>
          <w:sz w:val="24"/>
          <w:szCs w:val="24"/>
        </w:rPr>
      </w:pPr>
      <w:r>
        <w:rPr>
          <w:sz w:val="24"/>
          <w:szCs w:val="24"/>
        </w:rPr>
        <w:t>本项目的建设和实施有利于进一步提升</w:t>
      </w:r>
      <w:r>
        <w:rPr>
          <w:rFonts w:hint="eastAsia"/>
          <w:sz w:val="24"/>
          <w:szCs w:val="24"/>
        </w:rPr>
        <w:t>公司</w:t>
      </w:r>
      <w:r>
        <w:rPr>
          <w:sz w:val="24"/>
          <w:szCs w:val="24"/>
        </w:rPr>
        <w:t>产能，夯实公司</w:t>
      </w:r>
      <w:r>
        <w:rPr>
          <w:rFonts w:hint="eastAsia"/>
          <w:sz w:val="24"/>
          <w:szCs w:val="24"/>
        </w:rPr>
        <w:t>阀门</w:t>
      </w:r>
      <w:r>
        <w:rPr>
          <w:sz w:val="24"/>
          <w:szCs w:val="24"/>
        </w:rPr>
        <w:t>主业；有利于发挥公司规模效应优势，壮大公司综合实力；有利于提升公司</w:t>
      </w:r>
      <w:r>
        <w:rPr>
          <w:rFonts w:hint="eastAsia"/>
          <w:sz w:val="24"/>
          <w:szCs w:val="24"/>
        </w:rPr>
        <w:t>行业竞争</w:t>
      </w:r>
      <w:r>
        <w:rPr>
          <w:sz w:val="24"/>
          <w:szCs w:val="24"/>
        </w:rPr>
        <w:t>能力，巩固行业领先地位；有利于顺应产业发展趋势，扩大公司技术领先优势；有利于扩大新型</w:t>
      </w:r>
      <w:r>
        <w:rPr>
          <w:rFonts w:hint="eastAsia"/>
          <w:sz w:val="24"/>
          <w:szCs w:val="24"/>
        </w:rPr>
        <w:t>智慧节能阀门</w:t>
      </w:r>
      <w:r>
        <w:rPr>
          <w:sz w:val="24"/>
          <w:szCs w:val="24"/>
        </w:rPr>
        <w:t>技术的应用，为国家</w:t>
      </w:r>
      <w:r>
        <w:rPr>
          <w:rFonts w:hint="eastAsia"/>
          <w:sz w:val="24"/>
          <w:szCs w:val="24"/>
        </w:rPr>
        <w:t>相关</w:t>
      </w:r>
      <w:r>
        <w:rPr>
          <w:sz w:val="24"/>
          <w:szCs w:val="24"/>
        </w:rPr>
        <w:t>产业转型升级实现高质量发展提供示范，促进公司长期稳定发展。</w:t>
      </w:r>
    </w:p>
    <w:p>
      <w:pPr>
        <w:spacing w:before="156" w:beforeLines="50" w:after="156" w:afterLines="50" w:line="360" w:lineRule="auto"/>
        <w:ind w:firstLine="482" w:firstLineChars="200"/>
        <w:rPr>
          <w:b/>
          <w:bCs/>
          <w:sz w:val="24"/>
          <w:szCs w:val="24"/>
        </w:rPr>
      </w:pPr>
      <w:r>
        <w:rPr>
          <w:rFonts w:hint="eastAsia"/>
          <w:b/>
          <w:bCs/>
          <w:sz w:val="24"/>
          <w:szCs w:val="24"/>
        </w:rPr>
        <w:t>五、备查文件</w:t>
      </w:r>
    </w:p>
    <w:p>
      <w:pPr>
        <w:spacing w:before="156" w:beforeLines="50" w:after="156" w:afterLines="50" w:line="360" w:lineRule="auto"/>
        <w:ind w:firstLine="480" w:firstLineChars="200"/>
        <w:rPr>
          <w:rFonts w:hint="eastAsia" w:eastAsiaTheme="minorEastAsia"/>
          <w:sz w:val="24"/>
          <w:szCs w:val="24"/>
          <w:lang w:eastAsia="zh-CN"/>
        </w:rPr>
      </w:pPr>
      <w:r>
        <w:rPr>
          <w:rFonts w:hint="default"/>
          <w:sz w:val="24"/>
          <w:szCs w:val="24"/>
          <w:lang w:val="en-US"/>
        </w:rPr>
        <w:t>1</w:t>
      </w:r>
      <w:r>
        <w:rPr>
          <w:rFonts w:hint="eastAsia"/>
          <w:sz w:val="24"/>
          <w:szCs w:val="24"/>
          <w:lang w:val="en-US" w:eastAsia="zh-CN"/>
        </w:rPr>
        <w:t>、</w:t>
      </w:r>
      <w:r>
        <w:rPr>
          <w:rFonts w:hint="eastAsia"/>
          <w:sz w:val="24"/>
          <w:szCs w:val="24"/>
        </w:rPr>
        <w:t>《青岛伟隆阀门股份有限公司第四届董事会第十七次会议决议》</w:t>
      </w:r>
      <w:r>
        <w:rPr>
          <w:rFonts w:hint="eastAsia"/>
          <w:sz w:val="24"/>
          <w:szCs w:val="24"/>
          <w:lang w:eastAsia="zh-CN"/>
        </w:rPr>
        <w:t>；</w:t>
      </w:r>
    </w:p>
    <w:p>
      <w:pPr>
        <w:spacing w:before="156" w:beforeLines="50" w:after="156" w:afterLines="50" w:line="360" w:lineRule="auto"/>
        <w:ind w:firstLine="480" w:firstLineChars="200"/>
        <w:rPr>
          <w:sz w:val="24"/>
          <w:szCs w:val="24"/>
        </w:rPr>
      </w:pPr>
      <w:r>
        <w:rPr>
          <w:rFonts w:hint="eastAsia"/>
          <w:sz w:val="24"/>
          <w:szCs w:val="24"/>
          <w:lang w:val="en-US" w:eastAsia="zh-CN"/>
        </w:rPr>
        <w:t>2</w:t>
      </w:r>
      <w:bookmarkStart w:id="0" w:name="_GoBack"/>
      <w:bookmarkEnd w:id="0"/>
      <w:r>
        <w:rPr>
          <w:rFonts w:hint="eastAsia"/>
          <w:sz w:val="24"/>
          <w:szCs w:val="24"/>
          <w:lang w:val="en-US" w:eastAsia="zh-CN"/>
        </w:rPr>
        <w:t>、</w:t>
      </w:r>
      <w:r>
        <w:rPr>
          <w:rFonts w:hint="eastAsia"/>
          <w:sz w:val="24"/>
          <w:szCs w:val="24"/>
        </w:rPr>
        <w:t>《青岛伟隆阀门股份有限公司第四届</w:t>
      </w:r>
      <w:r>
        <w:rPr>
          <w:rFonts w:hint="eastAsia"/>
          <w:sz w:val="24"/>
          <w:szCs w:val="24"/>
          <w:lang w:eastAsia="zh-CN"/>
        </w:rPr>
        <w:t>监</w:t>
      </w:r>
      <w:r>
        <w:rPr>
          <w:rFonts w:hint="eastAsia"/>
          <w:sz w:val="24"/>
          <w:szCs w:val="24"/>
        </w:rPr>
        <w:t>事会第十</w:t>
      </w:r>
      <w:r>
        <w:rPr>
          <w:rFonts w:hint="eastAsia"/>
          <w:sz w:val="24"/>
          <w:szCs w:val="24"/>
          <w:lang w:eastAsia="zh-CN"/>
        </w:rPr>
        <w:t>四</w:t>
      </w:r>
      <w:r>
        <w:rPr>
          <w:rFonts w:hint="eastAsia"/>
          <w:sz w:val="24"/>
          <w:szCs w:val="24"/>
        </w:rPr>
        <w:t>次会议决议》。</w:t>
      </w:r>
    </w:p>
    <w:p>
      <w:pPr>
        <w:spacing w:before="156" w:beforeLines="50" w:after="156" w:afterLines="50" w:line="360" w:lineRule="auto"/>
        <w:ind w:firstLine="480" w:firstLineChars="200"/>
        <w:rPr>
          <w:sz w:val="24"/>
          <w:szCs w:val="24"/>
        </w:rPr>
      </w:pPr>
    </w:p>
    <w:p>
      <w:pPr>
        <w:spacing w:before="156" w:beforeLines="50" w:after="156" w:afterLines="50" w:line="360" w:lineRule="auto"/>
        <w:ind w:firstLine="480" w:firstLineChars="200"/>
        <w:rPr>
          <w:sz w:val="24"/>
          <w:szCs w:val="24"/>
        </w:rPr>
      </w:pPr>
      <w:r>
        <w:rPr>
          <w:rFonts w:hint="eastAsia"/>
          <w:sz w:val="24"/>
          <w:szCs w:val="24"/>
        </w:rPr>
        <w:t>特此公告。</w:t>
      </w:r>
    </w:p>
    <w:p>
      <w:pPr>
        <w:spacing w:before="156" w:beforeLines="50" w:after="156" w:afterLines="50" w:line="360" w:lineRule="auto"/>
        <w:ind w:firstLine="480" w:firstLineChars="200"/>
        <w:rPr>
          <w:rFonts w:ascii="宋体" w:hAnsi="宋体" w:eastAsia="宋体"/>
          <w:sz w:val="24"/>
          <w:szCs w:val="24"/>
        </w:rPr>
      </w:pPr>
    </w:p>
    <w:p>
      <w:pPr>
        <w:widowControl/>
        <w:adjustRightInd/>
        <w:spacing w:before="156" w:beforeLines="50" w:after="156" w:afterLines="50" w:line="360" w:lineRule="auto"/>
        <w:ind w:firstLine="4560" w:firstLineChars="1900"/>
        <w:jc w:val="right"/>
        <w:rPr>
          <w:rFonts w:ascii="Times New Roman" w:hAnsi="Times New Roman" w:cs="Times New Roman"/>
          <w:b/>
          <w:sz w:val="24"/>
          <w:szCs w:val="24"/>
        </w:rPr>
      </w:pPr>
      <w:r>
        <w:rPr>
          <w:rFonts w:hint="eastAsia" w:ascii="宋体" w:hAnsi="宋体" w:eastAsia="宋体" w:cs="宋体"/>
          <w:sz w:val="24"/>
          <w:szCs w:val="24"/>
        </w:rPr>
        <w:t xml:space="preserve">青岛伟隆阀门股份有限公司董事会 </w:t>
      </w:r>
      <w:r>
        <w:rPr>
          <w:rFonts w:hint="eastAsia" w:ascii="Times New Roman" w:hAnsi="Times New Roman" w:cs="Times New Roman"/>
          <w:sz w:val="24"/>
        </w:rPr>
        <w:t>202</w:t>
      </w:r>
      <w:r>
        <w:rPr>
          <w:rFonts w:ascii="Times New Roman" w:hAnsi="Times New Roman" w:cs="Times New Roman"/>
          <w:sz w:val="24"/>
        </w:rPr>
        <w:t>3</w:t>
      </w:r>
      <w:r>
        <w:rPr>
          <w:rFonts w:hint="eastAsia" w:ascii="Times New Roman" w:hAnsi="Times New Roman" w:cs="Times New Roman"/>
          <w:sz w:val="24"/>
        </w:rPr>
        <w:t>年1月1</w:t>
      </w:r>
      <w:r>
        <w:rPr>
          <w:rFonts w:ascii="Times New Roman" w:hAnsi="Times New Roman" w:cs="Times New Roman"/>
          <w:sz w:val="24"/>
        </w:rPr>
        <w:t>7</w:t>
      </w:r>
      <w:r>
        <w:rPr>
          <w:rFonts w:hint="eastAsia" w:ascii="Times New Roman" w:hAnsi="Times New Roman" w:cs="Times New Roman"/>
          <w:sz w:val="24"/>
        </w:rPr>
        <w:t>日</w:t>
      </w:r>
    </w:p>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788247"/>
      <w:docPartObj>
        <w:docPartGallery w:val="AutoText"/>
      </w:docPartObj>
    </w:sdtPr>
    <w:sdtEndPr>
      <w:rPr>
        <w:rFonts w:ascii="Times New Roman" w:hAnsi="Times New Roman" w:eastAsia="宋体"/>
      </w:rPr>
    </w:sdtEndPr>
    <w:sdtContent>
      <w:p>
        <w:pPr>
          <w:pStyle w:val="4"/>
          <w:jc w:val="cente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PAGE   \* MERGEFORMAT</w:instrText>
        </w:r>
        <w:r>
          <w:rPr>
            <w:rFonts w:ascii="Times New Roman" w:hAnsi="Times New Roman" w:eastAsia="宋体"/>
          </w:rPr>
          <w:fldChar w:fldCharType="separate"/>
        </w:r>
        <w:r>
          <w:rPr>
            <w:rFonts w:ascii="Times New Roman" w:hAnsi="Times New Roman" w:eastAsia="宋体"/>
            <w:lang w:val="zh-CN"/>
          </w:rPr>
          <w:t>2</w:t>
        </w:r>
        <w:r>
          <w:rPr>
            <w:rFonts w:ascii="Times New Roman" w:hAnsi="Times New Roman" w:eastAsia="宋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E7096"/>
    <w:multiLevelType w:val="multilevel"/>
    <w:tmpl w:val="6E4E7096"/>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556CF7"/>
    <w:rsid w:val="00002D32"/>
    <w:rsid w:val="00007876"/>
    <w:rsid w:val="000102AE"/>
    <w:rsid w:val="00016C3B"/>
    <w:rsid w:val="00017190"/>
    <w:rsid w:val="00017701"/>
    <w:rsid w:val="00023532"/>
    <w:rsid w:val="00024240"/>
    <w:rsid w:val="000247F3"/>
    <w:rsid w:val="00034FBA"/>
    <w:rsid w:val="0004016F"/>
    <w:rsid w:val="0004284A"/>
    <w:rsid w:val="000462D0"/>
    <w:rsid w:val="00047C8B"/>
    <w:rsid w:val="000500E5"/>
    <w:rsid w:val="00050956"/>
    <w:rsid w:val="00053D7C"/>
    <w:rsid w:val="00060DD6"/>
    <w:rsid w:val="00064DC3"/>
    <w:rsid w:val="00070B60"/>
    <w:rsid w:val="00071AC8"/>
    <w:rsid w:val="00072789"/>
    <w:rsid w:val="000775BC"/>
    <w:rsid w:val="00083314"/>
    <w:rsid w:val="00087CAE"/>
    <w:rsid w:val="00090E77"/>
    <w:rsid w:val="00093D50"/>
    <w:rsid w:val="00093D6D"/>
    <w:rsid w:val="000940DF"/>
    <w:rsid w:val="00094A04"/>
    <w:rsid w:val="00095E04"/>
    <w:rsid w:val="00097C66"/>
    <w:rsid w:val="000A0570"/>
    <w:rsid w:val="000A2EE1"/>
    <w:rsid w:val="000A30A7"/>
    <w:rsid w:val="000A692F"/>
    <w:rsid w:val="000B24DB"/>
    <w:rsid w:val="000B4C43"/>
    <w:rsid w:val="000C05C7"/>
    <w:rsid w:val="000C2B04"/>
    <w:rsid w:val="000C47C8"/>
    <w:rsid w:val="000C7EDE"/>
    <w:rsid w:val="000D4C18"/>
    <w:rsid w:val="000D6E4E"/>
    <w:rsid w:val="000E1D47"/>
    <w:rsid w:val="000E20D9"/>
    <w:rsid w:val="000E24A3"/>
    <w:rsid w:val="000F1D3B"/>
    <w:rsid w:val="000F3DAD"/>
    <w:rsid w:val="000F6039"/>
    <w:rsid w:val="000F72D8"/>
    <w:rsid w:val="00105BB0"/>
    <w:rsid w:val="00114EEB"/>
    <w:rsid w:val="00114EF6"/>
    <w:rsid w:val="00126DBF"/>
    <w:rsid w:val="001303A2"/>
    <w:rsid w:val="00132CA4"/>
    <w:rsid w:val="00132E3A"/>
    <w:rsid w:val="001440DA"/>
    <w:rsid w:val="00151886"/>
    <w:rsid w:val="00155950"/>
    <w:rsid w:val="0015672B"/>
    <w:rsid w:val="0016076A"/>
    <w:rsid w:val="001708AA"/>
    <w:rsid w:val="00170F48"/>
    <w:rsid w:val="00173B5E"/>
    <w:rsid w:val="001801A0"/>
    <w:rsid w:val="00184446"/>
    <w:rsid w:val="00185365"/>
    <w:rsid w:val="00191835"/>
    <w:rsid w:val="00197A21"/>
    <w:rsid w:val="001A237A"/>
    <w:rsid w:val="001A7EF9"/>
    <w:rsid w:val="001B2CC8"/>
    <w:rsid w:val="001B41DF"/>
    <w:rsid w:val="001B6DD0"/>
    <w:rsid w:val="001C74AE"/>
    <w:rsid w:val="001D0934"/>
    <w:rsid w:val="001D2CC8"/>
    <w:rsid w:val="001D4745"/>
    <w:rsid w:val="001D632D"/>
    <w:rsid w:val="001D6B9E"/>
    <w:rsid w:val="001E10EC"/>
    <w:rsid w:val="001E3923"/>
    <w:rsid w:val="001E5EBA"/>
    <w:rsid w:val="001E7D94"/>
    <w:rsid w:val="001F03ED"/>
    <w:rsid w:val="001F2C23"/>
    <w:rsid w:val="001F4A94"/>
    <w:rsid w:val="001F4BEE"/>
    <w:rsid w:val="001F5CF5"/>
    <w:rsid w:val="00210721"/>
    <w:rsid w:val="00212E5A"/>
    <w:rsid w:val="00213923"/>
    <w:rsid w:val="00214E6D"/>
    <w:rsid w:val="00221959"/>
    <w:rsid w:val="0022259C"/>
    <w:rsid w:val="00223D95"/>
    <w:rsid w:val="00227060"/>
    <w:rsid w:val="0023660D"/>
    <w:rsid w:val="00243539"/>
    <w:rsid w:val="00250B88"/>
    <w:rsid w:val="00253807"/>
    <w:rsid w:val="0025456E"/>
    <w:rsid w:val="00254EFE"/>
    <w:rsid w:val="00256BFD"/>
    <w:rsid w:val="002576D4"/>
    <w:rsid w:val="002622F4"/>
    <w:rsid w:val="0026561D"/>
    <w:rsid w:val="00267608"/>
    <w:rsid w:val="00271BCD"/>
    <w:rsid w:val="00271EA5"/>
    <w:rsid w:val="00273330"/>
    <w:rsid w:val="00276D97"/>
    <w:rsid w:val="00277B58"/>
    <w:rsid w:val="00290FEF"/>
    <w:rsid w:val="00291138"/>
    <w:rsid w:val="00291319"/>
    <w:rsid w:val="002A5773"/>
    <w:rsid w:val="002B2144"/>
    <w:rsid w:val="002B23CF"/>
    <w:rsid w:val="002B59A8"/>
    <w:rsid w:val="002B668A"/>
    <w:rsid w:val="002C4FCB"/>
    <w:rsid w:val="002C7C29"/>
    <w:rsid w:val="002D76E1"/>
    <w:rsid w:val="002D78FD"/>
    <w:rsid w:val="002E43C4"/>
    <w:rsid w:val="002E448B"/>
    <w:rsid w:val="002F118B"/>
    <w:rsid w:val="002F579E"/>
    <w:rsid w:val="00300095"/>
    <w:rsid w:val="00305282"/>
    <w:rsid w:val="003069C3"/>
    <w:rsid w:val="00321B4F"/>
    <w:rsid w:val="003221A8"/>
    <w:rsid w:val="00330DF8"/>
    <w:rsid w:val="003448CF"/>
    <w:rsid w:val="00345ECE"/>
    <w:rsid w:val="00350F65"/>
    <w:rsid w:val="00353CFD"/>
    <w:rsid w:val="00362A4F"/>
    <w:rsid w:val="00365AA8"/>
    <w:rsid w:val="00365C4A"/>
    <w:rsid w:val="00366590"/>
    <w:rsid w:val="00366D9C"/>
    <w:rsid w:val="00367104"/>
    <w:rsid w:val="00373CD5"/>
    <w:rsid w:val="00376399"/>
    <w:rsid w:val="0038025D"/>
    <w:rsid w:val="0038513C"/>
    <w:rsid w:val="003906FB"/>
    <w:rsid w:val="00390B97"/>
    <w:rsid w:val="00390DB8"/>
    <w:rsid w:val="00392166"/>
    <w:rsid w:val="00392C3F"/>
    <w:rsid w:val="003944DC"/>
    <w:rsid w:val="00396058"/>
    <w:rsid w:val="003A2288"/>
    <w:rsid w:val="003A361B"/>
    <w:rsid w:val="003A3C4E"/>
    <w:rsid w:val="003A55FB"/>
    <w:rsid w:val="003A57DF"/>
    <w:rsid w:val="003B0E63"/>
    <w:rsid w:val="003B0E92"/>
    <w:rsid w:val="003B5DCC"/>
    <w:rsid w:val="003B6C5F"/>
    <w:rsid w:val="003C70F3"/>
    <w:rsid w:val="003C7A12"/>
    <w:rsid w:val="003D6773"/>
    <w:rsid w:val="003F5DF3"/>
    <w:rsid w:val="00402E8F"/>
    <w:rsid w:val="0040624F"/>
    <w:rsid w:val="00415691"/>
    <w:rsid w:val="00421872"/>
    <w:rsid w:val="00426E11"/>
    <w:rsid w:val="004336CF"/>
    <w:rsid w:val="004356CD"/>
    <w:rsid w:val="00436F8A"/>
    <w:rsid w:val="00437D87"/>
    <w:rsid w:val="00440BD4"/>
    <w:rsid w:val="004410FC"/>
    <w:rsid w:val="00441CA9"/>
    <w:rsid w:val="004443FD"/>
    <w:rsid w:val="0044643C"/>
    <w:rsid w:val="00446F96"/>
    <w:rsid w:val="00453514"/>
    <w:rsid w:val="00460570"/>
    <w:rsid w:val="00461C19"/>
    <w:rsid w:val="00471245"/>
    <w:rsid w:val="00473103"/>
    <w:rsid w:val="00481CB4"/>
    <w:rsid w:val="00483B08"/>
    <w:rsid w:val="00483F93"/>
    <w:rsid w:val="00485332"/>
    <w:rsid w:val="004910B4"/>
    <w:rsid w:val="00493561"/>
    <w:rsid w:val="004965FD"/>
    <w:rsid w:val="00496E10"/>
    <w:rsid w:val="004A089C"/>
    <w:rsid w:val="004A0A54"/>
    <w:rsid w:val="004A1791"/>
    <w:rsid w:val="004A5431"/>
    <w:rsid w:val="004A7208"/>
    <w:rsid w:val="004B7279"/>
    <w:rsid w:val="004C4DEC"/>
    <w:rsid w:val="004C5DCE"/>
    <w:rsid w:val="004C6CD5"/>
    <w:rsid w:val="004D781F"/>
    <w:rsid w:val="004E24AF"/>
    <w:rsid w:val="004E3598"/>
    <w:rsid w:val="004E4ED1"/>
    <w:rsid w:val="004F2BA3"/>
    <w:rsid w:val="00501919"/>
    <w:rsid w:val="00503D82"/>
    <w:rsid w:val="00507221"/>
    <w:rsid w:val="00510A2E"/>
    <w:rsid w:val="0051203A"/>
    <w:rsid w:val="00512943"/>
    <w:rsid w:val="00513C69"/>
    <w:rsid w:val="00514FDB"/>
    <w:rsid w:val="005159F2"/>
    <w:rsid w:val="0052183D"/>
    <w:rsid w:val="00522294"/>
    <w:rsid w:val="00522374"/>
    <w:rsid w:val="00524A51"/>
    <w:rsid w:val="00532FFB"/>
    <w:rsid w:val="00533966"/>
    <w:rsid w:val="00534439"/>
    <w:rsid w:val="00545968"/>
    <w:rsid w:val="005507A6"/>
    <w:rsid w:val="00553957"/>
    <w:rsid w:val="00556CF7"/>
    <w:rsid w:val="00560C71"/>
    <w:rsid w:val="0056280B"/>
    <w:rsid w:val="005637F6"/>
    <w:rsid w:val="005663A6"/>
    <w:rsid w:val="00567383"/>
    <w:rsid w:val="0056790E"/>
    <w:rsid w:val="00567C7E"/>
    <w:rsid w:val="005735C1"/>
    <w:rsid w:val="00576117"/>
    <w:rsid w:val="00583EB0"/>
    <w:rsid w:val="00585F3E"/>
    <w:rsid w:val="00594BAE"/>
    <w:rsid w:val="005973F5"/>
    <w:rsid w:val="005A08D0"/>
    <w:rsid w:val="005A1000"/>
    <w:rsid w:val="005A6038"/>
    <w:rsid w:val="005B3848"/>
    <w:rsid w:val="005C296D"/>
    <w:rsid w:val="005C6B1D"/>
    <w:rsid w:val="005C77D9"/>
    <w:rsid w:val="005D0879"/>
    <w:rsid w:val="005D2AD2"/>
    <w:rsid w:val="005D3B78"/>
    <w:rsid w:val="005D6847"/>
    <w:rsid w:val="005D6A53"/>
    <w:rsid w:val="005E183B"/>
    <w:rsid w:val="005E2D9A"/>
    <w:rsid w:val="005E3A96"/>
    <w:rsid w:val="005E3F81"/>
    <w:rsid w:val="005E4380"/>
    <w:rsid w:val="005F2172"/>
    <w:rsid w:val="005F546C"/>
    <w:rsid w:val="005F7A70"/>
    <w:rsid w:val="00603427"/>
    <w:rsid w:val="006054F3"/>
    <w:rsid w:val="00613764"/>
    <w:rsid w:val="00622D8D"/>
    <w:rsid w:val="00622E9F"/>
    <w:rsid w:val="00622EBE"/>
    <w:rsid w:val="006241E8"/>
    <w:rsid w:val="006245DA"/>
    <w:rsid w:val="00626419"/>
    <w:rsid w:val="006336EB"/>
    <w:rsid w:val="00634811"/>
    <w:rsid w:val="006443A3"/>
    <w:rsid w:val="0064538E"/>
    <w:rsid w:val="006458DC"/>
    <w:rsid w:val="00645C78"/>
    <w:rsid w:val="00647887"/>
    <w:rsid w:val="006504DB"/>
    <w:rsid w:val="006555B9"/>
    <w:rsid w:val="006562D9"/>
    <w:rsid w:val="00674575"/>
    <w:rsid w:val="00674A54"/>
    <w:rsid w:val="0068039B"/>
    <w:rsid w:val="006872A2"/>
    <w:rsid w:val="00690191"/>
    <w:rsid w:val="00691029"/>
    <w:rsid w:val="0069365D"/>
    <w:rsid w:val="006B0F84"/>
    <w:rsid w:val="006B6492"/>
    <w:rsid w:val="006C04D0"/>
    <w:rsid w:val="006C6A95"/>
    <w:rsid w:val="006D54FD"/>
    <w:rsid w:val="006D5705"/>
    <w:rsid w:val="006E0454"/>
    <w:rsid w:val="006E07C4"/>
    <w:rsid w:val="006E1F0B"/>
    <w:rsid w:val="006E4E71"/>
    <w:rsid w:val="00704E5C"/>
    <w:rsid w:val="007053C4"/>
    <w:rsid w:val="00710369"/>
    <w:rsid w:val="00711038"/>
    <w:rsid w:val="0071137B"/>
    <w:rsid w:val="00712D49"/>
    <w:rsid w:val="00712DCB"/>
    <w:rsid w:val="007142FB"/>
    <w:rsid w:val="00716CF4"/>
    <w:rsid w:val="007174DD"/>
    <w:rsid w:val="00720B45"/>
    <w:rsid w:val="00720FA5"/>
    <w:rsid w:val="00731329"/>
    <w:rsid w:val="00742797"/>
    <w:rsid w:val="00747001"/>
    <w:rsid w:val="00747992"/>
    <w:rsid w:val="00756687"/>
    <w:rsid w:val="00761E09"/>
    <w:rsid w:val="00762FE7"/>
    <w:rsid w:val="007635AA"/>
    <w:rsid w:val="00765C38"/>
    <w:rsid w:val="00770C6C"/>
    <w:rsid w:val="00770D84"/>
    <w:rsid w:val="00772A05"/>
    <w:rsid w:val="00775F38"/>
    <w:rsid w:val="007810AC"/>
    <w:rsid w:val="007810FF"/>
    <w:rsid w:val="007826B4"/>
    <w:rsid w:val="007842FA"/>
    <w:rsid w:val="00787F5F"/>
    <w:rsid w:val="00793C58"/>
    <w:rsid w:val="007B21A8"/>
    <w:rsid w:val="007B290E"/>
    <w:rsid w:val="007C0CA0"/>
    <w:rsid w:val="007C1B94"/>
    <w:rsid w:val="007C2184"/>
    <w:rsid w:val="007C2BE6"/>
    <w:rsid w:val="007C3DE2"/>
    <w:rsid w:val="007D2E3F"/>
    <w:rsid w:val="007E0CDA"/>
    <w:rsid w:val="007E1589"/>
    <w:rsid w:val="007E1FC2"/>
    <w:rsid w:val="007E60D2"/>
    <w:rsid w:val="007F180D"/>
    <w:rsid w:val="007F4EA4"/>
    <w:rsid w:val="0081122E"/>
    <w:rsid w:val="00814A4C"/>
    <w:rsid w:val="00817C1A"/>
    <w:rsid w:val="00821ABE"/>
    <w:rsid w:val="008222C4"/>
    <w:rsid w:val="00823EC8"/>
    <w:rsid w:val="0083029B"/>
    <w:rsid w:val="008353F5"/>
    <w:rsid w:val="008366B5"/>
    <w:rsid w:val="008374C9"/>
    <w:rsid w:val="0084589E"/>
    <w:rsid w:val="00866FB2"/>
    <w:rsid w:val="008828E1"/>
    <w:rsid w:val="00883ACC"/>
    <w:rsid w:val="00884C72"/>
    <w:rsid w:val="008875D0"/>
    <w:rsid w:val="00890F54"/>
    <w:rsid w:val="00893139"/>
    <w:rsid w:val="008933F5"/>
    <w:rsid w:val="0089666B"/>
    <w:rsid w:val="008969A8"/>
    <w:rsid w:val="008A3B97"/>
    <w:rsid w:val="008A5D98"/>
    <w:rsid w:val="008A72D6"/>
    <w:rsid w:val="008A74A5"/>
    <w:rsid w:val="008B15BE"/>
    <w:rsid w:val="008B4E9C"/>
    <w:rsid w:val="008B6FD3"/>
    <w:rsid w:val="008B7B55"/>
    <w:rsid w:val="008B7DD5"/>
    <w:rsid w:val="008B7E6F"/>
    <w:rsid w:val="008C10E8"/>
    <w:rsid w:val="008D7A8D"/>
    <w:rsid w:val="008E2B31"/>
    <w:rsid w:val="008F1199"/>
    <w:rsid w:val="008F355F"/>
    <w:rsid w:val="008F45A1"/>
    <w:rsid w:val="008F658E"/>
    <w:rsid w:val="009016E3"/>
    <w:rsid w:val="00907300"/>
    <w:rsid w:val="00907ED6"/>
    <w:rsid w:val="00911886"/>
    <w:rsid w:val="00916D7A"/>
    <w:rsid w:val="00922B12"/>
    <w:rsid w:val="00933BB6"/>
    <w:rsid w:val="00934D5D"/>
    <w:rsid w:val="0093512C"/>
    <w:rsid w:val="00935A9A"/>
    <w:rsid w:val="00952E90"/>
    <w:rsid w:val="0095467C"/>
    <w:rsid w:val="00954CD1"/>
    <w:rsid w:val="00957E9F"/>
    <w:rsid w:val="00961B52"/>
    <w:rsid w:val="00977666"/>
    <w:rsid w:val="00981426"/>
    <w:rsid w:val="00981CC0"/>
    <w:rsid w:val="0098701E"/>
    <w:rsid w:val="009870D1"/>
    <w:rsid w:val="00987866"/>
    <w:rsid w:val="009916A1"/>
    <w:rsid w:val="00993AAB"/>
    <w:rsid w:val="0099428C"/>
    <w:rsid w:val="00995816"/>
    <w:rsid w:val="009A01F3"/>
    <w:rsid w:val="009A3EFD"/>
    <w:rsid w:val="009A647A"/>
    <w:rsid w:val="009B663D"/>
    <w:rsid w:val="009C28A0"/>
    <w:rsid w:val="009C6351"/>
    <w:rsid w:val="009C6ED6"/>
    <w:rsid w:val="009D12EF"/>
    <w:rsid w:val="009D1A39"/>
    <w:rsid w:val="009D39CE"/>
    <w:rsid w:val="009D4CB9"/>
    <w:rsid w:val="009E4EB2"/>
    <w:rsid w:val="009E709E"/>
    <w:rsid w:val="009F4A44"/>
    <w:rsid w:val="00A01314"/>
    <w:rsid w:val="00A0133D"/>
    <w:rsid w:val="00A021DC"/>
    <w:rsid w:val="00A109A1"/>
    <w:rsid w:val="00A11D4E"/>
    <w:rsid w:val="00A13D92"/>
    <w:rsid w:val="00A305AE"/>
    <w:rsid w:val="00A308E8"/>
    <w:rsid w:val="00A318E3"/>
    <w:rsid w:val="00A31BDE"/>
    <w:rsid w:val="00A32F1C"/>
    <w:rsid w:val="00A33AEA"/>
    <w:rsid w:val="00A35D62"/>
    <w:rsid w:val="00A35DDE"/>
    <w:rsid w:val="00A36C07"/>
    <w:rsid w:val="00A36C28"/>
    <w:rsid w:val="00A51EB8"/>
    <w:rsid w:val="00A51F63"/>
    <w:rsid w:val="00A566D9"/>
    <w:rsid w:val="00A648E6"/>
    <w:rsid w:val="00A7472B"/>
    <w:rsid w:val="00A76FDA"/>
    <w:rsid w:val="00A81C7E"/>
    <w:rsid w:val="00A81F01"/>
    <w:rsid w:val="00A8274A"/>
    <w:rsid w:val="00A86764"/>
    <w:rsid w:val="00A867B6"/>
    <w:rsid w:val="00A87BAD"/>
    <w:rsid w:val="00A95BC9"/>
    <w:rsid w:val="00AA0228"/>
    <w:rsid w:val="00AA14A8"/>
    <w:rsid w:val="00AA3538"/>
    <w:rsid w:val="00AA40B9"/>
    <w:rsid w:val="00AA55DC"/>
    <w:rsid w:val="00AB0178"/>
    <w:rsid w:val="00AB0368"/>
    <w:rsid w:val="00AB1930"/>
    <w:rsid w:val="00AC7610"/>
    <w:rsid w:val="00AD2707"/>
    <w:rsid w:val="00AD74A8"/>
    <w:rsid w:val="00AE0631"/>
    <w:rsid w:val="00AE1B99"/>
    <w:rsid w:val="00AE408D"/>
    <w:rsid w:val="00AE655B"/>
    <w:rsid w:val="00AE6B90"/>
    <w:rsid w:val="00AF32D4"/>
    <w:rsid w:val="00AF341F"/>
    <w:rsid w:val="00AF4801"/>
    <w:rsid w:val="00AF545E"/>
    <w:rsid w:val="00B012D6"/>
    <w:rsid w:val="00B02255"/>
    <w:rsid w:val="00B04A87"/>
    <w:rsid w:val="00B05D93"/>
    <w:rsid w:val="00B06EB5"/>
    <w:rsid w:val="00B13508"/>
    <w:rsid w:val="00B15629"/>
    <w:rsid w:val="00B22475"/>
    <w:rsid w:val="00B2385A"/>
    <w:rsid w:val="00B23CA3"/>
    <w:rsid w:val="00B2611E"/>
    <w:rsid w:val="00B42D8C"/>
    <w:rsid w:val="00B452AB"/>
    <w:rsid w:val="00B47E66"/>
    <w:rsid w:val="00B52668"/>
    <w:rsid w:val="00B527D8"/>
    <w:rsid w:val="00B54363"/>
    <w:rsid w:val="00B73CEE"/>
    <w:rsid w:val="00B80103"/>
    <w:rsid w:val="00B83AD0"/>
    <w:rsid w:val="00B844E0"/>
    <w:rsid w:val="00B84A7F"/>
    <w:rsid w:val="00B90683"/>
    <w:rsid w:val="00B94060"/>
    <w:rsid w:val="00B952A3"/>
    <w:rsid w:val="00B95C8C"/>
    <w:rsid w:val="00B96977"/>
    <w:rsid w:val="00BA628F"/>
    <w:rsid w:val="00BB36CA"/>
    <w:rsid w:val="00BB3C9A"/>
    <w:rsid w:val="00BB4B4A"/>
    <w:rsid w:val="00BB4B74"/>
    <w:rsid w:val="00BB4FF2"/>
    <w:rsid w:val="00BC3117"/>
    <w:rsid w:val="00BC43FD"/>
    <w:rsid w:val="00BC4AF0"/>
    <w:rsid w:val="00BC5984"/>
    <w:rsid w:val="00BC5E20"/>
    <w:rsid w:val="00BC6895"/>
    <w:rsid w:val="00BD08ED"/>
    <w:rsid w:val="00BD65D6"/>
    <w:rsid w:val="00BE14E4"/>
    <w:rsid w:val="00BF386B"/>
    <w:rsid w:val="00BF474C"/>
    <w:rsid w:val="00BF72E8"/>
    <w:rsid w:val="00BF7377"/>
    <w:rsid w:val="00BF7AF5"/>
    <w:rsid w:val="00C0130D"/>
    <w:rsid w:val="00C01F3B"/>
    <w:rsid w:val="00C048E5"/>
    <w:rsid w:val="00C05526"/>
    <w:rsid w:val="00C12F08"/>
    <w:rsid w:val="00C143FA"/>
    <w:rsid w:val="00C229C8"/>
    <w:rsid w:val="00C24AA6"/>
    <w:rsid w:val="00C30326"/>
    <w:rsid w:val="00C30665"/>
    <w:rsid w:val="00C33A8C"/>
    <w:rsid w:val="00C370A9"/>
    <w:rsid w:val="00C41E99"/>
    <w:rsid w:val="00C433FB"/>
    <w:rsid w:val="00C460DC"/>
    <w:rsid w:val="00C52553"/>
    <w:rsid w:val="00C52C2F"/>
    <w:rsid w:val="00C53809"/>
    <w:rsid w:val="00C53917"/>
    <w:rsid w:val="00C53B6E"/>
    <w:rsid w:val="00C54841"/>
    <w:rsid w:val="00C56AA6"/>
    <w:rsid w:val="00C61A41"/>
    <w:rsid w:val="00C649C9"/>
    <w:rsid w:val="00C67B19"/>
    <w:rsid w:val="00C67E6D"/>
    <w:rsid w:val="00C7211E"/>
    <w:rsid w:val="00C728A5"/>
    <w:rsid w:val="00C72C39"/>
    <w:rsid w:val="00C77C95"/>
    <w:rsid w:val="00C9127D"/>
    <w:rsid w:val="00C975FA"/>
    <w:rsid w:val="00CA0357"/>
    <w:rsid w:val="00CA16D1"/>
    <w:rsid w:val="00CA1E84"/>
    <w:rsid w:val="00CA4D28"/>
    <w:rsid w:val="00CA5C1D"/>
    <w:rsid w:val="00CB07FA"/>
    <w:rsid w:val="00CB6195"/>
    <w:rsid w:val="00CC4ADE"/>
    <w:rsid w:val="00CD08E1"/>
    <w:rsid w:val="00CD0BA7"/>
    <w:rsid w:val="00CD3D4C"/>
    <w:rsid w:val="00CD4167"/>
    <w:rsid w:val="00CD650B"/>
    <w:rsid w:val="00CE08E4"/>
    <w:rsid w:val="00CE0FB9"/>
    <w:rsid w:val="00CE4DE6"/>
    <w:rsid w:val="00CF0084"/>
    <w:rsid w:val="00CF1201"/>
    <w:rsid w:val="00CF34FB"/>
    <w:rsid w:val="00CF3622"/>
    <w:rsid w:val="00CF58D9"/>
    <w:rsid w:val="00CF6ABF"/>
    <w:rsid w:val="00CF7F0B"/>
    <w:rsid w:val="00D01AB6"/>
    <w:rsid w:val="00D057B6"/>
    <w:rsid w:val="00D11D1B"/>
    <w:rsid w:val="00D17DE3"/>
    <w:rsid w:val="00D17EA5"/>
    <w:rsid w:val="00D23139"/>
    <w:rsid w:val="00D352DC"/>
    <w:rsid w:val="00D401EF"/>
    <w:rsid w:val="00D41A6F"/>
    <w:rsid w:val="00D5306B"/>
    <w:rsid w:val="00D534AF"/>
    <w:rsid w:val="00D53AD4"/>
    <w:rsid w:val="00D71274"/>
    <w:rsid w:val="00D71653"/>
    <w:rsid w:val="00D72D6F"/>
    <w:rsid w:val="00D74088"/>
    <w:rsid w:val="00D76A5D"/>
    <w:rsid w:val="00D76C3B"/>
    <w:rsid w:val="00D90279"/>
    <w:rsid w:val="00D903BB"/>
    <w:rsid w:val="00D97F66"/>
    <w:rsid w:val="00DA639D"/>
    <w:rsid w:val="00DA6E74"/>
    <w:rsid w:val="00DA7A01"/>
    <w:rsid w:val="00DD3EED"/>
    <w:rsid w:val="00DE113D"/>
    <w:rsid w:val="00DE22F0"/>
    <w:rsid w:val="00DE317F"/>
    <w:rsid w:val="00DF0617"/>
    <w:rsid w:val="00DF3201"/>
    <w:rsid w:val="00DF43B3"/>
    <w:rsid w:val="00DF4AA8"/>
    <w:rsid w:val="00DF5397"/>
    <w:rsid w:val="00DF7411"/>
    <w:rsid w:val="00E0017D"/>
    <w:rsid w:val="00E108C2"/>
    <w:rsid w:val="00E12326"/>
    <w:rsid w:val="00E141EC"/>
    <w:rsid w:val="00E15A55"/>
    <w:rsid w:val="00E16A94"/>
    <w:rsid w:val="00E22A45"/>
    <w:rsid w:val="00E22B18"/>
    <w:rsid w:val="00E2346A"/>
    <w:rsid w:val="00E30255"/>
    <w:rsid w:val="00E334FE"/>
    <w:rsid w:val="00E428AB"/>
    <w:rsid w:val="00E45A82"/>
    <w:rsid w:val="00E509CD"/>
    <w:rsid w:val="00E54136"/>
    <w:rsid w:val="00E5716C"/>
    <w:rsid w:val="00E63873"/>
    <w:rsid w:val="00E657C7"/>
    <w:rsid w:val="00E667D0"/>
    <w:rsid w:val="00E70F18"/>
    <w:rsid w:val="00E72A56"/>
    <w:rsid w:val="00E74D01"/>
    <w:rsid w:val="00E801C3"/>
    <w:rsid w:val="00E801F5"/>
    <w:rsid w:val="00E81ABD"/>
    <w:rsid w:val="00E821A5"/>
    <w:rsid w:val="00E8229A"/>
    <w:rsid w:val="00E860B7"/>
    <w:rsid w:val="00E91618"/>
    <w:rsid w:val="00EA1767"/>
    <w:rsid w:val="00EA24FF"/>
    <w:rsid w:val="00EA34C6"/>
    <w:rsid w:val="00EA66EE"/>
    <w:rsid w:val="00EA799D"/>
    <w:rsid w:val="00EB1F92"/>
    <w:rsid w:val="00EB2C80"/>
    <w:rsid w:val="00EB3CDC"/>
    <w:rsid w:val="00EB55E1"/>
    <w:rsid w:val="00EC04D5"/>
    <w:rsid w:val="00EC4592"/>
    <w:rsid w:val="00EC48BC"/>
    <w:rsid w:val="00ED0563"/>
    <w:rsid w:val="00ED103B"/>
    <w:rsid w:val="00ED1801"/>
    <w:rsid w:val="00ED482E"/>
    <w:rsid w:val="00ED4A4E"/>
    <w:rsid w:val="00EE192F"/>
    <w:rsid w:val="00EE23FA"/>
    <w:rsid w:val="00EE5ACB"/>
    <w:rsid w:val="00EE725B"/>
    <w:rsid w:val="00EF41E3"/>
    <w:rsid w:val="00F02E11"/>
    <w:rsid w:val="00F0539A"/>
    <w:rsid w:val="00F1068E"/>
    <w:rsid w:val="00F15B19"/>
    <w:rsid w:val="00F17391"/>
    <w:rsid w:val="00F31035"/>
    <w:rsid w:val="00F4281C"/>
    <w:rsid w:val="00F54382"/>
    <w:rsid w:val="00F54DA7"/>
    <w:rsid w:val="00F57138"/>
    <w:rsid w:val="00F60EFE"/>
    <w:rsid w:val="00F61FC1"/>
    <w:rsid w:val="00F738CD"/>
    <w:rsid w:val="00F90C40"/>
    <w:rsid w:val="00F92E4A"/>
    <w:rsid w:val="00FA0F43"/>
    <w:rsid w:val="00FA6390"/>
    <w:rsid w:val="00FB0A4C"/>
    <w:rsid w:val="00FB14F3"/>
    <w:rsid w:val="00FB30CC"/>
    <w:rsid w:val="00FC1DBB"/>
    <w:rsid w:val="00FC3025"/>
    <w:rsid w:val="00FC6638"/>
    <w:rsid w:val="00FD4114"/>
    <w:rsid w:val="00FD49CE"/>
    <w:rsid w:val="00FD62CB"/>
    <w:rsid w:val="00FE214F"/>
    <w:rsid w:val="00FF4B24"/>
    <w:rsid w:val="01901500"/>
    <w:rsid w:val="09E40F81"/>
    <w:rsid w:val="0B102611"/>
    <w:rsid w:val="0C2B766A"/>
    <w:rsid w:val="0D661B66"/>
    <w:rsid w:val="0F69360F"/>
    <w:rsid w:val="0F9F560C"/>
    <w:rsid w:val="106440D1"/>
    <w:rsid w:val="130C18F6"/>
    <w:rsid w:val="190F40D8"/>
    <w:rsid w:val="1920455E"/>
    <w:rsid w:val="1B3F4E91"/>
    <w:rsid w:val="20505263"/>
    <w:rsid w:val="21F24BA6"/>
    <w:rsid w:val="22625C84"/>
    <w:rsid w:val="23A3084D"/>
    <w:rsid w:val="24B216F2"/>
    <w:rsid w:val="26F261BF"/>
    <w:rsid w:val="27C16F33"/>
    <w:rsid w:val="2B9832EE"/>
    <w:rsid w:val="2BA27E65"/>
    <w:rsid w:val="2E154A70"/>
    <w:rsid w:val="2FCD0ECA"/>
    <w:rsid w:val="31957BB0"/>
    <w:rsid w:val="33926892"/>
    <w:rsid w:val="373A279D"/>
    <w:rsid w:val="40175DD9"/>
    <w:rsid w:val="411F1487"/>
    <w:rsid w:val="44E667AE"/>
    <w:rsid w:val="45145CDE"/>
    <w:rsid w:val="465B3076"/>
    <w:rsid w:val="476C6FFB"/>
    <w:rsid w:val="4C971FD7"/>
    <w:rsid w:val="4E2141D5"/>
    <w:rsid w:val="527A7487"/>
    <w:rsid w:val="5D557E99"/>
    <w:rsid w:val="664A43C5"/>
    <w:rsid w:val="68A02D40"/>
    <w:rsid w:val="68CA0846"/>
    <w:rsid w:val="69433107"/>
    <w:rsid w:val="6A0635D5"/>
    <w:rsid w:val="6A98703C"/>
    <w:rsid w:val="6B8634AC"/>
    <w:rsid w:val="6C8F6542"/>
    <w:rsid w:val="7195078F"/>
    <w:rsid w:val="74607FDA"/>
    <w:rsid w:val="780E2AD8"/>
    <w:rsid w:val="7C9B191A"/>
    <w:rsid w:val="7D251C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pPr>
      <w:spacing w:line="240" w:lineRule="auto"/>
    </w:pPr>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paragraph" w:customStyle="1" w:styleId="11">
    <w:name w:val="CM1"/>
    <w:basedOn w:val="1"/>
    <w:next w:val="1"/>
    <w:qFormat/>
    <w:uiPriority w:val="0"/>
    <w:pPr>
      <w:autoSpaceDE w:val="0"/>
      <w:autoSpaceDN w:val="0"/>
      <w:spacing w:line="580" w:lineRule="atLeast"/>
      <w:jc w:val="left"/>
    </w:pPr>
    <w:rPr>
      <w:rFonts w:ascii="黑体" w:eastAsia="黑体"/>
      <w:sz w:val="24"/>
      <w:szCs w:val="24"/>
    </w:rPr>
  </w:style>
  <w:style w:type="character" w:customStyle="1" w:styleId="12">
    <w:name w:val="批注框文本 字符"/>
    <w:basedOn w:val="8"/>
    <w:link w:val="3"/>
    <w:qFormat/>
    <w:uiPriority w:val="0"/>
    <w:rPr>
      <w:rFonts w:asciiTheme="minorHAnsi" w:hAnsiTheme="minorHAnsi" w:eastAsiaTheme="minorEastAsia" w:cstheme="minorBidi"/>
      <w:sz w:val="18"/>
      <w:szCs w:val="18"/>
    </w:rPr>
  </w:style>
  <w:style w:type="character" w:customStyle="1" w:styleId="13">
    <w:name w:val="日期 字符"/>
    <w:basedOn w:val="8"/>
    <w:link w:val="2"/>
    <w:qFormat/>
    <w:uiPriority w:val="0"/>
    <w:rPr>
      <w:rFonts w:asciiTheme="minorHAnsi" w:hAnsiTheme="minorHAnsi" w:eastAsiaTheme="minorEastAsia" w:cstheme="minorBidi"/>
      <w:sz w:val="21"/>
      <w:szCs w:val="22"/>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style01"/>
    <w:qFormat/>
    <w:uiPriority w:val="0"/>
    <w:rPr>
      <w:rFonts w:hint="eastAsia" w:ascii="宋体" w:hAnsi="宋体" w:eastAsia="宋体"/>
      <w:color w:val="000000"/>
      <w:sz w:val="24"/>
      <w:szCs w:val="24"/>
    </w:rPr>
  </w:style>
  <w:style w:type="character" w:customStyle="1" w:styleId="16">
    <w:name w:val="fontstyle11"/>
    <w:qFormat/>
    <w:uiPriority w:val="0"/>
    <w:rPr>
      <w:rFonts w:hint="default" w:ascii="Calibri" w:hAnsi="Calibri" w:cs="Calibri"/>
      <w:color w:val="000000"/>
      <w:sz w:val="24"/>
      <w:szCs w:val="24"/>
    </w:rPr>
  </w:style>
  <w:style w:type="character" w:customStyle="1" w:styleId="17">
    <w:name w:val="fontstyle21"/>
    <w:qFormat/>
    <w:uiPriority w:val="0"/>
    <w:rPr>
      <w:rFonts w:hint="default" w:ascii="Times New Roman" w:hAnsi="Times New Roman" w:cs="Times New Roman"/>
      <w:b/>
      <w:bCs/>
      <w:color w:val="000000"/>
      <w:sz w:val="24"/>
      <w:szCs w:val="24"/>
    </w:rPr>
  </w:style>
  <w:style w:type="paragraph" w:customStyle="1" w:styleId="18">
    <w:name w:val="Revision"/>
    <w:hidden/>
    <w:semiHidden/>
    <w:qFormat/>
    <w:uiPriority w:val="99"/>
    <w:rPr>
      <w:rFonts w:asciiTheme="minorHAnsi" w:hAnsiTheme="minorHAnsi" w:eastAsiaTheme="minorEastAsia" w:cstheme="minorBidi"/>
      <w:sz w:val="21"/>
      <w:szCs w:val="22"/>
      <w:lang w:val="en-US" w:eastAsia="zh-CN" w:bidi="ar-SA"/>
    </w:rPr>
  </w:style>
  <w:style w:type="character" w:customStyle="1" w:styleId="19">
    <w:name w:val="页眉 字符"/>
    <w:basedOn w:val="8"/>
    <w:link w:val="5"/>
    <w:qFormat/>
    <w:uiPriority w:val="0"/>
    <w:rPr>
      <w:rFonts w:asciiTheme="minorHAnsi" w:hAnsiTheme="minorHAnsi" w:eastAsiaTheme="minorEastAsia" w:cstheme="minorBidi"/>
      <w:sz w:val="18"/>
      <w:szCs w:val="18"/>
    </w:rPr>
  </w:style>
  <w:style w:type="character" w:customStyle="1" w:styleId="20">
    <w:name w:val="页脚 字符"/>
    <w:basedOn w:val="8"/>
    <w:link w:val="4"/>
    <w:qFormat/>
    <w:uiPriority w:val="99"/>
    <w:rPr>
      <w:rFonts w:asciiTheme="minorHAnsi" w:hAnsiTheme="minorHAnsi" w:eastAsiaTheme="minorEastAsia" w:cstheme="minorBidi"/>
      <w:sz w:val="18"/>
      <w:szCs w:val="18"/>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1326</Words>
  <Characters>1382</Characters>
  <Lines>10</Lines>
  <Paragraphs>2</Paragraphs>
  <TotalTime>0</TotalTime>
  <ScaleCrop>false</ScaleCrop>
  <LinksUpToDate>false</LinksUpToDate>
  <CharactersWithSpaces>1399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Mr.翔</cp:lastModifiedBy>
  <cp:lastPrinted>2017-10-19T07:18:00Z</cp:lastPrinted>
  <dcterms:modified xsi:type="dcterms:W3CDTF">2023-01-16T11:33:23Z</dcterms:modified>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033A1D527C4647FA9BA94296F860E59F</vt:lpwstr>
  </property>
</Properties>
</file>