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200" w:after="0"/>
        <w:jc w:val="center"/>
        <w:rPr>
          <w:rFonts w:hint="default"/>
          <w:kern w:val="0"/>
          <w:sz w:val="24"/>
          <w:szCs w:val="24"/>
        </w:rPr>
      </w:pPr>
      <w:r>
        <w:rPr>
          <w:rFonts w:hint="default"/>
          <w:kern w:val="0"/>
          <w:sz w:val="24"/>
          <w:szCs w:val="24"/>
        </w:rPr>
        <w:drawing>
          <wp:inline distT="0" distB="0" distL="114300" distR="114300">
            <wp:extent cx="1410335" cy="408940"/>
            <wp:effectExtent l="0" t="0" r="1841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410335" cy="408940"/>
                    </a:xfrm>
                    <a:prstGeom prst="rect">
                      <a:avLst/>
                    </a:prstGeom>
                    <a:noFill/>
                    <a:ln>
                      <a:noFill/>
                    </a:ln>
                  </pic:spPr>
                </pic:pic>
              </a:graphicData>
            </a:graphic>
          </wp:inline>
        </w:drawing>
      </w:r>
    </w:p>
    <w:p>
      <w:pPr>
        <w:spacing w:before="200" w:after="200"/>
        <w:jc w:val="center"/>
        <w:rPr>
          <w:rFonts w:hint="default"/>
          <w:b/>
          <w:sz w:val="36"/>
          <w:szCs w:val="36"/>
        </w:rPr>
      </w:pPr>
      <w:r>
        <w:rPr>
          <w:rFonts w:hint="eastAsia"/>
          <w:b/>
          <w:sz w:val="36"/>
          <w:szCs w:val="36"/>
        </w:rPr>
        <w:t>青岛伟隆阀门股份有限公司</w:t>
      </w:r>
    </w:p>
    <w:p>
      <w:pPr>
        <w:spacing w:before="400" w:after="0"/>
        <w:jc w:val="center"/>
        <w:rPr>
          <w:rFonts w:hint="eastAsia"/>
          <w:b/>
          <w:sz w:val="32"/>
          <w:szCs w:val="32"/>
        </w:rPr>
      </w:pPr>
      <w:r>
        <w:rPr>
          <w:rFonts w:hint="default"/>
          <w:b/>
          <w:sz w:val="32"/>
          <w:szCs w:val="32"/>
        </w:rPr>
        <w:t>2020</w:t>
      </w:r>
      <w:r>
        <w:rPr>
          <w:rFonts w:hint="eastAsia"/>
          <w:b/>
          <w:sz w:val="32"/>
          <w:szCs w:val="32"/>
        </w:rPr>
        <w:t>年年度报告</w:t>
      </w:r>
    </w:p>
    <w:p>
      <w:pPr>
        <w:spacing w:before="400" w:after="0"/>
        <w:jc w:val="center"/>
        <w:rPr>
          <w:rFonts w:hint="eastAsia"/>
          <w:b/>
          <w:sz w:val="32"/>
          <w:szCs w:val="32"/>
        </w:rPr>
      </w:pPr>
    </w:p>
    <w:p>
      <w:pPr>
        <w:spacing w:before="400" w:after="0"/>
        <w:jc w:val="center"/>
        <w:rPr>
          <w:rFonts w:hint="default"/>
          <w:b/>
          <w:sz w:val="32"/>
          <w:szCs w:val="32"/>
        </w:rPr>
      </w:pPr>
      <w:r>
        <w:rPr>
          <w:rFonts w:hint="eastAsia"/>
          <w:b/>
          <w:sz w:val="32"/>
          <w:szCs w:val="32"/>
        </w:rPr>
        <w:t>2021-028</w:t>
      </w:r>
    </w:p>
    <w:p>
      <w:pPr>
        <w:spacing w:before="6000" w:after="0"/>
        <w:jc w:val="center"/>
        <w:rPr>
          <w:rFonts w:hint="default"/>
          <w:b/>
          <w:sz w:val="32"/>
          <w:szCs w:val="32"/>
        </w:rPr>
      </w:pPr>
      <w:r>
        <w:rPr>
          <w:rFonts w:hint="default"/>
          <w:b/>
          <w:sz w:val="32"/>
          <w:szCs w:val="32"/>
        </w:rPr>
        <w:t>2021</w:t>
      </w:r>
      <w:r>
        <w:rPr>
          <w:rFonts w:hint="eastAsia"/>
          <w:b/>
          <w:sz w:val="32"/>
          <w:szCs w:val="32"/>
        </w:rPr>
        <w:t>年</w:t>
      </w:r>
      <w:r>
        <w:rPr>
          <w:rFonts w:hint="default"/>
          <w:b/>
          <w:sz w:val="32"/>
          <w:szCs w:val="32"/>
        </w:rPr>
        <w:t>04</w:t>
      </w:r>
      <w:r>
        <w:rPr>
          <w:rFonts w:hint="eastAsia"/>
          <w:b/>
          <w:sz w:val="32"/>
          <w:szCs w:val="32"/>
        </w:rPr>
        <w:t>月</w:t>
      </w:r>
    </w:p>
    <w:p>
      <w:pPr>
        <w:spacing w:before="6000" w:after="0"/>
        <w:jc w:val="center"/>
        <w:rPr>
          <w:rFonts w:hint="default"/>
          <w:b/>
          <w:sz w:val="32"/>
          <w:szCs w:val="32"/>
        </w:rPr>
        <w:sectPr>
          <w:headerReference r:id="rId4" w:type="default"/>
          <w:footerReference r:id="rId5" w:type="default"/>
          <w:pgSz w:w="11906" w:h="16838"/>
          <w:pgMar w:top="1440" w:right="1134" w:bottom="1440" w:left="1134" w:header="720" w:footer="720" w:gutter="0"/>
          <w:lnNumType w:countBy="0" w:distance="360"/>
          <w:cols w:space="720" w:num="1"/>
        </w:sectPr>
      </w:pPr>
    </w:p>
    <w:p>
      <w:pPr>
        <w:pStyle w:val="4"/>
        <w:outlineLvl w:val="0"/>
        <w:rPr>
          <w:rFonts w:hint="default"/>
          <w:sz w:val="32"/>
          <w:szCs w:val="32"/>
        </w:rPr>
      </w:pPr>
      <w:bookmarkStart w:id="0" w:name="_Toc300000084"/>
      <w:r>
        <w:rPr>
          <w:rFonts w:hint="eastAsia"/>
          <w:sz w:val="32"/>
          <w:szCs w:val="32"/>
        </w:rPr>
        <w:t>第一节</w:t>
      </w:r>
      <w:r>
        <w:rPr>
          <w:rFonts w:hint="default"/>
          <w:sz w:val="32"/>
          <w:szCs w:val="32"/>
        </w:rPr>
        <w:t xml:space="preserve"> </w:t>
      </w:r>
      <w:r>
        <w:rPr>
          <w:rFonts w:hint="eastAsia"/>
          <w:sz w:val="32"/>
          <w:szCs w:val="32"/>
        </w:rPr>
        <w:t>重要提示、目录和释义</w:t>
      </w:r>
      <w:bookmarkEnd w:id="0"/>
    </w:p>
    <w:p>
      <w:pPr>
        <w:spacing w:before="100" w:after="100"/>
        <w:ind w:firstLine="562" w:firstLineChars="200"/>
        <w:rPr>
          <w:rFonts w:hint="default"/>
          <w:b/>
          <w:sz w:val="28"/>
          <w:szCs w:val="28"/>
        </w:rPr>
      </w:pPr>
      <w:r>
        <w:rPr>
          <w:rFonts w:hint="eastAsia"/>
          <w:b/>
          <w:sz w:val="28"/>
          <w:szCs w:val="28"/>
        </w:rPr>
        <w:t>公司董事会、监事会及董事、监事、高级管理人员保证年度报告内容的真实、准确、完整，不存在虚假记载、误导性陈述或重大遗漏，并承担个别和连带的法律责任。</w:t>
      </w:r>
    </w:p>
    <w:p>
      <w:pPr>
        <w:spacing w:before="100" w:after="100"/>
        <w:ind w:firstLine="562" w:firstLineChars="200"/>
        <w:rPr>
          <w:rFonts w:hint="default"/>
          <w:b/>
          <w:sz w:val="28"/>
          <w:szCs w:val="28"/>
        </w:rPr>
      </w:pPr>
      <w:r>
        <w:rPr>
          <w:rFonts w:hint="eastAsia"/>
          <w:b/>
          <w:sz w:val="28"/>
          <w:szCs w:val="28"/>
        </w:rPr>
        <w:t>公司负责人范庆伟、主管会计工作负责人迟娜娜及会计机构负责人</w:t>
      </w:r>
      <w:r>
        <w:rPr>
          <w:rFonts w:hint="default"/>
          <w:b/>
          <w:sz w:val="28"/>
          <w:szCs w:val="28"/>
        </w:rPr>
        <w:t>(</w:t>
      </w:r>
      <w:r>
        <w:rPr>
          <w:rFonts w:hint="eastAsia"/>
          <w:b/>
          <w:sz w:val="28"/>
          <w:szCs w:val="28"/>
        </w:rPr>
        <w:t>会计主管人员</w:t>
      </w:r>
      <w:r>
        <w:rPr>
          <w:rFonts w:hint="default"/>
          <w:b/>
          <w:sz w:val="28"/>
          <w:szCs w:val="28"/>
        </w:rPr>
        <w:t>)</w:t>
      </w:r>
      <w:r>
        <w:rPr>
          <w:rFonts w:hint="eastAsia"/>
          <w:b/>
          <w:sz w:val="28"/>
          <w:szCs w:val="28"/>
        </w:rPr>
        <w:t>王涛声明：保证本年度报告中财务报告的真实、准确、完整。</w:t>
      </w:r>
    </w:p>
    <w:p>
      <w:pPr>
        <w:spacing w:before="100" w:after="100"/>
        <w:ind w:firstLine="562" w:firstLineChars="200"/>
        <w:rPr>
          <w:rFonts w:hint="default"/>
          <w:b/>
          <w:sz w:val="28"/>
          <w:szCs w:val="28"/>
        </w:rPr>
      </w:pPr>
      <w:r>
        <w:rPr>
          <w:rFonts w:hint="eastAsia"/>
          <w:b/>
          <w:sz w:val="28"/>
          <w:szCs w:val="28"/>
        </w:rPr>
        <w:t>所有董事均已出席了审议本报告的董事会会议。</w:t>
      </w:r>
    </w:p>
    <w:p>
      <w:pPr>
        <w:spacing w:before="100" w:after="100"/>
        <w:ind w:firstLine="562" w:firstLineChars="200"/>
        <w:rPr>
          <w:rFonts w:hint="default"/>
          <w:b/>
          <w:sz w:val="28"/>
          <w:szCs w:val="28"/>
        </w:rPr>
      </w:pPr>
      <w:r>
        <w:rPr>
          <w:rFonts w:hint="eastAsia"/>
          <w:b/>
          <w:sz w:val="28"/>
          <w:szCs w:val="28"/>
        </w:rPr>
        <w:t>本公司请投资者认真阅读本年度报告全文，并特别注意本报告第四节</w:t>
      </w:r>
      <w:r>
        <w:rPr>
          <w:rFonts w:hint="default"/>
          <w:b/>
          <w:sz w:val="28"/>
          <w:szCs w:val="28"/>
        </w:rPr>
        <w:t>“</w:t>
      </w:r>
      <w:r>
        <w:rPr>
          <w:rFonts w:hint="eastAsia"/>
          <w:b/>
          <w:sz w:val="28"/>
          <w:szCs w:val="28"/>
        </w:rPr>
        <w:t>经营情况讨论与分析</w:t>
      </w:r>
      <w:r>
        <w:rPr>
          <w:rFonts w:hint="default"/>
          <w:b/>
          <w:sz w:val="28"/>
          <w:szCs w:val="28"/>
        </w:rPr>
        <w:t>”</w:t>
      </w:r>
      <w:r>
        <w:rPr>
          <w:rFonts w:hint="eastAsia"/>
          <w:b/>
          <w:sz w:val="28"/>
          <w:szCs w:val="28"/>
        </w:rPr>
        <w:t>之</w:t>
      </w:r>
      <w:r>
        <w:rPr>
          <w:rFonts w:hint="default"/>
          <w:b/>
          <w:sz w:val="28"/>
          <w:szCs w:val="28"/>
        </w:rPr>
        <w:t>“</w:t>
      </w:r>
      <w:r>
        <w:rPr>
          <w:rFonts w:hint="eastAsia"/>
          <w:b/>
          <w:sz w:val="28"/>
          <w:szCs w:val="28"/>
        </w:rPr>
        <w:t>九、公司未来发展的展望</w:t>
      </w:r>
      <w:r>
        <w:rPr>
          <w:rFonts w:hint="default"/>
          <w:b/>
          <w:sz w:val="28"/>
          <w:szCs w:val="28"/>
        </w:rPr>
        <w:t>”</w:t>
      </w:r>
      <w:r>
        <w:rPr>
          <w:rFonts w:hint="eastAsia"/>
          <w:b/>
          <w:sz w:val="28"/>
          <w:szCs w:val="28"/>
        </w:rPr>
        <w:t>所列示的主要风险。</w:t>
      </w:r>
    </w:p>
    <w:p>
      <w:pPr>
        <w:spacing w:before="100" w:after="100"/>
        <w:ind w:firstLine="562" w:firstLineChars="200"/>
        <w:rPr>
          <w:rFonts w:hint="default"/>
          <w:b/>
          <w:sz w:val="28"/>
          <w:szCs w:val="28"/>
        </w:rPr>
      </w:pPr>
      <w:r>
        <w:rPr>
          <w:rFonts w:hint="eastAsia"/>
          <w:b/>
          <w:sz w:val="28"/>
          <w:szCs w:val="28"/>
        </w:rPr>
        <w:t>公司经本次董事会审议通过的利润分配预案为：以公司</w:t>
      </w:r>
      <w:r>
        <w:rPr>
          <w:rFonts w:hint="default"/>
          <w:b/>
          <w:sz w:val="28"/>
          <w:szCs w:val="28"/>
        </w:rPr>
        <w:t>2020</w:t>
      </w:r>
      <w:r>
        <w:rPr>
          <w:rFonts w:hint="eastAsia"/>
          <w:b/>
          <w:sz w:val="28"/>
          <w:szCs w:val="28"/>
        </w:rPr>
        <w:t>年</w:t>
      </w:r>
      <w:r>
        <w:rPr>
          <w:rFonts w:hint="default"/>
          <w:b/>
          <w:sz w:val="28"/>
          <w:szCs w:val="28"/>
        </w:rPr>
        <w:t>12</w:t>
      </w:r>
      <w:r>
        <w:rPr>
          <w:rFonts w:hint="eastAsia"/>
          <w:b/>
          <w:sz w:val="28"/>
          <w:szCs w:val="28"/>
        </w:rPr>
        <w:t>月</w:t>
      </w:r>
      <w:r>
        <w:rPr>
          <w:rFonts w:hint="default"/>
          <w:b/>
          <w:sz w:val="28"/>
          <w:szCs w:val="28"/>
        </w:rPr>
        <w:t>31</w:t>
      </w:r>
      <w:r>
        <w:rPr>
          <w:rFonts w:hint="eastAsia"/>
          <w:b/>
          <w:sz w:val="28"/>
          <w:szCs w:val="28"/>
        </w:rPr>
        <w:t>日总股本</w:t>
      </w:r>
      <w:r>
        <w:rPr>
          <w:rFonts w:hint="default"/>
          <w:b/>
          <w:sz w:val="28"/>
          <w:szCs w:val="28"/>
        </w:rPr>
        <w:t>116</w:t>
      </w:r>
      <w:r>
        <w:rPr>
          <w:rFonts w:hint="eastAsia"/>
          <w:b/>
          <w:sz w:val="28"/>
          <w:szCs w:val="28"/>
        </w:rPr>
        <w:t>,</w:t>
      </w:r>
      <w:r>
        <w:rPr>
          <w:rFonts w:hint="default"/>
          <w:b/>
          <w:sz w:val="28"/>
          <w:szCs w:val="28"/>
        </w:rPr>
        <w:t>680</w:t>
      </w:r>
      <w:r>
        <w:rPr>
          <w:rFonts w:hint="eastAsia"/>
          <w:b/>
          <w:sz w:val="28"/>
          <w:szCs w:val="28"/>
        </w:rPr>
        <w:t>,</w:t>
      </w:r>
      <w:r>
        <w:rPr>
          <w:rFonts w:hint="default"/>
          <w:b/>
          <w:sz w:val="28"/>
          <w:szCs w:val="28"/>
        </w:rPr>
        <w:t>000</w:t>
      </w:r>
      <w:r>
        <w:rPr>
          <w:rFonts w:hint="eastAsia"/>
          <w:b/>
          <w:sz w:val="28"/>
          <w:szCs w:val="28"/>
        </w:rPr>
        <w:t>.00股为基数，向全体股东每</w:t>
      </w:r>
      <w:r>
        <w:rPr>
          <w:rFonts w:hint="default"/>
          <w:b/>
          <w:sz w:val="28"/>
          <w:szCs w:val="28"/>
        </w:rPr>
        <w:t>10</w:t>
      </w:r>
      <w:r>
        <w:rPr>
          <w:rFonts w:hint="eastAsia"/>
          <w:b/>
          <w:sz w:val="28"/>
          <w:szCs w:val="28"/>
        </w:rPr>
        <w:t>股派发现金红利</w:t>
      </w:r>
      <w:r>
        <w:rPr>
          <w:rFonts w:hint="default"/>
          <w:b/>
          <w:sz w:val="28"/>
          <w:szCs w:val="28"/>
        </w:rPr>
        <w:t>4.5</w:t>
      </w:r>
      <w:r>
        <w:rPr>
          <w:rFonts w:hint="eastAsia"/>
          <w:b/>
          <w:sz w:val="28"/>
          <w:szCs w:val="28"/>
        </w:rPr>
        <w:t>元（含税），送红股</w:t>
      </w:r>
      <w:r>
        <w:rPr>
          <w:rFonts w:hint="default"/>
          <w:b/>
          <w:sz w:val="28"/>
          <w:szCs w:val="28"/>
        </w:rPr>
        <w:t>0</w:t>
      </w:r>
      <w:r>
        <w:rPr>
          <w:rFonts w:hint="eastAsia"/>
          <w:b/>
          <w:sz w:val="28"/>
          <w:szCs w:val="28"/>
        </w:rPr>
        <w:t>股（含税），以资本公积金向全体股东每</w:t>
      </w:r>
      <w:r>
        <w:rPr>
          <w:rFonts w:hint="default"/>
          <w:b/>
          <w:sz w:val="28"/>
          <w:szCs w:val="28"/>
        </w:rPr>
        <w:t>10</w:t>
      </w:r>
      <w:r>
        <w:rPr>
          <w:rFonts w:hint="eastAsia"/>
          <w:b/>
          <w:sz w:val="28"/>
          <w:szCs w:val="28"/>
        </w:rPr>
        <w:t>股转增</w:t>
      </w:r>
      <w:r>
        <w:rPr>
          <w:rFonts w:hint="default"/>
          <w:b/>
          <w:sz w:val="28"/>
          <w:szCs w:val="28"/>
        </w:rPr>
        <w:t>4.5</w:t>
      </w:r>
      <w:r>
        <w:rPr>
          <w:rFonts w:hint="eastAsia"/>
          <w:b/>
          <w:sz w:val="28"/>
          <w:szCs w:val="28"/>
        </w:rPr>
        <w:t>股，转增后公司总股份增加至169,186,000股。</w:t>
      </w:r>
    </w:p>
    <w:p>
      <w:pPr>
        <w:spacing w:before="100" w:after="100"/>
        <w:ind w:firstLine="562" w:firstLineChars="200"/>
        <w:rPr>
          <w:rFonts w:hint="default"/>
          <w:b/>
          <w:sz w:val="28"/>
          <w:szCs w:val="28"/>
        </w:rPr>
        <w:sectPr>
          <w:pgSz w:w="11906" w:h="16838"/>
          <w:pgMar w:top="1440" w:right="1134" w:bottom="1440" w:left="1134" w:header="851" w:footer="992" w:gutter="0"/>
          <w:lnNumType w:countBy="0" w:distance="360"/>
          <w:cols w:space="720" w:num="1"/>
          <w:docGrid w:type="lines" w:linePitch="312" w:charSpace="0"/>
        </w:sectPr>
      </w:pPr>
    </w:p>
    <w:p>
      <w:pPr>
        <w:spacing w:before="1400" w:after="1400"/>
        <w:jc w:val="center"/>
        <w:rPr>
          <w:rFonts w:hint="default"/>
          <w:b/>
          <w:sz w:val="36"/>
          <w:szCs w:val="36"/>
        </w:rPr>
      </w:pPr>
      <w:r>
        <w:rPr>
          <w:rFonts w:hint="eastAsia"/>
          <w:b/>
          <w:sz w:val="36"/>
          <w:szCs w:val="36"/>
        </w:rPr>
        <w:t>目录</w:t>
      </w:r>
    </w:p>
    <w:p>
      <w:pPr>
        <w:tabs>
          <w:tab w:val="right" w:leader="dot" w:pos="9628"/>
        </w:tabs>
        <w:spacing w:before="180" w:after="180"/>
        <w:rPr>
          <w:rFonts w:hint="default" w:eastAsia="Times New Roman"/>
          <w:b/>
          <w:sz w:val="24"/>
          <w:szCs w:val="24"/>
        </w:rPr>
      </w:pPr>
      <w:r>
        <w:rPr>
          <w:rFonts w:hint="default" w:eastAsia="Times New Roman"/>
          <w:b/>
          <w:sz w:val="24"/>
          <w:szCs w:val="24"/>
        </w:rPr>
        <w:fldChar w:fldCharType="begin"/>
      </w:r>
      <w:r>
        <w:rPr>
          <w:rFonts w:hint="default" w:eastAsia="Times New Roman"/>
          <w:b/>
          <w:sz w:val="24"/>
          <w:szCs w:val="24"/>
        </w:rPr>
        <w:instrText xml:space="preserve"> TOC \h \z \t "</w:instrText>
      </w:r>
      <w:r>
        <w:rPr>
          <w:rFonts w:hint="eastAsia" w:ascii="宋体" w:hAnsi="宋体" w:cs="宋体"/>
          <w:b/>
          <w:sz w:val="24"/>
          <w:szCs w:val="24"/>
        </w:rPr>
        <w:instrText xml:space="preserve">标题</w:instrText>
      </w:r>
      <w:r>
        <w:rPr>
          <w:rFonts w:hint="default" w:eastAsia="Times New Roman"/>
          <w:b/>
          <w:sz w:val="24"/>
          <w:szCs w:val="24"/>
        </w:rPr>
        <w:instrText xml:space="preserve">,1" </w:instrText>
      </w:r>
      <w:r>
        <w:rPr>
          <w:rFonts w:hint="default" w:eastAsia="Times New Roman"/>
          <w:b/>
          <w:sz w:val="24"/>
          <w:szCs w:val="24"/>
        </w:rPr>
        <w:fldChar w:fldCharType="separate"/>
      </w: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"_Toc300000085"</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第一节</w:t>
      </w:r>
      <w:r>
        <w:rPr>
          <w:rFonts w:hint="default" w:eastAsia="Times New Roman"/>
          <w:b/>
          <w:color w:val="000000"/>
          <w:sz w:val="24"/>
          <w:szCs w:val="24"/>
        </w:rPr>
        <w:t xml:space="preserve"> </w:t>
      </w:r>
      <w:r>
        <w:rPr>
          <w:rFonts w:hint="eastAsia" w:ascii="宋体" w:hAnsi="宋体" w:cs="宋体"/>
          <w:b/>
          <w:color w:val="000000"/>
          <w:sz w:val="24"/>
          <w:szCs w:val="24"/>
        </w:rPr>
        <w:t>重要提示、目录和释义</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_Toc300000085 \h </w:instrText>
      </w:r>
      <w:r>
        <w:rPr>
          <w:rFonts w:hint="default" w:eastAsia="Times New Roman"/>
          <w:b/>
          <w:sz w:val="24"/>
          <w:szCs w:val="24"/>
        </w:rPr>
        <w:fldChar w:fldCharType="separate"/>
      </w:r>
      <w:r>
        <w:rPr>
          <w:rFonts w:hint="default" w:eastAsia="Times New Roman"/>
          <w:b/>
          <w:sz w:val="24"/>
          <w:szCs w:val="24"/>
        </w:rPr>
        <w:t>2</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"_Toc300000086"</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第二节</w:t>
      </w:r>
      <w:r>
        <w:rPr>
          <w:rFonts w:hint="default" w:eastAsia="Times New Roman"/>
          <w:b/>
          <w:color w:val="000000"/>
          <w:sz w:val="24"/>
          <w:szCs w:val="24"/>
        </w:rPr>
        <w:t xml:space="preserve"> </w:t>
      </w:r>
      <w:r>
        <w:rPr>
          <w:rFonts w:hint="eastAsia" w:ascii="宋体" w:hAnsi="宋体" w:cs="宋体"/>
          <w:b/>
          <w:color w:val="000000"/>
          <w:sz w:val="24"/>
          <w:szCs w:val="24"/>
        </w:rPr>
        <w:t>公司简介和主要财务指标</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_Toc300000086 \h </w:instrText>
      </w:r>
      <w:r>
        <w:rPr>
          <w:rFonts w:hint="default" w:eastAsia="Times New Roman"/>
          <w:b/>
          <w:sz w:val="24"/>
          <w:szCs w:val="24"/>
        </w:rPr>
        <w:fldChar w:fldCharType="separate"/>
      </w:r>
      <w:r>
        <w:rPr>
          <w:rFonts w:hint="default" w:eastAsia="Times New Roman"/>
          <w:b/>
          <w:sz w:val="24"/>
          <w:szCs w:val="24"/>
        </w:rPr>
        <w:t>5</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"_Toc300000087"</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第三节</w:t>
      </w:r>
      <w:r>
        <w:rPr>
          <w:rFonts w:hint="default" w:eastAsia="Times New Roman"/>
          <w:b/>
          <w:color w:val="000000"/>
          <w:sz w:val="24"/>
          <w:szCs w:val="24"/>
        </w:rPr>
        <w:t xml:space="preserve"> </w:t>
      </w:r>
      <w:r>
        <w:rPr>
          <w:rFonts w:hint="eastAsia" w:ascii="宋体" w:hAnsi="宋体" w:cs="宋体"/>
          <w:b/>
          <w:color w:val="000000"/>
          <w:sz w:val="24"/>
          <w:szCs w:val="24"/>
        </w:rPr>
        <w:t>公司业务概要</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_Toc300000087 \h </w:instrText>
      </w:r>
      <w:r>
        <w:rPr>
          <w:rFonts w:hint="default" w:eastAsia="Times New Roman"/>
          <w:b/>
          <w:sz w:val="24"/>
          <w:szCs w:val="24"/>
        </w:rPr>
        <w:fldChar w:fldCharType="separate"/>
      </w:r>
      <w:r>
        <w:rPr>
          <w:rFonts w:hint="default" w:eastAsia="Times New Roman"/>
          <w:b/>
          <w:sz w:val="24"/>
          <w:szCs w:val="24"/>
        </w:rPr>
        <w:t>7</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"_Toc300000088"</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第四节</w:t>
      </w:r>
      <w:r>
        <w:rPr>
          <w:rFonts w:hint="default" w:eastAsia="Times New Roman"/>
          <w:b/>
          <w:color w:val="000000"/>
          <w:sz w:val="24"/>
          <w:szCs w:val="24"/>
        </w:rPr>
        <w:t xml:space="preserve"> </w:t>
      </w:r>
      <w:r>
        <w:rPr>
          <w:rFonts w:hint="eastAsia" w:ascii="宋体" w:hAnsi="宋体" w:cs="宋体"/>
          <w:b/>
          <w:color w:val="000000"/>
          <w:sz w:val="24"/>
          <w:szCs w:val="24"/>
        </w:rPr>
        <w:t>经营情况讨论与分析</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_Toc300000088 \h </w:instrText>
      </w:r>
      <w:r>
        <w:rPr>
          <w:rFonts w:hint="default" w:eastAsia="Times New Roman"/>
          <w:b/>
          <w:sz w:val="24"/>
          <w:szCs w:val="24"/>
        </w:rPr>
        <w:fldChar w:fldCharType="separate"/>
      </w:r>
      <w:r>
        <w:rPr>
          <w:rFonts w:hint="default" w:eastAsia="Times New Roman"/>
          <w:b/>
          <w:sz w:val="24"/>
          <w:szCs w:val="24"/>
        </w:rPr>
        <w:t>8</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"_Toc300000089"</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第五节</w:t>
      </w:r>
      <w:r>
        <w:rPr>
          <w:rFonts w:hint="default" w:eastAsia="Times New Roman"/>
          <w:b/>
          <w:color w:val="000000"/>
          <w:sz w:val="24"/>
          <w:szCs w:val="24"/>
        </w:rPr>
        <w:t xml:space="preserve"> </w:t>
      </w:r>
      <w:r>
        <w:rPr>
          <w:rFonts w:hint="eastAsia" w:ascii="宋体" w:hAnsi="宋体" w:cs="宋体"/>
          <w:b/>
          <w:color w:val="000000"/>
          <w:sz w:val="24"/>
          <w:szCs w:val="24"/>
        </w:rPr>
        <w:t>重要事项</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_Toc300000089 \h </w:instrText>
      </w:r>
      <w:r>
        <w:rPr>
          <w:rFonts w:hint="default" w:eastAsia="Times New Roman"/>
          <w:b/>
          <w:sz w:val="24"/>
          <w:szCs w:val="24"/>
        </w:rPr>
        <w:fldChar w:fldCharType="separate"/>
      </w:r>
      <w:r>
        <w:rPr>
          <w:rFonts w:hint="default" w:eastAsia="Times New Roman"/>
          <w:b/>
          <w:sz w:val="24"/>
          <w:szCs w:val="24"/>
        </w:rPr>
        <w:t>12</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"_Toc300000090"</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第六节</w:t>
      </w:r>
      <w:r>
        <w:rPr>
          <w:rFonts w:hint="default" w:eastAsia="Times New Roman"/>
          <w:b/>
          <w:color w:val="000000"/>
          <w:sz w:val="24"/>
          <w:szCs w:val="24"/>
        </w:rPr>
        <w:t xml:space="preserve"> </w:t>
      </w:r>
      <w:r>
        <w:rPr>
          <w:rFonts w:hint="eastAsia" w:ascii="宋体" w:hAnsi="宋体" w:cs="宋体"/>
          <w:b/>
          <w:color w:val="000000"/>
          <w:sz w:val="24"/>
          <w:szCs w:val="24"/>
        </w:rPr>
        <w:t>股份变动及股东情况</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_Toc300000090 \h </w:instrText>
      </w:r>
      <w:r>
        <w:rPr>
          <w:rFonts w:hint="default" w:eastAsia="Times New Roman"/>
          <w:b/>
          <w:sz w:val="24"/>
          <w:szCs w:val="24"/>
        </w:rPr>
        <w:fldChar w:fldCharType="separate"/>
      </w:r>
      <w:r>
        <w:rPr>
          <w:rFonts w:hint="default" w:eastAsia="Times New Roman"/>
          <w:b/>
          <w:sz w:val="24"/>
          <w:szCs w:val="24"/>
        </w:rPr>
        <w:t>16</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"_Toc300000090"</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第七节</w:t>
      </w:r>
      <w:r>
        <w:rPr>
          <w:rFonts w:hint="default" w:eastAsia="Times New Roman"/>
          <w:b/>
          <w:color w:val="000000"/>
          <w:sz w:val="24"/>
          <w:szCs w:val="24"/>
        </w:rPr>
        <w:t xml:space="preserve"> </w:t>
      </w:r>
      <w:r>
        <w:rPr>
          <w:rFonts w:hint="eastAsia" w:ascii="宋体" w:hAnsi="宋体" w:cs="宋体"/>
          <w:b/>
          <w:color w:val="000000"/>
          <w:sz w:val="24"/>
          <w:szCs w:val="24"/>
        </w:rPr>
        <w:t>优先股相关情况</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_Toc300000090 \h </w:instrText>
      </w:r>
      <w:r>
        <w:rPr>
          <w:rFonts w:hint="default" w:eastAsia="Times New Roman"/>
          <w:b/>
          <w:sz w:val="24"/>
          <w:szCs w:val="24"/>
        </w:rPr>
        <w:fldChar w:fldCharType="separate"/>
      </w:r>
      <w:r>
        <w:rPr>
          <w:rFonts w:hint="default" w:eastAsia="Times New Roman"/>
          <w:b/>
          <w:sz w:val="24"/>
          <w:szCs w:val="24"/>
        </w:rPr>
        <w:t>18</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"_Toc300000090"</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第八节</w:t>
      </w:r>
      <w:r>
        <w:rPr>
          <w:rFonts w:hint="default" w:eastAsia="Times New Roman"/>
          <w:b/>
          <w:color w:val="000000"/>
          <w:sz w:val="24"/>
          <w:szCs w:val="24"/>
        </w:rPr>
        <w:t xml:space="preserve"> </w:t>
      </w:r>
      <w:r>
        <w:rPr>
          <w:rFonts w:hint="eastAsia" w:ascii="宋体" w:hAnsi="宋体" w:cs="宋体"/>
          <w:b/>
          <w:color w:val="000000"/>
          <w:sz w:val="24"/>
          <w:szCs w:val="24"/>
        </w:rPr>
        <w:t>可转换公司债券相关情况</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_Toc300000090 \h </w:instrText>
      </w:r>
      <w:r>
        <w:rPr>
          <w:rFonts w:hint="default" w:eastAsia="Times New Roman"/>
          <w:b/>
          <w:sz w:val="24"/>
          <w:szCs w:val="24"/>
        </w:rPr>
        <w:fldChar w:fldCharType="separate"/>
      </w:r>
      <w:r>
        <w:rPr>
          <w:rFonts w:hint="default" w:eastAsia="Times New Roman"/>
          <w:b/>
          <w:sz w:val="24"/>
          <w:szCs w:val="24"/>
        </w:rPr>
        <w:t>18</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"_Toc300000091"</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第九节</w:t>
      </w:r>
      <w:r>
        <w:rPr>
          <w:rFonts w:hint="default" w:eastAsia="Times New Roman"/>
          <w:b/>
          <w:color w:val="000000"/>
          <w:sz w:val="24"/>
          <w:szCs w:val="24"/>
        </w:rPr>
        <w:t xml:space="preserve"> </w:t>
      </w:r>
      <w:r>
        <w:rPr>
          <w:rFonts w:hint="eastAsia" w:ascii="宋体" w:hAnsi="宋体" w:cs="宋体"/>
          <w:b/>
          <w:color w:val="000000"/>
          <w:sz w:val="24"/>
          <w:szCs w:val="24"/>
        </w:rPr>
        <w:t>董事、监事、高级管理人员和员工情况</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_Toc300000091 \h </w:instrText>
      </w:r>
      <w:r>
        <w:rPr>
          <w:rFonts w:hint="default" w:eastAsia="Times New Roman"/>
          <w:b/>
          <w:sz w:val="24"/>
          <w:szCs w:val="24"/>
        </w:rPr>
        <w:fldChar w:fldCharType="separate"/>
      </w:r>
      <w:r>
        <w:rPr>
          <w:rFonts w:hint="default" w:eastAsia="Times New Roman"/>
          <w:b/>
          <w:sz w:val="24"/>
          <w:szCs w:val="24"/>
        </w:rPr>
        <w:t>19</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"_Toc300000092"</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第十节</w:t>
      </w:r>
      <w:r>
        <w:rPr>
          <w:rFonts w:hint="default" w:eastAsia="Times New Roman"/>
          <w:b/>
          <w:color w:val="000000"/>
          <w:sz w:val="24"/>
          <w:szCs w:val="24"/>
        </w:rPr>
        <w:t xml:space="preserve"> </w:t>
      </w:r>
      <w:r>
        <w:rPr>
          <w:rFonts w:hint="eastAsia" w:ascii="宋体" w:hAnsi="宋体" w:cs="宋体"/>
          <w:b/>
          <w:color w:val="000000"/>
          <w:sz w:val="24"/>
          <w:szCs w:val="24"/>
        </w:rPr>
        <w:t>公司治理</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_Toc300000092 \h </w:instrText>
      </w:r>
      <w:r>
        <w:rPr>
          <w:rFonts w:hint="default" w:eastAsia="Times New Roman"/>
          <w:b/>
          <w:sz w:val="24"/>
          <w:szCs w:val="24"/>
        </w:rPr>
        <w:fldChar w:fldCharType="separate"/>
      </w:r>
      <w:r>
        <w:rPr>
          <w:rFonts w:hint="default" w:eastAsia="Times New Roman"/>
          <w:b/>
          <w:sz w:val="24"/>
          <w:szCs w:val="24"/>
        </w:rPr>
        <w:t>20</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"_Toc300000093"</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第十一节</w:t>
      </w:r>
      <w:r>
        <w:rPr>
          <w:rFonts w:hint="default" w:eastAsia="Times New Roman"/>
          <w:b/>
          <w:color w:val="000000"/>
          <w:sz w:val="24"/>
          <w:szCs w:val="24"/>
        </w:rPr>
        <w:t xml:space="preserve"> </w:t>
      </w:r>
      <w:r>
        <w:rPr>
          <w:rFonts w:hint="eastAsia" w:ascii="宋体" w:hAnsi="宋体" w:cs="宋体"/>
          <w:b/>
          <w:color w:val="000000"/>
          <w:sz w:val="24"/>
          <w:szCs w:val="24"/>
        </w:rPr>
        <w:t>公司债券相关情况</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_Toc300000093 \h </w:instrText>
      </w:r>
      <w:r>
        <w:rPr>
          <w:rFonts w:hint="default" w:eastAsia="Times New Roman"/>
          <w:b/>
          <w:sz w:val="24"/>
          <w:szCs w:val="24"/>
        </w:rPr>
        <w:fldChar w:fldCharType="separate"/>
      </w:r>
      <w:r>
        <w:rPr>
          <w:rFonts w:hint="default" w:eastAsia="Times New Roman"/>
          <w:b/>
          <w:sz w:val="24"/>
          <w:szCs w:val="24"/>
        </w:rPr>
        <w:t>22</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"_Toc300000094"</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第十二节</w:t>
      </w:r>
      <w:r>
        <w:rPr>
          <w:rFonts w:hint="default" w:eastAsia="Times New Roman"/>
          <w:b/>
          <w:color w:val="000000"/>
          <w:sz w:val="24"/>
          <w:szCs w:val="24"/>
        </w:rPr>
        <w:t xml:space="preserve"> </w:t>
      </w:r>
      <w:r>
        <w:rPr>
          <w:rFonts w:hint="eastAsia" w:ascii="宋体" w:hAnsi="宋体" w:cs="宋体"/>
          <w:b/>
          <w:color w:val="000000"/>
          <w:sz w:val="24"/>
          <w:szCs w:val="24"/>
        </w:rPr>
        <w:t>财务报告</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_Toc300000094 \h </w:instrText>
      </w:r>
      <w:r>
        <w:rPr>
          <w:rFonts w:hint="default" w:eastAsia="Times New Roman"/>
          <w:b/>
          <w:sz w:val="24"/>
          <w:szCs w:val="24"/>
        </w:rPr>
        <w:fldChar w:fldCharType="separate"/>
      </w:r>
      <w:r>
        <w:rPr>
          <w:rFonts w:hint="default" w:eastAsia="Times New Roman"/>
          <w:b/>
          <w:sz w:val="24"/>
          <w:szCs w:val="24"/>
        </w:rPr>
        <w:t>22</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b/>
          <w:sz w:val="24"/>
          <w:szCs w:val="24"/>
        </w:rPr>
      </w:pPr>
      <w:r>
        <w:rPr>
          <w:rFonts w:hint="default" w:eastAsia="Times New Roman"/>
          <w:b/>
          <w:color w:val="000000"/>
          <w:sz w:val="24"/>
          <w:szCs w:val="24"/>
        </w:rPr>
        <w:fldChar w:fldCharType="begin"/>
      </w:r>
      <w:r>
        <w:rPr>
          <w:rFonts w:hint="default" w:eastAsia="Times New Roman"/>
          <w:b/>
          <w:color w:val="000000"/>
          <w:sz w:val="24"/>
          <w:szCs w:val="24"/>
        </w:rPr>
        <w:instrText xml:space="preserve"> </w:instrText>
      </w:r>
      <w:r>
        <w:rPr>
          <w:rFonts w:hint="default" w:eastAsia="Times New Roman"/>
          <w:b/>
          <w:sz w:val="24"/>
          <w:szCs w:val="24"/>
        </w:rPr>
        <w:instrText xml:space="preserve">HYPERLINK \l "_Toc300000095"</w:instrText>
      </w:r>
      <w:r>
        <w:rPr>
          <w:rFonts w:hint="default" w:eastAsia="Times New Roman"/>
          <w:b/>
          <w:color w:val="000000"/>
          <w:sz w:val="24"/>
          <w:szCs w:val="24"/>
        </w:rPr>
        <w:instrText xml:space="preserve"> </w:instrText>
      </w:r>
      <w:r>
        <w:rPr>
          <w:rFonts w:hint="default" w:eastAsia="Times New Roman"/>
          <w:b/>
          <w:color w:val="000000"/>
          <w:sz w:val="24"/>
          <w:szCs w:val="24"/>
        </w:rPr>
        <w:fldChar w:fldCharType="separate"/>
      </w:r>
      <w:r>
        <w:rPr>
          <w:rFonts w:hint="eastAsia" w:ascii="宋体" w:hAnsi="宋体" w:cs="宋体"/>
          <w:b/>
          <w:color w:val="000000"/>
          <w:sz w:val="24"/>
          <w:szCs w:val="24"/>
        </w:rPr>
        <w:t>第十三节</w:t>
      </w:r>
      <w:r>
        <w:rPr>
          <w:rFonts w:hint="default" w:eastAsia="Times New Roman"/>
          <w:b/>
          <w:color w:val="000000"/>
          <w:sz w:val="24"/>
          <w:szCs w:val="24"/>
        </w:rPr>
        <w:t xml:space="preserve"> </w:t>
      </w:r>
      <w:r>
        <w:rPr>
          <w:rFonts w:hint="eastAsia" w:ascii="宋体" w:hAnsi="宋体" w:cs="宋体"/>
          <w:b/>
          <w:color w:val="000000"/>
          <w:sz w:val="24"/>
          <w:szCs w:val="24"/>
        </w:rPr>
        <w:t>备查文件目录</w:t>
      </w:r>
      <w:r>
        <w:rPr>
          <w:rFonts w:hint="default" w:eastAsia="Times New Roman"/>
          <w:b/>
          <w:sz w:val="24"/>
          <w:szCs w:val="24"/>
        </w:rPr>
        <w:tab/>
      </w:r>
      <w:r>
        <w:rPr>
          <w:rFonts w:hint="default" w:eastAsia="Times New Roman"/>
          <w:b/>
          <w:sz w:val="24"/>
          <w:szCs w:val="24"/>
        </w:rPr>
        <w:fldChar w:fldCharType="begin"/>
      </w:r>
      <w:r>
        <w:rPr>
          <w:rFonts w:hint="default" w:eastAsia="Times New Roman"/>
          <w:b/>
          <w:sz w:val="24"/>
          <w:szCs w:val="24"/>
        </w:rPr>
        <w:instrText xml:space="preserve"> PAGEREF _Toc300000095 \h </w:instrText>
      </w:r>
      <w:r>
        <w:rPr>
          <w:rFonts w:hint="default" w:eastAsia="Times New Roman"/>
          <w:b/>
          <w:sz w:val="24"/>
          <w:szCs w:val="24"/>
        </w:rPr>
        <w:fldChar w:fldCharType="separate"/>
      </w:r>
      <w:r>
        <w:rPr>
          <w:rFonts w:hint="default" w:eastAsia="Times New Roman"/>
          <w:b/>
          <w:sz w:val="24"/>
          <w:szCs w:val="24"/>
        </w:rPr>
        <w:t>85</w:t>
      </w:r>
      <w:r>
        <w:rPr>
          <w:rFonts w:hint="default" w:eastAsia="Times New Roman"/>
          <w:b/>
          <w:sz w:val="24"/>
          <w:szCs w:val="24"/>
        </w:rPr>
        <w:fldChar w:fldCharType="end"/>
      </w:r>
      <w:r>
        <w:rPr>
          <w:rFonts w:hint="default" w:eastAsia="Times New Roman"/>
          <w:b/>
          <w:sz w:val="24"/>
          <w:szCs w:val="24"/>
        </w:rPr>
        <w:fldChar w:fldCharType="end"/>
      </w:r>
    </w:p>
    <w:p>
      <w:pPr>
        <w:tabs>
          <w:tab w:val="right" w:leader="dot" w:pos="9628"/>
        </w:tabs>
        <w:spacing w:before="180" w:after="180"/>
        <w:rPr>
          <w:rFonts w:hint="default" w:eastAsia="Times New Roman"/>
          <w:sz w:val="18"/>
          <w:szCs w:val="18"/>
        </w:rPr>
        <w:sectPr>
          <w:pgSz w:w="11906" w:h="16838"/>
          <w:pgMar w:top="1440" w:right="1134" w:bottom="1440" w:left="1134" w:header="851" w:footer="992" w:gutter="0"/>
          <w:lnNumType w:countBy="0" w:distance="360"/>
          <w:cols w:space="720" w:num="1"/>
          <w:docGrid w:type="lines" w:linePitch="312" w:charSpace="0"/>
        </w:sectPr>
      </w:pPr>
      <w:r>
        <w:rPr>
          <w:rFonts w:hint="default" w:eastAsia="Times New Roman"/>
          <w:b/>
          <w:sz w:val="24"/>
          <w:szCs w:val="24"/>
        </w:rPr>
        <w:fldChar w:fldCharType="end"/>
      </w:r>
    </w:p>
    <w:p>
      <w:pPr>
        <w:spacing w:before="700" w:after="700"/>
        <w:jc w:val="center"/>
        <w:rPr>
          <w:rFonts w:hint="default"/>
          <w:b/>
          <w:sz w:val="32"/>
          <w:szCs w:val="32"/>
        </w:rPr>
      </w:pPr>
      <w:r>
        <w:rPr>
          <w:rFonts w:hint="eastAsia"/>
          <w:b/>
          <w:sz w:val="32"/>
          <w:szCs w:val="32"/>
        </w:rPr>
        <w:t>释义</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524"/>
        <w:gridCol w:w="621"/>
        <w:gridCol w:w="5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释义项</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释义内容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伟隆股份、公司、本公司</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青岛伟隆阀门股份有限公司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伟隆有限、有限公司</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本公司前身，青岛伟隆阀门有限公司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控股股东</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范庆伟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实际控制人</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范庆伟、范玉隆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惠隆企管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本公司股东，江西惠隆企业管理有限公司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莱州伟隆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本公司全资子公司，莱州伟隆阀门有限公司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伟隆五金</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本公司全资子公司，青岛伟隆五金机械有限公司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英国伟隆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本公司全资子公司，伟隆阀门有限公司（</w:t>
            </w:r>
            <w:r>
              <w:rPr>
                <w:rFonts w:hint="default"/>
                <w:sz w:val="18"/>
                <w:szCs w:val="18"/>
              </w:rPr>
              <w:t>WEFLO VALVE COMPANY LIMITED</w:t>
            </w:r>
            <w:r>
              <w:rPr>
                <w:rFonts w:hint="eastAsia"/>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美国伟隆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本公司全资子公司，伟隆阀门有限公司（</w:t>
            </w:r>
            <w:r>
              <w:rPr>
                <w:rFonts w:hint="default"/>
                <w:sz w:val="18"/>
                <w:szCs w:val="18"/>
              </w:rPr>
              <w:t>WEFLO VALVE LLC</w:t>
            </w:r>
            <w:r>
              <w:rPr>
                <w:rFonts w:hint="eastAsia"/>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伟隆流体</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本公司全资子公司，青岛伟隆流体设备有限公司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即聚机电</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本公司全资子公司，青岛即聚机电有限责任公司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卓信检测</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本公司全资子公司，青岛卓信检测技术有限责任公司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香港伟隆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本公司全资子公司，伟隆（香港）实业有限公司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保荐机构、主承销商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宏信证券有限责任公司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国枫、发行人律师</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北京国枫律师事务所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审计机构、申报会计师、山东和信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A</w:t>
            </w:r>
            <w:r>
              <w:rPr>
                <w:rFonts w:hint="eastAsia"/>
                <w:sz w:val="18"/>
                <w:szCs w:val="18"/>
              </w:rPr>
              <w:t>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在中国境内上市的人民币普通股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股东大会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青岛伟隆阀门股份有限公司股东大会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董事会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青岛伟隆阀门股份有限公司董事会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监事会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青岛伟隆阀门股份有限公司监事会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公司章程</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青岛伟隆阀门股份有限公司章程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《公司法》</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《中华人民共和国公司法》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《证券法》</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《中华人民共和国证券法》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中国证监会、证监会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中国证券监督管理委员会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深交所、交易所</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元、万元</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人民币元、人民币万元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报告期、本报告期</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2020</w:t>
            </w:r>
            <w:r>
              <w:rPr>
                <w:rFonts w:hint="eastAsia"/>
                <w:sz w:val="18"/>
                <w:szCs w:val="18"/>
              </w:rPr>
              <w:t>年</w:t>
            </w:r>
            <w:r>
              <w:rPr>
                <w:rFonts w:hint="default"/>
                <w:sz w:val="18"/>
                <w:szCs w:val="18"/>
              </w:rPr>
              <w:t>1</w:t>
            </w:r>
            <w:r>
              <w:rPr>
                <w:rFonts w:hint="eastAsia"/>
                <w:sz w:val="18"/>
                <w:szCs w:val="18"/>
              </w:rPr>
              <w:t>月</w:t>
            </w:r>
            <w:r>
              <w:rPr>
                <w:rFonts w:hint="default"/>
                <w:sz w:val="18"/>
                <w:szCs w:val="18"/>
              </w:rPr>
              <w:t>1</w:t>
            </w:r>
            <w:r>
              <w:rPr>
                <w:rFonts w:hint="eastAsia"/>
                <w:sz w:val="18"/>
                <w:szCs w:val="18"/>
              </w:rPr>
              <w:t>日</w:t>
            </w:r>
            <w:r>
              <w:rPr>
                <w:rFonts w:hint="default"/>
                <w:sz w:val="18"/>
                <w:szCs w:val="18"/>
              </w:rPr>
              <w:t>-2020</w:t>
            </w:r>
            <w:r>
              <w:rPr>
                <w:rFonts w:hint="eastAsia"/>
                <w:sz w:val="18"/>
                <w:szCs w:val="18"/>
              </w:rPr>
              <w:t>年</w:t>
            </w:r>
            <w:r>
              <w:rPr>
                <w:rFonts w:hint="default"/>
                <w:sz w:val="18"/>
                <w:szCs w:val="18"/>
              </w:rPr>
              <w:t>12</w:t>
            </w:r>
            <w:r>
              <w:rPr>
                <w:rFonts w:hint="eastAsia"/>
                <w:sz w:val="18"/>
                <w:szCs w:val="18"/>
              </w:rPr>
              <w:t>月</w:t>
            </w:r>
            <w:r>
              <w:rPr>
                <w:rFonts w:hint="default"/>
                <w:sz w:val="18"/>
                <w:szCs w:val="18"/>
              </w:rPr>
              <w:t>31</w:t>
            </w:r>
            <w:r>
              <w:rPr>
                <w:rFonts w:hint="eastAsia"/>
                <w:sz w:val="18"/>
                <w:szCs w:val="18"/>
              </w:rPr>
              <w:t>日</w:t>
            </w:r>
          </w:p>
        </w:tc>
      </w:tr>
    </w:tbl>
    <w:p>
      <w:pPr>
        <w:rPr>
          <w:rFonts w:hint="default"/>
          <w:sz w:val="18"/>
          <w:szCs w:val="18"/>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32"/>
        </w:rPr>
      </w:pPr>
      <w:bookmarkStart w:id="1" w:name="_Toc300000085"/>
      <w:r>
        <w:rPr>
          <w:rFonts w:hint="eastAsia"/>
          <w:b/>
          <w:kern w:val="32"/>
          <w:sz w:val="32"/>
          <w:szCs w:val="32"/>
        </w:rPr>
        <w:t>第二节</w:t>
      </w:r>
      <w:r>
        <w:rPr>
          <w:rFonts w:hint="default"/>
          <w:b/>
          <w:kern w:val="32"/>
          <w:sz w:val="32"/>
          <w:szCs w:val="32"/>
        </w:rPr>
        <w:t xml:space="preserve"> </w:t>
      </w:r>
      <w:r>
        <w:rPr>
          <w:rFonts w:hint="eastAsia"/>
          <w:b/>
          <w:kern w:val="32"/>
          <w:sz w:val="32"/>
          <w:szCs w:val="32"/>
        </w:rPr>
        <w:t>公司简介和主要财务指标</w:t>
      </w:r>
      <w:bookmarkEnd w:id="1"/>
    </w:p>
    <w:p>
      <w:pPr>
        <w:pStyle w:val="7"/>
        <w:outlineLvl w:val="1"/>
        <w:rPr>
          <w:rFonts w:hint="default"/>
          <w:sz w:val="24"/>
          <w:szCs w:val="24"/>
        </w:rPr>
      </w:pPr>
      <w:r>
        <w:rPr>
          <w:rFonts w:hint="eastAsia"/>
          <w:sz w:val="24"/>
          <w:szCs w:val="24"/>
        </w:rPr>
        <w:t>一、公司信息</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284"/>
        <w:gridCol w:w="2953"/>
        <w:gridCol w:w="2156"/>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股票简称</w:t>
            </w:r>
          </w:p>
        </w:tc>
        <w:tc>
          <w:tcPr>
            <w:tcW w:w="29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伟隆股份</w:t>
            </w:r>
          </w:p>
        </w:tc>
        <w:tc>
          <w:tcPr>
            <w:tcW w:w="21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股票代码</w:t>
            </w:r>
          </w:p>
        </w:tc>
        <w:tc>
          <w:tcPr>
            <w:tcW w:w="21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002871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股票上市证券交易所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公司的中文名称</w:t>
            </w:r>
          </w:p>
        </w:tc>
        <w:tc>
          <w:tcPr>
            <w:tcW w:w="7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18"/>
              </w:rPr>
            </w:pPr>
            <w:r>
              <w:rPr>
                <w:rFonts w:hint="eastAsia"/>
                <w:sz w:val="18"/>
                <w:szCs w:val="18"/>
              </w:rPr>
              <w:t>青岛伟隆阀门股份有限公司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公司的中文简称</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伟隆股份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公司的外文名称（如有）</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QINGDAO WEFLO VALVE CO., LTD.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公司的外文名称缩写（如有）</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WEFLO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公司的法定代表人</w:t>
            </w:r>
          </w:p>
        </w:tc>
        <w:tc>
          <w:tcPr>
            <w:tcW w:w="7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18"/>
              </w:rPr>
            </w:pPr>
            <w:r>
              <w:rPr>
                <w:rFonts w:hint="eastAsia"/>
                <w:sz w:val="18"/>
                <w:szCs w:val="18"/>
              </w:rPr>
              <w:t>范庆伟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注册地址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青岛即墨市蓝村镇兴和路</w:t>
            </w:r>
            <w:r>
              <w:rPr>
                <w:rFonts w:hint="default"/>
                <w:sz w:val="18"/>
                <w:szCs w:val="18"/>
              </w:rPr>
              <w:t>45</w:t>
            </w:r>
            <w:r>
              <w:rPr>
                <w:rFonts w:hint="eastAsia"/>
                <w:sz w:val="18"/>
                <w:szCs w:val="1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注册地址的邮政编码</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266232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办公地址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青岛市高新区宝源路北首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办公地址的邮政编码</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266000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公司网址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www.weilongvalve.com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电子信箱</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Liu.k.p@weflovalve.com</w:t>
            </w:r>
          </w:p>
        </w:tc>
      </w:tr>
    </w:tbl>
    <w:p>
      <w:pPr>
        <w:pStyle w:val="7"/>
        <w:outlineLvl w:val="1"/>
        <w:rPr>
          <w:rFonts w:hint="default"/>
          <w:sz w:val="24"/>
          <w:szCs w:val="24"/>
        </w:rPr>
      </w:pPr>
      <w:r>
        <w:rPr>
          <w:rFonts w:hint="eastAsia"/>
          <w:sz w:val="24"/>
          <w:szCs w:val="24"/>
        </w:rPr>
        <w:t>二、联系人和联系方式</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董事会秘书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证券事务代表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姓名</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刘克平</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赵翔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联系地址</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青岛市高新区宝源路北首伟隆股份</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青岛市高新区宝源路北首伟隆股份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电话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0532-87901466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0532-87901466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传真</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0532-87901466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0532-87901466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电子信箱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Liu.k.p@weflovalve.com</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default"/>
                <w:sz w:val="18"/>
                <w:szCs w:val="18"/>
              </w:rPr>
              <w:t>Zhao.xiang@weflovalve.com</w:t>
            </w:r>
          </w:p>
        </w:tc>
      </w:tr>
    </w:tbl>
    <w:p>
      <w:pPr>
        <w:pStyle w:val="7"/>
        <w:outlineLvl w:val="1"/>
        <w:rPr>
          <w:rFonts w:hint="default"/>
          <w:sz w:val="24"/>
          <w:szCs w:val="24"/>
        </w:rPr>
      </w:pPr>
      <w:r>
        <w:rPr>
          <w:rFonts w:hint="eastAsia"/>
          <w:sz w:val="24"/>
          <w:szCs w:val="24"/>
        </w:rPr>
        <w:t>三、信息披露及备置地点</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992"/>
        <w:gridCol w:w="5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公司选定的信息披露媒体的名称</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《中国证券报》、《证券日报》、《证券时报》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登载年度报告的中国证监会指定网站的网址</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巨潮资讯网（</w:t>
            </w:r>
            <w:r>
              <w:rPr>
                <w:rFonts w:hint="default"/>
                <w:sz w:val="18"/>
                <w:szCs w:val="18"/>
              </w:rPr>
              <w:t>http://www.cninfo.com.cn</w:t>
            </w:r>
            <w:r>
              <w:rPr>
                <w:rFonts w:hint="eastAsia"/>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公司年度报告备置地点</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公司董事会办公室</w:t>
            </w:r>
          </w:p>
        </w:tc>
      </w:tr>
    </w:tbl>
    <w:p>
      <w:pPr>
        <w:pStyle w:val="7"/>
        <w:outlineLvl w:val="1"/>
        <w:rPr>
          <w:rFonts w:hint="default"/>
          <w:sz w:val="24"/>
          <w:szCs w:val="24"/>
        </w:rPr>
      </w:pPr>
      <w:r>
        <w:rPr>
          <w:rFonts w:hint="eastAsia"/>
          <w:sz w:val="24"/>
          <w:szCs w:val="24"/>
        </w:rPr>
        <w:t>四、注册变更情况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6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组织机构代码</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无变更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公司上市以来主营业务的变化情况（如有）</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无变更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历次控股股东的变更情况（如有）</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无变更</w:t>
            </w:r>
          </w:p>
        </w:tc>
      </w:tr>
    </w:tbl>
    <w:p>
      <w:pPr>
        <w:pStyle w:val="7"/>
        <w:outlineLvl w:val="1"/>
        <w:rPr>
          <w:rFonts w:hint="default"/>
          <w:sz w:val="24"/>
          <w:szCs w:val="24"/>
        </w:rPr>
      </w:pPr>
      <w:r>
        <w:rPr>
          <w:rFonts w:hint="eastAsia"/>
          <w:sz w:val="24"/>
          <w:szCs w:val="24"/>
        </w:rPr>
        <w:t>五、其他有关资料</w:t>
      </w:r>
    </w:p>
    <w:p>
      <w:pPr>
        <w:jc w:val="left"/>
        <w:rPr>
          <w:rFonts w:hint="default"/>
          <w:sz w:val="18"/>
          <w:szCs w:val="18"/>
        </w:rPr>
      </w:pPr>
      <w:r>
        <w:rPr>
          <w:rFonts w:hint="eastAsia"/>
          <w:sz w:val="18"/>
          <w:szCs w:val="18"/>
        </w:rPr>
        <w:t>公司聘请的会计师事务所</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662"/>
        <w:gridCol w:w="6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会计师事务所名称</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会计师事务所办公地址</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济南市历下区文化东路</w:t>
            </w:r>
            <w:r>
              <w:rPr>
                <w:rFonts w:hint="default"/>
                <w:sz w:val="18"/>
                <w:szCs w:val="18"/>
              </w:rPr>
              <w:t>59</w:t>
            </w:r>
            <w:r>
              <w:rPr>
                <w:rFonts w:hint="eastAsia"/>
                <w:sz w:val="18"/>
                <w:szCs w:val="18"/>
              </w:rPr>
              <w:t>号盐业大厦</w:t>
            </w:r>
            <w:r>
              <w:rPr>
                <w:rFonts w:hint="default"/>
                <w:sz w:val="18"/>
                <w:szCs w:val="18"/>
              </w:rPr>
              <w:t>7</w:t>
            </w:r>
            <w:r>
              <w:rPr>
                <w:rFonts w:hint="eastAsia"/>
                <w:sz w:val="18"/>
                <w:szCs w:val="18"/>
              </w:rPr>
              <w:t>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签字会计师姓名</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18"/>
              </w:rPr>
            </w:pPr>
            <w:r>
              <w:rPr>
                <w:rFonts w:hint="eastAsia"/>
                <w:sz w:val="18"/>
                <w:szCs w:val="18"/>
              </w:rPr>
              <w:t>刘学伟、李胜</w:t>
            </w:r>
          </w:p>
        </w:tc>
      </w:tr>
    </w:tbl>
    <w:p>
      <w:pPr>
        <w:jc w:val="left"/>
        <w:rPr>
          <w:rFonts w:hint="default"/>
          <w:sz w:val="18"/>
          <w:szCs w:val="18"/>
        </w:rPr>
      </w:pPr>
      <w:r>
        <w:rPr>
          <w:rFonts w:hint="eastAsia"/>
          <w:sz w:val="18"/>
          <w:szCs w:val="18"/>
        </w:rPr>
        <w:t>公司聘请的报告期内履行持续督导职责的保荐机构</w:t>
      </w:r>
    </w:p>
    <w:p>
      <w:pPr>
        <w:jc w:val="left"/>
        <w:rPr>
          <w:rFonts w:hint="default"/>
          <w:sz w:val="18"/>
          <w:szCs w:val="18"/>
        </w:rPr>
      </w:pPr>
      <w:r>
        <w:rPr>
          <w:rFonts w:hint="default"/>
          <w:sz w:val="18"/>
          <w:szCs w:val="18"/>
        </w:rPr>
        <w:t xml:space="preserve">□ </w:t>
      </w:r>
      <w:r>
        <w:rPr>
          <w:rFonts w:hint="eastAsia"/>
          <w:sz w:val="18"/>
          <w:szCs w:val="18"/>
        </w:rPr>
        <w:t>适用</w:t>
      </w:r>
      <w:r>
        <w:rPr>
          <w:rFonts w:hint="default"/>
          <w:sz w:val="18"/>
          <w:szCs w:val="18"/>
        </w:rPr>
        <w:t xml:space="preserve"> √ </w:t>
      </w:r>
      <w:r>
        <w:rPr>
          <w:rFonts w:hint="eastAsia"/>
          <w:sz w:val="18"/>
          <w:szCs w:val="18"/>
        </w:rPr>
        <w:t>不适用</w:t>
      </w:r>
      <w:r>
        <w:rPr>
          <w:rFonts w:hint="default"/>
          <w:sz w:val="18"/>
          <w:szCs w:val="18"/>
        </w:rPr>
        <w:t xml:space="preserve"> </w:t>
      </w:r>
    </w:p>
    <w:p>
      <w:pPr>
        <w:jc w:val="left"/>
        <w:rPr>
          <w:rFonts w:hint="default"/>
          <w:sz w:val="18"/>
          <w:szCs w:val="18"/>
        </w:rPr>
      </w:pPr>
      <w:r>
        <w:rPr>
          <w:rFonts w:hint="eastAsia"/>
          <w:sz w:val="18"/>
          <w:szCs w:val="18"/>
        </w:rPr>
        <w:t>公司聘请的报告期内履行持续督导职责的财务顾问</w:t>
      </w:r>
    </w:p>
    <w:p>
      <w:pPr>
        <w:jc w:val="left"/>
        <w:rPr>
          <w:rFonts w:hint="default"/>
          <w:sz w:val="18"/>
          <w:szCs w:val="18"/>
        </w:rPr>
      </w:pPr>
      <w:r>
        <w:rPr>
          <w:rFonts w:hint="default"/>
          <w:sz w:val="18"/>
          <w:szCs w:val="18"/>
        </w:rPr>
        <w:t xml:space="preserve">□ </w:t>
      </w:r>
      <w:r>
        <w:rPr>
          <w:rFonts w:hint="eastAsia"/>
          <w:sz w:val="18"/>
          <w:szCs w:val="18"/>
        </w:rPr>
        <w:t>适用</w:t>
      </w:r>
      <w:r>
        <w:rPr>
          <w:rFonts w:hint="default"/>
          <w:sz w:val="18"/>
          <w:szCs w:val="18"/>
        </w:rPr>
        <w:t xml:space="preserve"> √ </w:t>
      </w:r>
      <w:r>
        <w:rPr>
          <w:rFonts w:hint="eastAsia"/>
          <w:sz w:val="18"/>
          <w:szCs w:val="18"/>
        </w:rPr>
        <w:t>不适用</w:t>
      </w:r>
      <w:r>
        <w:rPr>
          <w:rFonts w:hint="default"/>
          <w:sz w:val="18"/>
          <w:szCs w:val="18"/>
        </w:rPr>
        <w:t xml:space="preserve"> </w:t>
      </w:r>
    </w:p>
    <w:p>
      <w:pPr>
        <w:pStyle w:val="7"/>
        <w:outlineLvl w:val="1"/>
        <w:rPr>
          <w:rFonts w:hint="default"/>
          <w:sz w:val="24"/>
          <w:szCs w:val="24"/>
        </w:rPr>
      </w:pPr>
      <w:r>
        <w:rPr>
          <w:rFonts w:hint="eastAsia"/>
          <w:sz w:val="24"/>
          <w:szCs w:val="24"/>
        </w:rPr>
        <w:t>六、主要会计数据和财务指标</w:t>
      </w:r>
    </w:p>
    <w:p>
      <w:pPr>
        <w:jc w:val="left"/>
        <w:rPr>
          <w:rFonts w:hint="default"/>
          <w:sz w:val="18"/>
          <w:szCs w:val="18"/>
        </w:rPr>
      </w:pPr>
      <w:r>
        <w:rPr>
          <w:rFonts w:hint="eastAsia"/>
          <w:sz w:val="18"/>
          <w:szCs w:val="18"/>
        </w:rPr>
        <w:t>公司是否需追溯调整或重述以前年度会计数据</w:t>
      </w:r>
    </w:p>
    <w:p>
      <w:pPr>
        <w:jc w:val="left"/>
        <w:rPr>
          <w:rFonts w:hint="default"/>
          <w:sz w:val="18"/>
          <w:szCs w:val="18"/>
        </w:rPr>
      </w:pPr>
      <w:r>
        <w:rPr>
          <w:rFonts w:hint="default"/>
          <w:sz w:val="18"/>
          <w:szCs w:val="18"/>
        </w:rPr>
        <w:t xml:space="preserve">□ </w:t>
      </w:r>
      <w:r>
        <w:rPr>
          <w:rFonts w:hint="eastAsia"/>
          <w:sz w:val="18"/>
          <w:szCs w:val="18"/>
        </w:rPr>
        <w:t>是</w:t>
      </w:r>
      <w:r>
        <w:rPr>
          <w:rFonts w:hint="default"/>
          <w:sz w:val="18"/>
          <w:szCs w:val="18"/>
        </w:rPr>
        <w:t xml:space="preserve"> √ </w:t>
      </w:r>
      <w:r>
        <w:rPr>
          <w:rFonts w:hint="eastAsia"/>
          <w:sz w:val="18"/>
          <w:szCs w:val="18"/>
        </w:rPr>
        <w:t>否</w:t>
      </w:r>
      <w:r>
        <w:rPr>
          <w:rFonts w:hint="default"/>
          <w:sz w:val="18"/>
          <w:szCs w:val="18"/>
        </w:rPr>
        <w:t xml:space="preserve"> </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621"/>
        <w:gridCol w:w="1738"/>
        <w:gridCol w:w="1737"/>
        <w:gridCol w:w="1737"/>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2020</w:t>
            </w:r>
            <w:r>
              <w:rPr>
                <w:rFonts w:hint="eastAsia"/>
                <w:sz w:val="18"/>
                <w:szCs w:val="18"/>
              </w:rPr>
              <w:t>年</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2019</w:t>
            </w:r>
            <w:r>
              <w:rPr>
                <w:rFonts w:hint="eastAsia"/>
                <w:sz w:val="18"/>
                <w:szCs w:val="18"/>
              </w:rPr>
              <w:t>年</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本年比上年增减</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2018</w:t>
            </w:r>
            <w:r>
              <w:rPr>
                <w:rFonts w:hint="eastAsia"/>
                <w:sz w:val="18"/>
                <w:szCs w:val="18"/>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营业收入（元）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344,590,024.63</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355,225,906.74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-2.99%</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346,704,773.62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归属于上市公司股东的净利润（元）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57,968,093.00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52,983,867.54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9.41%</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77,680,421.96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归属于上市公司股东的扣除非经常性损益的净利润（元）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42,433,709.05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42,611,653.26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-0.42%</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62,400,470.01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经营活动产生的现金流量净额（元）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89,946,129.75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132,922,717.03</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-32.33%</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29,872,088.47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基本每股收益（元</w:t>
            </w:r>
            <w:r>
              <w:rPr>
                <w:rFonts w:hint="default"/>
                <w:sz w:val="18"/>
                <w:szCs w:val="18"/>
              </w:rPr>
              <w:t>/</w:t>
            </w:r>
            <w:r>
              <w:rPr>
                <w:rFonts w:hint="eastAsia"/>
                <w:sz w:val="18"/>
                <w:szCs w:val="18"/>
              </w:rPr>
              <w:t>股）</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0.50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0.45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11.11%</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稀释每股收益（元</w:t>
            </w:r>
            <w:r>
              <w:rPr>
                <w:rFonts w:hint="default"/>
                <w:sz w:val="18"/>
                <w:szCs w:val="18"/>
              </w:rPr>
              <w:t>/</w:t>
            </w:r>
            <w:r>
              <w:rPr>
                <w:rFonts w:hint="eastAsia"/>
                <w:sz w:val="18"/>
                <w:szCs w:val="18"/>
              </w:rPr>
              <w:t>股）</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0.50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0.45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11.11%</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加权平均净资产收益率</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18"/>
              </w:rPr>
            </w:pPr>
            <w:r>
              <w:rPr>
                <w:rFonts w:hint="default" w:ascii="Tahoma" w:hAnsi="Tahoma" w:eastAsia="Tahoma" w:cs="Tahoma"/>
                <w:b/>
                <w:bCs/>
                <w:i w:val="0"/>
                <w:iCs w:val="0"/>
                <w:color w:val="000000"/>
                <w:kern w:val="0"/>
                <w:sz w:val="18"/>
                <w:szCs w:val="18"/>
                <w:u w:val="none"/>
                <w:lang w:val="en-US" w:eastAsia="zh-CN" w:bidi="ar"/>
              </w:rPr>
              <w:t>8.89%</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18"/>
              </w:rPr>
            </w:pPr>
            <w:r>
              <w:rPr>
                <w:rFonts w:hint="default" w:ascii="Tahoma" w:hAnsi="Tahoma" w:eastAsia="Tahoma" w:cs="Tahoma"/>
                <w:b/>
                <w:bCs/>
                <w:i w:val="0"/>
                <w:iCs w:val="0"/>
                <w:color w:val="000000"/>
                <w:kern w:val="0"/>
                <w:sz w:val="18"/>
                <w:szCs w:val="18"/>
                <w:u w:val="none"/>
                <w:lang w:val="en-US" w:eastAsia="zh-CN" w:bidi="ar"/>
              </w:rPr>
              <w:t>8.44%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18"/>
              </w:rPr>
            </w:pPr>
            <w:r>
              <w:rPr>
                <w:rFonts w:hint="default" w:ascii="Tahoma" w:hAnsi="Tahoma" w:eastAsia="Tahoma" w:cs="Tahoma"/>
                <w:b/>
                <w:bCs/>
                <w:i w:val="0"/>
                <w:iCs w:val="0"/>
                <w:color w:val="000000"/>
                <w:kern w:val="0"/>
                <w:sz w:val="18"/>
                <w:szCs w:val="18"/>
                <w:u w:val="none"/>
                <w:lang w:val="en-US" w:eastAsia="zh-CN" w:bidi="ar"/>
              </w:rPr>
              <w:t>0.45%</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2020</w:t>
            </w:r>
            <w:r>
              <w:rPr>
                <w:rFonts w:hint="eastAsia"/>
                <w:sz w:val="18"/>
                <w:szCs w:val="18"/>
              </w:rPr>
              <w:t>年末</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2019</w:t>
            </w:r>
            <w:r>
              <w:rPr>
                <w:rFonts w:hint="eastAsia"/>
                <w:sz w:val="18"/>
                <w:szCs w:val="18"/>
              </w:rPr>
              <w:t>年末</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本年末比上年末增减</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2018</w:t>
            </w:r>
            <w:r>
              <w:rPr>
                <w:rFonts w:hint="eastAsia"/>
                <w:sz w:val="18"/>
                <w:szCs w:val="18"/>
              </w:rPr>
              <w:t>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总资产（元）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869,664,922.77</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799,909,010.24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8.72%</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785,086,524.19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归属于上市公司股东的净资产（元）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663,232,732.54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651,310,430.22</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1.83%</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610,558,766.49</w:t>
            </w:r>
          </w:p>
        </w:tc>
      </w:tr>
    </w:tbl>
    <w:p>
      <w:pPr>
        <w:jc w:val="left"/>
        <w:rPr>
          <w:rFonts w:hint="default"/>
          <w:sz w:val="18"/>
          <w:szCs w:val="18"/>
        </w:rPr>
      </w:pPr>
      <w:r>
        <w:rPr>
          <w:rFonts w:hint="eastAsia"/>
          <w:sz w:val="18"/>
          <w:szCs w:val="18"/>
        </w:rPr>
        <w:t>公司最近三个会计年度扣除非经常性损益前后净利润孰低者均为负值，且最近一年审计报告显示公司持续经营能力存在不确定性</w:t>
      </w:r>
    </w:p>
    <w:p>
      <w:pPr>
        <w:jc w:val="left"/>
        <w:rPr>
          <w:rFonts w:hint="default"/>
          <w:sz w:val="18"/>
          <w:szCs w:val="18"/>
        </w:rPr>
      </w:pPr>
      <w:r>
        <w:rPr>
          <w:rFonts w:hint="default"/>
          <w:sz w:val="18"/>
          <w:szCs w:val="18"/>
        </w:rPr>
        <w:t xml:space="preserve">□ </w:t>
      </w:r>
      <w:r>
        <w:rPr>
          <w:rFonts w:hint="eastAsia"/>
          <w:sz w:val="18"/>
          <w:szCs w:val="18"/>
        </w:rPr>
        <w:t>是</w:t>
      </w:r>
      <w:r>
        <w:rPr>
          <w:rFonts w:hint="default"/>
          <w:sz w:val="18"/>
          <w:szCs w:val="18"/>
        </w:rPr>
        <w:t xml:space="preserve"> √ </w:t>
      </w:r>
      <w:r>
        <w:rPr>
          <w:rFonts w:hint="eastAsia"/>
          <w:sz w:val="18"/>
          <w:szCs w:val="18"/>
        </w:rPr>
        <w:t>否</w:t>
      </w:r>
      <w:r>
        <w:rPr>
          <w:rFonts w:hint="default"/>
          <w:sz w:val="18"/>
          <w:szCs w:val="18"/>
        </w:rPr>
        <w:t xml:space="preserve"> </w:t>
      </w:r>
    </w:p>
    <w:p>
      <w:pPr>
        <w:jc w:val="left"/>
        <w:rPr>
          <w:rFonts w:hint="default"/>
          <w:sz w:val="18"/>
          <w:szCs w:val="18"/>
        </w:rPr>
      </w:pPr>
      <w:r>
        <w:rPr>
          <w:rFonts w:hint="eastAsia"/>
          <w:sz w:val="18"/>
          <w:szCs w:val="18"/>
        </w:rPr>
        <w:t>扣除非经常损益前后的净利润孰低者为负值</w:t>
      </w:r>
    </w:p>
    <w:p>
      <w:pPr>
        <w:jc w:val="left"/>
        <w:rPr>
          <w:rFonts w:hint="default"/>
          <w:sz w:val="18"/>
          <w:szCs w:val="18"/>
        </w:rPr>
      </w:pPr>
      <w:r>
        <w:rPr>
          <w:rFonts w:hint="default"/>
          <w:sz w:val="18"/>
          <w:szCs w:val="18"/>
        </w:rPr>
        <w:t xml:space="preserve">□ </w:t>
      </w:r>
      <w:r>
        <w:rPr>
          <w:rFonts w:hint="eastAsia"/>
          <w:sz w:val="18"/>
          <w:szCs w:val="18"/>
        </w:rPr>
        <w:t>是</w:t>
      </w:r>
      <w:r>
        <w:rPr>
          <w:rFonts w:hint="default"/>
          <w:sz w:val="18"/>
          <w:szCs w:val="18"/>
        </w:rPr>
        <w:t xml:space="preserve"> √ </w:t>
      </w:r>
      <w:r>
        <w:rPr>
          <w:rFonts w:hint="eastAsia"/>
          <w:sz w:val="18"/>
          <w:szCs w:val="18"/>
        </w:rPr>
        <w:t>否</w:t>
      </w:r>
      <w:r>
        <w:rPr>
          <w:rFonts w:hint="default"/>
          <w:sz w:val="18"/>
          <w:szCs w:val="18"/>
        </w:rPr>
        <w:t xml:space="preserve"> </w:t>
      </w:r>
    </w:p>
    <w:p>
      <w:pPr>
        <w:pStyle w:val="7"/>
        <w:outlineLvl w:val="1"/>
        <w:rPr>
          <w:rFonts w:hint="default"/>
          <w:sz w:val="24"/>
          <w:szCs w:val="24"/>
        </w:rPr>
      </w:pPr>
      <w:r>
        <w:rPr>
          <w:rFonts w:hint="eastAsia"/>
          <w:sz w:val="24"/>
          <w:szCs w:val="24"/>
        </w:rPr>
        <w:t>七、境内外会计准则下会计数据差异</w:t>
      </w:r>
    </w:p>
    <w:p>
      <w:pPr>
        <w:pStyle w:val="8"/>
        <w:outlineLvl w:val="2"/>
        <w:rPr>
          <w:rFonts w:hint="default"/>
          <w:sz w:val="21"/>
          <w:szCs w:val="21"/>
        </w:rPr>
      </w:pPr>
      <w:r>
        <w:rPr>
          <w:rFonts w:hint="default"/>
          <w:sz w:val="21"/>
          <w:szCs w:val="21"/>
        </w:rPr>
        <w:t>1</w:t>
      </w:r>
      <w:r>
        <w:rPr>
          <w:rFonts w:hint="eastAsia"/>
          <w:sz w:val="21"/>
          <w:szCs w:val="21"/>
        </w:rPr>
        <w:t>、同时按照国际会计准则与按照中国会计准则披露的财务报告中净利润和净资产差异情况</w:t>
      </w:r>
    </w:p>
    <w:p>
      <w:pPr>
        <w:jc w:val="left"/>
        <w:rPr>
          <w:rFonts w:hint="default"/>
          <w:sz w:val="18"/>
          <w:szCs w:val="18"/>
        </w:rPr>
      </w:pPr>
      <w:r>
        <w:rPr>
          <w:rFonts w:hint="default"/>
          <w:sz w:val="18"/>
          <w:szCs w:val="18"/>
        </w:rPr>
        <w:t xml:space="preserve">□ </w:t>
      </w:r>
      <w:r>
        <w:rPr>
          <w:rFonts w:hint="eastAsia"/>
          <w:sz w:val="18"/>
          <w:szCs w:val="18"/>
        </w:rPr>
        <w:t>适用</w:t>
      </w:r>
      <w:r>
        <w:rPr>
          <w:rFonts w:hint="default"/>
          <w:sz w:val="18"/>
          <w:szCs w:val="18"/>
        </w:rPr>
        <w:t xml:space="preserve"> √ </w:t>
      </w:r>
      <w:r>
        <w:rPr>
          <w:rFonts w:hint="eastAsia"/>
          <w:sz w:val="18"/>
          <w:szCs w:val="18"/>
        </w:rPr>
        <w:t>不适用</w:t>
      </w:r>
      <w:r>
        <w:rPr>
          <w:rFonts w:hint="default"/>
          <w:sz w:val="18"/>
          <w:szCs w:val="18"/>
        </w:rPr>
        <w:t xml:space="preserve"> </w:t>
      </w:r>
    </w:p>
    <w:p>
      <w:pPr>
        <w:jc w:val="left"/>
        <w:rPr>
          <w:rFonts w:hint="default"/>
          <w:sz w:val="18"/>
          <w:szCs w:val="18"/>
        </w:rPr>
      </w:pPr>
      <w:r>
        <w:rPr>
          <w:rFonts w:hint="eastAsia"/>
          <w:sz w:val="18"/>
          <w:szCs w:val="18"/>
        </w:rPr>
        <w:t>公司报告期不存在按照国际会计准则与按照中国会计准则披露的财务报告中净利润和净资产差异情况。</w:t>
      </w:r>
    </w:p>
    <w:p>
      <w:pPr>
        <w:pStyle w:val="8"/>
        <w:outlineLvl w:val="2"/>
        <w:rPr>
          <w:rFonts w:hint="default"/>
          <w:sz w:val="21"/>
          <w:szCs w:val="21"/>
        </w:rPr>
      </w:pPr>
      <w:r>
        <w:rPr>
          <w:rFonts w:hint="default"/>
          <w:sz w:val="21"/>
          <w:szCs w:val="21"/>
        </w:rPr>
        <w:t>2</w:t>
      </w:r>
      <w:r>
        <w:rPr>
          <w:rFonts w:hint="eastAsia"/>
          <w:sz w:val="21"/>
          <w:szCs w:val="21"/>
        </w:rPr>
        <w:t>、同时按照境外会计准则与按照中国会计准则披露的财务报告中净利润和净资产差异情况</w:t>
      </w:r>
    </w:p>
    <w:p>
      <w:pPr>
        <w:jc w:val="left"/>
        <w:rPr>
          <w:rFonts w:hint="default"/>
          <w:sz w:val="18"/>
          <w:szCs w:val="18"/>
        </w:rPr>
      </w:pPr>
      <w:r>
        <w:rPr>
          <w:rFonts w:hint="default"/>
          <w:sz w:val="18"/>
          <w:szCs w:val="18"/>
        </w:rPr>
        <w:t xml:space="preserve">□ </w:t>
      </w:r>
      <w:r>
        <w:rPr>
          <w:rFonts w:hint="eastAsia"/>
          <w:sz w:val="18"/>
          <w:szCs w:val="18"/>
        </w:rPr>
        <w:t>适用</w:t>
      </w:r>
      <w:r>
        <w:rPr>
          <w:rFonts w:hint="default"/>
          <w:sz w:val="18"/>
          <w:szCs w:val="18"/>
        </w:rPr>
        <w:t xml:space="preserve"> √ </w:t>
      </w:r>
      <w:r>
        <w:rPr>
          <w:rFonts w:hint="eastAsia"/>
          <w:sz w:val="18"/>
          <w:szCs w:val="18"/>
        </w:rPr>
        <w:t>不适用</w:t>
      </w:r>
      <w:r>
        <w:rPr>
          <w:rFonts w:hint="default"/>
          <w:sz w:val="18"/>
          <w:szCs w:val="18"/>
        </w:rPr>
        <w:t xml:space="preserve"> </w:t>
      </w:r>
    </w:p>
    <w:p>
      <w:pPr>
        <w:jc w:val="left"/>
        <w:rPr>
          <w:rFonts w:hint="default"/>
          <w:sz w:val="18"/>
          <w:szCs w:val="18"/>
        </w:rPr>
      </w:pPr>
      <w:r>
        <w:rPr>
          <w:rFonts w:hint="eastAsia"/>
          <w:sz w:val="18"/>
          <w:szCs w:val="18"/>
        </w:rPr>
        <w:t>公司报告期不存在按照境外会计准则与按照中国会计准则披露的财务报告中净利润和净资产差异情况。</w:t>
      </w:r>
    </w:p>
    <w:p>
      <w:pPr>
        <w:pStyle w:val="7"/>
        <w:outlineLvl w:val="1"/>
        <w:rPr>
          <w:rFonts w:hint="default"/>
          <w:sz w:val="24"/>
          <w:szCs w:val="24"/>
        </w:rPr>
      </w:pPr>
      <w:r>
        <w:rPr>
          <w:rFonts w:hint="eastAsia"/>
          <w:sz w:val="24"/>
          <w:szCs w:val="24"/>
        </w:rPr>
        <w:t>八、分季度主要财务指标</w:t>
      </w:r>
    </w:p>
    <w:p>
      <w:pPr>
        <w:jc w:val="right"/>
        <w:rPr>
          <w:rFonts w:hint="default"/>
          <w:sz w:val="18"/>
          <w:szCs w:val="18"/>
        </w:rPr>
      </w:pPr>
      <w:r>
        <w:rPr>
          <w:rFonts w:hint="eastAsia"/>
          <w:sz w:val="18"/>
          <w:szCs w:val="18"/>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621"/>
        <w:gridCol w:w="1740"/>
        <w:gridCol w:w="1739"/>
        <w:gridCol w:w="1739"/>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第一季度</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第二季度</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第三季度</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第四季度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营业收入</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57,741,197.23</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94,087,046.23</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95,713,065.10</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97,048,716.07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归属于上市公司股东的净利润</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10,090,368.77</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17,449,660.82</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18,646,574.39</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11,781,489.02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归属于上市公司股东的扣除非经常性损益的净利润</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5,095,211.09</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14,284,799.31</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14,714,637.33</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8,339,061.32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经营活动产生的现金流量净额</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17,617,297.44</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14,477,713.05</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36,008,688.73</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21,842,430.53</w:t>
            </w:r>
          </w:p>
        </w:tc>
      </w:tr>
    </w:tbl>
    <w:p>
      <w:pPr>
        <w:jc w:val="left"/>
        <w:rPr>
          <w:rFonts w:hint="default"/>
          <w:sz w:val="18"/>
          <w:szCs w:val="18"/>
        </w:rPr>
      </w:pPr>
      <w:r>
        <w:rPr>
          <w:rFonts w:hint="eastAsia"/>
          <w:sz w:val="18"/>
          <w:szCs w:val="18"/>
        </w:rPr>
        <w:t>上述财务指标或其加总数是否与公司已披露季度报告、半年度报告相关财务指标存在重大差异</w:t>
      </w:r>
    </w:p>
    <w:p>
      <w:pPr>
        <w:jc w:val="left"/>
        <w:rPr>
          <w:rFonts w:hint="default"/>
          <w:sz w:val="18"/>
          <w:szCs w:val="18"/>
        </w:rPr>
      </w:pPr>
      <w:r>
        <w:rPr>
          <w:rFonts w:hint="default"/>
          <w:sz w:val="18"/>
          <w:szCs w:val="18"/>
        </w:rPr>
        <w:t xml:space="preserve">□ </w:t>
      </w:r>
      <w:r>
        <w:rPr>
          <w:rFonts w:hint="eastAsia"/>
          <w:sz w:val="18"/>
          <w:szCs w:val="18"/>
        </w:rPr>
        <w:t>是</w:t>
      </w:r>
      <w:r>
        <w:rPr>
          <w:rFonts w:hint="default"/>
          <w:sz w:val="18"/>
          <w:szCs w:val="18"/>
        </w:rPr>
        <w:t xml:space="preserve"> √ </w:t>
      </w:r>
      <w:r>
        <w:rPr>
          <w:rFonts w:hint="eastAsia"/>
          <w:sz w:val="18"/>
          <w:szCs w:val="18"/>
        </w:rPr>
        <w:t>否</w:t>
      </w:r>
      <w:r>
        <w:rPr>
          <w:rFonts w:hint="default"/>
          <w:sz w:val="18"/>
          <w:szCs w:val="18"/>
        </w:rPr>
        <w:t xml:space="preserve"> </w:t>
      </w:r>
    </w:p>
    <w:p>
      <w:pPr>
        <w:pStyle w:val="7"/>
        <w:outlineLvl w:val="1"/>
        <w:rPr>
          <w:rFonts w:hint="default"/>
          <w:sz w:val="24"/>
          <w:szCs w:val="24"/>
        </w:rPr>
      </w:pPr>
      <w:r>
        <w:rPr>
          <w:rFonts w:hint="eastAsia"/>
          <w:sz w:val="24"/>
          <w:szCs w:val="24"/>
        </w:rPr>
        <w:t>九、非经常性损益项目及金额</w:t>
      </w:r>
    </w:p>
    <w:p>
      <w:pPr>
        <w:jc w:val="left"/>
        <w:rPr>
          <w:rFonts w:hint="default"/>
          <w:sz w:val="18"/>
          <w:szCs w:val="18"/>
        </w:rPr>
      </w:pPr>
      <w:r>
        <w:rPr>
          <w:rFonts w:hint="default"/>
          <w:sz w:val="18"/>
          <w:szCs w:val="18"/>
        </w:rPr>
        <w:t xml:space="preserve">√ </w:t>
      </w:r>
      <w:r>
        <w:rPr>
          <w:rFonts w:hint="eastAsia"/>
          <w:sz w:val="18"/>
          <w:szCs w:val="18"/>
        </w:rPr>
        <w:t>适用</w:t>
      </w:r>
      <w:r>
        <w:rPr>
          <w:rFonts w:hint="default"/>
          <w:sz w:val="18"/>
          <w:szCs w:val="18"/>
        </w:rPr>
        <w:t xml:space="preserve"> □ </w:t>
      </w:r>
      <w:r>
        <w:rPr>
          <w:rFonts w:hint="eastAsia"/>
          <w:sz w:val="18"/>
          <w:szCs w:val="18"/>
        </w:rPr>
        <w:t>不适用</w:t>
      </w:r>
      <w:r>
        <w:rPr>
          <w:rFonts w:hint="default"/>
          <w:sz w:val="18"/>
          <w:szCs w:val="18"/>
        </w:rPr>
        <w:t xml:space="preserve"> </w:t>
      </w:r>
    </w:p>
    <w:p>
      <w:pPr>
        <w:jc w:val="right"/>
        <w:rPr>
          <w:rFonts w:hint="default"/>
          <w:sz w:val="18"/>
          <w:szCs w:val="18"/>
        </w:rPr>
      </w:pPr>
      <w:r>
        <w:rPr>
          <w:rFonts w:hint="eastAsia"/>
          <w:sz w:val="18"/>
          <w:szCs w:val="18"/>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296"/>
        <w:gridCol w:w="1520"/>
        <w:gridCol w:w="1520"/>
        <w:gridCol w:w="1522"/>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项目</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2020</w:t>
            </w:r>
            <w:r>
              <w:rPr>
                <w:rFonts w:hint="eastAsia"/>
                <w:sz w:val="18"/>
                <w:szCs w:val="18"/>
              </w:rPr>
              <w:t>年金额</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2019</w:t>
            </w:r>
            <w:r>
              <w:rPr>
                <w:rFonts w:hint="eastAsia"/>
                <w:sz w:val="18"/>
                <w:szCs w:val="18"/>
              </w:rPr>
              <w:t>年金额</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2018</w:t>
            </w:r>
            <w:r>
              <w:rPr>
                <w:rFonts w:hint="eastAsia"/>
                <w:sz w:val="18"/>
                <w:szCs w:val="18"/>
              </w:rPr>
              <w:t>年金额</w:t>
            </w:r>
          </w:p>
        </w:tc>
        <w:tc>
          <w:tcPr>
            <w:tcW w:w="17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eastAsia"/>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非流动资产处置损益（包括已计提资产减值准备的冲销部分）</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-284,825.81</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-77,046.11</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207,119.71</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计入当期损益的政府补助（与企业业务密切相关，按照国家统一标准定额或定量享受的政府补助除外）</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4,170,698.89</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2,080,253.77</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6,762,752.99</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委托他人投资或管理资产的损益</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9,186,397.81</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10,194,747.65</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10,814,809.35</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4,601,612.87</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1,371,071.09</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除上述各项之外的其他营业外收入和支出</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714,787.71</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-1,259,150.70</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476,599.70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减：所得税影响额</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2,854,287.52</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1,937,661.42</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2,981,329.80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18"/>
              </w:rPr>
            </w:pPr>
            <w:r>
              <w:rPr>
                <w:rFonts w:hint="eastAsia"/>
                <w:sz w:val="18"/>
                <w:szCs w:val="18"/>
              </w:rPr>
              <w:t>合计</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18"/>
              </w:rPr>
            </w:pPr>
            <w:r>
              <w:rPr>
                <w:rFonts w:hint="default"/>
                <w:sz w:val="18"/>
                <w:szCs w:val="18"/>
              </w:rPr>
              <w:t>15,534,383.95</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10,372,214.28</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18"/>
              </w:rPr>
            </w:pPr>
            <w:r>
              <w:rPr>
                <w:rFonts w:hint="default"/>
                <w:sz w:val="18"/>
                <w:szCs w:val="18"/>
              </w:rPr>
              <w:t>15,279,951.95</w:t>
            </w:r>
          </w:p>
        </w:tc>
        <w:tc>
          <w:tcPr>
            <w:tcW w:w="17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18"/>
              </w:rPr>
            </w:pPr>
            <w:r>
              <w:rPr>
                <w:rFonts w:hint="default"/>
                <w:sz w:val="18"/>
                <w:szCs w:val="18"/>
              </w:rPr>
              <w:t>--</w:t>
            </w:r>
          </w:p>
        </w:tc>
      </w:tr>
    </w:tbl>
    <w:p>
      <w:pPr>
        <w:jc w:val="left"/>
        <w:rPr>
          <w:rFonts w:hint="default"/>
          <w:sz w:val="18"/>
          <w:szCs w:val="18"/>
        </w:rPr>
      </w:pPr>
      <w:r>
        <w:rPr>
          <w:rFonts w:hint="eastAsia"/>
          <w:sz w:val="18"/>
          <w:szCs w:val="18"/>
        </w:rPr>
        <w:t>对公司根据《公开发行证券的公司信息披露解释性公告第</w:t>
      </w:r>
      <w:r>
        <w:rPr>
          <w:rFonts w:hint="default"/>
          <w:sz w:val="18"/>
          <w:szCs w:val="18"/>
        </w:rPr>
        <w:t>1</w:t>
      </w:r>
      <w:r>
        <w:rPr>
          <w:rFonts w:hint="eastAsia"/>
          <w:sz w:val="18"/>
          <w:szCs w:val="18"/>
        </w:rPr>
        <w:t>号</w:t>
      </w:r>
      <w:r>
        <w:rPr>
          <w:rFonts w:hint="default"/>
          <w:sz w:val="18"/>
          <w:szCs w:val="18"/>
        </w:rPr>
        <w:t>——</w:t>
      </w:r>
      <w:r>
        <w:rPr>
          <w:rFonts w:hint="eastAsia"/>
          <w:sz w:val="18"/>
          <w:szCs w:val="18"/>
        </w:rPr>
        <w:t>非经常性损益》定义界定的非经常性损益项目，以及把《公开发行证券的公司信息披露解释性公告第</w:t>
      </w:r>
      <w:r>
        <w:rPr>
          <w:rFonts w:hint="default"/>
          <w:sz w:val="18"/>
          <w:szCs w:val="18"/>
        </w:rPr>
        <w:t>1</w:t>
      </w:r>
      <w:r>
        <w:rPr>
          <w:rFonts w:hint="eastAsia"/>
          <w:sz w:val="18"/>
          <w:szCs w:val="18"/>
        </w:rPr>
        <w:t>号</w:t>
      </w:r>
      <w:r>
        <w:rPr>
          <w:rFonts w:hint="default"/>
          <w:sz w:val="18"/>
          <w:szCs w:val="18"/>
        </w:rPr>
        <w:t>——</w:t>
      </w:r>
      <w:r>
        <w:rPr>
          <w:rFonts w:hint="eastAsia"/>
          <w:sz w:val="18"/>
          <w:szCs w:val="18"/>
        </w:rPr>
        <w:t>非经常性损益》中列举的非经常性损益项目界定为经常性损益的项目，应说明原因</w:t>
      </w:r>
    </w:p>
    <w:p>
      <w:pPr>
        <w:jc w:val="left"/>
        <w:rPr>
          <w:rFonts w:hint="default"/>
          <w:sz w:val="18"/>
          <w:szCs w:val="18"/>
        </w:rPr>
      </w:pPr>
      <w:r>
        <w:rPr>
          <w:rFonts w:hint="default"/>
          <w:sz w:val="18"/>
          <w:szCs w:val="18"/>
        </w:rPr>
        <w:t xml:space="preserve">□ </w:t>
      </w:r>
      <w:r>
        <w:rPr>
          <w:rFonts w:hint="eastAsia"/>
          <w:sz w:val="18"/>
          <w:szCs w:val="18"/>
        </w:rPr>
        <w:t>适用</w:t>
      </w:r>
      <w:r>
        <w:rPr>
          <w:rFonts w:hint="default"/>
          <w:sz w:val="18"/>
          <w:szCs w:val="18"/>
        </w:rPr>
        <w:t xml:space="preserve"> √ </w:t>
      </w:r>
      <w:r>
        <w:rPr>
          <w:rFonts w:hint="eastAsia"/>
          <w:sz w:val="18"/>
          <w:szCs w:val="18"/>
        </w:rPr>
        <w:t>不适用</w:t>
      </w:r>
      <w:r>
        <w:rPr>
          <w:rFonts w:hint="default"/>
          <w:sz w:val="18"/>
          <w:szCs w:val="18"/>
        </w:rPr>
        <w:t xml:space="preserve"> </w:t>
      </w:r>
    </w:p>
    <w:p>
      <w:pPr>
        <w:jc w:val="left"/>
        <w:rPr>
          <w:rFonts w:hint="default"/>
          <w:sz w:val="18"/>
          <w:szCs w:val="18"/>
        </w:rPr>
      </w:pPr>
      <w:r>
        <w:rPr>
          <w:rFonts w:hint="eastAsia"/>
          <w:sz w:val="18"/>
          <w:szCs w:val="18"/>
        </w:rPr>
        <w:t>公司报告期不存在将根据《公开发行证券的公司信息披露解释性公告第</w:t>
      </w:r>
      <w:r>
        <w:rPr>
          <w:rFonts w:hint="default"/>
          <w:sz w:val="18"/>
          <w:szCs w:val="18"/>
        </w:rPr>
        <w:t>1</w:t>
      </w:r>
      <w:r>
        <w:rPr>
          <w:rFonts w:hint="eastAsia"/>
          <w:sz w:val="18"/>
          <w:szCs w:val="18"/>
        </w:rPr>
        <w:t>号</w:t>
      </w:r>
      <w:r>
        <w:rPr>
          <w:rFonts w:hint="default"/>
          <w:sz w:val="18"/>
          <w:szCs w:val="18"/>
        </w:rPr>
        <w:t>——</w:t>
      </w:r>
      <w:r>
        <w:rPr>
          <w:rFonts w:hint="eastAsia"/>
          <w:sz w:val="18"/>
          <w:szCs w:val="18"/>
        </w:rPr>
        <w:t>非经常性损益》定义、列举的非经常性损益项目界定为经常性损益的项目的情形。</w:t>
      </w:r>
    </w:p>
    <w:p>
      <w:pPr>
        <w:jc w:val="left"/>
        <w:rPr>
          <w:rFonts w:hint="default"/>
          <w:sz w:val="18"/>
          <w:szCs w:val="18"/>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32"/>
        </w:rPr>
      </w:pPr>
      <w:bookmarkStart w:id="2" w:name="_Toc300000086"/>
      <w:r>
        <w:rPr>
          <w:rFonts w:hint="eastAsia"/>
          <w:b/>
          <w:kern w:val="32"/>
          <w:sz w:val="32"/>
          <w:szCs w:val="32"/>
        </w:rPr>
        <w:t>第三节</w:t>
      </w:r>
      <w:r>
        <w:rPr>
          <w:rFonts w:hint="default"/>
          <w:b/>
          <w:kern w:val="32"/>
          <w:sz w:val="32"/>
          <w:szCs w:val="32"/>
        </w:rPr>
        <w:t xml:space="preserve"> </w:t>
      </w:r>
      <w:r>
        <w:rPr>
          <w:rFonts w:hint="eastAsia"/>
          <w:b/>
          <w:kern w:val="32"/>
          <w:sz w:val="32"/>
          <w:szCs w:val="32"/>
        </w:rPr>
        <w:t>公司业务概要</w:t>
      </w:r>
      <w:bookmarkEnd w:id="2"/>
    </w:p>
    <w:p>
      <w:pPr>
        <w:pStyle w:val="7"/>
        <w:outlineLvl w:val="1"/>
        <w:rPr>
          <w:rFonts w:hint="default"/>
          <w:sz w:val="24"/>
          <w:szCs w:val="24"/>
        </w:rPr>
      </w:pPr>
      <w:r>
        <w:rPr>
          <w:rFonts w:hint="eastAsia"/>
          <w:sz w:val="24"/>
          <w:szCs w:val="24"/>
        </w:rPr>
        <w:t>一、报告期内公司从事的主要业务</w:t>
      </w:r>
    </w:p>
    <w:p>
      <w:pPr>
        <w:autoSpaceDE w:val="0"/>
        <w:autoSpaceDN w:val="0"/>
        <w:adjustRightInd w:val="0"/>
        <w:spacing w:before="0" w:after="0"/>
        <w:ind w:firstLine="300"/>
        <w:rPr>
          <w:rFonts w:hint="default" w:eastAsia="Times New Roman"/>
          <w:kern w:val="0"/>
          <w:sz w:val="18"/>
          <w:szCs w:val="18"/>
          <w:lang w:val="zh-CN"/>
        </w:rPr>
      </w:pPr>
      <w:r>
        <w:rPr>
          <w:rFonts w:hint="eastAsia" w:ascii="宋体" w:hAnsi="宋体" w:cs="宋体"/>
          <w:kern w:val="0"/>
          <w:sz w:val="18"/>
          <w:szCs w:val="18"/>
          <w:lang w:val="zh-CN"/>
        </w:rPr>
        <w:t>公司是专业从事给排水阀门产品的设计研发、生产制造和销售服务的高新技术企业，为城镇给排水系统、消防给水系统、空调暖通系统以及污水处理系统等下游应用领域提供产品及解决方案。目前公司已形成以闸阀、蝶阀、截止阀、调节阀、旋塞阀、止回阀、减压阀、报警阀、雨淋阀等为主的多个系列产品，共有</w:t>
      </w:r>
      <w:r>
        <w:rPr>
          <w:rFonts w:hint="default" w:eastAsia="Times New Roman"/>
          <w:kern w:val="0"/>
          <w:sz w:val="18"/>
          <w:szCs w:val="18"/>
          <w:lang w:val="zh-CN"/>
        </w:rPr>
        <w:t>2,000</w:t>
      </w:r>
      <w:r>
        <w:rPr>
          <w:rFonts w:hint="eastAsia" w:ascii="宋体" w:hAnsi="宋体" w:cs="宋体"/>
          <w:kern w:val="0"/>
          <w:sz w:val="18"/>
          <w:szCs w:val="18"/>
          <w:lang w:val="zh-CN"/>
        </w:rPr>
        <w:t>多个规格，能够满足客户一站式采购需求。公司产品取得了欧盟</w:t>
      </w:r>
      <w:r>
        <w:rPr>
          <w:rFonts w:hint="default" w:eastAsia="Times New Roman"/>
          <w:kern w:val="0"/>
          <w:sz w:val="18"/>
          <w:szCs w:val="18"/>
          <w:lang w:val="zh-CN"/>
        </w:rPr>
        <w:t>CE</w:t>
      </w:r>
      <w:r>
        <w:rPr>
          <w:rFonts w:hint="eastAsia" w:ascii="宋体" w:hAnsi="宋体" w:cs="宋体"/>
          <w:kern w:val="0"/>
          <w:sz w:val="18"/>
          <w:szCs w:val="18"/>
          <w:lang w:val="zh-CN"/>
        </w:rPr>
        <w:t>产品安全认证、英国</w:t>
      </w:r>
      <w:r>
        <w:rPr>
          <w:rFonts w:hint="default" w:eastAsia="Times New Roman"/>
          <w:kern w:val="0"/>
          <w:sz w:val="18"/>
          <w:szCs w:val="18"/>
          <w:lang w:val="zh-CN"/>
        </w:rPr>
        <w:t>WRAS</w:t>
      </w:r>
      <w:r>
        <w:rPr>
          <w:rFonts w:hint="eastAsia" w:ascii="宋体" w:hAnsi="宋体" w:cs="宋体"/>
          <w:kern w:val="0"/>
          <w:sz w:val="18"/>
          <w:szCs w:val="18"/>
          <w:lang w:val="zh-CN"/>
        </w:rPr>
        <w:t>饮用水认证、美国</w:t>
      </w:r>
      <w:r>
        <w:rPr>
          <w:rFonts w:hint="default" w:eastAsia="Times New Roman"/>
          <w:kern w:val="0"/>
          <w:sz w:val="18"/>
          <w:szCs w:val="18"/>
          <w:lang w:val="zh-CN"/>
        </w:rPr>
        <w:t>UL</w:t>
      </w:r>
      <w:r>
        <w:rPr>
          <w:rFonts w:hint="eastAsia" w:ascii="宋体" w:hAnsi="宋体" w:cs="宋体"/>
          <w:kern w:val="0"/>
          <w:sz w:val="18"/>
          <w:szCs w:val="18"/>
          <w:lang w:val="zh-CN"/>
        </w:rPr>
        <w:t>饮用水认证、美国</w:t>
      </w:r>
      <w:r>
        <w:rPr>
          <w:rFonts w:hint="default" w:eastAsia="Times New Roman"/>
          <w:kern w:val="0"/>
          <w:sz w:val="18"/>
          <w:szCs w:val="18"/>
          <w:lang w:val="zh-CN"/>
        </w:rPr>
        <w:t>UL</w:t>
      </w:r>
      <w:r>
        <w:rPr>
          <w:rFonts w:hint="eastAsia" w:ascii="宋体" w:hAnsi="宋体" w:cs="宋体"/>
          <w:kern w:val="0"/>
          <w:sz w:val="18"/>
          <w:szCs w:val="18"/>
          <w:lang w:val="zh-CN"/>
        </w:rPr>
        <w:t>认证、美国</w:t>
      </w:r>
      <w:r>
        <w:rPr>
          <w:rFonts w:hint="default" w:eastAsia="Times New Roman"/>
          <w:kern w:val="0"/>
          <w:sz w:val="18"/>
          <w:szCs w:val="18"/>
          <w:lang w:val="zh-CN"/>
        </w:rPr>
        <w:t>FM</w:t>
      </w:r>
      <w:r>
        <w:rPr>
          <w:rFonts w:hint="eastAsia" w:ascii="宋体" w:hAnsi="宋体" w:cs="宋体"/>
          <w:kern w:val="0"/>
          <w:sz w:val="18"/>
          <w:szCs w:val="18"/>
          <w:lang w:val="zh-CN"/>
        </w:rPr>
        <w:t>认证、美国</w:t>
      </w:r>
      <w:r>
        <w:rPr>
          <w:rFonts w:hint="default" w:eastAsia="Times New Roman"/>
          <w:kern w:val="0"/>
          <w:sz w:val="18"/>
          <w:szCs w:val="18"/>
          <w:lang w:val="zh-CN"/>
        </w:rPr>
        <w:t>NSF</w:t>
      </w:r>
      <w:r>
        <w:rPr>
          <w:rFonts w:hint="eastAsia" w:ascii="宋体" w:hAnsi="宋体" w:cs="宋体"/>
          <w:kern w:val="0"/>
          <w:sz w:val="18"/>
          <w:szCs w:val="18"/>
          <w:lang w:val="zh-CN"/>
        </w:rPr>
        <w:t>认证、加拿大</w:t>
      </w:r>
      <w:r>
        <w:rPr>
          <w:rFonts w:hint="default" w:eastAsia="Times New Roman"/>
          <w:kern w:val="0"/>
          <w:sz w:val="18"/>
          <w:szCs w:val="18"/>
          <w:lang w:val="zh-CN"/>
        </w:rPr>
        <w:t>UL</w:t>
      </w:r>
      <w:r>
        <w:rPr>
          <w:rFonts w:hint="eastAsia" w:ascii="宋体" w:hAnsi="宋体" w:cs="宋体"/>
          <w:kern w:val="0"/>
          <w:sz w:val="18"/>
          <w:szCs w:val="18"/>
          <w:lang w:val="zh-CN"/>
        </w:rPr>
        <w:t>认证、澳大利亚</w:t>
      </w:r>
      <w:r>
        <w:rPr>
          <w:rFonts w:hint="default" w:eastAsia="Times New Roman"/>
          <w:kern w:val="0"/>
          <w:sz w:val="18"/>
          <w:szCs w:val="18"/>
          <w:lang w:val="zh-CN"/>
        </w:rPr>
        <w:t>IAPMO</w:t>
      </w:r>
      <w:r>
        <w:rPr>
          <w:rFonts w:hint="eastAsia" w:ascii="宋体" w:hAnsi="宋体" w:cs="宋体"/>
          <w:kern w:val="0"/>
          <w:sz w:val="18"/>
          <w:szCs w:val="18"/>
          <w:lang w:val="zh-CN"/>
        </w:rPr>
        <w:t>审核</w:t>
      </w:r>
      <w:r>
        <w:rPr>
          <w:rFonts w:hint="default" w:eastAsia="Times New Roman"/>
          <w:kern w:val="0"/>
          <w:sz w:val="18"/>
          <w:szCs w:val="18"/>
          <w:lang w:val="zh-CN"/>
        </w:rPr>
        <w:t>WaterMark</w:t>
      </w:r>
      <w:r>
        <w:rPr>
          <w:rFonts w:hint="eastAsia" w:ascii="宋体" w:hAnsi="宋体" w:cs="宋体"/>
          <w:kern w:val="0"/>
          <w:sz w:val="18"/>
          <w:szCs w:val="18"/>
          <w:lang w:val="zh-CN"/>
        </w:rPr>
        <w:t>认证和</w:t>
      </w:r>
      <w:r>
        <w:rPr>
          <w:rFonts w:hint="default" w:eastAsia="Times New Roman"/>
          <w:kern w:val="0"/>
          <w:sz w:val="18"/>
          <w:szCs w:val="18"/>
          <w:lang w:val="zh-CN"/>
        </w:rPr>
        <w:t>AGA\OceanMark.</w:t>
      </w:r>
      <w:r>
        <w:rPr>
          <w:rFonts w:hint="eastAsia" w:ascii="宋体" w:hAnsi="宋体" w:cs="宋体"/>
          <w:kern w:val="0"/>
          <w:sz w:val="18"/>
          <w:szCs w:val="18"/>
          <w:lang w:val="zh-CN"/>
        </w:rPr>
        <w:t>认证、中国船级社型式认可证书、武器装备质量管理体系认证证书、俄罗斯</w:t>
      </w:r>
      <w:r>
        <w:rPr>
          <w:rFonts w:hint="default" w:eastAsia="Times New Roman"/>
          <w:kern w:val="0"/>
          <w:sz w:val="18"/>
          <w:szCs w:val="18"/>
          <w:lang w:val="zh-CN"/>
        </w:rPr>
        <w:t>GOST</w:t>
      </w:r>
      <w:r>
        <w:rPr>
          <w:rFonts w:hint="eastAsia" w:ascii="宋体" w:hAnsi="宋体" w:cs="宋体"/>
          <w:kern w:val="0"/>
          <w:sz w:val="18"/>
          <w:szCs w:val="18"/>
          <w:lang w:val="zh-CN"/>
        </w:rPr>
        <w:t>认证、阿联酋</w:t>
      </w:r>
      <w:r>
        <w:rPr>
          <w:rFonts w:hint="default" w:eastAsia="Times New Roman"/>
          <w:kern w:val="0"/>
          <w:sz w:val="18"/>
          <w:szCs w:val="18"/>
          <w:lang w:val="zh-CN"/>
        </w:rPr>
        <w:t>Civil Denfense</w:t>
      </w:r>
      <w:r>
        <w:rPr>
          <w:rFonts w:hint="eastAsia" w:ascii="宋体" w:hAnsi="宋体" w:cs="宋体"/>
          <w:kern w:val="0"/>
          <w:sz w:val="18"/>
          <w:szCs w:val="18"/>
          <w:lang w:val="zh-CN"/>
        </w:rPr>
        <w:t>民防认证、</w:t>
      </w:r>
      <w:r>
        <w:rPr>
          <w:rFonts w:hint="default" w:eastAsia="Times New Roman"/>
          <w:kern w:val="0"/>
          <w:sz w:val="18"/>
          <w:szCs w:val="18"/>
          <w:lang w:val="zh-CN"/>
        </w:rPr>
        <w:t>CCC</w:t>
      </w:r>
      <w:r>
        <w:rPr>
          <w:rFonts w:hint="eastAsia" w:ascii="宋体" w:hAnsi="宋体" w:cs="宋体"/>
          <w:kern w:val="0"/>
          <w:sz w:val="18"/>
          <w:szCs w:val="18"/>
          <w:lang w:val="zh-CN"/>
        </w:rPr>
        <w:t>中国国家强制性产品认证证书、香港水务署认证、德国</w:t>
      </w:r>
      <w:r>
        <w:rPr>
          <w:rFonts w:hint="default" w:eastAsia="Times New Roman"/>
          <w:kern w:val="0"/>
          <w:sz w:val="18"/>
          <w:szCs w:val="18"/>
          <w:lang w:val="zh-CN"/>
        </w:rPr>
        <w:t>VDS</w:t>
      </w:r>
      <w:r>
        <w:rPr>
          <w:rFonts w:hint="eastAsia" w:ascii="宋体" w:hAnsi="宋体" w:cs="宋体"/>
          <w:kern w:val="0"/>
          <w:sz w:val="18"/>
          <w:szCs w:val="18"/>
          <w:lang w:val="zh-CN"/>
        </w:rPr>
        <w:t>认证等多项产品质量认证，获得</w:t>
      </w:r>
      <w:r>
        <w:rPr>
          <w:rFonts w:hint="default" w:eastAsia="Times New Roman"/>
          <w:kern w:val="0"/>
          <w:sz w:val="18"/>
          <w:szCs w:val="18"/>
          <w:lang w:val="zh-CN"/>
        </w:rPr>
        <w:t>“GB/T 29490-2013</w:t>
      </w:r>
      <w:r>
        <w:rPr>
          <w:rFonts w:hint="eastAsia" w:ascii="宋体" w:hAnsi="宋体" w:cs="宋体"/>
          <w:kern w:val="0"/>
          <w:sz w:val="18"/>
          <w:szCs w:val="18"/>
          <w:lang w:val="zh-CN"/>
        </w:rPr>
        <w:t>知识产权管理体系认证</w:t>
      </w:r>
      <w:r>
        <w:rPr>
          <w:rFonts w:hint="default" w:eastAsia="Times New Roman"/>
          <w:kern w:val="0"/>
          <w:sz w:val="18"/>
          <w:szCs w:val="18"/>
          <w:lang w:val="zh-CN"/>
        </w:rPr>
        <w:t>”</w:t>
      </w:r>
      <w:r>
        <w:rPr>
          <w:rFonts w:hint="eastAsia" w:ascii="宋体" w:hAnsi="宋体" w:cs="宋体"/>
          <w:kern w:val="0"/>
          <w:sz w:val="18"/>
          <w:szCs w:val="18"/>
          <w:lang w:val="zh-CN"/>
        </w:rPr>
        <w:t>，成为国内给排水阀门行业取得认证较多的企业之一。</w:t>
      </w:r>
      <w:r>
        <w:rPr>
          <w:rFonts w:hint="default" w:eastAsia="Times New Roman"/>
          <w:kern w:val="0"/>
          <w:sz w:val="18"/>
          <w:szCs w:val="18"/>
          <w:lang w:val="zh-CN"/>
        </w:rPr>
        <w:t>2016</w:t>
      </w:r>
      <w:r>
        <w:rPr>
          <w:rFonts w:hint="eastAsia" w:ascii="宋体" w:hAnsi="宋体" w:cs="宋体"/>
          <w:kern w:val="0"/>
          <w:sz w:val="18"/>
          <w:szCs w:val="18"/>
          <w:lang w:val="zh-CN"/>
        </w:rPr>
        <w:t>年</w:t>
      </w:r>
      <w:r>
        <w:rPr>
          <w:rFonts w:hint="default" w:eastAsia="Times New Roman"/>
          <w:kern w:val="0"/>
          <w:sz w:val="18"/>
          <w:szCs w:val="18"/>
          <w:lang w:val="zh-CN"/>
        </w:rPr>
        <w:t>7</w:t>
      </w:r>
      <w:r>
        <w:rPr>
          <w:rFonts w:hint="eastAsia" w:ascii="宋体" w:hAnsi="宋体" w:cs="宋体"/>
          <w:kern w:val="0"/>
          <w:sz w:val="18"/>
          <w:szCs w:val="18"/>
          <w:lang w:val="zh-CN"/>
        </w:rPr>
        <w:t>月</w:t>
      </w:r>
      <w:r>
        <w:rPr>
          <w:rFonts w:hint="default" w:eastAsia="Times New Roman"/>
          <w:kern w:val="0"/>
          <w:sz w:val="18"/>
          <w:szCs w:val="18"/>
          <w:lang w:val="zh-CN"/>
        </w:rPr>
        <w:t>26</w:t>
      </w:r>
      <w:r>
        <w:rPr>
          <w:rFonts w:hint="eastAsia" w:ascii="宋体" w:hAnsi="宋体" w:cs="宋体"/>
          <w:kern w:val="0"/>
          <w:sz w:val="18"/>
          <w:szCs w:val="18"/>
          <w:lang w:val="zh-CN"/>
        </w:rPr>
        <w:t>日，公司阀门检测中心获得</w:t>
      </w:r>
      <w:r>
        <w:rPr>
          <w:rFonts w:hint="default" w:eastAsia="Times New Roman"/>
          <w:kern w:val="0"/>
          <w:sz w:val="18"/>
          <w:szCs w:val="18"/>
          <w:lang w:val="zh-CN"/>
        </w:rPr>
        <w:t>“</w:t>
      </w:r>
      <w:r>
        <w:rPr>
          <w:rFonts w:hint="eastAsia" w:ascii="宋体" w:hAnsi="宋体" w:cs="宋体"/>
          <w:kern w:val="0"/>
          <w:sz w:val="18"/>
          <w:szCs w:val="18"/>
          <w:lang w:val="zh-CN"/>
        </w:rPr>
        <w:t>中国合格评定国家认可委员会、中国国防科技工业实验室认可委员会</w:t>
      </w:r>
      <w:r>
        <w:rPr>
          <w:rFonts w:hint="default" w:eastAsia="Times New Roman"/>
          <w:kern w:val="0"/>
          <w:sz w:val="18"/>
          <w:szCs w:val="18"/>
          <w:lang w:val="zh-CN"/>
        </w:rPr>
        <w:t>”</w:t>
      </w:r>
      <w:r>
        <w:rPr>
          <w:rFonts w:hint="eastAsia" w:ascii="宋体" w:hAnsi="宋体" w:cs="宋体"/>
          <w:kern w:val="0"/>
          <w:sz w:val="18"/>
          <w:szCs w:val="18"/>
          <w:lang w:val="zh-CN"/>
        </w:rPr>
        <w:t>颁发的</w:t>
      </w:r>
      <w:r>
        <w:rPr>
          <w:rFonts w:hint="default" w:eastAsia="Times New Roman"/>
          <w:kern w:val="0"/>
          <w:sz w:val="18"/>
          <w:szCs w:val="18"/>
          <w:lang w:val="zh-CN"/>
        </w:rPr>
        <w:t>CNAS/DILAC</w:t>
      </w:r>
      <w:r>
        <w:rPr>
          <w:rFonts w:hint="eastAsia" w:ascii="宋体" w:hAnsi="宋体" w:cs="宋体"/>
          <w:kern w:val="0"/>
          <w:sz w:val="18"/>
          <w:szCs w:val="18"/>
          <w:lang w:val="zh-CN"/>
        </w:rPr>
        <w:t>实验室认可证书。</w:t>
      </w:r>
      <w:r>
        <w:rPr>
          <w:rFonts w:hint="default" w:eastAsia="Times New Roman"/>
          <w:kern w:val="0"/>
          <w:sz w:val="18"/>
          <w:szCs w:val="18"/>
          <w:lang w:val="zh-CN"/>
        </w:rPr>
        <w:t>2016</w:t>
      </w:r>
      <w:r>
        <w:rPr>
          <w:rFonts w:hint="eastAsia" w:ascii="宋体" w:hAnsi="宋体" w:cs="宋体"/>
          <w:kern w:val="0"/>
          <w:sz w:val="18"/>
          <w:szCs w:val="18"/>
          <w:lang w:val="zh-CN"/>
        </w:rPr>
        <w:t>年</w:t>
      </w:r>
      <w:r>
        <w:rPr>
          <w:rFonts w:hint="default" w:eastAsia="Times New Roman"/>
          <w:kern w:val="0"/>
          <w:sz w:val="18"/>
          <w:szCs w:val="18"/>
          <w:lang w:val="zh-CN"/>
        </w:rPr>
        <w:t>11</w:t>
      </w:r>
      <w:r>
        <w:rPr>
          <w:rFonts w:hint="eastAsia" w:ascii="宋体" w:hAnsi="宋体" w:cs="宋体"/>
          <w:kern w:val="0"/>
          <w:sz w:val="18"/>
          <w:szCs w:val="18"/>
          <w:lang w:val="zh-CN"/>
        </w:rPr>
        <w:t>月</w:t>
      </w:r>
      <w:r>
        <w:rPr>
          <w:rFonts w:hint="default" w:eastAsia="Times New Roman"/>
          <w:kern w:val="0"/>
          <w:sz w:val="18"/>
          <w:szCs w:val="18"/>
          <w:lang w:val="zh-CN"/>
        </w:rPr>
        <w:t>1</w:t>
      </w:r>
      <w:r>
        <w:rPr>
          <w:rFonts w:hint="eastAsia" w:ascii="宋体" w:hAnsi="宋体" w:cs="宋体"/>
          <w:kern w:val="0"/>
          <w:sz w:val="18"/>
          <w:szCs w:val="18"/>
          <w:lang w:val="zh-CN"/>
        </w:rPr>
        <w:t>日，公司阀门检测中心实验室被美国保险商试验所产品公共安全试验权威机构认定为国内阀门行业首家</w:t>
      </w:r>
      <w:r>
        <w:rPr>
          <w:rFonts w:hint="default" w:eastAsia="Times New Roman"/>
          <w:kern w:val="0"/>
          <w:sz w:val="18"/>
          <w:szCs w:val="18"/>
          <w:lang w:val="zh-CN"/>
        </w:rPr>
        <w:t>“UL</w:t>
      </w:r>
      <w:r>
        <w:rPr>
          <w:rFonts w:hint="eastAsia" w:ascii="宋体" w:hAnsi="宋体" w:cs="宋体"/>
          <w:kern w:val="0"/>
          <w:sz w:val="18"/>
          <w:szCs w:val="18"/>
          <w:lang w:val="zh-CN"/>
        </w:rPr>
        <w:t>认可目击测试实验室</w:t>
      </w:r>
      <w:r>
        <w:rPr>
          <w:rFonts w:hint="default" w:eastAsia="Times New Roman"/>
          <w:kern w:val="0"/>
          <w:sz w:val="18"/>
          <w:szCs w:val="18"/>
          <w:lang w:val="zh-CN"/>
        </w:rPr>
        <w:t>”</w:t>
      </w:r>
      <w:r>
        <w:rPr>
          <w:rFonts w:hint="eastAsia" w:ascii="宋体" w:hAnsi="宋体" w:cs="宋体"/>
          <w:kern w:val="0"/>
          <w:sz w:val="18"/>
          <w:szCs w:val="18"/>
          <w:lang w:val="zh-CN"/>
        </w:rPr>
        <w:t>，标志着公司阀门产品的检测能力已达到国内领先水平。</w:t>
      </w:r>
    </w:p>
    <w:p>
      <w:pPr>
        <w:autoSpaceDE w:val="0"/>
        <w:autoSpaceDN w:val="0"/>
        <w:adjustRightInd w:val="0"/>
        <w:spacing w:before="0" w:after="0"/>
        <w:ind w:firstLine="480"/>
        <w:rPr>
          <w:rFonts w:hint="default" w:cs="宋体"/>
          <w:kern w:val="0"/>
          <w:sz w:val="18"/>
          <w:szCs w:val="18"/>
          <w:lang w:val="zh-CN"/>
        </w:rPr>
      </w:pPr>
      <w:r>
        <w:rPr>
          <w:rFonts w:hint="eastAsia" w:ascii="宋体" w:hAnsi="宋体" w:cs="宋体"/>
          <w:kern w:val="0"/>
          <w:sz w:val="18"/>
          <w:szCs w:val="18"/>
          <w:lang w:val="zh-CN"/>
        </w:rPr>
        <w:t>公司于</w:t>
      </w:r>
      <w:r>
        <w:rPr>
          <w:rFonts w:hint="default" w:eastAsia="Times New Roman"/>
          <w:kern w:val="0"/>
          <w:sz w:val="18"/>
          <w:szCs w:val="18"/>
          <w:lang w:val="zh-CN"/>
        </w:rPr>
        <w:t>2019</w:t>
      </w:r>
      <w:r>
        <w:rPr>
          <w:rFonts w:hint="eastAsia" w:ascii="宋体" w:hAnsi="宋体" w:cs="宋体"/>
          <w:kern w:val="0"/>
          <w:sz w:val="18"/>
          <w:szCs w:val="18"/>
          <w:lang w:val="zh-CN"/>
        </w:rPr>
        <w:t>年</w:t>
      </w:r>
      <w:r>
        <w:rPr>
          <w:rFonts w:hint="default"/>
          <w:kern w:val="0"/>
          <w:sz w:val="18"/>
          <w:szCs w:val="18"/>
          <w:lang w:val="zh-CN"/>
        </w:rPr>
        <w:t>5</w:t>
      </w:r>
      <w:r>
        <w:rPr>
          <w:rFonts w:hint="eastAsia" w:ascii="宋体" w:hAnsi="宋体" w:cs="宋体"/>
          <w:kern w:val="0"/>
          <w:sz w:val="18"/>
          <w:szCs w:val="18"/>
          <w:lang w:val="zh-CN"/>
        </w:rPr>
        <w:t>月建设完成的新型阀门建设项目全面投产，不断提高自动化铸造生产线的铸造产能和产品品种，开始逐步为汽车、农机行业提供配件铸造产品，营业收入已从2019年的无收入增至2020年的</w:t>
      </w:r>
      <w:r>
        <w:rPr>
          <w:rFonts w:hint="default" w:eastAsia="Times New Roman"/>
          <w:kern w:val="0"/>
          <w:sz w:val="18"/>
          <w:szCs w:val="18"/>
          <w:lang w:val="zh-CN"/>
        </w:rPr>
        <w:t>19,097,638.60</w:t>
      </w:r>
      <w:r>
        <w:rPr>
          <w:rFonts w:hint="eastAsia" w:ascii="宋体" w:hAnsi="宋体" w:cs="宋体"/>
          <w:kern w:val="0"/>
          <w:sz w:val="18"/>
          <w:szCs w:val="18"/>
          <w:lang w:val="zh-CN"/>
        </w:rPr>
        <w:t>元，并在不断开拓客户资源，提升产品质量、技术工艺水平，创造新的利润增长点和竞争力。</w:t>
      </w:r>
    </w:p>
    <w:p>
      <w:pPr>
        <w:autoSpaceDE w:val="0"/>
        <w:autoSpaceDN w:val="0"/>
        <w:adjustRightInd w:val="0"/>
        <w:spacing w:before="0" w:after="0"/>
        <w:ind w:firstLine="300"/>
        <w:rPr>
          <w:rFonts w:hint="eastAsia" w:ascii="宋体" w:hAnsi="宋体" w:cs="宋体"/>
          <w:kern w:val="0"/>
          <w:sz w:val="18"/>
          <w:szCs w:val="18"/>
          <w:lang w:val="zh-CN"/>
        </w:rPr>
      </w:pPr>
      <w:r>
        <w:rPr>
          <w:rFonts w:hint="eastAsia" w:ascii="宋体" w:hAnsi="宋体" w:cs="宋体"/>
          <w:kern w:val="0"/>
          <w:sz w:val="18"/>
          <w:szCs w:val="18"/>
          <w:lang w:val="zh-CN"/>
        </w:rPr>
        <w:t>公司已取得中央军委装备发展部颁发的从事军品制造资格的《装备承制单位注册证书》和国军标质量管理体系认证。公司为开拓军工市场所需产品，设立了军品销售部配置了专业的销售、技术和服务人员，已为部分军事基地、造船厂等单位，提供生产装备、生活设施配套所需的闸阀、防浪阀、截止阀、快速接头等产品。报告期内军品阀门销售额尚未对公司业绩产生重大影响，但对公司未来业绩的提升和核心竞争力的增强将有促进作用，公司将抓住军民融合产业发展机遇实现高质量发展，为国防建设提供优质阀门产品和服务。</w:t>
      </w:r>
    </w:p>
    <w:p>
      <w:pPr>
        <w:autoSpaceDE w:val="0"/>
        <w:autoSpaceDN w:val="0"/>
        <w:adjustRightInd w:val="0"/>
        <w:spacing w:before="0" w:after="0"/>
        <w:ind w:firstLine="300"/>
        <w:rPr>
          <w:rFonts w:hint="eastAsia" w:ascii="宋体" w:hAnsi="宋体" w:cs="宋体"/>
          <w:kern w:val="0"/>
          <w:sz w:val="18"/>
          <w:szCs w:val="18"/>
          <w:lang w:val="zh-CN"/>
        </w:rPr>
      </w:pPr>
      <w:r>
        <w:rPr>
          <w:rFonts w:hint="eastAsia" w:ascii="宋体" w:hAnsi="宋体" w:cs="宋体"/>
          <w:kern w:val="0"/>
          <w:sz w:val="18"/>
          <w:szCs w:val="18"/>
          <w:lang w:val="zh-CN"/>
        </w:rPr>
        <w:t>公司为拓展国际市场业务，在香港设立了“偉隆（香港）實業有限公司”；为开拓检测业务成立了“卓信检测技术公司”；为整合公司内部资源，提高公司运营效率，设立了“即聚机电有限公司”，完成了不动产资产划转业务。</w:t>
      </w:r>
    </w:p>
    <w:p>
      <w:pPr>
        <w:autoSpaceDE w:val="0"/>
        <w:autoSpaceDN w:val="0"/>
        <w:adjustRightInd w:val="0"/>
        <w:spacing w:before="0" w:after="0"/>
        <w:ind w:firstLine="300"/>
        <w:rPr>
          <w:rFonts w:hint="eastAsia" w:ascii="宋体" w:hAnsi="宋体" w:cs="宋体"/>
          <w:kern w:val="0"/>
          <w:sz w:val="18"/>
          <w:szCs w:val="18"/>
          <w:lang w:val="zh-CN"/>
        </w:rPr>
      </w:pPr>
      <w:r>
        <w:rPr>
          <w:rFonts w:hint="eastAsia" w:ascii="宋体" w:hAnsi="宋体" w:cs="宋体"/>
          <w:kern w:val="0"/>
          <w:sz w:val="18"/>
          <w:szCs w:val="18"/>
          <w:lang w:val="zh-CN"/>
        </w:rPr>
        <w:t>公司产品以出口为主导，2018年度、2019年度及2020年度公司产品出口收入占营业收入比例分别为85.83%、85.20%和80.11%，销往欧洲、北美、中东、南美、亚洲、大洋洲等50多个国家和地区。</w:t>
      </w:r>
    </w:p>
    <w:p>
      <w:pPr>
        <w:autoSpaceDE w:val="0"/>
        <w:autoSpaceDN w:val="0"/>
        <w:adjustRightInd w:val="0"/>
        <w:spacing w:before="0" w:after="0"/>
        <w:ind w:firstLine="480"/>
        <w:rPr>
          <w:rFonts w:hint="eastAsia" w:ascii="宋体" w:cs="宋体"/>
          <w:kern w:val="0"/>
          <w:sz w:val="18"/>
          <w:szCs w:val="18"/>
          <w:lang w:val="zh-CN"/>
        </w:rPr>
      </w:pPr>
      <w:r>
        <w:rPr>
          <w:rFonts w:hint="eastAsia" w:ascii="宋体" w:hAnsi="宋体" w:cs="宋体"/>
          <w:kern w:val="0"/>
          <w:sz w:val="18"/>
          <w:szCs w:val="18"/>
          <w:lang w:val="zh-CN"/>
        </w:rPr>
        <w:t>报告期内，公司主营经营模式、主营业务及主要产品未发生重大变化。</w:t>
      </w:r>
    </w:p>
    <w:p>
      <w:pPr>
        <w:pStyle w:val="7"/>
        <w:outlineLvl w:val="1"/>
        <w:rPr>
          <w:rFonts w:hint="default"/>
          <w:sz w:val="24"/>
          <w:szCs w:val="24"/>
        </w:rPr>
      </w:pPr>
      <w:r>
        <w:rPr>
          <w:rFonts w:hint="eastAsia"/>
          <w:sz w:val="24"/>
          <w:szCs w:val="24"/>
        </w:rPr>
        <w:t>二、主要资产重大变化情况</w:t>
      </w:r>
    </w:p>
    <w:p>
      <w:pPr>
        <w:pStyle w:val="8"/>
        <w:outlineLvl w:val="2"/>
        <w:rPr>
          <w:rFonts w:hint="default"/>
          <w:sz w:val="21"/>
          <w:szCs w:val="24"/>
        </w:rPr>
      </w:pPr>
      <w:r>
        <w:rPr>
          <w:rFonts w:hint="default"/>
          <w:sz w:val="21"/>
          <w:szCs w:val="24"/>
        </w:rPr>
        <w:t>1</w:t>
      </w:r>
      <w:r>
        <w:rPr>
          <w:rFonts w:hint="eastAsia"/>
          <w:sz w:val="21"/>
          <w:szCs w:val="24"/>
        </w:rPr>
        <w:t>、主要资产重大变化情况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051"/>
        <w:gridCol w:w="6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2" w:hRule="atLeast"/>
        </w:trPr>
        <w:tc>
          <w:tcPr>
            <w:tcW w:w="30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主要资产</w:t>
            </w:r>
          </w:p>
        </w:tc>
        <w:tc>
          <w:tcPr>
            <w:tcW w:w="651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重大变化说明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92" w:hRule="atLeast"/>
        </w:trPr>
        <w:tc>
          <w:tcPr>
            <w:tcW w:w="30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sz w:val="18"/>
                <w:szCs w:val="24"/>
              </w:rPr>
            </w:pPr>
          </w:p>
        </w:tc>
        <w:tc>
          <w:tcPr>
            <w:tcW w:w="65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股权资产</w:t>
            </w:r>
          </w:p>
        </w:tc>
        <w:tc>
          <w:tcPr>
            <w:tcW w:w="65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固定资产</w:t>
            </w:r>
          </w:p>
        </w:tc>
        <w:tc>
          <w:tcPr>
            <w:tcW w:w="65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无形资产</w:t>
            </w:r>
          </w:p>
        </w:tc>
        <w:tc>
          <w:tcPr>
            <w:tcW w:w="65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在建工程</w:t>
            </w:r>
          </w:p>
        </w:tc>
        <w:tc>
          <w:tcPr>
            <w:tcW w:w="65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bl>
    <w:p>
      <w:pPr>
        <w:pStyle w:val="8"/>
        <w:outlineLvl w:val="2"/>
        <w:rPr>
          <w:rFonts w:hint="default"/>
          <w:sz w:val="21"/>
          <w:szCs w:val="24"/>
        </w:rPr>
      </w:pPr>
      <w:r>
        <w:rPr>
          <w:rFonts w:hint="default"/>
          <w:sz w:val="21"/>
          <w:szCs w:val="24"/>
        </w:rPr>
        <w:t>2</w:t>
      </w:r>
      <w:r>
        <w:rPr>
          <w:rFonts w:hint="eastAsia"/>
          <w:sz w:val="21"/>
          <w:szCs w:val="24"/>
        </w:rPr>
        <w:t>、主要境外资产情况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三、核心竞争力分析</w:t>
      </w:r>
    </w:p>
    <w:p>
      <w:pPr>
        <w:autoSpaceDE w:val="0"/>
        <w:autoSpaceDN w:val="0"/>
        <w:adjustRightInd w:val="0"/>
        <w:ind w:firstLine="360"/>
        <w:rPr>
          <w:rFonts w:hint="default" w:eastAsia="Times New Roman"/>
          <w:b/>
          <w:kern w:val="0"/>
          <w:sz w:val="18"/>
          <w:szCs w:val="24"/>
          <w:lang w:val="zh-CN"/>
        </w:rPr>
      </w:pPr>
      <w:r>
        <w:rPr>
          <w:rFonts w:hint="eastAsia" w:ascii="宋体" w:hAnsi="宋体" w:cs="宋体"/>
          <w:kern w:val="0"/>
          <w:sz w:val="18"/>
          <w:szCs w:val="24"/>
          <w:lang w:val="zh-CN"/>
        </w:rPr>
        <w:t>公司经过二十多年的经营探索，致力于给排水阀门行业的深耕细作发展，专注于城镇给排水系统、消防给水系统、空调暖通系统及污水处理系统四大应用领域，通过多年的发展，在市场开拓、研发设计、品牌推广、资质认证、产品质量、大型工程设计经验、客户资源能力等方面均具有明显的竞争优势。</w:t>
      </w:r>
    </w:p>
    <w:p>
      <w:pPr>
        <w:autoSpaceDE w:val="0"/>
        <w:autoSpaceDN w:val="0"/>
        <w:adjustRightInd w:val="0"/>
        <w:ind w:firstLine="361"/>
        <w:rPr>
          <w:rFonts w:hint="default" w:eastAsia="Times New Roman"/>
          <w:b/>
          <w:kern w:val="0"/>
          <w:sz w:val="18"/>
          <w:szCs w:val="24"/>
          <w:lang w:val="zh-CN"/>
        </w:rPr>
      </w:pPr>
      <w:r>
        <w:rPr>
          <w:rFonts w:hint="eastAsia" w:ascii="宋体" w:hAnsi="宋体" w:cs="宋体"/>
          <w:b/>
          <w:kern w:val="0"/>
          <w:sz w:val="18"/>
          <w:szCs w:val="24"/>
          <w:lang w:val="zh-CN"/>
        </w:rPr>
        <w:t>（</w:t>
      </w:r>
      <w:r>
        <w:rPr>
          <w:rFonts w:hint="default" w:eastAsia="Times New Roman"/>
          <w:b/>
          <w:kern w:val="0"/>
          <w:sz w:val="18"/>
          <w:szCs w:val="24"/>
          <w:lang w:val="zh-CN"/>
        </w:rPr>
        <w:t>1</w:t>
      </w:r>
      <w:r>
        <w:rPr>
          <w:rFonts w:hint="eastAsia" w:ascii="宋体" w:hAnsi="宋体" w:cs="宋体"/>
          <w:b/>
          <w:kern w:val="0"/>
          <w:sz w:val="18"/>
          <w:szCs w:val="24"/>
          <w:lang w:val="zh-CN"/>
        </w:rPr>
        <w:t>）研发设计优势</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公司是经青岛市科技局、财政局、国税局和地税局认定的高新技术企业，技术中心于</w:t>
      </w:r>
      <w:r>
        <w:rPr>
          <w:rFonts w:hint="default" w:eastAsia="Times New Roman"/>
          <w:kern w:val="0"/>
          <w:sz w:val="18"/>
          <w:szCs w:val="24"/>
          <w:lang w:val="zh-CN"/>
        </w:rPr>
        <w:t>2012</w:t>
      </w:r>
      <w:r>
        <w:rPr>
          <w:rFonts w:hint="eastAsia" w:ascii="宋体" w:hAnsi="宋体" w:cs="宋体"/>
          <w:kern w:val="0"/>
          <w:sz w:val="18"/>
          <w:szCs w:val="24"/>
          <w:lang w:val="zh-CN"/>
        </w:rPr>
        <w:t>年被认定为青岛市级企业技术中心。公司成立了由公司总经理直接负责的技术管理委员会和由外聘专家组成的专家委员会，拥有</w:t>
      </w:r>
      <w:r>
        <w:rPr>
          <w:rFonts w:hint="default" w:eastAsia="Times New Roman"/>
          <w:kern w:val="0"/>
          <w:sz w:val="18"/>
          <w:szCs w:val="24"/>
          <w:lang w:val="zh-CN"/>
        </w:rPr>
        <w:t>100</w:t>
      </w:r>
      <w:r>
        <w:rPr>
          <w:rFonts w:hint="eastAsia" w:ascii="宋体" w:hAnsi="宋体" w:cs="宋体"/>
          <w:kern w:val="0"/>
          <w:sz w:val="18"/>
          <w:szCs w:val="24"/>
          <w:lang w:val="zh-CN"/>
        </w:rPr>
        <w:t>余名专业技术人员，其中</w:t>
      </w:r>
      <w:r>
        <w:rPr>
          <w:rFonts w:hint="default" w:eastAsia="Times New Roman"/>
          <w:kern w:val="0"/>
          <w:sz w:val="18"/>
          <w:szCs w:val="24"/>
          <w:lang w:val="zh-CN"/>
        </w:rPr>
        <w:t>5</w:t>
      </w:r>
      <w:r>
        <w:rPr>
          <w:rFonts w:hint="eastAsia" w:ascii="宋体" w:hAnsi="宋体" w:cs="宋体"/>
          <w:kern w:val="0"/>
          <w:sz w:val="18"/>
          <w:szCs w:val="24"/>
          <w:lang w:val="zh-CN"/>
        </w:rPr>
        <w:t>名为高级工程师，长期从事阀门产品的研发设计，积累了丰富的研发设计和生产经验。公司获得</w:t>
      </w:r>
      <w:r>
        <w:rPr>
          <w:rFonts w:hint="default" w:eastAsia="Times New Roman"/>
          <w:kern w:val="0"/>
          <w:sz w:val="18"/>
          <w:szCs w:val="24"/>
          <w:lang w:val="zh-CN"/>
        </w:rPr>
        <w:t>“GB/T 29490-2013</w:t>
      </w:r>
      <w:r>
        <w:rPr>
          <w:rFonts w:hint="eastAsia" w:ascii="宋体" w:hAnsi="宋体" w:cs="宋体"/>
          <w:kern w:val="0"/>
          <w:sz w:val="18"/>
          <w:szCs w:val="24"/>
          <w:lang w:val="zh-CN"/>
        </w:rPr>
        <w:t>知识产权管理体系认证</w:t>
      </w:r>
      <w:r>
        <w:rPr>
          <w:rFonts w:hint="default" w:eastAsia="Times New Roman"/>
          <w:kern w:val="0"/>
          <w:sz w:val="18"/>
          <w:szCs w:val="24"/>
          <w:lang w:val="zh-CN"/>
        </w:rPr>
        <w:t>”</w:t>
      </w:r>
      <w:r>
        <w:rPr>
          <w:rFonts w:hint="eastAsia" w:ascii="宋体" w:hAnsi="宋体" w:cs="宋体"/>
          <w:kern w:val="0"/>
          <w:sz w:val="18"/>
          <w:szCs w:val="24"/>
          <w:lang w:val="zh-CN"/>
        </w:rPr>
        <w:t>，公司及子公司现拥有</w:t>
      </w:r>
      <w:r>
        <w:rPr>
          <w:rFonts w:hint="default" w:eastAsia="Times New Roman"/>
          <w:kern w:val="0"/>
          <w:sz w:val="18"/>
          <w:szCs w:val="24"/>
          <w:lang w:val="zh-CN"/>
        </w:rPr>
        <w:t>23</w:t>
      </w:r>
      <w:r>
        <w:rPr>
          <w:rFonts w:hint="eastAsia" w:ascii="宋体" w:hAnsi="宋体" w:cs="宋体"/>
          <w:kern w:val="0"/>
          <w:sz w:val="18"/>
          <w:szCs w:val="24"/>
          <w:lang w:val="zh-CN"/>
        </w:rPr>
        <w:t>项专利，其中</w:t>
      </w:r>
      <w:r>
        <w:rPr>
          <w:rFonts w:hint="default" w:eastAsia="Times New Roman"/>
          <w:kern w:val="0"/>
          <w:sz w:val="18"/>
          <w:szCs w:val="24"/>
          <w:lang w:val="zh-CN"/>
        </w:rPr>
        <w:t>2</w:t>
      </w:r>
      <w:r>
        <w:rPr>
          <w:rFonts w:hint="eastAsia" w:ascii="宋体" w:hAnsi="宋体" w:cs="宋体"/>
          <w:kern w:val="0"/>
          <w:sz w:val="18"/>
          <w:szCs w:val="24"/>
          <w:lang w:val="zh-CN"/>
        </w:rPr>
        <w:t>项为国内发明专利。公司研发的不停水加装闸门技术工艺于</w:t>
      </w:r>
      <w:r>
        <w:rPr>
          <w:rFonts w:hint="default" w:eastAsia="Times New Roman"/>
          <w:kern w:val="0"/>
          <w:sz w:val="18"/>
          <w:szCs w:val="24"/>
          <w:lang w:val="zh-CN"/>
        </w:rPr>
        <w:t>2011</w:t>
      </w:r>
      <w:r>
        <w:rPr>
          <w:rFonts w:hint="eastAsia" w:ascii="宋体" w:hAnsi="宋体" w:cs="宋体"/>
          <w:kern w:val="0"/>
          <w:sz w:val="18"/>
          <w:szCs w:val="24"/>
          <w:lang w:val="zh-CN"/>
        </w:rPr>
        <w:t>年经中国水协科技委管道技术部专家组现场评审认为技术先进、实用性强、为国内首创，达到国际先进水平。</w:t>
      </w:r>
    </w:p>
    <w:p>
      <w:pPr>
        <w:autoSpaceDE w:val="0"/>
        <w:autoSpaceDN w:val="0"/>
        <w:adjustRightInd w:val="0"/>
        <w:ind w:firstLine="361"/>
        <w:rPr>
          <w:rFonts w:hint="default" w:eastAsia="Times New Roman"/>
          <w:b/>
          <w:kern w:val="0"/>
          <w:sz w:val="18"/>
          <w:szCs w:val="24"/>
          <w:lang w:val="zh-CN"/>
        </w:rPr>
      </w:pPr>
      <w:r>
        <w:rPr>
          <w:rFonts w:hint="eastAsia" w:ascii="宋体" w:hAnsi="宋体" w:cs="宋体"/>
          <w:b/>
          <w:kern w:val="0"/>
          <w:sz w:val="18"/>
          <w:szCs w:val="24"/>
          <w:lang w:val="zh-CN"/>
        </w:rPr>
        <w:t>（</w:t>
      </w:r>
      <w:r>
        <w:rPr>
          <w:rFonts w:hint="default" w:eastAsia="Times New Roman"/>
          <w:b/>
          <w:kern w:val="0"/>
          <w:sz w:val="18"/>
          <w:szCs w:val="24"/>
          <w:lang w:val="zh-CN"/>
        </w:rPr>
        <w:t>2</w:t>
      </w:r>
      <w:r>
        <w:rPr>
          <w:rFonts w:hint="eastAsia" w:ascii="宋体" w:hAnsi="宋体" w:cs="宋体"/>
          <w:b/>
          <w:kern w:val="0"/>
          <w:sz w:val="18"/>
          <w:szCs w:val="24"/>
          <w:lang w:val="zh-CN"/>
        </w:rPr>
        <w:t>）国际市场开拓和客户资源优势</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多年专业从事给排水阀门业务，拥有丰富的国际市场开拓和销售经验，培养了一批谙熟国际市场运作规则的专业营销人才，并在英国和美国设有两家全资子公司作为国际市场销售平台。凭借可靠的产品质量和稳定的产品性能，公司自主品牌</w:t>
      </w:r>
      <w:r>
        <w:rPr>
          <w:rFonts w:hint="default" w:eastAsia="Times New Roman"/>
          <w:kern w:val="0"/>
          <w:sz w:val="18"/>
          <w:szCs w:val="24"/>
          <w:lang w:val="zh-CN"/>
        </w:rPr>
        <w:t>“WEFLO”</w:t>
      </w:r>
      <w:r>
        <w:rPr>
          <w:rFonts w:hint="eastAsia" w:ascii="宋体" w:hAnsi="宋体" w:cs="宋体"/>
          <w:kern w:val="0"/>
          <w:sz w:val="18"/>
          <w:szCs w:val="24"/>
          <w:lang w:val="zh-CN"/>
        </w:rPr>
        <w:t>商标已在全球</w:t>
      </w:r>
      <w:r>
        <w:rPr>
          <w:rFonts w:hint="default" w:eastAsia="Times New Roman"/>
          <w:kern w:val="0"/>
          <w:sz w:val="18"/>
          <w:szCs w:val="24"/>
          <w:lang w:val="zh-CN"/>
        </w:rPr>
        <w:t>60</w:t>
      </w:r>
      <w:r>
        <w:rPr>
          <w:rFonts w:hint="eastAsia" w:ascii="宋体" w:hAnsi="宋体" w:cs="宋体"/>
          <w:kern w:val="0"/>
          <w:sz w:val="18"/>
          <w:szCs w:val="24"/>
          <w:lang w:val="zh-CN"/>
        </w:rPr>
        <w:t>多个国家和地区及马德里国际商标缔约方近百个国家和地区注册，赢得了众多国际客户的信赖，在市场上的销售份额逐步提升，荣获山东省著名商标，获得山东名牌产品证书，荣获中国国际贸易促进委员会颁发的</w:t>
      </w:r>
      <w:r>
        <w:rPr>
          <w:rFonts w:hint="default" w:eastAsia="Times New Roman"/>
          <w:kern w:val="0"/>
          <w:sz w:val="18"/>
          <w:szCs w:val="24"/>
          <w:lang w:val="zh-CN"/>
        </w:rPr>
        <w:t>“</w:t>
      </w:r>
      <w:r>
        <w:rPr>
          <w:rFonts w:hint="eastAsia" w:ascii="宋体" w:hAnsi="宋体" w:cs="宋体"/>
          <w:kern w:val="0"/>
          <w:sz w:val="18"/>
          <w:szCs w:val="24"/>
          <w:lang w:val="zh-CN"/>
        </w:rPr>
        <w:t>中国出口商品品牌证明书</w:t>
      </w:r>
      <w:r>
        <w:rPr>
          <w:rFonts w:hint="default" w:eastAsia="Times New Roman"/>
          <w:kern w:val="0"/>
          <w:sz w:val="18"/>
          <w:szCs w:val="24"/>
          <w:lang w:val="zh-CN"/>
        </w:rPr>
        <w:t>”</w:t>
      </w:r>
      <w:r>
        <w:rPr>
          <w:rFonts w:hint="eastAsia" w:ascii="宋体" w:hAnsi="宋体" w:cs="宋体"/>
          <w:kern w:val="0"/>
          <w:sz w:val="18"/>
          <w:szCs w:val="24"/>
          <w:lang w:val="zh-CN"/>
        </w:rPr>
        <w:t>。公司在亚洲、欧洲、美洲、大洋洲及非洲等</w:t>
      </w:r>
      <w:r>
        <w:rPr>
          <w:rFonts w:hint="default" w:eastAsia="Times New Roman"/>
          <w:kern w:val="0"/>
          <w:sz w:val="18"/>
          <w:szCs w:val="24"/>
          <w:lang w:val="zh-CN"/>
        </w:rPr>
        <w:t>50</w:t>
      </w:r>
      <w:r>
        <w:rPr>
          <w:rFonts w:hint="eastAsia" w:ascii="宋体" w:hAnsi="宋体" w:cs="宋体"/>
          <w:kern w:val="0"/>
          <w:sz w:val="18"/>
          <w:szCs w:val="24"/>
          <w:lang w:val="zh-CN"/>
        </w:rPr>
        <w:t>多个国家和地区积累了一批优质的品牌客户，其中多数为长期战略客户，与公司形成了稳定的合作关系。</w:t>
      </w:r>
    </w:p>
    <w:p>
      <w:pPr>
        <w:autoSpaceDE w:val="0"/>
        <w:autoSpaceDN w:val="0"/>
        <w:adjustRightInd w:val="0"/>
        <w:ind w:firstLine="361"/>
        <w:rPr>
          <w:rFonts w:hint="default" w:eastAsia="Times New Roman"/>
          <w:b/>
          <w:kern w:val="0"/>
          <w:sz w:val="18"/>
          <w:szCs w:val="24"/>
          <w:lang w:val="zh-CN"/>
        </w:rPr>
      </w:pPr>
      <w:r>
        <w:rPr>
          <w:rFonts w:hint="eastAsia" w:ascii="宋体" w:hAnsi="宋体" w:cs="宋体"/>
          <w:b/>
          <w:kern w:val="0"/>
          <w:sz w:val="18"/>
          <w:szCs w:val="24"/>
          <w:lang w:val="zh-CN"/>
        </w:rPr>
        <w:t>（</w:t>
      </w:r>
      <w:r>
        <w:rPr>
          <w:rFonts w:hint="default" w:eastAsia="Times New Roman"/>
          <w:b/>
          <w:kern w:val="0"/>
          <w:sz w:val="18"/>
          <w:szCs w:val="24"/>
          <w:lang w:val="zh-CN"/>
        </w:rPr>
        <w:t>3</w:t>
      </w:r>
      <w:r>
        <w:rPr>
          <w:rFonts w:hint="eastAsia" w:ascii="宋体" w:hAnsi="宋体" w:cs="宋体"/>
          <w:b/>
          <w:kern w:val="0"/>
          <w:sz w:val="18"/>
          <w:szCs w:val="24"/>
          <w:lang w:val="zh-CN"/>
        </w:rPr>
        <w:t>）产品质量优势</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高度重视产品质量，建立了严格的产品质量检验制度，采用科学的检测手段和完善的产品质量检测设备，对产品由原材料进厂、生产过程控制到成品出库以及售后跟踪服务进行全过程质量监控。公司阀门检测中心获得中国国家</w:t>
      </w:r>
      <w:r>
        <w:rPr>
          <w:rFonts w:hint="default" w:eastAsia="Times New Roman"/>
          <w:kern w:val="0"/>
          <w:sz w:val="18"/>
          <w:szCs w:val="24"/>
          <w:lang w:val="zh-CN"/>
        </w:rPr>
        <w:t>CNAS\DILAC</w:t>
      </w:r>
      <w:r>
        <w:rPr>
          <w:rFonts w:hint="eastAsia" w:ascii="宋体" w:hAnsi="宋体" w:cs="宋体"/>
          <w:kern w:val="0"/>
          <w:sz w:val="18"/>
          <w:szCs w:val="24"/>
          <w:lang w:val="zh-CN"/>
        </w:rPr>
        <w:t>实验室认可证书，阀门检测实验室被国际权威消防产品认证机构美国</w:t>
      </w:r>
      <w:r>
        <w:rPr>
          <w:rFonts w:hint="default" w:eastAsia="Times New Roman"/>
          <w:kern w:val="0"/>
          <w:sz w:val="18"/>
          <w:szCs w:val="24"/>
          <w:lang w:val="zh-CN"/>
        </w:rPr>
        <w:t>UL</w:t>
      </w:r>
      <w:r>
        <w:rPr>
          <w:rFonts w:hint="eastAsia" w:ascii="宋体" w:hAnsi="宋体" w:cs="宋体"/>
          <w:kern w:val="0"/>
          <w:sz w:val="18"/>
          <w:szCs w:val="24"/>
          <w:lang w:val="zh-CN"/>
        </w:rPr>
        <w:t>认定为国内阀门行业首家</w:t>
      </w:r>
      <w:r>
        <w:rPr>
          <w:rFonts w:hint="default" w:eastAsia="Times New Roman"/>
          <w:kern w:val="0"/>
          <w:sz w:val="18"/>
          <w:szCs w:val="24"/>
          <w:lang w:val="zh-CN"/>
        </w:rPr>
        <w:t>“UL</w:t>
      </w:r>
      <w:r>
        <w:rPr>
          <w:rFonts w:hint="eastAsia" w:ascii="宋体" w:hAnsi="宋体" w:cs="宋体"/>
          <w:kern w:val="0"/>
          <w:sz w:val="18"/>
          <w:szCs w:val="24"/>
          <w:lang w:val="zh-CN"/>
        </w:rPr>
        <w:t>认可目击测试实验室</w:t>
      </w:r>
      <w:r>
        <w:rPr>
          <w:rFonts w:hint="default" w:eastAsia="Times New Roman"/>
          <w:kern w:val="0"/>
          <w:sz w:val="18"/>
          <w:szCs w:val="24"/>
          <w:lang w:val="zh-CN"/>
        </w:rPr>
        <w:t>”</w:t>
      </w:r>
      <w:r>
        <w:rPr>
          <w:rFonts w:hint="eastAsia" w:ascii="宋体" w:hAnsi="宋体" w:cs="宋体"/>
          <w:kern w:val="0"/>
          <w:sz w:val="18"/>
          <w:szCs w:val="24"/>
          <w:lang w:val="zh-CN"/>
        </w:rPr>
        <w:t>，系对公司产品质量检测能力的权威认可。</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公司获得了</w:t>
      </w:r>
      <w:r>
        <w:rPr>
          <w:rFonts w:hint="default" w:eastAsia="Times New Roman"/>
          <w:kern w:val="0"/>
          <w:sz w:val="18"/>
          <w:szCs w:val="24"/>
          <w:lang w:val="zh-CN"/>
        </w:rPr>
        <w:t>DNV</w:t>
      </w:r>
      <w:r>
        <w:rPr>
          <w:rFonts w:hint="eastAsia" w:ascii="宋体" w:hAnsi="宋体" w:cs="宋体"/>
          <w:kern w:val="0"/>
          <w:sz w:val="18"/>
          <w:szCs w:val="24"/>
          <w:lang w:val="zh-CN"/>
        </w:rPr>
        <w:t>颁发的</w:t>
      </w:r>
      <w:r>
        <w:rPr>
          <w:rFonts w:hint="default" w:eastAsia="Times New Roman"/>
          <w:kern w:val="0"/>
          <w:sz w:val="18"/>
          <w:szCs w:val="24"/>
          <w:lang w:val="zh-CN"/>
        </w:rPr>
        <w:t>ISO9001</w:t>
      </w:r>
      <w:r>
        <w:rPr>
          <w:rFonts w:hint="eastAsia" w:ascii="宋体" w:hAnsi="宋体" w:cs="宋体"/>
          <w:kern w:val="0"/>
          <w:sz w:val="18"/>
          <w:szCs w:val="24"/>
          <w:lang w:val="zh-CN"/>
        </w:rPr>
        <w:t>质量管理、ISO14001环境管理和OHSAS18001职业健康安全管理及IATF16949质量管理体系证书，具有一套完善的质量、环境及职业健康安全管理体系。公司产品取得了欧盟</w:t>
      </w:r>
      <w:r>
        <w:rPr>
          <w:rFonts w:hint="default" w:eastAsia="Times New Roman"/>
          <w:kern w:val="0"/>
          <w:sz w:val="18"/>
          <w:szCs w:val="24"/>
          <w:lang w:val="zh-CN"/>
        </w:rPr>
        <w:t>CE</w:t>
      </w:r>
      <w:r>
        <w:rPr>
          <w:rFonts w:hint="eastAsia" w:ascii="宋体" w:hAnsi="宋体" w:cs="宋体"/>
          <w:kern w:val="0"/>
          <w:sz w:val="18"/>
          <w:szCs w:val="24"/>
          <w:lang w:val="zh-CN"/>
        </w:rPr>
        <w:t>产品安全认证、英国</w:t>
      </w:r>
      <w:r>
        <w:rPr>
          <w:rFonts w:hint="default" w:eastAsia="Times New Roman"/>
          <w:kern w:val="0"/>
          <w:sz w:val="18"/>
          <w:szCs w:val="24"/>
          <w:lang w:val="zh-CN"/>
        </w:rPr>
        <w:t>WRAS</w:t>
      </w:r>
      <w:r>
        <w:rPr>
          <w:rFonts w:hint="eastAsia" w:ascii="宋体" w:hAnsi="宋体" w:cs="宋体"/>
          <w:kern w:val="0"/>
          <w:sz w:val="18"/>
          <w:szCs w:val="24"/>
          <w:lang w:val="zh-CN"/>
        </w:rPr>
        <w:t>饮用水认证、美国</w:t>
      </w:r>
      <w:r>
        <w:rPr>
          <w:rFonts w:hint="default" w:eastAsia="Times New Roman"/>
          <w:kern w:val="0"/>
          <w:sz w:val="18"/>
          <w:szCs w:val="24"/>
          <w:lang w:val="zh-CN"/>
        </w:rPr>
        <w:t>UL</w:t>
      </w:r>
      <w:r>
        <w:rPr>
          <w:rFonts w:hint="eastAsia" w:ascii="宋体" w:hAnsi="宋体" w:cs="宋体"/>
          <w:kern w:val="0"/>
          <w:sz w:val="18"/>
          <w:szCs w:val="24"/>
          <w:lang w:val="zh-CN"/>
        </w:rPr>
        <w:t>饮用水认证、美国</w:t>
      </w:r>
      <w:r>
        <w:rPr>
          <w:rFonts w:hint="default" w:eastAsia="Times New Roman"/>
          <w:kern w:val="0"/>
          <w:sz w:val="18"/>
          <w:szCs w:val="24"/>
          <w:lang w:val="zh-CN"/>
        </w:rPr>
        <w:t>UL</w:t>
      </w:r>
      <w:r>
        <w:rPr>
          <w:rFonts w:hint="eastAsia" w:ascii="宋体" w:hAnsi="宋体" w:cs="宋体"/>
          <w:kern w:val="0"/>
          <w:sz w:val="18"/>
          <w:szCs w:val="24"/>
          <w:lang w:val="zh-CN"/>
        </w:rPr>
        <w:t>消防认证、美国</w:t>
      </w:r>
      <w:r>
        <w:rPr>
          <w:rFonts w:hint="default" w:eastAsia="Times New Roman"/>
          <w:kern w:val="0"/>
          <w:sz w:val="18"/>
          <w:szCs w:val="24"/>
          <w:lang w:val="zh-CN"/>
        </w:rPr>
        <w:t>FM</w:t>
      </w:r>
      <w:r>
        <w:rPr>
          <w:rFonts w:hint="eastAsia" w:ascii="宋体" w:hAnsi="宋体" w:cs="宋体"/>
          <w:kern w:val="0"/>
          <w:sz w:val="18"/>
          <w:szCs w:val="24"/>
          <w:lang w:val="zh-CN"/>
        </w:rPr>
        <w:t>消防认证、美国</w:t>
      </w:r>
      <w:r>
        <w:rPr>
          <w:rFonts w:hint="default" w:eastAsia="Times New Roman"/>
          <w:kern w:val="0"/>
          <w:sz w:val="18"/>
          <w:szCs w:val="24"/>
          <w:lang w:val="zh-CN"/>
        </w:rPr>
        <w:t>NSF</w:t>
      </w:r>
      <w:r>
        <w:rPr>
          <w:rFonts w:hint="eastAsia" w:ascii="宋体" w:hAnsi="宋体" w:cs="宋体"/>
          <w:kern w:val="0"/>
          <w:sz w:val="18"/>
          <w:szCs w:val="24"/>
          <w:lang w:val="zh-CN"/>
        </w:rPr>
        <w:t>认证、加拿大</w:t>
      </w:r>
      <w:r>
        <w:rPr>
          <w:rFonts w:hint="default" w:eastAsia="Times New Roman"/>
          <w:kern w:val="0"/>
          <w:sz w:val="18"/>
          <w:szCs w:val="24"/>
          <w:lang w:val="zh-CN"/>
        </w:rPr>
        <w:t>UL</w:t>
      </w:r>
      <w:r>
        <w:rPr>
          <w:rFonts w:hint="eastAsia" w:ascii="宋体" w:hAnsi="宋体" w:cs="宋体"/>
          <w:kern w:val="0"/>
          <w:sz w:val="18"/>
          <w:szCs w:val="24"/>
          <w:lang w:val="zh-CN"/>
        </w:rPr>
        <w:t>认证、澳大利亚</w:t>
      </w:r>
      <w:r>
        <w:rPr>
          <w:rFonts w:hint="default" w:eastAsia="Times New Roman"/>
          <w:kern w:val="0"/>
          <w:sz w:val="18"/>
          <w:szCs w:val="24"/>
          <w:lang w:val="zh-CN"/>
        </w:rPr>
        <w:t>IAPMO</w:t>
      </w:r>
      <w:r>
        <w:rPr>
          <w:rFonts w:hint="eastAsia" w:ascii="宋体" w:hAnsi="宋体" w:cs="宋体"/>
          <w:kern w:val="0"/>
          <w:sz w:val="18"/>
          <w:szCs w:val="24"/>
          <w:lang w:val="zh-CN"/>
        </w:rPr>
        <w:t>审核</w:t>
      </w:r>
      <w:r>
        <w:rPr>
          <w:rFonts w:hint="default" w:eastAsia="Times New Roman"/>
          <w:kern w:val="0"/>
          <w:sz w:val="18"/>
          <w:szCs w:val="24"/>
          <w:lang w:val="zh-CN"/>
        </w:rPr>
        <w:t>WaterMark</w:t>
      </w:r>
      <w:r>
        <w:rPr>
          <w:rFonts w:hint="eastAsia" w:ascii="宋体" w:hAnsi="宋体" w:cs="宋体"/>
          <w:kern w:val="0"/>
          <w:sz w:val="18"/>
          <w:szCs w:val="24"/>
          <w:lang w:val="zh-CN"/>
        </w:rPr>
        <w:t>认证和</w:t>
      </w:r>
      <w:r>
        <w:rPr>
          <w:rFonts w:hint="default" w:eastAsia="Times New Roman"/>
          <w:kern w:val="0"/>
          <w:sz w:val="18"/>
          <w:szCs w:val="24"/>
          <w:lang w:val="zh-CN"/>
        </w:rPr>
        <w:t>AGA\OceanMark</w:t>
      </w:r>
      <w:r>
        <w:rPr>
          <w:rFonts w:hint="eastAsia" w:ascii="宋体" w:hAnsi="宋体" w:cs="宋体"/>
          <w:kern w:val="0"/>
          <w:sz w:val="18"/>
          <w:szCs w:val="24"/>
          <w:lang w:val="zh-CN"/>
        </w:rPr>
        <w:t>认证、俄罗斯</w:t>
      </w:r>
      <w:r>
        <w:rPr>
          <w:rFonts w:hint="default" w:eastAsia="Times New Roman"/>
          <w:kern w:val="0"/>
          <w:sz w:val="18"/>
          <w:szCs w:val="24"/>
          <w:lang w:val="zh-CN"/>
        </w:rPr>
        <w:t>GOST</w:t>
      </w:r>
      <w:r>
        <w:rPr>
          <w:rFonts w:hint="eastAsia" w:ascii="宋体" w:hAnsi="宋体" w:cs="宋体"/>
          <w:kern w:val="0"/>
          <w:sz w:val="18"/>
          <w:szCs w:val="24"/>
          <w:lang w:val="zh-CN"/>
        </w:rPr>
        <w:t>消防认证、阿联酋</w:t>
      </w:r>
      <w:r>
        <w:rPr>
          <w:rFonts w:hint="default" w:eastAsia="Times New Roman"/>
          <w:kern w:val="0"/>
          <w:sz w:val="18"/>
          <w:szCs w:val="24"/>
          <w:lang w:val="zh-CN"/>
        </w:rPr>
        <w:t>Civil Denfense</w:t>
      </w:r>
      <w:r>
        <w:rPr>
          <w:rFonts w:hint="eastAsia" w:ascii="宋体" w:hAnsi="宋体" w:cs="宋体"/>
          <w:kern w:val="0"/>
          <w:sz w:val="18"/>
          <w:szCs w:val="24"/>
          <w:lang w:val="zh-CN"/>
        </w:rPr>
        <w:t>民防认证、</w:t>
      </w:r>
      <w:r>
        <w:rPr>
          <w:rFonts w:hint="default" w:eastAsia="Times New Roman"/>
          <w:kern w:val="0"/>
          <w:sz w:val="18"/>
          <w:szCs w:val="24"/>
          <w:lang w:val="zh-CN"/>
        </w:rPr>
        <w:t>CCC</w:t>
      </w:r>
      <w:r>
        <w:rPr>
          <w:rFonts w:hint="eastAsia" w:ascii="宋体" w:hAnsi="宋体" w:cs="宋体"/>
          <w:kern w:val="0"/>
          <w:sz w:val="18"/>
          <w:szCs w:val="24"/>
          <w:lang w:val="zh-CN"/>
        </w:rPr>
        <w:t>中国国家强制性产品认证证书、香港水务署认证、德国</w:t>
      </w:r>
      <w:r>
        <w:rPr>
          <w:rFonts w:hint="default" w:eastAsia="Times New Roman"/>
          <w:kern w:val="0"/>
          <w:sz w:val="18"/>
          <w:szCs w:val="24"/>
          <w:lang w:val="zh-CN"/>
        </w:rPr>
        <w:t>VDS</w:t>
      </w:r>
      <w:r>
        <w:rPr>
          <w:rFonts w:hint="eastAsia" w:ascii="宋体" w:hAnsi="宋体" w:cs="宋体"/>
          <w:kern w:val="0"/>
          <w:sz w:val="18"/>
          <w:szCs w:val="24"/>
          <w:lang w:val="zh-CN"/>
        </w:rPr>
        <w:t>认证等多项产品质量认证，其中在消防领域，取得全球最具代表性和权威性监管机构所制定的五大认证中的四个，成为国内给排水阀门行业内取得认证较为齐全的企业之一。</w:t>
      </w:r>
    </w:p>
    <w:p>
      <w:pPr>
        <w:autoSpaceDE w:val="0"/>
        <w:autoSpaceDN w:val="0"/>
        <w:adjustRightInd w:val="0"/>
        <w:spacing w:before="156"/>
        <w:ind w:firstLine="361"/>
        <w:rPr>
          <w:rFonts w:hint="default" w:eastAsia="Times New Roman"/>
          <w:b/>
          <w:kern w:val="0"/>
          <w:sz w:val="18"/>
          <w:szCs w:val="24"/>
          <w:lang w:val="zh-CN"/>
        </w:rPr>
      </w:pPr>
      <w:r>
        <w:rPr>
          <w:rFonts w:hint="eastAsia" w:ascii="宋体" w:hAnsi="宋体" w:cs="宋体"/>
          <w:b/>
          <w:kern w:val="0"/>
          <w:sz w:val="18"/>
          <w:szCs w:val="24"/>
          <w:lang w:val="zh-CN"/>
        </w:rPr>
        <w:t>（</w:t>
      </w:r>
      <w:r>
        <w:rPr>
          <w:rFonts w:hint="default" w:eastAsia="Times New Roman"/>
          <w:b/>
          <w:kern w:val="0"/>
          <w:sz w:val="18"/>
          <w:szCs w:val="24"/>
          <w:lang w:val="zh-CN"/>
        </w:rPr>
        <w:t>4</w:t>
      </w:r>
      <w:r>
        <w:rPr>
          <w:rFonts w:hint="eastAsia" w:ascii="宋体" w:hAnsi="宋体" w:cs="宋体"/>
          <w:b/>
          <w:kern w:val="0"/>
          <w:sz w:val="18"/>
          <w:szCs w:val="24"/>
          <w:lang w:val="zh-CN"/>
        </w:rPr>
        <w:t>）产品结构优势</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公司现为中国通用机械工业协会阀门分会理事会员单位，也是国际消防组织</w:t>
      </w:r>
      <w:r>
        <w:rPr>
          <w:rFonts w:hint="default" w:eastAsia="Times New Roman"/>
          <w:kern w:val="0"/>
          <w:sz w:val="18"/>
          <w:szCs w:val="24"/>
          <w:lang w:val="zh-CN"/>
        </w:rPr>
        <w:t>IFSA</w:t>
      </w:r>
      <w:r>
        <w:rPr>
          <w:rFonts w:hint="eastAsia" w:ascii="宋体" w:hAnsi="宋体" w:cs="宋体"/>
          <w:kern w:val="0"/>
          <w:sz w:val="18"/>
          <w:szCs w:val="24"/>
          <w:lang w:val="zh-CN"/>
        </w:rPr>
        <w:t>（</w:t>
      </w:r>
      <w:r>
        <w:rPr>
          <w:rFonts w:hint="default" w:eastAsia="Times New Roman"/>
          <w:kern w:val="0"/>
          <w:sz w:val="18"/>
          <w:szCs w:val="24"/>
          <w:lang w:val="zh-CN"/>
        </w:rPr>
        <w:t>The International Fire Suppression Alliance </w:t>
      </w:r>
      <w:r>
        <w:rPr>
          <w:rFonts w:hint="eastAsia" w:ascii="宋体" w:hAnsi="宋体" w:cs="宋体"/>
          <w:kern w:val="0"/>
          <w:sz w:val="18"/>
          <w:szCs w:val="24"/>
          <w:lang w:val="zh-CN"/>
        </w:rPr>
        <w:t>）的理事成员。公司专注于给排水阀门细分领域，可生产适用于工业、消防、民用给排水、制冷空调用途的产品类别涵盖阀门分类的多个系列，已有</w:t>
      </w:r>
      <w:r>
        <w:rPr>
          <w:rFonts w:hint="default" w:eastAsia="Times New Roman"/>
          <w:kern w:val="0"/>
          <w:sz w:val="18"/>
          <w:szCs w:val="24"/>
          <w:lang w:val="zh-CN"/>
        </w:rPr>
        <w:t>2,000</w:t>
      </w:r>
      <w:r>
        <w:rPr>
          <w:rFonts w:hint="eastAsia" w:ascii="宋体" w:hAnsi="宋体" w:cs="宋体"/>
          <w:kern w:val="0"/>
          <w:sz w:val="18"/>
          <w:szCs w:val="24"/>
          <w:lang w:val="zh-CN"/>
        </w:rPr>
        <w:t>多个规格，包括闸阀、蝶阀、截止阀、调节阀、旋塞阀、止回阀、减压阀、报警阀、雨淋阀等，具备生产公称通径</w:t>
      </w:r>
      <w:r>
        <w:rPr>
          <w:rFonts w:hint="default" w:eastAsia="Times New Roman"/>
          <w:kern w:val="0"/>
          <w:sz w:val="18"/>
          <w:szCs w:val="24"/>
          <w:lang w:val="zh-CN"/>
        </w:rPr>
        <w:t>2.2M</w:t>
      </w:r>
      <w:r>
        <w:rPr>
          <w:rFonts w:hint="eastAsia" w:ascii="宋体" w:hAnsi="宋体" w:cs="宋体"/>
          <w:kern w:val="0"/>
          <w:sz w:val="18"/>
          <w:szCs w:val="24"/>
          <w:lang w:val="zh-CN"/>
        </w:rPr>
        <w:t>的闸阀、</w:t>
      </w:r>
      <w:r>
        <w:rPr>
          <w:rFonts w:hint="default" w:eastAsia="Times New Roman"/>
          <w:kern w:val="0"/>
          <w:sz w:val="18"/>
          <w:szCs w:val="24"/>
          <w:lang w:val="zh-CN"/>
        </w:rPr>
        <w:t>4M</w:t>
      </w:r>
      <w:r>
        <w:rPr>
          <w:rFonts w:hint="eastAsia" w:ascii="宋体" w:hAnsi="宋体" w:cs="宋体"/>
          <w:kern w:val="0"/>
          <w:sz w:val="18"/>
          <w:szCs w:val="24"/>
          <w:lang w:val="zh-CN"/>
        </w:rPr>
        <w:t>蝶阀等大规格阀门的生产能力。产品种类丰富的结构、快速高效的交货能力有效满足了下游客户的一站式采购要求，提高客户的采购效率，为公司与客户建立良好合作关系奠定了产品结构优势。</w:t>
      </w:r>
    </w:p>
    <w:p>
      <w:pPr>
        <w:autoSpaceDE w:val="0"/>
        <w:autoSpaceDN w:val="0"/>
        <w:adjustRightInd w:val="0"/>
        <w:ind w:firstLine="361"/>
        <w:rPr>
          <w:rFonts w:hint="default" w:eastAsia="Times New Roman"/>
          <w:b/>
          <w:kern w:val="0"/>
          <w:sz w:val="18"/>
          <w:szCs w:val="24"/>
          <w:lang w:val="zh-CN"/>
        </w:rPr>
      </w:pPr>
      <w:r>
        <w:rPr>
          <w:rFonts w:hint="eastAsia" w:ascii="宋体" w:hAnsi="宋体" w:cs="宋体"/>
          <w:b/>
          <w:kern w:val="0"/>
          <w:sz w:val="18"/>
          <w:szCs w:val="24"/>
          <w:lang w:val="zh-CN"/>
        </w:rPr>
        <w:t>（</w:t>
      </w:r>
      <w:r>
        <w:rPr>
          <w:rFonts w:hint="default" w:eastAsia="Times New Roman"/>
          <w:b/>
          <w:kern w:val="0"/>
          <w:sz w:val="18"/>
          <w:szCs w:val="24"/>
          <w:lang w:val="zh-CN"/>
        </w:rPr>
        <w:t>5</w:t>
      </w:r>
      <w:r>
        <w:rPr>
          <w:rFonts w:hint="eastAsia" w:ascii="宋体" w:hAnsi="宋体" w:cs="宋体"/>
          <w:b/>
          <w:kern w:val="0"/>
          <w:sz w:val="18"/>
          <w:szCs w:val="24"/>
          <w:lang w:val="zh-CN"/>
        </w:rPr>
        <w:t>）原材料供应体系优势</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公司拥有专业的阀门铸件生产配套企业</w:t>
      </w:r>
      <w:r>
        <w:rPr>
          <w:rFonts w:hint="default" w:eastAsia="Times New Roman"/>
          <w:kern w:val="0"/>
          <w:sz w:val="18"/>
          <w:szCs w:val="24"/>
          <w:lang w:val="zh-CN"/>
        </w:rPr>
        <w:t>——</w:t>
      </w:r>
      <w:r>
        <w:rPr>
          <w:rFonts w:hint="eastAsia" w:ascii="宋体" w:hAnsi="宋体" w:cs="宋体"/>
          <w:kern w:val="0"/>
          <w:sz w:val="18"/>
          <w:szCs w:val="24"/>
          <w:lang w:val="zh-CN"/>
        </w:rPr>
        <w:t>全资子公司莱州伟隆，其拥有十多年的铸造加工经验，公司</w:t>
      </w:r>
      <w:r>
        <w:rPr>
          <w:rFonts w:hint="default" w:eastAsia="Times New Roman"/>
          <w:kern w:val="0"/>
          <w:sz w:val="18"/>
          <w:szCs w:val="24"/>
          <w:lang w:val="zh-CN"/>
        </w:rPr>
        <w:t>2018</w:t>
      </w:r>
      <w:r>
        <w:rPr>
          <w:rFonts w:hint="eastAsia" w:ascii="宋体" w:hAnsi="宋体" w:cs="宋体"/>
          <w:kern w:val="0"/>
          <w:sz w:val="18"/>
          <w:szCs w:val="24"/>
          <w:lang w:val="zh-CN"/>
        </w:rPr>
        <w:t>年开始投资</w:t>
      </w:r>
      <w:r>
        <w:rPr>
          <w:rFonts w:hint="default" w:eastAsia="Times New Roman"/>
          <w:kern w:val="0"/>
          <w:sz w:val="18"/>
          <w:szCs w:val="24"/>
          <w:lang w:val="zh-CN"/>
        </w:rPr>
        <w:t>1.6</w:t>
      </w:r>
      <w:r>
        <w:rPr>
          <w:rFonts w:hint="eastAsia" w:ascii="宋体" w:hAnsi="宋体" w:cs="宋体"/>
          <w:kern w:val="0"/>
          <w:sz w:val="18"/>
          <w:szCs w:val="24"/>
          <w:lang w:val="zh-CN"/>
        </w:rPr>
        <w:t>亿元建设的两条具有国内领先水平的自动化铸造生产线项目于</w:t>
      </w:r>
      <w:r>
        <w:rPr>
          <w:rFonts w:hint="default" w:eastAsia="Times New Roman"/>
          <w:kern w:val="0"/>
          <w:sz w:val="18"/>
          <w:szCs w:val="24"/>
          <w:lang w:val="zh-CN"/>
        </w:rPr>
        <w:t>2019</w:t>
      </w:r>
      <w:r>
        <w:rPr>
          <w:rFonts w:hint="eastAsia" w:ascii="宋体" w:hAnsi="宋体" w:cs="宋体"/>
          <w:kern w:val="0"/>
          <w:sz w:val="18"/>
          <w:szCs w:val="24"/>
          <w:lang w:val="zh-CN"/>
        </w:rPr>
        <w:t>年</w:t>
      </w:r>
      <w:r>
        <w:rPr>
          <w:rFonts w:hint="default" w:eastAsia="Times New Roman"/>
          <w:kern w:val="0"/>
          <w:sz w:val="18"/>
          <w:szCs w:val="24"/>
          <w:lang w:val="zh-CN"/>
        </w:rPr>
        <w:t>5</w:t>
      </w:r>
      <w:r>
        <w:rPr>
          <w:rFonts w:hint="eastAsia" w:ascii="宋体" w:hAnsi="宋体" w:cs="宋体"/>
          <w:kern w:val="0"/>
          <w:sz w:val="18"/>
          <w:szCs w:val="24"/>
          <w:lang w:val="zh-CN"/>
        </w:rPr>
        <w:t>月投入试运行，目前已达到预期的生产状态，为满足公司阀门铸件的需求和国内外客户的采购需求提供了有力的保障。除铸件外，阀门生产的各类辅助配件如铜件、不锈钢件、橡胶件、标准件等，公司与周边各类配件供应商建立了长期稳定的合作关系，拥有高效的配件供应体系。</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公司稳定可靠的产品质量和交货履约能力，得益于阀门铸件生产的垂直供应以及高效的配件供应体系，从而形成了公司独特的竞争优势。</w:t>
      </w:r>
    </w:p>
    <w:p>
      <w:pPr>
        <w:autoSpaceDE w:val="0"/>
        <w:autoSpaceDN w:val="0"/>
        <w:adjustRightInd w:val="0"/>
        <w:spacing w:before="0" w:after="0"/>
        <w:jc w:val="left"/>
        <w:rPr>
          <w:rFonts w:hint="default"/>
          <w:kern w:val="0"/>
          <w:sz w:val="24"/>
          <w:szCs w:val="24"/>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24"/>
        </w:rPr>
      </w:pPr>
      <w:bookmarkStart w:id="3" w:name="_Toc300000087"/>
      <w:r>
        <w:rPr>
          <w:rFonts w:hint="eastAsia"/>
          <w:b/>
          <w:kern w:val="32"/>
          <w:sz w:val="32"/>
          <w:szCs w:val="24"/>
        </w:rPr>
        <w:t>第四节</w:t>
      </w:r>
      <w:r>
        <w:rPr>
          <w:rFonts w:hint="default"/>
          <w:b/>
          <w:kern w:val="32"/>
          <w:sz w:val="32"/>
          <w:szCs w:val="24"/>
        </w:rPr>
        <w:t xml:space="preserve"> </w:t>
      </w:r>
      <w:r>
        <w:rPr>
          <w:rFonts w:hint="eastAsia"/>
          <w:b/>
          <w:kern w:val="32"/>
          <w:sz w:val="32"/>
          <w:szCs w:val="24"/>
        </w:rPr>
        <w:t>经营情况讨论与分析</w:t>
      </w:r>
      <w:bookmarkEnd w:id="3"/>
    </w:p>
    <w:p>
      <w:pPr>
        <w:pStyle w:val="7"/>
        <w:outlineLvl w:val="1"/>
        <w:rPr>
          <w:rFonts w:hint="default"/>
          <w:sz w:val="24"/>
          <w:szCs w:val="24"/>
        </w:rPr>
      </w:pPr>
      <w:r>
        <w:rPr>
          <w:rFonts w:hint="eastAsia"/>
          <w:sz w:val="24"/>
          <w:szCs w:val="24"/>
        </w:rPr>
        <w:t>一、概述</w:t>
      </w:r>
    </w:p>
    <w:p>
      <w:pPr>
        <w:autoSpaceDE w:val="0"/>
        <w:autoSpaceDN w:val="0"/>
        <w:adjustRightInd w:val="0"/>
        <w:ind w:firstLine="360"/>
        <w:jc w:val="left"/>
        <w:rPr>
          <w:rFonts w:hint="default" w:eastAsia="Times New Roman"/>
          <w:color w:val="auto"/>
          <w:kern w:val="0"/>
          <w:sz w:val="18"/>
          <w:szCs w:val="24"/>
          <w:lang w:val="zh-CN"/>
        </w:rPr>
      </w:pPr>
      <w:r>
        <w:rPr>
          <w:rFonts w:hint="default" w:eastAsia="Times New Roman"/>
          <w:color w:val="auto"/>
          <w:kern w:val="0"/>
          <w:sz w:val="18"/>
          <w:szCs w:val="24"/>
          <w:lang w:val="zh-CN"/>
        </w:rPr>
        <w:t>2020</w:t>
      </w:r>
      <w:r>
        <w:rPr>
          <w:rFonts w:hint="eastAsia" w:ascii="宋体" w:hAnsi="宋体" w:cs="宋体"/>
          <w:color w:val="auto"/>
          <w:kern w:val="0"/>
          <w:sz w:val="18"/>
          <w:szCs w:val="24"/>
          <w:lang w:val="zh-CN"/>
        </w:rPr>
        <w:t>年度，受</w:t>
      </w:r>
      <w:r>
        <w:rPr>
          <w:rFonts w:hint="eastAsia" w:ascii="宋体" w:hAnsi="宋体" w:cs="宋体"/>
          <w:color w:val="auto"/>
          <w:sz w:val="18"/>
          <w:szCs w:val="18"/>
        </w:rPr>
        <w:t>突如其来的新冠疫情</w:t>
      </w:r>
      <w:r>
        <w:rPr>
          <w:rFonts w:hint="eastAsia" w:ascii="宋体" w:hAnsi="宋体" w:cs="宋体"/>
          <w:color w:val="auto"/>
          <w:kern w:val="0"/>
          <w:sz w:val="18"/>
          <w:szCs w:val="24"/>
          <w:lang w:val="zh-CN"/>
        </w:rPr>
        <w:t>在全球范围内爆发后产生的连锁反应，以及国内宏观经济形势变化、环保政策的影响，</w:t>
      </w:r>
      <w:r>
        <w:rPr>
          <w:rFonts w:hint="eastAsia" w:ascii="宋体" w:hAnsi="宋体" w:cs="宋体"/>
          <w:color w:val="auto"/>
          <w:sz w:val="18"/>
          <w:szCs w:val="18"/>
        </w:rPr>
        <w:t>叠加中美贸易争端压力升级，对世界经济和供应链造成持续的影响，公司经营面临多重压力和挑战。</w:t>
      </w:r>
      <w:r>
        <w:rPr>
          <w:rFonts w:hint="eastAsia" w:ascii="宋体" w:hAnsi="宋体" w:cs="宋体"/>
          <w:color w:val="auto"/>
          <w:kern w:val="0"/>
          <w:sz w:val="18"/>
          <w:szCs w:val="24"/>
          <w:lang w:val="zh-CN"/>
        </w:rPr>
        <w:t>作为传统制造型企业，公司始终坚持加大市场开拓力度，深化产品结构调整，提升生产交付能力。同时加强内部管理，严格控制成</w:t>
      </w:r>
      <w:r>
        <w:rPr>
          <w:rFonts w:hint="eastAsia" w:ascii="MS Mincho" w:hAnsi="MS Mincho" w:cs="MS Mincho"/>
          <w:color w:val="auto"/>
          <w:kern w:val="0"/>
          <w:sz w:val="18"/>
          <w:szCs w:val="24"/>
          <w:lang w:val="zh-CN"/>
        </w:rPr>
        <w:t>本</w:t>
      </w:r>
      <w:r>
        <w:rPr>
          <w:rFonts w:hint="eastAsia" w:ascii="宋体" w:hAnsi="宋体" w:cs="宋体"/>
          <w:color w:val="auto"/>
          <w:kern w:val="0"/>
          <w:sz w:val="18"/>
          <w:szCs w:val="24"/>
          <w:lang w:val="zh-CN"/>
        </w:rPr>
        <w:t>费用，紧紧围绕年度经营发展计划，落实</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开拓市场、满足需求为导向；研发产品、加速认证为基础；调整产品、优化结构为保障；提升质量、创建品牌为战略；精益管理、提高效益为目标</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的经营方针，克服重重困难，使公司主营业务保持了稳定发展的态势。</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经和信会计师事务所</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特殊普通合伙</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审计，公司</w:t>
      </w:r>
      <w:r>
        <w:rPr>
          <w:rFonts w:hint="default" w:eastAsia="Times New Roman"/>
          <w:color w:val="auto"/>
          <w:kern w:val="0"/>
          <w:sz w:val="18"/>
          <w:szCs w:val="24"/>
          <w:lang w:val="zh-CN"/>
        </w:rPr>
        <w:t xml:space="preserve"> 2020</w:t>
      </w:r>
      <w:r>
        <w:rPr>
          <w:rFonts w:hint="eastAsia" w:ascii="宋体" w:hAnsi="宋体" w:cs="宋体"/>
          <w:color w:val="auto"/>
          <w:kern w:val="0"/>
          <w:sz w:val="18"/>
          <w:szCs w:val="24"/>
          <w:lang w:val="zh-CN"/>
        </w:rPr>
        <w:t>年度实现营业收入</w:t>
      </w:r>
      <w:r>
        <w:rPr>
          <w:rFonts w:hint="default" w:eastAsia="Times New Roman"/>
          <w:color w:val="auto"/>
          <w:kern w:val="0"/>
          <w:sz w:val="18"/>
          <w:szCs w:val="24"/>
          <w:lang w:val="zh-CN"/>
        </w:rPr>
        <w:t>344,590,024.63</w:t>
      </w:r>
      <w:r>
        <w:rPr>
          <w:rFonts w:hint="eastAsia" w:ascii="宋体" w:hAnsi="宋体" w:cs="宋体"/>
          <w:color w:val="auto"/>
          <w:kern w:val="0"/>
          <w:sz w:val="18"/>
          <w:szCs w:val="24"/>
          <w:lang w:val="zh-CN"/>
        </w:rPr>
        <w:t>元，较上年降低</w:t>
      </w:r>
      <w:r>
        <w:rPr>
          <w:rFonts w:hint="default" w:eastAsia="Times New Roman"/>
          <w:color w:val="auto"/>
          <w:kern w:val="0"/>
          <w:sz w:val="18"/>
          <w:szCs w:val="24"/>
          <w:lang w:val="zh-CN"/>
        </w:rPr>
        <w:t>2.99%</w:t>
      </w:r>
      <w:r>
        <w:rPr>
          <w:rFonts w:hint="eastAsia" w:ascii="宋体" w:hAnsi="宋体" w:cs="宋体"/>
          <w:color w:val="auto"/>
          <w:kern w:val="0"/>
          <w:sz w:val="18"/>
          <w:szCs w:val="24"/>
          <w:lang w:val="zh-CN"/>
        </w:rPr>
        <w:t>，实现归属于上市公司股东的净利润</w:t>
      </w:r>
      <w:r>
        <w:rPr>
          <w:rFonts w:hint="default" w:eastAsia="Times New Roman"/>
          <w:color w:val="auto"/>
          <w:kern w:val="0"/>
          <w:sz w:val="18"/>
          <w:szCs w:val="24"/>
          <w:lang w:val="zh-CN"/>
        </w:rPr>
        <w:t>57,968,093.00</w:t>
      </w:r>
      <w:r>
        <w:rPr>
          <w:rFonts w:hint="eastAsia" w:ascii="宋体" w:hAnsi="宋体" w:cs="宋体"/>
          <w:color w:val="auto"/>
          <w:kern w:val="0"/>
          <w:sz w:val="18"/>
          <w:szCs w:val="24"/>
          <w:lang w:val="zh-CN"/>
        </w:rPr>
        <w:t>元，比上年增加</w:t>
      </w:r>
      <w:r>
        <w:rPr>
          <w:rFonts w:hint="default" w:eastAsia="Times New Roman"/>
          <w:color w:val="auto"/>
          <w:kern w:val="0"/>
          <w:sz w:val="18"/>
          <w:szCs w:val="24"/>
          <w:lang w:val="zh-CN"/>
        </w:rPr>
        <w:t>9.41%</w:t>
      </w:r>
      <w:r>
        <w:rPr>
          <w:rFonts w:hint="eastAsia" w:ascii="宋体" w:hAnsi="宋体" w:cs="宋体"/>
          <w:color w:val="auto"/>
          <w:kern w:val="0"/>
          <w:sz w:val="18"/>
          <w:szCs w:val="24"/>
          <w:lang w:val="zh-CN"/>
        </w:rPr>
        <w:t>，实现主要经营目标销售收入、净利润、回款率等基</w:t>
      </w:r>
      <w:r>
        <w:rPr>
          <w:rFonts w:hint="eastAsia" w:ascii="MS Mincho" w:hAnsi="MS Mincho" w:cs="MS Mincho"/>
          <w:color w:val="auto"/>
          <w:kern w:val="0"/>
          <w:sz w:val="18"/>
          <w:szCs w:val="24"/>
          <w:lang w:val="zh-CN"/>
        </w:rPr>
        <w:t>本</w:t>
      </w:r>
      <w:r>
        <w:rPr>
          <w:rFonts w:hint="eastAsia" w:ascii="宋体" w:hAnsi="宋体" w:cs="宋体"/>
          <w:color w:val="auto"/>
          <w:kern w:val="0"/>
          <w:sz w:val="18"/>
          <w:szCs w:val="24"/>
          <w:lang w:val="zh-CN"/>
        </w:rPr>
        <w:t>达到预期目标。截至</w:t>
      </w:r>
      <w:r>
        <w:rPr>
          <w:rFonts w:hint="default" w:eastAsia="Times New Roman"/>
          <w:color w:val="auto"/>
          <w:kern w:val="0"/>
          <w:sz w:val="18"/>
          <w:szCs w:val="24"/>
          <w:lang w:val="zh-CN"/>
        </w:rPr>
        <w:t>2020</w:t>
      </w:r>
      <w:r>
        <w:rPr>
          <w:rFonts w:hint="eastAsia" w:ascii="宋体" w:hAnsi="宋体" w:cs="宋体"/>
          <w:color w:val="auto"/>
          <w:kern w:val="0"/>
          <w:sz w:val="18"/>
          <w:szCs w:val="24"/>
          <w:lang w:val="zh-CN"/>
        </w:rPr>
        <w:t>年</w:t>
      </w:r>
      <w:r>
        <w:rPr>
          <w:rFonts w:hint="default" w:eastAsia="Times New Roman"/>
          <w:color w:val="auto"/>
          <w:kern w:val="0"/>
          <w:sz w:val="18"/>
          <w:szCs w:val="24"/>
          <w:lang w:val="zh-CN"/>
        </w:rPr>
        <w:t>12</w:t>
      </w:r>
      <w:r>
        <w:rPr>
          <w:rFonts w:hint="eastAsia" w:ascii="宋体" w:hAnsi="宋体" w:cs="宋体"/>
          <w:color w:val="auto"/>
          <w:kern w:val="0"/>
          <w:sz w:val="18"/>
          <w:szCs w:val="24"/>
          <w:lang w:val="zh-CN"/>
        </w:rPr>
        <w:t>月</w:t>
      </w:r>
      <w:r>
        <w:rPr>
          <w:rFonts w:hint="default" w:eastAsia="Times New Roman"/>
          <w:color w:val="auto"/>
          <w:kern w:val="0"/>
          <w:sz w:val="18"/>
          <w:szCs w:val="24"/>
          <w:lang w:val="zh-CN"/>
        </w:rPr>
        <w:t>31</w:t>
      </w:r>
      <w:r>
        <w:rPr>
          <w:rFonts w:hint="eastAsia" w:ascii="宋体" w:hAnsi="宋体" w:cs="宋体"/>
          <w:color w:val="auto"/>
          <w:kern w:val="0"/>
          <w:sz w:val="18"/>
          <w:szCs w:val="24"/>
          <w:lang w:val="zh-CN"/>
        </w:rPr>
        <w:t>日，公司资产总额</w:t>
      </w:r>
      <w:r>
        <w:rPr>
          <w:rFonts w:hint="default" w:eastAsia="Times New Roman"/>
          <w:color w:val="auto"/>
          <w:kern w:val="0"/>
          <w:sz w:val="18"/>
          <w:szCs w:val="24"/>
          <w:lang w:val="zh-CN"/>
        </w:rPr>
        <w:t>869,664,922.77</w:t>
      </w:r>
      <w:r>
        <w:rPr>
          <w:rFonts w:hint="eastAsia" w:ascii="宋体" w:hAnsi="宋体" w:cs="宋体"/>
          <w:color w:val="auto"/>
          <w:kern w:val="0"/>
          <w:sz w:val="18"/>
          <w:szCs w:val="24"/>
          <w:lang w:val="zh-CN"/>
        </w:rPr>
        <w:t>元，归属于母公司所有者权益</w:t>
      </w:r>
      <w:r>
        <w:rPr>
          <w:rFonts w:hint="default" w:eastAsia="Times New Roman"/>
          <w:color w:val="auto"/>
          <w:kern w:val="0"/>
          <w:sz w:val="18"/>
          <w:szCs w:val="24"/>
          <w:lang w:val="zh-CN"/>
        </w:rPr>
        <w:t>663,232,732.54</w:t>
      </w:r>
      <w:r>
        <w:rPr>
          <w:rFonts w:hint="eastAsia" w:ascii="宋体" w:hAnsi="宋体" w:cs="宋体"/>
          <w:color w:val="auto"/>
          <w:kern w:val="0"/>
          <w:sz w:val="18"/>
          <w:szCs w:val="24"/>
          <w:lang w:val="zh-CN"/>
        </w:rPr>
        <w:t>元。</w:t>
      </w:r>
    </w:p>
    <w:p>
      <w:pPr>
        <w:autoSpaceDE w:val="0"/>
        <w:autoSpaceDN w:val="0"/>
        <w:adjustRightInd w:val="0"/>
        <w:ind w:firstLine="360"/>
        <w:jc w:val="left"/>
        <w:rPr>
          <w:rFonts w:hint="default" w:eastAsia="Times New Roman"/>
          <w:color w:val="auto"/>
          <w:kern w:val="0"/>
          <w:sz w:val="18"/>
          <w:szCs w:val="24"/>
          <w:lang w:val="zh-CN"/>
        </w:rPr>
      </w:pPr>
      <w:r>
        <w:rPr>
          <w:rFonts w:hint="default" w:eastAsia="Times New Roman"/>
          <w:color w:val="auto"/>
          <w:kern w:val="0"/>
          <w:sz w:val="18"/>
          <w:szCs w:val="24"/>
          <w:lang w:val="zh-CN"/>
        </w:rPr>
        <w:t>2020</w:t>
      </w:r>
      <w:r>
        <w:rPr>
          <w:rFonts w:hint="eastAsia" w:ascii="宋体" w:hAnsi="宋体" w:cs="宋体"/>
          <w:color w:val="auto"/>
          <w:kern w:val="0"/>
          <w:sz w:val="18"/>
          <w:szCs w:val="24"/>
          <w:lang w:val="zh-CN"/>
        </w:rPr>
        <w:t>年，公司完成的重点工作如下：</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（一）加大市场拓展力度，扩大自主品牌市场</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在国际、国内参展及客户洽谈受阻的情况下，采取网络业务交流开拓新客户</w:t>
      </w:r>
      <w:r>
        <w:rPr>
          <w:rFonts w:hint="eastAsia"/>
          <w:color w:val="auto"/>
          <w:kern w:val="0"/>
          <w:sz w:val="18"/>
          <w:szCs w:val="24"/>
          <w:lang w:val="zh-CN"/>
        </w:rPr>
        <w:t>、</w:t>
      </w:r>
      <w:r>
        <w:rPr>
          <w:rFonts w:hint="eastAsia" w:ascii="宋体" w:hAnsi="宋体" w:cs="宋体"/>
          <w:color w:val="auto"/>
          <w:kern w:val="0"/>
          <w:sz w:val="18"/>
          <w:szCs w:val="24"/>
          <w:lang w:val="zh-CN"/>
        </w:rPr>
        <w:t>代理商</w:t>
      </w:r>
      <w:r>
        <w:rPr>
          <w:rFonts w:hint="default"/>
          <w:color w:val="auto"/>
          <w:kern w:val="0"/>
          <w:sz w:val="18"/>
          <w:szCs w:val="24"/>
          <w:lang w:val="zh-CN"/>
        </w:rPr>
        <w:t>8</w:t>
      </w:r>
      <w:r>
        <w:rPr>
          <w:rFonts w:hint="default" w:eastAsia="Times New Roman"/>
          <w:color w:val="auto"/>
          <w:kern w:val="0"/>
          <w:sz w:val="18"/>
          <w:szCs w:val="24"/>
          <w:lang w:val="zh-CN"/>
        </w:rPr>
        <w:t>3</w:t>
      </w:r>
      <w:r>
        <w:rPr>
          <w:rFonts w:hint="eastAsia" w:ascii="宋体" w:hAnsi="宋体" w:cs="宋体"/>
          <w:color w:val="auto"/>
          <w:kern w:val="0"/>
          <w:sz w:val="18"/>
          <w:szCs w:val="24"/>
          <w:lang w:val="zh-CN"/>
        </w:rPr>
        <w:t>家；调研了国内外数家企业，并在同</w:t>
      </w:r>
      <w:r>
        <w:rPr>
          <w:rFonts w:hint="eastAsia" w:ascii="MS Mincho" w:hAnsi="MS Mincho" w:cs="MS Mincho"/>
          <w:color w:val="auto"/>
          <w:kern w:val="0"/>
          <w:sz w:val="18"/>
          <w:szCs w:val="24"/>
          <w:lang w:val="zh-CN"/>
        </w:rPr>
        <w:t>有合作意向</w:t>
      </w:r>
      <w:r>
        <w:rPr>
          <w:rFonts w:hint="eastAsia" w:ascii="宋体" w:hAnsi="宋体" w:cs="宋体"/>
          <w:color w:val="auto"/>
          <w:kern w:val="0"/>
          <w:sz w:val="18"/>
          <w:szCs w:val="24"/>
          <w:lang w:val="zh-CN"/>
        </w:rPr>
        <w:t>企业洽谈并购产品项目；为拓展国际市场业务，在香港设立了</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偉隆（香港）實業有限公司</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；为开拓检测业务成立了</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卓信检测技术公司</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；为利用闲置资源，设立了</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即聚机电有限公司</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，完成了不动产资产划转及租赁工作。</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（二）新产品研发取得新进展，质量管理体系不断完善</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新产品偏心半球阀、弹性逆止阀等通过了</w:t>
      </w:r>
      <w:r>
        <w:rPr>
          <w:rFonts w:hint="default" w:eastAsia="Times New Roman"/>
          <w:color w:val="auto"/>
          <w:kern w:val="0"/>
          <w:sz w:val="18"/>
          <w:szCs w:val="24"/>
          <w:lang w:val="zh-CN"/>
        </w:rPr>
        <w:t>FM/ UL/WRAS</w:t>
      </w:r>
      <w:r>
        <w:rPr>
          <w:rFonts w:hint="eastAsia" w:ascii="宋体" w:hAnsi="宋体" w:cs="宋体"/>
          <w:color w:val="auto"/>
          <w:kern w:val="0"/>
          <w:sz w:val="18"/>
          <w:szCs w:val="24"/>
          <w:lang w:val="zh-CN"/>
        </w:rPr>
        <w:t>认证</w:t>
      </w:r>
      <w:r>
        <w:rPr>
          <w:rFonts w:hint="default" w:eastAsia="Times New Roman"/>
          <w:color w:val="auto"/>
          <w:kern w:val="0"/>
          <w:sz w:val="18"/>
          <w:szCs w:val="24"/>
          <w:lang w:val="zh-CN"/>
        </w:rPr>
        <w:t>42</w:t>
      </w:r>
      <w:r>
        <w:rPr>
          <w:rFonts w:hint="eastAsia" w:ascii="宋体" w:hAnsi="宋体" w:cs="宋体"/>
          <w:color w:val="auto"/>
          <w:kern w:val="0"/>
          <w:sz w:val="18"/>
          <w:szCs w:val="24"/>
          <w:lang w:val="zh-CN"/>
        </w:rPr>
        <w:t>个规格投产；申报了</w:t>
      </w:r>
      <w:r>
        <w:rPr>
          <w:rFonts w:hint="default" w:eastAsia="Times New Roman"/>
          <w:color w:val="auto"/>
          <w:kern w:val="0"/>
          <w:sz w:val="18"/>
          <w:szCs w:val="24"/>
          <w:lang w:val="zh-CN"/>
        </w:rPr>
        <w:t>9</w:t>
      </w:r>
      <w:r>
        <w:rPr>
          <w:rFonts w:hint="eastAsia" w:ascii="宋体" w:hAnsi="宋体" w:cs="宋体"/>
          <w:color w:val="auto"/>
          <w:kern w:val="0"/>
          <w:sz w:val="18"/>
          <w:szCs w:val="24"/>
          <w:lang w:val="zh-CN"/>
        </w:rPr>
        <w:t>项实用新型专利；为提升研发技术和订单交付能力引入</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产品创新能力提升</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咨询项目提高效率。通过了</w:t>
      </w:r>
      <w:r>
        <w:rPr>
          <w:rFonts w:hint="default" w:eastAsia="Times New Roman"/>
          <w:color w:val="auto"/>
          <w:kern w:val="0"/>
          <w:sz w:val="18"/>
          <w:szCs w:val="24"/>
          <w:lang w:val="zh-CN"/>
        </w:rPr>
        <w:t>ISO9001\ISO14001\OHSAS18001</w:t>
      </w:r>
      <w:r>
        <w:rPr>
          <w:rFonts w:hint="eastAsia" w:ascii="宋体" w:hAnsi="宋体" w:cs="宋体"/>
          <w:color w:val="auto"/>
          <w:kern w:val="0"/>
          <w:sz w:val="18"/>
          <w:szCs w:val="24"/>
          <w:lang w:val="zh-CN"/>
        </w:rPr>
        <w:t>及</w:t>
      </w:r>
      <w:r>
        <w:rPr>
          <w:rFonts w:hint="default" w:eastAsia="Times New Roman"/>
          <w:color w:val="auto"/>
          <w:kern w:val="0"/>
          <w:sz w:val="18"/>
          <w:szCs w:val="24"/>
          <w:lang w:val="zh-CN"/>
        </w:rPr>
        <w:t>IATF16949</w:t>
      </w:r>
      <w:r>
        <w:rPr>
          <w:rFonts w:hint="eastAsia" w:ascii="宋体" w:hAnsi="宋体" w:cs="宋体"/>
          <w:color w:val="auto"/>
          <w:kern w:val="0"/>
          <w:sz w:val="18"/>
          <w:szCs w:val="24"/>
          <w:lang w:val="zh-CN"/>
        </w:rPr>
        <w:t>等管理体系的现场、网络审核</w:t>
      </w:r>
      <w:r>
        <w:rPr>
          <w:rFonts w:hint="default" w:eastAsia="Times New Roman"/>
          <w:color w:val="auto"/>
          <w:kern w:val="0"/>
          <w:sz w:val="18"/>
          <w:szCs w:val="24"/>
          <w:lang w:val="zh-CN"/>
        </w:rPr>
        <w:t>43</w:t>
      </w:r>
      <w:r>
        <w:rPr>
          <w:rFonts w:hint="eastAsia" w:ascii="宋体" w:hAnsi="宋体" w:cs="宋体"/>
          <w:color w:val="auto"/>
          <w:kern w:val="0"/>
          <w:sz w:val="18"/>
          <w:szCs w:val="24"/>
          <w:lang w:val="zh-CN"/>
        </w:rPr>
        <w:t>次。</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（三）优化组织结构，引进管理、研发技术人才</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公司结合经营管理需要，实行了公司与子公司主要职能部门业务工作指导、监督的一体化运行机制，调整优化了采购、仓储、厂办部门的管理结构，引进管理、研发技术人才</w:t>
      </w:r>
      <w:r>
        <w:rPr>
          <w:rFonts w:hint="default" w:eastAsia="Times New Roman"/>
          <w:color w:val="auto"/>
          <w:kern w:val="0"/>
          <w:sz w:val="18"/>
          <w:szCs w:val="24"/>
          <w:lang w:val="zh-CN"/>
        </w:rPr>
        <w:t>32</w:t>
      </w:r>
      <w:r>
        <w:rPr>
          <w:rFonts w:hint="eastAsia" w:ascii="宋体" w:hAnsi="宋体" w:cs="宋体"/>
          <w:color w:val="auto"/>
          <w:kern w:val="0"/>
          <w:sz w:val="18"/>
          <w:szCs w:val="24"/>
          <w:lang w:val="zh-CN"/>
        </w:rPr>
        <w:t>名，提拔了</w:t>
      </w:r>
      <w:r>
        <w:rPr>
          <w:rFonts w:hint="default" w:eastAsia="Times New Roman"/>
          <w:color w:val="auto"/>
          <w:kern w:val="0"/>
          <w:sz w:val="18"/>
          <w:szCs w:val="24"/>
          <w:lang w:val="zh-CN"/>
        </w:rPr>
        <w:t>6</w:t>
      </w:r>
      <w:r>
        <w:rPr>
          <w:rFonts w:hint="eastAsia" w:ascii="宋体" w:hAnsi="宋体" w:cs="宋体"/>
          <w:color w:val="auto"/>
          <w:kern w:val="0"/>
          <w:sz w:val="18"/>
          <w:szCs w:val="24"/>
          <w:lang w:val="zh-CN"/>
        </w:rPr>
        <w:t>名具有组织管理能力的优秀员工，对不称职的中层管理人员予以降职、解聘；对年度做出突出贡献的优秀员工、优秀班组、优秀管理团体、重大项目工作组予以了表彰奖励。</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（四）不断规范经营运作，落实员工激励措施</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公司董事会严格履行中国证监会、深交所对上市公司的管理要求，规范</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三会</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和内控管理，召开各类会议</w:t>
      </w:r>
      <w:r>
        <w:rPr>
          <w:rFonts w:hint="default" w:eastAsia="Times New Roman"/>
          <w:color w:val="auto"/>
          <w:kern w:val="0"/>
          <w:sz w:val="18"/>
          <w:szCs w:val="24"/>
          <w:lang w:val="zh-CN"/>
        </w:rPr>
        <w:t>25</w:t>
      </w:r>
      <w:r>
        <w:rPr>
          <w:rFonts w:hint="eastAsia" w:ascii="宋体" w:hAnsi="宋体" w:cs="宋体"/>
          <w:color w:val="auto"/>
          <w:kern w:val="0"/>
          <w:sz w:val="18"/>
          <w:szCs w:val="24"/>
          <w:lang w:val="zh-CN"/>
        </w:rPr>
        <w:t>次，信息公告披露</w:t>
      </w:r>
      <w:r>
        <w:rPr>
          <w:rFonts w:hint="default" w:eastAsia="Times New Roman"/>
          <w:color w:val="auto"/>
          <w:kern w:val="0"/>
          <w:sz w:val="18"/>
          <w:szCs w:val="24"/>
          <w:lang w:val="zh-CN"/>
        </w:rPr>
        <w:t>100</w:t>
      </w:r>
      <w:r>
        <w:rPr>
          <w:rFonts w:hint="eastAsia" w:ascii="宋体" w:hAnsi="宋体" w:cs="宋体"/>
          <w:color w:val="auto"/>
          <w:kern w:val="0"/>
          <w:sz w:val="18"/>
          <w:szCs w:val="24"/>
          <w:lang w:val="zh-CN"/>
        </w:rPr>
        <w:t>次</w:t>
      </w:r>
      <w:r>
        <w:rPr>
          <w:rFonts w:hint="default" w:eastAsia="Times New Roman"/>
          <w:color w:val="auto"/>
          <w:kern w:val="0"/>
          <w:sz w:val="18"/>
          <w:szCs w:val="24"/>
          <w:lang w:val="zh-CN"/>
        </w:rPr>
        <w:t>,</w:t>
      </w:r>
      <w:r>
        <w:rPr>
          <w:rFonts w:hint="eastAsia" w:ascii="宋体" w:hAnsi="宋体" w:cs="宋体"/>
          <w:color w:val="auto"/>
          <w:kern w:val="0"/>
          <w:sz w:val="18"/>
          <w:szCs w:val="24"/>
          <w:lang w:val="zh-CN"/>
        </w:rPr>
        <w:t>并被深交所连续两年评为信息披露质量</w:t>
      </w:r>
      <w:r>
        <w:rPr>
          <w:rFonts w:hint="default" w:eastAsia="Times New Roman"/>
          <w:color w:val="auto"/>
          <w:kern w:val="0"/>
          <w:sz w:val="18"/>
          <w:szCs w:val="24"/>
          <w:lang w:val="zh-CN"/>
        </w:rPr>
        <w:t>“A”</w:t>
      </w:r>
      <w:r>
        <w:rPr>
          <w:rFonts w:hint="eastAsia" w:ascii="宋体" w:hAnsi="宋体" w:cs="宋体"/>
          <w:color w:val="auto"/>
          <w:kern w:val="0"/>
          <w:sz w:val="18"/>
          <w:szCs w:val="24"/>
          <w:lang w:val="zh-CN"/>
        </w:rPr>
        <w:t>级企业，接待投资者来访及回复咨询交流</w:t>
      </w:r>
      <w:r>
        <w:rPr>
          <w:rFonts w:hint="default" w:eastAsia="Times New Roman"/>
          <w:color w:val="auto"/>
          <w:kern w:val="0"/>
          <w:sz w:val="18"/>
          <w:szCs w:val="24"/>
          <w:lang w:val="zh-CN"/>
        </w:rPr>
        <w:t>100</w:t>
      </w:r>
      <w:r>
        <w:rPr>
          <w:rFonts w:hint="eastAsia" w:ascii="宋体" w:hAnsi="宋体" w:cs="宋体"/>
          <w:color w:val="auto"/>
          <w:kern w:val="0"/>
          <w:sz w:val="18"/>
          <w:szCs w:val="24"/>
          <w:lang w:val="zh-CN"/>
        </w:rPr>
        <w:t>余次。向股东、投资者实</w:t>
      </w:r>
      <w:r>
        <w:rPr>
          <w:rFonts w:hint="eastAsia" w:ascii="MS Mincho" w:hAnsi="MS Mincho" w:cs="MS Mincho"/>
          <w:color w:val="auto"/>
          <w:kern w:val="0"/>
          <w:sz w:val="18"/>
          <w:szCs w:val="24"/>
          <w:lang w:val="zh-CN"/>
        </w:rPr>
        <w:t>施</w:t>
      </w:r>
      <w:r>
        <w:rPr>
          <w:rFonts w:hint="eastAsia" w:ascii="宋体" w:hAnsi="宋体" w:cs="宋体"/>
          <w:color w:val="auto"/>
          <w:kern w:val="0"/>
          <w:sz w:val="18"/>
          <w:szCs w:val="24"/>
          <w:lang w:val="zh-CN"/>
        </w:rPr>
        <w:t>了</w:t>
      </w:r>
      <w:r>
        <w:rPr>
          <w:rFonts w:hint="default" w:eastAsia="Times New Roman"/>
          <w:color w:val="auto"/>
          <w:kern w:val="0"/>
          <w:sz w:val="18"/>
          <w:szCs w:val="24"/>
          <w:lang w:val="zh-CN"/>
        </w:rPr>
        <w:t>2019</w:t>
      </w:r>
      <w:r>
        <w:rPr>
          <w:rFonts w:hint="eastAsia" w:ascii="宋体" w:hAnsi="宋体" w:cs="宋体"/>
          <w:color w:val="auto"/>
          <w:kern w:val="0"/>
          <w:sz w:val="18"/>
          <w:szCs w:val="24"/>
          <w:lang w:val="zh-CN"/>
        </w:rPr>
        <w:t>年度利润分红派息</w:t>
      </w:r>
      <w:r>
        <w:rPr>
          <w:rFonts w:hint="default" w:eastAsia="Times New Roman"/>
          <w:color w:val="auto"/>
          <w:kern w:val="0"/>
          <w:sz w:val="18"/>
          <w:szCs w:val="24"/>
          <w:lang w:val="zh-CN"/>
        </w:rPr>
        <w:t>5200</w:t>
      </w:r>
      <w:r>
        <w:rPr>
          <w:rFonts w:hint="eastAsia" w:ascii="宋体" w:hAnsi="宋体" w:cs="宋体"/>
          <w:color w:val="auto"/>
          <w:kern w:val="0"/>
          <w:sz w:val="18"/>
          <w:szCs w:val="24"/>
          <w:lang w:val="zh-CN"/>
        </w:rPr>
        <w:t>万元；完成了首次限制性股票激励第二期解除限售工作，为</w:t>
      </w:r>
      <w:r>
        <w:rPr>
          <w:rFonts w:hint="default" w:eastAsia="Times New Roman"/>
          <w:color w:val="auto"/>
          <w:kern w:val="0"/>
          <w:sz w:val="18"/>
          <w:szCs w:val="24"/>
          <w:lang w:val="zh-CN"/>
        </w:rPr>
        <w:t>36</w:t>
      </w:r>
      <w:r>
        <w:rPr>
          <w:rFonts w:hint="eastAsia" w:ascii="宋体" w:hAnsi="宋体" w:cs="宋体"/>
          <w:color w:val="auto"/>
          <w:kern w:val="0"/>
          <w:sz w:val="18"/>
          <w:szCs w:val="24"/>
          <w:lang w:val="zh-CN"/>
        </w:rPr>
        <w:t>名骨干人员解除限售股票；调整了</w:t>
      </w:r>
      <w:r>
        <w:rPr>
          <w:rFonts w:hint="default" w:eastAsia="Times New Roman"/>
          <w:color w:val="auto"/>
          <w:kern w:val="0"/>
          <w:sz w:val="18"/>
          <w:szCs w:val="24"/>
          <w:lang w:val="zh-CN"/>
        </w:rPr>
        <w:t>2020</w:t>
      </w:r>
      <w:r>
        <w:rPr>
          <w:rFonts w:hint="eastAsia" w:ascii="宋体" w:hAnsi="宋体" w:cs="宋体"/>
          <w:color w:val="auto"/>
          <w:kern w:val="0"/>
          <w:sz w:val="18"/>
          <w:szCs w:val="24"/>
          <w:lang w:val="zh-CN"/>
        </w:rPr>
        <w:t>年股权激励公司层面考核指标。</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（五）加快更新换代智能化装备，募投项目达到预期使用状态</w:t>
      </w:r>
    </w:p>
    <w:p>
      <w:pPr>
        <w:autoSpaceDE w:val="0"/>
        <w:autoSpaceDN w:val="0"/>
        <w:adjustRightInd w:val="0"/>
        <w:spacing w:before="0" w:after="0"/>
        <w:ind w:firstLine="480"/>
        <w:rPr>
          <w:rFonts w:hint="default" w:cs="宋体"/>
          <w:color w:val="auto"/>
          <w:kern w:val="0"/>
          <w:sz w:val="18"/>
          <w:szCs w:val="18"/>
          <w:lang w:val="zh-CN"/>
        </w:rPr>
      </w:pPr>
      <w:r>
        <w:rPr>
          <w:rFonts w:hint="default" w:eastAsia="Times New Roman"/>
          <w:color w:val="auto"/>
          <w:kern w:val="0"/>
          <w:sz w:val="18"/>
          <w:szCs w:val="24"/>
          <w:lang w:val="zh-CN"/>
        </w:rPr>
        <w:t>2020</w:t>
      </w:r>
      <w:r>
        <w:rPr>
          <w:rFonts w:hint="eastAsia" w:ascii="宋体" w:hAnsi="宋体" w:cs="宋体"/>
          <w:color w:val="auto"/>
          <w:kern w:val="0"/>
          <w:sz w:val="18"/>
          <w:szCs w:val="24"/>
          <w:lang w:val="zh-CN"/>
        </w:rPr>
        <w:t>年公司投资1165万元，购置了各类生产加工自动化、智能化设备</w:t>
      </w:r>
      <w:r>
        <w:rPr>
          <w:rFonts w:hint="default" w:cs="宋体"/>
          <w:color w:val="auto"/>
          <w:kern w:val="0"/>
          <w:sz w:val="18"/>
          <w:szCs w:val="24"/>
          <w:lang w:val="zh-CN"/>
        </w:rPr>
        <w:t>55</w:t>
      </w:r>
      <w:r>
        <w:rPr>
          <w:rFonts w:hint="eastAsia" w:ascii="宋体" w:hAnsi="宋体" w:cs="宋体"/>
          <w:color w:val="auto"/>
          <w:kern w:val="0"/>
          <w:sz w:val="18"/>
          <w:szCs w:val="24"/>
          <w:lang w:val="zh-CN"/>
        </w:rPr>
        <w:t>台套，更新改造了落后的生产线及老旧加工设备；结合公司经营实际需要及时对首次公开发行股票募集资金投资项目结项并将节余募集资金永久补充流动资金，三个募投项目均已验收投产，符合各项环保要求，达到预期使用状态。</w:t>
      </w:r>
      <w:r>
        <w:rPr>
          <w:rFonts w:hint="eastAsia" w:ascii="宋体" w:hAnsi="宋体" w:cs="宋体"/>
          <w:color w:val="auto"/>
          <w:kern w:val="0"/>
          <w:sz w:val="18"/>
          <w:szCs w:val="18"/>
          <w:lang w:val="zh-CN"/>
        </w:rPr>
        <w:t>公司于</w:t>
      </w:r>
      <w:r>
        <w:rPr>
          <w:rFonts w:hint="default" w:eastAsia="Times New Roman"/>
          <w:color w:val="auto"/>
          <w:kern w:val="0"/>
          <w:sz w:val="18"/>
          <w:szCs w:val="18"/>
          <w:lang w:val="zh-CN"/>
        </w:rPr>
        <w:t>2019</w:t>
      </w:r>
      <w:r>
        <w:rPr>
          <w:rFonts w:hint="eastAsia" w:ascii="宋体" w:hAnsi="宋体" w:cs="宋体"/>
          <w:color w:val="auto"/>
          <w:kern w:val="0"/>
          <w:sz w:val="18"/>
          <w:szCs w:val="18"/>
          <w:lang w:val="zh-CN"/>
        </w:rPr>
        <w:t>年</w:t>
      </w:r>
      <w:r>
        <w:rPr>
          <w:rFonts w:hint="default"/>
          <w:color w:val="auto"/>
          <w:kern w:val="0"/>
          <w:sz w:val="18"/>
          <w:szCs w:val="18"/>
          <w:lang w:val="zh-CN"/>
        </w:rPr>
        <w:t>5</w:t>
      </w:r>
      <w:r>
        <w:rPr>
          <w:rFonts w:hint="eastAsia" w:ascii="宋体" w:hAnsi="宋体" w:cs="宋体"/>
          <w:color w:val="auto"/>
          <w:kern w:val="0"/>
          <w:sz w:val="18"/>
          <w:szCs w:val="18"/>
          <w:lang w:val="zh-CN"/>
        </w:rPr>
        <w:t>月建设完成的新型阀门建设项目全面投产，开始为汽车、农机行业提供配件铸造产品，营业收入从2019年的无收入增至2020年的</w:t>
      </w:r>
      <w:r>
        <w:rPr>
          <w:rFonts w:hint="default" w:eastAsia="Times New Roman"/>
          <w:color w:val="auto"/>
          <w:kern w:val="0"/>
          <w:sz w:val="18"/>
          <w:szCs w:val="18"/>
          <w:lang w:val="zh-CN"/>
        </w:rPr>
        <w:t>19,097,638.60</w:t>
      </w:r>
      <w:r>
        <w:rPr>
          <w:rFonts w:hint="eastAsia" w:ascii="宋体" w:hAnsi="宋体" w:cs="宋体"/>
          <w:color w:val="auto"/>
          <w:kern w:val="0"/>
          <w:sz w:val="18"/>
          <w:szCs w:val="18"/>
          <w:lang w:val="zh-CN"/>
        </w:rPr>
        <w:t>元，并在不断开拓客户资源，提升产品质量、技术工艺水平，创造新的利润增长点和竞争力。</w:t>
      </w:r>
    </w:p>
    <w:p>
      <w:pPr>
        <w:autoSpaceDE w:val="0"/>
        <w:autoSpaceDN w:val="0"/>
        <w:adjustRightInd w:val="0"/>
        <w:ind w:firstLine="360"/>
        <w:jc w:val="left"/>
        <w:rPr>
          <w:rFonts w:hint="default" w:eastAsia="Times New Roman"/>
          <w:color w:val="auto"/>
          <w:kern w:val="0"/>
          <w:sz w:val="18"/>
          <w:szCs w:val="24"/>
          <w:lang w:val="zh-CN"/>
        </w:rPr>
      </w:pPr>
      <w:r>
        <w:rPr>
          <w:rFonts w:hint="eastAsia" w:ascii="宋体" w:hAnsi="宋体" w:cs="宋体"/>
          <w:color w:val="auto"/>
          <w:kern w:val="0"/>
          <w:sz w:val="18"/>
          <w:szCs w:val="24"/>
          <w:lang w:val="zh-CN"/>
        </w:rPr>
        <w:t>（六）</w:t>
      </w:r>
      <w:r>
        <w:rPr>
          <w:rFonts w:hint="default" w:eastAsia="Times New Roman"/>
          <w:color w:val="auto"/>
          <w:kern w:val="0"/>
          <w:sz w:val="18"/>
          <w:szCs w:val="24"/>
          <w:lang w:val="zh-CN"/>
        </w:rPr>
        <w:t xml:space="preserve"> </w:t>
      </w:r>
      <w:r>
        <w:rPr>
          <w:rFonts w:hint="eastAsia" w:ascii="宋体" w:hAnsi="宋体" w:cs="宋体"/>
          <w:color w:val="auto"/>
          <w:kern w:val="0"/>
          <w:sz w:val="18"/>
          <w:szCs w:val="24"/>
          <w:lang w:val="zh-CN"/>
        </w:rPr>
        <w:t>落实安全生产责任，查处违规违纪行为</w:t>
      </w:r>
    </w:p>
    <w:p>
      <w:pPr>
        <w:autoSpaceDE w:val="0"/>
        <w:autoSpaceDN w:val="0"/>
        <w:adjustRightInd w:val="0"/>
        <w:ind w:firstLine="360"/>
        <w:jc w:val="left"/>
        <w:rPr>
          <w:rFonts w:hint="default" w:cs="宋体"/>
          <w:color w:val="auto"/>
          <w:kern w:val="0"/>
          <w:sz w:val="18"/>
          <w:szCs w:val="24"/>
          <w:lang w:val="zh-CN"/>
        </w:rPr>
      </w:pPr>
      <w:r>
        <w:rPr>
          <w:rFonts w:hint="eastAsia" w:ascii="宋体" w:hAnsi="宋体" w:cs="宋体"/>
          <w:color w:val="auto"/>
          <w:kern w:val="0"/>
          <w:sz w:val="18"/>
          <w:szCs w:val="24"/>
          <w:lang w:val="zh-CN"/>
        </w:rPr>
        <w:t>公司组织落实了安全生产、职业健康、劳动防护及环境治理的三级管理责任状和考核激励机制，每周现场安全生产及</w:t>
      </w:r>
      <w:r>
        <w:rPr>
          <w:rFonts w:hint="default" w:eastAsia="Times New Roman"/>
          <w:color w:val="auto"/>
          <w:kern w:val="0"/>
          <w:sz w:val="18"/>
          <w:szCs w:val="24"/>
          <w:lang w:val="zh-CN"/>
        </w:rPr>
        <w:t>5S</w:t>
      </w:r>
      <w:r>
        <w:rPr>
          <w:rFonts w:hint="eastAsia" w:ascii="宋体" w:hAnsi="宋体" w:cs="宋体"/>
          <w:color w:val="auto"/>
          <w:kern w:val="0"/>
          <w:sz w:val="18"/>
          <w:szCs w:val="24"/>
          <w:lang w:val="zh-CN"/>
        </w:rPr>
        <w:t>管理监督检查，及时发现问题，排除安全隐患。审计监督调查了涉及管理、质量、安全、违规违纪等给公司造成经济损失的责任事故，通报处罚责任人员，表彰奖励工作业绩优秀的员工。</w:t>
      </w:r>
    </w:p>
    <w:p>
      <w:pPr>
        <w:pStyle w:val="7"/>
        <w:outlineLvl w:val="1"/>
        <w:rPr>
          <w:rFonts w:hint="default"/>
          <w:sz w:val="24"/>
          <w:szCs w:val="24"/>
        </w:rPr>
      </w:pPr>
      <w:r>
        <w:rPr>
          <w:rFonts w:hint="eastAsia"/>
          <w:sz w:val="24"/>
          <w:szCs w:val="24"/>
        </w:rPr>
        <w:t>二、主营业务分析</w:t>
      </w:r>
    </w:p>
    <w:p>
      <w:pPr>
        <w:pStyle w:val="8"/>
        <w:outlineLvl w:val="2"/>
        <w:rPr>
          <w:rFonts w:hint="default"/>
          <w:sz w:val="21"/>
          <w:szCs w:val="24"/>
        </w:rPr>
      </w:pPr>
      <w:r>
        <w:rPr>
          <w:rFonts w:hint="default"/>
          <w:sz w:val="21"/>
          <w:szCs w:val="24"/>
        </w:rPr>
        <w:t>1</w:t>
      </w:r>
      <w:r>
        <w:rPr>
          <w:rFonts w:hint="eastAsia"/>
          <w:sz w:val="21"/>
          <w:szCs w:val="24"/>
        </w:rPr>
        <w:t>、概述</w:t>
      </w:r>
    </w:p>
    <w:p>
      <w:pPr>
        <w:jc w:val="left"/>
        <w:rPr>
          <w:rFonts w:hint="default"/>
          <w:sz w:val="18"/>
          <w:szCs w:val="24"/>
        </w:rPr>
      </w:pPr>
      <w:r>
        <w:rPr>
          <w:rFonts w:hint="eastAsia"/>
          <w:sz w:val="18"/>
          <w:szCs w:val="24"/>
        </w:rPr>
        <w:t>参见</w:t>
      </w:r>
      <w:r>
        <w:rPr>
          <w:rFonts w:hint="default"/>
          <w:sz w:val="18"/>
          <w:szCs w:val="24"/>
        </w:rPr>
        <w:t>“</w:t>
      </w:r>
      <w:r>
        <w:rPr>
          <w:rFonts w:hint="eastAsia"/>
          <w:sz w:val="18"/>
          <w:szCs w:val="24"/>
        </w:rPr>
        <w:t>经营情况讨论与分析</w:t>
      </w:r>
      <w:r>
        <w:rPr>
          <w:rFonts w:hint="default"/>
          <w:sz w:val="18"/>
          <w:szCs w:val="24"/>
        </w:rPr>
        <w:t>”</w:t>
      </w:r>
      <w:r>
        <w:rPr>
          <w:rFonts w:hint="eastAsia"/>
          <w:sz w:val="18"/>
          <w:szCs w:val="24"/>
        </w:rPr>
        <w:t>中的</w:t>
      </w:r>
      <w:r>
        <w:rPr>
          <w:rFonts w:hint="default"/>
          <w:sz w:val="18"/>
          <w:szCs w:val="24"/>
        </w:rPr>
        <w:t>“</w:t>
      </w:r>
      <w:r>
        <w:rPr>
          <w:rFonts w:hint="eastAsia"/>
          <w:sz w:val="18"/>
          <w:szCs w:val="24"/>
        </w:rPr>
        <w:t>一、概述</w:t>
      </w:r>
      <w:r>
        <w:rPr>
          <w:rFonts w:hint="default"/>
          <w:sz w:val="18"/>
          <w:szCs w:val="24"/>
        </w:rPr>
        <w:t>”</w:t>
      </w:r>
      <w:r>
        <w:rPr>
          <w:rFonts w:hint="eastAsia"/>
          <w:sz w:val="18"/>
          <w:szCs w:val="24"/>
        </w:rPr>
        <w:t>相关内容。</w:t>
      </w:r>
    </w:p>
    <w:p>
      <w:pPr>
        <w:pStyle w:val="8"/>
        <w:outlineLvl w:val="2"/>
        <w:rPr>
          <w:rFonts w:hint="default"/>
          <w:sz w:val="21"/>
          <w:szCs w:val="24"/>
        </w:rPr>
      </w:pPr>
      <w:r>
        <w:rPr>
          <w:rFonts w:hint="default"/>
          <w:sz w:val="21"/>
          <w:szCs w:val="24"/>
        </w:rPr>
        <w:t>2</w:t>
      </w:r>
      <w:r>
        <w:rPr>
          <w:rFonts w:hint="eastAsia"/>
          <w:sz w:val="21"/>
          <w:szCs w:val="24"/>
        </w:rPr>
        <w:t>、收入与成本</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）营业收入构成</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占营业收入比重</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占营业收入比重</w:t>
            </w: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营业收入合计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344,590,024.63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right"/>
              <w:rPr>
                <w:rFonts w:hint="default"/>
                <w:sz w:val="18"/>
                <w:szCs w:val="24"/>
              </w:rPr>
            </w:pPr>
            <w:r>
              <w:rPr>
                <w:rFonts w:hint="default"/>
                <w:sz w:val="18"/>
                <w:szCs w:val="24"/>
              </w:rPr>
              <w:t>100%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355,225,906.74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right"/>
              <w:rPr>
                <w:rFonts w:hint="default"/>
                <w:sz w:val="18"/>
                <w:szCs w:val="24"/>
              </w:rPr>
            </w:pPr>
            <w:r>
              <w:rPr>
                <w:rFonts w:hint="default"/>
                <w:sz w:val="18"/>
                <w:szCs w:val="24"/>
              </w:rPr>
              <w:t>100%</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分行业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主营业务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343,353,901.86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99.64%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353,276,859.89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99.45%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其他业务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1,236,122.77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0.36%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1,949,046.85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0.55%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分产品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阀门销售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276,069,311.82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299,719,900.54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84.37%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过滤器销售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18,900,753.51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22,479,582.82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阀门零件及管件销售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29,286,197.93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31,077,376.53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汽车配件</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19,097,638.60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其他业务收入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1,236,122.77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0.36%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1,949,046.85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0.55%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分地区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内销收入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68,548,419.01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50,611,543.00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14.25%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出口收入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276,041,605.62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80.11%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302,665,316.89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1,949,046.85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0.55%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）占公司营业收入或营业利润</w:t>
      </w:r>
      <w:r>
        <w:rPr>
          <w:rFonts w:hint="default"/>
          <w:sz w:val="21"/>
          <w:szCs w:val="24"/>
        </w:rPr>
        <w:t>10%</w:t>
      </w:r>
      <w:r>
        <w:rPr>
          <w:rFonts w:hint="eastAsia"/>
          <w:sz w:val="21"/>
          <w:szCs w:val="24"/>
        </w:rPr>
        <w:t>以上的行业、产品或地区情况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单位：元</w:t>
      </w:r>
    </w:p>
    <w:tbl>
      <w:tblPr>
        <w:tblStyle w:val="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gridCol w:w="1366"/>
        <w:gridCol w:w="1366"/>
        <w:gridCol w:w="1367"/>
        <w:gridCol w:w="1367"/>
        <w:gridCol w:w="1367"/>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营业收入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营业成本</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毛利率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营业收入比上年同期增减</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营业成本比上年同期增减</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毛利率比上年同期增减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分行业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主营业务</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343,353,901.86</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225,232,151.08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34.40%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-0.55%</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分产品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阀门销售</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276,069,311.82</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172,367,152.93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37.56%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-9.07%</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分地区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内销收入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68,548,419.01</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52,460,279.52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23.47%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41.78%</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出口收入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276,041,605.62</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172,771,871.57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-8.82%</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0.01%</w:t>
            </w:r>
          </w:p>
        </w:tc>
      </w:tr>
    </w:tbl>
    <w:p>
      <w:pPr>
        <w:jc w:val="left"/>
        <w:rPr>
          <w:rFonts w:hint="default"/>
          <w:sz w:val="18"/>
          <w:szCs w:val="24"/>
        </w:rPr>
      </w:pPr>
      <w:r>
        <w:rPr>
          <w:rFonts w:hint="eastAsia"/>
          <w:sz w:val="18"/>
          <w:szCs w:val="24"/>
        </w:rPr>
        <w:t>公司主营业务数据统计口径在报告期发生调整的情况下，公司最近</w:t>
      </w:r>
      <w:r>
        <w:rPr>
          <w:rFonts w:hint="default"/>
          <w:sz w:val="18"/>
          <w:szCs w:val="24"/>
        </w:rPr>
        <w:t>1</w:t>
      </w:r>
      <w:r>
        <w:rPr>
          <w:rFonts w:hint="eastAsia"/>
          <w:sz w:val="18"/>
          <w:szCs w:val="24"/>
        </w:rPr>
        <w:t>年按报告期末口径调整后的主营业务数据</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）公司实物销售收入是否大于劳务收入</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行业分类</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制造业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销售量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426,884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489,879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生产量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441,552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471,197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库存量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52,058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37,390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39.23%</w:t>
            </w:r>
          </w:p>
        </w:tc>
      </w:tr>
    </w:tbl>
    <w:p>
      <w:pPr>
        <w:jc w:val="left"/>
        <w:rPr>
          <w:rFonts w:hint="default"/>
          <w:sz w:val="18"/>
          <w:szCs w:val="24"/>
        </w:rPr>
      </w:pPr>
      <w:r>
        <w:rPr>
          <w:rFonts w:hint="eastAsia"/>
          <w:sz w:val="18"/>
          <w:szCs w:val="24"/>
        </w:rPr>
        <w:t>相关数据同比发生变动</w:t>
      </w:r>
      <w:r>
        <w:rPr>
          <w:rFonts w:hint="default"/>
          <w:sz w:val="18"/>
          <w:szCs w:val="24"/>
        </w:rPr>
        <w:t>30%</w:t>
      </w:r>
      <w:r>
        <w:rPr>
          <w:rFonts w:hint="eastAsia"/>
          <w:sz w:val="18"/>
          <w:szCs w:val="24"/>
        </w:rPr>
        <w:t>以上的原因说明</w:t>
      </w:r>
    </w:p>
    <w:p>
      <w:pPr>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after="0"/>
        <w:jc w:val="left"/>
        <w:rPr>
          <w:rFonts w:hint="eastAsia" w:ascii="宋体"/>
          <w:sz w:val="18"/>
          <w:szCs w:val="24"/>
          <w:lang w:val="zh-CN"/>
        </w:rPr>
      </w:pPr>
      <w:r>
        <w:rPr>
          <w:rFonts w:hint="eastAsia" w:ascii="宋体"/>
          <w:sz w:val="18"/>
          <w:szCs w:val="24"/>
          <w:lang w:val="zh-CN"/>
        </w:rPr>
        <w:t>库存量同比上升39.23%主要系，国际物流仓位紧张，导致部分库存货滞留。</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）公司已签订的重大销售合同截至本报告期的履行情况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）营业成本构成</w:t>
      </w:r>
    </w:p>
    <w:p>
      <w:pPr>
        <w:jc w:val="left"/>
        <w:rPr>
          <w:rFonts w:hint="default"/>
          <w:sz w:val="18"/>
          <w:szCs w:val="24"/>
        </w:rPr>
      </w:pPr>
      <w:r>
        <w:rPr>
          <w:rFonts w:hint="eastAsia"/>
          <w:sz w:val="18"/>
          <w:szCs w:val="24"/>
        </w:rPr>
        <w:t>产品分类</w:t>
      </w:r>
    </w:p>
    <w:p>
      <w:pPr>
        <w:jc w:val="left"/>
        <w:rPr>
          <w:rFonts w:hint="default"/>
          <w:sz w:val="18"/>
          <w:szCs w:val="24"/>
        </w:rPr>
      </w:pPr>
      <w:r>
        <w:rPr>
          <w:rFonts w:hint="eastAsia"/>
          <w:sz w:val="18"/>
          <w:szCs w:val="24"/>
        </w:rPr>
        <w:t>产品分类</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产品分类</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占营业成本比重</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占营业成本比重</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阀门销售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172,367,152.93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76.53%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189,568,736.16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83.57%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过滤器销售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12,271,681.33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14,102,305.34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阀门零件及管件销售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19,446,606.56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8.63%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22,808,827.86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21,146,710.26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347,138.66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0.15%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9.24%</w:t>
            </w:r>
          </w:p>
        </w:tc>
      </w:tr>
    </w:tbl>
    <w:p>
      <w:pPr>
        <w:jc w:val="left"/>
        <w:rPr>
          <w:rFonts w:hint="default"/>
          <w:sz w:val="18"/>
          <w:szCs w:val="24"/>
        </w:rPr>
      </w:pPr>
      <w:r>
        <w:rPr>
          <w:rFonts w:hint="eastAsia"/>
          <w:sz w:val="18"/>
          <w:szCs w:val="24"/>
        </w:rPr>
        <w:t>说明</w:t>
      </w:r>
    </w:p>
    <w:p>
      <w:pPr>
        <w:jc w:val="left"/>
        <w:rPr>
          <w:rFonts w:hint="default"/>
          <w:sz w:val="18"/>
          <w:szCs w:val="24"/>
        </w:rPr>
      </w:pPr>
      <w:r>
        <w:rPr>
          <w:rFonts w:hint="eastAsia"/>
          <w:sz w:val="18"/>
          <w:szCs w:val="24"/>
        </w:rPr>
        <w:t>无</w:t>
      </w:r>
    </w:p>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）报告期内合并范围是否发生变动</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autoSpaceDE w:val="0"/>
        <w:autoSpaceDN w:val="0"/>
        <w:adjustRightInd w:val="0"/>
        <w:spacing w:before="0" w:after="0"/>
        <w:ind w:firstLine="480"/>
        <w:rPr>
          <w:rFonts w:hint="default" w:eastAsia="Times New Roman"/>
          <w:kern w:val="0"/>
          <w:sz w:val="18"/>
          <w:szCs w:val="24"/>
          <w:lang w:val="zh-CN"/>
        </w:rPr>
      </w:pPr>
      <w:r>
        <w:rPr>
          <w:rFonts w:hint="eastAsia" w:ascii="宋体" w:hAnsi="宋体" w:cs="宋体"/>
          <w:kern w:val="0"/>
          <w:sz w:val="18"/>
          <w:szCs w:val="18"/>
          <w:lang w:val="zh-CN"/>
        </w:rPr>
        <w:t>公司为拓展国际市场业务，在香港设立了</w:t>
      </w:r>
      <w:r>
        <w:rPr>
          <w:rFonts w:hint="default" w:eastAsia="Times New Roman"/>
          <w:kern w:val="0"/>
          <w:sz w:val="18"/>
          <w:szCs w:val="18"/>
          <w:lang w:val="zh-CN"/>
        </w:rPr>
        <w:t>“</w:t>
      </w:r>
      <w:r>
        <w:rPr>
          <w:rFonts w:hint="eastAsia" w:ascii="宋体" w:hAnsi="宋体" w:cs="宋体"/>
          <w:kern w:val="0"/>
          <w:sz w:val="18"/>
          <w:szCs w:val="18"/>
          <w:lang w:val="zh-CN"/>
        </w:rPr>
        <w:t>偉隆（香港）實業有限公司</w:t>
      </w:r>
      <w:r>
        <w:rPr>
          <w:rFonts w:hint="default" w:eastAsia="Times New Roman"/>
          <w:kern w:val="0"/>
          <w:sz w:val="18"/>
          <w:szCs w:val="18"/>
          <w:lang w:val="zh-CN"/>
        </w:rPr>
        <w:t>”</w:t>
      </w:r>
      <w:r>
        <w:rPr>
          <w:rFonts w:hint="eastAsia" w:ascii="宋体" w:hAnsi="宋体" w:cs="宋体"/>
          <w:kern w:val="0"/>
          <w:sz w:val="18"/>
          <w:szCs w:val="18"/>
          <w:lang w:val="zh-CN"/>
        </w:rPr>
        <w:t>；为开拓检测业务成立了</w:t>
      </w:r>
      <w:r>
        <w:rPr>
          <w:rFonts w:hint="default" w:eastAsia="Times New Roman"/>
          <w:kern w:val="0"/>
          <w:sz w:val="18"/>
          <w:szCs w:val="18"/>
          <w:lang w:val="zh-CN"/>
        </w:rPr>
        <w:t>“</w:t>
      </w:r>
      <w:r>
        <w:rPr>
          <w:rFonts w:hint="eastAsia" w:ascii="宋体" w:hAnsi="宋体" w:cs="宋体"/>
          <w:kern w:val="0"/>
          <w:sz w:val="18"/>
          <w:szCs w:val="18"/>
          <w:lang w:val="zh-CN"/>
        </w:rPr>
        <w:t>卓信检测技术公司</w:t>
      </w:r>
      <w:r>
        <w:rPr>
          <w:rFonts w:hint="default" w:eastAsia="Times New Roman"/>
          <w:kern w:val="0"/>
          <w:sz w:val="18"/>
          <w:szCs w:val="18"/>
          <w:lang w:val="zh-CN"/>
        </w:rPr>
        <w:t>”</w:t>
      </w:r>
      <w:r>
        <w:rPr>
          <w:rFonts w:hint="eastAsia" w:ascii="宋体" w:hAnsi="宋体" w:cs="宋体"/>
          <w:kern w:val="0"/>
          <w:sz w:val="18"/>
          <w:szCs w:val="18"/>
          <w:lang w:val="zh-CN"/>
        </w:rPr>
        <w:t>；</w:t>
      </w:r>
      <w:r>
        <w:rPr>
          <w:rFonts w:hint="default" w:eastAsia="Times New Roman"/>
          <w:color w:val="auto"/>
          <w:kern w:val="0"/>
          <w:sz w:val="18"/>
          <w:szCs w:val="24"/>
          <w:lang w:val="zh-CN"/>
        </w:rPr>
        <w:t>为整合公司内部资源，提高公司运营效率，设立了“即聚机电有限公司”，完成了不动产资产划转业务。</w:t>
      </w:r>
    </w:p>
    <w:p>
      <w:pPr>
        <w:pStyle w:val="8"/>
        <w:outlineLvl w:val="3"/>
        <w:rPr>
          <w:rFonts w:hint="default"/>
          <w:sz w:val="21"/>
          <w:szCs w:val="24"/>
        </w:rPr>
      </w:pPr>
      <w:r>
        <w:rPr>
          <w:rFonts w:hint="eastAsia"/>
          <w:sz w:val="21"/>
          <w:szCs w:val="24"/>
        </w:rPr>
        <w:t>（</w:t>
      </w:r>
      <w:r>
        <w:rPr>
          <w:rFonts w:hint="default"/>
          <w:sz w:val="21"/>
          <w:szCs w:val="24"/>
        </w:rPr>
        <w:t>7</w:t>
      </w:r>
      <w:r>
        <w:rPr>
          <w:rFonts w:hint="eastAsia"/>
          <w:sz w:val="21"/>
          <w:szCs w:val="24"/>
        </w:rPr>
        <w:t>）公司报告期内业务、产品或服务发生重大变化或调整有关情况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8</w:t>
      </w:r>
      <w:r>
        <w:rPr>
          <w:rFonts w:hint="eastAsia"/>
          <w:sz w:val="21"/>
          <w:szCs w:val="24"/>
        </w:rPr>
        <w:t>）主要销售客户和主要供应商情况</w:t>
      </w:r>
    </w:p>
    <w:p>
      <w:pPr>
        <w:jc w:val="left"/>
        <w:rPr>
          <w:rFonts w:hint="default"/>
          <w:sz w:val="18"/>
          <w:szCs w:val="24"/>
        </w:rPr>
      </w:pPr>
      <w:r>
        <w:rPr>
          <w:rFonts w:hint="eastAsia"/>
          <w:sz w:val="18"/>
          <w:szCs w:val="24"/>
        </w:rPr>
        <w:t>公司主要销售客户情况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257"/>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前五名客户合计销售金额（元）</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73,070,316.16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前五名客户合计销售金额占年度销售总额比例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前五名客户销售额中关联方销售额占年度销售总额比例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bl>
    <w:p>
      <w:pPr>
        <w:jc w:val="left"/>
        <w:rPr>
          <w:rFonts w:hint="default"/>
          <w:sz w:val="18"/>
          <w:szCs w:val="24"/>
        </w:rPr>
      </w:pPr>
      <w:r>
        <w:rPr>
          <w:rFonts w:hint="eastAsia"/>
          <w:sz w:val="18"/>
          <w:szCs w:val="24"/>
        </w:rPr>
        <w:t>公司前</w:t>
      </w:r>
      <w:r>
        <w:rPr>
          <w:rFonts w:hint="default"/>
          <w:sz w:val="18"/>
          <w:szCs w:val="24"/>
        </w:rPr>
        <w:t>5</w:t>
      </w:r>
      <w:r>
        <w:rPr>
          <w:rFonts w:hint="eastAsia"/>
          <w:sz w:val="18"/>
          <w:szCs w:val="24"/>
        </w:rPr>
        <w:t>大客户资料</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802"/>
        <w:gridCol w:w="3301"/>
        <w:gridCol w:w="2322"/>
        <w:gridCol w:w="3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序号</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客户名称</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销售额（元）</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占年度销售总额比例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客户一</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18,470,386.04</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客户二</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15,978,495.27</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客户三</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14,560,771.39</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客户四</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12,407,382.23</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客户五</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11,653,281.23</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73,070,316.16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21.21%</w:t>
            </w:r>
          </w:p>
        </w:tc>
      </w:tr>
    </w:tbl>
    <w:p>
      <w:pPr>
        <w:jc w:val="left"/>
        <w:rPr>
          <w:rFonts w:hint="default"/>
          <w:sz w:val="18"/>
          <w:szCs w:val="24"/>
        </w:rPr>
      </w:pPr>
      <w:r>
        <w:rPr>
          <w:rFonts w:hint="eastAsia"/>
          <w:sz w:val="18"/>
          <w:szCs w:val="24"/>
        </w:rPr>
        <w:t>主要客户其他情况说明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公司主要供应商情况</w:t>
      </w:r>
    </w:p>
    <w:tbl>
      <w:tblPr>
        <w:tblStyle w:val="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7"/>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前五名供应商合计采购金额（元）</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33,815,395.16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前五名供应商合计采购金额占年度采购总额比例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前五名供应商采购额中关联方采购额占年度采购总额比例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bl>
    <w:p>
      <w:pPr>
        <w:jc w:val="left"/>
        <w:rPr>
          <w:rFonts w:hint="default"/>
          <w:sz w:val="18"/>
          <w:szCs w:val="24"/>
        </w:rPr>
      </w:pPr>
      <w:r>
        <w:rPr>
          <w:rFonts w:hint="eastAsia"/>
          <w:sz w:val="18"/>
          <w:szCs w:val="24"/>
        </w:rPr>
        <w:t>公司前</w:t>
      </w:r>
      <w:r>
        <w:rPr>
          <w:rFonts w:hint="default"/>
          <w:sz w:val="18"/>
          <w:szCs w:val="24"/>
        </w:rPr>
        <w:t>5</w:t>
      </w:r>
      <w:r>
        <w:rPr>
          <w:rFonts w:hint="eastAsia"/>
          <w:sz w:val="18"/>
          <w:szCs w:val="24"/>
        </w:rPr>
        <w:t>名供应商资料</w:t>
      </w:r>
    </w:p>
    <w:tbl>
      <w:tblPr>
        <w:tblStyle w:val="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3168"/>
        <w:gridCol w:w="2322"/>
        <w:gridCol w:w="3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序号</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供应商名称</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采购额（元）</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占年度采购总额比例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青岛大宇再生资源有限公司</w:t>
            </w:r>
            <w:r>
              <w:rPr>
                <w:rFonts w:hint="default"/>
                <w:sz w:val="18"/>
                <w:szCs w:val="24"/>
              </w:rPr>
              <w:t xml:space="preserve">    </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13,130,063.47</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莱州市源良机械厂</w:t>
            </w:r>
            <w:r>
              <w:rPr>
                <w:rFonts w:hint="default"/>
                <w:sz w:val="18"/>
                <w:szCs w:val="24"/>
              </w:rPr>
              <w:t xml:space="preserve">      </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6,293,353.72</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莱州市隆顺机械有限公司</w:t>
            </w:r>
            <w:r>
              <w:rPr>
                <w:rFonts w:hint="default"/>
                <w:sz w:val="18"/>
                <w:szCs w:val="24"/>
              </w:rPr>
              <w:t xml:space="preserve">      </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6,254,773.74</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青岛富尔达标准件有限公司</w:t>
            </w:r>
            <w:r>
              <w:rPr>
                <w:rFonts w:hint="default"/>
                <w:sz w:val="18"/>
                <w:szCs w:val="24"/>
              </w:rPr>
              <w:t xml:space="preserve">       </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4,111,565.76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5</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莱州市德新机械有限公司</w:t>
            </w:r>
            <w:r>
              <w:rPr>
                <w:rFonts w:hint="default"/>
                <w:sz w:val="18"/>
                <w:szCs w:val="24"/>
              </w:rPr>
              <w:t xml:space="preserve">    </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4,025,638.47</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33,815,395.16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14.19%</w:t>
            </w:r>
          </w:p>
        </w:tc>
      </w:tr>
    </w:tbl>
    <w:p>
      <w:pPr>
        <w:jc w:val="left"/>
        <w:rPr>
          <w:rFonts w:hint="default"/>
          <w:sz w:val="18"/>
          <w:szCs w:val="24"/>
        </w:rPr>
      </w:pPr>
      <w:r>
        <w:rPr>
          <w:rFonts w:hint="eastAsia"/>
          <w:sz w:val="18"/>
          <w:szCs w:val="24"/>
        </w:rPr>
        <w:t>主要供应商其他情况说明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3</w:t>
      </w:r>
      <w:r>
        <w:rPr>
          <w:rFonts w:hint="eastAsia"/>
          <w:sz w:val="21"/>
          <w:szCs w:val="24"/>
        </w:rPr>
        <w:t>、费用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5"/>
        <w:gridCol w:w="1637"/>
        <w:gridCol w:w="1637"/>
        <w:gridCol w:w="1461"/>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同比增减</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重大变动说明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销售费用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20,821,013.58</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29,360,618.97</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-29.09%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管理费用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23,257,512.43</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23,740,598.22</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财务费用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1,789,082.58</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-432,163.70</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-513.98%</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ascii="宋体" w:hAnsi="宋体" w:cs="宋体"/>
                <w:color w:val="000000"/>
                <w:kern w:val="0"/>
                <w:sz w:val="18"/>
                <w:szCs w:val="18"/>
                <w:lang w:bidi="ar"/>
              </w:rPr>
              <w:t>主要系汇兑损失及借款利息增加所致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研发费用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21,237,919.68</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21,350,293.92</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-0.53%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bl>
    <w:p>
      <w:pPr>
        <w:pStyle w:val="8"/>
        <w:outlineLvl w:val="2"/>
        <w:rPr>
          <w:rFonts w:hint="default"/>
          <w:sz w:val="21"/>
          <w:szCs w:val="24"/>
        </w:rPr>
      </w:pPr>
      <w:r>
        <w:rPr>
          <w:rFonts w:hint="default"/>
          <w:sz w:val="21"/>
          <w:szCs w:val="24"/>
        </w:rPr>
        <w:t>4</w:t>
      </w:r>
      <w:r>
        <w:rPr>
          <w:rFonts w:hint="eastAsia"/>
          <w:sz w:val="21"/>
          <w:szCs w:val="24"/>
        </w:rPr>
        <w:t>、研发投入</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spacing w:before="0" w:after="0"/>
        <w:ind w:firstLine="360"/>
        <w:jc w:val="left"/>
        <w:rPr>
          <w:rFonts w:hint="default" w:eastAsia="Times New Roman"/>
          <w:kern w:val="0"/>
          <w:sz w:val="18"/>
          <w:szCs w:val="24"/>
          <w:lang w:val="zh-CN"/>
        </w:rPr>
      </w:pPr>
      <w:r>
        <w:rPr>
          <w:rFonts w:hint="eastAsia" w:ascii="宋体" w:hAnsi="宋体" w:cs="宋体"/>
          <w:kern w:val="0"/>
          <w:sz w:val="18"/>
          <w:szCs w:val="24"/>
          <w:lang w:val="zh-CN"/>
        </w:rPr>
        <w:t>为满足公司经营发展的需求，公司不断加大技术人才队伍建设与培养力度，积极招聘中高级技术人才，购置先进的研发设备，开展校企及科研机构合作交流，不断提高公司研究开发和技术创新的水平，提高产品的科技含量和附加值，增强公司的竞争能力。截至目前，公司及子公司现拥有</w:t>
      </w:r>
      <w:r>
        <w:rPr>
          <w:rFonts w:hint="default" w:eastAsia="Times New Roman"/>
          <w:kern w:val="0"/>
          <w:sz w:val="18"/>
          <w:szCs w:val="24"/>
          <w:lang w:val="zh-CN"/>
        </w:rPr>
        <w:t>23</w:t>
      </w:r>
      <w:r>
        <w:rPr>
          <w:rFonts w:hint="eastAsia" w:ascii="宋体" w:hAnsi="宋体" w:cs="宋体"/>
          <w:kern w:val="0"/>
          <w:sz w:val="18"/>
          <w:szCs w:val="24"/>
          <w:lang w:val="zh-CN"/>
        </w:rPr>
        <w:t>项专利，其中</w:t>
      </w:r>
      <w:r>
        <w:rPr>
          <w:rFonts w:hint="default" w:eastAsia="Times New Roman"/>
          <w:kern w:val="0"/>
          <w:sz w:val="18"/>
          <w:szCs w:val="24"/>
          <w:lang w:val="zh-CN"/>
        </w:rPr>
        <w:t>2</w:t>
      </w:r>
      <w:r>
        <w:rPr>
          <w:rFonts w:hint="eastAsia" w:ascii="宋体" w:hAnsi="宋体" w:cs="宋体"/>
          <w:kern w:val="0"/>
          <w:sz w:val="18"/>
          <w:szCs w:val="24"/>
          <w:lang w:val="zh-CN"/>
        </w:rPr>
        <w:t>项为国内发明专利，其余为国内实用新型专利。</w:t>
      </w:r>
    </w:p>
    <w:p>
      <w:pPr>
        <w:jc w:val="left"/>
        <w:rPr>
          <w:rFonts w:hint="default"/>
          <w:sz w:val="18"/>
          <w:szCs w:val="24"/>
        </w:rPr>
      </w:pPr>
      <w:r>
        <w:rPr>
          <w:rFonts w:hint="eastAsia"/>
          <w:sz w:val="18"/>
          <w:szCs w:val="24"/>
        </w:rPr>
        <w:t>公司研发投入情况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研发人员数量（人）</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研发人员数量占比</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8.41%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研发投入金额（元）</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21,237,919.68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21,350,293.92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研发投入占营业收入比例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研发投入资本化的金额（元）</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资本化研发投入占研发投入的比例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bl>
    <w:p>
      <w:pPr>
        <w:jc w:val="left"/>
        <w:rPr>
          <w:rFonts w:hint="default"/>
          <w:sz w:val="18"/>
          <w:szCs w:val="24"/>
        </w:rPr>
      </w:pPr>
      <w:r>
        <w:rPr>
          <w:rFonts w:hint="eastAsia"/>
          <w:sz w:val="18"/>
          <w:szCs w:val="24"/>
        </w:rPr>
        <w:t>研发投入总额占营业收入的比重较上年发生显著变化的原因</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研发投入资本化率大幅变动的原因及其合理性说明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5</w:t>
      </w:r>
      <w:r>
        <w:rPr>
          <w:rFonts w:hint="eastAsia"/>
          <w:sz w:val="21"/>
          <w:szCs w:val="24"/>
        </w:rPr>
        <w:t>、现金流</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404,076,140.79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415,790,283.88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314,130,011.04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282,867,566.85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89,946,129.75</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132,922,717.03</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739,608,711.16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791,720,294.43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837,632,618.50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944,245,243.54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-98,023,907.34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-152,524,949.11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51,191,019.10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53,292,583.40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23,525,000.00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-2,101,564.30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-23,525,000.00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现金及现金等价物净增加额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-10,965,809.17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-44,270,506.98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-75.23%</w:t>
            </w:r>
          </w:p>
        </w:tc>
      </w:tr>
    </w:tbl>
    <w:p>
      <w:pPr>
        <w:jc w:val="left"/>
        <w:rPr>
          <w:rFonts w:hint="default"/>
          <w:sz w:val="18"/>
          <w:szCs w:val="24"/>
        </w:rPr>
      </w:pPr>
      <w:r>
        <w:rPr>
          <w:rFonts w:hint="eastAsia"/>
          <w:sz w:val="18"/>
          <w:szCs w:val="24"/>
        </w:rPr>
        <w:t>相关数据同比发生重大变动的主要影响因素说明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rPr>
          <w:rFonts w:hint="default" w:eastAsia="Times New Roman"/>
          <w:color w:val="000000"/>
          <w:sz w:val="18"/>
          <w:szCs w:val="24"/>
        </w:rPr>
      </w:pPr>
      <w:r>
        <w:rPr>
          <w:rFonts w:hint="eastAsia" w:ascii="宋体" w:hAnsi="宋体"/>
          <w:color w:val="000000"/>
          <w:sz w:val="18"/>
          <w:szCs w:val="24"/>
        </w:rPr>
        <w:t>经营活动产生的现金流量净额较上期下降</w:t>
      </w:r>
      <w:r>
        <w:rPr>
          <w:rFonts w:hint="default" w:eastAsia="Times New Roman"/>
          <w:color w:val="000000"/>
          <w:sz w:val="18"/>
          <w:szCs w:val="24"/>
        </w:rPr>
        <w:t>32.33%</w:t>
      </w:r>
      <w:r>
        <w:rPr>
          <w:rFonts w:hint="eastAsia" w:ascii="宋体" w:hAnsi="宋体"/>
          <w:color w:val="000000"/>
          <w:sz w:val="18"/>
          <w:szCs w:val="24"/>
          <w:lang w:val="zh-CN"/>
        </w:rPr>
        <w:t>，主要系</w:t>
      </w:r>
      <w:r>
        <w:rPr>
          <w:rFonts w:hint="eastAsia" w:ascii="宋体" w:hAnsi="宋体"/>
          <w:color w:val="000000"/>
          <w:sz w:val="18"/>
          <w:szCs w:val="24"/>
        </w:rPr>
        <w:t>收到的税费返还减少，购买商品劳务支付的现金流增加所致</w:t>
      </w:r>
      <w:r>
        <w:rPr>
          <w:rFonts w:hint="eastAsia" w:ascii="宋体" w:hAnsi="宋体"/>
          <w:color w:val="000000"/>
          <w:sz w:val="18"/>
          <w:szCs w:val="24"/>
          <w:lang w:val="zh-CN"/>
        </w:rPr>
        <w:t>。</w:t>
      </w:r>
    </w:p>
    <w:p>
      <w:pPr>
        <w:rPr>
          <w:rFonts w:hint="default"/>
          <w:sz w:val="18"/>
          <w:szCs w:val="24"/>
        </w:rPr>
      </w:pPr>
      <w:r>
        <w:rPr>
          <w:rFonts w:hint="eastAsia" w:ascii="宋体" w:hAnsi="宋体"/>
          <w:color w:val="000000"/>
          <w:sz w:val="18"/>
          <w:szCs w:val="24"/>
        </w:rPr>
        <w:t>投资活动产生的现金流量净额较增加</w:t>
      </w:r>
      <w:r>
        <w:rPr>
          <w:rFonts w:hint="default" w:eastAsia="Times New Roman"/>
          <w:color w:val="000000"/>
          <w:sz w:val="18"/>
          <w:szCs w:val="24"/>
        </w:rPr>
        <w:t>35.73%</w:t>
      </w:r>
      <w:r>
        <w:rPr>
          <w:rFonts w:hint="eastAsia" w:ascii="宋体" w:hAnsi="宋体"/>
          <w:color w:val="000000"/>
          <w:sz w:val="18"/>
          <w:szCs w:val="24"/>
          <w:lang w:val="zh-CN"/>
        </w:rPr>
        <w:t>，主要系项目投资减少，</w:t>
      </w:r>
      <w:r>
        <w:rPr>
          <w:rFonts w:hint="eastAsia" w:ascii="宋体" w:hAnsi="宋体"/>
          <w:color w:val="000000"/>
          <w:sz w:val="18"/>
          <w:szCs w:val="24"/>
        </w:rPr>
        <w:t>购建固定资产、无形资产和其他长期资产支付的现金减少所致。</w:t>
      </w:r>
    </w:p>
    <w:p>
      <w:pPr>
        <w:jc w:val="left"/>
        <w:rPr>
          <w:rFonts w:hint="default"/>
          <w:sz w:val="18"/>
          <w:szCs w:val="24"/>
        </w:rPr>
      </w:pPr>
      <w:r>
        <w:rPr>
          <w:rFonts w:hint="eastAsia"/>
          <w:sz w:val="18"/>
          <w:szCs w:val="24"/>
        </w:rPr>
        <w:t>报告期内公司经营活动产生的现金净流量与本年度净利润存在重大差异的原因说明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三、非主营业务分析</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四、资产及负债状况分析</w:t>
      </w:r>
    </w:p>
    <w:p>
      <w:pPr>
        <w:pStyle w:val="8"/>
        <w:outlineLvl w:val="2"/>
        <w:rPr>
          <w:rFonts w:hint="default"/>
          <w:sz w:val="21"/>
          <w:szCs w:val="24"/>
        </w:rPr>
      </w:pPr>
      <w:r>
        <w:rPr>
          <w:rFonts w:hint="default"/>
          <w:sz w:val="21"/>
          <w:szCs w:val="24"/>
        </w:rPr>
        <w:t>1</w:t>
      </w:r>
      <w:r>
        <w:rPr>
          <w:rFonts w:hint="eastAsia"/>
          <w:sz w:val="21"/>
          <w:szCs w:val="24"/>
        </w:rPr>
        <w:t>、资产构成重大变动情况</w:t>
      </w:r>
    </w:p>
    <w:p>
      <w:pPr>
        <w:jc w:val="left"/>
        <w:rPr>
          <w:rFonts w:hint="default"/>
          <w:sz w:val="18"/>
          <w:szCs w:val="24"/>
        </w:rPr>
      </w:pPr>
      <w:r>
        <w:rPr>
          <w:rFonts w:hint="eastAsia"/>
          <w:sz w:val="18"/>
          <w:szCs w:val="24"/>
        </w:rPr>
        <w:t>公司</w:t>
      </w:r>
      <w:r>
        <w:rPr>
          <w:rFonts w:hint="default"/>
          <w:sz w:val="18"/>
          <w:szCs w:val="24"/>
        </w:rPr>
        <w:t>2020</w:t>
      </w:r>
      <w:r>
        <w:rPr>
          <w:rFonts w:hint="eastAsia"/>
          <w:sz w:val="18"/>
          <w:szCs w:val="24"/>
        </w:rPr>
        <w:t>年起首次执行新收入准则或新租赁准则且调整执行当年年初财务报表相关项目</w:t>
      </w:r>
    </w:p>
    <w:p>
      <w:pPr>
        <w:jc w:val="left"/>
        <w:rPr>
          <w:rFonts w:hint="default"/>
          <w:sz w:val="18"/>
          <w:szCs w:val="24"/>
        </w:rPr>
      </w:pPr>
      <w:r>
        <w:rPr>
          <w:rFonts w:hint="eastAsia"/>
          <w:sz w:val="18"/>
          <w:szCs w:val="24"/>
        </w:rPr>
        <w:t>适用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164"/>
        <w:gridCol w:w="1063"/>
        <w:gridCol w:w="1195"/>
        <w:gridCol w:w="1063"/>
        <w:gridCol w:w="798"/>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222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年末</w:t>
            </w:r>
          </w:p>
        </w:tc>
        <w:tc>
          <w:tcPr>
            <w:tcW w:w="225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年初</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比重增减</w:t>
            </w:r>
          </w:p>
        </w:tc>
        <w:tc>
          <w:tcPr>
            <w:tcW w:w="291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重大变动说明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占总资产比例</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占总资产比例</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29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货币资金</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57,715,316.04</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6.64%</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64,156,884.49</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8.02%</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应收账款</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50,843,941.41</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5.85%</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67,182,916.72</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8.40%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-2.55%</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存货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74,218,386.35</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8.53%</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69,984,211.20</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-0.22%</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投资性房地产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6,287,492.43</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0.72%</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2,140,592.53</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0.27%</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0.45%</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固定资产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245,669,062.62</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28.25%</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258,179,216.73</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32.28%</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在建工程</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12,829,256.89</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1.48%</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2,327,542.83</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0.29%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短期借款</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49,586,141.87</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5.70%</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bl>
    <w:p>
      <w:pPr>
        <w:pStyle w:val="8"/>
        <w:outlineLvl w:val="2"/>
        <w:rPr>
          <w:rFonts w:hint="default"/>
          <w:sz w:val="21"/>
          <w:szCs w:val="24"/>
        </w:rPr>
      </w:pPr>
      <w:r>
        <w:rPr>
          <w:rFonts w:hint="default"/>
          <w:sz w:val="21"/>
          <w:szCs w:val="24"/>
        </w:rPr>
        <w:t>2</w:t>
      </w:r>
      <w:r>
        <w:rPr>
          <w:rFonts w:hint="eastAsia"/>
          <w:sz w:val="21"/>
          <w:szCs w:val="24"/>
        </w:rPr>
        <w:t>、以公允价值计量的资产和负债</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3</w:t>
      </w:r>
      <w:r>
        <w:rPr>
          <w:rFonts w:hint="eastAsia"/>
          <w:sz w:val="21"/>
          <w:szCs w:val="24"/>
        </w:rPr>
        <w:t>、截至报告期末的资产权利受限情况</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无</w:t>
      </w:r>
    </w:p>
    <w:p>
      <w:pPr>
        <w:pStyle w:val="7"/>
        <w:outlineLvl w:val="1"/>
        <w:rPr>
          <w:rFonts w:hint="default"/>
          <w:sz w:val="24"/>
          <w:szCs w:val="24"/>
        </w:rPr>
      </w:pPr>
      <w:r>
        <w:rPr>
          <w:rFonts w:hint="eastAsia"/>
          <w:sz w:val="24"/>
          <w:szCs w:val="24"/>
        </w:rPr>
        <w:t>五、投资状况分析</w:t>
      </w:r>
    </w:p>
    <w:p>
      <w:pPr>
        <w:pStyle w:val="8"/>
        <w:outlineLvl w:val="2"/>
        <w:rPr>
          <w:rFonts w:hint="default"/>
          <w:sz w:val="21"/>
          <w:szCs w:val="24"/>
        </w:rPr>
      </w:pPr>
      <w:r>
        <w:rPr>
          <w:rFonts w:hint="default"/>
          <w:sz w:val="21"/>
          <w:szCs w:val="24"/>
        </w:rPr>
        <w:t>1</w:t>
      </w:r>
      <w:r>
        <w:rPr>
          <w:rFonts w:hint="eastAsia"/>
          <w:sz w:val="21"/>
          <w:szCs w:val="24"/>
        </w:rPr>
        <w:t>、总体情况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2</w:t>
      </w:r>
      <w:r>
        <w:rPr>
          <w:rFonts w:hint="eastAsia"/>
          <w:sz w:val="21"/>
          <w:szCs w:val="24"/>
        </w:rPr>
        <w:t>、报告期内获取的重大的股权投资情况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3</w:t>
      </w:r>
      <w:r>
        <w:rPr>
          <w:rFonts w:hint="eastAsia"/>
          <w:sz w:val="21"/>
          <w:szCs w:val="24"/>
        </w:rPr>
        <w:t>、报告期内正在进行的重大的非股权投资情况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4</w:t>
      </w:r>
      <w:r>
        <w:rPr>
          <w:rFonts w:hint="eastAsia"/>
          <w:sz w:val="21"/>
          <w:szCs w:val="24"/>
        </w:rPr>
        <w:t>、金融资产投资</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）证券投资情况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公司报告期不存在证券投资。</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）衍生品投资情况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公司报告期不存在衍生品投资。</w:t>
      </w:r>
    </w:p>
    <w:p>
      <w:pPr>
        <w:pStyle w:val="8"/>
        <w:outlineLvl w:val="2"/>
        <w:rPr>
          <w:rFonts w:hint="default"/>
          <w:sz w:val="21"/>
          <w:szCs w:val="24"/>
        </w:rPr>
      </w:pPr>
      <w:r>
        <w:rPr>
          <w:rFonts w:hint="default"/>
          <w:sz w:val="21"/>
          <w:szCs w:val="24"/>
        </w:rPr>
        <w:t>5</w:t>
      </w:r>
      <w:r>
        <w:rPr>
          <w:rFonts w:hint="eastAsia"/>
          <w:sz w:val="21"/>
          <w:szCs w:val="24"/>
        </w:rPr>
        <w:t>、募集资金使用情况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）募集资金总体使用情况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单位：万元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866"/>
        <w:gridCol w:w="863"/>
        <w:gridCol w:w="877"/>
        <w:gridCol w:w="870"/>
        <w:gridCol w:w="870"/>
        <w:gridCol w:w="869"/>
        <w:gridCol w:w="870"/>
        <w:gridCol w:w="870"/>
        <w:gridCol w:w="870"/>
        <w:gridCol w:w="870"/>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募集年份</w:t>
            </w: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募集方式</w:t>
            </w:r>
          </w:p>
        </w:tc>
        <w:tc>
          <w:tcPr>
            <w:tcW w:w="8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募集资金总额</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本期已使用募集资金总额</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已累计使用募集资金总额</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报告期内变更用途的募集资金总额</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累计变更用途的募集资金总额</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累计变更用途的募集资金总额比例</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尚未使用募集资金总额</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尚未使用募集资金用途及去向</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闲置两年以上募集资金金额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2017</w:t>
            </w: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公开发行</w:t>
            </w:r>
            <w:r>
              <w:rPr>
                <w:rFonts w:hint="default"/>
                <w:sz w:val="18"/>
                <w:szCs w:val="24"/>
              </w:rPr>
              <w:t>A</w:t>
            </w:r>
            <w:r>
              <w:rPr>
                <w:rFonts w:hint="eastAsia"/>
                <w:sz w:val="18"/>
                <w:szCs w:val="24"/>
              </w:rPr>
              <w:t>股</w:t>
            </w:r>
          </w:p>
        </w:tc>
        <w:tc>
          <w:tcPr>
            <w:tcW w:w="8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21,963.5</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74.7</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13,307.57</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9,923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45.18%</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专户储存</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8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21,963.5</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74.7</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13,307.57</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9,923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45.18%</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59" w:type="dxa"/>
            <w:gridSpan w:val="11"/>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募集资金总体使用情况说明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59" w:type="dxa"/>
            <w:gridSpan w:val="11"/>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经中国证券监督管理委员会核准（证监许可</w:t>
            </w:r>
            <w:r>
              <w:rPr>
                <w:rFonts w:hint="default"/>
                <w:sz w:val="18"/>
                <w:szCs w:val="24"/>
              </w:rPr>
              <w:t>[2017]526</w:t>
            </w:r>
            <w:r>
              <w:rPr>
                <w:rFonts w:hint="eastAsia"/>
                <w:sz w:val="18"/>
                <w:szCs w:val="24"/>
              </w:rPr>
              <w:t>号），青岛伟隆阀门股份有限公司首次公开发行人民币普通股（</w:t>
            </w:r>
            <w:r>
              <w:rPr>
                <w:rFonts w:hint="default"/>
                <w:sz w:val="18"/>
                <w:szCs w:val="24"/>
              </w:rPr>
              <w:t>A</w:t>
            </w:r>
            <w:r>
              <w:rPr>
                <w:rFonts w:hint="eastAsia"/>
                <w:sz w:val="18"/>
                <w:szCs w:val="24"/>
              </w:rPr>
              <w:t>股）</w:t>
            </w:r>
            <w:r>
              <w:rPr>
                <w:rFonts w:hint="default"/>
                <w:sz w:val="18"/>
                <w:szCs w:val="24"/>
              </w:rPr>
              <w:t>1,700</w:t>
            </w:r>
            <w:r>
              <w:rPr>
                <w:rFonts w:hint="eastAsia"/>
                <w:sz w:val="18"/>
                <w:szCs w:val="24"/>
              </w:rPr>
              <w:t>万股，每股面值</w:t>
            </w:r>
            <w:r>
              <w:rPr>
                <w:rFonts w:hint="default"/>
                <w:sz w:val="18"/>
                <w:szCs w:val="24"/>
              </w:rPr>
              <w:t>1</w:t>
            </w:r>
            <w:r>
              <w:rPr>
                <w:rFonts w:hint="eastAsia"/>
                <w:sz w:val="18"/>
                <w:szCs w:val="24"/>
              </w:rPr>
              <w:t>元，发行价格为人民币</w:t>
            </w:r>
            <w:r>
              <w:rPr>
                <w:rFonts w:hint="default"/>
                <w:sz w:val="18"/>
                <w:szCs w:val="24"/>
              </w:rPr>
              <w:t>15.39</w:t>
            </w:r>
            <w:r>
              <w:rPr>
                <w:rFonts w:hint="eastAsia"/>
                <w:sz w:val="18"/>
                <w:szCs w:val="24"/>
              </w:rPr>
              <w:t>元，共计募集资金</w:t>
            </w:r>
            <w:r>
              <w:rPr>
                <w:rFonts w:hint="default"/>
                <w:sz w:val="18"/>
                <w:szCs w:val="24"/>
              </w:rPr>
              <w:t>26,163.00</w:t>
            </w:r>
            <w:r>
              <w:rPr>
                <w:rFonts w:hint="eastAsia"/>
                <w:sz w:val="18"/>
                <w:szCs w:val="24"/>
              </w:rPr>
              <w:t>万元，已由主承销商宏信证券有限责任公司于</w:t>
            </w:r>
            <w:r>
              <w:rPr>
                <w:rFonts w:hint="default"/>
                <w:sz w:val="18"/>
                <w:szCs w:val="24"/>
              </w:rPr>
              <w:t>2017</w:t>
            </w:r>
            <w:r>
              <w:rPr>
                <w:rFonts w:hint="eastAsia"/>
                <w:sz w:val="18"/>
                <w:szCs w:val="24"/>
              </w:rPr>
              <w:t>年</w:t>
            </w:r>
            <w:r>
              <w:rPr>
                <w:rFonts w:hint="default"/>
                <w:sz w:val="18"/>
                <w:szCs w:val="24"/>
              </w:rPr>
              <w:t>5</w:t>
            </w:r>
            <w:r>
              <w:rPr>
                <w:rFonts w:hint="eastAsia"/>
                <w:sz w:val="18"/>
                <w:szCs w:val="24"/>
              </w:rPr>
              <w:t>月</w:t>
            </w:r>
            <w:r>
              <w:rPr>
                <w:rFonts w:hint="default"/>
                <w:sz w:val="18"/>
                <w:szCs w:val="24"/>
              </w:rPr>
              <w:t>8</w:t>
            </w:r>
            <w:r>
              <w:rPr>
                <w:rFonts w:hint="eastAsia"/>
                <w:sz w:val="18"/>
                <w:szCs w:val="24"/>
              </w:rPr>
              <w:t>日汇入本公司募集资金监管账户，另扣除发行费用</w:t>
            </w:r>
            <w:r>
              <w:rPr>
                <w:rFonts w:hint="default"/>
                <w:sz w:val="18"/>
                <w:szCs w:val="24"/>
              </w:rPr>
              <w:t>4,199.50</w:t>
            </w:r>
            <w:r>
              <w:rPr>
                <w:rFonts w:hint="eastAsia"/>
                <w:sz w:val="18"/>
                <w:szCs w:val="24"/>
              </w:rPr>
              <w:t>万元后，募集资金净额为</w:t>
            </w:r>
            <w:r>
              <w:rPr>
                <w:rFonts w:hint="default"/>
                <w:sz w:val="18"/>
                <w:szCs w:val="24"/>
              </w:rPr>
              <w:t>21,963.50</w:t>
            </w:r>
            <w:r>
              <w:rPr>
                <w:rFonts w:hint="eastAsia"/>
                <w:sz w:val="18"/>
                <w:szCs w:val="24"/>
              </w:rPr>
              <w:t>万元。和信会计师事务所（特殊普通合伙）对本次发行股票的资金到位情况进行了审验，并出具了《验资报告》（和信验字（</w:t>
            </w:r>
            <w:r>
              <w:rPr>
                <w:rFonts w:hint="default"/>
                <w:sz w:val="18"/>
                <w:szCs w:val="24"/>
              </w:rPr>
              <w:t>2017</w:t>
            </w:r>
            <w:r>
              <w:rPr>
                <w:rFonts w:hint="eastAsia"/>
                <w:sz w:val="18"/>
                <w:szCs w:val="24"/>
              </w:rPr>
              <w:t>）第</w:t>
            </w:r>
            <w:r>
              <w:rPr>
                <w:rFonts w:hint="default"/>
                <w:sz w:val="18"/>
                <w:szCs w:val="24"/>
              </w:rPr>
              <w:t>000052</w:t>
            </w:r>
            <w:r>
              <w:rPr>
                <w:rFonts w:hint="eastAsia"/>
                <w:sz w:val="18"/>
                <w:szCs w:val="24"/>
              </w:rPr>
              <w:t>号）。</w:t>
            </w:r>
          </w:p>
          <w:p>
            <w:pPr>
              <w:jc w:val="left"/>
              <w:rPr>
                <w:rFonts w:hint="default"/>
                <w:sz w:val="18"/>
                <w:szCs w:val="24"/>
              </w:rPr>
            </w:pPr>
            <w:r>
              <w:rPr>
                <w:rFonts w:hint="eastAsia"/>
                <w:sz w:val="18"/>
                <w:szCs w:val="24"/>
              </w:rPr>
              <w:t>公司以前年度已使用募集资金</w:t>
            </w:r>
            <w:r>
              <w:rPr>
                <w:rFonts w:hint="default"/>
                <w:sz w:val="18"/>
                <w:szCs w:val="24"/>
              </w:rPr>
              <w:t>13,232.87</w:t>
            </w:r>
            <w:r>
              <w:rPr>
                <w:rFonts w:hint="eastAsia"/>
                <w:sz w:val="18"/>
                <w:szCs w:val="24"/>
              </w:rPr>
              <w:t>万元，以前年度收到的利息及理财收益扣除手续费等的净额为</w:t>
            </w:r>
            <w:r>
              <w:rPr>
                <w:rFonts w:hint="default"/>
                <w:sz w:val="18"/>
                <w:szCs w:val="24"/>
              </w:rPr>
              <w:t>1,548.26</w:t>
            </w:r>
            <w:r>
              <w:rPr>
                <w:rFonts w:hint="eastAsia"/>
                <w:sz w:val="18"/>
                <w:szCs w:val="24"/>
              </w:rPr>
              <w:t>万元；</w:t>
            </w:r>
            <w:r>
              <w:rPr>
                <w:rFonts w:hint="default"/>
                <w:sz w:val="18"/>
                <w:szCs w:val="24"/>
              </w:rPr>
              <w:t>2020</w:t>
            </w:r>
            <w:r>
              <w:rPr>
                <w:rFonts w:hint="eastAsia"/>
                <w:sz w:val="18"/>
                <w:szCs w:val="24"/>
              </w:rPr>
              <w:t>年度实际使用募集资金</w:t>
            </w:r>
            <w:r>
              <w:rPr>
                <w:rFonts w:hint="default"/>
                <w:sz w:val="18"/>
                <w:szCs w:val="24"/>
              </w:rPr>
              <w:t>74.70</w:t>
            </w:r>
            <w:r>
              <w:rPr>
                <w:rFonts w:hint="eastAsia"/>
                <w:sz w:val="18"/>
                <w:szCs w:val="24"/>
              </w:rPr>
              <w:t>万元，</w:t>
            </w:r>
            <w:r>
              <w:rPr>
                <w:rFonts w:hint="default"/>
                <w:sz w:val="18"/>
                <w:szCs w:val="24"/>
              </w:rPr>
              <w:t>2020</w:t>
            </w:r>
            <w:r>
              <w:rPr>
                <w:rFonts w:hint="eastAsia"/>
                <w:sz w:val="18"/>
                <w:szCs w:val="24"/>
              </w:rPr>
              <w:t>年度收到的利息及理财收益扣除手续费等的净额为</w:t>
            </w:r>
            <w:r>
              <w:rPr>
                <w:rFonts w:hint="default"/>
                <w:sz w:val="18"/>
                <w:szCs w:val="24"/>
              </w:rPr>
              <w:t>218.67</w:t>
            </w:r>
            <w:r>
              <w:rPr>
                <w:rFonts w:hint="eastAsia"/>
                <w:sz w:val="18"/>
                <w:szCs w:val="24"/>
              </w:rPr>
              <w:t>万元；截至</w:t>
            </w: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日，公司累计使用募集资金</w:t>
            </w:r>
            <w:r>
              <w:rPr>
                <w:rFonts w:hint="default"/>
                <w:sz w:val="18"/>
                <w:szCs w:val="24"/>
              </w:rPr>
              <w:t>13,307.57</w:t>
            </w:r>
            <w:r>
              <w:rPr>
                <w:rFonts w:hint="eastAsia"/>
                <w:sz w:val="18"/>
                <w:szCs w:val="24"/>
              </w:rPr>
              <w:t>万元，累计收到利息及理财收益扣除手续费等的净额为</w:t>
            </w:r>
            <w:r>
              <w:rPr>
                <w:rFonts w:hint="default"/>
                <w:sz w:val="18"/>
                <w:szCs w:val="24"/>
              </w:rPr>
              <w:t>1,766.94</w:t>
            </w:r>
            <w:r>
              <w:rPr>
                <w:rFonts w:hint="eastAsia"/>
                <w:sz w:val="18"/>
                <w:szCs w:val="24"/>
              </w:rPr>
              <w:t>万元，永久性补充流动资金</w:t>
            </w:r>
            <w:r>
              <w:rPr>
                <w:rFonts w:hint="default"/>
                <w:sz w:val="18"/>
                <w:szCs w:val="24"/>
              </w:rPr>
              <w:t>10,422.87</w:t>
            </w:r>
            <w:r>
              <w:rPr>
                <w:rFonts w:hint="eastAsia"/>
                <w:sz w:val="18"/>
                <w:szCs w:val="24"/>
              </w:rPr>
              <w:t>万元。</w:t>
            </w:r>
          </w:p>
          <w:p>
            <w:pPr>
              <w:jc w:val="left"/>
              <w:rPr>
                <w:rFonts w:hint="default"/>
                <w:sz w:val="18"/>
                <w:szCs w:val="24"/>
              </w:rPr>
            </w:pPr>
            <w:r>
              <w:rPr>
                <w:rFonts w:hint="eastAsia"/>
                <w:sz w:val="18"/>
                <w:szCs w:val="24"/>
              </w:rPr>
              <w:t>截至</w:t>
            </w: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日，公司募集资金余额为</w:t>
            </w:r>
            <w:r>
              <w:rPr>
                <w:rFonts w:hint="default"/>
                <w:sz w:val="18"/>
                <w:szCs w:val="24"/>
              </w:rPr>
              <w:t>0.00</w:t>
            </w:r>
            <w:r>
              <w:rPr>
                <w:rFonts w:hint="eastAsia"/>
                <w:sz w:val="18"/>
                <w:szCs w:val="24"/>
              </w:rPr>
              <w:t>万元，所有账户均已在</w:t>
            </w:r>
            <w:r>
              <w:rPr>
                <w:rFonts w:hint="default"/>
                <w:sz w:val="18"/>
                <w:szCs w:val="24"/>
              </w:rPr>
              <w:t>2020</w:t>
            </w:r>
            <w:r>
              <w:rPr>
                <w:rFonts w:hint="eastAsia"/>
                <w:sz w:val="18"/>
                <w:szCs w:val="24"/>
              </w:rPr>
              <w:t>年注销。</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）募集资金承诺项目情况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单位：万元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770"/>
        <w:gridCol w:w="779"/>
        <w:gridCol w:w="780"/>
        <w:gridCol w:w="780"/>
        <w:gridCol w:w="779"/>
        <w:gridCol w:w="780"/>
        <w:gridCol w:w="780"/>
        <w:gridCol w:w="780"/>
        <w:gridCol w:w="780"/>
        <w:gridCol w:w="78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承诺投资项目和超募资金投向</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是否已变更项目</w:t>
            </w:r>
            <w:r>
              <w:rPr>
                <w:rFonts w:hint="default"/>
                <w:sz w:val="18"/>
                <w:szCs w:val="24"/>
              </w:rPr>
              <w:t>(</w:t>
            </w:r>
            <w:r>
              <w:rPr>
                <w:rFonts w:hint="eastAsia"/>
                <w:sz w:val="18"/>
                <w:szCs w:val="24"/>
              </w:rPr>
              <w:t>含部分变更</w:t>
            </w: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募集资金承诺投资总额</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调整后投资总额</w:t>
            </w:r>
            <w:r>
              <w:rPr>
                <w:rFonts w:hint="default"/>
                <w:sz w:val="18"/>
                <w:szCs w:val="24"/>
              </w:rPr>
              <w:t>(1)</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本报告期投入金额</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截至期末累计投入金额</w:t>
            </w:r>
            <w:r>
              <w:rPr>
                <w:rFonts w:hint="default"/>
                <w:sz w:val="18"/>
                <w:szCs w:val="24"/>
              </w:rPr>
              <w:t>(2)</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截至期末投资进度</w:t>
            </w:r>
            <w:r>
              <w:rPr>
                <w:rFonts w:hint="default"/>
                <w:sz w:val="18"/>
                <w:szCs w:val="24"/>
              </w:rPr>
              <w:t>(3)</w:t>
            </w:r>
            <w:r>
              <w:rPr>
                <w:rFonts w:hint="eastAsia"/>
                <w:sz w:val="18"/>
                <w:szCs w:val="24"/>
              </w:rPr>
              <w:t>＝</w:t>
            </w:r>
            <w:r>
              <w:rPr>
                <w:rFonts w:hint="default"/>
                <w:sz w:val="18"/>
                <w:szCs w:val="24"/>
              </w:rPr>
              <w:t>(2)/(1)</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项目达到预定可使用状态日期</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本报告期实现的效益</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是否达到预计效益</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项目可行性是否发生重大变化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11"/>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承诺投资项目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大规格及特殊用途阀门生产项目</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18,258.5</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8,335.5</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60.39</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3,083.65</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36.99%</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04</w:t>
            </w:r>
            <w:r>
              <w:rPr>
                <w:rFonts w:hint="eastAsia"/>
                <w:sz w:val="18"/>
                <w:szCs w:val="24"/>
              </w:rPr>
              <w:t>月</w:t>
            </w:r>
            <w:r>
              <w:rPr>
                <w:rFonts w:hint="default"/>
                <w:sz w:val="18"/>
                <w:szCs w:val="24"/>
              </w:rPr>
              <w:t>30</w:t>
            </w:r>
            <w:r>
              <w:rPr>
                <w:rFonts w:hint="eastAsia"/>
                <w:sz w:val="18"/>
                <w:szCs w:val="24"/>
              </w:rPr>
              <w:t>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771.45</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w:t>
            </w:r>
            <w:r>
              <w:rPr>
                <w:rFonts w:hint="eastAsia"/>
                <w:sz w:val="18"/>
                <w:szCs w:val="24"/>
              </w:rPr>
              <w:t>技术研发中心建设项目</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3,705</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3,705</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14.31</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291.29</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7.86%</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04</w:t>
            </w:r>
            <w:r>
              <w:rPr>
                <w:rFonts w:hint="eastAsia"/>
                <w:sz w:val="18"/>
                <w:szCs w:val="24"/>
              </w:rPr>
              <w:t>月</w:t>
            </w:r>
            <w:r>
              <w:rPr>
                <w:rFonts w:hint="default"/>
                <w:sz w:val="18"/>
                <w:szCs w:val="24"/>
              </w:rPr>
              <w:t>30</w:t>
            </w:r>
            <w:r>
              <w:rPr>
                <w:rFonts w:hint="eastAsia"/>
                <w:sz w:val="18"/>
                <w:szCs w:val="24"/>
              </w:rPr>
              <w:t>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不适用</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w:t>
            </w:r>
            <w:r>
              <w:rPr>
                <w:rFonts w:hint="eastAsia"/>
                <w:sz w:val="18"/>
                <w:szCs w:val="24"/>
              </w:rPr>
              <w:t>新型阀门建设项目</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9,923</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9,932.63</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100.10%</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09</w:t>
            </w:r>
            <w:r>
              <w:rPr>
                <w:rFonts w:hint="eastAsia"/>
                <w:sz w:val="18"/>
                <w:szCs w:val="24"/>
              </w:rPr>
              <w:t>月</w:t>
            </w:r>
            <w:r>
              <w:rPr>
                <w:rFonts w:hint="default"/>
                <w:sz w:val="18"/>
                <w:szCs w:val="24"/>
              </w:rPr>
              <w:t>01</w:t>
            </w:r>
            <w:r>
              <w:rPr>
                <w:rFonts w:hint="eastAsia"/>
                <w:sz w:val="18"/>
                <w:szCs w:val="24"/>
              </w:rPr>
              <w:t>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-373.09</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承诺投资项目小计</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21,963.5</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21,963.5</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74.7</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13,307.57</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398.36</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11"/>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超募资金投向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21,963.5</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21,963.5</w:t>
            </w:r>
          </w:p>
        </w:tc>
        <w:tc>
          <w:tcPr>
            <w:tcW w:w="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74.7</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13,307.57</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398.36</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未达到计划进度或预计收益的情况和原因（分具体项目）</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募投项目均已结项终止达到正常运行状态，现处于市场销售拓展阶段，尚未达到预计收益。</w:t>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p>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项目可行性发生重大变化的情况说明</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超募资金的金额、用途及使用进展情况</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c>
          <w:tcPr>
            <w:tcW w:w="779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募集资金投资项目实施地点变更情况</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c>
          <w:tcPr>
            <w:tcW w:w="779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r>
              <w:rPr>
                <w:rFonts w:hint="eastAsia"/>
                <w:sz w:val="18"/>
                <w:szCs w:val="24"/>
              </w:rPr>
              <w:t>以前年度发生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c>
          <w:tcPr>
            <w:tcW w:w="779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r>
              <w:rPr>
                <w:rFonts w:hint="eastAsia"/>
                <w:sz w:val="18"/>
                <w:szCs w:val="24"/>
              </w:rPr>
              <w:t>公司第三届董事会第二次会议及</w:t>
            </w:r>
            <w:r>
              <w:rPr>
                <w:rFonts w:hint="default"/>
                <w:sz w:val="18"/>
                <w:szCs w:val="24"/>
              </w:rPr>
              <w:t>2017</w:t>
            </w:r>
            <w:r>
              <w:rPr>
                <w:rFonts w:hint="eastAsia"/>
                <w:sz w:val="18"/>
                <w:szCs w:val="24"/>
              </w:rPr>
              <w:t>年度股东大会审议通过了《关于缩减募投项目投资规模及使用节余募集资金调整对子公司增资方式的议案》，缩减</w:t>
            </w:r>
            <w:r>
              <w:rPr>
                <w:rFonts w:hint="default"/>
                <w:sz w:val="18"/>
                <w:szCs w:val="24"/>
              </w:rPr>
              <w:t>"</w:t>
            </w:r>
            <w:r>
              <w:rPr>
                <w:rFonts w:hint="eastAsia"/>
                <w:sz w:val="18"/>
                <w:szCs w:val="24"/>
              </w:rPr>
              <w:t>大规格及特殊用途阀门生产项目</w:t>
            </w:r>
            <w:r>
              <w:rPr>
                <w:rFonts w:hint="default"/>
                <w:sz w:val="18"/>
                <w:szCs w:val="24"/>
              </w:rPr>
              <w:t>"</w:t>
            </w:r>
            <w:r>
              <w:rPr>
                <w:rFonts w:hint="eastAsia"/>
                <w:sz w:val="18"/>
                <w:szCs w:val="24"/>
              </w:rPr>
              <w:t>投资规模，使用节余募集资金用于子公司莱州伟隆阀门有限公司</w:t>
            </w:r>
            <w:r>
              <w:rPr>
                <w:rFonts w:hint="default"/>
                <w:sz w:val="18"/>
                <w:szCs w:val="24"/>
              </w:rPr>
              <w:t>"</w:t>
            </w:r>
            <w:r>
              <w:rPr>
                <w:rFonts w:hint="eastAsia"/>
                <w:sz w:val="18"/>
                <w:szCs w:val="24"/>
              </w:rPr>
              <w:t>新型阀门建设项目</w:t>
            </w:r>
            <w:r>
              <w:rPr>
                <w:rFonts w:hint="default"/>
                <w:sz w:val="18"/>
                <w:szCs w:val="24"/>
              </w:rPr>
              <w:t>"</w:t>
            </w:r>
            <w:r>
              <w:rPr>
                <w:rFonts w:hint="eastAsia"/>
                <w:sz w:val="18"/>
                <w:szCs w:val="24"/>
              </w:rPr>
              <w:t>建设，新增项目实施地点。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募集资金投资项目实施方式调整情况</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c>
          <w:tcPr>
            <w:tcW w:w="779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r>
              <w:rPr>
                <w:rFonts w:hint="eastAsia"/>
                <w:sz w:val="18"/>
                <w:szCs w:val="24"/>
              </w:rPr>
              <w:t>以前年度发生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c>
          <w:tcPr>
            <w:tcW w:w="779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r>
              <w:rPr>
                <w:rFonts w:hint="eastAsia"/>
                <w:sz w:val="18"/>
                <w:szCs w:val="24"/>
              </w:rPr>
              <w:t>公司第三届董事会第二次会议及</w:t>
            </w:r>
            <w:r>
              <w:rPr>
                <w:rFonts w:hint="default"/>
                <w:sz w:val="18"/>
                <w:szCs w:val="24"/>
              </w:rPr>
              <w:t>2017</w:t>
            </w:r>
            <w:r>
              <w:rPr>
                <w:rFonts w:hint="eastAsia"/>
                <w:sz w:val="18"/>
                <w:szCs w:val="24"/>
              </w:rPr>
              <w:t>年度股东大会，审议通过了《关于缩减募投项目投资规模及使用节余募集资金调整对子公司增资方式的议案》，公司拟缩减</w:t>
            </w:r>
            <w:r>
              <w:rPr>
                <w:rFonts w:hint="default"/>
                <w:sz w:val="18"/>
                <w:szCs w:val="24"/>
              </w:rPr>
              <w:t>"</w:t>
            </w:r>
            <w:r>
              <w:rPr>
                <w:rFonts w:hint="eastAsia"/>
                <w:sz w:val="18"/>
                <w:szCs w:val="24"/>
              </w:rPr>
              <w:t>大规格及特殊用途阀门生产项目</w:t>
            </w:r>
            <w:r>
              <w:rPr>
                <w:rFonts w:hint="default"/>
                <w:sz w:val="18"/>
                <w:szCs w:val="24"/>
              </w:rPr>
              <w:t>"</w:t>
            </w:r>
            <w:r>
              <w:rPr>
                <w:rFonts w:hint="eastAsia"/>
                <w:sz w:val="18"/>
                <w:szCs w:val="24"/>
              </w:rPr>
              <w:t>投资规模，使用节余募集资金</w:t>
            </w:r>
            <w:r>
              <w:rPr>
                <w:rFonts w:hint="default"/>
                <w:sz w:val="18"/>
                <w:szCs w:val="24"/>
              </w:rPr>
              <w:t>9,923</w:t>
            </w:r>
            <w:r>
              <w:rPr>
                <w:rFonts w:hint="eastAsia"/>
                <w:sz w:val="18"/>
                <w:szCs w:val="24"/>
              </w:rPr>
              <w:t>万元对子公司莱州伟隆阀门有限公司增资，用于子公司莱州伟隆阀门有限公司</w:t>
            </w:r>
            <w:r>
              <w:rPr>
                <w:rFonts w:hint="default"/>
                <w:sz w:val="18"/>
                <w:szCs w:val="24"/>
              </w:rPr>
              <w:t>"</w:t>
            </w:r>
            <w:r>
              <w:rPr>
                <w:rFonts w:hint="eastAsia"/>
                <w:sz w:val="18"/>
                <w:szCs w:val="24"/>
              </w:rPr>
              <w:t>新型阀门建设项目</w:t>
            </w:r>
            <w:r>
              <w:rPr>
                <w:rFonts w:hint="default"/>
                <w:sz w:val="18"/>
                <w:szCs w:val="24"/>
              </w:rPr>
              <w:t>"</w:t>
            </w:r>
            <w:r>
              <w:rPr>
                <w:rFonts w:hint="eastAsia"/>
                <w:sz w:val="18"/>
                <w:szCs w:val="24"/>
              </w:rPr>
              <w:t>建设。</w:t>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募集资金投资项目先期投入及置换情况</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c>
          <w:tcPr>
            <w:tcW w:w="779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r>
              <w:rPr>
                <w:rFonts w:hint="default"/>
                <w:sz w:val="18"/>
                <w:szCs w:val="24"/>
              </w:rPr>
              <w:t>2017</w:t>
            </w:r>
            <w:r>
              <w:rPr>
                <w:rFonts w:hint="eastAsia"/>
                <w:sz w:val="18"/>
                <w:szCs w:val="24"/>
              </w:rPr>
              <w:t>年</w:t>
            </w:r>
            <w:r>
              <w:rPr>
                <w:rFonts w:hint="default"/>
                <w:sz w:val="18"/>
                <w:szCs w:val="24"/>
              </w:rPr>
              <w:t>5</w:t>
            </w:r>
            <w:r>
              <w:rPr>
                <w:rFonts w:hint="eastAsia"/>
                <w:sz w:val="18"/>
                <w:szCs w:val="24"/>
              </w:rPr>
              <w:t>月，公司以募集资金置换了大规格及特殊用途阀门生产项目前期投入资金</w:t>
            </w:r>
            <w:r>
              <w:rPr>
                <w:rFonts w:hint="default"/>
                <w:sz w:val="18"/>
                <w:szCs w:val="24"/>
              </w:rPr>
              <w:t>60.12</w:t>
            </w:r>
            <w:r>
              <w:rPr>
                <w:rFonts w:hint="eastAsia"/>
                <w:sz w:val="18"/>
                <w:szCs w:val="24"/>
              </w:rPr>
              <w:t>万元，技术研发中心建设项目前期投入资金</w:t>
            </w:r>
            <w:r>
              <w:rPr>
                <w:rFonts w:hint="default"/>
                <w:sz w:val="18"/>
                <w:szCs w:val="24"/>
              </w:rPr>
              <w:t>17.10</w:t>
            </w:r>
            <w:r>
              <w:rPr>
                <w:rFonts w:hint="eastAsia"/>
                <w:sz w:val="18"/>
                <w:szCs w:val="24"/>
              </w:rPr>
              <w:t>万元，</w:t>
            </w:r>
            <w:r>
              <w:rPr>
                <w:rFonts w:hint="default"/>
                <w:sz w:val="18"/>
                <w:szCs w:val="24"/>
              </w:rPr>
              <w:t>2017</w:t>
            </w:r>
            <w:r>
              <w:rPr>
                <w:rFonts w:hint="eastAsia"/>
                <w:sz w:val="18"/>
                <w:szCs w:val="24"/>
              </w:rPr>
              <w:t>年</w:t>
            </w:r>
            <w:r>
              <w:rPr>
                <w:rFonts w:hint="default"/>
                <w:sz w:val="18"/>
                <w:szCs w:val="24"/>
              </w:rPr>
              <w:t>6</w:t>
            </w:r>
            <w:r>
              <w:rPr>
                <w:rFonts w:hint="eastAsia"/>
                <w:sz w:val="18"/>
                <w:szCs w:val="24"/>
              </w:rPr>
              <w:t>月完成募集资金置换。</w:t>
            </w:r>
            <w:r>
              <w:rPr>
                <w:rFonts w:hint="default"/>
                <w:sz w:val="18"/>
                <w:szCs w:val="24"/>
              </w:rPr>
              <w:tab/>
            </w:r>
            <w:r>
              <w:rPr>
                <w:rFonts w:hint="default"/>
                <w:sz w:val="18"/>
                <w:szCs w:val="24"/>
              </w:rPr>
              <w:tab/>
            </w:r>
            <w:r>
              <w:rPr>
                <w:rFonts w:hint="default"/>
                <w:sz w:val="18"/>
                <w:szCs w:val="24"/>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用闲置募集资金暂时补充流动资金情况</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c>
          <w:tcPr>
            <w:tcW w:w="779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项目实施出现募集资金结余的金额及原因</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p>
        </w:tc>
        <w:tc>
          <w:tcPr>
            <w:tcW w:w="779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r>
              <w:rPr>
                <w:rFonts w:hint="eastAsia"/>
                <w:sz w:val="18"/>
                <w:szCs w:val="24"/>
              </w:rPr>
              <w:t>因募投项目的立项时间较早，随着公司及阀门行业的快速发展，公司近年来在实施该募投项目过程中，除新型阀门建设项目募集资金全部投入使用结项外，其余两个募投项目投资预算总额在目前市场环境下存在投资预算总额略高的情况。公司在预测市场需求、有效满足客户产能增长的业务需求和新产品配套开发需求的情况下，严格遵守募集资金使用规定，根据市场环境变化和公司实际生产经营情况，</w:t>
            </w:r>
            <w:r>
              <w:rPr>
                <w:rFonts w:hint="default"/>
                <w:sz w:val="18"/>
                <w:szCs w:val="24"/>
              </w:rPr>
              <w:t xml:space="preserve"> </w:t>
            </w:r>
            <w:r>
              <w:rPr>
                <w:rFonts w:hint="eastAsia"/>
                <w:sz w:val="18"/>
                <w:szCs w:val="24"/>
              </w:rPr>
              <w:t>充分考虑项目投资风险和回报，适时调整项目投资进度，谨慎逐步投入，防止形成过剩产能，充分发挥投入资金的效益；公司根据实际运营的情况，结合内部管理提升，不断优化产品生产线和改进生产工艺布局，不断改善生产工艺技术水平和生产效率。为有效减少资金投入，适应公司发展的需求。</w:t>
            </w:r>
            <w:r>
              <w:rPr>
                <w:rFonts w:hint="default"/>
                <w:sz w:val="18"/>
                <w:szCs w:val="24"/>
              </w:rPr>
              <w:t>2020</w:t>
            </w:r>
            <w:r>
              <w:rPr>
                <w:rFonts w:hint="eastAsia"/>
                <w:sz w:val="18"/>
                <w:szCs w:val="24"/>
              </w:rPr>
              <w:t>年</w:t>
            </w:r>
            <w:r>
              <w:rPr>
                <w:rFonts w:hint="default"/>
                <w:sz w:val="18"/>
                <w:szCs w:val="24"/>
              </w:rPr>
              <w:t>4</w:t>
            </w:r>
            <w:r>
              <w:rPr>
                <w:rFonts w:hint="eastAsia"/>
                <w:sz w:val="18"/>
                <w:szCs w:val="24"/>
              </w:rPr>
              <w:t>月</w:t>
            </w:r>
            <w:r>
              <w:rPr>
                <w:rFonts w:hint="default"/>
                <w:sz w:val="18"/>
                <w:szCs w:val="24"/>
              </w:rPr>
              <w:t>27</w:t>
            </w:r>
            <w:r>
              <w:rPr>
                <w:rFonts w:hint="eastAsia"/>
                <w:sz w:val="18"/>
                <w:szCs w:val="24"/>
              </w:rPr>
              <w:t>日公司董事会召开</w:t>
            </w:r>
            <w:r>
              <w:rPr>
                <w:rFonts w:hint="default"/>
                <w:sz w:val="18"/>
                <w:szCs w:val="24"/>
              </w:rPr>
              <w:t>“</w:t>
            </w:r>
            <w:r>
              <w:rPr>
                <w:rFonts w:hint="eastAsia"/>
                <w:sz w:val="18"/>
                <w:szCs w:val="24"/>
              </w:rPr>
              <w:t>第三届董事会第十六次会议</w:t>
            </w:r>
            <w:r>
              <w:rPr>
                <w:rFonts w:hint="default"/>
                <w:sz w:val="18"/>
                <w:szCs w:val="24"/>
              </w:rPr>
              <w:t>”</w:t>
            </w:r>
            <w:r>
              <w:rPr>
                <w:rFonts w:hint="eastAsia"/>
                <w:sz w:val="18"/>
                <w:szCs w:val="24"/>
              </w:rPr>
              <w:t>，监事会召开</w:t>
            </w:r>
            <w:r>
              <w:rPr>
                <w:rFonts w:hint="default"/>
                <w:sz w:val="18"/>
                <w:szCs w:val="24"/>
              </w:rPr>
              <w:t>“</w:t>
            </w:r>
            <w:r>
              <w:rPr>
                <w:rFonts w:hint="eastAsia"/>
                <w:sz w:val="18"/>
                <w:szCs w:val="24"/>
              </w:rPr>
              <w:t>第三届监事会第十二次会</w:t>
            </w:r>
            <w:r>
              <w:rPr>
                <w:rFonts w:hint="default"/>
                <w:sz w:val="18"/>
                <w:szCs w:val="24"/>
              </w:rPr>
              <w:t xml:space="preserve"> </w:t>
            </w:r>
            <w:r>
              <w:rPr>
                <w:rFonts w:hint="eastAsia"/>
                <w:sz w:val="18"/>
                <w:szCs w:val="24"/>
              </w:rPr>
              <w:t>议</w:t>
            </w:r>
            <w:r>
              <w:rPr>
                <w:rFonts w:hint="default"/>
                <w:sz w:val="18"/>
                <w:szCs w:val="24"/>
              </w:rPr>
              <w:t>”</w:t>
            </w:r>
            <w:r>
              <w:rPr>
                <w:rFonts w:hint="eastAsia"/>
                <w:sz w:val="18"/>
                <w:szCs w:val="24"/>
              </w:rPr>
              <w:t>会议均审议通过了《关于首次公开发行股票募集资金投资项目结项及终止并将节余募集资金永久补充流动资金的议案》，公司独立董事对该事项发表了同意的独立意见，保荐机构出具了无异议专项核查意见。募投项目均已验收，取得了竣工环境保护验收监测报告，符合各项环保要求，对募投项目进行结项及终止。结余募集资金</w:t>
            </w:r>
            <w:r>
              <w:rPr>
                <w:rFonts w:hint="default"/>
                <w:sz w:val="18"/>
                <w:szCs w:val="24"/>
              </w:rPr>
              <w:t xml:space="preserve"> 10,422.87 </w:t>
            </w:r>
            <w:r>
              <w:rPr>
                <w:rFonts w:hint="eastAsia"/>
                <w:sz w:val="18"/>
                <w:szCs w:val="24"/>
              </w:rPr>
              <w:t>万元（含使用暂时闲置募集资金理财收益及利息）。经</w:t>
            </w:r>
            <w:r>
              <w:rPr>
                <w:rFonts w:hint="default"/>
                <w:sz w:val="18"/>
                <w:szCs w:val="24"/>
              </w:rPr>
              <w:t>2020</w:t>
            </w:r>
            <w:r>
              <w:rPr>
                <w:rFonts w:hint="eastAsia"/>
                <w:sz w:val="18"/>
                <w:szCs w:val="24"/>
              </w:rPr>
              <w:t>年</w:t>
            </w:r>
            <w:r>
              <w:rPr>
                <w:rFonts w:hint="default"/>
                <w:sz w:val="18"/>
                <w:szCs w:val="24"/>
              </w:rPr>
              <w:t>5</w:t>
            </w:r>
            <w:r>
              <w:rPr>
                <w:rFonts w:hint="eastAsia"/>
                <w:sz w:val="18"/>
                <w:szCs w:val="24"/>
              </w:rPr>
              <w:t>月</w:t>
            </w:r>
            <w:r>
              <w:rPr>
                <w:rFonts w:hint="default"/>
                <w:sz w:val="18"/>
                <w:szCs w:val="24"/>
              </w:rPr>
              <w:t>19</w:t>
            </w:r>
            <w:r>
              <w:rPr>
                <w:rFonts w:hint="eastAsia"/>
                <w:sz w:val="18"/>
                <w:szCs w:val="24"/>
              </w:rPr>
              <w:t>日召开的</w:t>
            </w:r>
            <w:r>
              <w:rPr>
                <w:rFonts w:hint="default"/>
                <w:sz w:val="18"/>
                <w:szCs w:val="24"/>
              </w:rPr>
              <w:t>2019</w:t>
            </w:r>
            <w:r>
              <w:rPr>
                <w:rFonts w:hint="eastAsia"/>
                <w:sz w:val="18"/>
                <w:szCs w:val="24"/>
              </w:rPr>
              <w:t>年度股东大会审议通过，对前述项目进行结项并将结余资金永久补充流动资金。</w:t>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r>
              <w:rPr>
                <w:rFonts w:hint="default"/>
                <w:sz w:val="18"/>
                <w:szCs w:val="24"/>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尚未使用的募集资金用途及去向</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募集资金使用及披露中存在的问题或其他情况</w:t>
            </w:r>
          </w:p>
        </w:tc>
        <w:tc>
          <w:tcPr>
            <w:tcW w:w="7798"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）募集资金变更项目情况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公司报告期不存在募集资金变更项目情况。</w:t>
      </w:r>
    </w:p>
    <w:p>
      <w:pPr>
        <w:pStyle w:val="7"/>
        <w:outlineLvl w:val="1"/>
        <w:rPr>
          <w:rFonts w:hint="default"/>
          <w:sz w:val="24"/>
          <w:szCs w:val="24"/>
        </w:rPr>
      </w:pPr>
      <w:r>
        <w:rPr>
          <w:rFonts w:hint="eastAsia"/>
          <w:sz w:val="24"/>
          <w:szCs w:val="24"/>
        </w:rPr>
        <w:t>六、重大资产和股权出售</w:t>
      </w:r>
    </w:p>
    <w:p>
      <w:pPr>
        <w:pStyle w:val="8"/>
        <w:outlineLvl w:val="2"/>
        <w:rPr>
          <w:rFonts w:hint="default"/>
          <w:sz w:val="21"/>
          <w:szCs w:val="24"/>
        </w:rPr>
      </w:pPr>
      <w:r>
        <w:rPr>
          <w:rFonts w:hint="default"/>
          <w:sz w:val="21"/>
          <w:szCs w:val="24"/>
        </w:rPr>
        <w:t>1</w:t>
      </w:r>
      <w:r>
        <w:rPr>
          <w:rFonts w:hint="eastAsia"/>
          <w:sz w:val="21"/>
          <w:szCs w:val="24"/>
        </w:rPr>
        <w:t>、出售重大资产情况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公司报告期未出售重大资产。</w:t>
      </w:r>
    </w:p>
    <w:p>
      <w:pPr>
        <w:pStyle w:val="8"/>
        <w:outlineLvl w:val="2"/>
        <w:rPr>
          <w:rFonts w:hint="default"/>
          <w:sz w:val="21"/>
          <w:szCs w:val="24"/>
        </w:rPr>
      </w:pPr>
      <w:r>
        <w:rPr>
          <w:rFonts w:hint="default"/>
          <w:sz w:val="21"/>
          <w:szCs w:val="24"/>
        </w:rPr>
        <w:t>2</w:t>
      </w:r>
      <w:r>
        <w:rPr>
          <w:rFonts w:hint="eastAsia"/>
          <w:sz w:val="21"/>
          <w:szCs w:val="24"/>
        </w:rPr>
        <w:t>、出售重大股权情况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七、主要控股参股公司分析</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公司报告期内无应当披露的重要控股参股公司信息。</w:t>
      </w:r>
    </w:p>
    <w:p>
      <w:pPr>
        <w:pStyle w:val="7"/>
        <w:outlineLvl w:val="1"/>
        <w:rPr>
          <w:rFonts w:hint="default"/>
          <w:sz w:val="24"/>
          <w:szCs w:val="24"/>
        </w:rPr>
      </w:pPr>
      <w:r>
        <w:rPr>
          <w:rFonts w:hint="eastAsia"/>
          <w:sz w:val="24"/>
          <w:szCs w:val="24"/>
        </w:rPr>
        <w:t>八、公司控制的结构化主体情况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九、公司未来发展的展望</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（一）公司规范化治理方面</w:t>
      </w:r>
      <w:r>
        <w:rPr>
          <w:rFonts w:hint="default" w:eastAsia="Times New Roman"/>
          <w:kern w:val="0"/>
          <w:sz w:val="18"/>
          <w:szCs w:val="24"/>
          <w:lang w:val="zh-CN"/>
        </w:rPr>
        <w:br w:type="textWrapping"/>
      </w:r>
      <w:r>
        <w:rPr>
          <w:rFonts w:hint="default" w:eastAsia="Times New Roman"/>
          <w:kern w:val="0"/>
          <w:sz w:val="18"/>
          <w:szCs w:val="24"/>
          <w:lang w:val="zh-CN"/>
        </w:rPr>
        <w:t xml:space="preserve">    </w:t>
      </w:r>
      <w:r>
        <w:rPr>
          <w:rFonts w:hint="eastAsia" w:ascii="宋体" w:hAnsi="宋体" w:cs="宋体"/>
          <w:kern w:val="0"/>
          <w:sz w:val="18"/>
          <w:szCs w:val="24"/>
          <w:lang w:val="zh-CN"/>
        </w:rPr>
        <w:t>公司将严格按照《公司法》、《证券法》、《深圳证券交易所股票上市规则》、《深圳证券交易所上市公司规范运作指引》等法律、法规的要求，结合公司实际情况，规范治理架构，以真实完整的信息披露、良好互动的投资者关系、严格有效的内部控制和风险控制体系，诚信经营管理，不断完善法人治理结构，规范公司运作，切实保障全体投资者与公司利益的最大化。</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（二）信息披露方面</w:t>
      </w:r>
      <w:r>
        <w:rPr>
          <w:rFonts w:hint="default" w:eastAsia="Times New Roman"/>
          <w:kern w:val="0"/>
          <w:sz w:val="18"/>
          <w:szCs w:val="24"/>
          <w:lang w:val="zh-CN"/>
        </w:rPr>
        <w:br w:type="textWrapping"/>
      </w:r>
      <w:r>
        <w:rPr>
          <w:rFonts w:hint="default" w:eastAsia="Times New Roman"/>
          <w:kern w:val="0"/>
          <w:sz w:val="18"/>
          <w:szCs w:val="24"/>
          <w:lang w:val="zh-CN"/>
        </w:rPr>
        <w:t xml:space="preserve">    </w:t>
      </w:r>
      <w:r>
        <w:rPr>
          <w:rFonts w:hint="eastAsia" w:ascii="宋体" w:hAnsi="宋体" w:cs="宋体"/>
          <w:kern w:val="0"/>
          <w:sz w:val="18"/>
          <w:szCs w:val="24"/>
          <w:lang w:val="zh-CN"/>
        </w:rPr>
        <w:t>董事会将继续严格按照《公司法》、《证券法》、《上市公司信息披露管理办法》、《深圳证券交易所股票上市规则》等法律法规、规范性文件和《公司章程》，认真自觉履行信息披露义务，严把信息披露关，切实提高公司规范运作水平和透明度。</w:t>
      </w:r>
      <w:r>
        <w:rPr>
          <w:rFonts w:hint="default" w:eastAsia="Times New Roman"/>
          <w:kern w:val="0"/>
          <w:sz w:val="18"/>
          <w:szCs w:val="24"/>
          <w:lang w:val="zh-CN"/>
        </w:rPr>
        <w:br w:type="textWrapping"/>
      </w:r>
      <w:r>
        <w:rPr>
          <w:rFonts w:hint="eastAsia" w:ascii="宋体" w:hAnsi="宋体" w:cs="宋体"/>
          <w:kern w:val="0"/>
          <w:sz w:val="18"/>
          <w:szCs w:val="24"/>
          <w:lang w:val="zh-CN"/>
        </w:rPr>
        <w:t xml:space="preserve">   （三）投资者关系管理</w:t>
      </w:r>
      <w:r>
        <w:rPr>
          <w:rFonts w:hint="default" w:eastAsia="Times New Roman"/>
          <w:kern w:val="0"/>
          <w:sz w:val="18"/>
          <w:szCs w:val="24"/>
          <w:lang w:val="zh-CN"/>
        </w:rPr>
        <w:br w:type="textWrapping"/>
      </w:r>
      <w:r>
        <w:rPr>
          <w:rFonts w:hint="default" w:eastAsia="Times New Roman"/>
          <w:kern w:val="0"/>
          <w:sz w:val="18"/>
          <w:szCs w:val="24"/>
          <w:lang w:val="zh-CN"/>
        </w:rPr>
        <w:t xml:space="preserve">    </w:t>
      </w:r>
      <w:r>
        <w:rPr>
          <w:rFonts w:hint="eastAsia" w:ascii="宋体" w:hAnsi="宋体" w:cs="宋体"/>
          <w:kern w:val="0"/>
          <w:sz w:val="18"/>
          <w:szCs w:val="24"/>
          <w:lang w:val="zh-CN"/>
        </w:rPr>
        <w:t>公司董事会将继续重视投资者关系管理工作，通过投资者交流会、电话、邮箱、互动易平台、现场调研、网上说明会等多种渠道加强与投资者的联系和沟通。合理安排机构投资者、新闻</w:t>
      </w:r>
      <w:r>
        <w:rPr>
          <w:rFonts w:hint="eastAsia" w:ascii="MS Mincho" w:hAnsi="MS Mincho" w:cs="MS Mincho"/>
          <w:kern w:val="0"/>
          <w:sz w:val="18"/>
          <w:szCs w:val="24"/>
          <w:lang w:val="zh-CN"/>
        </w:rPr>
        <w:t>媒</w:t>
      </w:r>
      <w:r>
        <w:rPr>
          <w:rFonts w:hint="eastAsia" w:ascii="宋体" w:hAnsi="宋体" w:cs="宋体"/>
          <w:kern w:val="0"/>
          <w:sz w:val="18"/>
          <w:szCs w:val="24"/>
          <w:lang w:val="zh-CN"/>
        </w:rPr>
        <w:t>体等特定对象到公司现场参观、座谈、调研等接待工作，并切实做好未公开信息的保密工作。采用现场会议和网络投票相结合的方式召开股东大会，以便于广大投资者的积极参与；充分利用公司网站传递相关信息，以便于投资者快捷获取公司信息，切实保护投资者利益，树立良好的公司形象。</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（四）公司面临的主要风险</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、市场风险</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w:t>
      </w:r>
      <w:r>
        <w:rPr>
          <w:rFonts w:hint="default" w:eastAsia="Times New Roman"/>
          <w:kern w:val="0"/>
          <w:sz w:val="18"/>
          <w:szCs w:val="24"/>
          <w:lang w:val="zh-CN"/>
        </w:rPr>
        <w:t>1</w:t>
      </w:r>
      <w:r>
        <w:rPr>
          <w:rFonts w:hint="eastAsia" w:ascii="宋体" w:hAnsi="宋体" w:cs="宋体"/>
          <w:kern w:val="0"/>
          <w:sz w:val="18"/>
          <w:szCs w:val="24"/>
          <w:lang w:val="zh-CN"/>
        </w:rPr>
        <w:t>）海外市场拓展及贸易政策变化的风险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公司产品主要以出口为主，报告期内公司产品出口收入在</w:t>
      </w:r>
      <w:r>
        <w:rPr>
          <w:rFonts w:hint="default" w:eastAsia="Times New Roman"/>
          <w:kern w:val="0"/>
          <w:sz w:val="18"/>
          <w:szCs w:val="24"/>
          <w:lang w:val="zh-CN"/>
        </w:rPr>
        <w:t>80%</w:t>
      </w:r>
      <w:r>
        <w:rPr>
          <w:rFonts w:hint="eastAsia" w:ascii="宋体" w:hAnsi="宋体" w:cs="宋体"/>
          <w:kern w:val="0"/>
          <w:sz w:val="18"/>
          <w:szCs w:val="24"/>
          <w:lang w:val="zh-CN"/>
        </w:rPr>
        <w:t>以上。产品主要销往欧洲、美国、亚洲、大洋洲等国际市场。随着国际地缘政治不稳定、全球经济发展受新冠肺炎疫情影响复苏趋势缓慢和美、欧国家对新兴经济体贸易战的影响，未来若上述国家和地区对阀门产品的进口贸易政策或产品认证发生变化，全球经济增长前景仍存在一定的不确定性，公司出口业务可能面临着一定的海外市场拓展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w:t>
      </w:r>
      <w:r>
        <w:rPr>
          <w:rFonts w:hint="default" w:eastAsia="Times New Roman"/>
          <w:kern w:val="0"/>
          <w:sz w:val="18"/>
          <w:szCs w:val="24"/>
          <w:lang w:val="zh-CN"/>
        </w:rPr>
        <w:t>2</w:t>
      </w:r>
      <w:r>
        <w:rPr>
          <w:rFonts w:hint="eastAsia" w:ascii="宋体" w:hAnsi="宋体" w:cs="宋体"/>
          <w:kern w:val="0"/>
          <w:sz w:val="18"/>
          <w:szCs w:val="24"/>
          <w:lang w:val="zh-CN"/>
        </w:rPr>
        <w:t>）国内市场竞争加剧的风险</w:t>
      </w:r>
    </w:p>
    <w:p>
      <w:pPr>
        <w:autoSpaceDE w:val="0"/>
        <w:autoSpaceDN w:val="0"/>
        <w:adjustRightInd w:val="0"/>
        <w:ind w:firstLine="450"/>
        <w:jc w:val="left"/>
        <w:rPr>
          <w:rFonts w:hint="default" w:eastAsia="Times New Roman"/>
          <w:kern w:val="0"/>
          <w:sz w:val="18"/>
          <w:szCs w:val="24"/>
          <w:lang w:val="zh-CN"/>
        </w:rPr>
      </w:pPr>
      <w:r>
        <w:rPr>
          <w:rFonts w:hint="eastAsia" w:ascii="宋体" w:hAnsi="宋体" w:cs="宋体"/>
          <w:kern w:val="0"/>
          <w:sz w:val="18"/>
          <w:szCs w:val="24"/>
          <w:lang w:val="zh-CN"/>
        </w:rPr>
        <w:t>据中国通用机械协会阀门分会统计，国内阀门生产企业销售规模以上的企业数量达到</w:t>
      </w:r>
      <w:r>
        <w:rPr>
          <w:rFonts w:hint="default" w:eastAsia="Times New Roman"/>
          <w:kern w:val="0"/>
          <w:sz w:val="18"/>
          <w:szCs w:val="24"/>
          <w:lang w:val="zh-CN"/>
        </w:rPr>
        <w:t>2,000</w:t>
      </w:r>
      <w:r>
        <w:rPr>
          <w:rFonts w:hint="eastAsia" w:ascii="宋体" w:hAnsi="宋体" w:cs="宋体"/>
          <w:kern w:val="0"/>
          <w:sz w:val="18"/>
          <w:szCs w:val="24"/>
          <w:lang w:val="zh-CN"/>
        </w:rPr>
        <w:t>余家，国内阀门市场尤其是中低端阀门市场竞争较为激烈。公司虽然是目前国内较大的给排水阀门生产企业之一，但随着国内阀门企业生产规模的逐渐扩大和国外资金、先进技术的不断转移，面临着市场竞争将进一步加剧的风险。</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2</w:t>
      </w:r>
      <w:r>
        <w:rPr>
          <w:rFonts w:hint="eastAsia" w:ascii="宋体" w:hAnsi="宋体" w:cs="宋体"/>
          <w:kern w:val="0"/>
          <w:sz w:val="18"/>
          <w:szCs w:val="24"/>
          <w:lang w:val="zh-CN"/>
        </w:rPr>
        <w:t>、经营风险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w:t>
      </w:r>
      <w:r>
        <w:rPr>
          <w:rFonts w:hint="default" w:eastAsia="Times New Roman"/>
          <w:kern w:val="0"/>
          <w:sz w:val="18"/>
          <w:szCs w:val="24"/>
          <w:lang w:val="zh-CN"/>
        </w:rPr>
        <w:t>1</w:t>
      </w:r>
      <w:r>
        <w:rPr>
          <w:rFonts w:hint="eastAsia" w:ascii="宋体" w:hAnsi="宋体" w:cs="宋体"/>
          <w:kern w:val="0"/>
          <w:sz w:val="18"/>
          <w:szCs w:val="24"/>
          <w:lang w:val="zh-CN"/>
        </w:rPr>
        <w:t>）原材料价格波动的风险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公司阀门产品的主要原材料为铸件、生铁和废钢，其中铸件价格的变化主要取决于钢铁价格的变化情况。报告期内，原材料成</w:t>
      </w:r>
      <w:r>
        <w:rPr>
          <w:rFonts w:hint="eastAsia" w:ascii="MS Mincho" w:hAnsi="MS Mincho" w:cs="MS Mincho"/>
          <w:kern w:val="0"/>
          <w:sz w:val="18"/>
          <w:szCs w:val="24"/>
          <w:lang w:val="zh-CN"/>
        </w:rPr>
        <w:t>本</w:t>
      </w:r>
      <w:r>
        <w:rPr>
          <w:rFonts w:hint="eastAsia" w:ascii="宋体" w:hAnsi="宋体" w:cs="宋体"/>
          <w:kern w:val="0"/>
          <w:sz w:val="18"/>
          <w:szCs w:val="24"/>
          <w:lang w:val="zh-CN"/>
        </w:rPr>
        <w:t>占公司主营业务成</w:t>
      </w:r>
      <w:r>
        <w:rPr>
          <w:rFonts w:hint="eastAsia" w:ascii="MS Mincho" w:hAnsi="MS Mincho" w:cs="MS Mincho"/>
          <w:kern w:val="0"/>
          <w:sz w:val="18"/>
          <w:szCs w:val="24"/>
          <w:lang w:val="zh-CN"/>
        </w:rPr>
        <w:t>本</w:t>
      </w:r>
      <w:r>
        <w:rPr>
          <w:rFonts w:hint="eastAsia" w:ascii="宋体" w:hAnsi="宋体" w:cs="宋体"/>
          <w:kern w:val="0"/>
          <w:sz w:val="18"/>
          <w:szCs w:val="24"/>
          <w:lang w:val="zh-CN"/>
        </w:rPr>
        <w:t>的比例在</w:t>
      </w:r>
      <w:r>
        <w:rPr>
          <w:rFonts w:hint="default" w:eastAsia="Times New Roman"/>
          <w:kern w:val="0"/>
          <w:sz w:val="18"/>
          <w:szCs w:val="24"/>
          <w:lang w:val="zh-CN"/>
        </w:rPr>
        <w:t>60%-70%</w:t>
      </w:r>
      <w:r>
        <w:rPr>
          <w:rFonts w:hint="eastAsia" w:ascii="宋体" w:hAnsi="宋体" w:cs="宋体"/>
          <w:kern w:val="0"/>
          <w:sz w:val="18"/>
          <w:szCs w:val="24"/>
          <w:lang w:val="zh-CN"/>
        </w:rPr>
        <w:t>。</w:t>
      </w:r>
      <w:r>
        <w:rPr>
          <w:rFonts w:hint="default" w:eastAsia="Times New Roman"/>
          <w:kern w:val="0"/>
          <w:sz w:val="18"/>
          <w:szCs w:val="24"/>
          <w:lang w:val="zh-CN"/>
        </w:rPr>
        <w:t>2018</w:t>
      </w:r>
      <w:r>
        <w:rPr>
          <w:rFonts w:hint="eastAsia" w:ascii="宋体" w:hAnsi="宋体" w:cs="宋体"/>
          <w:kern w:val="0"/>
          <w:sz w:val="18"/>
          <w:szCs w:val="24"/>
          <w:lang w:val="zh-CN"/>
        </w:rPr>
        <w:t>年以来，钢铁价格大幅回升，未来若钢铁等原材料价格进入上行周期，将引起公司产品成</w:t>
      </w:r>
      <w:r>
        <w:rPr>
          <w:rFonts w:hint="eastAsia" w:ascii="MS Mincho" w:hAnsi="MS Mincho" w:cs="MS Mincho"/>
          <w:kern w:val="0"/>
          <w:sz w:val="18"/>
          <w:szCs w:val="24"/>
          <w:lang w:val="zh-CN"/>
        </w:rPr>
        <w:t>本</w:t>
      </w:r>
      <w:r>
        <w:rPr>
          <w:rFonts w:hint="eastAsia" w:ascii="宋体" w:hAnsi="宋体" w:cs="宋体"/>
          <w:kern w:val="0"/>
          <w:sz w:val="18"/>
          <w:szCs w:val="24"/>
          <w:lang w:val="zh-CN"/>
        </w:rPr>
        <w:t>的波动，公司面临着原材料价格波动的风险。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w:t>
      </w:r>
      <w:r>
        <w:rPr>
          <w:rFonts w:hint="default" w:eastAsia="Times New Roman"/>
          <w:kern w:val="0"/>
          <w:sz w:val="18"/>
          <w:szCs w:val="24"/>
          <w:lang w:val="zh-CN"/>
        </w:rPr>
        <w:t>2</w:t>
      </w:r>
      <w:r>
        <w:rPr>
          <w:rFonts w:hint="eastAsia" w:ascii="宋体" w:hAnsi="宋体" w:cs="宋体"/>
          <w:kern w:val="0"/>
          <w:sz w:val="18"/>
          <w:szCs w:val="24"/>
          <w:lang w:val="zh-CN"/>
        </w:rPr>
        <w:t>）产品质量稳定的风险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生产的给排水阀门产品主要应用于城镇给排水系统和消防给水系统，阀门的质量、性能和环保能力与人们的日常生活和身体健康息息相关，其产品质量的稳定性、安全性、环保性是终端客户关注的要点。通过不断完善和提升公司质量控制体系，公司产品性能优良且质量一直保持稳定，为公司赢得了良好的市场信誉。但由于阀门产品生产环节较多、生产过程复杂，因此不排除因某一环节质量控制疏忽而导致产品出现质量问题，从而对公司市场声誉造成损害，进而影响公司的生产经营与市场开拓，公司存在一定的产品质量稳定的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w:t>
      </w:r>
      <w:r>
        <w:rPr>
          <w:rFonts w:hint="default" w:eastAsia="Times New Roman"/>
          <w:kern w:val="0"/>
          <w:sz w:val="18"/>
          <w:szCs w:val="24"/>
          <w:lang w:val="zh-CN"/>
        </w:rPr>
        <w:t>3</w:t>
      </w:r>
      <w:r>
        <w:rPr>
          <w:rFonts w:hint="eastAsia" w:ascii="宋体" w:hAnsi="宋体" w:cs="宋体"/>
          <w:kern w:val="0"/>
          <w:sz w:val="18"/>
          <w:szCs w:val="24"/>
          <w:lang w:val="zh-CN"/>
        </w:rPr>
        <w:t>）人力资源风险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公司所属阀门行业是一个资金、技术、劳动力相对密集的产业。经过</w:t>
      </w:r>
      <w:r>
        <w:rPr>
          <w:rFonts w:hint="default" w:eastAsia="Times New Roman"/>
          <w:kern w:val="0"/>
          <w:sz w:val="18"/>
          <w:szCs w:val="24"/>
          <w:lang w:val="zh-CN"/>
        </w:rPr>
        <w:t>20</w:t>
      </w:r>
      <w:r>
        <w:rPr>
          <w:rFonts w:hint="eastAsia" w:ascii="宋体" w:hAnsi="宋体" w:cs="宋体"/>
          <w:kern w:val="0"/>
          <w:sz w:val="18"/>
          <w:szCs w:val="24"/>
          <w:lang w:val="zh-CN"/>
        </w:rPr>
        <w:t>多年的发展，公司聚集了一批具有丰富实践经验和专业技能的研发、生产、销售、管理和技术人才。随着公司经营规模的逐渐扩大，公司对高层次管理人才、技术人才和熟练技术工人的需求增加，人才引进已成为公司人力资源管理工作的重点，加之到制造业就业的专业技术人才及普通劳动力不断减少的社会现状，公司在吸引优秀人才、稳定人才队伍、避免人才短缺和流失方面存在一定的风险。</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w:t>
      </w:r>
      <w:r>
        <w:rPr>
          <w:rFonts w:hint="default" w:eastAsia="Times New Roman"/>
          <w:kern w:val="0"/>
          <w:sz w:val="18"/>
          <w:szCs w:val="24"/>
          <w:lang w:val="zh-CN"/>
        </w:rPr>
        <w:t>4</w:t>
      </w:r>
      <w:r>
        <w:rPr>
          <w:rFonts w:hint="eastAsia" w:ascii="宋体" w:hAnsi="宋体" w:cs="宋体"/>
          <w:kern w:val="0"/>
          <w:sz w:val="18"/>
          <w:szCs w:val="24"/>
          <w:lang w:val="zh-CN"/>
        </w:rPr>
        <w:t>）劳动力成</w:t>
      </w:r>
      <w:r>
        <w:rPr>
          <w:rFonts w:hint="eastAsia" w:ascii="MS Mincho" w:hAnsi="MS Mincho" w:cs="MS Mincho"/>
          <w:kern w:val="0"/>
          <w:sz w:val="18"/>
          <w:szCs w:val="24"/>
          <w:lang w:val="zh-CN"/>
        </w:rPr>
        <w:t>本</w:t>
      </w:r>
      <w:r>
        <w:rPr>
          <w:rFonts w:hint="eastAsia" w:ascii="宋体" w:hAnsi="宋体" w:cs="宋体"/>
          <w:kern w:val="0"/>
          <w:sz w:val="18"/>
          <w:szCs w:val="24"/>
          <w:lang w:val="zh-CN"/>
        </w:rPr>
        <w:t>上升的风险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随着我国工业化、城镇化进程的持续推进和劳动力素质的不断提高，劳动力成</w:t>
      </w:r>
      <w:r>
        <w:rPr>
          <w:rFonts w:hint="eastAsia" w:ascii="MS Mincho" w:hAnsi="MS Mincho" w:cs="MS Mincho"/>
          <w:kern w:val="0"/>
          <w:sz w:val="18"/>
          <w:szCs w:val="24"/>
          <w:lang w:val="zh-CN"/>
        </w:rPr>
        <w:t>本</w:t>
      </w:r>
      <w:r>
        <w:rPr>
          <w:rFonts w:hint="eastAsia" w:ascii="宋体" w:hAnsi="宋体" w:cs="宋体"/>
          <w:kern w:val="0"/>
          <w:sz w:val="18"/>
          <w:szCs w:val="24"/>
          <w:lang w:val="zh-CN"/>
        </w:rPr>
        <w:t>持续上升已成为我国经济发展的普遍现象和众多企业面临的共性问题。公司通过精益化管理降低成</w:t>
      </w:r>
      <w:r>
        <w:rPr>
          <w:rFonts w:hint="eastAsia" w:ascii="MS Mincho" w:hAnsi="MS Mincho" w:cs="MS Mincho"/>
          <w:kern w:val="0"/>
          <w:sz w:val="18"/>
          <w:szCs w:val="24"/>
          <w:lang w:val="zh-CN"/>
        </w:rPr>
        <w:t>本</w:t>
      </w:r>
      <w:r>
        <w:rPr>
          <w:rFonts w:hint="eastAsia" w:ascii="宋体" w:hAnsi="宋体" w:cs="宋体"/>
          <w:kern w:val="0"/>
          <w:sz w:val="18"/>
          <w:szCs w:val="24"/>
          <w:lang w:val="zh-CN"/>
        </w:rPr>
        <w:t>，使劳动力成</w:t>
      </w:r>
      <w:r>
        <w:rPr>
          <w:rFonts w:hint="eastAsia" w:ascii="MS Mincho" w:hAnsi="MS Mincho" w:cs="MS Mincho"/>
          <w:kern w:val="0"/>
          <w:sz w:val="18"/>
          <w:szCs w:val="24"/>
          <w:lang w:val="zh-CN"/>
        </w:rPr>
        <w:t>本</w:t>
      </w:r>
      <w:r>
        <w:rPr>
          <w:rFonts w:hint="eastAsia" w:ascii="宋体" w:hAnsi="宋体" w:cs="宋体"/>
          <w:kern w:val="0"/>
          <w:sz w:val="18"/>
          <w:szCs w:val="24"/>
          <w:lang w:val="zh-CN"/>
        </w:rPr>
        <w:t>在公司相关成</w:t>
      </w:r>
      <w:r>
        <w:rPr>
          <w:rFonts w:hint="eastAsia" w:ascii="MS Mincho" w:hAnsi="MS Mincho" w:cs="MS Mincho"/>
          <w:kern w:val="0"/>
          <w:sz w:val="18"/>
          <w:szCs w:val="24"/>
          <w:lang w:val="zh-CN"/>
        </w:rPr>
        <w:t>本</w:t>
      </w:r>
      <w:r>
        <w:rPr>
          <w:rFonts w:hint="eastAsia" w:ascii="宋体" w:hAnsi="宋体" w:cs="宋体"/>
          <w:kern w:val="0"/>
          <w:sz w:val="18"/>
          <w:szCs w:val="24"/>
          <w:lang w:val="zh-CN"/>
        </w:rPr>
        <w:t>费用构成中所占比重保持相对稳定，但如果劳动力成</w:t>
      </w:r>
      <w:r>
        <w:rPr>
          <w:rFonts w:hint="eastAsia" w:ascii="MS Mincho" w:hAnsi="MS Mincho" w:cs="MS Mincho"/>
          <w:kern w:val="0"/>
          <w:sz w:val="18"/>
          <w:szCs w:val="24"/>
          <w:lang w:val="zh-CN"/>
        </w:rPr>
        <w:t>本</w:t>
      </w:r>
      <w:r>
        <w:rPr>
          <w:rFonts w:hint="eastAsia" w:ascii="宋体" w:hAnsi="宋体" w:cs="宋体"/>
          <w:kern w:val="0"/>
          <w:sz w:val="18"/>
          <w:szCs w:val="24"/>
          <w:lang w:val="zh-CN"/>
        </w:rPr>
        <w:t>快速上升，仍然可能会推动公司产品价格的提高，从而可能对公司产品在市场竞争中带来一定不利影响。</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3</w:t>
      </w:r>
      <w:r>
        <w:rPr>
          <w:rFonts w:hint="eastAsia" w:ascii="宋体" w:hAnsi="宋体" w:cs="宋体"/>
          <w:kern w:val="0"/>
          <w:sz w:val="18"/>
          <w:szCs w:val="24"/>
          <w:lang w:val="zh-CN"/>
        </w:rPr>
        <w:t>、汇率波动风险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自国家汇率制度改革以来，人民币汇率（兑美元）波动幅度较大，由于公司出口产品主要以美元作为结算货币以及出口收入存在结算周期，2020年下半年以来人民币兑美元汇率的波动较大，将对公司经营业绩产生一定影响。</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4</w:t>
      </w:r>
      <w:r>
        <w:rPr>
          <w:rFonts w:hint="eastAsia" w:ascii="宋体" w:hAnsi="宋体" w:cs="宋体"/>
          <w:kern w:val="0"/>
          <w:sz w:val="18"/>
          <w:szCs w:val="24"/>
          <w:lang w:val="zh-CN"/>
        </w:rPr>
        <w:t>、政策风险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w:t>
      </w:r>
      <w:r>
        <w:rPr>
          <w:rFonts w:hint="default" w:eastAsia="Times New Roman"/>
          <w:kern w:val="0"/>
          <w:sz w:val="18"/>
          <w:szCs w:val="24"/>
          <w:lang w:val="zh-CN"/>
        </w:rPr>
        <w:t>1</w:t>
      </w:r>
      <w:r>
        <w:rPr>
          <w:rFonts w:hint="eastAsia" w:ascii="宋体" w:hAnsi="宋体" w:cs="宋体"/>
          <w:kern w:val="0"/>
          <w:sz w:val="18"/>
          <w:szCs w:val="24"/>
          <w:lang w:val="zh-CN"/>
        </w:rPr>
        <w:t>）出口退税率下调或者取消的风险</w:t>
      </w:r>
    </w:p>
    <w:p>
      <w:pPr>
        <w:autoSpaceDE w:val="0"/>
        <w:autoSpaceDN w:val="0"/>
        <w:adjustRightInd w:val="0"/>
        <w:ind w:firstLine="270"/>
        <w:jc w:val="left"/>
        <w:rPr>
          <w:rFonts w:hint="default" w:eastAsia="Times New Roman"/>
          <w:kern w:val="0"/>
          <w:sz w:val="18"/>
          <w:szCs w:val="24"/>
          <w:lang w:val="zh-CN"/>
        </w:rPr>
      </w:pPr>
      <w:r>
        <w:rPr>
          <w:rFonts w:hint="eastAsia" w:ascii="宋体" w:hAnsi="宋体" w:cs="宋体"/>
          <w:kern w:val="0"/>
          <w:sz w:val="18"/>
          <w:szCs w:val="24"/>
          <w:lang w:val="zh-CN"/>
        </w:rPr>
        <w:t>公司出口产品享受增值税</w:t>
      </w:r>
      <w:r>
        <w:rPr>
          <w:rFonts w:hint="default" w:eastAsia="Times New Roman"/>
          <w:kern w:val="0"/>
          <w:sz w:val="18"/>
          <w:szCs w:val="24"/>
          <w:lang w:val="zh-CN"/>
        </w:rPr>
        <w:t>“</w:t>
      </w:r>
      <w:r>
        <w:rPr>
          <w:rFonts w:hint="eastAsia" w:ascii="宋体" w:hAnsi="宋体" w:cs="宋体"/>
          <w:kern w:val="0"/>
          <w:sz w:val="18"/>
          <w:szCs w:val="24"/>
          <w:lang w:val="zh-CN"/>
        </w:rPr>
        <w:t>免、抵、退</w:t>
      </w:r>
      <w:r>
        <w:rPr>
          <w:rFonts w:hint="default" w:eastAsia="Times New Roman"/>
          <w:kern w:val="0"/>
          <w:sz w:val="18"/>
          <w:szCs w:val="24"/>
          <w:lang w:val="zh-CN"/>
        </w:rPr>
        <w:t>”</w:t>
      </w:r>
      <w:r>
        <w:rPr>
          <w:rFonts w:hint="eastAsia" w:ascii="宋体" w:hAnsi="宋体" w:cs="宋体"/>
          <w:kern w:val="0"/>
          <w:sz w:val="18"/>
          <w:szCs w:val="24"/>
          <w:lang w:val="zh-CN"/>
        </w:rPr>
        <w:t>政策，报告期内，公司产品执行国家规定调整的出口退税率。从长期来看，出口退税作为一种政</w:t>
      </w:r>
      <w:r>
        <w:rPr>
          <w:rFonts w:hint="eastAsia" w:ascii="MS Mincho" w:hAnsi="MS Mincho" w:cs="MS Mincho"/>
          <w:kern w:val="0"/>
          <w:sz w:val="18"/>
          <w:szCs w:val="24"/>
          <w:lang w:val="zh-CN"/>
        </w:rPr>
        <w:t>府</w:t>
      </w:r>
      <w:r>
        <w:rPr>
          <w:rFonts w:hint="eastAsia" w:ascii="宋体" w:hAnsi="宋体" w:cs="宋体"/>
          <w:kern w:val="0"/>
          <w:sz w:val="18"/>
          <w:szCs w:val="24"/>
          <w:lang w:val="zh-CN"/>
        </w:rPr>
        <w:t>补贴手段，随着我国企业竞争实力的增强以及经济环境的变化，未来出口退税率的调整将对公司经营业绩产生一定影响。</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w:t>
      </w:r>
      <w:r>
        <w:rPr>
          <w:rFonts w:hint="default" w:eastAsia="Times New Roman"/>
          <w:kern w:val="0"/>
          <w:sz w:val="18"/>
          <w:szCs w:val="24"/>
          <w:lang w:val="zh-CN"/>
        </w:rPr>
        <w:t>2</w:t>
      </w:r>
      <w:r>
        <w:rPr>
          <w:rFonts w:hint="eastAsia" w:ascii="宋体" w:hAnsi="宋体" w:cs="宋体"/>
          <w:kern w:val="0"/>
          <w:sz w:val="18"/>
          <w:szCs w:val="24"/>
          <w:lang w:val="zh-CN"/>
        </w:rPr>
        <w:t>）税收优惠政策变化的风险</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及莱州伟隆子公司取得高新技术企业资格证书，如果国家关于支持高新技术企业发展的税收优惠政策发生变化或者公司不再满足高新技术企业认定的条件，导致无法享受相关税收优惠政策，将会在一定程度上影响公司的经营业绩。</w:t>
      </w:r>
    </w:p>
    <w:p>
      <w:pPr>
        <w:autoSpaceDE w:val="0"/>
        <w:autoSpaceDN w:val="0"/>
        <w:adjustRightInd w:val="0"/>
        <w:ind w:firstLine="360"/>
        <w:jc w:val="left"/>
        <w:rPr>
          <w:rFonts w:hint="default"/>
          <w:kern w:val="0"/>
          <w:sz w:val="18"/>
          <w:szCs w:val="24"/>
          <w:lang w:val="zh-CN"/>
        </w:rPr>
      </w:pPr>
      <w:r>
        <w:rPr>
          <w:rFonts w:hint="default" w:eastAsia="Times New Roman"/>
          <w:kern w:val="0"/>
          <w:sz w:val="18"/>
          <w:szCs w:val="24"/>
          <w:lang w:val="zh-CN"/>
        </w:rPr>
        <w:t>5</w:t>
      </w:r>
      <w:r>
        <w:rPr>
          <w:rFonts w:hint="eastAsia" w:ascii="宋体" w:hAnsi="宋体" w:cs="宋体"/>
          <w:kern w:val="0"/>
          <w:sz w:val="18"/>
          <w:szCs w:val="24"/>
          <w:lang w:val="zh-CN"/>
        </w:rPr>
        <w:t>、应对风险的措施</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近年来国家在支持实体经济、民营企业发展方面出台了一系列优惠政策及激励措</w:t>
      </w:r>
      <w:r>
        <w:rPr>
          <w:rFonts w:hint="eastAsia" w:ascii="MS Mincho" w:hAnsi="MS Mincho" w:cs="MS Mincho"/>
          <w:kern w:val="0"/>
          <w:sz w:val="18"/>
          <w:szCs w:val="24"/>
          <w:lang w:val="zh-CN"/>
        </w:rPr>
        <w:t>施</w:t>
      </w:r>
      <w:r>
        <w:rPr>
          <w:rFonts w:hint="eastAsia" w:ascii="宋体" w:hAnsi="宋体" w:cs="宋体"/>
          <w:kern w:val="0"/>
          <w:sz w:val="18"/>
          <w:szCs w:val="24"/>
          <w:lang w:val="zh-CN"/>
        </w:rPr>
        <w:t>，公司将进一步加快</w:t>
      </w:r>
      <w:r>
        <w:rPr>
          <w:rFonts w:hint="default" w:eastAsia="Times New Roman"/>
          <w:kern w:val="0"/>
          <w:sz w:val="18"/>
          <w:szCs w:val="24"/>
          <w:lang w:val="zh-CN"/>
        </w:rPr>
        <w:t>“</w:t>
      </w:r>
      <w:r>
        <w:rPr>
          <w:rFonts w:hint="eastAsia" w:ascii="宋体" w:hAnsi="宋体" w:cs="宋体"/>
          <w:kern w:val="0"/>
          <w:sz w:val="18"/>
          <w:szCs w:val="24"/>
          <w:lang w:val="zh-CN"/>
        </w:rPr>
        <w:t>传统制造型</w:t>
      </w:r>
      <w:r>
        <w:rPr>
          <w:rFonts w:hint="default" w:eastAsia="Times New Roman"/>
          <w:kern w:val="0"/>
          <w:sz w:val="18"/>
          <w:szCs w:val="24"/>
          <w:lang w:val="zh-CN"/>
        </w:rPr>
        <w:t>”</w:t>
      </w:r>
      <w:r>
        <w:rPr>
          <w:rFonts w:hint="eastAsia" w:ascii="宋体" w:hAnsi="宋体" w:cs="宋体"/>
          <w:kern w:val="0"/>
          <w:sz w:val="18"/>
          <w:szCs w:val="24"/>
          <w:lang w:val="zh-CN"/>
        </w:rPr>
        <w:t>向</w:t>
      </w:r>
      <w:r>
        <w:rPr>
          <w:rFonts w:hint="default" w:eastAsia="Times New Roman"/>
          <w:kern w:val="0"/>
          <w:sz w:val="18"/>
          <w:szCs w:val="24"/>
          <w:lang w:val="zh-CN"/>
        </w:rPr>
        <w:t>“</w:t>
      </w:r>
      <w:r>
        <w:rPr>
          <w:rFonts w:hint="eastAsia" w:ascii="宋体" w:hAnsi="宋体" w:cs="宋体"/>
          <w:kern w:val="0"/>
          <w:sz w:val="18"/>
          <w:szCs w:val="24"/>
          <w:lang w:val="zh-CN"/>
        </w:rPr>
        <w:t>智能制造型</w:t>
      </w:r>
      <w:r>
        <w:rPr>
          <w:rFonts w:hint="default" w:eastAsia="Times New Roman"/>
          <w:kern w:val="0"/>
          <w:sz w:val="18"/>
          <w:szCs w:val="24"/>
          <w:lang w:val="zh-CN"/>
        </w:rPr>
        <w:t>”</w:t>
      </w:r>
      <w:r>
        <w:rPr>
          <w:rFonts w:hint="eastAsia" w:ascii="宋体" w:hAnsi="宋体" w:cs="宋体"/>
          <w:kern w:val="0"/>
          <w:sz w:val="18"/>
          <w:szCs w:val="24"/>
          <w:lang w:val="zh-CN"/>
        </w:rPr>
        <w:t>企业的转型；持续加大研发投入，加快技术研发中心检测试验能力建设，提升产品的研发竞争能力；实施阀门专机化智能制造项目建设，提升产品生产的自动化水平节能增效，加大市场营销力度，开拓新兴市场；通过规范内控管理，进一步强化内控体系建设和规范运作，实施预算管理办法合理压缩成</w:t>
      </w:r>
      <w:r>
        <w:rPr>
          <w:rFonts w:hint="eastAsia" w:ascii="MS Mincho" w:hAnsi="MS Mincho" w:cs="MS Mincho"/>
          <w:kern w:val="0"/>
          <w:sz w:val="18"/>
          <w:szCs w:val="24"/>
          <w:lang w:val="zh-CN"/>
        </w:rPr>
        <w:t>本</w:t>
      </w:r>
      <w:r>
        <w:rPr>
          <w:rFonts w:hint="eastAsia" w:ascii="宋体" w:hAnsi="宋体" w:cs="宋体"/>
          <w:kern w:val="0"/>
          <w:sz w:val="18"/>
          <w:szCs w:val="24"/>
          <w:lang w:val="zh-CN"/>
        </w:rPr>
        <w:t>和控制费用支出，实现公司经营的降</w:t>
      </w:r>
      <w:r>
        <w:rPr>
          <w:rFonts w:hint="eastAsia" w:ascii="MS Mincho" w:hAnsi="MS Mincho" w:cs="MS Mincho"/>
          <w:kern w:val="0"/>
          <w:sz w:val="18"/>
          <w:szCs w:val="24"/>
          <w:lang w:val="zh-CN"/>
        </w:rPr>
        <w:t>本</w:t>
      </w:r>
      <w:r>
        <w:rPr>
          <w:rFonts w:hint="eastAsia" w:ascii="宋体" w:hAnsi="宋体" w:cs="宋体"/>
          <w:kern w:val="0"/>
          <w:sz w:val="18"/>
          <w:szCs w:val="24"/>
          <w:lang w:val="zh-CN"/>
        </w:rPr>
        <w:t>增效；实行产品成</w:t>
      </w:r>
      <w:r>
        <w:rPr>
          <w:rFonts w:hint="eastAsia" w:ascii="MS Mincho" w:hAnsi="MS Mincho" w:cs="MS Mincho"/>
          <w:kern w:val="0"/>
          <w:sz w:val="18"/>
          <w:szCs w:val="24"/>
          <w:lang w:val="zh-CN"/>
        </w:rPr>
        <w:t>本</w:t>
      </w:r>
      <w:r>
        <w:rPr>
          <w:rFonts w:hint="eastAsia" w:ascii="宋体" w:hAnsi="宋体" w:cs="宋体"/>
          <w:kern w:val="0"/>
          <w:sz w:val="18"/>
          <w:szCs w:val="24"/>
          <w:lang w:val="zh-CN"/>
        </w:rPr>
        <w:t>分析核算，向精细化管理要效益；实现可持续发展的人才战略，实现人才队伍的梯队建设，采取有效措施调动员工的积极性和创造性，提升整体综合竞争能力，实现公司及投资者的整体利益最大化。</w:t>
      </w:r>
    </w:p>
    <w:p>
      <w:pPr>
        <w:pStyle w:val="7"/>
        <w:outlineLvl w:val="1"/>
        <w:rPr>
          <w:rFonts w:hint="default"/>
          <w:sz w:val="24"/>
          <w:szCs w:val="24"/>
        </w:rPr>
      </w:pPr>
      <w:r>
        <w:rPr>
          <w:rFonts w:hint="eastAsia"/>
          <w:sz w:val="24"/>
          <w:szCs w:val="24"/>
        </w:rPr>
        <w:t>十、接待调研、沟通、采访等活动</w:t>
      </w:r>
    </w:p>
    <w:p>
      <w:pPr>
        <w:pStyle w:val="8"/>
        <w:outlineLvl w:val="2"/>
        <w:rPr>
          <w:rFonts w:hint="default"/>
          <w:sz w:val="21"/>
          <w:szCs w:val="24"/>
        </w:rPr>
      </w:pPr>
      <w:r>
        <w:rPr>
          <w:rFonts w:hint="default"/>
          <w:sz w:val="21"/>
          <w:szCs w:val="24"/>
        </w:rPr>
        <w:t>1</w:t>
      </w:r>
      <w:r>
        <w:rPr>
          <w:rFonts w:hint="eastAsia"/>
          <w:sz w:val="21"/>
          <w:szCs w:val="24"/>
        </w:rPr>
        <w:t>、报告期内接待调研、沟通、采访等活动登记表</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公司报告期内未发生接待调研、沟通、采访等活动。</w:t>
      </w:r>
    </w:p>
    <w:p>
      <w:pPr>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24"/>
        </w:rPr>
      </w:pPr>
      <w:bookmarkStart w:id="4" w:name="_Toc300000088"/>
      <w:r>
        <w:rPr>
          <w:rFonts w:hint="eastAsia"/>
          <w:b/>
          <w:kern w:val="32"/>
          <w:sz w:val="32"/>
          <w:szCs w:val="24"/>
        </w:rPr>
        <w:t>第五节</w:t>
      </w:r>
      <w:r>
        <w:rPr>
          <w:rFonts w:hint="default"/>
          <w:b/>
          <w:kern w:val="32"/>
          <w:sz w:val="32"/>
          <w:szCs w:val="24"/>
        </w:rPr>
        <w:t xml:space="preserve"> </w:t>
      </w:r>
      <w:r>
        <w:rPr>
          <w:rFonts w:hint="eastAsia"/>
          <w:b/>
          <w:kern w:val="32"/>
          <w:sz w:val="32"/>
          <w:szCs w:val="24"/>
        </w:rPr>
        <w:t>重要事项</w:t>
      </w:r>
      <w:bookmarkEnd w:id="4"/>
    </w:p>
    <w:p>
      <w:pPr>
        <w:pStyle w:val="7"/>
        <w:outlineLvl w:val="1"/>
        <w:rPr>
          <w:rFonts w:hint="default"/>
          <w:sz w:val="24"/>
          <w:szCs w:val="24"/>
        </w:rPr>
      </w:pPr>
      <w:r>
        <w:rPr>
          <w:rFonts w:hint="eastAsia"/>
          <w:sz w:val="24"/>
          <w:szCs w:val="24"/>
        </w:rPr>
        <w:t>一、公司普通股利润分配及资本公积金转增股本情况</w:t>
      </w:r>
    </w:p>
    <w:p>
      <w:pPr>
        <w:jc w:val="left"/>
        <w:rPr>
          <w:rFonts w:hint="default"/>
          <w:sz w:val="18"/>
          <w:szCs w:val="24"/>
        </w:rPr>
      </w:pPr>
      <w:r>
        <w:rPr>
          <w:rFonts w:hint="eastAsia"/>
          <w:sz w:val="18"/>
          <w:szCs w:val="24"/>
        </w:rPr>
        <w:t>报告期内普通股利润分配政策，特别是现金分红政策的制定、执行或调整情况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jc w:val="left"/>
        <w:rPr>
          <w:rFonts w:hint="default" w:eastAsia="Times New Roman"/>
          <w:kern w:val="0"/>
          <w:sz w:val="18"/>
          <w:szCs w:val="24"/>
          <w:lang w:val="zh-CN"/>
        </w:rPr>
      </w:pPr>
      <w:r>
        <w:rPr>
          <w:rFonts w:hint="eastAsia" w:ascii="宋体" w:hAnsi="宋体" w:cs="宋体"/>
          <w:kern w:val="0"/>
          <w:sz w:val="18"/>
          <w:szCs w:val="24"/>
          <w:lang w:val="zh-CN"/>
        </w:rPr>
        <w:t>报告期内，公司严格按照《公司章程》的规定执行利润分配政策，公司利润分配政策的制订或修改由董事会向股东大会提交议案进行表决，独立董事对此发表独立意见，经监事会审议通过后提交股东大会审议。公司现金分红政策制定及执行均符合《公司章程》的规定及股东大会决议的要求，分红标准和比例明确和清晰，相关的决策程序和机制完备，独立董事的职责明确，能发挥应有的作用。在利润分配预案公告之后，公司通过多种渠道主动与股东特别是中小股东进行沟通和交流，充分听取中小股东的意见和诉求，并及时答复中小股东关心的问题。公司严格按照中国证券监督管理委员会及深圳证券交易所的相关规定对利润分配预案及时进行披露，并在年报、半年报中披露利润分配预案和报告期内公司利润分配预案实施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现金分红政策的专项说明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是否符合公司章程的规定或股东大会决议的要求：</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分红标准和比例是否明确和清晰：</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相关的决策程序和机制是否完备：</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独立董事是否履职尽责并发挥了应有的作用：</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中小股东是否有充分表达意见和诉求的机会，其合法权益是否得到了充分保护：</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现金分红政策进行调整或变更的，条件及程序是否合规、透明：</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bl>
    <w:p>
      <w:pPr>
        <w:jc w:val="left"/>
        <w:rPr>
          <w:rFonts w:hint="default"/>
          <w:sz w:val="18"/>
          <w:szCs w:val="24"/>
        </w:rPr>
      </w:pPr>
      <w:r>
        <w:rPr>
          <w:rFonts w:hint="eastAsia"/>
          <w:sz w:val="18"/>
          <w:szCs w:val="24"/>
        </w:rPr>
        <w:t>公司近</w:t>
      </w:r>
      <w:r>
        <w:rPr>
          <w:rFonts w:hint="default"/>
          <w:sz w:val="18"/>
          <w:szCs w:val="24"/>
        </w:rPr>
        <w:t>3</w:t>
      </w:r>
      <w:r>
        <w:rPr>
          <w:rFonts w:hint="eastAsia"/>
          <w:sz w:val="18"/>
          <w:szCs w:val="24"/>
        </w:rPr>
        <w:t>年（包括本报告期）的普通股股利分配方案（预案）、资本公积金转增股本方案（预案）情况</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2020</w:t>
      </w:r>
      <w:r>
        <w:rPr>
          <w:rFonts w:hint="eastAsia" w:ascii="宋体" w:hAnsi="宋体" w:cs="宋体"/>
          <w:kern w:val="0"/>
          <w:sz w:val="18"/>
          <w:szCs w:val="24"/>
          <w:lang w:val="zh-CN"/>
        </w:rPr>
        <w:t>年度利润分配预案为经和信会计师事务所（特殊普通合伙）审计，公司（母公司报表）20</w:t>
      </w:r>
      <w:r>
        <w:rPr>
          <w:rFonts w:hint="eastAsia" w:ascii="宋体" w:hAnsi="宋体" w:cs="宋体"/>
          <w:kern w:val="0"/>
          <w:sz w:val="18"/>
          <w:szCs w:val="24"/>
        </w:rPr>
        <w:t>20</w:t>
      </w:r>
      <w:r>
        <w:rPr>
          <w:rFonts w:hint="eastAsia" w:ascii="宋体" w:hAnsi="宋体" w:cs="宋体"/>
          <w:kern w:val="0"/>
          <w:sz w:val="18"/>
          <w:szCs w:val="24"/>
          <w:lang w:val="zh-CN"/>
        </w:rPr>
        <w:t>年度实现净利</w:t>
      </w:r>
      <w:r>
        <w:rPr>
          <w:rFonts w:hint="default" w:eastAsia="Times New Roman"/>
          <w:kern w:val="0"/>
          <w:sz w:val="18"/>
          <w:szCs w:val="24"/>
          <w:lang w:val="zh-CN"/>
        </w:rPr>
        <w:t>65</w:t>
      </w:r>
      <w:r>
        <w:rPr>
          <w:rFonts w:hint="default" w:eastAsia="Times New Roman"/>
          <w:kern w:val="0"/>
          <w:sz w:val="18"/>
          <w:szCs w:val="24"/>
        </w:rPr>
        <w:t>,</w:t>
      </w:r>
      <w:r>
        <w:rPr>
          <w:rFonts w:hint="default" w:eastAsia="Times New Roman"/>
          <w:kern w:val="0"/>
          <w:sz w:val="18"/>
          <w:szCs w:val="24"/>
          <w:lang w:val="zh-CN"/>
        </w:rPr>
        <w:t>672</w:t>
      </w:r>
      <w:r>
        <w:rPr>
          <w:rFonts w:hint="default" w:eastAsia="Times New Roman"/>
          <w:kern w:val="0"/>
          <w:sz w:val="18"/>
          <w:szCs w:val="24"/>
        </w:rPr>
        <w:t>,</w:t>
      </w:r>
      <w:r>
        <w:rPr>
          <w:rFonts w:hint="default" w:eastAsia="Times New Roman"/>
          <w:kern w:val="0"/>
          <w:sz w:val="18"/>
          <w:szCs w:val="24"/>
          <w:lang w:val="zh-CN"/>
        </w:rPr>
        <w:t>774.88元。公</w:t>
      </w:r>
      <w:r>
        <w:rPr>
          <w:rFonts w:hint="eastAsia" w:ascii="宋体" w:hAnsi="宋体" w:cs="宋体"/>
          <w:kern w:val="0"/>
          <w:sz w:val="18"/>
          <w:szCs w:val="24"/>
          <w:lang w:val="zh-CN"/>
        </w:rPr>
        <w:t>司20</w:t>
      </w:r>
      <w:r>
        <w:rPr>
          <w:rFonts w:hint="eastAsia" w:ascii="宋体" w:hAnsi="宋体" w:cs="宋体"/>
          <w:kern w:val="0"/>
          <w:sz w:val="18"/>
          <w:szCs w:val="24"/>
        </w:rPr>
        <w:t>20</w:t>
      </w:r>
      <w:r>
        <w:rPr>
          <w:rFonts w:hint="eastAsia" w:ascii="宋体" w:hAnsi="宋体" w:cs="宋体"/>
          <w:kern w:val="0"/>
          <w:sz w:val="18"/>
          <w:szCs w:val="24"/>
          <w:lang w:val="zh-CN"/>
        </w:rPr>
        <w:t>年度利润分配方案为：以2020年12月31日公司总股本11,668.00万股为基数，向全体股东每10股派息4.50元（含税）,共派发现金红利</w:t>
      </w:r>
      <w:r>
        <w:rPr>
          <w:rFonts w:hint="default" w:eastAsia="Times New Roman"/>
          <w:kern w:val="0"/>
          <w:sz w:val="18"/>
          <w:szCs w:val="24"/>
          <w:lang w:val="zh-CN"/>
        </w:rPr>
        <w:t>5,250.60</w:t>
      </w:r>
      <w:r>
        <w:rPr>
          <w:rFonts w:hint="eastAsia" w:ascii="宋体" w:hAnsi="宋体" w:cs="宋体"/>
          <w:kern w:val="0"/>
          <w:sz w:val="18"/>
          <w:szCs w:val="24"/>
          <w:lang w:val="zh-CN"/>
        </w:rPr>
        <w:t>万元，同时以资本公积向全体股东每</w:t>
      </w:r>
      <w:r>
        <w:rPr>
          <w:rFonts w:hint="default" w:eastAsia="Times New Roman"/>
          <w:kern w:val="0"/>
          <w:sz w:val="18"/>
          <w:szCs w:val="24"/>
          <w:lang w:val="zh-CN"/>
        </w:rPr>
        <w:t>10</w:t>
      </w:r>
      <w:r>
        <w:rPr>
          <w:rFonts w:hint="eastAsia" w:ascii="宋体" w:hAnsi="宋体" w:cs="宋体"/>
          <w:kern w:val="0"/>
          <w:sz w:val="18"/>
          <w:szCs w:val="24"/>
          <w:lang w:val="zh-CN"/>
        </w:rPr>
        <w:t>股转增</w:t>
      </w:r>
      <w:r>
        <w:rPr>
          <w:rFonts w:hint="default" w:eastAsia="Times New Roman"/>
          <w:kern w:val="0"/>
          <w:sz w:val="18"/>
          <w:szCs w:val="24"/>
          <w:lang w:val="zh-CN"/>
        </w:rPr>
        <w:t>4.50</w:t>
      </w:r>
      <w:r>
        <w:rPr>
          <w:rFonts w:hint="eastAsia" w:ascii="宋体" w:hAnsi="宋体" w:cs="宋体"/>
          <w:kern w:val="0"/>
          <w:sz w:val="18"/>
          <w:szCs w:val="24"/>
          <w:lang w:val="zh-CN"/>
        </w:rPr>
        <w:t>股，共计转增</w:t>
      </w:r>
      <w:r>
        <w:rPr>
          <w:rFonts w:hint="default" w:eastAsia="Times New Roman"/>
          <w:kern w:val="0"/>
          <w:sz w:val="18"/>
          <w:szCs w:val="24"/>
          <w:lang w:val="zh-CN"/>
        </w:rPr>
        <w:t>5,250.60</w:t>
      </w:r>
      <w:r>
        <w:rPr>
          <w:rFonts w:hint="eastAsia" w:ascii="宋体" w:hAnsi="宋体" w:cs="宋体"/>
          <w:kern w:val="0"/>
          <w:sz w:val="18"/>
          <w:szCs w:val="24"/>
          <w:lang w:val="zh-CN"/>
        </w:rPr>
        <w:t>万股（具体以中国证券登记结算有限责任公司深圳分公司登记为准）。转增金额未超过报告期末</w:t>
      </w:r>
      <w:r>
        <w:rPr>
          <w:rFonts w:hint="default" w:eastAsia="Times New Roman"/>
          <w:kern w:val="0"/>
          <w:sz w:val="18"/>
          <w:szCs w:val="24"/>
          <w:lang w:val="zh-CN"/>
        </w:rPr>
        <w:t>“</w:t>
      </w:r>
      <w:r>
        <w:rPr>
          <w:rFonts w:hint="eastAsia" w:ascii="宋体" w:hAnsi="宋体" w:cs="宋体"/>
          <w:kern w:val="0"/>
          <w:sz w:val="18"/>
          <w:szCs w:val="24"/>
          <w:lang w:val="zh-CN"/>
        </w:rPr>
        <w:t>资本公积</w:t>
      </w:r>
      <w:r>
        <w:rPr>
          <w:rFonts w:hint="default" w:eastAsia="Times New Roman"/>
          <w:kern w:val="0"/>
          <w:sz w:val="18"/>
          <w:szCs w:val="24"/>
          <w:lang w:val="zh-CN"/>
        </w:rPr>
        <w:t>—</w:t>
      </w:r>
      <w:r>
        <w:rPr>
          <w:rFonts w:hint="eastAsia" w:ascii="宋体" w:hAnsi="宋体" w:cs="宋体"/>
          <w:kern w:val="0"/>
          <w:sz w:val="18"/>
          <w:szCs w:val="24"/>
          <w:lang w:val="zh-CN"/>
        </w:rPr>
        <w:t>股本溢价</w:t>
      </w:r>
      <w:r>
        <w:rPr>
          <w:rFonts w:hint="default" w:eastAsia="Times New Roman"/>
          <w:kern w:val="0"/>
          <w:sz w:val="18"/>
          <w:szCs w:val="24"/>
          <w:lang w:val="zh-CN"/>
        </w:rPr>
        <w:t>”</w:t>
      </w:r>
      <w:r>
        <w:rPr>
          <w:rFonts w:hint="eastAsia" w:ascii="宋体" w:hAnsi="宋体" w:cs="宋体"/>
          <w:kern w:val="0"/>
          <w:sz w:val="18"/>
          <w:szCs w:val="24"/>
          <w:lang w:val="zh-CN"/>
        </w:rPr>
        <w:t>的余额，转增后公司总股本增至16,918.60万股。经过本次分配后未分配利润剩余部分结转以后年度分配。</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2019</w:t>
      </w:r>
      <w:r>
        <w:rPr>
          <w:rFonts w:hint="eastAsia" w:ascii="宋体" w:hAnsi="宋体" w:cs="宋体"/>
          <w:kern w:val="0"/>
          <w:sz w:val="18"/>
          <w:szCs w:val="24"/>
          <w:lang w:val="zh-CN"/>
        </w:rPr>
        <w:t>年度利润分配预案为经和信会计师事务所（特殊普通合伙）审计，公司（母公司报表）</w:t>
      </w:r>
      <w:r>
        <w:rPr>
          <w:rFonts w:hint="default" w:eastAsia="Times New Roman"/>
          <w:kern w:val="0"/>
          <w:sz w:val="18"/>
          <w:szCs w:val="24"/>
          <w:lang w:val="zh-CN"/>
        </w:rPr>
        <w:t>2019</w:t>
      </w:r>
      <w:r>
        <w:rPr>
          <w:rFonts w:hint="eastAsia" w:ascii="宋体" w:hAnsi="宋体" w:cs="宋体"/>
          <w:kern w:val="0"/>
          <w:sz w:val="18"/>
          <w:szCs w:val="24"/>
          <w:lang w:val="zh-CN"/>
        </w:rPr>
        <w:t>年度实现净利</w:t>
      </w:r>
      <w:r>
        <w:rPr>
          <w:rFonts w:hint="default" w:eastAsia="Times New Roman"/>
          <w:kern w:val="0"/>
          <w:sz w:val="18"/>
          <w:szCs w:val="24"/>
          <w:lang w:val="zh-CN"/>
        </w:rPr>
        <w:t>67,783,389.02</w:t>
      </w:r>
      <w:r>
        <w:rPr>
          <w:rFonts w:hint="eastAsia" w:ascii="宋体" w:hAnsi="宋体" w:cs="宋体"/>
          <w:kern w:val="0"/>
          <w:sz w:val="18"/>
          <w:szCs w:val="24"/>
          <w:lang w:val="zh-CN"/>
        </w:rPr>
        <w:t>元。公司</w:t>
      </w:r>
      <w:r>
        <w:rPr>
          <w:rFonts w:hint="default" w:eastAsia="Times New Roman"/>
          <w:kern w:val="0"/>
          <w:sz w:val="18"/>
          <w:szCs w:val="24"/>
          <w:lang w:val="zh-CN"/>
        </w:rPr>
        <w:t>2019</w:t>
      </w:r>
      <w:r>
        <w:rPr>
          <w:rFonts w:hint="eastAsia" w:ascii="宋体" w:hAnsi="宋体" w:cs="宋体"/>
          <w:kern w:val="0"/>
          <w:sz w:val="18"/>
          <w:szCs w:val="24"/>
          <w:lang w:val="zh-CN"/>
        </w:rPr>
        <w:t>年度利润分配方案为：以</w:t>
      </w:r>
      <w:r>
        <w:rPr>
          <w:rFonts w:hint="default" w:eastAsia="Times New Roman"/>
          <w:kern w:val="0"/>
          <w:sz w:val="18"/>
          <w:szCs w:val="24"/>
          <w:lang w:val="zh-CN"/>
        </w:rPr>
        <w:t>2019</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w:t>
      </w:r>
      <w:r>
        <w:rPr>
          <w:rFonts w:hint="default" w:eastAsia="Times New Roman"/>
          <w:kern w:val="0"/>
          <w:sz w:val="18"/>
          <w:szCs w:val="24"/>
          <w:lang w:val="zh-CN"/>
        </w:rPr>
        <w:t>31</w:t>
      </w:r>
      <w:r>
        <w:rPr>
          <w:rFonts w:hint="eastAsia" w:ascii="宋体" w:hAnsi="宋体" w:cs="宋体"/>
          <w:kern w:val="0"/>
          <w:sz w:val="18"/>
          <w:szCs w:val="24"/>
          <w:lang w:val="zh-CN"/>
        </w:rPr>
        <w:t>日的总股本</w:t>
      </w:r>
      <w:r>
        <w:rPr>
          <w:rFonts w:hint="default" w:eastAsia="Times New Roman"/>
          <w:kern w:val="0"/>
          <w:sz w:val="18"/>
          <w:szCs w:val="24"/>
          <w:lang w:val="zh-CN"/>
        </w:rPr>
        <w:t>11,672.20</w:t>
      </w:r>
      <w:r>
        <w:rPr>
          <w:rFonts w:hint="eastAsia" w:ascii="宋体" w:hAnsi="宋体" w:cs="宋体"/>
          <w:kern w:val="0"/>
          <w:sz w:val="18"/>
          <w:szCs w:val="24"/>
          <w:lang w:val="zh-CN"/>
        </w:rPr>
        <w:t>万股为基数，向全体股东按每</w:t>
      </w:r>
      <w:r>
        <w:rPr>
          <w:rFonts w:hint="default" w:eastAsia="Times New Roman"/>
          <w:kern w:val="0"/>
          <w:sz w:val="18"/>
          <w:szCs w:val="24"/>
          <w:lang w:val="zh-CN"/>
        </w:rPr>
        <w:t>10</w:t>
      </w:r>
      <w:r>
        <w:rPr>
          <w:rFonts w:hint="eastAsia" w:ascii="宋体" w:hAnsi="宋体" w:cs="宋体"/>
          <w:kern w:val="0"/>
          <w:sz w:val="18"/>
          <w:szCs w:val="24"/>
          <w:lang w:val="zh-CN"/>
        </w:rPr>
        <w:t>股派息</w:t>
      </w:r>
      <w:r>
        <w:rPr>
          <w:rFonts w:hint="default" w:eastAsia="Times New Roman"/>
          <w:kern w:val="0"/>
          <w:sz w:val="18"/>
          <w:szCs w:val="24"/>
          <w:lang w:val="zh-CN"/>
        </w:rPr>
        <w:t>4.50</w:t>
      </w:r>
      <w:r>
        <w:rPr>
          <w:rFonts w:hint="eastAsia" w:ascii="宋体" w:hAnsi="宋体" w:cs="宋体"/>
          <w:kern w:val="0"/>
          <w:sz w:val="18"/>
          <w:szCs w:val="24"/>
          <w:lang w:val="zh-CN"/>
        </w:rPr>
        <w:t>元（含税），共派发现金红利</w:t>
      </w:r>
      <w:r>
        <w:rPr>
          <w:rFonts w:hint="default" w:eastAsia="Times New Roman"/>
          <w:kern w:val="0"/>
          <w:sz w:val="18"/>
          <w:szCs w:val="24"/>
          <w:lang w:val="zh-CN"/>
        </w:rPr>
        <w:t>5,252.49</w:t>
      </w:r>
      <w:r>
        <w:rPr>
          <w:rFonts w:hint="eastAsia" w:ascii="宋体" w:hAnsi="宋体" w:cs="宋体"/>
          <w:kern w:val="0"/>
          <w:sz w:val="18"/>
          <w:szCs w:val="24"/>
          <w:lang w:val="zh-CN"/>
        </w:rPr>
        <w:t>万元（含税），送红股</w:t>
      </w:r>
      <w:r>
        <w:rPr>
          <w:rFonts w:hint="default" w:eastAsia="Times New Roman"/>
          <w:kern w:val="0"/>
          <w:sz w:val="18"/>
          <w:szCs w:val="24"/>
          <w:lang w:val="zh-CN"/>
        </w:rPr>
        <w:t>0</w:t>
      </w:r>
      <w:r>
        <w:rPr>
          <w:rFonts w:hint="eastAsia" w:ascii="宋体" w:hAnsi="宋体" w:cs="宋体"/>
          <w:kern w:val="0"/>
          <w:sz w:val="18"/>
          <w:szCs w:val="24"/>
          <w:lang w:val="zh-CN"/>
        </w:rPr>
        <w:t>股，不以公积金转增股本，剩余未分配利润结转下一年度。</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2018</w:t>
      </w:r>
      <w:r>
        <w:rPr>
          <w:rFonts w:hint="eastAsia" w:ascii="宋体" w:hAnsi="宋体" w:cs="宋体"/>
          <w:kern w:val="0"/>
          <w:sz w:val="18"/>
          <w:szCs w:val="24"/>
          <w:lang w:val="zh-CN"/>
        </w:rPr>
        <w:t>年度利润分配预案为经山东和信会计师事务所（特殊普通合伙）审计，公司（母公司报表）</w:t>
      </w:r>
      <w:r>
        <w:rPr>
          <w:rFonts w:hint="default" w:eastAsia="Times New Roman"/>
          <w:kern w:val="0"/>
          <w:sz w:val="18"/>
          <w:szCs w:val="24"/>
          <w:lang w:val="zh-CN"/>
        </w:rPr>
        <w:t>2018</w:t>
      </w:r>
      <w:r>
        <w:rPr>
          <w:rFonts w:hint="eastAsia" w:ascii="宋体" w:hAnsi="宋体" w:cs="宋体"/>
          <w:kern w:val="0"/>
          <w:sz w:val="18"/>
          <w:szCs w:val="24"/>
          <w:lang w:val="zh-CN"/>
        </w:rPr>
        <w:t>年度实现净利</w:t>
      </w:r>
      <w:r>
        <w:rPr>
          <w:rFonts w:hint="default" w:eastAsia="Times New Roman"/>
          <w:kern w:val="0"/>
          <w:sz w:val="18"/>
          <w:szCs w:val="24"/>
          <w:lang w:val="zh-CN"/>
        </w:rPr>
        <w:t>83,286,513.28</w:t>
      </w:r>
      <w:r>
        <w:rPr>
          <w:rFonts w:hint="eastAsia" w:ascii="宋体" w:hAnsi="宋体" w:cs="宋体"/>
          <w:kern w:val="0"/>
          <w:sz w:val="18"/>
          <w:szCs w:val="24"/>
          <w:lang w:val="zh-CN"/>
        </w:rPr>
        <w:t>元。公司</w:t>
      </w:r>
      <w:r>
        <w:rPr>
          <w:rFonts w:hint="default" w:eastAsia="Times New Roman"/>
          <w:kern w:val="0"/>
          <w:sz w:val="18"/>
          <w:szCs w:val="24"/>
          <w:lang w:val="zh-CN"/>
        </w:rPr>
        <w:t>2018</w:t>
      </w:r>
      <w:r>
        <w:rPr>
          <w:rFonts w:hint="eastAsia" w:ascii="宋体" w:hAnsi="宋体" w:cs="宋体"/>
          <w:kern w:val="0"/>
          <w:sz w:val="18"/>
          <w:szCs w:val="24"/>
          <w:lang w:val="zh-CN"/>
        </w:rPr>
        <w:t>年度利润分配方案为：以</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w:t>
      </w:r>
      <w:r>
        <w:rPr>
          <w:rFonts w:hint="default" w:eastAsia="Times New Roman"/>
          <w:kern w:val="0"/>
          <w:sz w:val="18"/>
          <w:szCs w:val="24"/>
          <w:lang w:val="zh-CN"/>
        </w:rPr>
        <w:t>31</w:t>
      </w:r>
      <w:r>
        <w:rPr>
          <w:rFonts w:hint="eastAsia" w:ascii="宋体" w:hAnsi="宋体" w:cs="宋体"/>
          <w:kern w:val="0"/>
          <w:sz w:val="18"/>
          <w:szCs w:val="24"/>
          <w:lang w:val="zh-CN"/>
        </w:rPr>
        <w:t>日的总股</w:t>
      </w:r>
      <w:r>
        <w:rPr>
          <w:rFonts w:hint="default" w:eastAsia="Times New Roman"/>
          <w:kern w:val="0"/>
          <w:sz w:val="18"/>
          <w:szCs w:val="24"/>
          <w:lang w:val="zh-CN"/>
        </w:rPr>
        <w:t>11,672.20</w:t>
      </w:r>
      <w:r>
        <w:rPr>
          <w:rFonts w:hint="eastAsia" w:ascii="宋体" w:hAnsi="宋体" w:cs="宋体"/>
          <w:kern w:val="0"/>
          <w:sz w:val="18"/>
          <w:szCs w:val="24"/>
          <w:lang w:val="zh-CN"/>
        </w:rPr>
        <w:t>万股为基数，向全体股东按每</w:t>
      </w:r>
      <w:r>
        <w:rPr>
          <w:rFonts w:hint="default" w:eastAsia="Times New Roman"/>
          <w:kern w:val="0"/>
          <w:sz w:val="18"/>
          <w:szCs w:val="24"/>
          <w:lang w:val="zh-CN"/>
        </w:rPr>
        <w:t>10</w:t>
      </w:r>
      <w:r>
        <w:rPr>
          <w:rFonts w:hint="eastAsia" w:ascii="宋体" w:hAnsi="宋体" w:cs="宋体"/>
          <w:kern w:val="0"/>
          <w:sz w:val="18"/>
          <w:szCs w:val="24"/>
          <w:lang w:val="zh-CN"/>
        </w:rPr>
        <w:t>股派息</w:t>
      </w:r>
      <w:r>
        <w:rPr>
          <w:rFonts w:hint="default" w:eastAsia="Times New Roman"/>
          <w:kern w:val="0"/>
          <w:sz w:val="18"/>
          <w:szCs w:val="24"/>
          <w:lang w:val="zh-CN"/>
        </w:rPr>
        <w:t>2.00</w:t>
      </w:r>
      <w:r>
        <w:rPr>
          <w:rFonts w:hint="eastAsia" w:ascii="宋体" w:hAnsi="宋体" w:cs="宋体"/>
          <w:kern w:val="0"/>
          <w:sz w:val="18"/>
          <w:szCs w:val="24"/>
          <w:lang w:val="zh-CN"/>
        </w:rPr>
        <w:t>元（含税），共派发现金红利</w:t>
      </w:r>
      <w:r>
        <w:rPr>
          <w:rFonts w:hint="default" w:eastAsia="Times New Roman"/>
          <w:kern w:val="0"/>
          <w:sz w:val="18"/>
          <w:szCs w:val="24"/>
          <w:lang w:val="zh-CN"/>
        </w:rPr>
        <w:t>2334.44</w:t>
      </w:r>
      <w:r>
        <w:rPr>
          <w:rFonts w:hint="eastAsia" w:ascii="宋体" w:hAnsi="宋体" w:cs="宋体"/>
          <w:kern w:val="0"/>
          <w:sz w:val="18"/>
          <w:szCs w:val="24"/>
          <w:lang w:val="zh-CN"/>
        </w:rPr>
        <w:t>万元（含税），送红股</w:t>
      </w:r>
      <w:r>
        <w:rPr>
          <w:rFonts w:hint="default" w:eastAsia="Times New Roman"/>
          <w:kern w:val="0"/>
          <w:sz w:val="18"/>
          <w:szCs w:val="24"/>
          <w:lang w:val="zh-CN"/>
        </w:rPr>
        <w:t>0</w:t>
      </w:r>
      <w:r>
        <w:rPr>
          <w:rFonts w:hint="eastAsia" w:ascii="宋体" w:hAnsi="宋体" w:cs="宋体"/>
          <w:kern w:val="0"/>
          <w:sz w:val="18"/>
          <w:szCs w:val="24"/>
          <w:lang w:val="zh-CN"/>
        </w:rPr>
        <w:t>股，不以公积金转增股本，剩余未分配利润结转下一年度。</w:t>
      </w:r>
    </w:p>
    <w:p>
      <w:pPr>
        <w:jc w:val="left"/>
        <w:rPr>
          <w:rFonts w:hint="default"/>
          <w:sz w:val="18"/>
          <w:szCs w:val="24"/>
        </w:rPr>
      </w:pPr>
      <w:r>
        <w:rPr>
          <w:rFonts w:hint="eastAsia"/>
          <w:sz w:val="18"/>
          <w:szCs w:val="24"/>
        </w:rPr>
        <w:t>公司近三年（包括本报告期）普通股现金分红情况表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197"/>
        <w:gridCol w:w="1195"/>
        <w:gridCol w:w="1196"/>
        <w:gridCol w:w="1196"/>
        <w:gridCol w:w="1196"/>
        <w:gridCol w:w="1196"/>
        <w:gridCol w:w="1196"/>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分红年度</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现金分红金额（含税）</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分红年度合并报表中归属于上市公司普通股股东的净利润</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现金分红金额占合并报表中归属于上市公司普通股股东的净利润的比率</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以其他方式（如回购股份）现金分红的金额</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以其他方式现金分红金额占合并报表中归属于上市公司普通股股东的净利润的比例</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现金分红总额（含其他方式）</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现金分红总额（含其他方式）占合并报表中归属于上市公司普通股股东的净利润的比率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57,968,093.00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90.58%</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2019</w:t>
            </w:r>
            <w:r>
              <w:rPr>
                <w:rFonts w:hint="eastAsia"/>
                <w:sz w:val="18"/>
                <w:szCs w:val="24"/>
              </w:rPr>
              <w:t>年</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52,524,900.00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52,983,867.54</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99.13%</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52,524,900.00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2018</w:t>
            </w:r>
            <w:r>
              <w:rPr>
                <w:rFonts w:hint="eastAsia"/>
                <w:sz w:val="18"/>
                <w:szCs w:val="24"/>
              </w:rPr>
              <w:t>年</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23,348,400.00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77,680,421.96</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30.06%</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23,348,400.00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30.06%</w:t>
            </w:r>
          </w:p>
        </w:tc>
      </w:tr>
    </w:tbl>
    <w:p>
      <w:pPr>
        <w:jc w:val="left"/>
        <w:rPr>
          <w:rFonts w:hint="default"/>
          <w:sz w:val="18"/>
          <w:szCs w:val="24"/>
        </w:rPr>
      </w:pPr>
      <w:r>
        <w:rPr>
          <w:rFonts w:hint="eastAsia"/>
          <w:sz w:val="18"/>
          <w:szCs w:val="24"/>
        </w:rPr>
        <w:t>公司报告期内盈利且母公司可供普通股股东分配利润为正但未提出普通股现金红利分配预案</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二、本报告期利润分配及资本公积金转增股本情况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795"/>
        <w:gridCol w:w="5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每</w:t>
            </w:r>
            <w:r>
              <w:rPr>
                <w:rFonts w:hint="default"/>
                <w:sz w:val="18"/>
                <w:szCs w:val="24"/>
              </w:rPr>
              <w:t>10</w:t>
            </w:r>
            <w:r>
              <w:rPr>
                <w:rFonts w:hint="eastAsia"/>
                <w:sz w:val="18"/>
                <w:szCs w:val="24"/>
              </w:rPr>
              <w:t>股送红股数（股）</w:t>
            </w:r>
          </w:p>
        </w:tc>
        <w:tc>
          <w:tcPr>
            <w:tcW w:w="577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每</w:t>
            </w:r>
            <w:r>
              <w:rPr>
                <w:rFonts w:hint="default"/>
                <w:sz w:val="18"/>
                <w:szCs w:val="24"/>
              </w:rPr>
              <w:t>10</w:t>
            </w:r>
            <w:r>
              <w:rPr>
                <w:rFonts w:hint="eastAsia"/>
                <w:sz w:val="18"/>
                <w:szCs w:val="24"/>
              </w:rPr>
              <w:t>股派息数（元）（含税）</w:t>
            </w:r>
          </w:p>
        </w:tc>
        <w:tc>
          <w:tcPr>
            <w:tcW w:w="577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每</w:t>
            </w:r>
            <w:r>
              <w:rPr>
                <w:rFonts w:hint="default"/>
                <w:sz w:val="18"/>
                <w:szCs w:val="24"/>
              </w:rPr>
              <w:t>10</w:t>
            </w:r>
            <w:r>
              <w:rPr>
                <w:rFonts w:hint="eastAsia"/>
                <w:sz w:val="18"/>
                <w:szCs w:val="24"/>
              </w:rPr>
              <w:t>股转增数（股）</w:t>
            </w:r>
          </w:p>
        </w:tc>
        <w:tc>
          <w:tcPr>
            <w:tcW w:w="577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分配预案的股本基数（股）</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116</w:t>
            </w:r>
            <w:r>
              <w:rPr>
                <w:rFonts w:hint="eastAsia"/>
                <w:sz w:val="18"/>
                <w:szCs w:val="24"/>
              </w:rPr>
              <w:t>,</w:t>
            </w:r>
            <w:r>
              <w:rPr>
                <w:rFonts w:hint="default"/>
                <w:sz w:val="18"/>
                <w:szCs w:val="24"/>
              </w:rPr>
              <w:t>680</w:t>
            </w:r>
            <w:r>
              <w:rPr>
                <w:rFonts w:hint="eastAsia"/>
                <w:sz w:val="18"/>
                <w:szCs w:val="24"/>
              </w:rPr>
              <w:t>,</w:t>
            </w: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现金分红金额（元）（含税）</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以其他方式（如回购股份）现金分红金额（元）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现金分红总额（含其他方式）（元）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可分配利润（元）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252,498,577.96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现金分红总额（含其他方式）占利润分配总额的比例</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本次现金分红情况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公司发展阶段属成熟期且无重大资金支出安排的，进行利润分配时，现金分红在本次利润分配中所占比例最低应达到</w:t>
            </w:r>
            <w:r>
              <w:rPr>
                <w:rFonts w:hint="default"/>
                <w:sz w:val="18"/>
                <w:szCs w:val="24"/>
              </w:rPr>
              <w:t>80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利润分配或资本公积金转增预案的详细情况说明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公司以</w:t>
            </w: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日公司总股本</w:t>
            </w:r>
            <w:r>
              <w:rPr>
                <w:rFonts w:hint="default"/>
                <w:sz w:val="18"/>
                <w:szCs w:val="24"/>
              </w:rPr>
              <w:t>11,668.00</w:t>
            </w:r>
            <w:r>
              <w:rPr>
                <w:rFonts w:hint="eastAsia"/>
                <w:sz w:val="18"/>
                <w:szCs w:val="24"/>
              </w:rPr>
              <w:t>万股为基数，向全体股东每</w:t>
            </w:r>
            <w:r>
              <w:rPr>
                <w:rFonts w:hint="default"/>
                <w:sz w:val="18"/>
                <w:szCs w:val="24"/>
              </w:rPr>
              <w:t>10</w:t>
            </w:r>
            <w:r>
              <w:rPr>
                <w:rFonts w:hint="eastAsia"/>
                <w:sz w:val="18"/>
                <w:szCs w:val="24"/>
              </w:rPr>
              <w:t>股派息</w:t>
            </w:r>
            <w:r>
              <w:rPr>
                <w:rFonts w:hint="default"/>
                <w:sz w:val="18"/>
                <w:szCs w:val="24"/>
              </w:rPr>
              <w:t>4.50</w:t>
            </w:r>
            <w:r>
              <w:rPr>
                <w:rFonts w:hint="eastAsia"/>
                <w:sz w:val="18"/>
                <w:szCs w:val="24"/>
              </w:rPr>
              <w:t>元（含税）</w:t>
            </w:r>
            <w:r>
              <w:rPr>
                <w:rFonts w:hint="default"/>
                <w:sz w:val="18"/>
                <w:szCs w:val="24"/>
              </w:rPr>
              <w:t>,</w:t>
            </w:r>
            <w:r>
              <w:rPr>
                <w:rFonts w:hint="eastAsia"/>
                <w:sz w:val="18"/>
                <w:szCs w:val="24"/>
              </w:rPr>
              <w:t>共派发现金红利</w:t>
            </w:r>
            <w:r>
              <w:rPr>
                <w:rFonts w:hint="default"/>
                <w:sz w:val="18"/>
                <w:szCs w:val="24"/>
              </w:rPr>
              <w:t>5,250.60</w:t>
            </w:r>
            <w:r>
              <w:rPr>
                <w:rFonts w:hint="eastAsia"/>
                <w:sz w:val="18"/>
                <w:szCs w:val="24"/>
              </w:rPr>
              <w:t>万元，同时以资本公积向全体股东每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股，共计转增</w:t>
            </w:r>
            <w:r>
              <w:rPr>
                <w:rFonts w:hint="default"/>
                <w:sz w:val="18"/>
                <w:szCs w:val="24"/>
              </w:rPr>
              <w:t>5,250.60</w:t>
            </w:r>
            <w:r>
              <w:rPr>
                <w:rFonts w:hint="eastAsia"/>
                <w:sz w:val="18"/>
                <w:szCs w:val="24"/>
              </w:rPr>
              <w:t>万股（具体以中国证券登记结算有限责任公司深圳分公司登记为准）。转增金额未超过报告期末</w:t>
            </w:r>
            <w:r>
              <w:rPr>
                <w:rFonts w:hint="default"/>
                <w:sz w:val="18"/>
                <w:szCs w:val="24"/>
              </w:rPr>
              <w:t>“</w:t>
            </w:r>
            <w:r>
              <w:rPr>
                <w:rFonts w:hint="eastAsia"/>
                <w:sz w:val="18"/>
                <w:szCs w:val="24"/>
              </w:rPr>
              <w:t>资本公积</w:t>
            </w:r>
            <w:r>
              <w:rPr>
                <w:rFonts w:hint="default"/>
                <w:sz w:val="18"/>
                <w:szCs w:val="24"/>
              </w:rPr>
              <w:t>—</w:t>
            </w:r>
            <w:r>
              <w:rPr>
                <w:rFonts w:hint="eastAsia"/>
                <w:sz w:val="18"/>
                <w:szCs w:val="24"/>
              </w:rPr>
              <w:t>股本溢价</w:t>
            </w:r>
            <w:r>
              <w:rPr>
                <w:rFonts w:hint="default"/>
                <w:sz w:val="18"/>
                <w:szCs w:val="24"/>
              </w:rPr>
              <w:t>”</w:t>
            </w:r>
            <w:r>
              <w:rPr>
                <w:rFonts w:hint="eastAsia"/>
                <w:sz w:val="18"/>
                <w:szCs w:val="24"/>
              </w:rPr>
              <w:t>的余额，</w:t>
            </w:r>
            <w:r>
              <w:rPr>
                <w:rFonts w:hint="eastAsia" w:ascii="宋体" w:hAnsi="宋体" w:cs="宋体"/>
                <w:kern w:val="0"/>
                <w:sz w:val="18"/>
                <w:szCs w:val="24"/>
                <w:lang w:val="zh-CN"/>
              </w:rPr>
              <w:t>转增后公司总股本增至16,918.60万股</w:t>
            </w:r>
            <w:r>
              <w:rPr>
                <w:rFonts w:hint="eastAsia" w:ascii="宋体" w:hAnsi="宋体" w:cs="宋体"/>
                <w:kern w:val="0"/>
                <w:sz w:val="18"/>
                <w:szCs w:val="24"/>
                <w:lang w:val="en-US" w:eastAsia="zh-CN"/>
              </w:rPr>
              <w:t>,</w:t>
            </w:r>
            <w:r>
              <w:rPr>
                <w:rFonts w:hint="eastAsia"/>
                <w:sz w:val="18"/>
                <w:szCs w:val="24"/>
              </w:rPr>
              <w:t>经过本次分配后未分配利润剩余部分结转以后年度分配。</w:t>
            </w:r>
          </w:p>
        </w:tc>
      </w:tr>
    </w:tbl>
    <w:p>
      <w:pPr>
        <w:pStyle w:val="7"/>
        <w:outlineLvl w:val="1"/>
        <w:rPr>
          <w:rFonts w:hint="default"/>
          <w:sz w:val="24"/>
          <w:szCs w:val="24"/>
        </w:rPr>
      </w:pPr>
      <w:r>
        <w:rPr>
          <w:rFonts w:hint="eastAsia"/>
          <w:sz w:val="24"/>
          <w:szCs w:val="24"/>
        </w:rPr>
        <w:t>三、承诺事项履行情况</w:t>
      </w:r>
    </w:p>
    <w:p>
      <w:pPr>
        <w:pStyle w:val="8"/>
        <w:outlineLvl w:val="2"/>
        <w:rPr>
          <w:rFonts w:hint="default"/>
          <w:sz w:val="21"/>
          <w:szCs w:val="24"/>
        </w:rPr>
      </w:pPr>
      <w:r>
        <w:rPr>
          <w:rFonts w:hint="default"/>
          <w:sz w:val="21"/>
          <w:szCs w:val="24"/>
        </w:rPr>
        <w:t>1</w:t>
      </w:r>
      <w:r>
        <w:rPr>
          <w:rFonts w:hint="eastAsia"/>
          <w:sz w:val="21"/>
          <w:szCs w:val="24"/>
        </w:rPr>
        <w:t>、公司实际控制人、股东、关联方、收购人以及公司等承诺相关方在报告期内履行完毕及截至报告期末尚未履行完毕的承诺事项</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836"/>
        <w:gridCol w:w="1125"/>
        <w:gridCol w:w="1126"/>
        <w:gridCol w:w="1126"/>
        <w:gridCol w:w="1126"/>
        <w:gridCol w:w="1121"/>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承诺事由</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承诺方</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承诺类型</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承诺内容</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承诺时间</w:t>
            </w: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承诺期限</w:t>
            </w: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履行情况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股改承诺</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收购报告书或权益变动报告书中所作承诺</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资产重组时所作承诺</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首次公开发行或再融资时所作承诺</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范庆伟、范玉隆</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发行股份的锁定期</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本次发行前实际控制人范庆伟、范玉隆承诺：自公司股票上市之日起三十六个月内，本人不转让或者委托他人管理本次发行前已持有的公司股份，也不由公司回购该部分股份。公司上市后</w:t>
            </w:r>
            <w:r>
              <w:rPr>
                <w:rFonts w:hint="default"/>
                <w:sz w:val="18"/>
                <w:szCs w:val="24"/>
              </w:rPr>
              <w:t>6</w:t>
            </w:r>
            <w:r>
              <w:rPr>
                <w:rFonts w:hint="eastAsia"/>
                <w:sz w:val="18"/>
                <w:szCs w:val="24"/>
              </w:rPr>
              <w:t>个月内，如公司股票连续</w:t>
            </w:r>
            <w:r>
              <w:rPr>
                <w:rFonts w:hint="default"/>
                <w:sz w:val="18"/>
                <w:szCs w:val="24"/>
              </w:rPr>
              <w:t>20</w:t>
            </w:r>
            <w:r>
              <w:rPr>
                <w:rFonts w:hint="eastAsia"/>
                <w:sz w:val="18"/>
                <w:szCs w:val="24"/>
              </w:rPr>
              <w:t>个交易日的收盘价（如果因派发现金红利、送股、转增股本等原因进行除权、除息的，须按照中国证券监督管理委员会、深圳证券交易所的有关规定作相应调整）均低于公司首次公开发行股票时的发行价，或者上市后</w:t>
            </w:r>
            <w:r>
              <w:rPr>
                <w:rFonts w:hint="default"/>
                <w:sz w:val="18"/>
                <w:szCs w:val="24"/>
              </w:rPr>
              <w:t>6</w:t>
            </w:r>
            <w:r>
              <w:rPr>
                <w:rFonts w:hint="eastAsia"/>
                <w:sz w:val="18"/>
                <w:szCs w:val="24"/>
              </w:rPr>
              <w:t>个月期末的收盘价（如果因派发现金红利、送股、转增股本等原因进行除权、除息的，须按照中国证券监督管理委员会、深圳证券交易所的有关规定作相应调整）低于公司首次公开发行股票时的发行价，本人持有的公司股票的锁定期限自动延长</w:t>
            </w:r>
            <w:r>
              <w:rPr>
                <w:rFonts w:hint="default"/>
                <w:sz w:val="18"/>
                <w:szCs w:val="24"/>
              </w:rPr>
              <w:t>6</w:t>
            </w:r>
            <w:r>
              <w:rPr>
                <w:rFonts w:hint="eastAsia"/>
                <w:sz w:val="18"/>
                <w:szCs w:val="24"/>
              </w:rPr>
              <w:t>个月。</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2017</w:t>
            </w:r>
            <w:r>
              <w:rPr>
                <w:rFonts w:hint="eastAsia"/>
                <w:sz w:val="18"/>
                <w:szCs w:val="24"/>
              </w:rPr>
              <w:t>年</w:t>
            </w:r>
            <w:r>
              <w:rPr>
                <w:rFonts w:hint="default"/>
                <w:sz w:val="18"/>
                <w:szCs w:val="24"/>
              </w:rPr>
              <w:t>05</w:t>
            </w:r>
            <w:r>
              <w:rPr>
                <w:rFonts w:hint="eastAsia"/>
                <w:sz w:val="18"/>
                <w:szCs w:val="24"/>
              </w:rPr>
              <w:t>月</w:t>
            </w:r>
            <w:r>
              <w:rPr>
                <w:rFonts w:hint="default"/>
                <w:sz w:val="18"/>
                <w:szCs w:val="24"/>
              </w:rPr>
              <w:t>11</w:t>
            </w:r>
            <w:r>
              <w:rPr>
                <w:rFonts w:hint="eastAsia"/>
                <w:sz w:val="18"/>
                <w:szCs w:val="24"/>
              </w:rPr>
              <w:t>日</w:t>
            </w: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36</w:t>
            </w:r>
            <w:r>
              <w:rPr>
                <w:rFonts w:hint="eastAsia"/>
                <w:sz w:val="18"/>
                <w:szCs w:val="24"/>
              </w:rPr>
              <w:t>个月</w:t>
            </w: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履行完毕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3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江西惠隆企业管理有限公司</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发行股份的锁定期</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公司股东惠隆企管承诺：自公司股票上市之日起三十六个月内，本公司不转让或者委托他人管理本次发行前已持有的公司股份，也不由公司回购该部分股份。公司上市后</w:t>
            </w:r>
            <w:r>
              <w:rPr>
                <w:rFonts w:hint="default"/>
                <w:sz w:val="18"/>
                <w:szCs w:val="24"/>
              </w:rPr>
              <w:t>6</w:t>
            </w:r>
            <w:r>
              <w:rPr>
                <w:rFonts w:hint="eastAsia"/>
                <w:sz w:val="18"/>
                <w:szCs w:val="24"/>
              </w:rPr>
              <w:t>个月内，如公司股票连续</w:t>
            </w:r>
            <w:r>
              <w:rPr>
                <w:rFonts w:hint="default"/>
                <w:sz w:val="18"/>
                <w:szCs w:val="24"/>
              </w:rPr>
              <w:t>20</w:t>
            </w:r>
            <w:r>
              <w:rPr>
                <w:rFonts w:hint="eastAsia"/>
                <w:sz w:val="18"/>
                <w:szCs w:val="24"/>
              </w:rPr>
              <w:t>个交易日的收盘价（如果因派发现金红利、送股、转增股本等原因进行除权、除息的，须按照中国证券监督管理委员会、深圳证券交易所的有关规定作相应调整）均低于公司首次公开发行股票时的发行价，或者上市后</w:t>
            </w:r>
            <w:r>
              <w:rPr>
                <w:rFonts w:hint="default"/>
                <w:sz w:val="18"/>
                <w:szCs w:val="24"/>
              </w:rPr>
              <w:t>6</w:t>
            </w:r>
            <w:r>
              <w:rPr>
                <w:rFonts w:hint="eastAsia"/>
                <w:sz w:val="18"/>
                <w:szCs w:val="24"/>
              </w:rPr>
              <w:t>个月期末的收盘价（如果因派发现金红利、送股、转增股本等原因进行除权、除息的，须按照中国证券监督管理委员会、深圳证券交易所的有关规定作相应调整）低于公司首次公开发行股票时的发行价，本公司持有的公司股票的锁定期限自动延长</w:t>
            </w:r>
            <w:r>
              <w:rPr>
                <w:rFonts w:hint="default"/>
                <w:sz w:val="18"/>
                <w:szCs w:val="24"/>
              </w:rPr>
              <w:t>6</w:t>
            </w:r>
            <w:r>
              <w:rPr>
                <w:rFonts w:hint="eastAsia"/>
                <w:sz w:val="18"/>
                <w:szCs w:val="24"/>
              </w:rPr>
              <w:t>个月。</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2017</w:t>
            </w:r>
            <w:r>
              <w:rPr>
                <w:rFonts w:hint="eastAsia"/>
                <w:sz w:val="18"/>
                <w:szCs w:val="24"/>
              </w:rPr>
              <w:t>年</w:t>
            </w:r>
            <w:r>
              <w:rPr>
                <w:rFonts w:hint="default"/>
                <w:sz w:val="18"/>
                <w:szCs w:val="24"/>
              </w:rPr>
              <w:t>05</w:t>
            </w:r>
            <w:r>
              <w:rPr>
                <w:rFonts w:hint="eastAsia"/>
                <w:sz w:val="18"/>
                <w:szCs w:val="24"/>
              </w:rPr>
              <w:t>月</w:t>
            </w:r>
            <w:r>
              <w:rPr>
                <w:rFonts w:hint="default"/>
                <w:sz w:val="18"/>
                <w:szCs w:val="24"/>
              </w:rPr>
              <w:t>11</w:t>
            </w:r>
            <w:r>
              <w:rPr>
                <w:rFonts w:hint="eastAsia"/>
                <w:sz w:val="18"/>
                <w:szCs w:val="24"/>
              </w:rPr>
              <w:t>日</w:t>
            </w: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36</w:t>
            </w:r>
            <w:r>
              <w:rPr>
                <w:rFonts w:hint="eastAsia"/>
                <w:sz w:val="18"/>
                <w:szCs w:val="24"/>
              </w:rPr>
              <w:t>个月</w:t>
            </w: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履行完毕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3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范庆伟、范玉隆、李会君、迟娜娜、高峰、刘克平、郭成尼、张会亭、崔兴建</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发行股份的锁定期</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担任公司董事、监事、高级管理人员的范庆伟、范玉隆、李会君、迟娜娜、高峰、刘克平、郭成尼、张会亭、崔兴建承诺：在上述锁定期届满后，在本人任职期间，每年转让公司股份不超过本人直接或间接持有公司股份总数的</w:t>
            </w:r>
            <w:r>
              <w:rPr>
                <w:rFonts w:hint="default"/>
                <w:sz w:val="18"/>
                <w:szCs w:val="24"/>
              </w:rPr>
              <w:t>25%</w:t>
            </w:r>
            <w:r>
              <w:rPr>
                <w:rFonts w:hint="eastAsia"/>
                <w:sz w:val="18"/>
                <w:szCs w:val="24"/>
              </w:rPr>
              <w:t>；离职后半年内，不转让所持有的公司股份；离职六个月后的十二个月内转让的股份不超过所持公司股份总数的</w:t>
            </w:r>
            <w:r>
              <w:rPr>
                <w:rFonts w:hint="default"/>
                <w:sz w:val="18"/>
                <w:szCs w:val="24"/>
              </w:rPr>
              <w:t xml:space="preserve"> 50%</w:t>
            </w:r>
            <w:r>
              <w:rPr>
                <w:rFonts w:hint="eastAsia"/>
                <w:sz w:val="18"/>
                <w:szCs w:val="24"/>
              </w:rPr>
              <w:t>。有关股份锁定期的承诺在本人离职后仍然有效，不因本人职务变更而拒绝履行有关义务。</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2017</w:t>
            </w:r>
            <w:r>
              <w:rPr>
                <w:rFonts w:hint="eastAsia"/>
                <w:sz w:val="18"/>
                <w:szCs w:val="24"/>
              </w:rPr>
              <w:t>年</w:t>
            </w:r>
            <w:r>
              <w:rPr>
                <w:rFonts w:hint="default"/>
                <w:sz w:val="18"/>
                <w:szCs w:val="24"/>
              </w:rPr>
              <w:t>05</w:t>
            </w:r>
            <w:r>
              <w:rPr>
                <w:rFonts w:hint="eastAsia"/>
                <w:sz w:val="18"/>
                <w:szCs w:val="24"/>
              </w:rPr>
              <w:t>月</w:t>
            </w:r>
            <w:r>
              <w:rPr>
                <w:rFonts w:hint="default"/>
                <w:sz w:val="18"/>
                <w:szCs w:val="24"/>
              </w:rPr>
              <w:t>11</w:t>
            </w:r>
            <w:r>
              <w:rPr>
                <w:rFonts w:hint="eastAsia"/>
                <w:sz w:val="18"/>
                <w:szCs w:val="24"/>
              </w:rPr>
              <w:t>日</w:t>
            </w: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36</w:t>
            </w:r>
            <w:r>
              <w:rPr>
                <w:rFonts w:hint="eastAsia"/>
                <w:sz w:val="18"/>
                <w:szCs w:val="24"/>
              </w:rPr>
              <w:t>个月</w:t>
            </w: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履行完毕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股权激励承诺</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其他对公司中小股东所作承诺</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1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承诺是否按时履行</w:t>
            </w:r>
          </w:p>
        </w:tc>
        <w:tc>
          <w:tcPr>
            <w:tcW w:w="6731" w:type="dxa"/>
            <w:gridSpan w:val="6"/>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如承诺超期未履行完毕的，应当详细说明未完成履行的具体原因及下一步的工作计划</w:t>
            </w:r>
          </w:p>
        </w:tc>
        <w:tc>
          <w:tcPr>
            <w:tcW w:w="6731" w:type="dxa"/>
            <w:gridSpan w:val="6"/>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不适用</w:t>
            </w:r>
          </w:p>
        </w:tc>
      </w:tr>
    </w:tbl>
    <w:p>
      <w:pPr>
        <w:pStyle w:val="8"/>
        <w:outlineLvl w:val="2"/>
        <w:rPr>
          <w:rFonts w:hint="default"/>
          <w:sz w:val="21"/>
          <w:szCs w:val="24"/>
        </w:rPr>
      </w:pPr>
      <w:r>
        <w:rPr>
          <w:rFonts w:hint="default"/>
          <w:sz w:val="21"/>
          <w:szCs w:val="24"/>
        </w:rPr>
        <w:t>2</w:t>
      </w:r>
      <w:r>
        <w:rPr>
          <w:rFonts w:hint="eastAsia"/>
          <w:sz w:val="21"/>
          <w:szCs w:val="24"/>
        </w:rPr>
        <w:t>、公司资产或项目存在盈利预测，且报告期仍处在盈利预测期间，公司就资产或项目达到原盈利预测及其原因做出说明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四、控股股东及其关联方对上市公司的非经营性占用资金情况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公司报告期不存在控股股东及其关联方对上市公司的非经营性占用资金。</w:t>
      </w:r>
    </w:p>
    <w:p>
      <w:pPr>
        <w:pStyle w:val="7"/>
        <w:outlineLvl w:val="1"/>
        <w:rPr>
          <w:rFonts w:hint="default"/>
          <w:sz w:val="24"/>
          <w:szCs w:val="24"/>
        </w:rPr>
      </w:pPr>
      <w:r>
        <w:rPr>
          <w:rFonts w:hint="eastAsia"/>
          <w:sz w:val="24"/>
          <w:szCs w:val="24"/>
        </w:rPr>
        <w:t>五、董事会、监事会、独立董事（如有）对会计师事务所本报告期</w:t>
      </w:r>
      <w:r>
        <w:rPr>
          <w:rFonts w:hint="default"/>
          <w:sz w:val="24"/>
          <w:szCs w:val="24"/>
        </w:rPr>
        <w:t>“</w:t>
      </w:r>
      <w:r>
        <w:rPr>
          <w:rFonts w:hint="eastAsia"/>
          <w:sz w:val="24"/>
          <w:szCs w:val="24"/>
        </w:rPr>
        <w:t>非标准审计报告</w:t>
      </w:r>
      <w:r>
        <w:rPr>
          <w:rFonts w:hint="default"/>
          <w:sz w:val="24"/>
          <w:szCs w:val="24"/>
        </w:rPr>
        <w:t>”</w:t>
      </w:r>
      <w:r>
        <w:rPr>
          <w:rFonts w:hint="eastAsia"/>
          <w:sz w:val="24"/>
          <w:szCs w:val="24"/>
        </w:rPr>
        <w:t>的说明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六、与上年度财务报告相比，会计政策、会计估计和核算方法发生变化的情况说明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见</w:t>
      </w:r>
      <w:r>
        <w:rPr>
          <w:rFonts w:hint="default" w:eastAsia="Times New Roman"/>
          <w:kern w:val="0"/>
          <w:sz w:val="18"/>
          <w:szCs w:val="24"/>
          <w:lang w:val="zh-CN"/>
        </w:rPr>
        <w:t>2020</w:t>
      </w:r>
      <w:r>
        <w:rPr>
          <w:rFonts w:hint="eastAsia" w:ascii="宋体" w:hAnsi="宋体" w:cs="宋体"/>
          <w:kern w:val="0"/>
          <w:sz w:val="18"/>
          <w:szCs w:val="24"/>
          <w:lang w:val="zh-CN"/>
        </w:rPr>
        <w:t>年年度报告全文中</w:t>
      </w:r>
      <w:r>
        <w:rPr>
          <w:rFonts w:hint="default" w:eastAsia="Times New Roman"/>
          <w:kern w:val="0"/>
          <w:sz w:val="18"/>
          <w:szCs w:val="24"/>
          <w:lang w:val="zh-CN"/>
        </w:rPr>
        <w:t>“</w:t>
      </w:r>
      <w:r>
        <w:rPr>
          <w:rFonts w:hint="eastAsia" w:ascii="宋体" w:hAnsi="宋体" w:cs="宋体"/>
          <w:kern w:val="0"/>
          <w:sz w:val="18"/>
          <w:szCs w:val="24"/>
          <w:lang w:val="zh-CN"/>
        </w:rPr>
        <w:t>第十二节财务报告</w:t>
      </w:r>
      <w:r>
        <w:rPr>
          <w:rFonts w:hint="default" w:eastAsia="Times New Roman"/>
          <w:kern w:val="0"/>
          <w:sz w:val="18"/>
          <w:szCs w:val="24"/>
          <w:lang w:val="zh-CN"/>
        </w:rPr>
        <w:t>—</w:t>
      </w:r>
      <w:r>
        <w:rPr>
          <w:rFonts w:hint="eastAsia" w:ascii="宋体" w:hAnsi="宋体" w:cs="宋体"/>
          <w:kern w:val="0"/>
          <w:sz w:val="18"/>
          <w:szCs w:val="24"/>
          <w:lang w:val="zh-CN"/>
        </w:rPr>
        <w:t>五、重要会计政策及会计估计</w:t>
      </w:r>
      <w:r>
        <w:rPr>
          <w:rFonts w:hint="default" w:eastAsia="Times New Roman"/>
          <w:kern w:val="0"/>
          <w:sz w:val="18"/>
          <w:szCs w:val="24"/>
          <w:lang w:val="zh-CN"/>
        </w:rPr>
        <w:t>—27</w:t>
      </w:r>
      <w:r>
        <w:rPr>
          <w:rFonts w:hint="eastAsia" w:ascii="宋体" w:hAnsi="宋体" w:cs="宋体"/>
          <w:kern w:val="0"/>
          <w:sz w:val="18"/>
          <w:szCs w:val="24"/>
          <w:lang w:val="zh-CN"/>
        </w:rPr>
        <w:t>、重要会计政策及会计估计变更</w:t>
      </w:r>
      <w:r>
        <w:rPr>
          <w:rFonts w:hint="default" w:eastAsia="Times New Roman"/>
          <w:kern w:val="0"/>
          <w:sz w:val="18"/>
          <w:szCs w:val="24"/>
          <w:lang w:val="zh-CN"/>
        </w:rPr>
        <w:t>”</w:t>
      </w:r>
      <w:r>
        <w:rPr>
          <w:rFonts w:hint="eastAsia" w:ascii="宋体" w:hAnsi="宋体" w:cs="宋体"/>
          <w:kern w:val="0"/>
          <w:sz w:val="18"/>
          <w:szCs w:val="24"/>
          <w:lang w:val="zh-CN"/>
        </w:rPr>
        <w:t>内容。</w:t>
      </w:r>
    </w:p>
    <w:p>
      <w:pPr>
        <w:pStyle w:val="7"/>
        <w:outlineLvl w:val="1"/>
        <w:rPr>
          <w:rFonts w:hint="default"/>
          <w:sz w:val="24"/>
          <w:szCs w:val="24"/>
        </w:rPr>
      </w:pPr>
      <w:r>
        <w:rPr>
          <w:rFonts w:hint="eastAsia"/>
          <w:sz w:val="24"/>
          <w:szCs w:val="24"/>
        </w:rPr>
        <w:t>七、报告期内发生重大会计差错更正需追溯重述的情况说明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公司报告期无重大会计差错更正需追溯重述的情况。</w:t>
      </w:r>
    </w:p>
    <w:p>
      <w:pPr>
        <w:pStyle w:val="7"/>
        <w:outlineLvl w:val="1"/>
        <w:rPr>
          <w:rFonts w:hint="default"/>
          <w:sz w:val="24"/>
          <w:szCs w:val="24"/>
        </w:rPr>
      </w:pPr>
      <w:r>
        <w:rPr>
          <w:rFonts w:hint="eastAsia"/>
          <w:sz w:val="24"/>
          <w:szCs w:val="24"/>
        </w:rPr>
        <w:t>八、与上年度财务报告相比，合并报表范围发生变化的情况说明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spacing w:before="150" w:after="150"/>
        <w:rPr>
          <w:rFonts w:hint="default" w:eastAsia="Times New Roman"/>
          <w:kern w:val="0"/>
          <w:sz w:val="21"/>
          <w:szCs w:val="24"/>
          <w:lang w:val="zh-CN"/>
        </w:rPr>
      </w:pPr>
      <w:r>
        <w:rPr>
          <w:rFonts w:hint="eastAsia" w:ascii="宋体" w:hAnsi="宋体" w:cs="宋体"/>
          <w:kern w:val="0"/>
          <w:sz w:val="21"/>
          <w:szCs w:val="24"/>
          <w:lang w:val="zh-CN"/>
        </w:rPr>
        <w:t>合并范围的变更见附注一、（三）本期合并财务报表范围发生变更的情况。</w:t>
      </w:r>
    </w:p>
    <w:p>
      <w:pPr>
        <w:pStyle w:val="7"/>
        <w:outlineLvl w:val="1"/>
        <w:rPr>
          <w:rFonts w:hint="default"/>
          <w:sz w:val="24"/>
          <w:szCs w:val="24"/>
        </w:rPr>
      </w:pPr>
      <w:r>
        <w:rPr>
          <w:rFonts w:hint="eastAsia"/>
          <w:sz w:val="24"/>
          <w:szCs w:val="24"/>
        </w:rPr>
        <w:t>九、聘任、解聘会计师事务所情况</w:t>
      </w:r>
    </w:p>
    <w:p>
      <w:pPr>
        <w:jc w:val="left"/>
        <w:rPr>
          <w:rFonts w:hint="default"/>
          <w:sz w:val="18"/>
          <w:szCs w:val="24"/>
        </w:rPr>
      </w:pPr>
      <w:r>
        <w:rPr>
          <w:rFonts w:hint="eastAsia"/>
          <w:sz w:val="18"/>
          <w:szCs w:val="24"/>
        </w:rPr>
        <w:t>现聘任的会计师事务所</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91"/>
        <w:gridCol w:w="4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境内会计师事务所名称</w:t>
            </w:r>
          </w:p>
        </w:tc>
        <w:tc>
          <w:tcPr>
            <w:tcW w:w="47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境内会计师事务所报酬（万元）</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境内会计师事务所审计服务的连续年限</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7</w:t>
            </w:r>
            <w:r>
              <w:rPr>
                <w:rFonts w:hint="eastAsia"/>
                <w:sz w:val="18"/>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境内会计师事务所注册会计师姓名</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刘学伟、李胜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境内会计师事务所注册会计师审计服务的连续年限</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7</w:t>
            </w:r>
            <w:r>
              <w:rPr>
                <w:rFonts w:hint="eastAsia"/>
                <w:sz w:val="18"/>
                <w:szCs w:val="24"/>
              </w:rPr>
              <w:t>年</w:t>
            </w:r>
          </w:p>
        </w:tc>
      </w:tr>
    </w:tbl>
    <w:p>
      <w:pPr>
        <w:jc w:val="left"/>
        <w:rPr>
          <w:rFonts w:hint="default"/>
          <w:sz w:val="18"/>
          <w:szCs w:val="24"/>
        </w:rPr>
      </w:pPr>
      <w:r>
        <w:rPr>
          <w:rFonts w:hint="eastAsia"/>
          <w:sz w:val="18"/>
          <w:szCs w:val="24"/>
        </w:rPr>
        <w:t>当期是否改聘会计师事务所</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聘请内部控制审计会计师事务所、财务顾问或保荐人情况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十、年度报告披露后面临退市情况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十一、破产重整相关事项</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公司报告期未发生破产重整相关事项。</w:t>
      </w:r>
    </w:p>
    <w:p>
      <w:pPr>
        <w:pStyle w:val="7"/>
        <w:outlineLvl w:val="1"/>
        <w:rPr>
          <w:rFonts w:hint="default"/>
          <w:sz w:val="24"/>
          <w:szCs w:val="24"/>
        </w:rPr>
      </w:pPr>
      <w:r>
        <w:rPr>
          <w:rFonts w:hint="eastAsia"/>
          <w:sz w:val="24"/>
          <w:szCs w:val="24"/>
        </w:rPr>
        <w:t>十二、重大诉讼、仲裁事项</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本报告期公司无重大诉讼、仲裁事项。</w:t>
      </w:r>
    </w:p>
    <w:p>
      <w:pPr>
        <w:pStyle w:val="7"/>
        <w:outlineLvl w:val="1"/>
        <w:rPr>
          <w:rFonts w:hint="default"/>
          <w:sz w:val="24"/>
          <w:szCs w:val="24"/>
        </w:rPr>
      </w:pPr>
      <w:r>
        <w:rPr>
          <w:rFonts w:hint="eastAsia"/>
          <w:sz w:val="24"/>
          <w:szCs w:val="24"/>
        </w:rPr>
        <w:t>十三、处罚及整改情况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公司报告期不存在处罚及整改情况。</w:t>
      </w:r>
    </w:p>
    <w:p>
      <w:pPr>
        <w:pStyle w:val="7"/>
        <w:outlineLvl w:val="1"/>
        <w:rPr>
          <w:rFonts w:hint="default"/>
          <w:sz w:val="24"/>
          <w:szCs w:val="24"/>
        </w:rPr>
      </w:pPr>
      <w:r>
        <w:rPr>
          <w:rFonts w:hint="eastAsia"/>
          <w:sz w:val="24"/>
          <w:szCs w:val="24"/>
        </w:rPr>
        <w:t>十四、公司及其控股股东、实际控制人的诚信状况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jc w:val="left"/>
        <w:rPr>
          <w:rFonts w:hint="default" w:eastAsia="Times New Roman"/>
          <w:kern w:val="0"/>
          <w:sz w:val="18"/>
          <w:szCs w:val="24"/>
          <w:lang w:val="zh-CN"/>
        </w:rPr>
      </w:pPr>
      <w:r>
        <w:rPr>
          <w:rFonts w:hint="eastAsia" w:ascii="宋体" w:hAnsi="宋体" w:cs="宋体"/>
          <w:kern w:val="0"/>
          <w:sz w:val="18"/>
          <w:szCs w:val="24"/>
          <w:lang w:val="zh-CN"/>
        </w:rPr>
        <w:t>报告期内，公司及控股股东、实际控制人的诚信状况良好，不存在未履行法院生效判决、所负数额较大的债务到期未清偿等情况。</w:t>
      </w:r>
    </w:p>
    <w:p>
      <w:pPr>
        <w:pStyle w:val="7"/>
        <w:outlineLvl w:val="1"/>
        <w:rPr>
          <w:rFonts w:hint="default"/>
          <w:sz w:val="24"/>
          <w:szCs w:val="24"/>
        </w:rPr>
      </w:pPr>
      <w:r>
        <w:rPr>
          <w:rFonts w:hint="eastAsia"/>
          <w:sz w:val="24"/>
          <w:szCs w:val="24"/>
        </w:rPr>
        <w:t>十五、公司股权激励计划、员工持股计划或其他员工激励措施的实施情况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 xml:space="preserve">2018 </w:t>
      </w:r>
      <w:r>
        <w:rPr>
          <w:rFonts w:hint="eastAsia" w:ascii="宋体" w:hAnsi="宋体" w:cs="宋体"/>
          <w:kern w:val="0"/>
          <w:sz w:val="18"/>
          <w:szCs w:val="24"/>
          <w:lang w:val="zh-CN"/>
        </w:rPr>
        <w:t>年限制性股票激励计划</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8</w:t>
      </w:r>
      <w:r>
        <w:rPr>
          <w:rFonts w:hint="eastAsia" w:ascii="宋体" w:hAnsi="宋体" w:cs="宋体"/>
          <w:kern w:val="0"/>
          <w:sz w:val="18"/>
          <w:szCs w:val="24"/>
          <w:lang w:val="zh-CN"/>
        </w:rPr>
        <w:t>月</w:t>
      </w:r>
      <w:r>
        <w:rPr>
          <w:rFonts w:hint="default" w:eastAsia="Times New Roman"/>
          <w:kern w:val="0"/>
          <w:sz w:val="18"/>
          <w:szCs w:val="24"/>
          <w:lang w:val="zh-CN"/>
        </w:rPr>
        <w:t>23</w:t>
      </w:r>
      <w:r>
        <w:rPr>
          <w:rFonts w:hint="eastAsia" w:ascii="宋体" w:hAnsi="宋体" w:cs="宋体"/>
          <w:kern w:val="0"/>
          <w:sz w:val="18"/>
          <w:szCs w:val="24"/>
          <w:lang w:val="zh-CN"/>
        </w:rPr>
        <w:t>日，公司分别召开了第三届董事会第五次会议和第三届监事会第四次会议，审议通过了《关于</w:t>
      </w:r>
      <w:r>
        <w:rPr>
          <w:rFonts w:hint="default" w:eastAsia="Times New Roman"/>
          <w:kern w:val="0"/>
          <w:sz w:val="18"/>
          <w:szCs w:val="24"/>
          <w:lang w:val="zh-CN"/>
        </w:rPr>
        <w:t>&lt;</w:t>
      </w:r>
      <w:r>
        <w:rPr>
          <w:rFonts w:hint="eastAsia" w:ascii="宋体" w:hAnsi="宋体" w:cs="宋体"/>
          <w:kern w:val="0"/>
          <w:sz w:val="18"/>
          <w:szCs w:val="24"/>
          <w:lang w:val="zh-CN"/>
        </w:rPr>
        <w:t>公司</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年限制性股票激励计划（草案）</w:t>
      </w:r>
      <w:r>
        <w:rPr>
          <w:rFonts w:hint="default" w:eastAsia="Times New Roman"/>
          <w:kern w:val="0"/>
          <w:sz w:val="18"/>
          <w:szCs w:val="24"/>
          <w:lang w:val="zh-CN"/>
        </w:rPr>
        <w:t xml:space="preserve"> </w:t>
      </w:r>
      <w:r>
        <w:rPr>
          <w:rFonts w:hint="eastAsia" w:ascii="宋体" w:hAnsi="宋体" w:cs="宋体"/>
          <w:kern w:val="0"/>
          <w:sz w:val="18"/>
          <w:szCs w:val="24"/>
          <w:lang w:val="zh-CN"/>
        </w:rPr>
        <w:t>及其摘要</w:t>
      </w:r>
      <w:r>
        <w:rPr>
          <w:rFonts w:hint="default" w:eastAsia="Times New Roman"/>
          <w:kern w:val="0"/>
          <w:sz w:val="18"/>
          <w:szCs w:val="24"/>
          <w:lang w:val="zh-CN"/>
        </w:rPr>
        <w:t>&gt;</w:t>
      </w:r>
      <w:r>
        <w:rPr>
          <w:rFonts w:hint="eastAsia" w:ascii="宋体" w:hAnsi="宋体" w:cs="宋体"/>
          <w:kern w:val="0"/>
          <w:sz w:val="18"/>
          <w:szCs w:val="24"/>
          <w:lang w:val="zh-CN"/>
        </w:rPr>
        <w:t>的议案》、《关于</w:t>
      </w:r>
      <w:r>
        <w:rPr>
          <w:rFonts w:hint="default" w:eastAsia="Times New Roman"/>
          <w:kern w:val="0"/>
          <w:sz w:val="18"/>
          <w:szCs w:val="24"/>
          <w:lang w:val="zh-CN"/>
        </w:rPr>
        <w:t>&lt;</w:t>
      </w:r>
      <w:r>
        <w:rPr>
          <w:rFonts w:hint="eastAsia" w:ascii="宋体" w:hAnsi="宋体" w:cs="宋体"/>
          <w:kern w:val="0"/>
          <w:sz w:val="18"/>
          <w:szCs w:val="24"/>
          <w:lang w:val="zh-CN"/>
        </w:rPr>
        <w:t>公司</w:t>
      </w:r>
      <w:r>
        <w:rPr>
          <w:rFonts w:hint="default" w:eastAsia="Times New Roman"/>
          <w:kern w:val="0"/>
          <w:sz w:val="18"/>
          <w:szCs w:val="24"/>
          <w:lang w:val="zh-CN"/>
        </w:rPr>
        <w:t xml:space="preserve">2018 </w:t>
      </w:r>
      <w:r>
        <w:rPr>
          <w:rFonts w:hint="eastAsia" w:ascii="宋体" w:hAnsi="宋体" w:cs="宋体"/>
          <w:kern w:val="0"/>
          <w:sz w:val="18"/>
          <w:szCs w:val="24"/>
          <w:lang w:val="zh-CN"/>
        </w:rPr>
        <w:t>年限制性股票激励计划实施考核管理办法</w:t>
      </w:r>
      <w:r>
        <w:rPr>
          <w:rFonts w:hint="default" w:eastAsia="Times New Roman"/>
          <w:kern w:val="0"/>
          <w:sz w:val="18"/>
          <w:szCs w:val="24"/>
          <w:lang w:val="zh-CN"/>
        </w:rPr>
        <w:t>&gt;</w:t>
      </w:r>
      <w:r>
        <w:rPr>
          <w:rFonts w:hint="eastAsia" w:ascii="宋体" w:hAnsi="宋体" w:cs="宋体"/>
          <w:kern w:val="0"/>
          <w:sz w:val="18"/>
          <w:szCs w:val="24"/>
          <w:lang w:val="zh-CN"/>
        </w:rPr>
        <w:t>的议案》以及《关于提请股东大会授权董事会办理公司</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年限制性股票激励计划有关事项的议案》（披露于巨潮资讯网，公告编号：</w:t>
      </w:r>
      <w:r>
        <w:rPr>
          <w:rFonts w:hint="default" w:eastAsia="Times New Roman"/>
          <w:kern w:val="0"/>
          <w:sz w:val="18"/>
          <w:szCs w:val="24"/>
          <w:lang w:val="zh-CN"/>
        </w:rPr>
        <w:t>2018-075</w:t>
      </w:r>
      <w:r>
        <w:rPr>
          <w:rFonts w:hint="eastAsia" w:ascii="宋体" w:hAnsi="宋体" w:cs="宋体"/>
          <w:kern w:val="0"/>
          <w:sz w:val="18"/>
          <w:szCs w:val="24"/>
          <w:lang w:val="zh-CN"/>
        </w:rPr>
        <w:t>、</w:t>
      </w:r>
      <w:r>
        <w:rPr>
          <w:rFonts w:hint="default" w:eastAsia="Times New Roman"/>
          <w:kern w:val="0"/>
          <w:sz w:val="18"/>
          <w:szCs w:val="24"/>
          <w:lang w:val="zh-CN"/>
        </w:rPr>
        <w:t>2018-076</w:t>
      </w:r>
      <w:r>
        <w:rPr>
          <w:rFonts w:hint="eastAsia" w:ascii="宋体" w:hAnsi="宋体" w:cs="宋体"/>
          <w:kern w:val="0"/>
          <w:sz w:val="18"/>
          <w:szCs w:val="24"/>
          <w:lang w:val="zh-CN"/>
        </w:rPr>
        <w:t>）。公司独立董事对此发表了独立意见。</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2</w:t>
      </w:r>
      <w:r>
        <w:rPr>
          <w:rFonts w:hint="eastAsia" w:ascii="宋体" w:hAnsi="宋体" w:cs="宋体"/>
          <w:kern w:val="0"/>
          <w:sz w:val="18"/>
          <w:szCs w:val="24"/>
          <w:lang w:val="zh-CN"/>
        </w:rPr>
        <w:t>、</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8</w:t>
      </w:r>
      <w:r>
        <w:rPr>
          <w:rFonts w:hint="eastAsia" w:ascii="宋体" w:hAnsi="宋体" w:cs="宋体"/>
          <w:kern w:val="0"/>
          <w:sz w:val="18"/>
          <w:szCs w:val="24"/>
          <w:lang w:val="zh-CN"/>
        </w:rPr>
        <w:t>月</w:t>
      </w:r>
      <w:r>
        <w:rPr>
          <w:rFonts w:hint="default" w:eastAsia="Times New Roman"/>
          <w:kern w:val="0"/>
          <w:sz w:val="18"/>
          <w:szCs w:val="24"/>
          <w:lang w:val="zh-CN"/>
        </w:rPr>
        <w:t>24</w:t>
      </w:r>
      <w:r>
        <w:rPr>
          <w:rFonts w:hint="eastAsia" w:ascii="宋体" w:hAnsi="宋体" w:cs="宋体"/>
          <w:kern w:val="0"/>
          <w:sz w:val="18"/>
          <w:szCs w:val="24"/>
          <w:lang w:val="zh-CN"/>
        </w:rPr>
        <w:t>日至</w:t>
      </w:r>
      <w:r>
        <w:rPr>
          <w:rFonts w:hint="default" w:eastAsia="Times New Roman"/>
          <w:kern w:val="0"/>
          <w:sz w:val="18"/>
          <w:szCs w:val="24"/>
          <w:lang w:val="zh-CN"/>
        </w:rPr>
        <w:t xml:space="preserve"> 2018</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w:t>
      </w:r>
      <w:r>
        <w:rPr>
          <w:rFonts w:hint="default" w:eastAsia="Times New Roman"/>
          <w:kern w:val="0"/>
          <w:sz w:val="18"/>
          <w:szCs w:val="24"/>
          <w:lang w:val="zh-CN"/>
        </w:rPr>
        <w:t>3</w:t>
      </w:r>
      <w:r>
        <w:rPr>
          <w:rFonts w:hint="eastAsia" w:ascii="宋体" w:hAnsi="宋体" w:cs="宋体"/>
          <w:kern w:val="0"/>
          <w:sz w:val="18"/>
          <w:szCs w:val="24"/>
          <w:lang w:val="zh-CN"/>
        </w:rPr>
        <w:t>日，公司对</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年限制性股票激励计划授予激励对象名单进行了内部公示。公示期内，公司监事会未收到与激励计划拟激励对象有关的任何异议；公示期满，监事会对</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年限制性股票激励计划授予部分激励对象名单进行了核查并对公示情况进行了说明，于</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w:t>
      </w:r>
      <w:r>
        <w:rPr>
          <w:rFonts w:hint="default" w:eastAsia="Times New Roman"/>
          <w:kern w:val="0"/>
          <w:sz w:val="18"/>
          <w:szCs w:val="24"/>
          <w:lang w:val="zh-CN"/>
        </w:rPr>
        <w:t>7</w:t>
      </w:r>
      <w:r>
        <w:rPr>
          <w:rFonts w:hint="eastAsia" w:ascii="宋体" w:hAnsi="宋体" w:cs="宋体"/>
          <w:kern w:val="0"/>
          <w:sz w:val="18"/>
          <w:szCs w:val="24"/>
          <w:lang w:val="zh-CN"/>
        </w:rPr>
        <w:t>日公告了《监事会关于</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年限制性股票激励计划授予部分激励对象名单的审核及公示情况说明》（披露于巨潮资讯网，公告编号：</w:t>
      </w:r>
      <w:r>
        <w:rPr>
          <w:rFonts w:hint="default" w:eastAsia="Times New Roman"/>
          <w:kern w:val="0"/>
          <w:sz w:val="18"/>
          <w:szCs w:val="24"/>
          <w:lang w:val="zh-CN"/>
        </w:rPr>
        <w:t>2018-083</w:t>
      </w:r>
      <w:r>
        <w:rPr>
          <w:rFonts w:hint="eastAsia" w:ascii="宋体" w:hAnsi="宋体" w:cs="宋体"/>
          <w:kern w:val="0"/>
          <w:sz w:val="18"/>
          <w:szCs w:val="24"/>
          <w:lang w:val="zh-CN"/>
        </w:rPr>
        <w:t>）。</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3</w:t>
      </w:r>
      <w:r>
        <w:rPr>
          <w:rFonts w:hint="eastAsia" w:ascii="宋体" w:hAnsi="宋体" w:cs="宋体"/>
          <w:kern w:val="0"/>
          <w:sz w:val="18"/>
          <w:szCs w:val="24"/>
          <w:lang w:val="zh-CN"/>
        </w:rPr>
        <w:t>、</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w:t>
      </w:r>
      <w:r>
        <w:rPr>
          <w:rFonts w:hint="default" w:eastAsia="Times New Roman"/>
          <w:kern w:val="0"/>
          <w:sz w:val="18"/>
          <w:szCs w:val="24"/>
          <w:lang w:val="zh-CN"/>
        </w:rPr>
        <w:t>11</w:t>
      </w:r>
      <w:r>
        <w:rPr>
          <w:rFonts w:hint="eastAsia" w:ascii="宋体" w:hAnsi="宋体" w:cs="宋体"/>
          <w:kern w:val="0"/>
          <w:sz w:val="18"/>
          <w:szCs w:val="24"/>
          <w:lang w:val="zh-CN"/>
        </w:rPr>
        <w:t>日，公司召开</w:t>
      </w:r>
      <w:r>
        <w:rPr>
          <w:rFonts w:hint="default" w:eastAsia="Times New Roman"/>
          <w:kern w:val="0"/>
          <w:sz w:val="18"/>
          <w:szCs w:val="24"/>
          <w:lang w:val="zh-CN"/>
        </w:rPr>
        <w:t xml:space="preserve"> 2018</w:t>
      </w:r>
      <w:r>
        <w:rPr>
          <w:rFonts w:hint="eastAsia" w:ascii="宋体" w:hAnsi="宋体" w:cs="宋体"/>
          <w:kern w:val="0"/>
          <w:sz w:val="18"/>
          <w:szCs w:val="24"/>
          <w:lang w:val="zh-CN"/>
        </w:rPr>
        <w:t>年第三次临时股东大会，审议通过了《关于</w:t>
      </w:r>
      <w:r>
        <w:rPr>
          <w:rFonts w:hint="default" w:eastAsia="Times New Roman"/>
          <w:kern w:val="0"/>
          <w:sz w:val="18"/>
          <w:szCs w:val="24"/>
          <w:lang w:val="zh-CN"/>
        </w:rPr>
        <w:t>&lt;</w:t>
      </w:r>
      <w:r>
        <w:rPr>
          <w:rFonts w:hint="eastAsia" w:ascii="宋体" w:hAnsi="宋体" w:cs="宋体"/>
          <w:kern w:val="0"/>
          <w:sz w:val="18"/>
          <w:szCs w:val="24"/>
          <w:lang w:val="zh-CN"/>
        </w:rPr>
        <w:t>公司</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年限制性股票激励计划（草案）及其摘要</w:t>
      </w:r>
      <w:r>
        <w:rPr>
          <w:rFonts w:hint="default" w:eastAsia="Times New Roman"/>
          <w:kern w:val="0"/>
          <w:sz w:val="18"/>
          <w:szCs w:val="24"/>
          <w:lang w:val="zh-CN"/>
        </w:rPr>
        <w:t>&gt;</w:t>
      </w:r>
      <w:r>
        <w:rPr>
          <w:rFonts w:hint="eastAsia" w:ascii="宋体" w:hAnsi="宋体" w:cs="宋体"/>
          <w:kern w:val="0"/>
          <w:sz w:val="18"/>
          <w:szCs w:val="24"/>
          <w:lang w:val="zh-CN"/>
        </w:rPr>
        <w:t>的议案》、《关于</w:t>
      </w:r>
      <w:r>
        <w:rPr>
          <w:rFonts w:hint="default" w:eastAsia="Times New Roman"/>
          <w:kern w:val="0"/>
          <w:sz w:val="18"/>
          <w:szCs w:val="24"/>
          <w:lang w:val="zh-CN"/>
        </w:rPr>
        <w:t>&lt;</w:t>
      </w:r>
      <w:r>
        <w:rPr>
          <w:rFonts w:hint="eastAsia" w:ascii="宋体" w:hAnsi="宋体" w:cs="宋体"/>
          <w:kern w:val="0"/>
          <w:sz w:val="18"/>
          <w:szCs w:val="24"/>
          <w:lang w:val="zh-CN"/>
        </w:rPr>
        <w:t>公司</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年限制性股票激励计划实施考核管理办法</w:t>
      </w:r>
      <w:r>
        <w:rPr>
          <w:rFonts w:hint="default" w:eastAsia="Times New Roman"/>
          <w:kern w:val="0"/>
          <w:sz w:val="18"/>
          <w:szCs w:val="24"/>
          <w:lang w:val="zh-CN"/>
        </w:rPr>
        <w:t>&gt;</w:t>
      </w:r>
      <w:r>
        <w:rPr>
          <w:rFonts w:hint="eastAsia" w:ascii="宋体" w:hAnsi="宋体" w:cs="宋体"/>
          <w:kern w:val="0"/>
          <w:sz w:val="18"/>
          <w:szCs w:val="24"/>
          <w:lang w:val="zh-CN"/>
        </w:rPr>
        <w:t>的议案》以及《关于提请股东大会授权董事会办理公司</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年限制性股票激励计划有关事项的议案》（披露于巨潮资讯网，公告编号：</w:t>
      </w:r>
      <w:r>
        <w:rPr>
          <w:rFonts w:hint="default" w:eastAsia="Times New Roman"/>
          <w:kern w:val="0"/>
          <w:sz w:val="18"/>
          <w:szCs w:val="24"/>
          <w:lang w:val="zh-CN"/>
        </w:rPr>
        <w:t>2018-085</w:t>
      </w:r>
      <w:r>
        <w:rPr>
          <w:rFonts w:hint="eastAsia" w:ascii="宋体" w:hAnsi="宋体" w:cs="宋体"/>
          <w:kern w:val="0"/>
          <w:sz w:val="18"/>
          <w:szCs w:val="24"/>
          <w:lang w:val="zh-CN"/>
        </w:rPr>
        <w:t>）。公司独立董事向全体股东公开征集了委托投票权。</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4</w:t>
      </w:r>
      <w:r>
        <w:rPr>
          <w:rFonts w:hint="eastAsia" w:ascii="宋体" w:hAnsi="宋体" w:cs="宋体"/>
          <w:kern w:val="0"/>
          <w:sz w:val="18"/>
          <w:szCs w:val="24"/>
          <w:lang w:val="zh-CN"/>
        </w:rPr>
        <w:t>、</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20</w:t>
      </w:r>
      <w:r>
        <w:rPr>
          <w:rFonts w:hint="eastAsia" w:ascii="宋体" w:hAnsi="宋体" w:cs="宋体"/>
          <w:kern w:val="0"/>
          <w:sz w:val="18"/>
          <w:szCs w:val="24"/>
          <w:lang w:val="zh-CN"/>
        </w:rPr>
        <w:t>日，公司召开第三届董事会第七次会议审议通过了《关于调整公司</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年限制性股票激励计划相关事项的议案》、《关于向激励对象授予限制性股票的议案》（披露于巨潮资讯网，公告编号：</w:t>
      </w:r>
      <w:r>
        <w:rPr>
          <w:rFonts w:hint="default" w:eastAsia="Times New Roman"/>
          <w:kern w:val="0"/>
          <w:sz w:val="18"/>
          <w:szCs w:val="24"/>
          <w:lang w:val="zh-CN"/>
        </w:rPr>
        <w:t>2018-098</w:t>
      </w:r>
      <w:r>
        <w:rPr>
          <w:rFonts w:hint="eastAsia" w:ascii="宋体" w:hAnsi="宋体" w:cs="宋体"/>
          <w:kern w:val="0"/>
          <w:sz w:val="18"/>
          <w:szCs w:val="24"/>
          <w:lang w:val="zh-CN"/>
        </w:rPr>
        <w:t>），董事会认为激励计划规定的授予条件已经成就，同意以</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20</w:t>
      </w:r>
      <w:r>
        <w:rPr>
          <w:rFonts w:hint="eastAsia" w:ascii="宋体" w:hAnsi="宋体" w:cs="宋体"/>
          <w:kern w:val="0"/>
          <w:sz w:val="18"/>
          <w:szCs w:val="24"/>
          <w:lang w:val="zh-CN"/>
        </w:rPr>
        <w:t>日为授予日，向符合条件的</w:t>
      </w:r>
      <w:r>
        <w:rPr>
          <w:rFonts w:hint="default" w:eastAsia="Times New Roman"/>
          <w:kern w:val="0"/>
          <w:sz w:val="18"/>
          <w:szCs w:val="24"/>
          <w:lang w:val="zh-CN"/>
        </w:rPr>
        <w:t>39</w:t>
      </w:r>
      <w:r>
        <w:rPr>
          <w:rFonts w:hint="eastAsia" w:ascii="宋体" w:hAnsi="宋体" w:cs="宋体"/>
          <w:kern w:val="0"/>
          <w:sz w:val="18"/>
          <w:szCs w:val="24"/>
          <w:lang w:val="zh-CN"/>
        </w:rPr>
        <w:t>名激励对象授予</w:t>
      </w:r>
      <w:r>
        <w:rPr>
          <w:rFonts w:hint="default" w:eastAsia="Times New Roman"/>
          <w:kern w:val="0"/>
          <w:sz w:val="18"/>
          <w:szCs w:val="24"/>
          <w:lang w:val="zh-CN"/>
        </w:rPr>
        <w:t>114.20</w:t>
      </w:r>
      <w:r>
        <w:rPr>
          <w:rFonts w:hint="eastAsia" w:ascii="宋体" w:hAnsi="宋体" w:cs="宋体"/>
          <w:kern w:val="0"/>
          <w:sz w:val="18"/>
          <w:szCs w:val="24"/>
          <w:lang w:val="zh-CN"/>
        </w:rPr>
        <w:t>万股限制性股票。公司独立董事对此发表了独立意见。</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5</w:t>
      </w:r>
      <w:r>
        <w:rPr>
          <w:rFonts w:hint="eastAsia" w:ascii="宋体" w:hAnsi="宋体" w:cs="宋体"/>
          <w:kern w:val="0"/>
          <w:sz w:val="18"/>
          <w:szCs w:val="24"/>
          <w:lang w:val="zh-CN"/>
        </w:rPr>
        <w:t>、</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20</w:t>
      </w:r>
      <w:r>
        <w:rPr>
          <w:rFonts w:hint="eastAsia" w:ascii="宋体" w:hAnsi="宋体" w:cs="宋体"/>
          <w:kern w:val="0"/>
          <w:sz w:val="18"/>
          <w:szCs w:val="24"/>
          <w:lang w:val="zh-CN"/>
        </w:rPr>
        <w:t>日，公司召开第三届监事会第六次会议审议通过了《关于调整公司</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年限制性股票激励计划相关事项的议案》、《关于向激励对象授予限制性股票的议案》，并出具《青岛伟隆阀门股份有限公司监事会关于公司</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年限制性股票激励计划激励对象名单（调整后）的核查意见》（披露于巨潮资讯网，公告编号：</w:t>
      </w:r>
      <w:r>
        <w:rPr>
          <w:rFonts w:hint="default" w:eastAsia="Times New Roman"/>
          <w:kern w:val="0"/>
          <w:sz w:val="18"/>
          <w:szCs w:val="24"/>
          <w:lang w:val="zh-CN"/>
        </w:rPr>
        <w:t>2018-099</w:t>
      </w:r>
      <w:r>
        <w:rPr>
          <w:rFonts w:hint="eastAsia" w:ascii="宋体" w:hAnsi="宋体" w:cs="宋体"/>
          <w:kern w:val="0"/>
          <w:sz w:val="18"/>
          <w:szCs w:val="24"/>
          <w:lang w:val="zh-CN"/>
        </w:rPr>
        <w:t>），监事会认为激励计划规定的授予条件已经成就，同意以</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20</w:t>
      </w:r>
      <w:r>
        <w:rPr>
          <w:rFonts w:hint="eastAsia" w:ascii="宋体" w:hAnsi="宋体" w:cs="宋体"/>
          <w:kern w:val="0"/>
          <w:sz w:val="18"/>
          <w:szCs w:val="24"/>
          <w:lang w:val="zh-CN"/>
        </w:rPr>
        <w:t>日为授予日，向符合条件的</w:t>
      </w:r>
      <w:r>
        <w:rPr>
          <w:rFonts w:hint="default" w:eastAsia="Times New Roman"/>
          <w:kern w:val="0"/>
          <w:sz w:val="18"/>
          <w:szCs w:val="24"/>
          <w:lang w:val="zh-CN"/>
        </w:rPr>
        <w:t>39</w:t>
      </w:r>
      <w:r>
        <w:rPr>
          <w:rFonts w:hint="eastAsia" w:ascii="宋体" w:hAnsi="宋体" w:cs="宋体"/>
          <w:kern w:val="0"/>
          <w:sz w:val="18"/>
          <w:szCs w:val="24"/>
          <w:lang w:val="zh-CN"/>
        </w:rPr>
        <w:t>名激励对象授予</w:t>
      </w:r>
      <w:r>
        <w:rPr>
          <w:rFonts w:hint="default" w:eastAsia="Times New Roman"/>
          <w:kern w:val="0"/>
          <w:sz w:val="18"/>
          <w:szCs w:val="24"/>
          <w:lang w:val="zh-CN"/>
        </w:rPr>
        <w:t>114.20</w:t>
      </w:r>
      <w:r>
        <w:rPr>
          <w:rFonts w:hint="eastAsia" w:ascii="宋体" w:hAnsi="宋体" w:cs="宋体"/>
          <w:kern w:val="0"/>
          <w:sz w:val="18"/>
          <w:szCs w:val="24"/>
          <w:lang w:val="zh-CN"/>
        </w:rPr>
        <w:t>万股限制性股票。</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6</w:t>
      </w:r>
      <w:r>
        <w:rPr>
          <w:rFonts w:hint="eastAsia" w:ascii="宋体" w:hAnsi="宋体" w:cs="宋体"/>
          <w:kern w:val="0"/>
          <w:sz w:val="18"/>
          <w:szCs w:val="24"/>
          <w:lang w:val="zh-CN"/>
        </w:rPr>
        <w:t>、</w:t>
      </w:r>
      <w:r>
        <w:rPr>
          <w:rFonts w:hint="default" w:eastAsia="Times New Roman"/>
          <w:kern w:val="0"/>
          <w:sz w:val="18"/>
          <w:szCs w:val="24"/>
          <w:lang w:val="zh-CN"/>
        </w:rPr>
        <w:t>2019</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27</w:t>
      </w:r>
      <w:r>
        <w:rPr>
          <w:rFonts w:hint="eastAsia" w:ascii="宋体" w:hAnsi="宋体" w:cs="宋体"/>
          <w:kern w:val="0"/>
          <w:sz w:val="18"/>
          <w:szCs w:val="24"/>
          <w:lang w:val="zh-CN"/>
        </w:rPr>
        <w:t>日，公司分别召开第三届董事会第十二次会议、第三届监事会第十一次会议通过了《关于</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年限制性股票激励计划第一个解锁期解锁条件成就的议案》、《关于调整限制性股票回购价格的议案》、《关于回购注销部分限制性股票的议案》（披露于巨潮资讯网，公告编号：</w:t>
      </w:r>
      <w:r>
        <w:rPr>
          <w:rFonts w:hint="default" w:eastAsia="Times New Roman"/>
          <w:kern w:val="0"/>
          <w:sz w:val="18"/>
          <w:szCs w:val="24"/>
          <w:lang w:val="zh-CN"/>
        </w:rPr>
        <w:t>2019-066</w:t>
      </w:r>
      <w:r>
        <w:rPr>
          <w:rFonts w:hint="eastAsia" w:ascii="宋体" w:hAnsi="宋体" w:cs="宋体"/>
          <w:kern w:val="0"/>
          <w:sz w:val="18"/>
          <w:szCs w:val="24"/>
          <w:lang w:val="zh-CN"/>
        </w:rPr>
        <w:t>、</w:t>
      </w:r>
      <w:r>
        <w:rPr>
          <w:rFonts w:hint="default" w:eastAsia="Times New Roman"/>
          <w:kern w:val="0"/>
          <w:sz w:val="18"/>
          <w:szCs w:val="24"/>
          <w:lang w:val="zh-CN"/>
        </w:rPr>
        <w:t>2019-067</w:t>
      </w:r>
      <w:r>
        <w:rPr>
          <w:rFonts w:hint="eastAsia" w:ascii="宋体" w:hAnsi="宋体" w:cs="宋体"/>
          <w:kern w:val="0"/>
          <w:sz w:val="18"/>
          <w:szCs w:val="24"/>
          <w:lang w:val="zh-CN"/>
        </w:rPr>
        <w:t>）。经审议，认为公司本次股权激励计划第一个解除限售期解除限售条件已成就，同意为激励对象统一办理符合解除限售条件的限制性股票的解除限售事宜。同时，同意将已不符合激励条件的激励对象已获授但尚未解除限售的限制性股票</w:t>
      </w:r>
      <w:r>
        <w:rPr>
          <w:rFonts w:hint="default" w:eastAsia="Times New Roman"/>
          <w:kern w:val="0"/>
          <w:sz w:val="18"/>
          <w:szCs w:val="24"/>
          <w:lang w:val="zh-CN"/>
        </w:rPr>
        <w:t>20,000</w:t>
      </w:r>
      <w:r>
        <w:rPr>
          <w:rFonts w:hint="eastAsia" w:ascii="宋体" w:hAnsi="宋体" w:cs="宋体"/>
          <w:kern w:val="0"/>
          <w:sz w:val="18"/>
          <w:szCs w:val="24"/>
          <w:lang w:val="zh-CN"/>
        </w:rPr>
        <w:t>股进行回购注销。公司独立董事对此分别发表了同意的独立意见。</w:t>
      </w:r>
      <w:r>
        <w:rPr>
          <w:rFonts w:hint="default" w:eastAsia="Times New Roman"/>
          <w:kern w:val="0"/>
          <w:sz w:val="18"/>
          <w:szCs w:val="24"/>
          <w:lang w:val="zh-CN"/>
        </w:rPr>
        <w:t xml:space="preserve"> </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7</w:t>
      </w:r>
      <w:r>
        <w:rPr>
          <w:rFonts w:hint="eastAsia" w:ascii="宋体" w:hAnsi="宋体" w:cs="宋体"/>
          <w:kern w:val="0"/>
          <w:sz w:val="18"/>
          <w:szCs w:val="24"/>
          <w:lang w:val="zh-CN"/>
        </w:rPr>
        <w:t>、</w:t>
      </w:r>
      <w:r>
        <w:rPr>
          <w:rFonts w:hint="default" w:eastAsia="Times New Roman"/>
          <w:kern w:val="0"/>
          <w:sz w:val="18"/>
          <w:szCs w:val="24"/>
          <w:lang w:val="zh-CN"/>
        </w:rPr>
        <w:t>2019</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w:t>
      </w:r>
      <w:r>
        <w:rPr>
          <w:rFonts w:hint="default" w:eastAsia="Times New Roman"/>
          <w:kern w:val="0"/>
          <w:sz w:val="18"/>
          <w:szCs w:val="24"/>
          <w:lang w:val="zh-CN"/>
        </w:rPr>
        <w:t>13</w:t>
      </w:r>
      <w:r>
        <w:rPr>
          <w:rFonts w:hint="eastAsia" w:ascii="宋体" w:hAnsi="宋体" w:cs="宋体"/>
          <w:kern w:val="0"/>
          <w:sz w:val="18"/>
          <w:szCs w:val="24"/>
          <w:lang w:val="zh-CN"/>
        </w:rPr>
        <w:t>日，公司召开</w:t>
      </w:r>
      <w:r>
        <w:rPr>
          <w:rFonts w:hint="default" w:eastAsia="Times New Roman"/>
          <w:kern w:val="0"/>
          <w:sz w:val="18"/>
          <w:szCs w:val="24"/>
          <w:lang w:val="zh-CN"/>
        </w:rPr>
        <w:t>2019</w:t>
      </w:r>
      <w:r>
        <w:rPr>
          <w:rFonts w:hint="eastAsia" w:ascii="宋体" w:hAnsi="宋体" w:cs="宋体"/>
          <w:kern w:val="0"/>
          <w:sz w:val="18"/>
          <w:szCs w:val="24"/>
          <w:lang w:val="zh-CN"/>
        </w:rPr>
        <w:t>年第一次临时股东大会通过了《关于回购注销部分限制性股票的议案》（披露于巨潮资讯网，公告编号：</w:t>
      </w:r>
      <w:r>
        <w:rPr>
          <w:rFonts w:hint="default" w:eastAsia="Times New Roman"/>
          <w:kern w:val="0"/>
          <w:sz w:val="18"/>
          <w:szCs w:val="24"/>
          <w:lang w:val="zh-CN"/>
        </w:rPr>
        <w:t>2019-073</w:t>
      </w:r>
      <w:r>
        <w:rPr>
          <w:rFonts w:hint="eastAsia" w:ascii="宋体" w:hAnsi="宋体" w:cs="宋体"/>
          <w:kern w:val="0"/>
          <w:sz w:val="18"/>
          <w:szCs w:val="24"/>
          <w:lang w:val="zh-CN"/>
        </w:rPr>
        <w:t>）。</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8</w:t>
      </w:r>
      <w:r>
        <w:rPr>
          <w:rFonts w:hint="eastAsia" w:ascii="宋体" w:hAnsi="宋体" w:cs="宋体"/>
          <w:kern w:val="0"/>
          <w:sz w:val="18"/>
          <w:szCs w:val="24"/>
          <w:lang w:val="zh-CN"/>
        </w:rPr>
        <w:t>、</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25</w:t>
      </w:r>
      <w:r>
        <w:rPr>
          <w:rFonts w:hint="eastAsia" w:ascii="宋体" w:hAnsi="宋体" w:cs="宋体"/>
          <w:kern w:val="0"/>
          <w:sz w:val="18"/>
          <w:szCs w:val="24"/>
          <w:lang w:val="zh-CN"/>
        </w:rPr>
        <w:t>日，公司第三届董事会第二十次会议通过了《关于</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年限制性股票激励计划第二个解锁期解锁条件成就的议案》、《关于调整限制性股票回购价格的议案》、《关于回购注销部分限制性股票的议案》、《关于调整</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部分业绩考核指标的议案》等议案。经董事会审议，认为公司本次股权激励计划第二个解除限售期解除限售条件已成就，同意为激励对象统一办理符合解除限售条件的限制性股票的解除限售事宜。同时，董事会同意将已不符合激励条件的激励对象已获授但尚未解除限售的限制性股票</w:t>
      </w:r>
      <w:r>
        <w:rPr>
          <w:rFonts w:hint="default" w:eastAsia="Times New Roman"/>
          <w:kern w:val="0"/>
          <w:sz w:val="18"/>
          <w:szCs w:val="24"/>
          <w:lang w:val="zh-CN"/>
        </w:rPr>
        <w:t>42,000</w:t>
      </w:r>
      <w:r>
        <w:rPr>
          <w:rFonts w:hint="eastAsia" w:ascii="宋体" w:hAnsi="宋体" w:cs="宋体"/>
          <w:kern w:val="0"/>
          <w:sz w:val="18"/>
          <w:szCs w:val="24"/>
          <w:lang w:val="zh-CN"/>
        </w:rPr>
        <w:t>股进行回购注销。公司独立董事对此分别发表了同意的独立意见。</w:t>
      </w:r>
      <w:r>
        <w:rPr>
          <w:rFonts w:hint="default" w:eastAsia="Times New Roman"/>
          <w:kern w:val="0"/>
          <w:sz w:val="18"/>
          <w:szCs w:val="24"/>
          <w:lang w:val="zh-CN"/>
        </w:rPr>
        <w:t xml:space="preserve"> </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9</w:t>
      </w:r>
      <w:r>
        <w:rPr>
          <w:rFonts w:hint="eastAsia" w:ascii="宋体" w:hAnsi="宋体" w:cs="宋体"/>
          <w:kern w:val="0"/>
          <w:sz w:val="18"/>
          <w:szCs w:val="24"/>
          <w:lang w:val="zh-CN"/>
        </w:rPr>
        <w:t>、</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25</w:t>
      </w:r>
      <w:r>
        <w:rPr>
          <w:rFonts w:hint="eastAsia" w:ascii="宋体" w:hAnsi="宋体" w:cs="宋体"/>
          <w:kern w:val="0"/>
          <w:sz w:val="18"/>
          <w:szCs w:val="24"/>
          <w:lang w:val="zh-CN"/>
        </w:rPr>
        <w:t>日，公司第三届监事会第十五次会议通过了《关于</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年限制性股票激励计划第二个解锁期解锁条件成就的议案》、《关于调整限制性股票回购价格的议案》、《关于回购注销部分限制性股票的议案》、《关于调整</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部分业绩考核指标的议案》等议案，认为本次股权激励计划第二次解除限售和回购注销已不符合激励条件的激励对象已获授但尚未解除限售的限制性股票符合《上市公司股权激励管理办法》（以下简称</w:t>
      </w:r>
      <w:r>
        <w:rPr>
          <w:rFonts w:hint="default" w:eastAsia="Times New Roman"/>
          <w:kern w:val="0"/>
          <w:sz w:val="18"/>
          <w:szCs w:val="24"/>
          <w:lang w:val="zh-CN"/>
        </w:rPr>
        <w:t>“</w:t>
      </w:r>
      <w:r>
        <w:rPr>
          <w:rFonts w:hint="eastAsia" w:ascii="宋体" w:hAnsi="宋体" w:cs="宋体"/>
          <w:kern w:val="0"/>
          <w:sz w:val="18"/>
          <w:szCs w:val="24"/>
          <w:lang w:val="zh-CN"/>
        </w:rPr>
        <w:t>《管理办法》</w:t>
      </w:r>
      <w:r>
        <w:rPr>
          <w:rFonts w:hint="default" w:eastAsia="Times New Roman"/>
          <w:kern w:val="0"/>
          <w:sz w:val="18"/>
          <w:szCs w:val="24"/>
          <w:lang w:val="zh-CN"/>
        </w:rPr>
        <w:t>”</w:t>
      </w:r>
      <w:r>
        <w:rPr>
          <w:rFonts w:hint="eastAsia" w:ascii="宋体" w:hAnsi="宋体" w:cs="宋体"/>
          <w:kern w:val="0"/>
          <w:sz w:val="18"/>
          <w:szCs w:val="24"/>
          <w:lang w:val="zh-CN"/>
        </w:rPr>
        <w:t>）等法律、法规和规范性文件及《激励计划》的规定，同意第二次解除限售和回购注销已不符合激励条件的激励对象已获授但尚未解除限售的限制性股票事项。</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10</w:t>
      </w:r>
      <w:r>
        <w:rPr>
          <w:rFonts w:hint="eastAsia" w:ascii="宋体" w:hAnsi="宋体" w:cs="宋体"/>
          <w:kern w:val="0"/>
          <w:sz w:val="18"/>
          <w:szCs w:val="24"/>
          <w:lang w:val="zh-CN"/>
        </w:rPr>
        <w:t>、</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w:t>
      </w:r>
      <w:r>
        <w:rPr>
          <w:rFonts w:hint="default" w:eastAsia="Times New Roman"/>
          <w:kern w:val="0"/>
          <w:sz w:val="18"/>
          <w:szCs w:val="24"/>
          <w:lang w:val="zh-CN"/>
        </w:rPr>
        <w:t>11</w:t>
      </w:r>
      <w:r>
        <w:rPr>
          <w:rFonts w:hint="eastAsia" w:ascii="宋体" w:hAnsi="宋体" w:cs="宋体"/>
          <w:kern w:val="0"/>
          <w:sz w:val="18"/>
          <w:szCs w:val="24"/>
          <w:lang w:val="zh-CN"/>
        </w:rPr>
        <w:t>日，公司召开</w:t>
      </w:r>
      <w:r>
        <w:rPr>
          <w:rFonts w:hint="default" w:eastAsia="Times New Roman"/>
          <w:kern w:val="0"/>
          <w:sz w:val="18"/>
          <w:szCs w:val="24"/>
          <w:lang w:val="zh-CN"/>
        </w:rPr>
        <w:t>2020</w:t>
      </w:r>
      <w:r>
        <w:rPr>
          <w:rFonts w:hint="eastAsia" w:ascii="宋体" w:hAnsi="宋体" w:cs="宋体"/>
          <w:kern w:val="0"/>
          <w:sz w:val="18"/>
          <w:szCs w:val="24"/>
          <w:lang w:val="zh-CN"/>
        </w:rPr>
        <w:t>年第一次临时股东大会通过了《关于回购注销部分限制性股票的议案》《关于修订</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年限制性股票激励计划公司层面业绩考核指标的议</w:t>
      </w:r>
    </w:p>
    <w:p>
      <w:pPr>
        <w:autoSpaceDE w:val="0"/>
        <w:autoSpaceDN w:val="0"/>
        <w:adjustRightInd w:val="0"/>
        <w:jc w:val="left"/>
        <w:rPr>
          <w:rFonts w:hint="default" w:eastAsia="Times New Roman"/>
          <w:kern w:val="0"/>
          <w:sz w:val="18"/>
          <w:szCs w:val="24"/>
          <w:lang w:val="zh-CN"/>
        </w:rPr>
      </w:pPr>
      <w:r>
        <w:rPr>
          <w:rFonts w:hint="eastAsia" w:ascii="宋体" w:hAnsi="宋体" w:cs="宋体"/>
          <w:kern w:val="0"/>
          <w:sz w:val="18"/>
          <w:szCs w:val="24"/>
          <w:lang w:val="zh-CN"/>
        </w:rPr>
        <w:t>案》（披露于巨潮资讯网，公告编号：</w:t>
      </w:r>
      <w:r>
        <w:rPr>
          <w:rFonts w:hint="default" w:eastAsia="Times New Roman"/>
          <w:kern w:val="0"/>
          <w:sz w:val="18"/>
          <w:szCs w:val="24"/>
          <w:lang w:val="zh-CN"/>
        </w:rPr>
        <w:t>2020-099</w:t>
      </w:r>
      <w:r>
        <w:rPr>
          <w:rFonts w:hint="eastAsia" w:ascii="宋体" w:hAnsi="宋体" w:cs="宋体"/>
          <w:kern w:val="0"/>
          <w:sz w:val="18"/>
          <w:szCs w:val="24"/>
          <w:lang w:val="zh-CN"/>
        </w:rPr>
        <w:t>）。</w:t>
      </w:r>
    </w:p>
    <w:p>
      <w:pPr>
        <w:autoSpaceDE w:val="0"/>
        <w:autoSpaceDN w:val="0"/>
        <w:adjustRightInd w:val="0"/>
        <w:jc w:val="left"/>
        <w:rPr>
          <w:rFonts w:hint="default" w:eastAsia="Times New Roman"/>
          <w:kern w:val="0"/>
          <w:sz w:val="18"/>
          <w:szCs w:val="24"/>
          <w:lang w:val="zh-CN"/>
        </w:rPr>
      </w:pPr>
    </w:p>
    <w:p>
      <w:pPr>
        <w:pStyle w:val="7"/>
        <w:outlineLvl w:val="1"/>
        <w:rPr>
          <w:rFonts w:hint="default"/>
          <w:sz w:val="24"/>
          <w:szCs w:val="24"/>
        </w:rPr>
      </w:pPr>
      <w:r>
        <w:rPr>
          <w:rFonts w:hint="eastAsia"/>
          <w:sz w:val="24"/>
          <w:szCs w:val="24"/>
        </w:rPr>
        <w:t>十六、重大关联交易</w:t>
      </w:r>
    </w:p>
    <w:p>
      <w:pPr>
        <w:pStyle w:val="8"/>
        <w:outlineLvl w:val="2"/>
        <w:rPr>
          <w:rFonts w:hint="default"/>
          <w:sz w:val="21"/>
          <w:szCs w:val="24"/>
        </w:rPr>
      </w:pPr>
      <w:r>
        <w:rPr>
          <w:rFonts w:hint="default"/>
          <w:sz w:val="21"/>
          <w:szCs w:val="24"/>
        </w:rPr>
        <w:t>1</w:t>
      </w:r>
      <w:r>
        <w:rPr>
          <w:rFonts w:hint="eastAsia"/>
          <w:sz w:val="21"/>
          <w:szCs w:val="24"/>
        </w:rPr>
        <w:t>、与日常经营相关的关联交易</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公司报告期未发生与日常经营相关的关联交易。</w:t>
      </w:r>
    </w:p>
    <w:p>
      <w:pPr>
        <w:pStyle w:val="8"/>
        <w:outlineLvl w:val="2"/>
        <w:rPr>
          <w:rFonts w:hint="default"/>
          <w:sz w:val="21"/>
          <w:szCs w:val="24"/>
        </w:rPr>
      </w:pPr>
      <w:r>
        <w:rPr>
          <w:rFonts w:hint="default"/>
          <w:sz w:val="21"/>
          <w:szCs w:val="24"/>
        </w:rPr>
        <w:t>2</w:t>
      </w:r>
      <w:r>
        <w:rPr>
          <w:rFonts w:hint="eastAsia"/>
          <w:sz w:val="21"/>
          <w:szCs w:val="24"/>
        </w:rPr>
        <w:t>、资产或股权收购、出售发生的关联交易</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公司报告期未发生资产或股权收购、出售的关联交易。</w:t>
      </w:r>
    </w:p>
    <w:p>
      <w:pPr>
        <w:pStyle w:val="8"/>
        <w:outlineLvl w:val="2"/>
        <w:rPr>
          <w:rFonts w:hint="default"/>
          <w:sz w:val="21"/>
          <w:szCs w:val="24"/>
        </w:rPr>
      </w:pPr>
      <w:r>
        <w:rPr>
          <w:rFonts w:hint="default"/>
          <w:sz w:val="21"/>
          <w:szCs w:val="24"/>
        </w:rPr>
        <w:t>3</w:t>
      </w:r>
      <w:r>
        <w:rPr>
          <w:rFonts w:hint="eastAsia"/>
          <w:sz w:val="21"/>
          <w:szCs w:val="24"/>
        </w:rPr>
        <w:t>、共同对外投资的关联交易</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公司报告期未发生共同对外投资的关联交易。</w:t>
      </w:r>
    </w:p>
    <w:p>
      <w:pPr>
        <w:pStyle w:val="8"/>
        <w:outlineLvl w:val="2"/>
        <w:rPr>
          <w:rFonts w:hint="default"/>
          <w:sz w:val="21"/>
          <w:szCs w:val="24"/>
        </w:rPr>
      </w:pPr>
      <w:r>
        <w:rPr>
          <w:rFonts w:hint="default"/>
          <w:sz w:val="21"/>
          <w:szCs w:val="24"/>
        </w:rPr>
        <w:t>4</w:t>
      </w:r>
      <w:r>
        <w:rPr>
          <w:rFonts w:hint="eastAsia"/>
          <w:sz w:val="21"/>
          <w:szCs w:val="24"/>
        </w:rPr>
        <w:t>、关联债权债务往来</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公司报告期不存在关联债权债务往来。</w:t>
      </w:r>
    </w:p>
    <w:p>
      <w:pPr>
        <w:pStyle w:val="8"/>
        <w:outlineLvl w:val="2"/>
        <w:rPr>
          <w:rFonts w:hint="default"/>
          <w:sz w:val="21"/>
          <w:szCs w:val="24"/>
        </w:rPr>
      </w:pPr>
      <w:r>
        <w:rPr>
          <w:rFonts w:hint="default"/>
          <w:sz w:val="21"/>
          <w:szCs w:val="24"/>
        </w:rPr>
        <w:t>5</w:t>
      </w:r>
      <w:r>
        <w:rPr>
          <w:rFonts w:hint="eastAsia"/>
          <w:sz w:val="21"/>
          <w:szCs w:val="24"/>
        </w:rPr>
        <w:t>、其他重大关联交易</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公司报告期无其他重大关联交易。</w:t>
      </w:r>
    </w:p>
    <w:p>
      <w:pPr>
        <w:pStyle w:val="7"/>
        <w:outlineLvl w:val="1"/>
        <w:rPr>
          <w:rFonts w:hint="default"/>
          <w:sz w:val="24"/>
          <w:szCs w:val="24"/>
        </w:rPr>
      </w:pPr>
      <w:r>
        <w:rPr>
          <w:rFonts w:hint="eastAsia"/>
          <w:sz w:val="24"/>
          <w:szCs w:val="24"/>
        </w:rPr>
        <w:t>十七、重大合同及其履行情况</w:t>
      </w:r>
    </w:p>
    <w:p>
      <w:pPr>
        <w:pStyle w:val="8"/>
        <w:outlineLvl w:val="2"/>
        <w:rPr>
          <w:rFonts w:hint="default"/>
          <w:sz w:val="21"/>
          <w:szCs w:val="24"/>
        </w:rPr>
      </w:pPr>
      <w:r>
        <w:rPr>
          <w:rFonts w:hint="default"/>
          <w:sz w:val="21"/>
          <w:szCs w:val="24"/>
        </w:rPr>
        <w:t>1</w:t>
      </w:r>
      <w:r>
        <w:rPr>
          <w:rFonts w:hint="eastAsia"/>
          <w:sz w:val="21"/>
          <w:szCs w:val="24"/>
        </w:rPr>
        <w:t>、托管、承包、租赁事项情况</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）托管情况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公司报告期不存在托管情况。</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）承包情况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公司报告期不存在承包情况。</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）租赁情况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租赁情况说明</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2014</w:t>
      </w:r>
      <w:r>
        <w:rPr>
          <w:rFonts w:hint="eastAsia" w:ascii="宋体" w:hAnsi="宋体" w:cs="宋体"/>
          <w:kern w:val="0"/>
          <w:sz w:val="18"/>
          <w:szCs w:val="24"/>
          <w:lang w:val="zh-CN"/>
        </w:rPr>
        <w:t>年</w:t>
      </w:r>
      <w:r>
        <w:rPr>
          <w:rFonts w:hint="default" w:eastAsia="Times New Roman"/>
          <w:kern w:val="0"/>
          <w:sz w:val="18"/>
          <w:szCs w:val="24"/>
          <w:lang w:val="zh-CN"/>
        </w:rPr>
        <w:t xml:space="preserve">10 </w:t>
      </w:r>
      <w:r>
        <w:rPr>
          <w:rFonts w:hint="eastAsia" w:ascii="宋体" w:hAnsi="宋体" w:cs="宋体"/>
          <w:kern w:val="0"/>
          <w:sz w:val="18"/>
          <w:szCs w:val="24"/>
          <w:lang w:val="zh-CN"/>
        </w:rPr>
        <w:t>月公司全资子公司伟隆五金将其土地房屋租赁给青岛利和萃取科技有限公司。</w:t>
      </w:r>
      <w:r>
        <w:rPr>
          <w:rFonts w:hint="default" w:eastAsia="Times New Roman"/>
          <w:kern w:val="0"/>
          <w:sz w:val="18"/>
          <w:szCs w:val="24"/>
          <w:lang w:val="zh-CN"/>
        </w:rPr>
        <w:t>2019</w:t>
      </w:r>
      <w:r>
        <w:rPr>
          <w:rFonts w:hint="eastAsia" w:ascii="宋体" w:hAnsi="宋体" w:cs="宋体"/>
          <w:kern w:val="0"/>
          <w:sz w:val="18"/>
          <w:szCs w:val="24"/>
          <w:lang w:val="zh-CN"/>
        </w:rPr>
        <w:t>年，公司全资子公司莱州伟隆将其位于莱州市沙河镇海郑村东房屋分别租赁给莱州市沙河镇庆霖阀门厂、莱州市沙河镇邹鑫机械加工厂、莱州市沙河镇金璇机械加工厂及莱州市沙河镇海磊德机械厂等用于生产经营，</w:t>
      </w:r>
      <w:r>
        <w:rPr>
          <w:rFonts w:hint="default" w:eastAsia="Times New Roman"/>
          <w:kern w:val="0"/>
          <w:sz w:val="18"/>
          <w:szCs w:val="24"/>
          <w:lang w:val="zh-CN"/>
        </w:rPr>
        <w:t>2020</w:t>
      </w:r>
      <w:r>
        <w:rPr>
          <w:rFonts w:hint="eastAsia" w:ascii="宋体" w:hAnsi="宋体" w:cs="宋体"/>
          <w:kern w:val="0"/>
          <w:sz w:val="18"/>
          <w:szCs w:val="24"/>
          <w:lang w:val="zh-CN"/>
        </w:rPr>
        <w:t>年，公司全资子公司青岛即聚机电有限责任公司将其位于山东省青岛市即墨区蓝村镇兴和路</w:t>
      </w:r>
      <w:r>
        <w:rPr>
          <w:rFonts w:hint="default" w:eastAsia="Times New Roman"/>
          <w:kern w:val="0"/>
          <w:sz w:val="18"/>
          <w:szCs w:val="24"/>
          <w:lang w:val="zh-CN"/>
        </w:rPr>
        <w:t>45</w:t>
      </w:r>
      <w:r>
        <w:rPr>
          <w:rFonts w:hint="eastAsia" w:ascii="宋体" w:hAnsi="宋体" w:cs="宋体"/>
          <w:kern w:val="0"/>
          <w:sz w:val="18"/>
          <w:szCs w:val="24"/>
          <w:lang w:val="zh-CN"/>
        </w:rPr>
        <w:t>号的一部分厂房对外租赁。</w:t>
      </w:r>
    </w:p>
    <w:p>
      <w:pPr>
        <w:jc w:val="left"/>
        <w:rPr>
          <w:rFonts w:hint="default"/>
          <w:sz w:val="18"/>
          <w:szCs w:val="24"/>
        </w:rPr>
      </w:pPr>
      <w:r>
        <w:rPr>
          <w:rFonts w:hint="eastAsia"/>
          <w:sz w:val="18"/>
          <w:szCs w:val="24"/>
        </w:rPr>
        <w:t>为公司带来的损益达到公司报告期利润总额</w:t>
      </w:r>
      <w:r>
        <w:rPr>
          <w:rFonts w:hint="default"/>
          <w:sz w:val="18"/>
          <w:szCs w:val="24"/>
        </w:rPr>
        <w:t>10%</w:t>
      </w:r>
      <w:r>
        <w:rPr>
          <w:rFonts w:hint="eastAsia"/>
          <w:sz w:val="18"/>
          <w:szCs w:val="24"/>
        </w:rPr>
        <w:t>以上的项目</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公司报告期不存在为公司带来的损益达到公司报告期利润总额</w:t>
      </w:r>
      <w:r>
        <w:rPr>
          <w:rFonts w:hint="default"/>
          <w:sz w:val="18"/>
          <w:szCs w:val="24"/>
        </w:rPr>
        <w:t>10%</w:t>
      </w:r>
      <w:r>
        <w:rPr>
          <w:rFonts w:hint="eastAsia"/>
          <w:sz w:val="18"/>
          <w:szCs w:val="24"/>
        </w:rPr>
        <w:t>以上的租赁项目。</w:t>
      </w:r>
    </w:p>
    <w:p>
      <w:pPr>
        <w:pStyle w:val="8"/>
        <w:outlineLvl w:val="2"/>
        <w:rPr>
          <w:rFonts w:hint="default"/>
          <w:sz w:val="21"/>
          <w:szCs w:val="24"/>
        </w:rPr>
      </w:pPr>
      <w:r>
        <w:rPr>
          <w:rFonts w:hint="default"/>
          <w:sz w:val="21"/>
          <w:szCs w:val="24"/>
        </w:rPr>
        <w:t>2</w:t>
      </w:r>
      <w:r>
        <w:rPr>
          <w:rFonts w:hint="eastAsia"/>
          <w:sz w:val="21"/>
          <w:szCs w:val="24"/>
        </w:rPr>
        <w:t>、重大担保</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公司报告期不存在担保情况。</w:t>
      </w:r>
    </w:p>
    <w:p>
      <w:pPr>
        <w:pStyle w:val="8"/>
        <w:outlineLvl w:val="2"/>
        <w:rPr>
          <w:rFonts w:hint="default"/>
          <w:sz w:val="21"/>
          <w:szCs w:val="24"/>
        </w:rPr>
      </w:pPr>
      <w:r>
        <w:rPr>
          <w:rFonts w:hint="default"/>
          <w:sz w:val="21"/>
          <w:szCs w:val="24"/>
        </w:rPr>
        <w:t>3</w:t>
      </w:r>
      <w:r>
        <w:rPr>
          <w:rFonts w:hint="eastAsia"/>
          <w:sz w:val="21"/>
          <w:szCs w:val="24"/>
        </w:rPr>
        <w:t>、委托他人进行现金资产管理情况</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）委托理财情况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报告期内委托理财概况</w:t>
      </w:r>
    </w:p>
    <w:p>
      <w:pPr>
        <w:jc w:val="right"/>
        <w:rPr>
          <w:rFonts w:hint="default"/>
          <w:sz w:val="18"/>
          <w:szCs w:val="24"/>
        </w:rPr>
      </w:pPr>
      <w:r>
        <w:rPr>
          <w:rFonts w:hint="eastAsia"/>
          <w:sz w:val="18"/>
          <w:szCs w:val="24"/>
        </w:rPr>
        <w:t>单位：万元</w:t>
      </w:r>
    </w:p>
    <w:tbl>
      <w:tblPr>
        <w:tblStyle w:val="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8"/>
        <w:gridCol w:w="1962"/>
        <w:gridCol w:w="1981"/>
        <w:gridCol w:w="1909"/>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具体类型</w:t>
            </w:r>
          </w:p>
        </w:tc>
        <w:tc>
          <w:tcPr>
            <w:tcW w:w="19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委托理财的资金来源</w:t>
            </w:r>
          </w:p>
        </w:tc>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委托理财发生额</w:t>
            </w:r>
          </w:p>
        </w:tc>
        <w:tc>
          <w:tcPr>
            <w:tcW w:w="190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未到期余额</w:t>
            </w:r>
          </w:p>
        </w:tc>
        <w:tc>
          <w:tcPr>
            <w:tcW w:w="184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逾期未收回的金额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银行理财产品</w:t>
            </w:r>
          </w:p>
        </w:tc>
        <w:tc>
          <w:tcPr>
            <w:tcW w:w="19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募集资金</w:t>
            </w:r>
          </w:p>
        </w:tc>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5,900</w:t>
            </w:r>
          </w:p>
        </w:tc>
        <w:tc>
          <w:tcPr>
            <w:tcW w:w="19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w:t>
            </w:r>
          </w:p>
        </w:tc>
        <w:tc>
          <w:tcPr>
            <w:tcW w:w="1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银行理财产品</w:t>
            </w:r>
          </w:p>
        </w:tc>
        <w:tc>
          <w:tcPr>
            <w:tcW w:w="19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自有资金</w:t>
            </w:r>
          </w:p>
        </w:tc>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17,400</w:t>
            </w:r>
          </w:p>
        </w:tc>
        <w:tc>
          <w:tcPr>
            <w:tcW w:w="19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16,000</w:t>
            </w:r>
          </w:p>
        </w:tc>
        <w:tc>
          <w:tcPr>
            <w:tcW w:w="1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信托理财产品</w:t>
            </w:r>
          </w:p>
        </w:tc>
        <w:tc>
          <w:tcPr>
            <w:tcW w:w="19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自有资金</w:t>
            </w:r>
          </w:p>
        </w:tc>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12,300</w:t>
            </w:r>
          </w:p>
        </w:tc>
        <w:tc>
          <w:tcPr>
            <w:tcW w:w="19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12,300</w:t>
            </w:r>
          </w:p>
        </w:tc>
        <w:tc>
          <w:tcPr>
            <w:tcW w:w="1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合计</w:t>
            </w:r>
          </w:p>
        </w:tc>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35,600</w:t>
            </w:r>
          </w:p>
        </w:tc>
        <w:tc>
          <w:tcPr>
            <w:tcW w:w="19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28,300</w:t>
            </w:r>
          </w:p>
        </w:tc>
        <w:tc>
          <w:tcPr>
            <w:tcW w:w="1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w:t>
            </w:r>
          </w:p>
        </w:tc>
      </w:tr>
    </w:tbl>
    <w:p>
      <w:pPr>
        <w:jc w:val="left"/>
        <w:rPr>
          <w:rFonts w:hint="default"/>
          <w:sz w:val="18"/>
          <w:szCs w:val="24"/>
        </w:rPr>
      </w:pPr>
      <w:r>
        <w:rPr>
          <w:rFonts w:hint="eastAsia"/>
          <w:sz w:val="18"/>
          <w:szCs w:val="24"/>
        </w:rPr>
        <w:t>单项金额重大或安全性较低、流动性较差、不保本的高风险委托理财具体情况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委托理财出现预期无法收回本金或存在其他可能导致减值的情形</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）委托贷款情况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公司报告期不存在委托贷款。</w:t>
      </w:r>
    </w:p>
    <w:p>
      <w:pPr>
        <w:pStyle w:val="8"/>
        <w:outlineLvl w:val="2"/>
        <w:rPr>
          <w:rFonts w:hint="default"/>
          <w:sz w:val="21"/>
          <w:szCs w:val="24"/>
        </w:rPr>
      </w:pPr>
      <w:r>
        <w:rPr>
          <w:rFonts w:hint="default"/>
          <w:sz w:val="21"/>
          <w:szCs w:val="24"/>
        </w:rPr>
        <w:t>4</w:t>
      </w:r>
      <w:r>
        <w:rPr>
          <w:rFonts w:hint="eastAsia"/>
          <w:sz w:val="21"/>
          <w:szCs w:val="24"/>
        </w:rPr>
        <w:t>、日常经营重大合同</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5</w:t>
      </w:r>
      <w:r>
        <w:rPr>
          <w:rFonts w:hint="eastAsia"/>
          <w:sz w:val="21"/>
          <w:szCs w:val="24"/>
        </w:rPr>
        <w:t>、其他重大合同</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公司报告期不存在其他重大合同。</w:t>
      </w:r>
    </w:p>
    <w:p>
      <w:pPr>
        <w:pStyle w:val="7"/>
        <w:outlineLvl w:val="1"/>
        <w:rPr>
          <w:rFonts w:hint="default"/>
          <w:sz w:val="24"/>
          <w:szCs w:val="24"/>
        </w:rPr>
      </w:pPr>
      <w:r>
        <w:rPr>
          <w:rFonts w:hint="eastAsia"/>
          <w:sz w:val="24"/>
          <w:szCs w:val="24"/>
        </w:rPr>
        <w:t>十八、社会责任情况</w:t>
      </w:r>
    </w:p>
    <w:p>
      <w:pPr>
        <w:pStyle w:val="8"/>
        <w:outlineLvl w:val="2"/>
        <w:rPr>
          <w:rFonts w:hint="default"/>
          <w:sz w:val="21"/>
          <w:szCs w:val="24"/>
        </w:rPr>
      </w:pPr>
      <w:r>
        <w:rPr>
          <w:rFonts w:hint="default"/>
          <w:sz w:val="21"/>
          <w:szCs w:val="24"/>
        </w:rPr>
        <w:t>1</w:t>
      </w:r>
      <w:r>
        <w:rPr>
          <w:rFonts w:hint="eastAsia"/>
          <w:sz w:val="21"/>
          <w:szCs w:val="24"/>
        </w:rPr>
        <w:t>、履行社会责任情况</w:t>
      </w:r>
    </w:p>
    <w:p>
      <w:pPr>
        <w:autoSpaceDE w:val="0"/>
        <w:autoSpaceDN w:val="0"/>
        <w:adjustRightInd w:val="0"/>
        <w:spacing w:before="0" w:after="0"/>
        <w:ind w:firstLine="360"/>
        <w:jc w:val="left"/>
        <w:rPr>
          <w:rFonts w:hint="default" w:eastAsia="Times New Roman"/>
          <w:kern w:val="0"/>
          <w:sz w:val="18"/>
          <w:szCs w:val="24"/>
          <w:lang w:val="zh-CN"/>
        </w:rPr>
      </w:pPr>
      <w:r>
        <w:rPr>
          <w:rFonts w:hint="eastAsia" w:ascii="宋体" w:hAnsi="宋体" w:cs="宋体"/>
          <w:kern w:val="0"/>
          <w:sz w:val="18"/>
          <w:szCs w:val="24"/>
          <w:lang w:val="zh-CN"/>
        </w:rPr>
        <w:t>报告期内，公司积极履行企业应尽的义务，承担社会责任。在生产经营和业务发展的过程中，在为股东创造价值的同时，努力做到经济效益与社会效益、短期利益与长期利益、自身发展与社会发展协调统一，实现公司与员工、公司与社会、公司与环境的健康和谐发展。</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在股东和债权人权益保护方面，公司严格按照《公司法》、《证券法》、《公司章程》等有关法律、法规的要求，结合公司实际，建立了规范的法人治理结构，规范股东大会的召集、召开及表决程序，通过现场、网络等合法有效的方式，让更多的股东特别是中小股东能够参加股东大会，确保股东对公司重大事项的知情权、参与权和表决权。公司认真履行信息披露义务，秉持公平、公正、公开的原则对待全体投资者和债权人，维护广大投资者和债权人的利益。</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在职工权益保护方面，公司不断完善劳动用工与福利保障的相关管理制度，尊重和维护员工的个人权益，对人员录用、员工培训、工资薪酬、福利保障等进行了规定，建立了较为完善的薪酬管理和绩效考核体系。公司通过多种途径改善员工工作环境和生活环境，重视人才培训和培养，实现员工与公司的共同成长，切实维护员工的合法权益。</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在供应商、客户和消费者权益保护方面，公司建立了原材料采购和产品销售服务体系，确保产品质量，获得了较高的客户满意度和忠诚度。公司完善了销售服务管理制度和运行机制，做到服务与经营工作同步推进，完善了客户意见反馈机制、投诉处理机制和快速响应机制。</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在环境保护与可持续发展方面，公司将环境保护和节能减排作为可持续发展战略的重要内容，注重环保宣传和全体员工环保意识的提高，坚持守法自律、清洁生产、节约资源、保护环境、可持续发展。公司依靠技术改造不断优化生产工艺，推进节能减排、预防污染、节约资源的有效措施，已经通过了环境管理体系及职业健康安全管理体系认证及企业三级安全标准化建设验收，公司未发生重大安全、环保事故问题。</w:t>
      </w:r>
    </w:p>
    <w:p>
      <w:pPr>
        <w:pStyle w:val="8"/>
        <w:outlineLvl w:val="2"/>
        <w:rPr>
          <w:rFonts w:hint="default"/>
          <w:sz w:val="21"/>
          <w:szCs w:val="24"/>
        </w:rPr>
      </w:pPr>
      <w:r>
        <w:rPr>
          <w:rFonts w:hint="default"/>
          <w:sz w:val="21"/>
          <w:szCs w:val="24"/>
        </w:rPr>
        <w:t>2</w:t>
      </w:r>
      <w:r>
        <w:rPr>
          <w:rFonts w:hint="eastAsia"/>
          <w:sz w:val="21"/>
          <w:szCs w:val="24"/>
        </w:rPr>
        <w:t>、履行精准扶贫社会责任情况</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）精准扶贫规划</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）年度精准扶贫概要</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）精准扶贫成效</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594"/>
        <w:gridCol w:w="1461"/>
        <w:gridCol w:w="4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指标</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计量单位</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r>
              <w:rPr>
                <w:rFonts w:hint="default"/>
                <w:sz w:val="18"/>
                <w:szCs w:val="24"/>
              </w:rPr>
              <w:t>/</w:t>
            </w:r>
            <w:r>
              <w:rPr>
                <w:rFonts w:hint="eastAsia"/>
                <w:sz w:val="18"/>
                <w:szCs w:val="24"/>
              </w:rPr>
              <w:t>开展情况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一、总体情况</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　</w:t>
            </w:r>
            <w:r>
              <w:rPr>
                <w:rFonts w:hint="default"/>
                <w:sz w:val="18"/>
                <w:szCs w:val="24"/>
              </w:rPr>
              <w:t>1.</w:t>
            </w:r>
            <w:r>
              <w:rPr>
                <w:rFonts w:hint="eastAsia"/>
                <w:sz w:val="18"/>
                <w:szCs w:val="24"/>
              </w:rPr>
              <w:t>资金</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万元</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二、分项投入</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产业发展脱贫</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转移就业脱贫</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易地搬迁脱贫</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教育扶贫</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健康扶贫</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6.</w:t>
            </w:r>
            <w:r>
              <w:rPr>
                <w:rFonts w:hint="eastAsia"/>
                <w:sz w:val="18"/>
                <w:szCs w:val="24"/>
              </w:rPr>
              <w:t>生态保护扶贫</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7.</w:t>
            </w:r>
            <w:r>
              <w:rPr>
                <w:rFonts w:hint="eastAsia"/>
                <w:sz w:val="18"/>
                <w:szCs w:val="24"/>
              </w:rPr>
              <w:t>兜底保障</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8.</w:t>
            </w:r>
            <w:r>
              <w:rPr>
                <w:rFonts w:hint="eastAsia"/>
                <w:sz w:val="18"/>
                <w:szCs w:val="24"/>
              </w:rPr>
              <w:t>社会扶贫</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9.</w:t>
            </w:r>
            <w:r>
              <w:rPr>
                <w:rFonts w:hint="eastAsia"/>
                <w:sz w:val="18"/>
                <w:szCs w:val="24"/>
              </w:rPr>
              <w:t>其他项目</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　　</w:t>
            </w:r>
            <w:r>
              <w:rPr>
                <w:rFonts w:hint="default"/>
                <w:sz w:val="18"/>
                <w:szCs w:val="24"/>
              </w:rPr>
              <w:t>9.1.</w:t>
            </w:r>
            <w:r>
              <w:rPr>
                <w:rFonts w:hint="eastAsia"/>
                <w:sz w:val="18"/>
                <w:szCs w:val="24"/>
              </w:rPr>
              <w:t>项目个数</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个</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9.2.</w:t>
            </w:r>
            <w:r>
              <w:rPr>
                <w:rFonts w:hint="eastAsia"/>
                <w:sz w:val="18"/>
                <w:szCs w:val="24"/>
              </w:rPr>
              <w:t>投入金额</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万元</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三、所获奖项（内容、级别）</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4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）后续精准扶贫计划</w:t>
      </w:r>
    </w:p>
    <w:p>
      <w:pPr>
        <w:pStyle w:val="8"/>
        <w:outlineLvl w:val="2"/>
        <w:rPr>
          <w:rFonts w:hint="default"/>
          <w:sz w:val="21"/>
          <w:szCs w:val="24"/>
        </w:rPr>
      </w:pPr>
      <w:r>
        <w:rPr>
          <w:rFonts w:hint="default"/>
          <w:sz w:val="21"/>
          <w:szCs w:val="24"/>
        </w:rPr>
        <w:t>3</w:t>
      </w:r>
      <w:r>
        <w:rPr>
          <w:rFonts w:hint="eastAsia"/>
          <w:sz w:val="21"/>
          <w:szCs w:val="24"/>
        </w:rPr>
        <w:t>、环境保护相关的情况</w:t>
      </w:r>
    </w:p>
    <w:p>
      <w:pPr>
        <w:jc w:val="left"/>
        <w:rPr>
          <w:rFonts w:hint="default"/>
          <w:sz w:val="18"/>
          <w:szCs w:val="24"/>
        </w:rPr>
      </w:pPr>
      <w:r>
        <w:rPr>
          <w:rFonts w:hint="eastAsia"/>
          <w:sz w:val="18"/>
          <w:szCs w:val="24"/>
        </w:rPr>
        <w:t>上市公司及其子公司是否属于环境保护部门公布的重点排污单位</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不适用</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公司及相关子公司在日常生产经营中，公司及子公司认真执行《中华人民共和国环境保护法》、《中华人民共和国水污染防治法》、《中华人民共和国大气污染防治法》、《中华人民共和国环境噪声污染防治法》、《中华人民共和国固体废物污染防治法》等法律法规，做好环境因素识别、评价与控制，积极采用高效、节能、环保的新工艺，最大限度减少污染物排放，全面推进清洁生产，各项指标符合环保要求。</w:t>
      </w:r>
    </w:p>
    <w:p>
      <w:pPr>
        <w:pStyle w:val="7"/>
        <w:outlineLvl w:val="1"/>
        <w:rPr>
          <w:rFonts w:hint="default"/>
          <w:sz w:val="24"/>
          <w:szCs w:val="24"/>
        </w:rPr>
      </w:pPr>
      <w:r>
        <w:rPr>
          <w:rFonts w:hint="eastAsia"/>
          <w:sz w:val="24"/>
          <w:szCs w:val="24"/>
        </w:rPr>
        <w:t>十九、其他重大事项的说明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公司报告期不存在需要说明的其他重大事项。</w:t>
      </w:r>
    </w:p>
    <w:p>
      <w:pPr>
        <w:pStyle w:val="7"/>
        <w:outlineLvl w:val="1"/>
        <w:rPr>
          <w:rFonts w:hint="default"/>
          <w:sz w:val="24"/>
          <w:szCs w:val="24"/>
        </w:rPr>
      </w:pPr>
      <w:r>
        <w:rPr>
          <w:rFonts w:hint="eastAsia"/>
          <w:sz w:val="24"/>
          <w:szCs w:val="24"/>
        </w:rPr>
        <w:t>二十、公司子公司重大事项</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ind w:firstLine="270" w:firstLineChars="150"/>
        <w:jc w:val="left"/>
        <w:rPr>
          <w:rFonts w:hint="default"/>
          <w:color w:val="auto"/>
          <w:kern w:val="0"/>
          <w:sz w:val="24"/>
          <w:szCs w:val="24"/>
        </w:rPr>
        <w:sectPr>
          <w:pgSz w:w="11906" w:h="16838"/>
          <w:pgMar w:top="1440" w:right="1134" w:bottom="1440" w:left="1134" w:header="851" w:footer="992" w:gutter="0"/>
          <w:lnNumType w:countBy="0" w:distance="360"/>
          <w:cols w:space="720" w:num="1"/>
          <w:docGrid w:type="lines" w:linePitch="312" w:charSpace="0"/>
        </w:sectPr>
      </w:pPr>
      <w:bookmarkStart w:id="5" w:name="_Toc300000089"/>
      <w:r>
        <w:rPr>
          <w:rFonts w:hint="eastAsia" w:ascii="宋体" w:hAnsi="宋体" w:cs="宋体"/>
          <w:color w:val="auto"/>
          <w:kern w:val="0"/>
          <w:sz w:val="18"/>
          <w:szCs w:val="24"/>
          <w:lang w:val="zh-CN"/>
        </w:rPr>
        <w:t>公司全资子公司莱州伟隆阀门有限公司于2020年12月24日收到山东省莱州市人民法院（</w:t>
      </w:r>
      <w:r>
        <w:rPr>
          <w:rFonts w:hint="default" w:eastAsia="Times New Roman"/>
          <w:color w:val="auto"/>
          <w:kern w:val="0"/>
          <w:sz w:val="18"/>
          <w:szCs w:val="24"/>
          <w:lang w:val="zh-CN"/>
        </w:rPr>
        <w:t>2020</w:t>
      </w:r>
      <w:r>
        <w:rPr>
          <w:rFonts w:hint="eastAsia" w:ascii="宋体" w:hAnsi="宋体" w:cs="宋体"/>
          <w:color w:val="auto"/>
          <w:kern w:val="0"/>
          <w:sz w:val="18"/>
          <w:szCs w:val="24"/>
          <w:lang w:val="zh-CN"/>
        </w:rPr>
        <w:t>）鲁</w:t>
      </w:r>
      <w:r>
        <w:rPr>
          <w:rFonts w:hint="default" w:eastAsia="Times New Roman"/>
          <w:color w:val="auto"/>
          <w:kern w:val="0"/>
          <w:sz w:val="18"/>
          <w:szCs w:val="24"/>
          <w:lang w:val="zh-CN"/>
        </w:rPr>
        <w:t>0683</w:t>
      </w:r>
      <w:r>
        <w:rPr>
          <w:rFonts w:hint="eastAsia" w:ascii="宋体" w:hAnsi="宋体" w:cs="宋体"/>
          <w:color w:val="auto"/>
          <w:kern w:val="0"/>
          <w:sz w:val="18"/>
          <w:szCs w:val="24"/>
          <w:lang w:val="zh-CN"/>
        </w:rPr>
        <w:t>民初</w:t>
      </w:r>
      <w:r>
        <w:rPr>
          <w:rFonts w:hint="default" w:eastAsia="Times New Roman"/>
          <w:color w:val="auto"/>
          <w:kern w:val="0"/>
          <w:sz w:val="18"/>
          <w:szCs w:val="24"/>
          <w:lang w:val="zh-CN"/>
        </w:rPr>
        <w:t>8092</w:t>
      </w:r>
      <w:r>
        <w:rPr>
          <w:rFonts w:hint="eastAsia" w:ascii="宋体" w:hAnsi="宋体" w:cs="宋体"/>
          <w:color w:val="auto"/>
          <w:kern w:val="0"/>
          <w:sz w:val="18"/>
          <w:szCs w:val="24"/>
          <w:lang w:val="zh-CN"/>
        </w:rPr>
        <w:t>号应诉通知书，因莱州辉瑞仓储有限公司与莱州辰英特机械制造有限公司</w:t>
      </w:r>
      <w:r>
        <w:rPr>
          <w:rFonts w:hint="eastAsia" w:ascii="宋体" w:hAnsi="宋体" w:cs="宋体"/>
          <w:color w:val="auto"/>
          <w:kern w:val="0"/>
          <w:sz w:val="18"/>
          <w:szCs w:val="24"/>
        </w:rPr>
        <w:t>2019年1月签订的</w:t>
      </w:r>
      <w:r>
        <w:rPr>
          <w:rFonts w:hint="eastAsia" w:ascii="宋体" w:hAnsi="宋体" w:cs="宋体"/>
          <w:color w:val="auto"/>
          <w:kern w:val="0"/>
          <w:sz w:val="18"/>
          <w:szCs w:val="24"/>
          <w:lang w:val="zh-CN"/>
        </w:rPr>
        <w:t>买卖合同纠纷，莱州辉瑞仓储有限公司提起对莱州辰英特机械制造有限公司、莱州伟隆阀门有限公司等十名被告诉讼并申请财产保全。经核查，此案是莱州伟隆阀门有限公司原工作人员以个人名义为莱州辰英特机械制造有限公司购买土地房屋的付款行为向莱州辉瑞仓储有限公司提供连带责任担保，其亦利用职务便利，擅自在《房地产买卖合同》上加盖莱州伟隆公章，进而导致莱州伟隆被诉讼。此案实属莱州伟隆原工作人员的个人行为，未通知上市公司相关人员，法定代表人亦未在合同上签字。因此，上述私自使用莱州伟隆公章对买卖合同担保的行为未按照《公司章程》和《融资与对外担保管理办法》履行相应的审议程序，公司亦未履行相应的信息披露义务。</w:t>
      </w:r>
      <w:r>
        <w:rPr>
          <w:rFonts w:hint="eastAsia"/>
          <w:color w:val="auto"/>
          <w:kern w:val="0"/>
          <w:sz w:val="18"/>
          <w:szCs w:val="24"/>
          <w:lang w:val="zh-CN"/>
        </w:rPr>
        <w:t>公司</w:t>
      </w:r>
      <w:r>
        <w:rPr>
          <w:rFonts w:hint="eastAsia" w:ascii="宋体" w:hAnsi="宋体" w:cs="宋体"/>
          <w:color w:val="auto"/>
          <w:kern w:val="0"/>
          <w:sz w:val="18"/>
          <w:szCs w:val="24"/>
          <w:lang w:val="zh-CN"/>
        </w:rPr>
        <w:t>收到法院应诉通知书知悉此事后，立即启动诉讼答辩程序，已聘请诉讼律师进行答辩，莱州市人民法院于</w:t>
      </w:r>
      <w:r>
        <w:rPr>
          <w:rFonts w:hint="default" w:eastAsia="Times New Roman"/>
          <w:color w:val="auto"/>
          <w:kern w:val="0"/>
          <w:sz w:val="18"/>
          <w:szCs w:val="24"/>
          <w:lang w:val="zh-CN"/>
        </w:rPr>
        <w:t>2021</w:t>
      </w:r>
      <w:r>
        <w:rPr>
          <w:rFonts w:hint="eastAsia" w:ascii="宋体" w:hAnsi="宋体" w:cs="宋体"/>
          <w:color w:val="auto"/>
          <w:kern w:val="0"/>
          <w:sz w:val="18"/>
          <w:szCs w:val="24"/>
          <w:lang w:val="zh-CN"/>
        </w:rPr>
        <w:t>年</w:t>
      </w:r>
      <w:r>
        <w:rPr>
          <w:rFonts w:hint="default" w:eastAsia="Times New Roman"/>
          <w:color w:val="auto"/>
          <w:kern w:val="0"/>
          <w:sz w:val="18"/>
          <w:szCs w:val="24"/>
          <w:lang w:val="zh-CN"/>
        </w:rPr>
        <w:t>1</w:t>
      </w:r>
      <w:r>
        <w:rPr>
          <w:rFonts w:hint="eastAsia" w:ascii="宋体" w:hAnsi="宋体" w:cs="宋体"/>
          <w:color w:val="auto"/>
          <w:kern w:val="0"/>
          <w:sz w:val="18"/>
          <w:szCs w:val="24"/>
          <w:lang w:val="zh-CN"/>
        </w:rPr>
        <w:t>月</w:t>
      </w:r>
      <w:r>
        <w:rPr>
          <w:rFonts w:hint="default" w:eastAsia="Times New Roman"/>
          <w:color w:val="auto"/>
          <w:kern w:val="0"/>
          <w:sz w:val="18"/>
          <w:szCs w:val="24"/>
          <w:lang w:val="zh-CN"/>
        </w:rPr>
        <w:t>14</w:t>
      </w:r>
      <w:r>
        <w:rPr>
          <w:rFonts w:hint="eastAsia" w:ascii="宋体" w:hAnsi="宋体" w:cs="宋体"/>
          <w:color w:val="auto"/>
          <w:kern w:val="0"/>
          <w:sz w:val="18"/>
          <w:szCs w:val="24"/>
          <w:lang w:val="zh-CN"/>
        </w:rPr>
        <w:t>日一审开庭调查结束，目前尚无案件判决结果。此买卖合同纠纷案件诉讼金额1505.174万元没有达到信息披露标准要求，不会对公司及子公司经营造成重要影响，同时，根据诉讼代理律师出具的法律意见书，上述案件公司承担相应责任的风险较小，不会对公司造成重大不利影响。</w:t>
      </w:r>
    </w:p>
    <w:p>
      <w:pPr>
        <w:keepNext/>
        <w:keepLines/>
        <w:spacing w:before="340" w:after="330" w:line="578" w:lineRule="auto"/>
        <w:jc w:val="center"/>
        <w:outlineLvl w:val="0"/>
        <w:rPr>
          <w:rFonts w:hint="default"/>
          <w:b/>
          <w:kern w:val="32"/>
          <w:sz w:val="32"/>
          <w:szCs w:val="24"/>
        </w:rPr>
      </w:pPr>
      <w:r>
        <w:rPr>
          <w:rFonts w:hint="eastAsia"/>
          <w:b/>
          <w:kern w:val="32"/>
          <w:sz w:val="32"/>
          <w:szCs w:val="24"/>
        </w:rPr>
        <w:t>第六节</w:t>
      </w:r>
      <w:r>
        <w:rPr>
          <w:rFonts w:hint="default"/>
          <w:b/>
          <w:kern w:val="32"/>
          <w:sz w:val="32"/>
          <w:szCs w:val="24"/>
        </w:rPr>
        <w:t xml:space="preserve"> </w:t>
      </w:r>
      <w:r>
        <w:rPr>
          <w:rFonts w:hint="eastAsia"/>
          <w:b/>
          <w:kern w:val="32"/>
          <w:sz w:val="32"/>
          <w:szCs w:val="24"/>
        </w:rPr>
        <w:t>股份变动及股东情况</w:t>
      </w:r>
      <w:bookmarkEnd w:id="5"/>
    </w:p>
    <w:p>
      <w:pPr>
        <w:pStyle w:val="7"/>
        <w:outlineLvl w:val="1"/>
        <w:rPr>
          <w:rFonts w:hint="default"/>
          <w:sz w:val="24"/>
          <w:szCs w:val="24"/>
        </w:rPr>
      </w:pPr>
      <w:r>
        <w:rPr>
          <w:rFonts w:hint="eastAsia"/>
          <w:sz w:val="24"/>
          <w:szCs w:val="24"/>
        </w:rPr>
        <w:t>一、股份变动情况</w:t>
      </w:r>
    </w:p>
    <w:p>
      <w:pPr>
        <w:pStyle w:val="8"/>
        <w:outlineLvl w:val="2"/>
        <w:rPr>
          <w:rFonts w:hint="default"/>
          <w:sz w:val="21"/>
          <w:szCs w:val="24"/>
        </w:rPr>
      </w:pPr>
      <w:r>
        <w:rPr>
          <w:rFonts w:hint="default"/>
          <w:sz w:val="21"/>
          <w:szCs w:val="24"/>
        </w:rPr>
        <w:t>1</w:t>
      </w:r>
      <w:r>
        <w:rPr>
          <w:rFonts w:hint="eastAsia"/>
          <w:sz w:val="21"/>
          <w:szCs w:val="24"/>
        </w:rPr>
        <w:t>、股份变动情况</w:t>
      </w:r>
    </w:p>
    <w:p>
      <w:pPr>
        <w:jc w:val="right"/>
        <w:rPr>
          <w:rFonts w:hint="default"/>
          <w:sz w:val="18"/>
          <w:szCs w:val="24"/>
        </w:rPr>
      </w:pPr>
      <w:r>
        <w:rPr>
          <w:rFonts w:hint="eastAsia"/>
          <w:sz w:val="18"/>
          <w:szCs w:val="24"/>
        </w:rPr>
        <w:t>单位：股</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227"/>
        <w:gridCol w:w="823"/>
        <w:gridCol w:w="823"/>
        <w:gridCol w:w="823"/>
        <w:gridCol w:w="822"/>
        <w:gridCol w:w="822"/>
        <w:gridCol w:w="822"/>
        <w:gridCol w:w="822"/>
        <w:gridCol w:w="794"/>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64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本次变动前</w:t>
            </w:r>
          </w:p>
        </w:tc>
        <w:tc>
          <w:tcPr>
            <w:tcW w:w="4111"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本次变动增减（＋，－）</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本次变动后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发行新股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送股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公积金转股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小计</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一、有限售条件股份</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87,485,400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74.95%</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-27,104,150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-27,104,150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60,381,250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、国家持股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、国有法人持股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、其他内资持股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87,485,400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-27,104,150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-27,104,150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60,381,250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其中：境内法人持股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6,936,000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7.93%</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-6,936,000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-6,936,000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境内自然人持股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80,549,400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92.00%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-20,168,150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-20,168,150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60,381,250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、外资持股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其中：境外法人持股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境外自然人持股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二、无限售条件股份</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29,236,600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25.05%</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27,062,150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27,062,150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56,298,750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、人民币普通股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29,236,600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27,062,150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27,062,150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56,298,750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、境内上市的外资股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、境外上市的外资股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、其他</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三、股份总数</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116,680,000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w:t>
            </w:r>
          </w:p>
        </w:tc>
      </w:tr>
    </w:tbl>
    <w:p>
      <w:pPr>
        <w:jc w:val="left"/>
        <w:rPr>
          <w:rFonts w:hint="default"/>
          <w:sz w:val="18"/>
          <w:szCs w:val="24"/>
        </w:rPr>
      </w:pPr>
      <w:r>
        <w:rPr>
          <w:rFonts w:hint="eastAsia"/>
          <w:sz w:val="18"/>
          <w:szCs w:val="24"/>
        </w:rPr>
        <w:t>股份变动的原因</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spacing w:before="0" w:after="0"/>
        <w:ind w:firstLine="270"/>
        <w:jc w:val="left"/>
        <w:rPr>
          <w:rFonts w:hint="default" w:eastAsia="Times New Roman"/>
          <w:kern w:val="0"/>
          <w:sz w:val="18"/>
          <w:szCs w:val="24"/>
          <w:lang w:val="zh-CN"/>
        </w:rPr>
      </w:pPr>
      <w:r>
        <w:rPr>
          <w:rFonts w:hint="eastAsia" w:ascii="宋体" w:hAnsi="宋体" w:cs="宋体"/>
          <w:kern w:val="0"/>
          <w:sz w:val="18"/>
          <w:szCs w:val="24"/>
          <w:lang w:val="zh-CN"/>
        </w:rPr>
        <w:t>公司于</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5</w:t>
      </w:r>
      <w:r>
        <w:rPr>
          <w:rFonts w:hint="eastAsia" w:ascii="宋体" w:hAnsi="宋体" w:cs="宋体"/>
          <w:kern w:val="0"/>
          <w:sz w:val="18"/>
          <w:szCs w:val="24"/>
          <w:lang w:val="zh-CN"/>
        </w:rPr>
        <w:t>月</w:t>
      </w:r>
      <w:r>
        <w:rPr>
          <w:rFonts w:hint="default" w:eastAsia="Times New Roman"/>
          <w:kern w:val="0"/>
          <w:sz w:val="18"/>
          <w:szCs w:val="24"/>
          <w:lang w:val="zh-CN"/>
        </w:rPr>
        <w:t>11</w:t>
      </w:r>
      <w:r>
        <w:rPr>
          <w:rFonts w:hint="eastAsia" w:ascii="宋体" w:hAnsi="宋体" w:cs="宋体"/>
          <w:kern w:val="0"/>
          <w:sz w:val="18"/>
          <w:szCs w:val="24"/>
          <w:lang w:val="zh-CN"/>
        </w:rPr>
        <w:t>日，履行完成首次公开发行股票的相关承诺，解禁</w:t>
      </w:r>
      <w:r>
        <w:rPr>
          <w:rFonts w:hint="default" w:eastAsia="Times New Roman"/>
          <w:kern w:val="0"/>
          <w:sz w:val="18"/>
          <w:szCs w:val="24"/>
          <w:lang w:val="zh-CN"/>
        </w:rPr>
        <w:t>66,759,000</w:t>
      </w:r>
      <w:r>
        <w:rPr>
          <w:rFonts w:hint="eastAsia" w:ascii="宋体" w:hAnsi="宋体" w:cs="宋体"/>
          <w:kern w:val="0"/>
          <w:sz w:val="18"/>
          <w:szCs w:val="24"/>
          <w:lang w:val="zh-CN"/>
        </w:rPr>
        <w:t>股。</w:t>
      </w:r>
    </w:p>
    <w:p>
      <w:pPr>
        <w:autoSpaceDE w:val="0"/>
        <w:autoSpaceDN w:val="0"/>
        <w:adjustRightInd w:val="0"/>
        <w:spacing w:before="0" w:after="0"/>
        <w:ind w:firstLine="270"/>
        <w:jc w:val="left"/>
        <w:rPr>
          <w:rFonts w:hint="default" w:eastAsia="Times New Roman"/>
          <w:kern w:val="0"/>
          <w:sz w:val="18"/>
          <w:szCs w:val="24"/>
          <w:lang w:val="zh-CN"/>
        </w:rPr>
      </w:pPr>
      <w:r>
        <w:rPr>
          <w:rFonts w:hint="eastAsia" w:ascii="宋体" w:hAnsi="宋体" w:cs="宋体"/>
          <w:kern w:val="0"/>
          <w:sz w:val="18"/>
          <w:szCs w:val="24"/>
          <w:lang w:val="zh-CN"/>
        </w:rPr>
        <w:t>公司分别于</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27</w:t>
      </w:r>
      <w:r>
        <w:rPr>
          <w:rFonts w:hint="eastAsia" w:ascii="宋体" w:hAnsi="宋体" w:cs="宋体"/>
          <w:kern w:val="0"/>
          <w:sz w:val="18"/>
          <w:szCs w:val="24"/>
          <w:lang w:val="zh-CN"/>
        </w:rPr>
        <w:t>日、</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w:t>
      </w:r>
      <w:r>
        <w:rPr>
          <w:rFonts w:hint="default" w:eastAsia="Times New Roman"/>
          <w:kern w:val="0"/>
          <w:sz w:val="18"/>
          <w:szCs w:val="24"/>
          <w:lang w:val="zh-CN"/>
        </w:rPr>
        <w:t>11</w:t>
      </w:r>
      <w:r>
        <w:rPr>
          <w:rFonts w:hint="eastAsia" w:ascii="宋体" w:hAnsi="宋体" w:cs="宋体"/>
          <w:kern w:val="0"/>
          <w:sz w:val="18"/>
          <w:szCs w:val="24"/>
          <w:lang w:val="zh-CN"/>
        </w:rPr>
        <w:t>日，第三届董事会第二十一次会议、第三届监事会第十六次会议及</w:t>
      </w:r>
      <w:r>
        <w:rPr>
          <w:rFonts w:hint="default" w:eastAsia="Times New Roman"/>
          <w:kern w:val="0"/>
          <w:sz w:val="18"/>
          <w:szCs w:val="24"/>
          <w:lang w:val="zh-CN"/>
        </w:rPr>
        <w:t>2020</w:t>
      </w:r>
      <w:r>
        <w:rPr>
          <w:rFonts w:hint="eastAsia" w:ascii="宋体" w:hAnsi="宋体" w:cs="宋体"/>
          <w:kern w:val="0"/>
          <w:sz w:val="18"/>
          <w:szCs w:val="24"/>
          <w:lang w:val="zh-CN"/>
        </w:rPr>
        <w:t>年第一次临时股东大会审议通过了《关于</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第二个解锁期解锁条件成就的议案》、《关于调整限制性股票回购价格的议案》、《关于回购注销部分限制性股票的议案》等议案。经董事会审议，认为公司本次股权激励计划第二个解除限售期解除限售条件已成就，同意为激励对象统一办理符合解除限售条件的限制性股票的解除限售事宜。同时，董事会同意将已不符合激励条件的激励对象已获授但尚未解除限售的限制性股票</w:t>
      </w:r>
      <w:r>
        <w:rPr>
          <w:rFonts w:hint="default" w:eastAsia="Times New Roman"/>
          <w:kern w:val="0"/>
          <w:sz w:val="18"/>
          <w:szCs w:val="24"/>
          <w:lang w:val="zh-CN"/>
        </w:rPr>
        <w:t>42,000</w:t>
      </w:r>
      <w:r>
        <w:rPr>
          <w:rFonts w:hint="eastAsia" w:ascii="宋体" w:hAnsi="宋体" w:cs="宋体"/>
          <w:kern w:val="0"/>
          <w:sz w:val="18"/>
          <w:szCs w:val="24"/>
          <w:lang w:val="zh-CN"/>
        </w:rPr>
        <w:t>股进行回购注销。</w:t>
      </w:r>
    </w:p>
    <w:p>
      <w:pPr>
        <w:jc w:val="left"/>
        <w:rPr>
          <w:rFonts w:hint="default"/>
          <w:sz w:val="18"/>
          <w:szCs w:val="24"/>
        </w:rPr>
      </w:pPr>
      <w:r>
        <w:rPr>
          <w:rFonts w:hint="eastAsia"/>
          <w:sz w:val="18"/>
          <w:szCs w:val="24"/>
        </w:rPr>
        <w:t>股份变动的批准情况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公司分别于</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w:t>
      </w:r>
      <w:r>
        <w:rPr>
          <w:rFonts w:hint="default" w:eastAsia="Times New Roman"/>
          <w:kern w:val="0"/>
          <w:sz w:val="18"/>
          <w:szCs w:val="24"/>
          <w:lang w:val="zh-CN"/>
        </w:rPr>
        <w:t>27</w:t>
      </w:r>
      <w:r>
        <w:rPr>
          <w:rFonts w:hint="eastAsia" w:ascii="宋体" w:hAnsi="宋体" w:cs="宋体"/>
          <w:kern w:val="0"/>
          <w:sz w:val="18"/>
          <w:szCs w:val="24"/>
          <w:lang w:val="zh-CN"/>
        </w:rPr>
        <w:t>日、</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w:t>
      </w:r>
      <w:r>
        <w:rPr>
          <w:rFonts w:hint="default" w:eastAsia="Times New Roman"/>
          <w:kern w:val="0"/>
          <w:sz w:val="18"/>
          <w:szCs w:val="24"/>
          <w:lang w:val="zh-CN"/>
        </w:rPr>
        <w:t>11</w:t>
      </w:r>
      <w:r>
        <w:rPr>
          <w:rFonts w:hint="eastAsia" w:ascii="宋体" w:hAnsi="宋体" w:cs="宋体"/>
          <w:kern w:val="0"/>
          <w:sz w:val="18"/>
          <w:szCs w:val="24"/>
          <w:lang w:val="zh-CN"/>
        </w:rPr>
        <w:t>日，第三届董事会第二十一次会议、第三届监事会第十六次会议及</w:t>
      </w:r>
      <w:r>
        <w:rPr>
          <w:rFonts w:hint="default" w:eastAsia="Times New Roman"/>
          <w:kern w:val="0"/>
          <w:sz w:val="18"/>
          <w:szCs w:val="24"/>
          <w:lang w:val="zh-CN"/>
        </w:rPr>
        <w:t>2020</w:t>
      </w:r>
      <w:r>
        <w:rPr>
          <w:rFonts w:hint="eastAsia" w:ascii="宋体" w:hAnsi="宋体" w:cs="宋体"/>
          <w:kern w:val="0"/>
          <w:sz w:val="18"/>
          <w:szCs w:val="24"/>
          <w:lang w:val="zh-CN"/>
        </w:rPr>
        <w:t>年第一次临时股东大会审议通过了《关于</w:t>
      </w:r>
      <w:r>
        <w:rPr>
          <w:rFonts w:hint="default" w:eastAsia="Times New Roman"/>
          <w:kern w:val="0"/>
          <w:sz w:val="18"/>
          <w:szCs w:val="24"/>
          <w:lang w:val="zh-CN"/>
        </w:rPr>
        <w:t>2018</w:t>
      </w:r>
      <w:r>
        <w:rPr>
          <w:rFonts w:hint="eastAsia" w:ascii="宋体" w:hAnsi="宋体" w:cs="宋体"/>
          <w:kern w:val="0"/>
          <w:sz w:val="18"/>
          <w:szCs w:val="24"/>
          <w:lang w:val="zh-CN"/>
        </w:rPr>
        <w:t>年限制性股票激励计划第二个解锁期解锁条件成就的议案》、《关于调整限制性股票回购价格的议案》、《关于回购注销部分限制性股票的议案》等议案。经董事会审议，认为公司本次股权激励计划第二个解除限售期解除限售条件已成就，同意为激励对象统一办理符合解除限售条件的限制性股票的解除限售事宜。同时，董事会同意将已不符合激励条件的激励对象已获授但尚未解除限售的限制性股票</w:t>
      </w:r>
      <w:r>
        <w:rPr>
          <w:rFonts w:hint="default" w:eastAsia="Times New Roman"/>
          <w:kern w:val="0"/>
          <w:sz w:val="18"/>
          <w:szCs w:val="24"/>
          <w:lang w:val="zh-CN"/>
        </w:rPr>
        <w:t>42,000</w:t>
      </w:r>
      <w:r>
        <w:rPr>
          <w:rFonts w:hint="eastAsia" w:ascii="宋体" w:hAnsi="宋体" w:cs="宋体"/>
          <w:kern w:val="0"/>
          <w:sz w:val="18"/>
          <w:szCs w:val="24"/>
          <w:lang w:val="zh-CN"/>
        </w:rPr>
        <w:t>股进行回购注销。</w:t>
      </w:r>
    </w:p>
    <w:p>
      <w:pPr>
        <w:jc w:val="left"/>
        <w:rPr>
          <w:rFonts w:hint="default"/>
          <w:sz w:val="18"/>
          <w:szCs w:val="24"/>
        </w:rPr>
      </w:pPr>
      <w:r>
        <w:rPr>
          <w:rFonts w:hint="eastAsia"/>
          <w:sz w:val="18"/>
          <w:szCs w:val="24"/>
        </w:rPr>
        <w:t>股份变动的过户情况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回购并注销限制性股票激励对象已获授权但尚未解锁的限制性股票共计</w:t>
      </w:r>
      <w:r>
        <w:rPr>
          <w:rFonts w:hint="default" w:eastAsia="Times New Roman"/>
          <w:kern w:val="0"/>
          <w:sz w:val="18"/>
          <w:szCs w:val="24"/>
          <w:lang w:val="zh-CN"/>
        </w:rPr>
        <w:t>42,000</w:t>
      </w:r>
      <w:r>
        <w:rPr>
          <w:rFonts w:hint="eastAsia" w:ascii="宋体" w:hAnsi="宋体" w:cs="宋体"/>
          <w:kern w:val="0"/>
          <w:sz w:val="18"/>
          <w:szCs w:val="24"/>
          <w:lang w:val="zh-CN"/>
        </w:rPr>
        <w:t>股，此次减资已经和信会计师事务所（特殊普通合伙）审验，并由其出具和信验字（</w:t>
      </w:r>
      <w:r>
        <w:rPr>
          <w:rFonts w:hint="default" w:eastAsia="Times New Roman"/>
          <w:kern w:val="0"/>
          <w:sz w:val="18"/>
          <w:szCs w:val="24"/>
          <w:lang w:val="zh-CN"/>
        </w:rPr>
        <w:t>2020</w:t>
      </w:r>
      <w:r>
        <w:rPr>
          <w:rFonts w:hint="eastAsia" w:ascii="宋体" w:hAnsi="宋体" w:cs="宋体"/>
          <w:kern w:val="0"/>
          <w:sz w:val="18"/>
          <w:szCs w:val="24"/>
          <w:lang w:val="zh-CN"/>
        </w:rPr>
        <w:t>）第</w:t>
      </w:r>
      <w:r>
        <w:rPr>
          <w:rFonts w:hint="default" w:eastAsia="Times New Roman"/>
          <w:kern w:val="0"/>
          <w:sz w:val="18"/>
          <w:szCs w:val="24"/>
          <w:lang w:val="zh-CN"/>
        </w:rPr>
        <w:t>000068</w:t>
      </w:r>
      <w:r>
        <w:rPr>
          <w:rFonts w:hint="eastAsia" w:ascii="宋体" w:hAnsi="宋体" w:cs="宋体"/>
          <w:kern w:val="0"/>
          <w:sz w:val="18"/>
          <w:szCs w:val="24"/>
          <w:lang w:val="zh-CN"/>
        </w:rPr>
        <w:t>号《验资报告》。根据公司章程规定，公司减少注册资本</w:t>
      </w:r>
      <w:r>
        <w:rPr>
          <w:rFonts w:hint="default" w:eastAsia="Times New Roman"/>
          <w:kern w:val="0"/>
          <w:sz w:val="18"/>
          <w:szCs w:val="24"/>
          <w:lang w:val="zh-CN"/>
        </w:rPr>
        <w:t>42,000</w:t>
      </w:r>
      <w:r>
        <w:rPr>
          <w:rFonts w:hint="eastAsia" w:ascii="宋体" w:hAnsi="宋体" w:cs="宋体"/>
          <w:kern w:val="0"/>
          <w:sz w:val="18"/>
          <w:szCs w:val="24"/>
          <w:lang w:val="zh-CN"/>
        </w:rPr>
        <w:t>元，本期公司股本总数变更为</w:t>
      </w:r>
      <w:r>
        <w:rPr>
          <w:rFonts w:hint="default" w:eastAsia="Times New Roman"/>
          <w:kern w:val="0"/>
          <w:sz w:val="18"/>
          <w:szCs w:val="24"/>
          <w:lang w:val="zh-CN"/>
        </w:rPr>
        <w:t>116,680,000</w:t>
      </w:r>
      <w:r>
        <w:rPr>
          <w:rFonts w:hint="eastAsia" w:ascii="宋体" w:hAnsi="宋体" w:cs="宋体"/>
          <w:kern w:val="0"/>
          <w:sz w:val="18"/>
          <w:szCs w:val="24"/>
          <w:lang w:val="zh-CN"/>
        </w:rPr>
        <w:t>股。公司已于</w:t>
      </w:r>
      <w:r>
        <w:rPr>
          <w:rFonts w:hint="default" w:eastAsia="Times New Roman"/>
          <w:kern w:val="0"/>
          <w:sz w:val="18"/>
          <w:szCs w:val="24"/>
          <w:lang w:val="zh-CN"/>
        </w:rPr>
        <w:t>2021</w:t>
      </w:r>
      <w:r>
        <w:rPr>
          <w:rFonts w:hint="eastAsia" w:ascii="宋体" w:hAnsi="宋体" w:cs="宋体"/>
          <w:kern w:val="0"/>
          <w:sz w:val="18"/>
          <w:szCs w:val="24"/>
          <w:lang w:val="zh-CN"/>
        </w:rPr>
        <w:t>年</w:t>
      </w:r>
      <w:r>
        <w:rPr>
          <w:rFonts w:hint="default" w:eastAsia="Times New Roman"/>
          <w:kern w:val="0"/>
          <w:sz w:val="18"/>
          <w:szCs w:val="24"/>
          <w:lang w:val="zh-CN"/>
        </w:rPr>
        <w:t>1</w:t>
      </w:r>
      <w:r>
        <w:rPr>
          <w:rFonts w:hint="eastAsia" w:ascii="宋体" w:hAnsi="宋体" w:cs="宋体"/>
          <w:kern w:val="0"/>
          <w:sz w:val="18"/>
          <w:szCs w:val="24"/>
          <w:lang w:val="zh-CN"/>
        </w:rPr>
        <w:t>月</w:t>
      </w:r>
      <w:r>
        <w:rPr>
          <w:rFonts w:hint="default" w:eastAsia="Times New Roman"/>
          <w:kern w:val="0"/>
          <w:sz w:val="18"/>
          <w:szCs w:val="24"/>
          <w:lang w:val="zh-CN"/>
        </w:rPr>
        <w:t>15</w:t>
      </w:r>
      <w:r>
        <w:rPr>
          <w:rFonts w:hint="eastAsia" w:ascii="宋体" w:hAnsi="宋体" w:cs="宋体"/>
          <w:kern w:val="0"/>
          <w:sz w:val="18"/>
          <w:szCs w:val="24"/>
          <w:lang w:val="zh-CN"/>
        </w:rPr>
        <w:t>日办妥工商变更登记手续。</w:t>
      </w:r>
    </w:p>
    <w:p>
      <w:pPr>
        <w:jc w:val="left"/>
        <w:rPr>
          <w:rFonts w:hint="default"/>
          <w:sz w:val="18"/>
          <w:szCs w:val="24"/>
        </w:rPr>
      </w:pPr>
      <w:r>
        <w:rPr>
          <w:rFonts w:hint="eastAsia"/>
          <w:sz w:val="18"/>
          <w:szCs w:val="24"/>
        </w:rPr>
        <w:t>股份回购的实施进展情况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采用集中竞价方式减持回购股份的实施进展情况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股份变动对最近一年和最近一期基本每股收益和稀释每股收益、归属于公司普通股股东的每股净资产等财务指标的影响</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公司认为必要或证券监管机构要求披露的其他内容</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2</w:t>
      </w:r>
      <w:r>
        <w:rPr>
          <w:rFonts w:hint="eastAsia"/>
          <w:sz w:val="21"/>
          <w:szCs w:val="24"/>
        </w:rPr>
        <w:t>、限售股份变动情况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单位：股</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股东名称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期初限售股数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本期增加限售股数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本期解除限售股数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期末限售股数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限售原因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解除限售日期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75,429,000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18,857,250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56,571,750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首发限售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5</w:t>
            </w:r>
            <w:r>
              <w:rPr>
                <w:rFonts w:hint="eastAsia"/>
                <w:sz w:val="18"/>
                <w:szCs w:val="24"/>
              </w:rPr>
              <w:t>月</w:t>
            </w:r>
            <w:r>
              <w:rPr>
                <w:rFonts w:hint="default"/>
                <w:sz w:val="18"/>
                <w:szCs w:val="24"/>
              </w:rPr>
              <w:t>11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江西惠隆企业管理有限公司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6,936,000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6,936,000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首发限售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5</w:t>
            </w:r>
            <w:r>
              <w:rPr>
                <w:rFonts w:hint="eastAsia"/>
                <w:sz w:val="18"/>
                <w:szCs w:val="24"/>
              </w:rPr>
              <w:t>月</w:t>
            </w:r>
            <w:r>
              <w:rPr>
                <w:rFonts w:hint="default"/>
                <w:sz w:val="18"/>
                <w:szCs w:val="24"/>
              </w:rPr>
              <w:t>11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范玉隆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4,335,000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1,083,750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3,251,250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首发限售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5</w:t>
            </w:r>
            <w:r>
              <w:rPr>
                <w:rFonts w:hint="eastAsia"/>
                <w:sz w:val="18"/>
                <w:szCs w:val="24"/>
              </w:rPr>
              <w:t>月</w:t>
            </w:r>
            <w:r>
              <w:rPr>
                <w:rFonts w:hint="default"/>
                <w:sz w:val="18"/>
                <w:szCs w:val="24"/>
              </w:rPr>
              <w:t>11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渠汇成、郭成尼、张会亭、崔兴建、刘克平等</w:t>
            </w:r>
            <w:r>
              <w:rPr>
                <w:rFonts w:hint="default"/>
                <w:sz w:val="18"/>
                <w:szCs w:val="24"/>
              </w:rPr>
              <w:t>36</w:t>
            </w:r>
            <w:r>
              <w:rPr>
                <w:rFonts w:hint="eastAsia"/>
                <w:sz w:val="18"/>
                <w:szCs w:val="24"/>
              </w:rPr>
              <w:t>名受激励人员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785,400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318,600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424,800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限制性股票激励</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限售期为自激励对象获授限制性股票完成登记之日起</w:t>
            </w:r>
            <w:r>
              <w:rPr>
                <w:rFonts w:hint="default"/>
                <w:sz w:val="18"/>
                <w:szCs w:val="24"/>
              </w:rPr>
              <w:t>12</w:t>
            </w:r>
            <w:r>
              <w:rPr>
                <w:rFonts w:hint="eastAsia"/>
                <w:sz w:val="18"/>
                <w:szCs w:val="24"/>
              </w:rPr>
              <w:t>个月、</w:t>
            </w:r>
            <w:r>
              <w:rPr>
                <w:rFonts w:hint="default"/>
                <w:sz w:val="18"/>
                <w:szCs w:val="24"/>
              </w:rPr>
              <w:t>24</w:t>
            </w:r>
            <w:r>
              <w:rPr>
                <w:rFonts w:hint="eastAsia"/>
                <w:sz w:val="18"/>
                <w:szCs w:val="24"/>
              </w:rPr>
              <w:t>个月和</w:t>
            </w:r>
            <w:r>
              <w:rPr>
                <w:rFonts w:hint="default"/>
                <w:sz w:val="18"/>
                <w:szCs w:val="24"/>
              </w:rPr>
              <w:t>36</w:t>
            </w:r>
            <w:r>
              <w:rPr>
                <w:rFonts w:hint="eastAsia"/>
                <w:sz w:val="18"/>
                <w:szCs w:val="24"/>
              </w:rPr>
              <w:t>个月。激励计划首次授予的限制性股票自授予之日起满</w:t>
            </w:r>
            <w:r>
              <w:rPr>
                <w:rFonts w:hint="default"/>
                <w:sz w:val="18"/>
                <w:szCs w:val="24"/>
              </w:rPr>
              <w:t>12</w:t>
            </w:r>
            <w:r>
              <w:rPr>
                <w:rFonts w:hint="eastAsia"/>
                <w:sz w:val="18"/>
                <w:szCs w:val="24"/>
              </w:rPr>
              <w:t>个月后，满足解除限售条件的，激励对象可以在未来</w:t>
            </w:r>
            <w:r>
              <w:rPr>
                <w:rFonts w:hint="default"/>
                <w:sz w:val="18"/>
                <w:szCs w:val="24"/>
              </w:rPr>
              <w:t>36</w:t>
            </w:r>
            <w:r>
              <w:rPr>
                <w:rFonts w:hint="eastAsia"/>
                <w:sz w:val="18"/>
                <w:szCs w:val="24"/>
              </w:rPr>
              <w:t>个月内按</w:t>
            </w:r>
            <w:r>
              <w:rPr>
                <w:rFonts w:hint="default"/>
                <w:sz w:val="18"/>
                <w:szCs w:val="24"/>
              </w:rPr>
              <w:t>30%</w:t>
            </w:r>
            <w:r>
              <w:rPr>
                <w:rFonts w:hint="eastAsia"/>
                <w:sz w:val="18"/>
                <w:szCs w:val="24"/>
              </w:rPr>
              <w:t>：</w:t>
            </w:r>
            <w:r>
              <w:rPr>
                <w:rFonts w:hint="default"/>
                <w:sz w:val="18"/>
                <w:szCs w:val="24"/>
              </w:rPr>
              <w:t>30%</w:t>
            </w:r>
            <w:r>
              <w:rPr>
                <w:rFonts w:hint="eastAsia"/>
                <w:sz w:val="18"/>
                <w:szCs w:val="24"/>
              </w:rPr>
              <w:t>：</w:t>
            </w:r>
            <w:r>
              <w:rPr>
                <w:rFonts w:hint="default"/>
                <w:sz w:val="18"/>
                <w:szCs w:val="24"/>
              </w:rPr>
              <w:t>40%</w:t>
            </w:r>
            <w:r>
              <w:rPr>
                <w:rFonts w:hint="eastAsia"/>
                <w:sz w:val="18"/>
                <w:szCs w:val="24"/>
              </w:rPr>
              <w:t>的比例分三期解除限售。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jc w:val="right"/>
              <w:textAlignment w:val="center"/>
              <w:rPr>
                <w:rFonts w:hint="default"/>
                <w:sz w:val="18"/>
                <w:szCs w:val="24"/>
              </w:rPr>
            </w:pPr>
            <w:r>
              <w:rPr>
                <w:rFonts w:hint="default"/>
                <w:color w:val="000000"/>
                <w:kern w:val="0"/>
                <w:sz w:val="18"/>
                <w:szCs w:val="18"/>
                <w:lang w:bidi="ar"/>
              </w:rPr>
              <w:t>87,485,400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jc w:val="right"/>
              <w:textAlignment w:val="center"/>
              <w:rPr>
                <w:rFonts w:hint="default"/>
                <w:sz w:val="18"/>
                <w:szCs w:val="24"/>
              </w:rPr>
            </w:pPr>
            <w:r>
              <w:rPr>
                <w:rFonts w:hint="default"/>
                <w:color w:val="000000"/>
                <w:kern w:val="0"/>
                <w:sz w:val="18"/>
                <w:szCs w:val="18"/>
                <w:lang w:bidi="ar"/>
              </w:rPr>
              <w:t>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jc w:val="right"/>
              <w:textAlignment w:val="center"/>
              <w:rPr>
                <w:rFonts w:hint="default"/>
                <w:sz w:val="18"/>
                <w:szCs w:val="24"/>
              </w:rPr>
            </w:pPr>
            <w:r>
              <w:rPr>
                <w:rFonts w:hint="default"/>
                <w:color w:val="000000"/>
                <w:kern w:val="0"/>
                <w:sz w:val="18"/>
                <w:szCs w:val="18"/>
                <w:lang w:bidi="ar"/>
              </w:rPr>
              <w:t>27,195,600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jc w:val="right"/>
              <w:textAlignment w:val="center"/>
              <w:rPr>
                <w:rFonts w:hint="default"/>
                <w:sz w:val="18"/>
                <w:szCs w:val="24"/>
              </w:rPr>
            </w:pPr>
            <w:r>
              <w:rPr>
                <w:rFonts w:hint="default"/>
                <w:color w:val="000000"/>
                <w:kern w:val="0"/>
                <w:sz w:val="18"/>
                <w:szCs w:val="18"/>
                <w:lang w:bidi="ar"/>
              </w:rPr>
              <w:t>60,247,800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pStyle w:val="7"/>
        <w:outlineLvl w:val="1"/>
        <w:rPr>
          <w:rFonts w:hint="default"/>
          <w:sz w:val="24"/>
          <w:szCs w:val="24"/>
        </w:rPr>
      </w:pPr>
      <w:r>
        <w:rPr>
          <w:rFonts w:hint="eastAsia"/>
          <w:sz w:val="24"/>
          <w:szCs w:val="24"/>
        </w:rPr>
        <w:t>二、证券发行与上市情况</w:t>
      </w:r>
    </w:p>
    <w:p>
      <w:pPr>
        <w:pStyle w:val="8"/>
        <w:outlineLvl w:val="2"/>
        <w:rPr>
          <w:rFonts w:hint="default"/>
          <w:sz w:val="21"/>
          <w:szCs w:val="24"/>
        </w:rPr>
      </w:pPr>
      <w:r>
        <w:rPr>
          <w:rFonts w:hint="default"/>
          <w:sz w:val="21"/>
          <w:szCs w:val="24"/>
        </w:rPr>
        <w:t>1</w:t>
      </w:r>
      <w:r>
        <w:rPr>
          <w:rFonts w:hint="eastAsia"/>
          <w:sz w:val="21"/>
          <w:szCs w:val="24"/>
        </w:rPr>
        <w:t>、报告期内证券发行（不含优先股）情况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2</w:t>
      </w:r>
      <w:r>
        <w:rPr>
          <w:rFonts w:hint="eastAsia"/>
          <w:sz w:val="21"/>
          <w:szCs w:val="24"/>
        </w:rPr>
        <w:t>、公司股份总数及股东结构的变动、公司资产和负债结构的变动情况说明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3</w:t>
      </w:r>
      <w:r>
        <w:rPr>
          <w:rFonts w:hint="eastAsia"/>
          <w:sz w:val="21"/>
          <w:szCs w:val="24"/>
        </w:rPr>
        <w:t>、现存的内部职工股情况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三、股东和实际控制人情况</w:t>
      </w:r>
    </w:p>
    <w:p>
      <w:pPr>
        <w:pStyle w:val="8"/>
        <w:outlineLvl w:val="2"/>
        <w:rPr>
          <w:rFonts w:hint="default"/>
          <w:sz w:val="21"/>
          <w:szCs w:val="24"/>
        </w:rPr>
      </w:pPr>
      <w:r>
        <w:rPr>
          <w:rFonts w:hint="default"/>
          <w:sz w:val="21"/>
          <w:szCs w:val="24"/>
        </w:rPr>
        <w:t>1</w:t>
      </w:r>
      <w:r>
        <w:rPr>
          <w:rFonts w:hint="eastAsia"/>
          <w:sz w:val="21"/>
          <w:szCs w:val="24"/>
        </w:rPr>
        <w:t>、公司股东数量及持股情况</w:t>
      </w:r>
    </w:p>
    <w:p>
      <w:pPr>
        <w:jc w:val="right"/>
        <w:rPr>
          <w:rFonts w:hint="default"/>
          <w:sz w:val="18"/>
          <w:szCs w:val="24"/>
        </w:rPr>
      </w:pPr>
      <w:r>
        <w:rPr>
          <w:rFonts w:hint="eastAsia"/>
          <w:sz w:val="18"/>
          <w:szCs w:val="24"/>
        </w:rPr>
        <w:t>单位：股</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01"/>
        <w:gridCol w:w="268"/>
        <w:gridCol w:w="928"/>
        <w:gridCol w:w="484"/>
        <w:gridCol w:w="788"/>
        <w:gridCol w:w="56"/>
        <w:gridCol w:w="730"/>
        <w:gridCol w:w="333"/>
        <w:gridCol w:w="456"/>
        <w:gridCol w:w="786"/>
        <w:gridCol w:w="220"/>
        <w:gridCol w:w="620"/>
        <w:gridCol w:w="443"/>
        <w:gridCol w:w="906"/>
        <w:gridCol w:w="423"/>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报告期末普通股股东总数</w:t>
            </w:r>
          </w:p>
        </w:tc>
        <w:tc>
          <w:tcPr>
            <w:tcW w:w="119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8,056</w:t>
            </w:r>
          </w:p>
        </w:tc>
        <w:tc>
          <w:tcPr>
            <w:tcW w:w="132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年度报告披露日前上一月末普通股股东总数</w:t>
            </w:r>
          </w:p>
        </w:tc>
        <w:tc>
          <w:tcPr>
            <w:tcW w:w="106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8,864</w:t>
            </w:r>
          </w:p>
        </w:tc>
        <w:tc>
          <w:tcPr>
            <w:tcW w:w="146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报告期末表决权恢复的优先股股东总数（如有）（参见注</w:t>
            </w:r>
            <w:r>
              <w:rPr>
                <w:rFonts w:hint="default"/>
                <w:sz w:val="18"/>
                <w:szCs w:val="24"/>
              </w:rPr>
              <w:t>8</w:t>
            </w:r>
            <w:r>
              <w:rPr>
                <w:rFonts w:hint="eastAsia"/>
                <w:sz w:val="18"/>
                <w:szCs w:val="24"/>
              </w:rPr>
              <w:t>）</w:t>
            </w:r>
          </w:p>
        </w:tc>
        <w:tc>
          <w:tcPr>
            <w:tcW w:w="106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3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年度报告披露日前上一月末表决权恢复的优先股股东总数（如有）（参见注</w:t>
            </w:r>
            <w:r>
              <w:rPr>
                <w:rFonts w:hint="default"/>
                <w:sz w:val="18"/>
                <w:szCs w:val="24"/>
              </w:rPr>
              <w:t>8</w:t>
            </w:r>
            <w:r>
              <w:rPr>
                <w:rFonts w:hint="eastAsia"/>
                <w:sz w:val="18"/>
                <w:szCs w:val="24"/>
              </w:rPr>
              <w:t>）</w:t>
            </w:r>
          </w:p>
        </w:tc>
        <w:tc>
          <w:tcPr>
            <w:tcW w:w="9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1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持股</w:t>
            </w:r>
            <w:r>
              <w:rPr>
                <w:rFonts w:hint="default"/>
                <w:sz w:val="18"/>
                <w:szCs w:val="24"/>
              </w:rPr>
              <w:t>5%</w:t>
            </w:r>
            <w:r>
              <w:rPr>
                <w:rFonts w:hint="eastAsia"/>
                <w:sz w:val="18"/>
                <w:szCs w:val="24"/>
              </w:rPr>
              <w:t>以上的股东或前</w:t>
            </w:r>
            <w:r>
              <w:rPr>
                <w:rFonts w:hint="default"/>
                <w:sz w:val="18"/>
                <w:szCs w:val="24"/>
              </w:rPr>
              <w:t>10</w:t>
            </w:r>
            <w:r>
              <w:rPr>
                <w:rFonts w:hint="eastAsia"/>
                <w:sz w:val="18"/>
                <w:szCs w:val="24"/>
              </w:rPr>
              <w:t>名股东持股情况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股东名称</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股东性质</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持股比例</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报告期末持股数量</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报告期内增减变动情况</w:t>
            </w: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持有有限售条件的股份数量</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持有无限售条件的股份数量</w:t>
            </w:r>
          </w:p>
        </w:tc>
        <w:tc>
          <w:tcPr>
            <w:tcW w:w="269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质押或冻结情况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412"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86"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89"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84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股份状态</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范庆伟</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59.45%</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69,389,900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default"/>
                <w:sz w:val="18"/>
                <w:szCs w:val="24"/>
              </w:rPr>
              <w:t>-6039100</w:t>
            </w: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56,571,750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12,818,150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江西惠隆企业管理有限公司</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境内非国有法人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5.71%</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6,660,000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default"/>
                <w:sz w:val="18"/>
                <w:szCs w:val="24"/>
              </w:rPr>
              <w:t>-276000</w:t>
            </w: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6,660,000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范玉隆</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3.71%</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4,335,000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3,251,250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1,083,750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中国银河证券股份有限公司</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国有法人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2.90%</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3,390,000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3,390,000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北京益安资本管理有限公司－益安允升私募证券投资基金</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境内非国有法人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0.94%</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1,100,000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1,100,000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吴治华</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其他</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0.38%</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441,400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441,400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曹小毛</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0.38%</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438,090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438,090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林景秋</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0.27%</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316,000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316,000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李平</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0.26%</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304,200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304,200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雷伟平</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0.26%</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297,700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297,700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战略投资者或一般法人因配售新股成为前</w:t>
            </w:r>
            <w:r>
              <w:rPr>
                <w:rFonts w:hint="default"/>
                <w:sz w:val="18"/>
                <w:szCs w:val="24"/>
              </w:rPr>
              <w:t>10</w:t>
            </w:r>
            <w:r>
              <w:rPr>
                <w:rFonts w:hint="eastAsia"/>
                <w:sz w:val="18"/>
                <w:szCs w:val="24"/>
              </w:rPr>
              <w:t>名股东的情况（如有）（参见注</w:t>
            </w:r>
            <w:r>
              <w:rPr>
                <w:rFonts w:hint="default"/>
                <w:sz w:val="18"/>
                <w:szCs w:val="24"/>
              </w:rPr>
              <w:t>3</w:t>
            </w:r>
            <w:r>
              <w:rPr>
                <w:rFonts w:hint="eastAsia"/>
                <w:sz w:val="18"/>
                <w:szCs w:val="24"/>
              </w:rPr>
              <w:t>）</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上述股东关联关系或一致行动的说明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上述股东涉及委托</w:t>
            </w:r>
            <w:r>
              <w:rPr>
                <w:rFonts w:hint="default"/>
                <w:sz w:val="18"/>
                <w:szCs w:val="24"/>
              </w:rPr>
              <w:t>/</w:t>
            </w:r>
            <w:r>
              <w:rPr>
                <w:rFonts w:hint="eastAsia"/>
                <w:sz w:val="18"/>
                <w:szCs w:val="24"/>
              </w:rPr>
              <w:t>受托表决权、放弃表决权情况的说明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1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前</w:t>
            </w:r>
            <w:r>
              <w:rPr>
                <w:rFonts w:hint="default"/>
                <w:sz w:val="18"/>
                <w:szCs w:val="24"/>
              </w:rPr>
              <w:t>10</w:t>
            </w:r>
            <w:r>
              <w:rPr>
                <w:rFonts w:hint="eastAsia"/>
                <w:sz w:val="18"/>
                <w:szCs w:val="24"/>
              </w:rPr>
              <w:t>名无限售条件股东持股情况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股东名称</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报告期末持有无限售条件股份数量</w:t>
            </w:r>
          </w:p>
        </w:tc>
        <w:tc>
          <w:tcPr>
            <w:tcW w:w="269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股份种类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3989" w:type="dxa"/>
            <w:gridSpan w:val="8"/>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股份种类</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范庆伟</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12,818,150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12,818,150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江西惠隆企业管理有限公司</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6,660,000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6,660,000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范玉隆</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1,083,750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1,083,750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中国银河证券股份有限公司</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3,390,000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3,390,000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北京益安资本管理有限公司－益安允升私募证券投资基金</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1,100,000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1,100,000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吴治华</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441,400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441,400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曹小毛</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438,090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438,090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林景秋</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316,000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316,000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李平</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304,200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304,200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default"/>
                <w:sz w:val="18"/>
                <w:szCs w:val="24"/>
              </w:rPr>
            </w:pPr>
            <w:r>
              <w:rPr>
                <w:rFonts w:hint="eastAsia"/>
                <w:sz w:val="18"/>
                <w:szCs w:val="24"/>
              </w:rPr>
              <w:t>雷伟平</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eastAsia"/>
                <w:sz w:val="18"/>
                <w:szCs w:val="24"/>
              </w:rPr>
              <w:t>297,700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eastAsia"/>
                <w:sz w:val="18"/>
                <w:szCs w:val="24"/>
              </w:rPr>
              <w:t>297,700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前</w:t>
            </w:r>
            <w:r>
              <w:rPr>
                <w:rFonts w:hint="default"/>
                <w:sz w:val="18"/>
                <w:szCs w:val="24"/>
              </w:rPr>
              <w:t>10</w:t>
            </w:r>
            <w:r>
              <w:rPr>
                <w:rFonts w:hint="eastAsia"/>
                <w:sz w:val="18"/>
                <w:szCs w:val="24"/>
              </w:rPr>
              <w:t>名无限售流通股股东之间，以及前</w:t>
            </w:r>
            <w:r>
              <w:rPr>
                <w:rFonts w:hint="default"/>
                <w:sz w:val="18"/>
                <w:szCs w:val="24"/>
              </w:rPr>
              <w:t>10</w:t>
            </w:r>
            <w:r>
              <w:rPr>
                <w:rFonts w:hint="eastAsia"/>
                <w:sz w:val="18"/>
                <w:szCs w:val="24"/>
              </w:rPr>
              <w:t>名无限售流通股股东和前</w:t>
            </w:r>
            <w:r>
              <w:rPr>
                <w:rFonts w:hint="default"/>
                <w:sz w:val="18"/>
                <w:szCs w:val="24"/>
              </w:rPr>
              <w:t>10</w:t>
            </w:r>
            <w:r>
              <w:rPr>
                <w:rFonts w:hint="eastAsia"/>
                <w:sz w:val="18"/>
                <w:szCs w:val="24"/>
              </w:rPr>
              <w:t>名股东之间关联关系或一致行动的说明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前</w:t>
            </w:r>
            <w:r>
              <w:rPr>
                <w:rFonts w:hint="default"/>
                <w:sz w:val="18"/>
                <w:szCs w:val="24"/>
              </w:rPr>
              <w:t>10</w:t>
            </w:r>
            <w:r>
              <w:rPr>
                <w:rFonts w:hint="eastAsia"/>
                <w:sz w:val="18"/>
                <w:szCs w:val="24"/>
              </w:rPr>
              <w:t>名普通股股东参与融资融券业务情况说明（如有）（参见注</w:t>
            </w:r>
            <w:r>
              <w:rPr>
                <w:rFonts w:hint="default"/>
                <w:sz w:val="18"/>
                <w:szCs w:val="24"/>
              </w:rPr>
              <w:t>4</w:t>
            </w:r>
            <w:r>
              <w:rPr>
                <w:rFonts w:hint="eastAsia"/>
                <w:sz w:val="18"/>
                <w:szCs w:val="24"/>
              </w:rPr>
              <w:t>）</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bl>
    <w:p>
      <w:pPr>
        <w:jc w:val="left"/>
        <w:rPr>
          <w:rFonts w:hint="default"/>
          <w:sz w:val="18"/>
          <w:szCs w:val="24"/>
        </w:rPr>
      </w:pPr>
      <w:r>
        <w:rPr>
          <w:rFonts w:hint="eastAsia"/>
          <w:sz w:val="18"/>
          <w:szCs w:val="24"/>
        </w:rPr>
        <w:t>公司前</w:t>
      </w:r>
      <w:r>
        <w:rPr>
          <w:rFonts w:hint="default"/>
          <w:sz w:val="18"/>
          <w:szCs w:val="24"/>
        </w:rPr>
        <w:t>10</w:t>
      </w:r>
      <w:r>
        <w:rPr>
          <w:rFonts w:hint="eastAsia"/>
          <w:sz w:val="18"/>
          <w:szCs w:val="24"/>
        </w:rPr>
        <w:t>名普通股股东、前</w:t>
      </w:r>
      <w:r>
        <w:rPr>
          <w:rFonts w:hint="default"/>
          <w:sz w:val="18"/>
          <w:szCs w:val="24"/>
        </w:rPr>
        <w:t>10</w:t>
      </w:r>
      <w:r>
        <w:rPr>
          <w:rFonts w:hint="eastAsia"/>
          <w:sz w:val="18"/>
          <w:szCs w:val="24"/>
        </w:rPr>
        <w:t>名无限售条件普通股股东在报告期内是否进行约定购回交易</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公司前</w:t>
      </w:r>
      <w:r>
        <w:rPr>
          <w:rFonts w:hint="default"/>
          <w:sz w:val="18"/>
          <w:szCs w:val="24"/>
        </w:rPr>
        <w:t>10</w:t>
      </w:r>
      <w:r>
        <w:rPr>
          <w:rFonts w:hint="eastAsia"/>
          <w:sz w:val="18"/>
          <w:szCs w:val="24"/>
        </w:rPr>
        <w:t>名普通股股东、前</w:t>
      </w:r>
      <w:r>
        <w:rPr>
          <w:rFonts w:hint="default"/>
          <w:sz w:val="18"/>
          <w:szCs w:val="24"/>
        </w:rPr>
        <w:t>10</w:t>
      </w:r>
      <w:r>
        <w:rPr>
          <w:rFonts w:hint="eastAsia"/>
          <w:sz w:val="18"/>
          <w:szCs w:val="24"/>
        </w:rPr>
        <w:t>名无限售条件普通股股东在报告期内未进行约定购回交易。</w:t>
      </w:r>
    </w:p>
    <w:p>
      <w:pPr>
        <w:pStyle w:val="8"/>
        <w:outlineLvl w:val="2"/>
        <w:rPr>
          <w:rFonts w:hint="default"/>
          <w:sz w:val="21"/>
          <w:szCs w:val="24"/>
        </w:rPr>
      </w:pPr>
      <w:r>
        <w:rPr>
          <w:rFonts w:hint="default"/>
          <w:sz w:val="21"/>
          <w:szCs w:val="24"/>
        </w:rPr>
        <w:t>2</w:t>
      </w:r>
      <w:r>
        <w:rPr>
          <w:rFonts w:hint="eastAsia"/>
          <w:sz w:val="21"/>
          <w:szCs w:val="24"/>
        </w:rPr>
        <w:t>、公司控股股东情况</w:t>
      </w:r>
    </w:p>
    <w:p>
      <w:pPr>
        <w:jc w:val="left"/>
        <w:rPr>
          <w:rFonts w:hint="default"/>
          <w:sz w:val="18"/>
          <w:szCs w:val="24"/>
        </w:rPr>
      </w:pPr>
      <w:r>
        <w:rPr>
          <w:rFonts w:hint="eastAsia"/>
          <w:sz w:val="18"/>
          <w:szCs w:val="24"/>
        </w:rPr>
        <w:t>控股股东性质：自然人控股</w:t>
      </w:r>
    </w:p>
    <w:p>
      <w:pPr>
        <w:jc w:val="left"/>
        <w:rPr>
          <w:rFonts w:hint="default"/>
          <w:sz w:val="18"/>
          <w:szCs w:val="24"/>
        </w:rPr>
      </w:pPr>
      <w:r>
        <w:rPr>
          <w:rFonts w:hint="eastAsia"/>
          <w:sz w:val="18"/>
          <w:szCs w:val="24"/>
        </w:rPr>
        <w:t>控股股东类型：自然人</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418"/>
        <w:gridCol w:w="2302"/>
        <w:gridCol w:w="3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控股股东姓名</w:t>
            </w:r>
          </w:p>
        </w:tc>
        <w:tc>
          <w:tcPr>
            <w:tcW w:w="23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国籍</w:t>
            </w:r>
          </w:p>
        </w:tc>
        <w:tc>
          <w:tcPr>
            <w:tcW w:w="384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是否取得其他国家或地区居留权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230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中国</w:t>
            </w:r>
          </w:p>
        </w:tc>
        <w:tc>
          <w:tcPr>
            <w:tcW w:w="384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主要职业及职务</w:t>
            </w:r>
          </w:p>
        </w:tc>
        <w:tc>
          <w:tcPr>
            <w:tcW w:w="615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3</w:t>
            </w:r>
            <w:r>
              <w:rPr>
                <w:rFonts w:hint="eastAsia"/>
                <w:sz w:val="18"/>
                <w:szCs w:val="24"/>
              </w:rPr>
              <w:t>月换届以来担任公司董事长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报告期内控股和参股的其他境内外上市公司的股权情况</w:t>
            </w:r>
          </w:p>
        </w:tc>
        <w:tc>
          <w:tcPr>
            <w:tcW w:w="615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bl>
    <w:p>
      <w:pPr>
        <w:jc w:val="left"/>
        <w:rPr>
          <w:rFonts w:hint="default"/>
          <w:sz w:val="18"/>
          <w:szCs w:val="24"/>
        </w:rPr>
      </w:pPr>
      <w:r>
        <w:rPr>
          <w:rFonts w:hint="eastAsia"/>
          <w:sz w:val="18"/>
          <w:szCs w:val="24"/>
        </w:rPr>
        <w:t>控股股东报告期内变更</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公司报告期控股股东未发生变更。</w:t>
      </w:r>
    </w:p>
    <w:p>
      <w:pPr>
        <w:pStyle w:val="8"/>
        <w:outlineLvl w:val="2"/>
        <w:rPr>
          <w:rFonts w:hint="default"/>
          <w:sz w:val="21"/>
          <w:szCs w:val="24"/>
        </w:rPr>
      </w:pPr>
      <w:r>
        <w:rPr>
          <w:rFonts w:hint="default"/>
          <w:sz w:val="21"/>
          <w:szCs w:val="24"/>
        </w:rPr>
        <w:t>3</w:t>
      </w:r>
      <w:r>
        <w:rPr>
          <w:rFonts w:hint="eastAsia"/>
          <w:sz w:val="21"/>
          <w:szCs w:val="24"/>
        </w:rPr>
        <w:t>、公司实际控制人及其一致行动人</w:t>
      </w:r>
    </w:p>
    <w:p>
      <w:pPr>
        <w:jc w:val="left"/>
        <w:rPr>
          <w:rFonts w:hint="default"/>
          <w:sz w:val="18"/>
          <w:szCs w:val="24"/>
        </w:rPr>
      </w:pPr>
      <w:r>
        <w:rPr>
          <w:rFonts w:hint="eastAsia"/>
          <w:sz w:val="18"/>
          <w:szCs w:val="24"/>
        </w:rPr>
        <w:t>实际控制人性质：境内自然人</w:t>
      </w:r>
    </w:p>
    <w:p>
      <w:pPr>
        <w:jc w:val="left"/>
        <w:rPr>
          <w:rFonts w:hint="default"/>
          <w:sz w:val="18"/>
          <w:szCs w:val="24"/>
        </w:rPr>
      </w:pPr>
      <w:r>
        <w:rPr>
          <w:rFonts w:hint="eastAsia"/>
          <w:sz w:val="18"/>
          <w:szCs w:val="24"/>
        </w:rPr>
        <w:t>实际控制人类型：自然人</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实际控制人姓名</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与实际控制人关系</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国籍</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是否取得其他国家或地区居留权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本人</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中国</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范玉隆</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一致行动（含协议、亲属、同一控制）</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中国</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主要职业及职务</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范庆伟先生，自</w:t>
            </w:r>
            <w:r>
              <w:rPr>
                <w:rFonts w:hint="default"/>
                <w:sz w:val="18"/>
                <w:szCs w:val="24"/>
              </w:rPr>
              <w:t>2018</w:t>
            </w:r>
            <w:r>
              <w:rPr>
                <w:rFonts w:hint="eastAsia"/>
                <w:sz w:val="18"/>
                <w:szCs w:val="24"/>
              </w:rPr>
              <w:t>年</w:t>
            </w:r>
            <w:r>
              <w:rPr>
                <w:rFonts w:hint="default"/>
                <w:sz w:val="18"/>
                <w:szCs w:val="24"/>
              </w:rPr>
              <w:t>3</w:t>
            </w:r>
            <w:r>
              <w:rPr>
                <w:rFonts w:hint="eastAsia"/>
                <w:sz w:val="18"/>
                <w:szCs w:val="24"/>
              </w:rPr>
              <w:t>月换届以来担任公司董事长；范玉隆先生，自</w:t>
            </w:r>
            <w:r>
              <w:rPr>
                <w:rFonts w:hint="default"/>
                <w:sz w:val="18"/>
                <w:szCs w:val="24"/>
              </w:rPr>
              <w:t>2018</w:t>
            </w:r>
            <w:r>
              <w:rPr>
                <w:rFonts w:hint="eastAsia"/>
                <w:sz w:val="18"/>
                <w:szCs w:val="24"/>
              </w:rPr>
              <w:t>年</w:t>
            </w:r>
            <w:r>
              <w:rPr>
                <w:rFonts w:hint="default"/>
                <w:sz w:val="18"/>
                <w:szCs w:val="24"/>
              </w:rPr>
              <w:t>3</w:t>
            </w:r>
            <w:r>
              <w:rPr>
                <w:rFonts w:hint="eastAsia"/>
                <w:sz w:val="18"/>
                <w:szCs w:val="24"/>
              </w:rPr>
              <w:t>月换届以来担任公司董事。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过去</w:t>
            </w:r>
            <w:r>
              <w:rPr>
                <w:rFonts w:hint="default"/>
                <w:sz w:val="18"/>
                <w:szCs w:val="24"/>
              </w:rPr>
              <w:t>10</w:t>
            </w:r>
            <w:r>
              <w:rPr>
                <w:rFonts w:hint="eastAsia"/>
                <w:sz w:val="18"/>
                <w:szCs w:val="24"/>
              </w:rPr>
              <w:t>年曾控股的境内外上市公司情况</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bl>
    <w:p>
      <w:pPr>
        <w:jc w:val="left"/>
        <w:rPr>
          <w:rFonts w:hint="default"/>
          <w:sz w:val="18"/>
          <w:szCs w:val="24"/>
        </w:rPr>
      </w:pPr>
      <w:r>
        <w:rPr>
          <w:rFonts w:hint="eastAsia"/>
          <w:sz w:val="18"/>
          <w:szCs w:val="24"/>
        </w:rPr>
        <w:t>实际控制人报告期内变更</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公司报告期实际控制人未发生变更。</w:t>
      </w:r>
    </w:p>
    <w:p>
      <w:pPr>
        <w:jc w:val="left"/>
        <w:rPr>
          <w:rFonts w:hint="default"/>
          <w:sz w:val="18"/>
          <w:szCs w:val="24"/>
        </w:rPr>
      </w:pPr>
      <w:r>
        <w:rPr>
          <w:rFonts w:hint="eastAsia"/>
          <w:sz w:val="18"/>
          <w:szCs w:val="24"/>
        </w:rPr>
        <w:t>公司与实际控制人之间的产权及控制关系的方框图</w:t>
      </w:r>
    </w:p>
    <w:p>
      <w:pPr>
        <w:jc w:val="left"/>
        <w:rPr>
          <w:rFonts w:hint="default"/>
          <w:sz w:val="18"/>
          <w:szCs w:val="24"/>
        </w:rPr>
      </w:pPr>
      <w:r>
        <w:rPr>
          <w:rFonts w:hint="default"/>
          <w:sz w:val="18"/>
          <w:szCs w:val="24"/>
        </w:rPr>
        <w:drawing>
          <wp:inline distT="0" distB="0" distL="114300" distR="114300">
            <wp:extent cx="6139180" cy="2367915"/>
            <wp:effectExtent l="0" t="0" r="13970" b="13335"/>
            <wp:docPr id="1"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无标题"/>
                    <pic:cNvPicPr>
                      <a:picLocks noChangeAspect="1"/>
                    </pic:cNvPicPr>
                  </pic:nvPicPr>
                  <pic:blipFill>
                    <a:blip r:embed="rId8"/>
                    <a:stretch>
                      <a:fillRect/>
                    </a:stretch>
                  </pic:blipFill>
                  <pic:spPr>
                    <a:xfrm>
                      <a:off x="0" y="0"/>
                      <a:ext cx="6139180" cy="2367915"/>
                    </a:xfrm>
                    <a:prstGeom prst="rect">
                      <a:avLst/>
                    </a:prstGeom>
                    <a:noFill/>
                    <a:ln>
                      <a:noFill/>
                    </a:ln>
                  </pic:spPr>
                </pic:pic>
              </a:graphicData>
            </a:graphic>
          </wp:inline>
        </w:drawing>
      </w:r>
    </w:p>
    <w:p>
      <w:pPr>
        <w:jc w:val="left"/>
        <w:rPr>
          <w:rFonts w:hint="default"/>
          <w:sz w:val="18"/>
          <w:szCs w:val="24"/>
        </w:rPr>
      </w:pPr>
      <w:r>
        <w:rPr>
          <w:rFonts w:hint="eastAsia"/>
          <w:sz w:val="18"/>
          <w:szCs w:val="24"/>
        </w:rPr>
        <w:t>实际控制人通过信托或其他资产管理方式控制公司</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4</w:t>
      </w:r>
      <w:r>
        <w:rPr>
          <w:rFonts w:hint="eastAsia"/>
          <w:sz w:val="21"/>
          <w:szCs w:val="24"/>
        </w:rPr>
        <w:t>、其他持股在</w:t>
      </w:r>
      <w:r>
        <w:rPr>
          <w:rFonts w:hint="default"/>
          <w:sz w:val="21"/>
          <w:szCs w:val="24"/>
        </w:rPr>
        <w:t>10%</w:t>
      </w:r>
      <w:r>
        <w:rPr>
          <w:rFonts w:hint="eastAsia"/>
          <w:sz w:val="21"/>
          <w:szCs w:val="24"/>
        </w:rPr>
        <w:t>以上的法人股东</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5</w:t>
      </w:r>
      <w:r>
        <w:rPr>
          <w:rFonts w:hint="eastAsia"/>
          <w:sz w:val="21"/>
          <w:szCs w:val="24"/>
        </w:rPr>
        <w:t>、控股股东、实际控制人、重组方及其他承诺主体股份限制减持情况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24"/>
        </w:rPr>
      </w:pPr>
      <w:bookmarkStart w:id="6" w:name="_Toc300000090"/>
      <w:r>
        <w:rPr>
          <w:rFonts w:hint="eastAsia"/>
          <w:b/>
          <w:kern w:val="32"/>
          <w:sz w:val="32"/>
          <w:szCs w:val="24"/>
        </w:rPr>
        <w:t>第七节</w:t>
      </w:r>
      <w:r>
        <w:rPr>
          <w:rFonts w:hint="default"/>
          <w:b/>
          <w:kern w:val="32"/>
          <w:sz w:val="32"/>
          <w:szCs w:val="24"/>
        </w:rPr>
        <w:t xml:space="preserve"> </w:t>
      </w:r>
      <w:r>
        <w:rPr>
          <w:rFonts w:hint="eastAsia"/>
          <w:b/>
          <w:kern w:val="32"/>
          <w:sz w:val="32"/>
          <w:szCs w:val="24"/>
        </w:rPr>
        <w:t>优先股相关情况</w:t>
      </w:r>
      <w:bookmarkEnd w:id="6"/>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报告期公司不存在优先股。</w:t>
      </w:r>
    </w:p>
    <w:p>
      <w:pPr>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24"/>
        </w:rPr>
      </w:pPr>
      <w:bookmarkStart w:id="7" w:name="_Toc300000091"/>
      <w:r>
        <w:rPr>
          <w:rFonts w:hint="eastAsia"/>
          <w:b/>
          <w:kern w:val="32"/>
          <w:sz w:val="32"/>
          <w:szCs w:val="24"/>
        </w:rPr>
        <w:t>第八节</w:t>
      </w:r>
      <w:r>
        <w:rPr>
          <w:rFonts w:hint="default"/>
          <w:b/>
          <w:kern w:val="32"/>
          <w:sz w:val="32"/>
          <w:szCs w:val="24"/>
        </w:rPr>
        <w:t xml:space="preserve"> </w:t>
      </w:r>
      <w:r>
        <w:rPr>
          <w:rFonts w:hint="eastAsia"/>
          <w:b/>
          <w:kern w:val="32"/>
          <w:sz w:val="32"/>
          <w:szCs w:val="24"/>
        </w:rPr>
        <w:t>可转换公司债券相关情况</w:t>
      </w:r>
      <w:bookmarkEnd w:id="7"/>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报告期公司不存在可转换公司债券。</w:t>
      </w:r>
    </w:p>
    <w:p>
      <w:pPr>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24"/>
        </w:rPr>
      </w:pPr>
      <w:bookmarkStart w:id="8" w:name="_Toc300000092"/>
      <w:r>
        <w:rPr>
          <w:rFonts w:hint="eastAsia"/>
          <w:b/>
          <w:kern w:val="32"/>
          <w:sz w:val="32"/>
          <w:szCs w:val="24"/>
        </w:rPr>
        <w:t>第九节</w:t>
      </w:r>
      <w:r>
        <w:rPr>
          <w:rFonts w:hint="default"/>
          <w:b/>
          <w:kern w:val="32"/>
          <w:sz w:val="32"/>
          <w:szCs w:val="24"/>
        </w:rPr>
        <w:t xml:space="preserve"> </w:t>
      </w:r>
      <w:r>
        <w:rPr>
          <w:rFonts w:hint="eastAsia"/>
          <w:b/>
          <w:kern w:val="32"/>
          <w:sz w:val="32"/>
          <w:szCs w:val="24"/>
        </w:rPr>
        <w:t>董事、监事、高级管理人员和员工情况</w:t>
      </w:r>
      <w:bookmarkEnd w:id="8"/>
    </w:p>
    <w:p>
      <w:pPr>
        <w:pStyle w:val="7"/>
        <w:outlineLvl w:val="1"/>
        <w:rPr>
          <w:rFonts w:hint="default"/>
          <w:sz w:val="24"/>
          <w:szCs w:val="24"/>
        </w:rPr>
      </w:pPr>
      <w:r>
        <w:rPr>
          <w:rFonts w:hint="eastAsia"/>
          <w:sz w:val="24"/>
          <w:szCs w:val="24"/>
        </w:rPr>
        <w:t>一、董事、监事和高级管理人员持股变动</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798"/>
        <w:gridCol w:w="797"/>
        <w:gridCol w:w="797"/>
        <w:gridCol w:w="797"/>
        <w:gridCol w:w="798"/>
        <w:gridCol w:w="797"/>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姓名</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职务</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任职状态</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性别</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年龄</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任期起始日期</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任期终止日期</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期初持股数（股）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本期增持股份数量（股）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本期减持股份数量（股）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其他增减变动（股）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期末持股数（股）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董事长</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15</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75,429,000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6,039,100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69,389,900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范玉隆</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15</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4,335,000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郭成尼</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国际销售总监</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15</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张会亭</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研发总监</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15</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刘克平</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副总经理、董事会秘书</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15</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渠汇成</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生产总监</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15</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崔兴建</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品质总监</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15</w:t>
            </w:r>
            <w:r>
              <w:rPr>
                <w:rFonts w:hint="eastAsia"/>
                <w:sz w:val="18"/>
                <w:szCs w:val="24"/>
              </w:rPr>
              <w:t>日</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80,096,000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6,092,100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74,003,900</w:t>
            </w:r>
          </w:p>
        </w:tc>
      </w:tr>
    </w:tbl>
    <w:p>
      <w:pPr>
        <w:pStyle w:val="7"/>
        <w:outlineLvl w:val="1"/>
        <w:rPr>
          <w:rFonts w:hint="default"/>
          <w:sz w:val="24"/>
          <w:szCs w:val="24"/>
        </w:rPr>
      </w:pPr>
      <w:r>
        <w:rPr>
          <w:rFonts w:hint="eastAsia"/>
          <w:sz w:val="24"/>
          <w:szCs w:val="24"/>
        </w:rPr>
        <w:t>二、公司董事、监事、高级管理人员变动情况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30"/>
        <w:gridCol w:w="1330"/>
        <w:gridCol w:w="1330"/>
        <w:gridCol w:w="1330"/>
        <w:gridCol w:w="4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姓名</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担任的职务</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类型</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日期</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刘鹏</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副总经理</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聘任</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11</w:t>
            </w:r>
            <w:r>
              <w:rPr>
                <w:rFonts w:hint="eastAsia"/>
                <w:sz w:val="18"/>
                <w:szCs w:val="24"/>
              </w:rPr>
              <w:t>月</w:t>
            </w:r>
            <w:r>
              <w:rPr>
                <w:rFonts w:hint="default"/>
                <w:sz w:val="18"/>
                <w:szCs w:val="24"/>
              </w:rPr>
              <w:t>25</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公司发展需求</w:t>
            </w:r>
          </w:p>
        </w:tc>
      </w:tr>
    </w:tbl>
    <w:p>
      <w:pPr>
        <w:pStyle w:val="7"/>
        <w:outlineLvl w:val="1"/>
        <w:rPr>
          <w:rFonts w:hint="default"/>
          <w:sz w:val="24"/>
          <w:szCs w:val="24"/>
        </w:rPr>
      </w:pPr>
      <w:r>
        <w:rPr>
          <w:rFonts w:hint="eastAsia"/>
          <w:sz w:val="24"/>
          <w:szCs w:val="24"/>
        </w:rPr>
        <w:t>三、任职情况</w:t>
      </w:r>
    </w:p>
    <w:p>
      <w:pPr>
        <w:jc w:val="left"/>
        <w:rPr>
          <w:rFonts w:hint="default"/>
          <w:sz w:val="18"/>
          <w:szCs w:val="24"/>
        </w:rPr>
      </w:pPr>
      <w:r>
        <w:rPr>
          <w:rFonts w:hint="eastAsia"/>
          <w:sz w:val="18"/>
          <w:szCs w:val="24"/>
        </w:rPr>
        <w:t>公司现任董事、监事、高级管理人员专业背景、主要工作经历以及目前在公司的主要职责</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、范庆伟先生，男，汉族，</w:t>
      </w:r>
      <w:r>
        <w:rPr>
          <w:rFonts w:hint="default" w:eastAsia="Times New Roman"/>
          <w:kern w:val="0"/>
          <w:sz w:val="18"/>
          <w:szCs w:val="24"/>
          <w:lang w:val="zh-CN"/>
        </w:rPr>
        <w:t>1961</w:t>
      </w:r>
      <w:r>
        <w:rPr>
          <w:rFonts w:hint="eastAsia" w:ascii="宋体" w:hAnsi="宋体" w:cs="宋体"/>
          <w:kern w:val="0"/>
          <w:sz w:val="18"/>
          <w:szCs w:val="24"/>
          <w:lang w:val="zh-CN"/>
        </w:rPr>
        <w:t>年生，中国国籍，无境外永久居留权，</w:t>
      </w:r>
      <w:r>
        <w:rPr>
          <w:rFonts w:hint="eastAsia" w:ascii="MS Mincho" w:hAnsi="MS Mincho" w:cs="MS Mincho"/>
          <w:kern w:val="0"/>
          <w:sz w:val="18"/>
          <w:szCs w:val="24"/>
          <w:lang w:val="zh-CN"/>
        </w:rPr>
        <w:t>本</w:t>
      </w:r>
      <w:r>
        <w:rPr>
          <w:rFonts w:hint="eastAsia" w:ascii="宋体" w:hAnsi="宋体" w:cs="宋体"/>
          <w:kern w:val="0"/>
          <w:sz w:val="18"/>
          <w:szCs w:val="24"/>
          <w:lang w:val="zh-CN"/>
        </w:rPr>
        <w:t>科学历，经济师。</w:t>
      </w:r>
      <w:r>
        <w:rPr>
          <w:rFonts w:hint="default" w:eastAsia="Times New Roman"/>
          <w:kern w:val="0"/>
          <w:sz w:val="18"/>
          <w:szCs w:val="24"/>
          <w:lang w:val="zh-CN"/>
        </w:rPr>
        <w:t>1983</w:t>
      </w:r>
      <w:r>
        <w:rPr>
          <w:rFonts w:hint="eastAsia" w:ascii="宋体" w:hAnsi="宋体" w:cs="宋体"/>
          <w:kern w:val="0"/>
          <w:sz w:val="18"/>
          <w:szCs w:val="24"/>
          <w:lang w:val="zh-CN"/>
        </w:rPr>
        <w:t>年至</w:t>
      </w:r>
      <w:r>
        <w:rPr>
          <w:rFonts w:hint="default" w:eastAsia="Times New Roman"/>
          <w:kern w:val="0"/>
          <w:sz w:val="18"/>
          <w:szCs w:val="24"/>
          <w:lang w:val="zh-CN"/>
        </w:rPr>
        <w:t>1988</w:t>
      </w:r>
      <w:r>
        <w:rPr>
          <w:rFonts w:hint="eastAsia" w:ascii="宋体" w:hAnsi="宋体" w:cs="宋体"/>
          <w:kern w:val="0"/>
          <w:sz w:val="18"/>
          <w:szCs w:val="24"/>
          <w:lang w:val="zh-CN"/>
        </w:rPr>
        <w:t>年在青岛电站阀门厂任助理工程师；</w:t>
      </w:r>
      <w:r>
        <w:rPr>
          <w:rFonts w:hint="default" w:eastAsia="Times New Roman"/>
          <w:kern w:val="0"/>
          <w:sz w:val="18"/>
          <w:szCs w:val="24"/>
          <w:lang w:val="zh-CN"/>
        </w:rPr>
        <w:t>1988</w:t>
      </w:r>
      <w:r>
        <w:rPr>
          <w:rFonts w:hint="eastAsia" w:ascii="宋体" w:hAnsi="宋体" w:cs="宋体"/>
          <w:kern w:val="0"/>
          <w:sz w:val="18"/>
          <w:szCs w:val="24"/>
          <w:lang w:val="zh-CN"/>
        </w:rPr>
        <w:t>年至</w:t>
      </w:r>
      <w:r>
        <w:rPr>
          <w:rFonts w:hint="default" w:eastAsia="Times New Roman"/>
          <w:kern w:val="0"/>
          <w:sz w:val="18"/>
          <w:szCs w:val="24"/>
          <w:lang w:val="zh-CN"/>
        </w:rPr>
        <w:t>1995</w:t>
      </w:r>
      <w:r>
        <w:rPr>
          <w:rFonts w:hint="eastAsia" w:ascii="宋体" w:hAnsi="宋体" w:cs="宋体"/>
          <w:kern w:val="0"/>
          <w:sz w:val="18"/>
          <w:szCs w:val="24"/>
          <w:lang w:val="zh-CN"/>
        </w:rPr>
        <w:t>年在中国机械进出口公司青岛分公司任分公司经理；</w:t>
      </w:r>
      <w:r>
        <w:rPr>
          <w:rFonts w:hint="default" w:eastAsia="Times New Roman"/>
          <w:kern w:val="0"/>
          <w:sz w:val="18"/>
          <w:szCs w:val="24"/>
          <w:lang w:val="zh-CN"/>
        </w:rPr>
        <w:t>1995</w:t>
      </w:r>
      <w:r>
        <w:rPr>
          <w:rFonts w:hint="eastAsia" w:ascii="宋体" w:hAnsi="宋体" w:cs="宋体"/>
          <w:kern w:val="0"/>
          <w:sz w:val="18"/>
          <w:szCs w:val="24"/>
          <w:lang w:val="zh-CN"/>
        </w:rPr>
        <w:t>年至</w:t>
      </w:r>
      <w:r>
        <w:rPr>
          <w:rFonts w:hint="default" w:eastAsia="Times New Roman"/>
          <w:kern w:val="0"/>
          <w:sz w:val="18"/>
          <w:szCs w:val="24"/>
          <w:lang w:val="zh-CN"/>
        </w:rPr>
        <w:t>2004</w:t>
      </w:r>
      <w:r>
        <w:rPr>
          <w:rFonts w:hint="eastAsia" w:ascii="宋体" w:hAnsi="宋体" w:cs="宋体"/>
          <w:kern w:val="0"/>
          <w:sz w:val="18"/>
          <w:szCs w:val="24"/>
          <w:lang w:val="zh-CN"/>
        </w:rPr>
        <w:t>年任青岛伟隆经贸有限公司执行董事兼总经理；</w:t>
      </w:r>
      <w:r>
        <w:rPr>
          <w:rFonts w:hint="default" w:eastAsia="Times New Roman"/>
          <w:kern w:val="0"/>
          <w:sz w:val="18"/>
          <w:szCs w:val="24"/>
          <w:lang w:val="zh-CN"/>
        </w:rPr>
        <w:t>2004</w:t>
      </w:r>
      <w:r>
        <w:rPr>
          <w:rFonts w:hint="eastAsia" w:ascii="宋体" w:hAnsi="宋体" w:cs="宋体"/>
          <w:kern w:val="0"/>
          <w:sz w:val="18"/>
          <w:szCs w:val="24"/>
          <w:lang w:val="zh-CN"/>
        </w:rPr>
        <w:t>年至</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月任青岛伟隆阀门有限公司执行董事兼总经理；</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2014</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月任青岛伟隆阀门股份有限公司董事长兼总经理；</w:t>
      </w:r>
      <w:r>
        <w:rPr>
          <w:rFonts w:hint="default" w:eastAsia="Times New Roman"/>
          <w:kern w:val="0"/>
          <w:sz w:val="18"/>
          <w:szCs w:val="24"/>
          <w:lang w:val="zh-CN"/>
        </w:rPr>
        <w:t>2014</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月至</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月任青岛伟隆阀门股份有限公司董事长。</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公司董事长，现兼任莱州伟隆执行董事、伟隆五金执行董事兼总经理、伟隆流体执行董事、英国伟隆董事兼经理、美国伟隆董事、惠隆管理、伟隆香港实业有限公司执行董事。</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2</w:t>
      </w:r>
      <w:r>
        <w:rPr>
          <w:rFonts w:hint="eastAsia" w:ascii="宋体" w:hAnsi="宋体" w:cs="宋体"/>
          <w:kern w:val="0"/>
          <w:sz w:val="18"/>
          <w:szCs w:val="24"/>
          <w:lang w:val="zh-CN"/>
        </w:rPr>
        <w:t>、李会君先生，男，汉族，</w:t>
      </w:r>
      <w:r>
        <w:rPr>
          <w:rFonts w:hint="default" w:eastAsia="Times New Roman"/>
          <w:kern w:val="0"/>
          <w:sz w:val="18"/>
          <w:szCs w:val="24"/>
          <w:lang w:val="zh-CN"/>
        </w:rPr>
        <w:t>1964</w:t>
      </w:r>
      <w:r>
        <w:rPr>
          <w:rFonts w:hint="eastAsia" w:ascii="宋体" w:hAnsi="宋体" w:cs="宋体"/>
          <w:kern w:val="0"/>
          <w:sz w:val="18"/>
          <w:szCs w:val="24"/>
          <w:lang w:val="zh-CN"/>
        </w:rPr>
        <w:t>年生，中国国籍，无境外永久居留权，</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科学历，高级工程师。</w:t>
      </w:r>
      <w:r>
        <w:rPr>
          <w:rFonts w:hint="default" w:eastAsia="Times New Roman"/>
          <w:kern w:val="0"/>
          <w:sz w:val="18"/>
          <w:szCs w:val="24"/>
          <w:lang w:val="zh-CN"/>
        </w:rPr>
        <w:t>1985</w:t>
      </w:r>
      <w:r>
        <w:rPr>
          <w:rFonts w:hint="eastAsia" w:ascii="宋体" w:hAnsi="宋体" w:cs="宋体"/>
          <w:kern w:val="0"/>
          <w:sz w:val="18"/>
          <w:szCs w:val="24"/>
          <w:lang w:val="zh-CN"/>
        </w:rPr>
        <w:t>年至</w:t>
      </w:r>
      <w:r>
        <w:rPr>
          <w:rFonts w:hint="default" w:eastAsia="Times New Roman"/>
          <w:kern w:val="0"/>
          <w:sz w:val="18"/>
          <w:szCs w:val="24"/>
          <w:lang w:val="zh-CN"/>
        </w:rPr>
        <w:t>1998</w:t>
      </w:r>
      <w:r>
        <w:rPr>
          <w:rFonts w:hint="eastAsia" w:ascii="宋体" w:hAnsi="宋体" w:cs="宋体"/>
          <w:kern w:val="0"/>
          <w:sz w:val="18"/>
          <w:szCs w:val="24"/>
          <w:lang w:val="zh-CN"/>
        </w:rPr>
        <w:t>年在青岛电站阀门厂任工程师；</w:t>
      </w:r>
      <w:r>
        <w:rPr>
          <w:rFonts w:hint="default" w:eastAsia="Times New Roman"/>
          <w:kern w:val="0"/>
          <w:sz w:val="18"/>
          <w:szCs w:val="24"/>
          <w:lang w:val="zh-CN"/>
        </w:rPr>
        <w:t>1998</w:t>
      </w:r>
      <w:r>
        <w:rPr>
          <w:rFonts w:hint="eastAsia" w:ascii="宋体" w:hAnsi="宋体" w:cs="宋体"/>
          <w:kern w:val="0"/>
          <w:sz w:val="18"/>
          <w:szCs w:val="24"/>
          <w:lang w:val="zh-CN"/>
        </w:rPr>
        <w:t>年至</w:t>
      </w:r>
      <w:r>
        <w:rPr>
          <w:rFonts w:hint="default" w:eastAsia="Times New Roman"/>
          <w:kern w:val="0"/>
          <w:sz w:val="18"/>
          <w:szCs w:val="24"/>
          <w:lang w:val="zh-CN"/>
        </w:rPr>
        <w:t>2004</w:t>
      </w:r>
      <w:r>
        <w:rPr>
          <w:rFonts w:hint="eastAsia" w:ascii="宋体" w:hAnsi="宋体" w:cs="宋体"/>
          <w:kern w:val="0"/>
          <w:sz w:val="18"/>
          <w:szCs w:val="24"/>
          <w:lang w:val="zh-CN"/>
        </w:rPr>
        <w:t>年任青岛伟隆经贸有限公司副总经理；</w:t>
      </w:r>
      <w:r>
        <w:rPr>
          <w:rFonts w:hint="default" w:eastAsia="Times New Roman"/>
          <w:kern w:val="0"/>
          <w:sz w:val="18"/>
          <w:szCs w:val="24"/>
          <w:lang w:val="zh-CN"/>
        </w:rPr>
        <w:t>2004</w:t>
      </w:r>
      <w:r>
        <w:rPr>
          <w:rFonts w:hint="eastAsia" w:ascii="宋体" w:hAnsi="宋体" w:cs="宋体"/>
          <w:kern w:val="0"/>
          <w:sz w:val="18"/>
          <w:szCs w:val="24"/>
          <w:lang w:val="zh-CN"/>
        </w:rPr>
        <w:t>年至</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月任青岛伟隆阀门有限公司副总经理；</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2014</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月任青岛伟隆阀门股份有限公司董事兼副总经理；</w:t>
      </w:r>
      <w:r>
        <w:rPr>
          <w:rFonts w:hint="default" w:eastAsia="Times New Roman"/>
          <w:kern w:val="0"/>
          <w:sz w:val="18"/>
          <w:szCs w:val="24"/>
          <w:lang w:val="zh-CN"/>
        </w:rPr>
        <w:t>2014</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月至</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月任青岛伟隆阀门股份有限公司董事兼总经理；</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公司董事兼总经理；</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w:t>
      </w:r>
      <w:r>
        <w:rPr>
          <w:rFonts w:hint="eastAsia" w:ascii="宋体" w:hAnsi="宋体" w:cs="宋体"/>
          <w:kern w:val="0"/>
          <w:sz w:val="18"/>
          <w:szCs w:val="24"/>
          <w:lang w:val="zh-CN"/>
        </w:rPr>
        <w:t>月至今任青岛即聚机电有限责任公司法定代表人、执行董事兼经理。</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3</w:t>
      </w:r>
      <w:r>
        <w:rPr>
          <w:rFonts w:hint="eastAsia" w:ascii="宋体" w:hAnsi="宋体" w:cs="宋体"/>
          <w:kern w:val="0"/>
          <w:sz w:val="18"/>
          <w:szCs w:val="24"/>
          <w:lang w:val="zh-CN"/>
        </w:rPr>
        <w:t>、范玉隆先生，男，汉族，</w:t>
      </w:r>
      <w:r>
        <w:rPr>
          <w:rFonts w:hint="default" w:eastAsia="Times New Roman"/>
          <w:kern w:val="0"/>
          <w:sz w:val="18"/>
          <w:szCs w:val="24"/>
          <w:lang w:val="zh-CN"/>
        </w:rPr>
        <w:t>1988</w:t>
      </w:r>
      <w:r>
        <w:rPr>
          <w:rFonts w:hint="eastAsia" w:ascii="宋体" w:hAnsi="宋体" w:cs="宋体"/>
          <w:kern w:val="0"/>
          <w:sz w:val="18"/>
          <w:szCs w:val="24"/>
          <w:lang w:val="zh-CN"/>
        </w:rPr>
        <w:t>年生，中国国籍，无境外永久居留权，</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月任青岛伟隆阀门股份有限公司董事、采购部副部长。</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公司董事、生产部总监助理，现兼任伟隆流体监事。</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4</w:t>
      </w:r>
      <w:r>
        <w:rPr>
          <w:rFonts w:hint="eastAsia" w:ascii="宋体" w:hAnsi="宋体" w:cs="宋体"/>
          <w:kern w:val="0"/>
          <w:sz w:val="18"/>
          <w:szCs w:val="24"/>
          <w:lang w:val="zh-CN"/>
        </w:rPr>
        <w:t>、迟娜娜女士，女，汉族，</w:t>
      </w:r>
      <w:r>
        <w:rPr>
          <w:rFonts w:hint="default" w:eastAsia="Times New Roman"/>
          <w:kern w:val="0"/>
          <w:sz w:val="18"/>
          <w:szCs w:val="24"/>
          <w:lang w:val="zh-CN"/>
        </w:rPr>
        <w:t>1979</w:t>
      </w:r>
      <w:r>
        <w:rPr>
          <w:rFonts w:hint="eastAsia" w:ascii="宋体" w:hAnsi="宋体" w:cs="宋体"/>
          <w:kern w:val="0"/>
          <w:sz w:val="18"/>
          <w:szCs w:val="24"/>
          <w:lang w:val="zh-CN"/>
        </w:rPr>
        <w:t>年生，中国国籍，无境外永久居留权，</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科学历，高级会计师。</w:t>
      </w:r>
      <w:r>
        <w:rPr>
          <w:rFonts w:hint="default" w:eastAsia="Times New Roman"/>
          <w:kern w:val="0"/>
          <w:sz w:val="18"/>
          <w:szCs w:val="24"/>
          <w:lang w:val="zh-CN"/>
        </w:rPr>
        <w:t>2003</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月至</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月历任青岛伟隆五金机械有限公司会计、财务部长、青岛伟隆阀门有限公司会计、财务部长；</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月任青岛伟隆阀门股份有限公司董事兼财务总监。</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公司董事兼财务总监。</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5</w:t>
      </w:r>
      <w:r>
        <w:rPr>
          <w:rFonts w:hint="eastAsia" w:ascii="宋体" w:hAnsi="宋体" w:cs="宋体"/>
          <w:kern w:val="0"/>
          <w:sz w:val="18"/>
          <w:szCs w:val="24"/>
          <w:lang w:val="zh-CN"/>
        </w:rPr>
        <w:t>、樊培银先生，男，中国国籍，无境外居留权，</w:t>
      </w:r>
      <w:r>
        <w:rPr>
          <w:rFonts w:hint="default" w:eastAsia="Times New Roman"/>
          <w:kern w:val="0"/>
          <w:sz w:val="18"/>
          <w:szCs w:val="24"/>
          <w:lang w:val="zh-CN"/>
        </w:rPr>
        <w:t>1965</w:t>
      </w:r>
      <w:r>
        <w:rPr>
          <w:rFonts w:hint="eastAsia" w:ascii="宋体" w:hAnsi="宋体" w:cs="宋体"/>
          <w:kern w:val="0"/>
          <w:sz w:val="18"/>
          <w:szCs w:val="24"/>
          <w:lang w:val="zh-CN"/>
        </w:rPr>
        <w:t>年出生，汉族，博士研究生学历；</w:t>
      </w:r>
      <w:r>
        <w:rPr>
          <w:rFonts w:hint="default" w:eastAsia="Times New Roman"/>
          <w:kern w:val="0"/>
          <w:sz w:val="18"/>
          <w:szCs w:val="24"/>
          <w:lang w:val="zh-CN"/>
        </w:rPr>
        <w:t>1989</w:t>
      </w:r>
      <w:r>
        <w:rPr>
          <w:rFonts w:hint="eastAsia" w:ascii="宋体" w:hAnsi="宋体" w:cs="宋体"/>
          <w:kern w:val="0"/>
          <w:sz w:val="18"/>
          <w:szCs w:val="24"/>
          <w:lang w:val="zh-CN"/>
        </w:rPr>
        <w:t>年</w:t>
      </w:r>
      <w:r>
        <w:rPr>
          <w:rFonts w:hint="default" w:eastAsia="Times New Roman"/>
          <w:kern w:val="0"/>
          <w:sz w:val="18"/>
          <w:szCs w:val="24"/>
          <w:lang w:val="zh-CN"/>
        </w:rPr>
        <w:t>6</w:t>
      </w:r>
      <w:r>
        <w:rPr>
          <w:rFonts w:hint="eastAsia" w:ascii="宋体" w:hAnsi="宋体" w:cs="宋体"/>
          <w:kern w:val="0"/>
          <w:sz w:val="18"/>
          <w:szCs w:val="24"/>
          <w:lang w:val="zh-CN"/>
        </w:rPr>
        <w:t>月至</w:t>
      </w:r>
      <w:r>
        <w:rPr>
          <w:rFonts w:hint="default" w:eastAsia="Times New Roman"/>
          <w:kern w:val="0"/>
          <w:sz w:val="18"/>
          <w:szCs w:val="24"/>
          <w:lang w:val="zh-CN"/>
        </w:rPr>
        <w:t>1989</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月任吉林农业大学助教、讲师；</w:t>
      </w:r>
      <w:r>
        <w:rPr>
          <w:rFonts w:hint="default" w:eastAsia="Times New Roman"/>
          <w:kern w:val="0"/>
          <w:sz w:val="18"/>
          <w:szCs w:val="24"/>
          <w:lang w:val="zh-CN"/>
        </w:rPr>
        <w:t>2001</w:t>
      </w:r>
      <w:r>
        <w:rPr>
          <w:rFonts w:hint="eastAsia" w:ascii="宋体" w:hAnsi="宋体" w:cs="宋体"/>
          <w:kern w:val="0"/>
          <w:sz w:val="18"/>
          <w:szCs w:val="24"/>
          <w:lang w:val="zh-CN"/>
        </w:rPr>
        <w:t>年</w:t>
      </w:r>
      <w:r>
        <w:rPr>
          <w:rFonts w:hint="default" w:eastAsia="Times New Roman"/>
          <w:kern w:val="0"/>
          <w:sz w:val="18"/>
          <w:szCs w:val="24"/>
          <w:lang w:val="zh-CN"/>
        </w:rPr>
        <w:t>4</w:t>
      </w:r>
      <w:r>
        <w:rPr>
          <w:rFonts w:hint="eastAsia" w:ascii="宋体" w:hAnsi="宋体" w:cs="宋体"/>
          <w:kern w:val="0"/>
          <w:sz w:val="18"/>
          <w:szCs w:val="24"/>
          <w:lang w:val="zh-CN"/>
        </w:rPr>
        <w:t>月至今任中国海洋大学会计系讲师、副教授；</w:t>
      </w:r>
      <w:r>
        <w:rPr>
          <w:rFonts w:hint="default" w:eastAsia="Times New Roman"/>
          <w:kern w:val="0"/>
          <w:sz w:val="18"/>
          <w:szCs w:val="24"/>
          <w:lang w:val="zh-CN"/>
        </w:rPr>
        <w:t>2009</w:t>
      </w:r>
      <w:r>
        <w:rPr>
          <w:rFonts w:hint="eastAsia" w:ascii="宋体" w:hAnsi="宋体" w:cs="宋体"/>
          <w:kern w:val="0"/>
          <w:sz w:val="18"/>
          <w:szCs w:val="24"/>
          <w:lang w:val="zh-CN"/>
        </w:rPr>
        <w:t>年</w:t>
      </w:r>
      <w:r>
        <w:rPr>
          <w:rFonts w:hint="default" w:eastAsia="Times New Roman"/>
          <w:kern w:val="0"/>
          <w:sz w:val="18"/>
          <w:szCs w:val="24"/>
          <w:lang w:val="zh-CN"/>
        </w:rPr>
        <w:t>4</w:t>
      </w:r>
      <w:r>
        <w:rPr>
          <w:rFonts w:hint="eastAsia" w:ascii="宋体" w:hAnsi="宋体" w:cs="宋体"/>
          <w:kern w:val="0"/>
          <w:sz w:val="18"/>
          <w:szCs w:val="24"/>
          <w:lang w:val="zh-CN"/>
        </w:rPr>
        <w:t>月</w:t>
      </w:r>
      <w:r>
        <w:rPr>
          <w:rFonts w:hint="default" w:eastAsia="Times New Roman"/>
          <w:kern w:val="0"/>
          <w:sz w:val="18"/>
          <w:szCs w:val="24"/>
          <w:lang w:val="zh-CN"/>
        </w:rPr>
        <w:t> </w:t>
      </w:r>
      <w:r>
        <w:rPr>
          <w:rFonts w:hint="eastAsia" w:ascii="宋体" w:hAnsi="宋体" w:cs="宋体"/>
          <w:kern w:val="0"/>
          <w:sz w:val="18"/>
          <w:szCs w:val="24"/>
          <w:lang w:val="zh-CN"/>
        </w:rPr>
        <w:t>至</w:t>
      </w:r>
      <w:r>
        <w:rPr>
          <w:rFonts w:hint="default" w:eastAsia="Times New Roman"/>
          <w:kern w:val="0"/>
          <w:sz w:val="18"/>
          <w:szCs w:val="24"/>
          <w:lang w:val="zh-CN"/>
        </w:rPr>
        <w:t> 2013</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月，任青岛黄海橡胶股份有限公司（现</w:t>
      </w:r>
      <w:r>
        <w:rPr>
          <w:rFonts w:hint="default" w:eastAsia="Times New Roman"/>
          <w:kern w:val="0"/>
          <w:sz w:val="18"/>
          <w:szCs w:val="24"/>
          <w:lang w:val="zh-CN"/>
        </w:rPr>
        <w:t>“</w:t>
      </w:r>
      <w:r>
        <w:rPr>
          <w:rFonts w:hint="eastAsia" w:ascii="宋体" w:hAnsi="宋体" w:cs="宋体"/>
          <w:kern w:val="0"/>
          <w:sz w:val="18"/>
          <w:szCs w:val="24"/>
          <w:lang w:val="zh-CN"/>
        </w:rPr>
        <w:t>克劳斯</w:t>
      </w:r>
      <w:r>
        <w:rPr>
          <w:rFonts w:hint="default" w:eastAsia="Times New Roman"/>
          <w:kern w:val="0"/>
          <w:sz w:val="18"/>
          <w:szCs w:val="24"/>
          <w:lang w:val="zh-CN"/>
        </w:rPr>
        <w:t>”</w:t>
      </w:r>
      <w:r>
        <w:rPr>
          <w:rFonts w:hint="eastAsia" w:ascii="宋体" w:hAnsi="宋体" w:cs="宋体"/>
          <w:kern w:val="0"/>
          <w:sz w:val="18"/>
          <w:szCs w:val="24"/>
          <w:lang w:val="zh-CN"/>
        </w:rPr>
        <w:t>）独立董事；</w:t>
      </w:r>
      <w:r>
        <w:rPr>
          <w:rFonts w:hint="default" w:eastAsia="Times New Roman"/>
          <w:kern w:val="0"/>
          <w:sz w:val="18"/>
          <w:szCs w:val="24"/>
          <w:lang w:val="zh-CN"/>
        </w:rPr>
        <w:t>2019</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w:t>
      </w:r>
      <w:r>
        <w:rPr>
          <w:rFonts w:hint="default" w:eastAsia="Times New Roman"/>
          <w:kern w:val="0"/>
          <w:sz w:val="18"/>
          <w:szCs w:val="24"/>
          <w:lang w:val="zh-CN"/>
        </w:rPr>
        <w:t> </w:t>
      </w:r>
      <w:r>
        <w:rPr>
          <w:rFonts w:hint="eastAsia" w:ascii="宋体" w:hAnsi="宋体" w:cs="宋体"/>
          <w:kern w:val="0"/>
          <w:sz w:val="18"/>
          <w:szCs w:val="24"/>
          <w:lang w:val="zh-CN"/>
        </w:rPr>
        <w:t>至今，任青岛汉缆股份有限公司独立董事；</w:t>
      </w:r>
      <w:r>
        <w:rPr>
          <w:rFonts w:hint="default" w:eastAsia="Times New Roman"/>
          <w:kern w:val="0"/>
          <w:sz w:val="18"/>
          <w:szCs w:val="24"/>
          <w:lang w:val="zh-CN"/>
        </w:rPr>
        <w:t xml:space="preserve"> 2013</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2019</w:t>
      </w:r>
      <w:r>
        <w:rPr>
          <w:rFonts w:hint="eastAsia" w:ascii="宋体" w:hAnsi="宋体" w:cs="宋体"/>
          <w:kern w:val="0"/>
          <w:sz w:val="18"/>
          <w:szCs w:val="24"/>
          <w:lang w:val="zh-CN"/>
        </w:rPr>
        <w:t>年</w:t>
      </w:r>
      <w:r>
        <w:rPr>
          <w:rFonts w:hint="default" w:eastAsia="Times New Roman"/>
          <w:kern w:val="0"/>
          <w:sz w:val="18"/>
          <w:szCs w:val="24"/>
          <w:lang w:val="zh-CN"/>
        </w:rPr>
        <w:t>5</w:t>
      </w:r>
      <w:r>
        <w:rPr>
          <w:rFonts w:hint="eastAsia" w:ascii="宋体" w:hAnsi="宋体" w:cs="宋体"/>
          <w:kern w:val="0"/>
          <w:sz w:val="18"/>
          <w:szCs w:val="24"/>
          <w:lang w:val="zh-CN"/>
        </w:rPr>
        <w:t>月，任青岛东方铁塔股份有限公司独立董事；</w:t>
      </w:r>
      <w:r>
        <w:rPr>
          <w:rFonts w:hint="default" w:eastAsia="Times New Roman"/>
          <w:kern w:val="0"/>
          <w:sz w:val="18"/>
          <w:szCs w:val="24"/>
          <w:lang w:val="zh-CN"/>
        </w:rPr>
        <w:t>2016</w:t>
      </w:r>
      <w:r>
        <w:rPr>
          <w:rFonts w:hint="eastAsia" w:ascii="宋体" w:hAnsi="宋体" w:cs="宋体"/>
          <w:kern w:val="0"/>
          <w:sz w:val="18"/>
          <w:szCs w:val="24"/>
          <w:lang w:val="zh-CN"/>
        </w:rPr>
        <w:t>年</w:t>
      </w:r>
      <w:r>
        <w:rPr>
          <w:rFonts w:hint="default" w:eastAsia="Times New Roman"/>
          <w:kern w:val="0"/>
          <w:sz w:val="18"/>
          <w:szCs w:val="24"/>
          <w:lang w:val="zh-CN"/>
        </w:rPr>
        <w:t>5</w:t>
      </w:r>
      <w:r>
        <w:rPr>
          <w:rFonts w:hint="eastAsia" w:ascii="宋体" w:hAnsi="宋体" w:cs="宋体"/>
          <w:kern w:val="0"/>
          <w:sz w:val="18"/>
          <w:szCs w:val="24"/>
          <w:lang w:val="zh-CN"/>
        </w:rPr>
        <w:t>月至今任青岛日辰食品股份有限公司独立董事；</w:t>
      </w:r>
      <w:r>
        <w:rPr>
          <w:rFonts w:hint="default" w:eastAsia="Times New Roman"/>
          <w:kern w:val="0"/>
          <w:sz w:val="18"/>
          <w:szCs w:val="24"/>
          <w:lang w:val="zh-CN"/>
        </w:rPr>
        <w:t>2016</w:t>
      </w:r>
      <w:r>
        <w:rPr>
          <w:rFonts w:hint="eastAsia" w:ascii="宋体" w:hAnsi="宋体" w:cs="宋体"/>
          <w:kern w:val="0"/>
          <w:sz w:val="18"/>
          <w:szCs w:val="24"/>
          <w:lang w:val="zh-CN"/>
        </w:rPr>
        <w:t>年</w:t>
      </w:r>
      <w:r>
        <w:rPr>
          <w:rFonts w:hint="default" w:eastAsia="Times New Roman"/>
          <w:kern w:val="0"/>
          <w:sz w:val="18"/>
          <w:szCs w:val="24"/>
          <w:lang w:val="zh-CN"/>
        </w:rPr>
        <w:t>6</w:t>
      </w:r>
      <w:r>
        <w:rPr>
          <w:rFonts w:hint="eastAsia" w:ascii="宋体" w:hAnsi="宋体" w:cs="宋体"/>
          <w:kern w:val="0"/>
          <w:sz w:val="18"/>
          <w:szCs w:val="24"/>
          <w:lang w:val="zh-CN"/>
        </w:rPr>
        <w:t>月至今任青岛国林环保科技股份有限公司独立董事；</w:t>
      </w:r>
      <w:r>
        <w:rPr>
          <w:rFonts w:hint="default" w:eastAsia="Times New Roman"/>
          <w:kern w:val="0"/>
          <w:sz w:val="18"/>
          <w:szCs w:val="24"/>
          <w:lang w:val="zh-CN"/>
        </w:rPr>
        <w:t>2019</w:t>
      </w:r>
      <w:r>
        <w:rPr>
          <w:rFonts w:hint="eastAsia" w:ascii="宋体" w:hAnsi="宋体" w:cs="宋体"/>
          <w:kern w:val="0"/>
          <w:sz w:val="18"/>
          <w:szCs w:val="24"/>
          <w:lang w:val="zh-CN"/>
        </w:rPr>
        <w:t>年</w:t>
      </w:r>
      <w:r>
        <w:rPr>
          <w:rFonts w:hint="default" w:eastAsia="Times New Roman"/>
          <w:kern w:val="0"/>
          <w:sz w:val="18"/>
          <w:szCs w:val="24"/>
          <w:lang w:val="zh-CN"/>
        </w:rPr>
        <w:t>12</w:t>
      </w:r>
      <w:r>
        <w:rPr>
          <w:rFonts w:hint="eastAsia" w:ascii="宋体" w:hAnsi="宋体" w:cs="宋体"/>
          <w:kern w:val="0"/>
          <w:sz w:val="18"/>
          <w:szCs w:val="24"/>
          <w:lang w:val="zh-CN"/>
        </w:rPr>
        <w:t>月至今，任深圳大通实业股份有限公司独立董事。兼青岛市财政局、科技局财务评审专家。</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6</w:t>
      </w:r>
      <w:r>
        <w:rPr>
          <w:rFonts w:hint="eastAsia" w:ascii="宋体" w:hAnsi="宋体" w:cs="宋体"/>
          <w:kern w:val="0"/>
          <w:sz w:val="18"/>
          <w:szCs w:val="24"/>
          <w:lang w:val="zh-CN"/>
        </w:rPr>
        <w:t>、丁乃秀女士，女，</w:t>
      </w:r>
      <w:r>
        <w:rPr>
          <w:rFonts w:hint="default" w:eastAsia="Times New Roman"/>
          <w:kern w:val="0"/>
          <w:sz w:val="18"/>
          <w:szCs w:val="24"/>
          <w:lang w:val="zh-CN"/>
        </w:rPr>
        <w:t>1975</w:t>
      </w:r>
      <w:r>
        <w:rPr>
          <w:rFonts w:hint="eastAsia" w:ascii="宋体" w:hAnsi="宋体" w:cs="宋体"/>
          <w:kern w:val="0"/>
          <w:sz w:val="18"/>
          <w:szCs w:val="24"/>
          <w:lang w:val="zh-CN"/>
        </w:rPr>
        <w:t>年出生，中国国籍，无境外居留权，博士研究生，教授、硕士生导师。</w:t>
      </w:r>
      <w:r>
        <w:rPr>
          <w:rFonts w:hint="default" w:eastAsia="Times New Roman"/>
          <w:kern w:val="0"/>
          <w:sz w:val="18"/>
          <w:szCs w:val="24"/>
          <w:lang w:val="zh-CN"/>
        </w:rPr>
        <w:t>2005</w:t>
      </w:r>
      <w:r>
        <w:rPr>
          <w:rFonts w:hint="eastAsia" w:ascii="宋体" w:hAnsi="宋体" w:cs="宋体"/>
          <w:kern w:val="0"/>
          <w:sz w:val="18"/>
          <w:szCs w:val="24"/>
          <w:lang w:val="zh-CN"/>
        </w:rPr>
        <w:t>年至</w:t>
      </w:r>
      <w:r>
        <w:rPr>
          <w:rFonts w:hint="default" w:eastAsia="Times New Roman"/>
          <w:kern w:val="0"/>
          <w:sz w:val="18"/>
          <w:szCs w:val="24"/>
          <w:lang w:val="zh-CN"/>
        </w:rPr>
        <w:t>2014</w:t>
      </w:r>
      <w:r>
        <w:rPr>
          <w:rFonts w:hint="eastAsia" w:ascii="宋体" w:hAnsi="宋体" w:cs="宋体"/>
          <w:kern w:val="0"/>
          <w:sz w:val="18"/>
          <w:szCs w:val="24"/>
          <w:lang w:val="zh-CN"/>
        </w:rPr>
        <w:t>年历任青岛科技大学高性能聚合物研究院教师、副教授。</w:t>
      </w:r>
      <w:r>
        <w:rPr>
          <w:rFonts w:hint="default" w:eastAsia="Times New Roman"/>
          <w:kern w:val="0"/>
          <w:sz w:val="18"/>
          <w:szCs w:val="24"/>
          <w:lang w:val="zh-CN"/>
        </w:rPr>
        <w:t>2014</w:t>
      </w:r>
      <w:r>
        <w:rPr>
          <w:rFonts w:hint="eastAsia" w:ascii="宋体" w:hAnsi="宋体" w:cs="宋体"/>
          <w:kern w:val="0"/>
          <w:sz w:val="18"/>
          <w:szCs w:val="24"/>
          <w:lang w:val="zh-CN"/>
        </w:rPr>
        <w:t>年至今现任青岛科技大学教授，</w:t>
      </w:r>
      <w:r>
        <w:rPr>
          <w:rFonts w:hint="default" w:eastAsia="Times New Roman"/>
          <w:kern w:val="0"/>
          <w:sz w:val="18"/>
          <w:szCs w:val="24"/>
          <w:lang w:val="zh-CN"/>
        </w:rPr>
        <w:t>2014.4</w:t>
      </w:r>
      <w:r>
        <w:rPr>
          <w:rFonts w:hint="eastAsia" w:ascii="宋体" w:hAnsi="宋体" w:cs="宋体"/>
          <w:kern w:val="0"/>
          <w:sz w:val="18"/>
          <w:szCs w:val="24"/>
          <w:lang w:val="zh-CN"/>
        </w:rPr>
        <w:t>至今，赛轮金宇集团股份有限公司独立董事，</w:t>
      </w:r>
      <w:r>
        <w:rPr>
          <w:rFonts w:hint="default" w:eastAsia="Times New Roman"/>
          <w:kern w:val="0"/>
          <w:sz w:val="18"/>
          <w:szCs w:val="24"/>
          <w:lang w:val="zh-CN"/>
        </w:rPr>
        <w:t>2017.7</w:t>
      </w:r>
      <w:r>
        <w:rPr>
          <w:rFonts w:hint="eastAsia" w:ascii="宋体" w:hAnsi="宋体" w:cs="宋体"/>
          <w:kern w:val="0"/>
          <w:sz w:val="18"/>
          <w:szCs w:val="24"/>
          <w:lang w:val="zh-CN"/>
        </w:rPr>
        <w:t>至今，青岛国恩科技股份有限公司独立董事。</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7</w:t>
      </w:r>
      <w:r>
        <w:rPr>
          <w:rFonts w:hint="eastAsia" w:ascii="宋体" w:hAnsi="宋体" w:cs="宋体"/>
          <w:kern w:val="0"/>
          <w:sz w:val="18"/>
          <w:szCs w:val="24"/>
          <w:lang w:val="zh-CN"/>
        </w:rPr>
        <w:t>、宋银立先生，男，</w:t>
      </w:r>
      <w:r>
        <w:rPr>
          <w:rFonts w:hint="default" w:eastAsia="Times New Roman"/>
          <w:kern w:val="0"/>
          <w:sz w:val="18"/>
          <w:szCs w:val="24"/>
          <w:lang w:val="zh-CN"/>
        </w:rPr>
        <w:t>1965</w:t>
      </w:r>
      <w:r>
        <w:rPr>
          <w:rFonts w:hint="eastAsia" w:ascii="宋体" w:hAnsi="宋体" w:cs="宋体"/>
          <w:kern w:val="0"/>
          <w:sz w:val="18"/>
          <w:szCs w:val="24"/>
          <w:lang w:val="zh-CN"/>
        </w:rPr>
        <w:t>年出生，中国国籍，无境外居留权，大学</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科学历，教授级高级工程师。</w:t>
      </w:r>
      <w:r>
        <w:rPr>
          <w:rFonts w:hint="default" w:eastAsia="Times New Roman"/>
          <w:kern w:val="0"/>
          <w:sz w:val="18"/>
          <w:szCs w:val="24"/>
          <w:lang w:val="zh-CN"/>
        </w:rPr>
        <w:t>1988</w:t>
      </w:r>
      <w:r>
        <w:rPr>
          <w:rFonts w:hint="eastAsia" w:ascii="宋体" w:hAnsi="宋体" w:cs="宋体"/>
          <w:kern w:val="0"/>
          <w:sz w:val="18"/>
          <w:szCs w:val="24"/>
          <w:lang w:val="zh-CN"/>
        </w:rPr>
        <w:t>年至</w:t>
      </w:r>
      <w:r>
        <w:rPr>
          <w:rFonts w:hint="default" w:eastAsia="Times New Roman"/>
          <w:kern w:val="0"/>
          <w:sz w:val="18"/>
          <w:szCs w:val="24"/>
          <w:lang w:val="zh-CN"/>
        </w:rPr>
        <w:t>2004</w:t>
      </w:r>
      <w:r>
        <w:rPr>
          <w:rFonts w:hint="eastAsia" w:ascii="宋体" w:hAnsi="宋体" w:cs="宋体"/>
          <w:kern w:val="0"/>
          <w:sz w:val="18"/>
          <w:szCs w:val="24"/>
          <w:lang w:val="zh-CN"/>
        </w:rPr>
        <w:t>年，担任开封高压阀门厂总工办副主任，开封高压阀门厂厂长助理，开封高压阀门有限公司副总经理。</w:t>
      </w:r>
      <w:r>
        <w:rPr>
          <w:rFonts w:hint="default" w:eastAsia="Times New Roman"/>
          <w:kern w:val="0"/>
          <w:sz w:val="18"/>
          <w:szCs w:val="24"/>
          <w:lang w:val="zh-CN"/>
        </w:rPr>
        <w:t>2004</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月至今，担任中国通用机械工业协会副秘书长、中国通用机械工业协会阀门分会副理事长兼秘书长。</w:t>
      </w:r>
      <w:r>
        <w:rPr>
          <w:rFonts w:hint="default" w:eastAsia="Times New Roman"/>
          <w:kern w:val="0"/>
          <w:sz w:val="18"/>
          <w:szCs w:val="24"/>
          <w:lang w:val="zh-CN"/>
        </w:rPr>
        <w:t>2012</w:t>
      </w:r>
      <w:r>
        <w:rPr>
          <w:rFonts w:hint="eastAsia" w:ascii="宋体" w:hAnsi="宋体" w:cs="宋体"/>
          <w:kern w:val="0"/>
          <w:sz w:val="18"/>
          <w:szCs w:val="24"/>
          <w:lang w:val="zh-CN"/>
        </w:rPr>
        <w:t>年至</w:t>
      </w:r>
      <w:r>
        <w:rPr>
          <w:rFonts w:hint="default" w:eastAsia="Times New Roman"/>
          <w:kern w:val="0"/>
          <w:sz w:val="18"/>
          <w:szCs w:val="24"/>
          <w:lang w:val="zh-CN"/>
        </w:rPr>
        <w:t xml:space="preserve"> 2013</w:t>
      </w:r>
      <w:r>
        <w:rPr>
          <w:rFonts w:hint="eastAsia" w:ascii="宋体" w:hAnsi="宋体" w:cs="宋体"/>
          <w:kern w:val="0"/>
          <w:sz w:val="18"/>
          <w:szCs w:val="24"/>
          <w:lang w:val="zh-CN"/>
        </w:rPr>
        <w:t>年，兼任四川禾嘉股份有限公司独立董事；</w:t>
      </w:r>
      <w:r>
        <w:rPr>
          <w:rFonts w:hint="default" w:eastAsia="Times New Roman"/>
          <w:kern w:val="0"/>
          <w:sz w:val="18"/>
          <w:szCs w:val="24"/>
          <w:lang w:val="zh-CN"/>
        </w:rPr>
        <w:t>2012</w:t>
      </w:r>
      <w:r>
        <w:rPr>
          <w:rFonts w:hint="eastAsia" w:ascii="宋体" w:hAnsi="宋体" w:cs="宋体"/>
          <w:kern w:val="0"/>
          <w:sz w:val="18"/>
          <w:szCs w:val="24"/>
          <w:lang w:val="zh-CN"/>
        </w:rPr>
        <w:t>年至</w:t>
      </w:r>
      <w:r>
        <w:rPr>
          <w:rFonts w:hint="default" w:eastAsia="Times New Roman"/>
          <w:kern w:val="0"/>
          <w:sz w:val="18"/>
          <w:szCs w:val="24"/>
          <w:lang w:val="zh-CN"/>
        </w:rPr>
        <w:t>2015</w:t>
      </w:r>
      <w:r>
        <w:rPr>
          <w:rFonts w:hint="eastAsia" w:ascii="宋体" w:hAnsi="宋体" w:cs="宋体"/>
          <w:kern w:val="0"/>
          <w:sz w:val="18"/>
          <w:szCs w:val="24"/>
          <w:lang w:val="zh-CN"/>
        </w:rPr>
        <w:t>年，兼任江苏神通阀门股份有限公司独立董事；</w:t>
      </w:r>
      <w:r>
        <w:rPr>
          <w:rFonts w:hint="default" w:eastAsia="Times New Roman"/>
          <w:kern w:val="0"/>
          <w:sz w:val="18"/>
          <w:szCs w:val="24"/>
          <w:lang w:val="zh-CN"/>
        </w:rPr>
        <w:t>2018</w:t>
      </w:r>
      <w:r>
        <w:rPr>
          <w:rFonts w:hint="eastAsia" w:ascii="宋体" w:hAnsi="宋体" w:cs="宋体"/>
          <w:kern w:val="0"/>
          <w:sz w:val="18"/>
          <w:szCs w:val="24"/>
          <w:lang w:val="zh-CN"/>
        </w:rPr>
        <w:t>年至今，兼任青岛伟隆阀门股份有限公司独立董事；</w:t>
      </w:r>
      <w:r>
        <w:rPr>
          <w:rFonts w:hint="default" w:eastAsia="Times New Roman"/>
          <w:kern w:val="0"/>
          <w:sz w:val="18"/>
          <w:szCs w:val="24"/>
          <w:lang w:val="zh-CN"/>
        </w:rPr>
        <w:t>2014</w:t>
      </w:r>
      <w:r>
        <w:rPr>
          <w:rFonts w:hint="eastAsia" w:ascii="宋体" w:hAnsi="宋体" w:cs="宋体"/>
          <w:kern w:val="0"/>
          <w:sz w:val="18"/>
          <w:szCs w:val="24"/>
          <w:lang w:val="zh-CN"/>
        </w:rPr>
        <w:t>年至今，兼任兰州理工大学客座教授</w:t>
      </w:r>
      <w:r>
        <w:rPr>
          <w:rFonts w:hint="default" w:eastAsia="Times New Roman"/>
          <w:kern w:val="0"/>
          <w:sz w:val="18"/>
          <w:szCs w:val="24"/>
          <w:lang w:val="zh-CN"/>
        </w:rPr>
        <w:t xml:space="preserve"> </w:t>
      </w:r>
      <w:r>
        <w:rPr>
          <w:rFonts w:hint="eastAsia" w:ascii="宋体" w:hAnsi="宋体" w:cs="宋体"/>
          <w:kern w:val="0"/>
          <w:sz w:val="18"/>
          <w:szCs w:val="24"/>
          <w:lang w:val="zh-CN"/>
        </w:rPr>
        <w:t>硕士生导师；</w:t>
      </w:r>
      <w:r>
        <w:rPr>
          <w:rFonts w:hint="default" w:eastAsia="Times New Roman"/>
          <w:kern w:val="0"/>
          <w:sz w:val="18"/>
          <w:szCs w:val="24"/>
          <w:lang w:val="zh-CN"/>
        </w:rPr>
        <w:t>2016</w:t>
      </w:r>
      <w:r>
        <w:rPr>
          <w:rFonts w:hint="eastAsia" w:ascii="宋体" w:hAnsi="宋体" w:cs="宋体"/>
          <w:kern w:val="0"/>
          <w:sz w:val="18"/>
          <w:szCs w:val="24"/>
          <w:lang w:val="zh-CN"/>
        </w:rPr>
        <w:t>年至今，兼任全国阀门技术标准委员会委员。</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8</w:t>
      </w:r>
      <w:r>
        <w:rPr>
          <w:rFonts w:hint="eastAsia" w:ascii="宋体" w:hAnsi="宋体" w:cs="宋体"/>
          <w:kern w:val="0"/>
          <w:sz w:val="18"/>
          <w:szCs w:val="24"/>
          <w:lang w:val="zh-CN"/>
        </w:rPr>
        <w:t>、于春红女士，中国国籍，无境外永久居留权，</w:t>
      </w:r>
      <w:r>
        <w:rPr>
          <w:rFonts w:hint="default" w:eastAsia="Times New Roman"/>
          <w:kern w:val="0"/>
          <w:sz w:val="18"/>
          <w:szCs w:val="24"/>
          <w:lang w:val="zh-CN"/>
        </w:rPr>
        <w:t>1980</w:t>
      </w:r>
      <w:r>
        <w:rPr>
          <w:rFonts w:hint="eastAsia" w:ascii="宋体" w:hAnsi="宋体" w:cs="宋体"/>
          <w:kern w:val="0"/>
          <w:sz w:val="18"/>
          <w:szCs w:val="24"/>
          <w:lang w:val="zh-CN"/>
        </w:rPr>
        <w:t>年</w:t>
      </w:r>
      <w:r>
        <w:rPr>
          <w:rFonts w:hint="default" w:eastAsia="Times New Roman"/>
          <w:kern w:val="0"/>
          <w:sz w:val="18"/>
          <w:szCs w:val="24"/>
          <w:lang w:val="zh-CN"/>
        </w:rPr>
        <w:t>6</w:t>
      </w:r>
      <w:r>
        <w:rPr>
          <w:rFonts w:hint="eastAsia" w:ascii="宋体" w:hAnsi="宋体" w:cs="宋体"/>
          <w:kern w:val="0"/>
          <w:sz w:val="18"/>
          <w:szCs w:val="24"/>
          <w:lang w:val="zh-CN"/>
        </w:rPr>
        <w:t>月出生，</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w:t>
      </w:r>
      <w:r>
        <w:rPr>
          <w:rFonts w:hint="default" w:eastAsia="Times New Roman"/>
          <w:kern w:val="0"/>
          <w:sz w:val="18"/>
          <w:szCs w:val="24"/>
          <w:lang w:val="zh-CN"/>
        </w:rPr>
        <w:t>2011</w:t>
      </w:r>
      <w:r>
        <w:rPr>
          <w:rFonts w:hint="eastAsia" w:ascii="宋体" w:hAnsi="宋体" w:cs="宋体"/>
          <w:kern w:val="0"/>
          <w:sz w:val="18"/>
          <w:szCs w:val="24"/>
          <w:lang w:val="zh-CN"/>
        </w:rPr>
        <w:t>年毕业于青岛大学人力资源管理专业。</w:t>
      </w:r>
      <w:r>
        <w:rPr>
          <w:rFonts w:hint="default" w:eastAsia="Times New Roman"/>
          <w:kern w:val="0"/>
          <w:sz w:val="18"/>
          <w:szCs w:val="24"/>
          <w:lang w:val="zh-CN"/>
        </w:rPr>
        <w:t>2004</w:t>
      </w:r>
      <w:r>
        <w:rPr>
          <w:rFonts w:hint="eastAsia" w:ascii="宋体" w:hAnsi="宋体" w:cs="宋体"/>
          <w:kern w:val="0"/>
          <w:sz w:val="18"/>
          <w:szCs w:val="24"/>
          <w:lang w:val="zh-CN"/>
        </w:rPr>
        <w:t>年参加工作在青岛环海木制品有限公司任职行政助理；</w:t>
      </w:r>
      <w:r>
        <w:rPr>
          <w:rFonts w:hint="default" w:eastAsia="Times New Roman"/>
          <w:kern w:val="0"/>
          <w:sz w:val="18"/>
          <w:szCs w:val="24"/>
          <w:lang w:val="zh-CN"/>
        </w:rPr>
        <w:t>2010</w:t>
      </w:r>
      <w:r>
        <w:rPr>
          <w:rFonts w:hint="eastAsia" w:ascii="宋体" w:hAnsi="宋体" w:cs="宋体"/>
          <w:kern w:val="0"/>
          <w:sz w:val="18"/>
          <w:szCs w:val="24"/>
          <w:lang w:val="zh-CN"/>
        </w:rPr>
        <w:t>年在青岛三鼎橡塑有限公司任人事专员，</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月至今任青岛伟隆阀门股份有限公司人力资源部人事专员。</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9</w:t>
      </w:r>
      <w:r>
        <w:rPr>
          <w:rFonts w:hint="eastAsia" w:ascii="宋体" w:hAnsi="宋体" w:cs="宋体"/>
          <w:kern w:val="0"/>
          <w:sz w:val="18"/>
          <w:szCs w:val="24"/>
          <w:lang w:val="zh-CN"/>
        </w:rPr>
        <w:t>、张涛先生，中国国籍，无境外永久居留权，</w:t>
      </w:r>
      <w:r>
        <w:rPr>
          <w:rFonts w:hint="default" w:eastAsia="Times New Roman"/>
          <w:kern w:val="0"/>
          <w:sz w:val="18"/>
          <w:szCs w:val="24"/>
          <w:lang w:val="zh-CN"/>
        </w:rPr>
        <w:t>1994</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月出生，大专学历。</w:t>
      </w:r>
      <w:r>
        <w:rPr>
          <w:rFonts w:hint="default" w:eastAsia="Times New Roman"/>
          <w:kern w:val="0"/>
          <w:sz w:val="18"/>
          <w:szCs w:val="24"/>
          <w:lang w:val="zh-CN"/>
        </w:rPr>
        <w:t>2016</w:t>
      </w:r>
      <w:r>
        <w:rPr>
          <w:rFonts w:hint="eastAsia" w:ascii="宋体" w:hAnsi="宋体" w:cs="宋体"/>
          <w:kern w:val="0"/>
          <w:sz w:val="18"/>
          <w:szCs w:val="24"/>
          <w:lang w:val="zh-CN"/>
        </w:rPr>
        <w:t>年毕业于潍坊学院会计与统计核算专业。</w:t>
      </w:r>
      <w:r>
        <w:rPr>
          <w:rFonts w:hint="default" w:eastAsia="Times New Roman"/>
          <w:kern w:val="0"/>
          <w:sz w:val="18"/>
          <w:szCs w:val="24"/>
          <w:lang w:val="zh-CN"/>
        </w:rPr>
        <w:t>2016</w:t>
      </w:r>
      <w:r>
        <w:rPr>
          <w:rFonts w:hint="eastAsia" w:ascii="宋体" w:hAnsi="宋体" w:cs="宋体"/>
          <w:kern w:val="0"/>
          <w:sz w:val="18"/>
          <w:szCs w:val="24"/>
          <w:lang w:val="zh-CN"/>
        </w:rPr>
        <w:t>年参加工作在青岛相欣和融企业管理策划有限公司任电商专员；</w:t>
      </w:r>
      <w:r>
        <w:rPr>
          <w:rFonts w:hint="default" w:eastAsia="Times New Roman"/>
          <w:kern w:val="0"/>
          <w:sz w:val="18"/>
          <w:szCs w:val="24"/>
          <w:lang w:val="zh-CN"/>
        </w:rPr>
        <w:t>2017</w:t>
      </w:r>
      <w:r>
        <w:rPr>
          <w:rFonts w:hint="eastAsia" w:ascii="宋体" w:hAnsi="宋体" w:cs="宋体"/>
          <w:kern w:val="0"/>
          <w:sz w:val="18"/>
          <w:szCs w:val="24"/>
          <w:lang w:val="zh-CN"/>
        </w:rPr>
        <w:t>年在青岛海康水产发展有限公司任统计员；</w:t>
      </w:r>
      <w:r>
        <w:rPr>
          <w:rFonts w:hint="default" w:eastAsia="Times New Roman"/>
          <w:kern w:val="0"/>
          <w:sz w:val="18"/>
          <w:szCs w:val="24"/>
          <w:lang w:val="zh-CN"/>
        </w:rPr>
        <w:t>2017</w:t>
      </w:r>
      <w:r>
        <w:rPr>
          <w:rFonts w:hint="eastAsia" w:ascii="宋体" w:hAnsi="宋体" w:cs="宋体"/>
          <w:kern w:val="0"/>
          <w:sz w:val="18"/>
          <w:szCs w:val="24"/>
          <w:lang w:val="zh-CN"/>
        </w:rPr>
        <w:t>年</w:t>
      </w:r>
      <w:r>
        <w:rPr>
          <w:rFonts w:hint="default" w:eastAsia="Times New Roman"/>
          <w:kern w:val="0"/>
          <w:sz w:val="18"/>
          <w:szCs w:val="24"/>
          <w:lang w:val="zh-CN"/>
        </w:rPr>
        <w:t>6</w:t>
      </w:r>
      <w:r>
        <w:rPr>
          <w:rFonts w:hint="eastAsia" w:ascii="宋体" w:hAnsi="宋体" w:cs="宋体"/>
          <w:kern w:val="0"/>
          <w:sz w:val="18"/>
          <w:szCs w:val="24"/>
          <w:lang w:val="zh-CN"/>
        </w:rPr>
        <w:t>月至今任青岛伟隆阀门股份有限公司审计监督部审计员。</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10</w:t>
      </w:r>
      <w:r>
        <w:rPr>
          <w:rFonts w:hint="eastAsia" w:ascii="宋体" w:hAnsi="宋体" w:cs="宋体"/>
          <w:kern w:val="0"/>
          <w:sz w:val="18"/>
          <w:szCs w:val="24"/>
          <w:lang w:val="zh-CN"/>
        </w:rPr>
        <w:t>、王凤春女士，中国国籍，无境外永久居留权，</w:t>
      </w:r>
      <w:r>
        <w:rPr>
          <w:rFonts w:hint="default" w:eastAsia="Times New Roman"/>
          <w:kern w:val="0"/>
          <w:sz w:val="18"/>
          <w:szCs w:val="24"/>
          <w:lang w:val="zh-CN"/>
        </w:rPr>
        <w:t>1980</w:t>
      </w:r>
      <w:r>
        <w:rPr>
          <w:rFonts w:hint="eastAsia" w:ascii="宋体" w:hAnsi="宋体" w:cs="宋体"/>
          <w:kern w:val="0"/>
          <w:sz w:val="18"/>
          <w:szCs w:val="24"/>
          <w:lang w:val="zh-CN"/>
        </w:rPr>
        <w:t>年</w:t>
      </w:r>
      <w:r>
        <w:rPr>
          <w:rFonts w:hint="default" w:eastAsia="Times New Roman"/>
          <w:kern w:val="0"/>
          <w:sz w:val="18"/>
          <w:szCs w:val="24"/>
          <w:lang w:val="zh-CN"/>
        </w:rPr>
        <w:t>4</w:t>
      </w:r>
      <w:r>
        <w:rPr>
          <w:rFonts w:hint="eastAsia" w:ascii="宋体" w:hAnsi="宋体" w:cs="宋体"/>
          <w:kern w:val="0"/>
          <w:sz w:val="18"/>
          <w:szCs w:val="24"/>
          <w:lang w:val="zh-CN"/>
        </w:rPr>
        <w:t>月出生，研究生学历。</w:t>
      </w:r>
      <w:r>
        <w:rPr>
          <w:rFonts w:hint="default" w:eastAsia="Times New Roman"/>
          <w:kern w:val="0"/>
          <w:sz w:val="18"/>
          <w:szCs w:val="24"/>
          <w:lang w:val="zh-CN"/>
        </w:rPr>
        <w:t>2004</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w:t>
      </w:r>
      <w:r>
        <w:rPr>
          <w:rFonts w:hint="default" w:eastAsia="Times New Roman"/>
          <w:kern w:val="0"/>
          <w:sz w:val="18"/>
          <w:szCs w:val="24"/>
          <w:lang w:val="zh-CN"/>
        </w:rPr>
        <w:t>-2007</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月，曲阜师范大学，研究生；</w:t>
      </w:r>
      <w:r>
        <w:rPr>
          <w:rFonts w:hint="default" w:eastAsia="Times New Roman"/>
          <w:kern w:val="0"/>
          <w:sz w:val="18"/>
          <w:szCs w:val="24"/>
          <w:lang w:val="zh-CN"/>
        </w:rPr>
        <w:t>2007</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w:t>
      </w:r>
      <w:r>
        <w:rPr>
          <w:rFonts w:hint="default" w:eastAsia="Times New Roman"/>
          <w:kern w:val="0"/>
          <w:sz w:val="18"/>
          <w:szCs w:val="24"/>
          <w:lang w:val="zh-CN"/>
        </w:rPr>
        <w:t>-2013</w:t>
      </w:r>
      <w:r>
        <w:rPr>
          <w:rFonts w:hint="eastAsia" w:ascii="宋体" w:hAnsi="宋体" w:cs="宋体"/>
          <w:kern w:val="0"/>
          <w:sz w:val="18"/>
          <w:szCs w:val="24"/>
          <w:lang w:val="zh-CN"/>
        </w:rPr>
        <w:t>年</w:t>
      </w:r>
      <w:r>
        <w:rPr>
          <w:rFonts w:hint="default" w:eastAsia="Times New Roman"/>
          <w:kern w:val="0"/>
          <w:sz w:val="18"/>
          <w:szCs w:val="24"/>
          <w:lang w:val="zh-CN"/>
        </w:rPr>
        <w:t>5</w:t>
      </w:r>
      <w:r>
        <w:rPr>
          <w:rFonts w:hint="eastAsia" w:ascii="宋体" w:hAnsi="宋体" w:cs="宋体"/>
          <w:kern w:val="0"/>
          <w:sz w:val="18"/>
          <w:szCs w:val="24"/>
          <w:lang w:val="zh-CN"/>
        </w:rPr>
        <w:t>月，青岛飞洋职业技术学院，教务处副处长、大学讲师；</w:t>
      </w:r>
      <w:r>
        <w:rPr>
          <w:rFonts w:hint="default" w:eastAsia="Times New Roman"/>
          <w:kern w:val="0"/>
          <w:sz w:val="18"/>
          <w:szCs w:val="24"/>
          <w:lang w:val="zh-CN"/>
        </w:rPr>
        <w:t>2013</w:t>
      </w:r>
      <w:r>
        <w:rPr>
          <w:rFonts w:hint="eastAsia" w:ascii="宋体" w:hAnsi="宋体" w:cs="宋体"/>
          <w:kern w:val="0"/>
          <w:sz w:val="18"/>
          <w:szCs w:val="24"/>
          <w:lang w:val="zh-CN"/>
        </w:rPr>
        <w:t>年</w:t>
      </w:r>
      <w:r>
        <w:rPr>
          <w:rFonts w:hint="default" w:eastAsia="Times New Roman"/>
          <w:kern w:val="0"/>
          <w:sz w:val="18"/>
          <w:szCs w:val="24"/>
          <w:lang w:val="zh-CN"/>
        </w:rPr>
        <w:t>5</w:t>
      </w:r>
      <w:r>
        <w:rPr>
          <w:rFonts w:hint="eastAsia" w:ascii="宋体" w:hAnsi="宋体" w:cs="宋体"/>
          <w:kern w:val="0"/>
          <w:sz w:val="18"/>
          <w:szCs w:val="24"/>
          <w:lang w:val="zh-CN"/>
        </w:rPr>
        <w:t>月至今，青岛伟隆阀门股份有限公司品管部职员。</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11</w:t>
      </w:r>
      <w:r>
        <w:rPr>
          <w:rFonts w:hint="eastAsia" w:ascii="宋体" w:hAnsi="宋体" w:cs="宋体"/>
          <w:kern w:val="0"/>
          <w:sz w:val="18"/>
          <w:szCs w:val="24"/>
          <w:lang w:val="zh-CN"/>
        </w:rPr>
        <w:t>、刘克平先生，男，汉族，</w:t>
      </w:r>
      <w:r>
        <w:rPr>
          <w:rFonts w:hint="default" w:eastAsia="Times New Roman"/>
          <w:kern w:val="0"/>
          <w:sz w:val="18"/>
          <w:szCs w:val="24"/>
          <w:lang w:val="zh-CN"/>
        </w:rPr>
        <w:t>1962</w:t>
      </w:r>
      <w:r>
        <w:rPr>
          <w:rFonts w:hint="eastAsia" w:ascii="宋体" w:hAnsi="宋体" w:cs="宋体"/>
          <w:kern w:val="0"/>
          <w:sz w:val="18"/>
          <w:szCs w:val="24"/>
          <w:lang w:val="zh-CN"/>
        </w:rPr>
        <w:t>年生，中国国籍，无境外永久居留权，</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科学历，高级工程师。</w:t>
      </w:r>
      <w:r>
        <w:rPr>
          <w:rFonts w:hint="default" w:eastAsia="Times New Roman"/>
          <w:kern w:val="0"/>
          <w:sz w:val="18"/>
          <w:szCs w:val="24"/>
          <w:lang w:val="zh-CN"/>
        </w:rPr>
        <w:t>1983</w:t>
      </w:r>
      <w:r>
        <w:rPr>
          <w:rFonts w:hint="eastAsia" w:ascii="宋体" w:hAnsi="宋体" w:cs="宋体"/>
          <w:kern w:val="0"/>
          <w:sz w:val="18"/>
          <w:szCs w:val="24"/>
          <w:lang w:val="zh-CN"/>
        </w:rPr>
        <w:t>年至</w:t>
      </w:r>
      <w:r>
        <w:rPr>
          <w:rFonts w:hint="default" w:eastAsia="Times New Roman"/>
          <w:kern w:val="0"/>
          <w:sz w:val="18"/>
          <w:szCs w:val="24"/>
          <w:lang w:val="zh-CN"/>
        </w:rPr>
        <w:t>1997</w:t>
      </w:r>
      <w:r>
        <w:rPr>
          <w:rFonts w:hint="eastAsia" w:ascii="宋体" w:hAnsi="宋体" w:cs="宋体"/>
          <w:kern w:val="0"/>
          <w:sz w:val="18"/>
          <w:szCs w:val="24"/>
          <w:lang w:val="zh-CN"/>
        </w:rPr>
        <w:t>年历任吉林省白河林业局工程师、科长、厂长、副总经理等职务；</w:t>
      </w:r>
      <w:r>
        <w:rPr>
          <w:rFonts w:hint="default" w:eastAsia="Times New Roman"/>
          <w:kern w:val="0"/>
          <w:sz w:val="18"/>
          <w:szCs w:val="24"/>
          <w:lang w:val="zh-CN"/>
        </w:rPr>
        <w:t>1997</w:t>
      </w:r>
      <w:r>
        <w:rPr>
          <w:rFonts w:hint="eastAsia" w:ascii="宋体" w:hAnsi="宋体" w:cs="宋体"/>
          <w:kern w:val="0"/>
          <w:sz w:val="18"/>
          <w:szCs w:val="24"/>
          <w:lang w:val="zh-CN"/>
        </w:rPr>
        <w:t>年至</w:t>
      </w:r>
      <w:r>
        <w:rPr>
          <w:rFonts w:hint="default" w:eastAsia="Times New Roman"/>
          <w:kern w:val="0"/>
          <w:sz w:val="18"/>
          <w:szCs w:val="24"/>
          <w:lang w:val="zh-CN"/>
        </w:rPr>
        <w:t>2000</w:t>
      </w:r>
      <w:r>
        <w:rPr>
          <w:rFonts w:hint="eastAsia" w:ascii="宋体" w:hAnsi="宋体" w:cs="宋体"/>
          <w:kern w:val="0"/>
          <w:sz w:val="18"/>
          <w:szCs w:val="24"/>
          <w:lang w:val="zh-CN"/>
        </w:rPr>
        <w:t>年历任山东潍坊宝玉石公司办公室主任、副总经理等职务；</w:t>
      </w:r>
      <w:r>
        <w:rPr>
          <w:rFonts w:hint="default" w:eastAsia="Times New Roman"/>
          <w:kern w:val="0"/>
          <w:sz w:val="18"/>
          <w:szCs w:val="24"/>
          <w:lang w:val="zh-CN"/>
        </w:rPr>
        <w:t>2000</w:t>
      </w:r>
      <w:r>
        <w:rPr>
          <w:rFonts w:hint="eastAsia" w:ascii="宋体" w:hAnsi="宋体" w:cs="宋体"/>
          <w:kern w:val="0"/>
          <w:sz w:val="18"/>
          <w:szCs w:val="24"/>
          <w:lang w:val="zh-CN"/>
        </w:rPr>
        <w:t>年至</w:t>
      </w:r>
      <w:r>
        <w:rPr>
          <w:rFonts w:hint="default" w:eastAsia="Times New Roman"/>
          <w:kern w:val="0"/>
          <w:sz w:val="18"/>
          <w:szCs w:val="24"/>
          <w:lang w:val="zh-CN"/>
        </w:rPr>
        <w:t>2007</w:t>
      </w:r>
      <w:r>
        <w:rPr>
          <w:rFonts w:hint="eastAsia" w:ascii="宋体" w:hAnsi="宋体" w:cs="宋体"/>
          <w:kern w:val="0"/>
          <w:sz w:val="18"/>
          <w:szCs w:val="24"/>
          <w:lang w:val="zh-CN"/>
        </w:rPr>
        <w:t>年历任青岛三利集团有限公司部长、副总经理等职务；</w:t>
      </w:r>
      <w:r>
        <w:rPr>
          <w:rFonts w:hint="default" w:eastAsia="Times New Roman"/>
          <w:kern w:val="0"/>
          <w:sz w:val="18"/>
          <w:szCs w:val="24"/>
          <w:lang w:val="zh-CN"/>
        </w:rPr>
        <w:t>2008</w:t>
      </w:r>
      <w:r>
        <w:rPr>
          <w:rFonts w:hint="eastAsia" w:ascii="宋体" w:hAnsi="宋体" w:cs="宋体"/>
          <w:kern w:val="0"/>
          <w:sz w:val="18"/>
          <w:szCs w:val="24"/>
          <w:lang w:val="zh-CN"/>
        </w:rPr>
        <w:t>年至</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月历任青岛伟隆阀门有限公司副部长、部长等职务；</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月任青岛伟隆阀门股份有限公司副总经理兼董事会秘书。</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公司副总经理兼董事会秘书。</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12</w:t>
      </w:r>
      <w:r>
        <w:rPr>
          <w:rFonts w:hint="eastAsia" w:ascii="宋体" w:hAnsi="宋体" w:cs="宋体"/>
          <w:kern w:val="0"/>
          <w:sz w:val="18"/>
          <w:szCs w:val="24"/>
          <w:lang w:val="zh-CN"/>
        </w:rPr>
        <w:t>、高峰先生，男，汉族，</w:t>
      </w:r>
      <w:r>
        <w:rPr>
          <w:rFonts w:hint="default" w:eastAsia="Times New Roman"/>
          <w:kern w:val="0"/>
          <w:sz w:val="18"/>
          <w:szCs w:val="24"/>
          <w:lang w:val="zh-CN"/>
        </w:rPr>
        <w:t>1974</w:t>
      </w:r>
      <w:r>
        <w:rPr>
          <w:rFonts w:hint="eastAsia" w:ascii="宋体" w:hAnsi="宋体" w:cs="宋体"/>
          <w:kern w:val="0"/>
          <w:sz w:val="18"/>
          <w:szCs w:val="24"/>
          <w:lang w:val="zh-CN"/>
        </w:rPr>
        <w:t>年生，中国国籍，无境外永久居留权，大专学历。</w:t>
      </w:r>
      <w:r>
        <w:rPr>
          <w:rFonts w:hint="default" w:eastAsia="Times New Roman"/>
          <w:kern w:val="0"/>
          <w:sz w:val="18"/>
          <w:szCs w:val="24"/>
          <w:lang w:val="zh-CN"/>
        </w:rPr>
        <w:t>2000</w:t>
      </w:r>
      <w:r>
        <w:rPr>
          <w:rFonts w:hint="eastAsia" w:ascii="宋体" w:hAnsi="宋体" w:cs="宋体"/>
          <w:kern w:val="0"/>
          <w:sz w:val="18"/>
          <w:szCs w:val="24"/>
          <w:lang w:val="zh-CN"/>
        </w:rPr>
        <w:t>年至</w:t>
      </w:r>
      <w:r>
        <w:rPr>
          <w:rFonts w:hint="default" w:eastAsia="Times New Roman"/>
          <w:kern w:val="0"/>
          <w:sz w:val="18"/>
          <w:szCs w:val="24"/>
          <w:lang w:val="zh-CN"/>
        </w:rPr>
        <w:t>2004</w:t>
      </w:r>
      <w:r>
        <w:rPr>
          <w:rFonts w:hint="eastAsia" w:ascii="宋体" w:hAnsi="宋体" w:cs="宋体"/>
          <w:kern w:val="0"/>
          <w:sz w:val="18"/>
          <w:szCs w:val="24"/>
          <w:lang w:val="zh-CN"/>
        </w:rPr>
        <w:t>年任青岛海信电器股份有限公司区域经理；</w:t>
      </w:r>
      <w:r>
        <w:rPr>
          <w:rFonts w:hint="default" w:eastAsia="Times New Roman"/>
          <w:kern w:val="0"/>
          <w:sz w:val="18"/>
          <w:szCs w:val="24"/>
          <w:lang w:val="zh-CN"/>
        </w:rPr>
        <w:t>2004</w:t>
      </w:r>
      <w:r>
        <w:rPr>
          <w:rFonts w:hint="eastAsia" w:ascii="宋体" w:hAnsi="宋体" w:cs="宋体"/>
          <w:kern w:val="0"/>
          <w:sz w:val="18"/>
          <w:szCs w:val="24"/>
          <w:lang w:val="zh-CN"/>
        </w:rPr>
        <w:t>年至</w:t>
      </w:r>
      <w:r>
        <w:rPr>
          <w:rFonts w:hint="default" w:eastAsia="Times New Roman"/>
          <w:kern w:val="0"/>
          <w:sz w:val="18"/>
          <w:szCs w:val="24"/>
          <w:lang w:val="zh-CN"/>
        </w:rPr>
        <w:t>2008</w:t>
      </w:r>
      <w:r>
        <w:rPr>
          <w:rFonts w:hint="eastAsia" w:ascii="宋体" w:hAnsi="宋体" w:cs="宋体"/>
          <w:kern w:val="0"/>
          <w:sz w:val="18"/>
          <w:szCs w:val="24"/>
          <w:lang w:val="zh-CN"/>
        </w:rPr>
        <w:t>年任山东蜂星电讯有限公司分公司总经理；</w:t>
      </w:r>
      <w:r>
        <w:rPr>
          <w:rFonts w:hint="default" w:eastAsia="Times New Roman"/>
          <w:kern w:val="0"/>
          <w:sz w:val="18"/>
          <w:szCs w:val="24"/>
          <w:lang w:val="zh-CN"/>
        </w:rPr>
        <w:t>2008</w:t>
      </w:r>
      <w:r>
        <w:rPr>
          <w:rFonts w:hint="eastAsia" w:ascii="宋体" w:hAnsi="宋体" w:cs="宋体"/>
          <w:kern w:val="0"/>
          <w:sz w:val="18"/>
          <w:szCs w:val="24"/>
          <w:lang w:val="zh-CN"/>
        </w:rPr>
        <w:t>年至</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月任青岛伟隆阀门有限公司副总经理；</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月任青岛伟隆阀门股份有限公司副总经理。</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公司副总经理。</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13</w:t>
      </w:r>
      <w:r>
        <w:rPr>
          <w:rFonts w:hint="eastAsia" w:ascii="宋体" w:hAnsi="宋体" w:cs="宋体"/>
          <w:kern w:val="0"/>
          <w:sz w:val="18"/>
          <w:szCs w:val="24"/>
          <w:lang w:val="zh-CN"/>
        </w:rPr>
        <w:t>、郭成尼先生，男，汉族，</w:t>
      </w:r>
      <w:r>
        <w:rPr>
          <w:rFonts w:hint="default" w:eastAsia="Times New Roman"/>
          <w:kern w:val="0"/>
          <w:sz w:val="18"/>
          <w:szCs w:val="24"/>
          <w:lang w:val="zh-CN"/>
        </w:rPr>
        <w:t>1969</w:t>
      </w:r>
      <w:r>
        <w:rPr>
          <w:rFonts w:hint="eastAsia" w:ascii="宋体" w:hAnsi="宋体" w:cs="宋体"/>
          <w:kern w:val="0"/>
          <w:sz w:val="18"/>
          <w:szCs w:val="24"/>
          <w:lang w:val="zh-CN"/>
        </w:rPr>
        <w:t>年生，中国国籍，无境外永久居留权，大专学历。</w:t>
      </w:r>
      <w:r>
        <w:rPr>
          <w:rFonts w:hint="default" w:eastAsia="Times New Roman"/>
          <w:kern w:val="0"/>
          <w:sz w:val="18"/>
          <w:szCs w:val="24"/>
          <w:lang w:val="zh-CN"/>
        </w:rPr>
        <w:t>1989</w:t>
      </w:r>
      <w:r>
        <w:rPr>
          <w:rFonts w:hint="eastAsia" w:ascii="宋体" w:hAnsi="宋体" w:cs="宋体"/>
          <w:kern w:val="0"/>
          <w:sz w:val="18"/>
          <w:szCs w:val="24"/>
          <w:lang w:val="zh-CN"/>
        </w:rPr>
        <w:t>年至</w:t>
      </w:r>
      <w:r>
        <w:rPr>
          <w:rFonts w:hint="default" w:eastAsia="Times New Roman"/>
          <w:kern w:val="0"/>
          <w:sz w:val="18"/>
          <w:szCs w:val="24"/>
          <w:lang w:val="zh-CN"/>
        </w:rPr>
        <w:t>1992</w:t>
      </w:r>
      <w:r>
        <w:rPr>
          <w:rFonts w:hint="eastAsia" w:ascii="宋体" w:hAnsi="宋体" w:cs="宋体"/>
          <w:kern w:val="0"/>
          <w:sz w:val="18"/>
          <w:szCs w:val="24"/>
          <w:lang w:val="zh-CN"/>
        </w:rPr>
        <w:t>年任青岛市八大关宾馆职员；</w:t>
      </w:r>
      <w:r>
        <w:rPr>
          <w:rFonts w:hint="default" w:eastAsia="Times New Roman"/>
          <w:kern w:val="0"/>
          <w:sz w:val="18"/>
          <w:szCs w:val="24"/>
          <w:lang w:val="zh-CN"/>
        </w:rPr>
        <w:t>1993</w:t>
      </w:r>
      <w:r>
        <w:rPr>
          <w:rFonts w:hint="eastAsia" w:ascii="宋体" w:hAnsi="宋体" w:cs="宋体"/>
          <w:kern w:val="0"/>
          <w:sz w:val="18"/>
          <w:szCs w:val="24"/>
          <w:lang w:val="zh-CN"/>
        </w:rPr>
        <w:t>年至</w:t>
      </w:r>
      <w:r>
        <w:rPr>
          <w:rFonts w:hint="default" w:eastAsia="Times New Roman"/>
          <w:kern w:val="0"/>
          <w:sz w:val="18"/>
          <w:szCs w:val="24"/>
          <w:lang w:val="zh-CN"/>
        </w:rPr>
        <w:t>1994</w:t>
      </w:r>
      <w:r>
        <w:rPr>
          <w:rFonts w:hint="eastAsia" w:ascii="宋体" w:hAnsi="宋体" w:cs="宋体"/>
          <w:kern w:val="0"/>
          <w:sz w:val="18"/>
          <w:szCs w:val="24"/>
          <w:lang w:val="zh-CN"/>
        </w:rPr>
        <w:t>年任崂山工具厂销售经理；</w:t>
      </w:r>
      <w:r>
        <w:rPr>
          <w:rFonts w:hint="default" w:eastAsia="Times New Roman"/>
          <w:kern w:val="0"/>
          <w:sz w:val="18"/>
          <w:szCs w:val="24"/>
          <w:lang w:val="zh-CN"/>
        </w:rPr>
        <w:t>1995</w:t>
      </w:r>
      <w:r>
        <w:rPr>
          <w:rFonts w:hint="eastAsia" w:ascii="宋体" w:hAnsi="宋体" w:cs="宋体"/>
          <w:kern w:val="0"/>
          <w:sz w:val="18"/>
          <w:szCs w:val="24"/>
          <w:lang w:val="zh-CN"/>
        </w:rPr>
        <w:t>年至今历任伟隆经贸、伟隆有限、伟隆阀门部长、销售总监等职务。</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公司国际销售总监。售总监等职务。</w:t>
      </w:r>
      <w:r>
        <w:rPr>
          <w:rFonts w:hint="default" w:eastAsia="Times New Roman"/>
          <w:kern w:val="0"/>
          <w:sz w:val="18"/>
          <w:szCs w:val="24"/>
          <w:lang w:val="zh-CN"/>
        </w:rPr>
        <w:t>2015</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公司国际销售总监。</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14</w:t>
      </w:r>
      <w:r>
        <w:rPr>
          <w:rFonts w:hint="eastAsia" w:ascii="宋体" w:hAnsi="宋体" w:cs="宋体"/>
          <w:kern w:val="0"/>
          <w:sz w:val="18"/>
          <w:szCs w:val="24"/>
          <w:lang w:val="zh-CN"/>
        </w:rPr>
        <w:t>、张会亭先生，男，汉族，</w:t>
      </w:r>
      <w:r>
        <w:rPr>
          <w:rFonts w:hint="default" w:eastAsia="Times New Roman"/>
          <w:kern w:val="0"/>
          <w:sz w:val="18"/>
          <w:szCs w:val="24"/>
          <w:lang w:val="zh-CN"/>
        </w:rPr>
        <w:t>1966</w:t>
      </w:r>
      <w:r>
        <w:rPr>
          <w:rFonts w:hint="eastAsia" w:ascii="宋体" w:hAnsi="宋体" w:cs="宋体"/>
          <w:kern w:val="0"/>
          <w:sz w:val="18"/>
          <w:szCs w:val="24"/>
          <w:lang w:val="zh-CN"/>
        </w:rPr>
        <w:t>年生，中国国籍，无境外永久居留权，</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科学历，高级工程师。</w:t>
      </w:r>
      <w:r>
        <w:rPr>
          <w:rFonts w:hint="default" w:eastAsia="Times New Roman"/>
          <w:kern w:val="0"/>
          <w:sz w:val="18"/>
          <w:szCs w:val="24"/>
          <w:lang w:val="zh-CN"/>
        </w:rPr>
        <w:t>1989</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月至</w:t>
      </w:r>
      <w:r>
        <w:rPr>
          <w:rFonts w:hint="default" w:eastAsia="Times New Roman"/>
          <w:kern w:val="0"/>
          <w:sz w:val="18"/>
          <w:szCs w:val="24"/>
          <w:lang w:val="zh-CN"/>
        </w:rPr>
        <w:t>1999</w:t>
      </w:r>
      <w:r>
        <w:rPr>
          <w:rFonts w:hint="eastAsia" w:ascii="宋体" w:hAnsi="宋体" w:cs="宋体"/>
          <w:kern w:val="0"/>
          <w:sz w:val="18"/>
          <w:szCs w:val="24"/>
          <w:lang w:val="zh-CN"/>
        </w:rPr>
        <w:t>年</w:t>
      </w:r>
      <w:r>
        <w:rPr>
          <w:rFonts w:hint="default" w:eastAsia="Times New Roman"/>
          <w:kern w:val="0"/>
          <w:sz w:val="18"/>
          <w:szCs w:val="24"/>
          <w:lang w:val="zh-CN"/>
        </w:rPr>
        <w:t>4</w:t>
      </w:r>
      <w:r>
        <w:rPr>
          <w:rFonts w:hint="eastAsia" w:ascii="宋体" w:hAnsi="宋体" w:cs="宋体"/>
          <w:kern w:val="0"/>
          <w:sz w:val="18"/>
          <w:szCs w:val="24"/>
          <w:lang w:val="zh-CN"/>
        </w:rPr>
        <w:t>月任青岛阀门厂工程师；</w:t>
      </w:r>
      <w:r>
        <w:rPr>
          <w:rFonts w:hint="default" w:eastAsia="Times New Roman"/>
          <w:kern w:val="0"/>
          <w:sz w:val="18"/>
          <w:szCs w:val="24"/>
          <w:lang w:val="zh-CN"/>
        </w:rPr>
        <w:t>1999</w:t>
      </w:r>
      <w:r>
        <w:rPr>
          <w:rFonts w:hint="eastAsia" w:ascii="宋体" w:hAnsi="宋体" w:cs="宋体"/>
          <w:kern w:val="0"/>
          <w:sz w:val="18"/>
          <w:szCs w:val="24"/>
          <w:lang w:val="zh-CN"/>
        </w:rPr>
        <w:t>年</w:t>
      </w:r>
      <w:r>
        <w:rPr>
          <w:rFonts w:hint="default" w:eastAsia="Times New Roman"/>
          <w:kern w:val="0"/>
          <w:sz w:val="18"/>
          <w:szCs w:val="24"/>
          <w:lang w:val="zh-CN"/>
        </w:rPr>
        <w:t>5</w:t>
      </w:r>
      <w:r>
        <w:rPr>
          <w:rFonts w:hint="eastAsia" w:ascii="宋体" w:hAnsi="宋体" w:cs="宋体"/>
          <w:kern w:val="0"/>
          <w:sz w:val="18"/>
          <w:szCs w:val="24"/>
          <w:lang w:val="zh-CN"/>
        </w:rPr>
        <w:t>月至</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月历任伟隆经贸、伟隆有限、伟隆阀门部长、研发总监等职务。</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公司研发技术总监。</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15</w:t>
      </w:r>
      <w:r>
        <w:rPr>
          <w:rFonts w:hint="eastAsia" w:ascii="宋体" w:hAnsi="宋体" w:cs="宋体"/>
          <w:kern w:val="0"/>
          <w:sz w:val="18"/>
          <w:szCs w:val="24"/>
          <w:lang w:val="zh-CN"/>
        </w:rPr>
        <w:t>、崔兴建先生，男，汉族，</w:t>
      </w:r>
      <w:r>
        <w:rPr>
          <w:rFonts w:hint="default" w:eastAsia="Times New Roman"/>
          <w:kern w:val="0"/>
          <w:sz w:val="18"/>
          <w:szCs w:val="24"/>
          <w:lang w:val="zh-CN"/>
        </w:rPr>
        <w:t>1962</w:t>
      </w:r>
      <w:r>
        <w:rPr>
          <w:rFonts w:hint="eastAsia" w:ascii="宋体" w:hAnsi="宋体" w:cs="宋体"/>
          <w:kern w:val="0"/>
          <w:sz w:val="18"/>
          <w:szCs w:val="24"/>
          <w:lang w:val="zh-CN"/>
        </w:rPr>
        <w:t>年生，中国国籍，无境外永久居留权，</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科学历，高级工程师。</w:t>
      </w:r>
      <w:r>
        <w:rPr>
          <w:rFonts w:hint="default" w:eastAsia="Times New Roman"/>
          <w:kern w:val="0"/>
          <w:sz w:val="18"/>
          <w:szCs w:val="24"/>
          <w:lang w:val="zh-CN"/>
        </w:rPr>
        <w:t>1985</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月至</w:t>
      </w:r>
      <w:r>
        <w:rPr>
          <w:rFonts w:hint="default" w:eastAsia="Times New Roman"/>
          <w:kern w:val="0"/>
          <w:sz w:val="18"/>
          <w:szCs w:val="24"/>
          <w:lang w:val="zh-CN"/>
        </w:rPr>
        <w:t>1998</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月历任青岛电站阀门厂锻造分厂职员和技术组长；</w:t>
      </w:r>
      <w:r>
        <w:rPr>
          <w:rFonts w:hint="default" w:eastAsia="Times New Roman"/>
          <w:kern w:val="0"/>
          <w:sz w:val="18"/>
          <w:szCs w:val="24"/>
          <w:lang w:val="zh-CN"/>
        </w:rPr>
        <w:t>1998</w:t>
      </w:r>
      <w:r>
        <w:rPr>
          <w:rFonts w:hint="eastAsia" w:ascii="宋体" w:hAnsi="宋体" w:cs="宋体"/>
          <w:kern w:val="0"/>
          <w:sz w:val="18"/>
          <w:szCs w:val="24"/>
          <w:lang w:val="zh-CN"/>
        </w:rPr>
        <w:t>年</w:t>
      </w:r>
      <w:r>
        <w:rPr>
          <w:rFonts w:hint="default" w:eastAsia="Times New Roman"/>
          <w:kern w:val="0"/>
          <w:sz w:val="18"/>
          <w:szCs w:val="24"/>
          <w:lang w:val="zh-CN"/>
        </w:rPr>
        <w:t>8</w:t>
      </w:r>
      <w:r>
        <w:rPr>
          <w:rFonts w:hint="eastAsia" w:ascii="宋体" w:hAnsi="宋体" w:cs="宋体"/>
          <w:kern w:val="0"/>
          <w:sz w:val="18"/>
          <w:szCs w:val="24"/>
          <w:lang w:val="zh-CN"/>
        </w:rPr>
        <w:t>月至</w:t>
      </w:r>
      <w:r>
        <w:rPr>
          <w:rFonts w:hint="default" w:eastAsia="Times New Roman"/>
          <w:kern w:val="0"/>
          <w:sz w:val="18"/>
          <w:szCs w:val="24"/>
          <w:lang w:val="zh-CN"/>
        </w:rPr>
        <w:t>2002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月任青岛海力阀门锻造有限公司副总经理；</w:t>
      </w:r>
      <w:r>
        <w:rPr>
          <w:rFonts w:hint="default" w:eastAsia="Times New Roman"/>
          <w:kern w:val="0"/>
          <w:sz w:val="18"/>
          <w:szCs w:val="24"/>
          <w:lang w:val="zh-CN"/>
        </w:rPr>
        <w:t>2002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2003</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月任青岛伟隆五金机械有限公司部长；</w:t>
      </w:r>
      <w:r>
        <w:rPr>
          <w:rFonts w:hint="default" w:eastAsia="Times New Roman"/>
          <w:kern w:val="0"/>
          <w:sz w:val="18"/>
          <w:szCs w:val="24"/>
          <w:lang w:val="zh-CN"/>
        </w:rPr>
        <w:t>2003</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月至</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月历任伟隆经贸、伟隆有限、伟隆阀门部长；</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月任青岛伟隆阀门股份有限公司技术总监。</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2021</w:t>
      </w:r>
      <w:r>
        <w:rPr>
          <w:rFonts w:hint="eastAsia" w:ascii="宋体" w:hAnsi="宋体" w:cs="宋体"/>
          <w:kern w:val="0"/>
          <w:sz w:val="18"/>
          <w:szCs w:val="24"/>
          <w:lang w:val="zh-CN"/>
        </w:rPr>
        <w:t>年</w:t>
      </w:r>
      <w:r>
        <w:rPr>
          <w:rFonts w:hint="default" w:eastAsia="Times New Roman"/>
          <w:kern w:val="0"/>
          <w:sz w:val="18"/>
          <w:szCs w:val="24"/>
          <w:lang w:val="zh-CN"/>
        </w:rPr>
        <w:t>1</w:t>
      </w:r>
      <w:r>
        <w:rPr>
          <w:rFonts w:hint="eastAsia" w:ascii="宋体" w:hAnsi="宋体" w:cs="宋体"/>
          <w:kern w:val="0"/>
          <w:sz w:val="18"/>
          <w:szCs w:val="24"/>
          <w:lang w:val="zh-CN"/>
        </w:rPr>
        <w:t>月任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公司质量总监，现兼任惠隆企管监事、伟隆五金监事。</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16</w:t>
      </w:r>
      <w:r>
        <w:rPr>
          <w:rFonts w:hint="eastAsia" w:ascii="宋体" w:hAnsi="宋体" w:cs="宋体"/>
          <w:kern w:val="0"/>
          <w:sz w:val="18"/>
          <w:szCs w:val="24"/>
          <w:lang w:val="zh-CN"/>
        </w:rPr>
        <w:t>、刘鹏先生，中国国籍，</w:t>
      </w:r>
      <w:r>
        <w:rPr>
          <w:rFonts w:hint="default" w:eastAsia="Times New Roman"/>
          <w:kern w:val="0"/>
          <w:sz w:val="18"/>
          <w:szCs w:val="24"/>
          <w:lang w:val="zh-CN"/>
        </w:rPr>
        <w:t>1980</w:t>
      </w:r>
      <w:r>
        <w:rPr>
          <w:rFonts w:hint="eastAsia" w:ascii="宋体" w:hAnsi="宋体" w:cs="宋体"/>
          <w:kern w:val="0"/>
          <w:sz w:val="18"/>
          <w:szCs w:val="24"/>
          <w:lang w:val="zh-CN"/>
        </w:rPr>
        <w:t>年出生，</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科学历。</w:t>
      </w:r>
      <w:r>
        <w:rPr>
          <w:rFonts w:hint="default" w:eastAsia="Times New Roman"/>
          <w:kern w:val="0"/>
          <w:sz w:val="18"/>
          <w:szCs w:val="24"/>
          <w:lang w:val="zh-CN"/>
        </w:rPr>
        <w:t>2008</w:t>
      </w:r>
      <w:r>
        <w:rPr>
          <w:rFonts w:hint="eastAsia" w:ascii="宋体" w:hAnsi="宋体" w:cs="宋体"/>
          <w:kern w:val="0"/>
          <w:sz w:val="18"/>
          <w:szCs w:val="24"/>
          <w:lang w:val="zh-CN"/>
        </w:rPr>
        <w:t>年</w:t>
      </w:r>
      <w:r>
        <w:rPr>
          <w:rFonts w:hint="default" w:eastAsia="Times New Roman"/>
          <w:kern w:val="0"/>
          <w:sz w:val="18"/>
          <w:szCs w:val="24"/>
          <w:lang w:val="zh-CN"/>
        </w:rPr>
        <w:t>10</w:t>
      </w:r>
      <w:r>
        <w:rPr>
          <w:rFonts w:hint="eastAsia" w:ascii="宋体" w:hAnsi="宋体" w:cs="宋体"/>
          <w:kern w:val="0"/>
          <w:sz w:val="18"/>
          <w:szCs w:val="24"/>
          <w:lang w:val="zh-CN"/>
        </w:rPr>
        <w:t>月至</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8</w:t>
      </w:r>
      <w:r>
        <w:rPr>
          <w:rFonts w:hint="eastAsia" w:ascii="宋体" w:hAnsi="宋体" w:cs="宋体"/>
          <w:kern w:val="0"/>
          <w:sz w:val="18"/>
          <w:szCs w:val="24"/>
          <w:lang w:val="zh-CN"/>
        </w:rPr>
        <w:t>月，陆续担任青岛马士基集装箱工业有限公司采购部高级经理、采购部副总经理、采购部总经理及供应链总监，</w:t>
      </w:r>
      <w:r>
        <w:rPr>
          <w:rFonts w:hint="default" w:eastAsia="Times New Roman"/>
          <w:kern w:val="0"/>
          <w:sz w:val="18"/>
          <w:szCs w:val="24"/>
          <w:lang w:val="zh-CN"/>
        </w:rPr>
        <w:t>2020</w:t>
      </w:r>
      <w:r>
        <w:rPr>
          <w:rFonts w:hint="eastAsia" w:ascii="宋体" w:hAnsi="宋体" w:cs="宋体"/>
          <w:kern w:val="0"/>
          <w:sz w:val="18"/>
          <w:szCs w:val="24"/>
          <w:lang w:val="zh-CN"/>
        </w:rPr>
        <w:t>年</w:t>
      </w:r>
      <w:r>
        <w:rPr>
          <w:rFonts w:hint="default" w:eastAsia="Times New Roman"/>
          <w:kern w:val="0"/>
          <w:sz w:val="18"/>
          <w:szCs w:val="24"/>
          <w:lang w:val="zh-CN"/>
        </w:rPr>
        <w:t>11</w:t>
      </w:r>
      <w:r>
        <w:rPr>
          <w:rFonts w:hint="eastAsia" w:ascii="宋体" w:hAnsi="宋体" w:cs="宋体"/>
          <w:kern w:val="0"/>
          <w:sz w:val="18"/>
          <w:szCs w:val="24"/>
          <w:lang w:val="zh-CN"/>
        </w:rPr>
        <w:t>月任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公司副总经理。</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17</w:t>
      </w:r>
      <w:r>
        <w:rPr>
          <w:rFonts w:hint="eastAsia" w:ascii="宋体" w:hAnsi="宋体" w:cs="宋体"/>
          <w:kern w:val="0"/>
          <w:sz w:val="18"/>
          <w:szCs w:val="24"/>
          <w:lang w:val="zh-CN"/>
        </w:rPr>
        <w:t>、渠汇成先生：中国国籍，无境外永久居留权，大专学历。</w:t>
      </w:r>
      <w:r>
        <w:rPr>
          <w:rFonts w:hint="default" w:eastAsia="Times New Roman"/>
          <w:kern w:val="0"/>
          <w:sz w:val="18"/>
          <w:szCs w:val="24"/>
          <w:lang w:val="zh-CN"/>
        </w:rPr>
        <w:t>2002</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月至</w:t>
      </w:r>
      <w:r>
        <w:rPr>
          <w:rFonts w:hint="default" w:eastAsia="Times New Roman"/>
          <w:kern w:val="0"/>
          <w:sz w:val="18"/>
          <w:szCs w:val="24"/>
          <w:lang w:val="zh-CN"/>
        </w:rPr>
        <w:t>2004</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月任伟隆经贸生产部副部长；</w:t>
      </w:r>
      <w:r>
        <w:rPr>
          <w:rFonts w:hint="default" w:eastAsia="Times New Roman"/>
          <w:kern w:val="0"/>
          <w:sz w:val="18"/>
          <w:szCs w:val="24"/>
          <w:lang w:val="zh-CN"/>
        </w:rPr>
        <w:t>2004</w:t>
      </w:r>
      <w:r>
        <w:rPr>
          <w:rFonts w:hint="eastAsia" w:ascii="宋体" w:hAnsi="宋体" w:cs="宋体"/>
          <w:kern w:val="0"/>
          <w:sz w:val="18"/>
          <w:szCs w:val="24"/>
          <w:lang w:val="zh-CN"/>
        </w:rPr>
        <w:t>年</w:t>
      </w:r>
      <w:r>
        <w:rPr>
          <w:rFonts w:hint="default" w:eastAsia="Times New Roman"/>
          <w:kern w:val="0"/>
          <w:sz w:val="18"/>
          <w:szCs w:val="24"/>
          <w:lang w:val="zh-CN"/>
        </w:rPr>
        <w:t>4</w:t>
      </w:r>
      <w:r>
        <w:rPr>
          <w:rFonts w:hint="eastAsia" w:ascii="宋体" w:hAnsi="宋体" w:cs="宋体"/>
          <w:kern w:val="0"/>
          <w:sz w:val="18"/>
          <w:szCs w:val="24"/>
          <w:lang w:val="zh-CN"/>
        </w:rPr>
        <w:t>月至</w:t>
      </w:r>
      <w:r>
        <w:rPr>
          <w:rFonts w:hint="default" w:eastAsia="Times New Roman"/>
          <w:kern w:val="0"/>
          <w:sz w:val="18"/>
          <w:szCs w:val="24"/>
          <w:lang w:val="zh-CN"/>
        </w:rPr>
        <w:t>2016</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月历任伟隆阀门生产部副部长、部长；</w:t>
      </w:r>
      <w:r>
        <w:rPr>
          <w:rFonts w:hint="default" w:eastAsia="Times New Roman"/>
          <w:kern w:val="0"/>
          <w:sz w:val="18"/>
          <w:szCs w:val="24"/>
          <w:lang w:val="zh-CN"/>
        </w:rPr>
        <w:t>2012</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月至</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3</w:t>
      </w:r>
      <w:r>
        <w:rPr>
          <w:rFonts w:hint="eastAsia" w:ascii="宋体" w:hAnsi="宋体" w:cs="宋体"/>
          <w:kern w:val="0"/>
          <w:sz w:val="18"/>
          <w:szCs w:val="24"/>
          <w:lang w:val="zh-CN"/>
        </w:rPr>
        <w:t>月任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公司职工监事、监事会主席；</w:t>
      </w:r>
      <w:r>
        <w:rPr>
          <w:rFonts w:hint="default" w:eastAsia="Times New Roman"/>
          <w:kern w:val="0"/>
          <w:sz w:val="18"/>
          <w:szCs w:val="24"/>
          <w:lang w:val="zh-CN"/>
        </w:rPr>
        <w:t>2016</w:t>
      </w:r>
      <w:r>
        <w:rPr>
          <w:rFonts w:hint="eastAsia" w:ascii="宋体" w:hAnsi="宋体" w:cs="宋体"/>
          <w:kern w:val="0"/>
          <w:sz w:val="18"/>
          <w:szCs w:val="24"/>
          <w:lang w:val="zh-CN"/>
        </w:rPr>
        <w:t>年</w:t>
      </w:r>
      <w:r>
        <w:rPr>
          <w:rFonts w:hint="default" w:eastAsia="Times New Roman"/>
          <w:kern w:val="0"/>
          <w:sz w:val="18"/>
          <w:szCs w:val="24"/>
          <w:lang w:val="zh-CN"/>
        </w:rPr>
        <w:t>9</w:t>
      </w:r>
      <w:r>
        <w:rPr>
          <w:rFonts w:hint="eastAsia" w:ascii="宋体" w:hAnsi="宋体" w:cs="宋体"/>
          <w:kern w:val="0"/>
          <w:sz w:val="18"/>
          <w:szCs w:val="24"/>
          <w:lang w:val="zh-CN"/>
        </w:rPr>
        <w:t>月至</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公司总经理助理；</w:t>
      </w:r>
      <w:r>
        <w:rPr>
          <w:rFonts w:hint="default" w:eastAsia="Times New Roman"/>
          <w:kern w:val="0"/>
          <w:sz w:val="18"/>
          <w:szCs w:val="24"/>
          <w:lang w:val="zh-CN"/>
        </w:rPr>
        <w:t>2018</w:t>
      </w:r>
      <w:r>
        <w:rPr>
          <w:rFonts w:hint="eastAsia" w:ascii="宋体" w:hAnsi="宋体" w:cs="宋体"/>
          <w:kern w:val="0"/>
          <w:sz w:val="18"/>
          <w:szCs w:val="24"/>
          <w:lang w:val="zh-CN"/>
        </w:rPr>
        <w:t>年</w:t>
      </w:r>
      <w:r>
        <w:rPr>
          <w:rFonts w:hint="default" w:eastAsia="Times New Roman"/>
          <w:kern w:val="0"/>
          <w:sz w:val="18"/>
          <w:szCs w:val="24"/>
          <w:lang w:val="zh-CN"/>
        </w:rPr>
        <w:t>7</w:t>
      </w:r>
      <w:r>
        <w:rPr>
          <w:rFonts w:hint="eastAsia" w:ascii="宋体" w:hAnsi="宋体" w:cs="宋体"/>
          <w:kern w:val="0"/>
          <w:sz w:val="18"/>
          <w:szCs w:val="24"/>
          <w:lang w:val="zh-CN"/>
        </w:rPr>
        <w:t>月至今任</w:t>
      </w:r>
      <w:r>
        <w:rPr>
          <w:rFonts w:hint="eastAsia" w:ascii="MS Mincho" w:hAnsi="MS Mincho" w:eastAsia="MS Mincho" w:cs="MS Mincho"/>
          <w:kern w:val="0"/>
          <w:sz w:val="18"/>
          <w:szCs w:val="24"/>
          <w:lang w:val="zh-CN"/>
        </w:rPr>
        <w:t>本</w:t>
      </w:r>
      <w:r>
        <w:rPr>
          <w:rFonts w:hint="eastAsia" w:ascii="宋体" w:hAnsi="宋体" w:cs="宋体"/>
          <w:kern w:val="0"/>
          <w:sz w:val="18"/>
          <w:szCs w:val="24"/>
          <w:lang w:val="zh-CN"/>
        </w:rPr>
        <w:t>公司生产总监。</w:t>
      </w:r>
    </w:p>
    <w:p>
      <w:pPr>
        <w:jc w:val="left"/>
        <w:rPr>
          <w:rFonts w:hint="default"/>
          <w:sz w:val="18"/>
          <w:szCs w:val="24"/>
        </w:rPr>
      </w:pPr>
      <w:r>
        <w:rPr>
          <w:rFonts w:hint="eastAsia"/>
          <w:sz w:val="18"/>
          <w:szCs w:val="24"/>
        </w:rPr>
        <w:t>在股东单位任职情况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17"/>
        <w:gridCol w:w="3230"/>
        <w:gridCol w:w="1077"/>
        <w:gridCol w:w="1212"/>
        <w:gridCol w:w="1347"/>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任职人员姓名</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股东单位名称</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在股东单位担任的职务</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任期起始日期</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任期终止日期</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在股东单位是否领取报酬津贴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江西惠隆企业管理有限公司</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执行董事</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2011</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崔兴建</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江西惠隆企业管理有限公司</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监事</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2011</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在股东单位任职情况的说明</w:t>
            </w:r>
          </w:p>
        </w:tc>
        <w:tc>
          <w:tcPr>
            <w:tcW w:w="8351"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bl>
    <w:p>
      <w:pPr>
        <w:jc w:val="left"/>
        <w:rPr>
          <w:rFonts w:hint="default"/>
          <w:sz w:val="18"/>
          <w:szCs w:val="24"/>
        </w:rPr>
      </w:pPr>
      <w:r>
        <w:rPr>
          <w:rFonts w:hint="eastAsia"/>
          <w:sz w:val="18"/>
          <w:szCs w:val="24"/>
        </w:rPr>
        <w:t>在其他单位任职情况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33"/>
        <w:gridCol w:w="3277"/>
        <w:gridCol w:w="1092"/>
        <w:gridCol w:w="1229"/>
        <w:gridCol w:w="1360"/>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任职人员姓名</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其他单位名称</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在其他单位担任的职务</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任期起始日期</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任期终止日期</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在其他单位是否领取报酬津贴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莱州伟隆阀门有限公司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执行董事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2010</w:t>
            </w:r>
            <w:r>
              <w:rPr>
                <w:rFonts w:hint="eastAsia"/>
                <w:sz w:val="18"/>
                <w:szCs w:val="24"/>
              </w:rPr>
              <w:t>年</w:t>
            </w:r>
            <w:r>
              <w:rPr>
                <w:rFonts w:hint="default"/>
                <w:sz w:val="18"/>
                <w:szCs w:val="24"/>
              </w:rPr>
              <w:t>12</w:t>
            </w:r>
            <w:r>
              <w:rPr>
                <w:rFonts w:hint="eastAsia"/>
                <w:sz w:val="18"/>
                <w:szCs w:val="24"/>
              </w:rPr>
              <w:t>月</w:t>
            </w:r>
            <w:r>
              <w:rPr>
                <w:rFonts w:hint="default"/>
                <w:sz w:val="18"/>
                <w:szCs w:val="24"/>
              </w:rPr>
              <w:t>26</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青岛伟隆五金机械有限公司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执行董事兼总经理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1998</w:t>
            </w:r>
            <w:r>
              <w:rPr>
                <w:rFonts w:hint="eastAsia"/>
                <w:sz w:val="18"/>
                <w:szCs w:val="24"/>
              </w:rPr>
              <w:t>年</w:t>
            </w:r>
            <w:r>
              <w:rPr>
                <w:rFonts w:hint="default"/>
                <w:sz w:val="18"/>
                <w:szCs w:val="24"/>
              </w:rPr>
              <w:t>09</w:t>
            </w:r>
            <w:r>
              <w:rPr>
                <w:rFonts w:hint="eastAsia"/>
                <w:sz w:val="18"/>
                <w:szCs w:val="24"/>
              </w:rPr>
              <w:t>月</w:t>
            </w:r>
            <w:r>
              <w:rPr>
                <w:rFonts w:hint="default"/>
                <w:sz w:val="18"/>
                <w:szCs w:val="24"/>
              </w:rPr>
              <w:t>04</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青岛伟隆流体设备有限公司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执行董事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2011</w:t>
            </w:r>
            <w:r>
              <w:rPr>
                <w:rFonts w:hint="eastAsia"/>
                <w:sz w:val="18"/>
                <w:szCs w:val="24"/>
              </w:rPr>
              <w:t>年</w:t>
            </w:r>
            <w:r>
              <w:rPr>
                <w:rFonts w:hint="default"/>
                <w:sz w:val="18"/>
                <w:szCs w:val="24"/>
              </w:rPr>
              <w:t>07</w:t>
            </w:r>
            <w:r>
              <w:rPr>
                <w:rFonts w:hint="eastAsia"/>
                <w:sz w:val="18"/>
                <w:szCs w:val="24"/>
              </w:rPr>
              <w:t>月</w:t>
            </w:r>
            <w:r>
              <w:rPr>
                <w:rFonts w:hint="default"/>
                <w:sz w:val="18"/>
                <w:szCs w:val="24"/>
              </w:rPr>
              <w:t>19</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Weflo Valve Company Limited</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董事兼经理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2009</w:t>
            </w:r>
            <w:r>
              <w:rPr>
                <w:rFonts w:hint="eastAsia"/>
                <w:sz w:val="18"/>
                <w:szCs w:val="24"/>
              </w:rPr>
              <w:t>年</w:t>
            </w:r>
            <w:r>
              <w:rPr>
                <w:rFonts w:hint="default"/>
                <w:sz w:val="18"/>
                <w:szCs w:val="24"/>
              </w:rPr>
              <w:t>04</w:t>
            </w:r>
            <w:r>
              <w:rPr>
                <w:rFonts w:hint="eastAsia"/>
                <w:sz w:val="18"/>
                <w:szCs w:val="24"/>
              </w:rPr>
              <w:t>月</w:t>
            </w:r>
            <w:r>
              <w:rPr>
                <w:rFonts w:hint="default"/>
                <w:sz w:val="18"/>
                <w:szCs w:val="24"/>
              </w:rPr>
              <w:t>27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WEFLO VALVE LLC</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2014</w:t>
            </w:r>
            <w:r>
              <w:rPr>
                <w:rFonts w:hint="eastAsia"/>
                <w:sz w:val="18"/>
                <w:szCs w:val="24"/>
              </w:rPr>
              <w:t>年</w:t>
            </w:r>
            <w:r>
              <w:rPr>
                <w:rFonts w:hint="default"/>
                <w:sz w:val="18"/>
                <w:szCs w:val="24"/>
              </w:rPr>
              <w:t>03</w:t>
            </w:r>
            <w:r>
              <w:rPr>
                <w:rFonts w:hint="eastAsia"/>
                <w:sz w:val="18"/>
                <w:szCs w:val="24"/>
              </w:rPr>
              <w:t>月</w:t>
            </w:r>
            <w:r>
              <w:rPr>
                <w:rFonts w:hint="default"/>
                <w:sz w:val="18"/>
                <w:szCs w:val="24"/>
              </w:rPr>
              <w:t>13</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范玉隆</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青岛伟隆流体设备有限公司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监事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2011</w:t>
            </w:r>
            <w:r>
              <w:rPr>
                <w:rFonts w:hint="eastAsia"/>
                <w:sz w:val="18"/>
                <w:szCs w:val="24"/>
              </w:rPr>
              <w:t>年</w:t>
            </w:r>
            <w:r>
              <w:rPr>
                <w:rFonts w:hint="default"/>
                <w:sz w:val="18"/>
                <w:szCs w:val="24"/>
              </w:rPr>
              <w:t>07</w:t>
            </w:r>
            <w:r>
              <w:rPr>
                <w:rFonts w:hint="eastAsia"/>
                <w:sz w:val="18"/>
                <w:szCs w:val="24"/>
              </w:rPr>
              <w:t>月</w:t>
            </w:r>
            <w:r>
              <w:rPr>
                <w:rFonts w:hint="default"/>
                <w:sz w:val="18"/>
                <w:szCs w:val="24"/>
              </w:rPr>
              <w:t>19</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青岛汉缆股份有限公司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2013</w:t>
            </w:r>
            <w:r>
              <w:rPr>
                <w:rFonts w:hint="eastAsia"/>
                <w:sz w:val="18"/>
                <w:szCs w:val="24"/>
              </w:rPr>
              <w:t>年</w:t>
            </w:r>
            <w:r>
              <w:rPr>
                <w:rFonts w:hint="default"/>
                <w:sz w:val="18"/>
                <w:szCs w:val="24"/>
              </w:rPr>
              <w:t>12</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青岛日辰食品股份有限公司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2016</w:t>
            </w:r>
            <w:r>
              <w:rPr>
                <w:rFonts w:hint="eastAsia"/>
                <w:sz w:val="18"/>
                <w:szCs w:val="24"/>
              </w:rPr>
              <w:t>年</w:t>
            </w:r>
            <w:r>
              <w:rPr>
                <w:rFonts w:hint="default"/>
                <w:sz w:val="18"/>
                <w:szCs w:val="24"/>
              </w:rPr>
              <w:t>05</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青岛国林环保科技股份有限公司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2016</w:t>
            </w:r>
            <w:r>
              <w:rPr>
                <w:rFonts w:hint="eastAsia"/>
                <w:sz w:val="18"/>
                <w:szCs w:val="24"/>
              </w:rPr>
              <w:t>年</w:t>
            </w:r>
            <w:r>
              <w:rPr>
                <w:rFonts w:hint="default"/>
                <w:sz w:val="18"/>
                <w:szCs w:val="24"/>
              </w:rPr>
              <w:t>06</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中国海洋大学</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教授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2001</w:t>
            </w:r>
            <w:r>
              <w:rPr>
                <w:rFonts w:hint="eastAsia"/>
                <w:sz w:val="18"/>
                <w:szCs w:val="24"/>
              </w:rPr>
              <w:t>年</w:t>
            </w:r>
            <w:r>
              <w:rPr>
                <w:rFonts w:hint="default"/>
                <w:sz w:val="18"/>
                <w:szCs w:val="24"/>
              </w:rPr>
              <w:t>12</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深圳大通实业股份有限公司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兰州理工大学</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客座教授</w:t>
            </w:r>
            <w:r>
              <w:rPr>
                <w:rFonts w:hint="default"/>
                <w:sz w:val="18"/>
                <w:szCs w:val="24"/>
              </w:rPr>
              <w:t xml:space="preserve"> </w:t>
            </w:r>
            <w:r>
              <w:rPr>
                <w:rFonts w:hint="eastAsia"/>
                <w:sz w:val="18"/>
                <w:szCs w:val="24"/>
              </w:rPr>
              <w:t>硕士生导师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2014</w:t>
            </w:r>
            <w:r>
              <w:rPr>
                <w:rFonts w:hint="eastAsia"/>
                <w:sz w:val="18"/>
                <w:szCs w:val="24"/>
              </w:rPr>
              <w:t>年</w:t>
            </w:r>
            <w:r>
              <w:rPr>
                <w:rFonts w:hint="default"/>
                <w:sz w:val="18"/>
                <w:szCs w:val="24"/>
              </w:rPr>
              <w:t>09</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中国通用机械工业协会</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副秘书长</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2004</w:t>
            </w:r>
            <w:r>
              <w:rPr>
                <w:rFonts w:hint="eastAsia"/>
                <w:sz w:val="18"/>
                <w:szCs w:val="24"/>
              </w:rPr>
              <w:t>年</w:t>
            </w:r>
            <w:r>
              <w:rPr>
                <w:rFonts w:hint="default"/>
                <w:sz w:val="18"/>
                <w:szCs w:val="24"/>
              </w:rPr>
              <w:t>05</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全国阀门技术标准委员会</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委员</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2016</w:t>
            </w:r>
            <w:r>
              <w:rPr>
                <w:rFonts w:hint="eastAsia"/>
                <w:sz w:val="18"/>
                <w:szCs w:val="24"/>
              </w:rPr>
              <w:t>年</w:t>
            </w:r>
            <w:r>
              <w:rPr>
                <w:rFonts w:hint="default"/>
                <w:sz w:val="18"/>
                <w:szCs w:val="24"/>
              </w:rPr>
              <w:t>06</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丁乃秀</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青岛科技大学</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教授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2005</w:t>
            </w:r>
            <w:r>
              <w:rPr>
                <w:rFonts w:hint="eastAsia"/>
                <w:sz w:val="18"/>
                <w:szCs w:val="24"/>
              </w:rPr>
              <w:t>年</w:t>
            </w:r>
            <w:r>
              <w:rPr>
                <w:rFonts w:hint="default"/>
                <w:sz w:val="18"/>
                <w:szCs w:val="24"/>
              </w:rPr>
              <w:t>03</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丁乃秀</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山东瑞丰高分子材料股份有限公司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11</w:t>
            </w:r>
            <w:r>
              <w:rPr>
                <w:rFonts w:hint="eastAsia"/>
                <w:sz w:val="18"/>
                <w:szCs w:val="24"/>
              </w:rPr>
              <w:t>月</w:t>
            </w:r>
            <w:r>
              <w:rPr>
                <w:rFonts w:hint="default"/>
                <w:sz w:val="18"/>
                <w:szCs w:val="24"/>
              </w:rPr>
              <w:t>30</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丁乃秀</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青岛海泰科模塑科技股份有限公司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08</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丁乃秀</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青岛国恩科技股份有限公司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2017</w:t>
            </w:r>
            <w:r>
              <w:rPr>
                <w:rFonts w:hint="eastAsia"/>
                <w:sz w:val="18"/>
                <w:szCs w:val="24"/>
              </w:rPr>
              <w:t>年</w:t>
            </w:r>
            <w:r>
              <w:rPr>
                <w:rFonts w:hint="default"/>
                <w:sz w:val="18"/>
                <w:szCs w:val="24"/>
              </w:rPr>
              <w:t>07</w:t>
            </w:r>
            <w:r>
              <w:rPr>
                <w:rFonts w:hint="eastAsia"/>
                <w:sz w:val="18"/>
                <w:szCs w:val="24"/>
              </w:rPr>
              <w:t>月</w:t>
            </w:r>
            <w:r>
              <w:rPr>
                <w:rFonts w:hint="default"/>
                <w:sz w:val="18"/>
                <w:szCs w:val="24"/>
              </w:rPr>
              <w:t>29</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丁乃秀</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青岛科技大学</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教授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2005</w:t>
            </w:r>
            <w:r>
              <w:rPr>
                <w:rFonts w:hint="eastAsia"/>
                <w:sz w:val="18"/>
                <w:szCs w:val="24"/>
              </w:rPr>
              <w:t>年</w:t>
            </w:r>
            <w:r>
              <w:rPr>
                <w:rFonts w:hint="default"/>
                <w:sz w:val="18"/>
                <w:szCs w:val="24"/>
              </w:rPr>
              <w:t>03</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在其他单位任职情况的说明</w:t>
            </w:r>
          </w:p>
        </w:tc>
        <w:tc>
          <w:tcPr>
            <w:tcW w:w="8334"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bl>
    <w:p>
      <w:pPr>
        <w:jc w:val="left"/>
        <w:rPr>
          <w:rFonts w:hint="default"/>
          <w:sz w:val="18"/>
          <w:szCs w:val="24"/>
        </w:rPr>
      </w:pPr>
      <w:r>
        <w:rPr>
          <w:rFonts w:hint="eastAsia"/>
          <w:sz w:val="18"/>
          <w:szCs w:val="24"/>
        </w:rPr>
        <w:t>公司现任及报告期内离任董事、监事和高级管理人员近三年证券监管机构处罚的情况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四、董事、监事、高级管理人员报酬情况</w:t>
      </w:r>
    </w:p>
    <w:p>
      <w:pPr>
        <w:jc w:val="left"/>
        <w:rPr>
          <w:rFonts w:hint="default"/>
          <w:sz w:val="18"/>
          <w:szCs w:val="24"/>
        </w:rPr>
      </w:pPr>
      <w:r>
        <w:rPr>
          <w:rFonts w:hint="eastAsia"/>
          <w:sz w:val="18"/>
          <w:szCs w:val="24"/>
        </w:rPr>
        <w:t>董事、监事、高级管理人员报酬的决策程序、确定依据、实际支付情况</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决策程序：股东大会确定董事、监事的报酬和支付方法；高级管理人员的薪酬和支付方由董事会薪酬与考核委员会提议，由公司董事会确定。</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确定依据：</w:t>
      </w:r>
      <w:r>
        <w:rPr>
          <w:rFonts w:hint="default" w:eastAsia="Times New Roman"/>
          <w:kern w:val="0"/>
          <w:sz w:val="18"/>
          <w:szCs w:val="24"/>
          <w:lang w:val="zh-CN"/>
        </w:rPr>
        <w:t>2020</w:t>
      </w:r>
      <w:r>
        <w:rPr>
          <w:rFonts w:hint="eastAsia" w:ascii="宋体" w:hAnsi="宋体" w:cs="宋体"/>
          <w:kern w:val="0"/>
          <w:sz w:val="18"/>
          <w:szCs w:val="24"/>
          <w:lang w:val="zh-CN"/>
        </w:rPr>
        <w:t>年度董事、监事的薪酬标准按</w:t>
      </w:r>
      <w:r>
        <w:rPr>
          <w:rFonts w:hint="default" w:eastAsia="Times New Roman"/>
          <w:kern w:val="0"/>
          <w:sz w:val="18"/>
          <w:szCs w:val="24"/>
          <w:lang w:val="zh-CN"/>
        </w:rPr>
        <w:t>2019</w:t>
      </w:r>
      <w:r>
        <w:rPr>
          <w:rFonts w:hint="eastAsia" w:ascii="宋体" w:hAnsi="宋体" w:cs="宋体"/>
          <w:kern w:val="0"/>
          <w:sz w:val="18"/>
          <w:szCs w:val="24"/>
          <w:lang w:val="zh-CN"/>
        </w:rPr>
        <w:t>年度股东大会审议通过的标准；高级管理人员的薪酬标准按第三届董事会第十六次会议审议通过的标准。年末根据公司年度经营目标完成情况以及高级管理人员的工作业绩，由董事会薪酬与考核委员会对高级管理人员进行年度绩效考核，公司根据绩效考核结果兑现其考核年薪，并进行适当的奖惩。</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实际支付情况：报告期内，公司董事、监事、高管的基本年薪按月发放，考核年薪于每年末根据考核结果核定后发放。公司独立董事津贴按年度一次性发放。</w:t>
      </w:r>
    </w:p>
    <w:p>
      <w:pPr>
        <w:jc w:val="left"/>
        <w:rPr>
          <w:rFonts w:hint="default"/>
          <w:sz w:val="18"/>
          <w:szCs w:val="24"/>
        </w:rPr>
      </w:pPr>
      <w:r>
        <w:rPr>
          <w:rFonts w:hint="eastAsia"/>
          <w:sz w:val="18"/>
          <w:szCs w:val="24"/>
        </w:rPr>
        <w:t>公司报告期内董事、监事和高级管理人员报酬情况</w:t>
      </w:r>
    </w:p>
    <w:p>
      <w:pPr>
        <w:jc w:val="right"/>
        <w:rPr>
          <w:rFonts w:hint="default"/>
          <w:sz w:val="18"/>
          <w:szCs w:val="24"/>
        </w:rPr>
      </w:pPr>
      <w:r>
        <w:rPr>
          <w:rFonts w:hint="eastAsia"/>
          <w:sz w:val="18"/>
          <w:szCs w:val="24"/>
        </w:rPr>
        <w:t>单位：万元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姓名</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职务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性别</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年龄</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任职状态</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从公司获得的税前报酬总额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是否在公司关联方获取报酬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董事、董事长</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李会君</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52.67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范玉隆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董事、部长助理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迟娜娜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董事、财务总监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32.36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樊培银</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宋银立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丁乃秀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渠汇成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生产总监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27.99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于春红</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监事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王凤春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监事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张涛</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监事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高峰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副总经理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刘克平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副总经理、董事会秘书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张会亭</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研发技术总监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31.81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郭成尼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国际销售总监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30.47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崔兴建</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品质总监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刘鹏</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副总经理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374.87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公司董事、高级管理人员报告期内被授予的股权激励情况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单位：股</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865"/>
        <w:gridCol w:w="863"/>
        <w:gridCol w:w="6"/>
        <w:gridCol w:w="870"/>
        <w:gridCol w:w="870"/>
        <w:gridCol w:w="870"/>
        <w:gridCol w:w="869"/>
        <w:gridCol w:w="870"/>
        <w:gridCol w:w="870"/>
        <w:gridCol w:w="870"/>
        <w:gridCol w:w="87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姓名</w:t>
            </w:r>
          </w:p>
        </w:tc>
        <w:tc>
          <w:tcPr>
            <w:tcW w:w="86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职务</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报告期内可行权股数</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报告期内已行权股数</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报告期内已行权股数行权价格（元</w:t>
            </w:r>
            <w:r>
              <w:rPr>
                <w:rFonts w:hint="default"/>
                <w:sz w:val="18"/>
                <w:szCs w:val="24"/>
              </w:rPr>
              <w:t>/</w:t>
            </w:r>
            <w:r>
              <w:rPr>
                <w:rFonts w:hint="eastAsia"/>
                <w:sz w:val="18"/>
                <w:szCs w:val="24"/>
              </w:rPr>
              <w:t>股）</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报告期末市价（元</w:t>
            </w:r>
            <w:r>
              <w:rPr>
                <w:rFonts w:hint="default"/>
                <w:sz w:val="18"/>
                <w:szCs w:val="24"/>
              </w:rPr>
              <w:t>/</w:t>
            </w:r>
            <w:r>
              <w:rPr>
                <w:rFonts w:hint="eastAsia"/>
                <w:sz w:val="18"/>
                <w:szCs w:val="24"/>
              </w:rPr>
              <w:t>股）</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期初持有限制性股票数量</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本期已解锁股份数量</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报告期新授予限制性股票数量</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限制性股票的授予价格（元</w:t>
            </w:r>
            <w:r>
              <w:rPr>
                <w:rFonts w:hint="default"/>
                <w:sz w:val="18"/>
                <w:szCs w:val="24"/>
              </w:rPr>
              <w:t>/</w:t>
            </w:r>
            <w:r>
              <w:rPr>
                <w:rFonts w:hint="eastAsia"/>
                <w:sz w:val="18"/>
                <w:szCs w:val="24"/>
              </w:rPr>
              <w:t>股）</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期末持有限制性股票数量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姓名</w:t>
            </w:r>
          </w:p>
        </w:tc>
        <w:tc>
          <w:tcPr>
            <w:tcW w:w="86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职务</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渠汇成</w:t>
            </w:r>
          </w:p>
        </w:tc>
        <w:tc>
          <w:tcPr>
            <w:tcW w:w="86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生产总监</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刘克平</w:t>
            </w:r>
          </w:p>
        </w:tc>
        <w:tc>
          <w:tcPr>
            <w:tcW w:w="86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副总经理、董事会秘书</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郭成尼</w:t>
            </w:r>
          </w:p>
        </w:tc>
        <w:tc>
          <w:tcPr>
            <w:tcW w:w="86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国际销售总监</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张会亭</w:t>
            </w:r>
          </w:p>
        </w:tc>
        <w:tc>
          <w:tcPr>
            <w:tcW w:w="86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研发总监</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8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崔兴建</w:t>
            </w:r>
          </w:p>
        </w:tc>
        <w:tc>
          <w:tcPr>
            <w:tcW w:w="86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品质总监</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15,600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36,400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15,600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9.03</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86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91,600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8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296,400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91,600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8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7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备注（如有）</w:t>
            </w:r>
          </w:p>
        </w:tc>
        <w:tc>
          <w:tcPr>
            <w:tcW w:w="7835"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无</w:t>
            </w:r>
          </w:p>
        </w:tc>
      </w:tr>
    </w:tbl>
    <w:p>
      <w:pPr>
        <w:pStyle w:val="7"/>
        <w:outlineLvl w:val="1"/>
        <w:rPr>
          <w:rFonts w:hint="default"/>
          <w:sz w:val="24"/>
          <w:szCs w:val="24"/>
        </w:rPr>
      </w:pPr>
      <w:r>
        <w:rPr>
          <w:rFonts w:hint="eastAsia"/>
          <w:sz w:val="24"/>
          <w:szCs w:val="24"/>
        </w:rPr>
        <w:t>五、公司员工情况</w:t>
      </w:r>
    </w:p>
    <w:p>
      <w:pPr>
        <w:pStyle w:val="8"/>
        <w:outlineLvl w:val="2"/>
        <w:rPr>
          <w:rFonts w:hint="default"/>
          <w:sz w:val="21"/>
          <w:szCs w:val="24"/>
        </w:rPr>
      </w:pPr>
      <w:r>
        <w:rPr>
          <w:rFonts w:hint="default"/>
          <w:sz w:val="21"/>
          <w:szCs w:val="24"/>
        </w:rPr>
        <w:t>1</w:t>
      </w:r>
      <w:r>
        <w:rPr>
          <w:rFonts w:hint="eastAsia"/>
          <w:sz w:val="21"/>
          <w:szCs w:val="24"/>
        </w:rPr>
        <w:t>、员工数量、专业构成及教育程度</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母公司在职员工的数量（人）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主要子公司在职员工的数量（人）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在职员工的数量合计（人）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当期领取薪酬员工总人数（人）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母公司及主要子公司需承担费用的离退休职工人数（人）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专业构成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专业构成类别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专业构成人数（人）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生产人员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销售人员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技术人员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财务人员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行政人员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管理人员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教育程度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教育程度类别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数量（人）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硕士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本科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专科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中专及以下</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680</w:t>
            </w:r>
          </w:p>
        </w:tc>
      </w:tr>
    </w:tbl>
    <w:p>
      <w:pPr>
        <w:pStyle w:val="8"/>
        <w:outlineLvl w:val="2"/>
        <w:rPr>
          <w:rFonts w:hint="default"/>
          <w:sz w:val="21"/>
          <w:szCs w:val="24"/>
        </w:rPr>
      </w:pPr>
      <w:r>
        <w:rPr>
          <w:rFonts w:hint="default"/>
          <w:sz w:val="21"/>
          <w:szCs w:val="24"/>
        </w:rPr>
        <w:t>2</w:t>
      </w:r>
      <w:r>
        <w:rPr>
          <w:rFonts w:hint="eastAsia"/>
          <w:sz w:val="21"/>
          <w:szCs w:val="24"/>
        </w:rPr>
        <w:t>、薪酬政策</w:t>
      </w:r>
    </w:p>
    <w:p>
      <w:pPr>
        <w:autoSpaceDE w:val="0"/>
        <w:autoSpaceDN w:val="0"/>
        <w:adjustRightInd w:val="0"/>
        <w:ind w:firstLine="270"/>
        <w:rPr>
          <w:rFonts w:hint="default" w:eastAsia="Times New Roman"/>
          <w:kern w:val="0"/>
          <w:sz w:val="18"/>
          <w:szCs w:val="24"/>
          <w:lang w:val="zh-CN"/>
        </w:rPr>
      </w:pPr>
      <w:r>
        <w:rPr>
          <w:rFonts w:hint="eastAsia" w:ascii="宋体" w:hAnsi="宋体" w:cs="宋体"/>
          <w:kern w:val="0"/>
          <w:sz w:val="18"/>
          <w:szCs w:val="24"/>
          <w:lang w:val="zh-CN"/>
        </w:rPr>
        <w:t>公司根据个人的学历、职称、以及岗位胜任力、贡献与业绩等，确定每个岗位员工的薪酬。薪酬以岗位价值为基础、业绩为导向，以长期合作、信任为基础，建立起了由基本工资、岗位补贴、考核工资、业务提成等组成的薪酬管理制度结构。公司在加强组织结构优化的同时，结合劳动力市场变化，为公司员工提供了良好的发展平台和职业晋升通道。同时，公司按照国家、省、市相关政策，为员工缴纳</w:t>
      </w:r>
      <w:r>
        <w:rPr>
          <w:rFonts w:hint="default" w:eastAsia="Times New Roman"/>
          <w:kern w:val="0"/>
          <w:sz w:val="18"/>
          <w:szCs w:val="24"/>
          <w:lang w:val="zh-CN"/>
        </w:rPr>
        <w:t>“</w:t>
      </w:r>
      <w:r>
        <w:rPr>
          <w:rFonts w:hint="eastAsia" w:ascii="宋体" w:hAnsi="宋体" w:cs="宋体"/>
          <w:kern w:val="0"/>
          <w:sz w:val="18"/>
          <w:szCs w:val="24"/>
          <w:lang w:val="zh-CN"/>
        </w:rPr>
        <w:t>五险一金</w:t>
      </w:r>
      <w:r>
        <w:rPr>
          <w:rFonts w:hint="default" w:eastAsia="Times New Roman"/>
          <w:kern w:val="0"/>
          <w:sz w:val="18"/>
          <w:szCs w:val="24"/>
          <w:lang w:val="zh-CN"/>
        </w:rPr>
        <w:t>”</w:t>
      </w:r>
      <w:r>
        <w:rPr>
          <w:rFonts w:hint="eastAsia" w:ascii="宋体" w:hAnsi="宋体" w:cs="宋体"/>
          <w:kern w:val="0"/>
          <w:sz w:val="18"/>
          <w:szCs w:val="24"/>
          <w:lang w:val="zh-CN"/>
        </w:rPr>
        <w:t>，享有相应的福利待遇</w:t>
      </w:r>
      <w:r>
        <w:rPr>
          <w:rFonts w:hint="default" w:eastAsia="Times New Roman"/>
          <w:kern w:val="0"/>
          <w:sz w:val="18"/>
          <w:szCs w:val="24"/>
          <w:lang w:val="zh-CN"/>
        </w:rPr>
        <w:t xml:space="preserve"> </w:t>
      </w:r>
      <w:r>
        <w:rPr>
          <w:rFonts w:hint="eastAsia" w:ascii="宋体" w:hAnsi="宋体" w:cs="宋体"/>
          <w:kern w:val="0"/>
          <w:sz w:val="18"/>
          <w:szCs w:val="24"/>
          <w:lang w:val="zh-CN"/>
        </w:rPr>
        <w:t>。</w:t>
      </w:r>
    </w:p>
    <w:p>
      <w:pPr>
        <w:pStyle w:val="8"/>
        <w:outlineLvl w:val="2"/>
        <w:rPr>
          <w:rFonts w:hint="default"/>
          <w:sz w:val="21"/>
          <w:szCs w:val="24"/>
        </w:rPr>
      </w:pPr>
      <w:r>
        <w:rPr>
          <w:rFonts w:hint="default"/>
          <w:sz w:val="21"/>
          <w:szCs w:val="24"/>
        </w:rPr>
        <w:t>3</w:t>
      </w:r>
      <w:r>
        <w:rPr>
          <w:rFonts w:hint="eastAsia"/>
          <w:sz w:val="21"/>
          <w:szCs w:val="24"/>
        </w:rPr>
        <w:t>、培训计划</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一直坚持贯彻培训是员工成长的有效途径。公司培训工作坚持以发展战略为导向、以员工职业规划和技能为基础，着眼于员工潜技能、潜质和素养提升。公司每年度根据各部门岗位业务需要提出年度员工培训计划，并结合公司发展战略管理、精益化管理、班组管理技能、</w:t>
      </w:r>
      <w:r>
        <w:rPr>
          <w:rFonts w:hint="default" w:eastAsia="Times New Roman"/>
          <w:kern w:val="0"/>
          <w:sz w:val="18"/>
          <w:szCs w:val="24"/>
          <w:lang w:val="zh-CN"/>
        </w:rPr>
        <w:t>ERP</w:t>
      </w:r>
      <w:r>
        <w:rPr>
          <w:rFonts w:hint="eastAsia" w:ascii="宋体" w:hAnsi="宋体" w:cs="宋体"/>
          <w:kern w:val="0"/>
          <w:sz w:val="18"/>
          <w:szCs w:val="24"/>
          <w:lang w:val="zh-CN"/>
        </w:rPr>
        <w:t>系统管理、</w:t>
      </w:r>
      <w:r>
        <w:rPr>
          <w:rFonts w:hint="eastAsia" w:ascii="宋体" w:hAnsi="宋体" w:cs="宋体"/>
          <w:kern w:val="0"/>
          <w:sz w:val="18"/>
          <w:szCs w:val="24"/>
        </w:rPr>
        <w:t>MES系统管理、</w:t>
      </w:r>
      <w:r>
        <w:rPr>
          <w:rFonts w:hint="eastAsia" w:ascii="宋体" w:hAnsi="宋体" w:cs="宋体"/>
          <w:kern w:val="0"/>
          <w:sz w:val="18"/>
          <w:szCs w:val="24"/>
          <w:lang w:val="zh-CN"/>
        </w:rPr>
        <w:t>安全消防管理、</w:t>
      </w:r>
      <w:r>
        <w:rPr>
          <w:rFonts w:hint="default" w:eastAsia="Times New Roman"/>
          <w:kern w:val="0"/>
          <w:sz w:val="18"/>
          <w:szCs w:val="24"/>
          <w:lang w:val="zh-CN"/>
        </w:rPr>
        <w:t>OA</w:t>
      </w:r>
      <w:r>
        <w:rPr>
          <w:rFonts w:hint="eastAsia" w:ascii="宋体" w:hAnsi="宋体" w:cs="宋体"/>
          <w:kern w:val="0"/>
          <w:sz w:val="18"/>
          <w:szCs w:val="24"/>
          <w:lang w:val="zh-CN"/>
        </w:rPr>
        <w:t>办公系统等方面的需求，采取请进来、走出去等多种渠道和形式为各层级员工提供培训规划和机会，促进员工与公司共同发展。</w:t>
      </w:r>
    </w:p>
    <w:p>
      <w:pPr>
        <w:pStyle w:val="8"/>
        <w:outlineLvl w:val="2"/>
        <w:rPr>
          <w:rFonts w:hint="default"/>
          <w:sz w:val="21"/>
          <w:szCs w:val="24"/>
        </w:rPr>
      </w:pPr>
      <w:r>
        <w:rPr>
          <w:rFonts w:hint="default"/>
          <w:sz w:val="21"/>
          <w:szCs w:val="24"/>
        </w:rPr>
        <w:t>4</w:t>
      </w:r>
      <w:r>
        <w:rPr>
          <w:rFonts w:hint="eastAsia"/>
          <w:sz w:val="21"/>
          <w:szCs w:val="24"/>
        </w:rPr>
        <w:t>、劳务外包情况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24"/>
        </w:rPr>
      </w:pPr>
      <w:bookmarkStart w:id="9" w:name="_Toc300000093"/>
      <w:r>
        <w:rPr>
          <w:rFonts w:hint="eastAsia"/>
          <w:b/>
          <w:kern w:val="32"/>
          <w:sz w:val="32"/>
          <w:szCs w:val="24"/>
        </w:rPr>
        <w:t>第十节</w:t>
      </w:r>
      <w:r>
        <w:rPr>
          <w:rFonts w:hint="default"/>
          <w:b/>
          <w:kern w:val="32"/>
          <w:sz w:val="32"/>
          <w:szCs w:val="24"/>
        </w:rPr>
        <w:t xml:space="preserve"> </w:t>
      </w:r>
      <w:r>
        <w:rPr>
          <w:rFonts w:hint="eastAsia"/>
          <w:b/>
          <w:kern w:val="32"/>
          <w:sz w:val="32"/>
          <w:szCs w:val="24"/>
        </w:rPr>
        <w:t>公司治理</w:t>
      </w:r>
      <w:bookmarkEnd w:id="9"/>
    </w:p>
    <w:p>
      <w:pPr>
        <w:pStyle w:val="7"/>
        <w:outlineLvl w:val="1"/>
        <w:rPr>
          <w:rFonts w:hint="default"/>
          <w:sz w:val="24"/>
          <w:szCs w:val="24"/>
        </w:rPr>
      </w:pPr>
      <w:r>
        <w:rPr>
          <w:rFonts w:hint="eastAsia"/>
          <w:sz w:val="24"/>
          <w:szCs w:val="24"/>
        </w:rPr>
        <w:t>一、公司治理的基本状况</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报告期内，公司严格按照《公司法》、《证券法》、《深圳证券交易所股票上市规则》、《深圳证券交易所中小企业板上市公司规范运作指引》和中国证监会及深圳证券交易所颁布的其他相关法律、法规的要求，不断完善管理制度，依法规范运作，管理效率不断提高，保障了公司经营管理的有序进行。</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报告期内，公司共召开</w:t>
      </w:r>
      <w:r>
        <w:rPr>
          <w:rFonts w:hint="default" w:eastAsia="Times New Roman"/>
          <w:kern w:val="0"/>
          <w:sz w:val="18"/>
          <w:szCs w:val="24"/>
          <w:lang w:val="zh-CN"/>
        </w:rPr>
        <w:t>1</w:t>
      </w:r>
      <w:r>
        <w:rPr>
          <w:rFonts w:hint="eastAsia" w:ascii="宋体" w:hAnsi="宋体" w:cs="宋体"/>
          <w:kern w:val="0"/>
          <w:sz w:val="18"/>
          <w:szCs w:val="24"/>
          <w:lang w:val="zh-CN"/>
        </w:rPr>
        <w:t>次年度股东大会，</w:t>
      </w:r>
      <w:r>
        <w:rPr>
          <w:rFonts w:hint="default" w:eastAsia="Times New Roman"/>
          <w:kern w:val="0"/>
          <w:sz w:val="18"/>
          <w:szCs w:val="24"/>
          <w:lang w:val="zh-CN"/>
        </w:rPr>
        <w:t>1</w:t>
      </w:r>
      <w:r>
        <w:rPr>
          <w:rFonts w:hint="eastAsia" w:ascii="宋体" w:hAnsi="宋体" w:cs="宋体"/>
          <w:kern w:val="0"/>
          <w:sz w:val="18"/>
          <w:szCs w:val="24"/>
          <w:lang w:val="zh-CN"/>
        </w:rPr>
        <w:t>次临时股东大会，</w:t>
      </w:r>
      <w:r>
        <w:rPr>
          <w:rFonts w:hint="default" w:eastAsia="Times New Roman"/>
          <w:kern w:val="0"/>
          <w:sz w:val="18"/>
          <w:szCs w:val="24"/>
          <w:lang w:val="zh-CN"/>
        </w:rPr>
        <w:t>8</w:t>
      </w:r>
      <w:r>
        <w:rPr>
          <w:rFonts w:hint="eastAsia" w:ascii="宋体" w:hAnsi="宋体" w:cs="宋体"/>
          <w:kern w:val="0"/>
          <w:sz w:val="18"/>
          <w:szCs w:val="24"/>
          <w:lang w:val="zh-CN"/>
        </w:rPr>
        <w:t>次董事会，</w:t>
      </w:r>
      <w:r>
        <w:rPr>
          <w:rFonts w:hint="default" w:eastAsia="Times New Roman"/>
          <w:kern w:val="0"/>
          <w:sz w:val="18"/>
          <w:szCs w:val="24"/>
          <w:lang w:val="zh-CN"/>
        </w:rPr>
        <w:t>5</w:t>
      </w:r>
      <w:r>
        <w:rPr>
          <w:rFonts w:hint="eastAsia" w:ascii="宋体" w:hAnsi="宋体" w:cs="宋体"/>
          <w:kern w:val="0"/>
          <w:sz w:val="18"/>
          <w:szCs w:val="24"/>
          <w:lang w:val="zh-CN"/>
        </w:rPr>
        <w:t>次监事会，会议召开均符合《公司法》、《证券法》、《公司章程》等相关法律、法规制度的规定。公司董事、监事、和高级管理人员均能认真、诚信、尽职地履行职责，对董事会、监事会和股东大会负责。公司根据《信息披露事务管理制度》和《投资者关系管理制度》，认真履行信息披露义务，保证公司信息披露的真实、准确、完整、及时，并确保所有股东有平等的机会获得信息。</w:t>
      </w:r>
      <w:r>
        <w:rPr>
          <w:rFonts w:hint="default" w:eastAsia="Times New Roman"/>
          <w:kern w:val="0"/>
          <w:sz w:val="18"/>
          <w:szCs w:val="24"/>
          <w:lang w:val="zh-CN"/>
        </w:rPr>
        <w:t xml:space="preserve"> </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公司的实际治理情况符合中国证监会关于上市公司治理的相关规范性文件要求。报告期内，公司未收到被监管部门采取行政监管措施的有关文件。</w:t>
      </w:r>
      <w:r>
        <w:rPr>
          <w:rFonts w:hint="default" w:eastAsia="Times New Roman"/>
          <w:kern w:val="0"/>
          <w:sz w:val="18"/>
          <w:szCs w:val="24"/>
          <w:lang w:val="zh-CN"/>
        </w:rPr>
        <w:t xml:space="preserve"> </w:t>
      </w:r>
    </w:p>
    <w:p>
      <w:pPr>
        <w:jc w:val="left"/>
        <w:rPr>
          <w:rFonts w:hint="default"/>
          <w:sz w:val="18"/>
          <w:szCs w:val="24"/>
        </w:rPr>
      </w:pPr>
      <w:r>
        <w:rPr>
          <w:rFonts w:hint="eastAsia"/>
          <w:sz w:val="18"/>
          <w:szCs w:val="24"/>
        </w:rPr>
        <w:t>公司治理的实际状况与中国证监会发布的有关上市公司治理的规范性文件是否存在重大差异</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公司治理的实际状况与中国证监会发布的有关上市公司治理的规范性文件不存在重大差异。</w:t>
      </w:r>
    </w:p>
    <w:p>
      <w:pPr>
        <w:pStyle w:val="7"/>
        <w:outlineLvl w:val="1"/>
        <w:rPr>
          <w:rFonts w:hint="default"/>
          <w:sz w:val="24"/>
          <w:szCs w:val="24"/>
        </w:rPr>
      </w:pPr>
      <w:r>
        <w:rPr>
          <w:rFonts w:hint="eastAsia"/>
          <w:sz w:val="24"/>
          <w:szCs w:val="24"/>
        </w:rPr>
        <w:t>二、公司相对于控股股东在业务、人员、资产、机构、财务等方面的独立情况</w:t>
      </w:r>
    </w:p>
    <w:p>
      <w:pPr>
        <w:autoSpaceDE w:val="0"/>
        <w:autoSpaceDN w:val="0"/>
        <w:adjustRightInd w:val="0"/>
        <w:jc w:val="left"/>
        <w:rPr>
          <w:rFonts w:hint="default" w:eastAsia="Times New Roman"/>
          <w:kern w:val="0"/>
          <w:sz w:val="18"/>
          <w:szCs w:val="24"/>
          <w:lang w:val="zh-CN"/>
        </w:rPr>
      </w:pPr>
      <w:r>
        <w:rPr>
          <w:rFonts w:hint="default" w:eastAsia="Times New Roman"/>
          <w:kern w:val="0"/>
          <w:sz w:val="18"/>
          <w:szCs w:val="24"/>
          <w:lang w:val="zh-CN"/>
        </w:rPr>
        <w:t xml:space="preserve">     1</w:t>
      </w:r>
      <w:r>
        <w:rPr>
          <w:rFonts w:hint="eastAsia" w:ascii="宋体" w:hAnsi="宋体" w:cs="宋体"/>
          <w:kern w:val="0"/>
          <w:sz w:val="18"/>
          <w:szCs w:val="24"/>
          <w:lang w:val="zh-CN"/>
        </w:rPr>
        <w:t>、业务独立</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拥有包括采购、生产、销售、研发、质量控制在内的完整的主营业务体系，保证主营业务的完整、独立与连续，与控股股东、实际控制人及其控制的其他企业之间不存在竞争关系或业务上的依赖情况，确保了公司的独立规范运营，避免了同业竞争和关联交易。</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2</w:t>
      </w:r>
      <w:r>
        <w:rPr>
          <w:rFonts w:hint="eastAsia" w:ascii="宋体" w:hAnsi="宋体" w:cs="宋体"/>
          <w:kern w:val="0"/>
          <w:sz w:val="18"/>
          <w:szCs w:val="24"/>
          <w:lang w:val="zh-CN"/>
        </w:rPr>
        <w:t>、资产完整</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具有与生产经营有关的独立、完整的生产系统、辅助生产系统和配套设施，合法拥有与生产经营有关的土地使用权、厂房、机器设备、商标及专利等资产的所有权或使用权，公司资产与股东资产严格分开，产权界定清晰，并完全独立运营。公司主营业务和生产经营必需资产的权属完全由公司独立享有，不存在与股东单位共用的情况，具备资产的独立性和完整性。报告期内，公司不存在以自身资产、权益或信誉为股东提供担保的情形，不存在资产、资金被控股股东、实际控制人占用而损害公司利益的情况，公司对所有资产具有完全的控制权和支配权。</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3</w:t>
      </w:r>
      <w:r>
        <w:rPr>
          <w:rFonts w:hint="eastAsia" w:ascii="宋体" w:hAnsi="宋体" w:cs="宋体"/>
          <w:kern w:val="0"/>
          <w:sz w:val="18"/>
          <w:szCs w:val="24"/>
          <w:lang w:val="zh-CN"/>
        </w:rPr>
        <w:t>、人员独立</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拥有完整、独立的劳动人事及工资管理体系。公司的董事、监事及高级管理人员严格按照《公司法》、《公司章程》的相关规定选举或聘任，不存在超越公司董事会和股东大会作出人事任免决定的情况。公司的总经理、副总经理、财务负责人和董事会秘书等高级管理人员未在控股股东、实际控制人及其控制的其他企业中担任除董事、监事以外的其他职务，未在控股股东、实际控制人及其控制的其他企业领薪；公司的财务人员未在控股股东、实际控制人及其控制的其他企业中兼职。公司的劳动人事及工资管理与股东单位完全分离，公司所有员工均在上市公司及其全资子公司领薪；公司制订了严格的员工聘用、考评、晋升等劳动用工制度，并与员工依法签订了《劳动合同》，公司的人员与控股股东、实际控制人完全独立。</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4</w:t>
      </w:r>
      <w:r>
        <w:rPr>
          <w:rFonts w:hint="eastAsia" w:ascii="宋体" w:hAnsi="宋体" w:cs="宋体"/>
          <w:kern w:val="0"/>
          <w:sz w:val="18"/>
          <w:szCs w:val="24"/>
          <w:lang w:val="zh-CN"/>
        </w:rPr>
        <w:t>、机构独立</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eastAsia" w:ascii="宋体" w:hAnsi="宋体" w:cs="宋体"/>
          <w:kern w:val="0"/>
          <w:sz w:val="18"/>
          <w:szCs w:val="24"/>
          <w:lang w:val="zh-CN"/>
        </w:rPr>
        <w:t>公司根据经营发展的需要，建立了符合公司实际情况的独立、完整的组织结构，各职能部门根据《公司章程》和相关规章制度独立行使职权，运作正常有序。公司根据《公司法》、《公司章程》的要求建立了完善的法人治理结构和内部经营管理机构，独立行使经营管理职权；股东大会、董事会、监事会严格按照《公司章程》规范运作，并建立了《独立董事工作制度》。公司在生产经营、办公场所和管理制度等各方面均完全独立，不存在与控股股东、实际控制人及其控制的其他企业机构混同、混合经营或合署办公的情况。</w:t>
      </w:r>
      <w:r>
        <w:rPr>
          <w:rFonts w:hint="default" w:eastAsia="Times New Roman"/>
          <w:kern w:val="0"/>
          <w:sz w:val="18"/>
          <w:szCs w:val="24"/>
          <w:lang w:val="zh-CN"/>
        </w:rPr>
        <w:t xml:space="preserve"> </w:t>
      </w:r>
    </w:p>
    <w:p>
      <w:pPr>
        <w:autoSpaceDE w:val="0"/>
        <w:autoSpaceDN w:val="0"/>
        <w:adjustRightInd w:val="0"/>
        <w:ind w:firstLine="360"/>
        <w:jc w:val="left"/>
        <w:rPr>
          <w:rFonts w:hint="default" w:eastAsia="Times New Roman"/>
          <w:kern w:val="0"/>
          <w:sz w:val="18"/>
          <w:szCs w:val="24"/>
          <w:lang w:val="zh-CN"/>
        </w:rPr>
      </w:pPr>
      <w:r>
        <w:rPr>
          <w:rFonts w:hint="default" w:eastAsia="Times New Roman"/>
          <w:kern w:val="0"/>
          <w:sz w:val="18"/>
          <w:szCs w:val="24"/>
          <w:lang w:val="zh-CN"/>
        </w:rPr>
        <w:t>5</w:t>
      </w:r>
      <w:r>
        <w:rPr>
          <w:rFonts w:hint="eastAsia" w:ascii="宋体" w:hAnsi="宋体" w:cs="宋体"/>
          <w:kern w:val="0"/>
          <w:sz w:val="18"/>
          <w:szCs w:val="24"/>
          <w:lang w:val="zh-CN"/>
        </w:rPr>
        <w:t>、财务独立</w:t>
      </w:r>
      <w:r>
        <w:rPr>
          <w:rFonts w:hint="default" w:eastAsia="Times New Roman"/>
          <w:kern w:val="0"/>
          <w:sz w:val="18"/>
          <w:szCs w:val="24"/>
          <w:lang w:val="zh-CN"/>
        </w:rPr>
        <w:t xml:space="preserve"> </w:t>
      </w:r>
    </w:p>
    <w:p>
      <w:pPr>
        <w:autoSpaceDE w:val="0"/>
        <w:autoSpaceDN w:val="0"/>
        <w:adjustRightInd w:val="0"/>
        <w:ind w:firstLine="360"/>
        <w:rPr>
          <w:rFonts w:hint="default" w:eastAsia="Times New Roman"/>
          <w:kern w:val="0"/>
          <w:sz w:val="18"/>
          <w:szCs w:val="24"/>
          <w:lang w:val="zh-CN"/>
        </w:rPr>
      </w:pPr>
      <w:r>
        <w:rPr>
          <w:rFonts w:hint="eastAsia" w:ascii="宋体" w:hAnsi="宋体" w:cs="宋体"/>
          <w:kern w:val="0"/>
          <w:sz w:val="18"/>
          <w:szCs w:val="24"/>
          <w:lang w:val="zh-CN"/>
        </w:rPr>
        <w:t>公司严格按照《企业会计准则》建立了独立的财务会计核算体系，制定了相关的财务管理和审计管理制度等，设立了独立的财务部门和审计部门，配备了专门的财务人员和专职审计人员。公司拥有独立的银行账户，不存在与股东单位及其他关联方共用银行账户的现象；公司独立进行纳税申报并履行纳税义务；公司能够依据《公司章程》和相关财务制度独立做出财务决策，不存在股东或其他关联方干预公司资金使用的情况。公司已建立了独立的薪资管理制度，并在有关社会保障、工资报酬等方面独立管理。公司独立对外签订合同，不受股东及其他关联方的影响。</w:t>
      </w:r>
      <w:r>
        <w:rPr>
          <w:rFonts w:hint="default" w:eastAsia="Times New Roman"/>
          <w:kern w:val="0"/>
          <w:sz w:val="18"/>
          <w:szCs w:val="24"/>
          <w:lang w:val="zh-CN"/>
        </w:rPr>
        <w:t xml:space="preserve"> </w:t>
      </w:r>
    </w:p>
    <w:p>
      <w:pPr>
        <w:pStyle w:val="7"/>
        <w:outlineLvl w:val="1"/>
        <w:rPr>
          <w:rFonts w:hint="default"/>
          <w:sz w:val="24"/>
          <w:szCs w:val="24"/>
        </w:rPr>
      </w:pPr>
      <w:r>
        <w:rPr>
          <w:rFonts w:hint="eastAsia"/>
          <w:sz w:val="24"/>
          <w:szCs w:val="24"/>
        </w:rPr>
        <w:t>三、同业竞争情况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四、报告期内召开的年度股东大会和临时股东大会的有关情况</w:t>
      </w:r>
    </w:p>
    <w:p>
      <w:pPr>
        <w:pStyle w:val="8"/>
        <w:outlineLvl w:val="2"/>
        <w:rPr>
          <w:rFonts w:hint="default"/>
          <w:sz w:val="21"/>
          <w:szCs w:val="24"/>
        </w:rPr>
      </w:pPr>
      <w:r>
        <w:rPr>
          <w:rFonts w:hint="default"/>
          <w:sz w:val="21"/>
          <w:szCs w:val="24"/>
        </w:rPr>
        <w:t>1</w:t>
      </w:r>
      <w:r>
        <w:rPr>
          <w:rFonts w:hint="eastAsia"/>
          <w:sz w:val="21"/>
          <w:szCs w:val="24"/>
        </w:rPr>
        <w:t>、本报告期股东大会情况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会议届次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会议类型</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投资者参与比例</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召开日期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披露日期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披露索引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年度股东大会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年度股东大会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74.32%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05</w:t>
            </w:r>
            <w:r>
              <w:rPr>
                <w:rFonts w:hint="eastAsia"/>
                <w:sz w:val="18"/>
                <w:szCs w:val="24"/>
              </w:rPr>
              <w:t>月</w:t>
            </w:r>
            <w:r>
              <w:rPr>
                <w:rFonts w:hint="default"/>
                <w:sz w:val="18"/>
                <w:szCs w:val="24"/>
              </w:rPr>
              <w:t>19</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05</w:t>
            </w:r>
            <w:r>
              <w:rPr>
                <w:rFonts w:hint="eastAsia"/>
                <w:sz w:val="18"/>
                <w:szCs w:val="24"/>
              </w:rPr>
              <w:t>月</w:t>
            </w:r>
            <w:r>
              <w:rPr>
                <w:rFonts w:hint="default"/>
                <w:sz w:val="18"/>
                <w:szCs w:val="24"/>
              </w:rPr>
              <w:t>19</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年第一次临时股东大会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69.38%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11</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11</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2020-099</w:t>
            </w:r>
          </w:p>
        </w:tc>
      </w:tr>
    </w:tbl>
    <w:p>
      <w:pPr>
        <w:pStyle w:val="8"/>
        <w:outlineLvl w:val="2"/>
        <w:rPr>
          <w:rFonts w:hint="default"/>
          <w:sz w:val="21"/>
          <w:szCs w:val="24"/>
        </w:rPr>
      </w:pPr>
      <w:r>
        <w:rPr>
          <w:rFonts w:hint="default"/>
          <w:sz w:val="21"/>
          <w:szCs w:val="24"/>
        </w:rPr>
        <w:t>2</w:t>
      </w:r>
      <w:r>
        <w:rPr>
          <w:rFonts w:hint="eastAsia"/>
          <w:sz w:val="21"/>
          <w:szCs w:val="24"/>
        </w:rPr>
        <w:t>、表决权恢复的优先股股东请求召开临时股东大会</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7"/>
        <w:outlineLvl w:val="1"/>
        <w:rPr>
          <w:rFonts w:hint="default"/>
          <w:sz w:val="24"/>
          <w:szCs w:val="24"/>
        </w:rPr>
      </w:pPr>
      <w:r>
        <w:rPr>
          <w:rFonts w:hint="eastAsia"/>
          <w:sz w:val="24"/>
          <w:szCs w:val="24"/>
        </w:rPr>
        <w:t>五、报告期内独立董事履行职责的情况</w:t>
      </w:r>
    </w:p>
    <w:p>
      <w:pPr>
        <w:pStyle w:val="8"/>
        <w:outlineLvl w:val="2"/>
        <w:rPr>
          <w:rFonts w:hint="default"/>
          <w:sz w:val="21"/>
          <w:szCs w:val="24"/>
        </w:rPr>
      </w:pPr>
      <w:r>
        <w:rPr>
          <w:rFonts w:hint="default"/>
          <w:sz w:val="21"/>
          <w:szCs w:val="24"/>
        </w:rPr>
        <w:t>1</w:t>
      </w:r>
      <w:r>
        <w:rPr>
          <w:rFonts w:hint="eastAsia"/>
          <w:sz w:val="21"/>
          <w:szCs w:val="24"/>
        </w:rPr>
        <w:t>、独立董事出席董事会及股东大会的情况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427"/>
        <w:gridCol w:w="1164"/>
        <w:gridCol w:w="1164"/>
        <w:gridCol w:w="1163"/>
        <w:gridCol w:w="1163"/>
        <w:gridCol w:w="1163"/>
        <w:gridCol w:w="1163"/>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70"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独立董事出席董事会及股东大会的情况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独立董事姓名</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本报告期应参加董事会次数</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现场出席董事会次数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以通讯方式参加董事会次数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委托出席董事会次数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是否连续两次未亲自参加董事会会议</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出席股东大会次数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丁乃秀</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樊培银</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宋银立</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w:t>
            </w:r>
          </w:p>
        </w:tc>
      </w:tr>
    </w:tbl>
    <w:p>
      <w:pPr>
        <w:jc w:val="left"/>
        <w:rPr>
          <w:rFonts w:hint="default"/>
          <w:sz w:val="18"/>
          <w:szCs w:val="24"/>
        </w:rPr>
      </w:pPr>
      <w:r>
        <w:rPr>
          <w:rFonts w:hint="eastAsia"/>
          <w:sz w:val="18"/>
          <w:szCs w:val="24"/>
        </w:rPr>
        <w:t>连续两次未亲自出席董事会的说明</w:t>
      </w:r>
    </w:p>
    <w:p>
      <w:pPr>
        <w:jc w:val="left"/>
        <w:rPr>
          <w:rFonts w:hint="default"/>
          <w:sz w:val="18"/>
          <w:szCs w:val="24"/>
        </w:rPr>
      </w:pPr>
      <w:r>
        <w:rPr>
          <w:rFonts w:hint="eastAsia"/>
          <w:sz w:val="18"/>
          <w:szCs w:val="24"/>
        </w:rPr>
        <w:t>不适用</w:t>
      </w:r>
    </w:p>
    <w:p>
      <w:pPr>
        <w:pStyle w:val="8"/>
        <w:outlineLvl w:val="2"/>
        <w:rPr>
          <w:rFonts w:hint="default"/>
          <w:sz w:val="21"/>
          <w:szCs w:val="24"/>
        </w:rPr>
      </w:pPr>
      <w:r>
        <w:rPr>
          <w:rFonts w:hint="default"/>
          <w:sz w:val="21"/>
          <w:szCs w:val="24"/>
        </w:rPr>
        <w:t>2</w:t>
      </w:r>
      <w:r>
        <w:rPr>
          <w:rFonts w:hint="eastAsia"/>
          <w:sz w:val="21"/>
          <w:szCs w:val="24"/>
        </w:rPr>
        <w:t>、独立董事对公司有关事项提出异议的情况</w:t>
      </w:r>
    </w:p>
    <w:p>
      <w:pPr>
        <w:jc w:val="left"/>
        <w:rPr>
          <w:rFonts w:hint="default"/>
          <w:sz w:val="18"/>
          <w:szCs w:val="24"/>
        </w:rPr>
      </w:pPr>
      <w:r>
        <w:rPr>
          <w:rFonts w:hint="eastAsia"/>
          <w:sz w:val="18"/>
          <w:szCs w:val="24"/>
        </w:rPr>
        <w:t>独立董事对公司有关事项是否提出异议</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报告期内独立董事对公司有关事项未提出异议。</w:t>
      </w:r>
    </w:p>
    <w:p>
      <w:pPr>
        <w:pStyle w:val="8"/>
        <w:outlineLvl w:val="2"/>
        <w:rPr>
          <w:rFonts w:hint="default"/>
          <w:sz w:val="21"/>
          <w:szCs w:val="24"/>
        </w:rPr>
      </w:pPr>
      <w:r>
        <w:rPr>
          <w:rFonts w:hint="default"/>
          <w:sz w:val="21"/>
          <w:szCs w:val="24"/>
        </w:rPr>
        <w:t>3</w:t>
      </w:r>
      <w:r>
        <w:rPr>
          <w:rFonts w:hint="eastAsia"/>
          <w:sz w:val="21"/>
          <w:szCs w:val="24"/>
        </w:rPr>
        <w:t>、独立董事履行职责的其他说明</w:t>
      </w:r>
    </w:p>
    <w:p>
      <w:pPr>
        <w:jc w:val="left"/>
        <w:rPr>
          <w:rFonts w:hint="default"/>
          <w:sz w:val="18"/>
          <w:szCs w:val="24"/>
        </w:rPr>
      </w:pPr>
      <w:r>
        <w:rPr>
          <w:rFonts w:hint="eastAsia"/>
          <w:sz w:val="18"/>
          <w:szCs w:val="24"/>
        </w:rPr>
        <w:t>独立董事对公司有关建议是否被采纳</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独立董事对公司有关建议被采纳或未被采纳的说明</w:t>
      </w:r>
    </w:p>
    <w:p>
      <w:pPr>
        <w:autoSpaceDE w:val="0"/>
        <w:autoSpaceDN w:val="0"/>
        <w:adjustRightInd w:val="0"/>
        <w:jc w:val="left"/>
        <w:rPr>
          <w:rFonts w:hint="default" w:eastAsia="Times New Roman"/>
          <w:kern w:val="0"/>
          <w:sz w:val="18"/>
          <w:szCs w:val="24"/>
          <w:lang w:val="zh-CN"/>
        </w:rPr>
      </w:pPr>
      <w:r>
        <w:rPr>
          <w:rFonts w:hint="eastAsia" w:ascii="宋体" w:hAnsi="宋体" w:cs="宋体"/>
          <w:kern w:val="0"/>
          <w:sz w:val="18"/>
          <w:szCs w:val="24"/>
          <w:lang w:val="zh-CN"/>
        </w:rPr>
        <w:t>公司三名独立董事在</w:t>
      </w:r>
      <w:r>
        <w:rPr>
          <w:rFonts w:hint="default" w:eastAsia="Times New Roman"/>
          <w:kern w:val="0"/>
          <w:sz w:val="18"/>
          <w:szCs w:val="24"/>
          <w:lang w:val="zh-CN"/>
        </w:rPr>
        <w:t>2020</w:t>
      </w:r>
      <w:r>
        <w:rPr>
          <w:rFonts w:hint="eastAsia" w:ascii="宋体" w:hAnsi="宋体" w:cs="宋体"/>
          <w:kern w:val="0"/>
          <w:sz w:val="18"/>
          <w:szCs w:val="24"/>
          <w:lang w:val="zh-CN"/>
        </w:rPr>
        <w:t>年度工作中，勤勉尽职，忠实履行独立董事职责。在董事会对公司重大决策事项上积极建言献策，主动发表意见，行使职权。对公司日常信息披露情况进行监督。报告期内，独立董事对公司的关联交易、年度利润分配预案、续聘会计师事务所、募集资金置换、募集资金进行现金理财、募集资金使用情况等重大事项能发表独立、公正的独立意见，对公司财务及生产经营活动进行了有效监督，提高了公司决策的科学性，为完善公司监督机制，维护公司和全体股东的合法权益发挥了应有的作用。</w:t>
      </w:r>
    </w:p>
    <w:p>
      <w:pPr>
        <w:pStyle w:val="7"/>
        <w:outlineLvl w:val="1"/>
        <w:rPr>
          <w:rFonts w:hint="default"/>
          <w:sz w:val="24"/>
          <w:szCs w:val="24"/>
        </w:rPr>
      </w:pPr>
      <w:r>
        <w:rPr>
          <w:rFonts w:hint="eastAsia"/>
          <w:sz w:val="24"/>
          <w:szCs w:val="24"/>
        </w:rPr>
        <w:t>六、董事会下设专门委员会在报告期内履行职责情况</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、审计委员会</w:t>
      </w:r>
      <w:r>
        <w:rPr>
          <w:rFonts w:hint="default" w:eastAsia="Times New Roman"/>
          <w:kern w:val="0"/>
          <w:sz w:val="18"/>
          <w:szCs w:val="24"/>
          <w:lang w:val="zh-CN"/>
        </w:rPr>
        <w:t xml:space="preserve"> </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董事会审计委员会主要负责公司内外部审计的沟通和协调，组织内部审计等相关工作。报告期内，董事会审计委员会共召开了</w:t>
      </w:r>
      <w:r>
        <w:rPr>
          <w:rFonts w:hint="default" w:eastAsia="Times New Roman"/>
          <w:kern w:val="0"/>
          <w:sz w:val="18"/>
          <w:szCs w:val="24"/>
          <w:lang w:val="zh-CN"/>
        </w:rPr>
        <w:t>4</w:t>
      </w:r>
      <w:r>
        <w:rPr>
          <w:rFonts w:hint="eastAsia" w:ascii="宋体" w:hAnsi="宋体" w:cs="宋体"/>
          <w:kern w:val="0"/>
          <w:sz w:val="18"/>
          <w:szCs w:val="24"/>
          <w:lang w:val="zh-CN"/>
        </w:rPr>
        <w:t>次会议，主要审议了公司内部审计、定期报告、内部控制自评、续聘会计机构、募集资金使用等事项进行审核。审计委员会对审计独立性的维护以及董事会决策的科学性发挥了重大的作用。</w:t>
      </w:r>
      <w:r>
        <w:rPr>
          <w:rFonts w:hint="default" w:eastAsia="Times New Roman"/>
          <w:kern w:val="0"/>
          <w:sz w:val="18"/>
          <w:szCs w:val="24"/>
          <w:lang w:val="zh-CN"/>
        </w:rPr>
        <w:t xml:space="preserve"> </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2</w:t>
      </w:r>
      <w:r>
        <w:rPr>
          <w:rFonts w:hint="eastAsia" w:ascii="宋体" w:hAnsi="宋体" w:cs="宋体"/>
          <w:kern w:val="0"/>
          <w:sz w:val="18"/>
          <w:szCs w:val="24"/>
          <w:lang w:val="zh-CN"/>
        </w:rPr>
        <w:t>、战略委员会</w:t>
      </w:r>
      <w:r>
        <w:rPr>
          <w:rFonts w:hint="default" w:eastAsia="Times New Roman"/>
          <w:kern w:val="0"/>
          <w:sz w:val="18"/>
          <w:szCs w:val="24"/>
          <w:lang w:val="zh-CN"/>
        </w:rPr>
        <w:t xml:space="preserve"> </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董事会战略委员会主要负责研究公司长期发展战略和重大投资决策，对重大事项提出意见和建议。报告期内，董事会发展战略委员会召开了</w:t>
      </w:r>
      <w:r>
        <w:rPr>
          <w:rFonts w:hint="default" w:eastAsia="Times New Roman"/>
          <w:kern w:val="0"/>
          <w:sz w:val="18"/>
          <w:szCs w:val="24"/>
          <w:lang w:val="zh-CN"/>
        </w:rPr>
        <w:t>1</w:t>
      </w:r>
      <w:r>
        <w:rPr>
          <w:rFonts w:hint="eastAsia" w:ascii="宋体" w:hAnsi="宋体" w:cs="宋体"/>
          <w:kern w:val="0"/>
          <w:sz w:val="18"/>
          <w:szCs w:val="24"/>
          <w:lang w:val="zh-CN"/>
        </w:rPr>
        <w:t>次会议，对公司制定</w:t>
      </w:r>
      <w:r>
        <w:rPr>
          <w:rFonts w:hint="default" w:eastAsia="Times New Roman"/>
          <w:kern w:val="0"/>
          <w:sz w:val="18"/>
          <w:szCs w:val="24"/>
          <w:lang w:val="zh-CN"/>
        </w:rPr>
        <w:t>2020</w:t>
      </w:r>
      <w:r>
        <w:rPr>
          <w:rFonts w:hint="eastAsia" w:ascii="宋体" w:hAnsi="宋体" w:cs="宋体"/>
          <w:kern w:val="0"/>
          <w:sz w:val="18"/>
          <w:szCs w:val="24"/>
          <w:lang w:val="zh-CN"/>
        </w:rPr>
        <w:t>年度经营目标计划等决策进行审议并提出合理化建议。</w:t>
      </w:r>
      <w:r>
        <w:rPr>
          <w:rFonts w:hint="default" w:eastAsia="Times New Roman"/>
          <w:kern w:val="0"/>
          <w:sz w:val="18"/>
          <w:szCs w:val="24"/>
          <w:lang w:val="zh-CN"/>
        </w:rPr>
        <w:t xml:space="preserve"> </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3</w:t>
      </w:r>
      <w:r>
        <w:rPr>
          <w:rFonts w:hint="eastAsia" w:ascii="宋体" w:hAnsi="宋体" w:cs="宋体"/>
          <w:kern w:val="0"/>
          <w:sz w:val="18"/>
          <w:szCs w:val="24"/>
          <w:lang w:val="zh-CN"/>
        </w:rPr>
        <w:t>、薪酬与考核委员会</w:t>
      </w:r>
      <w:r>
        <w:rPr>
          <w:rFonts w:hint="default" w:eastAsia="Times New Roman"/>
          <w:kern w:val="0"/>
          <w:sz w:val="18"/>
          <w:szCs w:val="24"/>
          <w:lang w:val="zh-CN"/>
        </w:rPr>
        <w:t xml:space="preserve"> </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董事会薪酬与考核委员会主要负责公司董事和高级管理人员的薪酬方案及考评方案的制定及执行。报告期内，董事会薪酬与考核委员会召开了</w:t>
      </w:r>
      <w:r>
        <w:rPr>
          <w:rFonts w:hint="default" w:eastAsia="Times New Roman"/>
          <w:kern w:val="0"/>
          <w:sz w:val="18"/>
          <w:szCs w:val="24"/>
          <w:lang w:val="zh-CN"/>
        </w:rPr>
        <w:t>2</w:t>
      </w:r>
      <w:r>
        <w:rPr>
          <w:rFonts w:hint="eastAsia" w:ascii="宋体" w:hAnsi="宋体" w:cs="宋体"/>
          <w:kern w:val="0"/>
          <w:sz w:val="18"/>
          <w:szCs w:val="24"/>
          <w:lang w:val="zh-CN"/>
        </w:rPr>
        <w:t>次会议，对优化公司薪酬体系及绩效考核等事项提出了宝贵意见。</w:t>
      </w:r>
      <w:r>
        <w:rPr>
          <w:rFonts w:hint="default" w:eastAsia="Times New Roman"/>
          <w:kern w:val="0"/>
          <w:sz w:val="18"/>
          <w:szCs w:val="24"/>
          <w:lang w:val="zh-CN"/>
        </w:rPr>
        <w:t xml:space="preserve"> </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4</w:t>
      </w:r>
      <w:r>
        <w:rPr>
          <w:rFonts w:hint="eastAsia" w:ascii="宋体" w:hAnsi="宋体" w:cs="宋体"/>
          <w:kern w:val="0"/>
          <w:sz w:val="18"/>
          <w:szCs w:val="24"/>
          <w:lang w:val="zh-CN"/>
        </w:rPr>
        <w:t>、提名委员会</w:t>
      </w:r>
      <w:r>
        <w:rPr>
          <w:rFonts w:hint="default" w:eastAsia="Times New Roman"/>
          <w:kern w:val="0"/>
          <w:sz w:val="18"/>
          <w:szCs w:val="24"/>
          <w:lang w:val="zh-CN"/>
        </w:rPr>
        <w:t xml:space="preserve"> </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董事会提名委员会主要负责研究董事、总经理及其他高级管理人员的选择标准、程序及候选人审查，并向董事会提出建议。报告期内，董事会提名委员会召开了</w:t>
      </w:r>
      <w:r>
        <w:rPr>
          <w:rFonts w:hint="default" w:eastAsia="Times New Roman"/>
          <w:kern w:val="0"/>
          <w:sz w:val="18"/>
          <w:szCs w:val="24"/>
          <w:lang w:val="zh-CN"/>
        </w:rPr>
        <w:t>3</w:t>
      </w:r>
      <w:r>
        <w:rPr>
          <w:rFonts w:hint="eastAsia" w:ascii="宋体" w:hAnsi="宋体" w:cs="宋体"/>
          <w:kern w:val="0"/>
          <w:sz w:val="18"/>
          <w:szCs w:val="24"/>
          <w:lang w:val="zh-CN"/>
        </w:rPr>
        <w:t>次会议，对公司高级管理人员候选人任职资格进行审查，发表审查意见和建议。</w:t>
      </w:r>
      <w:r>
        <w:rPr>
          <w:rFonts w:hint="default" w:eastAsia="Times New Roman"/>
          <w:kern w:val="0"/>
          <w:sz w:val="18"/>
          <w:szCs w:val="24"/>
          <w:lang w:val="zh-CN"/>
        </w:rPr>
        <w:t xml:space="preserve"> </w:t>
      </w:r>
    </w:p>
    <w:p>
      <w:pPr>
        <w:pStyle w:val="7"/>
        <w:outlineLvl w:val="1"/>
        <w:rPr>
          <w:rFonts w:hint="default"/>
          <w:sz w:val="24"/>
          <w:szCs w:val="24"/>
        </w:rPr>
      </w:pPr>
      <w:r>
        <w:rPr>
          <w:rFonts w:hint="eastAsia"/>
          <w:sz w:val="24"/>
          <w:szCs w:val="24"/>
        </w:rPr>
        <w:t>七、监事会工作情况</w:t>
      </w:r>
    </w:p>
    <w:p>
      <w:pPr>
        <w:jc w:val="left"/>
        <w:rPr>
          <w:rFonts w:hint="default"/>
          <w:sz w:val="18"/>
          <w:szCs w:val="24"/>
        </w:rPr>
      </w:pPr>
      <w:r>
        <w:rPr>
          <w:rFonts w:hint="eastAsia"/>
          <w:sz w:val="18"/>
          <w:szCs w:val="24"/>
        </w:rPr>
        <w:t>监事会在报告期内的监督活动中发现公司是否存在风险</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监事会对报告期内的监督事项无异议。</w:t>
      </w:r>
    </w:p>
    <w:p>
      <w:pPr>
        <w:pStyle w:val="7"/>
        <w:outlineLvl w:val="1"/>
        <w:rPr>
          <w:rFonts w:hint="default"/>
          <w:sz w:val="24"/>
          <w:szCs w:val="24"/>
        </w:rPr>
      </w:pPr>
      <w:r>
        <w:rPr>
          <w:rFonts w:hint="eastAsia"/>
          <w:sz w:val="24"/>
          <w:szCs w:val="24"/>
        </w:rPr>
        <w:t>八、高级管理人员的考评及激励情况</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公司建立了较完善的绩效考评管理体系，高级管理人员的工作绩效与其收入直接挂钩。公司董事会薪酬与考核委员会负责制定公司薪酬考核方案，对高级管理人员的工作能力、履职情况、责任目标完成情况进行考评，制定薪酬管理制度方案。公司经董事会审议批准，实行了股权激励计划，根据高级管理人员的绩效结果，共享公司经营发展成果。</w:t>
      </w:r>
    </w:p>
    <w:p>
      <w:pPr>
        <w:pStyle w:val="7"/>
        <w:outlineLvl w:val="1"/>
        <w:rPr>
          <w:rFonts w:hint="default"/>
          <w:sz w:val="24"/>
          <w:szCs w:val="24"/>
        </w:rPr>
      </w:pPr>
      <w:r>
        <w:rPr>
          <w:rFonts w:hint="eastAsia"/>
          <w:sz w:val="24"/>
          <w:szCs w:val="24"/>
        </w:rPr>
        <w:t>九、内部控制评价报告</w:t>
      </w:r>
    </w:p>
    <w:p>
      <w:pPr>
        <w:pStyle w:val="8"/>
        <w:outlineLvl w:val="2"/>
        <w:rPr>
          <w:rFonts w:hint="default"/>
          <w:sz w:val="21"/>
          <w:szCs w:val="24"/>
        </w:rPr>
      </w:pPr>
      <w:r>
        <w:rPr>
          <w:rFonts w:hint="default"/>
          <w:sz w:val="21"/>
          <w:szCs w:val="24"/>
        </w:rPr>
        <w:t>1</w:t>
      </w:r>
      <w:r>
        <w:rPr>
          <w:rFonts w:hint="eastAsia"/>
          <w:sz w:val="21"/>
          <w:szCs w:val="24"/>
        </w:rPr>
        <w:t>、报告期内发现的内部控制重大缺陷的具体情况</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pStyle w:val="8"/>
        <w:outlineLvl w:val="2"/>
        <w:rPr>
          <w:rFonts w:hint="default"/>
          <w:sz w:val="21"/>
          <w:szCs w:val="24"/>
        </w:rPr>
      </w:pPr>
      <w:r>
        <w:rPr>
          <w:rFonts w:hint="default"/>
          <w:sz w:val="21"/>
          <w:szCs w:val="24"/>
        </w:rPr>
        <w:t>2</w:t>
      </w:r>
      <w:r>
        <w:rPr>
          <w:rFonts w:hint="eastAsia"/>
          <w:sz w:val="21"/>
          <w:szCs w:val="24"/>
        </w:rPr>
        <w:t>、内控自我评价报告</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4"/>
        <w:gridCol w:w="3323"/>
        <w:gridCol w:w="3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内部控制评价报告全文披露日期</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29</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内部控制评价报告全文披露索引</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纳入评价范围单位资产总额占公司合并财务报表资产总额的比例</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纳入评价范围单位营业收入占公司合并财务报表营业收入的比例</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6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缺陷认定标准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财务报告</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非财务报告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定性标准</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以假设不采取任何措施该缺陷导致潜在财务错报大小作为判断标准。不采取任何行动导致潜在错报可能性极小确定为一般缺陷；不采取任何行动导致潜在错报可能性不大确定为重要缺陷；不采取任何行动导致潜在错报可能性极大确定为重大缺陷。当存在以下迹象时，增加了重大缺陷的可能性，因此会特别关注以下情况：重述以前公布的财务报表，以更正由于舞弊或错误导致的重大错报；当期财务报表存在重大错报，而在内部控制运行过程中未能发现该错报。</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以假设不采取任何措施该缺陷导致经济损失可能性大小作为判断标准。不采取任何行动导致造成经济损失、经营目标无法实现的可能性极小确定为一般缺陷；不采取任何行动导致造成经济损失、经营目标无法实现的可能性不大确定为重要缺陷；不采取任何行动导致造成经济损失、经营目标无法实现的可能性极大确定为重大缺陷。当存在以下迹象时，增加了重大缺陷的可能性，因此会特别关注以下情况：审计委员会和内部审计机构对内部控制的监督无效；董事、监事和高级管理人员的任何舞弊且反舞弊政策程序不健全；关联交易控制程序不当；重大投融资等非常规事项控制缺失；某个业务领域频繁地发生相似的重大诉讼案件；弄虚作假违反国家法律法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定量标准</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对于财报相关的内控缺陷，通过对公司年度财务报表潜在错报或披露事项错报程度进行判定</w:t>
            </w:r>
            <w:r>
              <w:rPr>
                <w:rFonts w:hint="default"/>
                <w:sz w:val="18"/>
                <w:szCs w:val="24"/>
              </w:rPr>
              <w:t xml:space="preserve">, </w:t>
            </w:r>
            <w:r>
              <w:rPr>
                <w:rFonts w:hint="eastAsia"/>
                <w:sz w:val="18"/>
                <w:szCs w:val="24"/>
              </w:rPr>
              <w:t>以本年度税前利润</w:t>
            </w:r>
            <w:r>
              <w:rPr>
                <w:rFonts w:hint="default"/>
                <w:sz w:val="18"/>
                <w:szCs w:val="24"/>
              </w:rPr>
              <w:t>5%</w:t>
            </w:r>
            <w:r>
              <w:rPr>
                <w:rFonts w:hint="eastAsia"/>
                <w:sz w:val="18"/>
                <w:szCs w:val="24"/>
              </w:rPr>
              <w:t>为作为重要性水平判断标准。潜在错报金额＜税前利润的</w:t>
            </w:r>
            <w:r>
              <w:rPr>
                <w:rFonts w:hint="default"/>
                <w:sz w:val="18"/>
                <w:szCs w:val="24"/>
              </w:rPr>
              <w:t>2.5%</w:t>
            </w:r>
            <w:r>
              <w:rPr>
                <w:rFonts w:hint="eastAsia"/>
                <w:sz w:val="18"/>
                <w:szCs w:val="24"/>
              </w:rPr>
              <w:t>确定为一般缺陷；税前利润的</w:t>
            </w:r>
            <w:r>
              <w:rPr>
                <w:rFonts w:hint="default"/>
                <w:sz w:val="18"/>
                <w:szCs w:val="24"/>
              </w:rPr>
              <w:t>2.5% ≤</w:t>
            </w:r>
            <w:r>
              <w:rPr>
                <w:rFonts w:hint="eastAsia"/>
                <w:sz w:val="18"/>
                <w:szCs w:val="24"/>
              </w:rPr>
              <w:t>潜在错报金额＜税前利润的</w:t>
            </w:r>
            <w:r>
              <w:rPr>
                <w:rFonts w:hint="default"/>
                <w:sz w:val="18"/>
                <w:szCs w:val="24"/>
              </w:rPr>
              <w:t>5%</w:t>
            </w:r>
            <w:r>
              <w:rPr>
                <w:rFonts w:hint="eastAsia"/>
                <w:sz w:val="18"/>
                <w:szCs w:val="24"/>
              </w:rPr>
              <w:t>确定为重要缺陷；潜在错报金额</w:t>
            </w:r>
            <w:r>
              <w:rPr>
                <w:rFonts w:hint="eastAsia" w:ascii="宋体" w:hAnsi="宋体" w:cs="宋体"/>
                <w:sz w:val="18"/>
                <w:szCs w:val="24"/>
              </w:rPr>
              <w:t>≧</w:t>
            </w:r>
            <w:r>
              <w:rPr>
                <w:rFonts w:hint="eastAsia"/>
                <w:sz w:val="18"/>
                <w:szCs w:val="24"/>
              </w:rPr>
              <w:t>税前利润的</w:t>
            </w:r>
            <w:r>
              <w:rPr>
                <w:rFonts w:hint="default"/>
                <w:sz w:val="18"/>
                <w:szCs w:val="24"/>
              </w:rPr>
              <w:t xml:space="preserve">5% </w:t>
            </w:r>
            <w:r>
              <w:rPr>
                <w:rFonts w:hint="eastAsia"/>
                <w:sz w:val="18"/>
                <w:szCs w:val="24"/>
              </w:rPr>
              <w:t>确定为重大缺陷。</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以本年度税前利润</w:t>
            </w:r>
            <w:r>
              <w:rPr>
                <w:rFonts w:hint="default"/>
                <w:sz w:val="18"/>
                <w:szCs w:val="24"/>
              </w:rPr>
              <w:t>5%</w:t>
            </w:r>
            <w:r>
              <w:rPr>
                <w:rFonts w:hint="eastAsia"/>
                <w:sz w:val="18"/>
                <w:szCs w:val="24"/>
              </w:rPr>
              <w:t>为作为重要性水平判断标准。对于非财报相关的内控缺陷，通过对本年公司资产、收入、利润等经济损失程度，或偏离（消极偏离，即未能实现）经营目标的程度进行判定。经济损失＜税前利润的</w:t>
            </w:r>
            <w:r>
              <w:rPr>
                <w:rFonts w:hint="default"/>
                <w:sz w:val="18"/>
                <w:szCs w:val="24"/>
              </w:rPr>
              <w:t>2.5%</w:t>
            </w:r>
            <w:r>
              <w:rPr>
                <w:rFonts w:hint="eastAsia"/>
                <w:sz w:val="18"/>
                <w:szCs w:val="24"/>
              </w:rPr>
              <w:t>确定为一般缺陷；税前利润的</w:t>
            </w:r>
            <w:r>
              <w:rPr>
                <w:rFonts w:hint="default"/>
                <w:sz w:val="18"/>
                <w:szCs w:val="24"/>
              </w:rPr>
              <w:t>2.5% ≤</w:t>
            </w:r>
            <w:r>
              <w:rPr>
                <w:rFonts w:hint="eastAsia"/>
                <w:sz w:val="18"/>
                <w:szCs w:val="24"/>
              </w:rPr>
              <w:t>经济损失＜税前利润的</w:t>
            </w:r>
            <w:r>
              <w:rPr>
                <w:rFonts w:hint="default"/>
                <w:sz w:val="18"/>
                <w:szCs w:val="24"/>
              </w:rPr>
              <w:t>5%</w:t>
            </w:r>
            <w:r>
              <w:rPr>
                <w:rFonts w:hint="eastAsia"/>
                <w:sz w:val="18"/>
                <w:szCs w:val="24"/>
              </w:rPr>
              <w:t>确定为重要缺陷；经济损失</w:t>
            </w:r>
            <w:r>
              <w:rPr>
                <w:rFonts w:hint="eastAsia" w:ascii="宋体" w:hAnsi="宋体" w:cs="宋体"/>
                <w:sz w:val="18"/>
                <w:szCs w:val="24"/>
              </w:rPr>
              <w:t>≧</w:t>
            </w:r>
            <w:r>
              <w:rPr>
                <w:rFonts w:hint="eastAsia"/>
                <w:sz w:val="18"/>
                <w:szCs w:val="24"/>
              </w:rPr>
              <w:t>税前利润的</w:t>
            </w:r>
            <w:r>
              <w:rPr>
                <w:rFonts w:hint="default"/>
                <w:sz w:val="18"/>
                <w:szCs w:val="24"/>
              </w:rPr>
              <w:t xml:space="preserve">5% </w:t>
            </w:r>
            <w:r>
              <w:rPr>
                <w:rFonts w:hint="eastAsia"/>
                <w:sz w:val="18"/>
                <w:szCs w:val="24"/>
              </w:rPr>
              <w:t>确定为重大缺陷。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财务报告重大缺陷数量（个）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非财务报告重大缺陷数量（个）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财务报告重要缺陷数量（个）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非财务报告重要缺陷数量（个）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w:t>
            </w:r>
          </w:p>
        </w:tc>
      </w:tr>
    </w:tbl>
    <w:p>
      <w:pPr>
        <w:pStyle w:val="7"/>
        <w:outlineLvl w:val="1"/>
        <w:rPr>
          <w:rFonts w:hint="default"/>
          <w:sz w:val="24"/>
          <w:szCs w:val="24"/>
        </w:rPr>
      </w:pPr>
      <w:r>
        <w:rPr>
          <w:rFonts w:hint="eastAsia"/>
          <w:sz w:val="24"/>
          <w:szCs w:val="24"/>
        </w:rPr>
        <w:t>十、内部控制审计报告或鉴证报告</w:t>
      </w:r>
    </w:p>
    <w:p>
      <w:pPr>
        <w:jc w:val="left"/>
        <w:rPr>
          <w:rFonts w:hint="default"/>
          <w:sz w:val="18"/>
          <w:szCs w:val="24"/>
        </w:rPr>
      </w:pPr>
      <w:r>
        <w:rPr>
          <w:rFonts w:hint="eastAsia"/>
          <w:sz w:val="18"/>
          <w:szCs w:val="24"/>
        </w:rPr>
        <w:t>不适用</w:t>
      </w:r>
    </w:p>
    <w:p>
      <w:pPr>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24"/>
        </w:rPr>
      </w:pPr>
      <w:bookmarkStart w:id="10" w:name="_Toc300000094"/>
      <w:r>
        <w:rPr>
          <w:rFonts w:hint="eastAsia"/>
          <w:b/>
          <w:kern w:val="32"/>
          <w:sz w:val="32"/>
          <w:szCs w:val="24"/>
        </w:rPr>
        <w:t>第十一节</w:t>
      </w:r>
      <w:r>
        <w:rPr>
          <w:rFonts w:hint="default"/>
          <w:b/>
          <w:kern w:val="32"/>
          <w:sz w:val="32"/>
          <w:szCs w:val="24"/>
        </w:rPr>
        <w:t xml:space="preserve"> </w:t>
      </w:r>
      <w:r>
        <w:rPr>
          <w:rFonts w:hint="eastAsia"/>
          <w:b/>
          <w:kern w:val="32"/>
          <w:sz w:val="32"/>
          <w:szCs w:val="24"/>
        </w:rPr>
        <w:t>公司债券相关情况</w:t>
      </w:r>
      <w:bookmarkEnd w:id="10"/>
    </w:p>
    <w:p>
      <w:pPr>
        <w:jc w:val="left"/>
        <w:rPr>
          <w:rFonts w:hint="default"/>
          <w:sz w:val="18"/>
          <w:szCs w:val="24"/>
        </w:rPr>
      </w:pPr>
      <w:r>
        <w:rPr>
          <w:rFonts w:hint="eastAsia"/>
          <w:sz w:val="18"/>
          <w:szCs w:val="24"/>
        </w:rPr>
        <w:t>公司是否存在公开发行并在证券交易所上市，且在年度报告批准报出日未到期或到期未能全额兑付的公司债券</w:t>
      </w:r>
    </w:p>
    <w:p>
      <w:pPr>
        <w:jc w:val="left"/>
        <w:rPr>
          <w:rFonts w:hint="default"/>
          <w:sz w:val="18"/>
          <w:szCs w:val="24"/>
        </w:rPr>
      </w:pPr>
      <w:r>
        <w:rPr>
          <w:rFonts w:hint="eastAsia"/>
          <w:sz w:val="18"/>
          <w:szCs w:val="24"/>
        </w:rPr>
        <w:t>否</w:t>
      </w:r>
    </w:p>
    <w:p>
      <w:pPr>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keepNext/>
        <w:keepLines/>
        <w:spacing w:before="340" w:after="330" w:line="578" w:lineRule="auto"/>
        <w:jc w:val="center"/>
        <w:outlineLvl w:val="0"/>
        <w:rPr>
          <w:rFonts w:hint="default"/>
          <w:b/>
          <w:kern w:val="32"/>
          <w:sz w:val="32"/>
          <w:szCs w:val="24"/>
        </w:rPr>
      </w:pPr>
      <w:bookmarkStart w:id="11" w:name="_Toc300000095"/>
      <w:r>
        <w:rPr>
          <w:rFonts w:hint="eastAsia"/>
          <w:b/>
          <w:kern w:val="32"/>
          <w:sz w:val="32"/>
          <w:szCs w:val="24"/>
        </w:rPr>
        <w:t>第十二节</w:t>
      </w:r>
      <w:r>
        <w:rPr>
          <w:rFonts w:hint="default"/>
          <w:b/>
          <w:kern w:val="32"/>
          <w:sz w:val="32"/>
          <w:szCs w:val="24"/>
        </w:rPr>
        <w:t xml:space="preserve"> </w:t>
      </w:r>
      <w:r>
        <w:rPr>
          <w:rFonts w:hint="eastAsia"/>
          <w:b/>
          <w:kern w:val="32"/>
          <w:sz w:val="32"/>
          <w:szCs w:val="24"/>
        </w:rPr>
        <w:t>财务报告</w:t>
      </w:r>
      <w:bookmarkEnd w:id="11"/>
    </w:p>
    <w:p>
      <w:pPr>
        <w:pStyle w:val="7"/>
        <w:outlineLvl w:val="1"/>
        <w:rPr>
          <w:rFonts w:hint="default"/>
          <w:sz w:val="24"/>
          <w:szCs w:val="24"/>
        </w:rPr>
      </w:pPr>
      <w:r>
        <w:rPr>
          <w:rFonts w:hint="eastAsia"/>
          <w:sz w:val="24"/>
          <w:szCs w:val="24"/>
        </w:rPr>
        <w:t>一、审计报告</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3"/>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审计意见类型</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标准的无保留意见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审计报告签署日期</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28</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审计机构名称</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审计报告文号</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和信审字（</w:t>
            </w:r>
            <w:r>
              <w:rPr>
                <w:rFonts w:hint="default"/>
                <w:sz w:val="18"/>
                <w:szCs w:val="24"/>
              </w:rPr>
              <w:t>2021</w:t>
            </w:r>
            <w:r>
              <w:rPr>
                <w:rFonts w:hint="eastAsia"/>
                <w:sz w:val="18"/>
                <w:szCs w:val="24"/>
              </w:rPr>
              <w:t>）第</w:t>
            </w:r>
            <w:r>
              <w:rPr>
                <w:rFonts w:hint="default"/>
                <w:sz w:val="18"/>
                <w:szCs w:val="24"/>
              </w:rPr>
              <w:t>000130</w:t>
            </w:r>
            <w:r>
              <w:rPr>
                <w:rFonts w:hint="eastAsia"/>
                <w:sz w:val="18"/>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注册会计师姓名</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刘学文、李胜</w:t>
            </w:r>
          </w:p>
        </w:tc>
      </w:tr>
    </w:tbl>
    <w:p>
      <w:pPr>
        <w:jc w:val="center"/>
        <w:rPr>
          <w:rFonts w:hint="default"/>
          <w:sz w:val="18"/>
          <w:szCs w:val="24"/>
        </w:rPr>
      </w:pPr>
      <w:r>
        <w:rPr>
          <w:rFonts w:hint="eastAsia"/>
          <w:sz w:val="18"/>
          <w:szCs w:val="24"/>
        </w:rPr>
        <w:t>审计报告正文</w:t>
      </w:r>
    </w:p>
    <w:p>
      <w:pPr>
        <w:autoSpaceDE w:val="0"/>
        <w:autoSpaceDN w:val="0"/>
        <w:adjustRightInd w:val="0"/>
        <w:spacing w:before="0" w:after="0"/>
        <w:ind w:right="26"/>
        <w:jc w:val="center"/>
        <w:rPr>
          <w:rFonts w:hint="default" w:eastAsia="Times New Roman"/>
          <w:b/>
          <w:kern w:val="0"/>
          <w:sz w:val="72"/>
          <w:szCs w:val="24"/>
          <w:lang w:val="zh-CN"/>
        </w:rPr>
      </w:pPr>
      <w:r>
        <w:rPr>
          <w:rFonts w:hint="eastAsia" w:ascii="宋体" w:hAnsi="宋体" w:cs="宋体"/>
          <w:b/>
          <w:kern w:val="0"/>
          <w:sz w:val="72"/>
          <w:szCs w:val="24"/>
          <w:lang w:val="zh-CN"/>
        </w:rPr>
        <w:t>审</w:t>
      </w:r>
      <w:r>
        <w:rPr>
          <w:rFonts w:hint="default" w:eastAsia="Times New Roman"/>
          <w:b/>
          <w:kern w:val="0"/>
          <w:sz w:val="72"/>
          <w:szCs w:val="24"/>
          <w:lang w:val="zh-CN"/>
        </w:rPr>
        <w:t xml:space="preserve"> </w:t>
      </w:r>
      <w:r>
        <w:rPr>
          <w:rFonts w:hint="eastAsia" w:ascii="宋体" w:hAnsi="宋体" w:cs="宋体"/>
          <w:b/>
          <w:kern w:val="0"/>
          <w:sz w:val="72"/>
          <w:szCs w:val="24"/>
          <w:lang w:val="zh-CN"/>
        </w:rPr>
        <w:t>计</w:t>
      </w:r>
      <w:r>
        <w:rPr>
          <w:rFonts w:hint="default" w:eastAsia="Times New Roman"/>
          <w:b/>
          <w:kern w:val="0"/>
          <w:sz w:val="72"/>
          <w:szCs w:val="24"/>
          <w:lang w:val="zh-CN"/>
        </w:rPr>
        <w:t xml:space="preserve"> </w:t>
      </w:r>
      <w:r>
        <w:rPr>
          <w:rFonts w:hint="eastAsia" w:ascii="宋体" w:hAnsi="宋体" w:cs="宋体"/>
          <w:b/>
          <w:kern w:val="0"/>
          <w:sz w:val="72"/>
          <w:szCs w:val="24"/>
          <w:lang w:val="zh-CN"/>
        </w:rPr>
        <w:t>报</w:t>
      </w:r>
      <w:r>
        <w:rPr>
          <w:rFonts w:hint="default" w:eastAsia="Times New Roman"/>
          <w:b/>
          <w:kern w:val="0"/>
          <w:sz w:val="72"/>
          <w:szCs w:val="24"/>
          <w:lang w:val="zh-CN"/>
        </w:rPr>
        <w:t xml:space="preserve"> </w:t>
      </w:r>
      <w:r>
        <w:rPr>
          <w:rFonts w:hint="eastAsia" w:ascii="宋体" w:hAnsi="宋体" w:cs="宋体"/>
          <w:b/>
          <w:kern w:val="0"/>
          <w:sz w:val="72"/>
          <w:szCs w:val="24"/>
          <w:lang w:val="zh-CN"/>
        </w:rPr>
        <w:t>告</w:t>
      </w:r>
    </w:p>
    <w:p>
      <w:pPr>
        <w:autoSpaceDE w:val="0"/>
        <w:autoSpaceDN w:val="0"/>
        <w:adjustRightInd w:val="0"/>
        <w:spacing w:before="0" w:after="0"/>
        <w:ind w:right="26"/>
        <w:jc w:val="center"/>
        <w:rPr>
          <w:rFonts w:hint="default" w:eastAsia="Times New Roman"/>
          <w:kern w:val="0"/>
          <w:sz w:val="18"/>
          <w:szCs w:val="24"/>
          <w:lang w:val="zh-CN"/>
        </w:rPr>
      </w:pPr>
    </w:p>
    <w:p>
      <w:pPr>
        <w:autoSpaceDE w:val="0"/>
        <w:autoSpaceDN w:val="0"/>
        <w:adjustRightInd w:val="0"/>
        <w:spacing w:before="0" w:after="0"/>
        <w:jc w:val="right"/>
        <w:rPr>
          <w:rFonts w:hint="default" w:eastAsia="Times New Roman"/>
          <w:b/>
          <w:kern w:val="0"/>
          <w:sz w:val="24"/>
          <w:szCs w:val="24"/>
          <w:lang w:val="zh-CN"/>
        </w:rPr>
      </w:pPr>
      <w:r>
        <w:rPr>
          <w:rFonts w:hint="eastAsia" w:ascii="宋体" w:hAnsi="宋体" w:cs="宋体"/>
          <w:b/>
          <w:kern w:val="0"/>
          <w:sz w:val="24"/>
          <w:szCs w:val="24"/>
          <w:lang w:val="zh-CN"/>
        </w:rPr>
        <w:t>和信审字</w:t>
      </w:r>
      <w:r>
        <w:rPr>
          <w:rFonts w:hint="default" w:eastAsia="Times New Roman"/>
          <w:b/>
          <w:kern w:val="0"/>
          <w:sz w:val="24"/>
          <w:szCs w:val="24"/>
          <w:lang w:val="zh-CN"/>
        </w:rPr>
        <w:t>(2021)</w:t>
      </w:r>
      <w:r>
        <w:rPr>
          <w:rFonts w:hint="eastAsia" w:ascii="宋体" w:hAnsi="宋体" w:cs="宋体"/>
          <w:b/>
          <w:kern w:val="0"/>
          <w:sz w:val="24"/>
          <w:szCs w:val="24"/>
          <w:lang w:val="zh-CN"/>
        </w:rPr>
        <w:t>第</w:t>
      </w:r>
      <w:r>
        <w:rPr>
          <w:rFonts w:hint="default" w:eastAsia="Times New Roman"/>
          <w:b/>
          <w:kern w:val="0"/>
          <w:sz w:val="24"/>
          <w:szCs w:val="24"/>
          <w:lang w:val="zh-CN"/>
        </w:rPr>
        <w:t>000130</w:t>
      </w:r>
      <w:r>
        <w:rPr>
          <w:rFonts w:hint="eastAsia" w:ascii="宋体" w:hAnsi="宋体" w:cs="宋体"/>
          <w:b/>
          <w:kern w:val="0"/>
          <w:sz w:val="24"/>
          <w:szCs w:val="24"/>
          <w:lang w:val="zh-CN"/>
        </w:rPr>
        <w:t>号</w:t>
      </w:r>
    </w:p>
    <w:p>
      <w:pPr>
        <w:autoSpaceDE w:val="0"/>
        <w:autoSpaceDN w:val="0"/>
        <w:adjustRightInd w:val="0"/>
        <w:spacing w:before="0" w:after="0"/>
        <w:jc w:val="center"/>
        <w:rPr>
          <w:rFonts w:hint="default" w:eastAsia="Times New Roman"/>
          <w:b/>
          <w:kern w:val="0"/>
          <w:sz w:val="24"/>
          <w:szCs w:val="24"/>
          <w:lang w:val="zh-CN"/>
        </w:rPr>
      </w:pPr>
    </w:p>
    <w:p>
      <w:pPr>
        <w:autoSpaceDE w:val="0"/>
        <w:autoSpaceDN w:val="0"/>
        <w:adjustRightInd w:val="0"/>
        <w:spacing w:before="0" w:after="0"/>
        <w:jc w:val="center"/>
        <w:rPr>
          <w:rFonts w:hint="default" w:eastAsia="Times New Roman"/>
          <w:kern w:val="0"/>
          <w:sz w:val="24"/>
          <w:szCs w:val="24"/>
          <w:lang w:val="zh-CN"/>
        </w:rPr>
      </w:pPr>
    </w:p>
    <w:p>
      <w:pPr>
        <w:autoSpaceDE w:val="0"/>
        <w:autoSpaceDN w:val="0"/>
        <w:adjustRightInd w:val="0"/>
        <w:spacing w:before="209" w:after="0"/>
        <w:rPr>
          <w:rFonts w:hint="default" w:eastAsia="Times New Roman"/>
          <w:b/>
          <w:kern w:val="0"/>
          <w:sz w:val="28"/>
          <w:szCs w:val="24"/>
          <w:lang w:val="zh-CN"/>
        </w:rPr>
      </w:pPr>
      <w:r>
        <w:rPr>
          <w:rFonts w:hint="eastAsia" w:ascii="宋体" w:hAnsi="宋体" w:cs="宋体"/>
          <w:b/>
          <w:kern w:val="0"/>
          <w:sz w:val="28"/>
          <w:szCs w:val="24"/>
          <w:lang w:val="zh-CN"/>
        </w:rPr>
        <w:t>青岛伟隆阀门股份有限公司全体股东：</w:t>
      </w:r>
    </w:p>
    <w:p>
      <w:pPr>
        <w:autoSpaceDE w:val="0"/>
        <w:autoSpaceDN w:val="0"/>
        <w:adjustRightInd w:val="0"/>
        <w:spacing w:before="209" w:after="0"/>
        <w:ind w:firstLine="484"/>
        <w:rPr>
          <w:rFonts w:hint="default" w:eastAsia="Times New Roman"/>
          <w:b/>
          <w:kern w:val="0"/>
          <w:sz w:val="24"/>
          <w:szCs w:val="24"/>
          <w:lang w:val="zh-CN"/>
        </w:rPr>
      </w:pPr>
      <w:r>
        <w:rPr>
          <w:rFonts w:hint="eastAsia" w:ascii="宋体" w:hAnsi="宋体" w:cs="宋体"/>
          <w:b/>
          <w:kern w:val="0"/>
          <w:sz w:val="24"/>
          <w:szCs w:val="24"/>
          <w:lang w:val="zh-CN"/>
        </w:rPr>
        <w:t>一、审计意见</w:t>
      </w:r>
    </w:p>
    <w:p>
      <w:pPr>
        <w:autoSpaceDE w:val="0"/>
        <w:autoSpaceDN w:val="0"/>
        <w:adjustRightInd w:val="0"/>
        <w:spacing w:before="134" w:after="0"/>
        <w:ind w:firstLine="484"/>
        <w:rPr>
          <w:rFonts w:hint="default" w:eastAsia="Times New Roman"/>
          <w:kern w:val="0"/>
          <w:sz w:val="24"/>
          <w:szCs w:val="24"/>
          <w:lang w:val="zh-CN"/>
        </w:rPr>
      </w:pPr>
      <w:r>
        <w:rPr>
          <w:rFonts w:hint="eastAsia" w:ascii="宋体" w:hAnsi="宋体" w:cs="宋体"/>
          <w:kern w:val="0"/>
          <w:sz w:val="24"/>
          <w:szCs w:val="24"/>
          <w:lang w:val="zh-CN"/>
        </w:rPr>
        <w:t>我们审计了青岛伟隆阀门股份有限公司（以下简称伟隆公司）财务报表，包括</w:t>
      </w:r>
      <w:r>
        <w:rPr>
          <w:rFonts w:hint="default" w:eastAsia="Times New Roman"/>
          <w:kern w:val="0"/>
          <w:sz w:val="24"/>
          <w:szCs w:val="24"/>
          <w:lang w:val="zh-CN"/>
        </w:rPr>
        <w:t>2020</w:t>
      </w:r>
      <w:r>
        <w:rPr>
          <w:rFonts w:hint="eastAsia" w:ascii="宋体" w:hAnsi="宋体" w:cs="宋体"/>
          <w:kern w:val="0"/>
          <w:sz w:val="24"/>
          <w:szCs w:val="24"/>
          <w:lang w:val="zh-CN"/>
        </w:rPr>
        <w:t>年</w:t>
      </w:r>
      <w:r>
        <w:rPr>
          <w:rFonts w:hint="default" w:eastAsia="Times New Roman"/>
          <w:kern w:val="0"/>
          <w:sz w:val="24"/>
          <w:szCs w:val="24"/>
          <w:lang w:val="zh-CN"/>
        </w:rPr>
        <w:t>12</w:t>
      </w:r>
      <w:r>
        <w:rPr>
          <w:rFonts w:hint="eastAsia" w:ascii="宋体" w:hAnsi="宋体" w:cs="宋体"/>
          <w:kern w:val="0"/>
          <w:sz w:val="24"/>
          <w:szCs w:val="24"/>
          <w:lang w:val="zh-CN"/>
        </w:rPr>
        <w:t>月</w:t>
      </w:r>
      <w:r>
        <w:rPr>
          <w:rFonts w:hint="default" w:eastAsia="Times New Roman"/>
          <w:kern w:val="0"/>
          <w:sz w:val="24"/>
          <w:szCs w:val="24"/>
          <w:lang w:val="zh-CN"/>
        </w:rPr>
        <w:t>31</w:t>
      </w:r>
      <w:r>
        <w:rPr>
          <w:rFonts w:hint="eastAsia" w:ascii="宋体" w:hAnsi="宋体" w:cs="宋体"/>
          <w:kern w:val="0"/>
          <w:sz w:val="24"/>
          <w:szCs w:val="24"/>
          <w:lang w:val="zh-CN"/>
        </w:rPr>
        <w:t>日的合并及公司资产负债表，</w:t>
      </w:r>
      <w:r>
        <w:rPr>
          <w:rFonts w:hint="default" w:eastAsia="Times New Roman"/>
          <w:kern w:val="0"/>
          <w:sz w:val="24"/>
          <w:szCs w:val="24"/>
          <w:lang w:val="zh-CN"/>
        </w:rPr>
        <w:t>2020</w:t>
      </w:r>
      <w:r>
        <w:rPr>
          <w:rFonts w:hint="eastAsia" w:ascii="宋体" w:hAnsi="宋体" w:cs="宋体"/>
          <w:kern w:val="0"/>
          <w:sz w:val="24"/>
          <w:szCs w:val="24"/>
          <w:lang w:val="zh-CN"/>
        </w:rPr>
        <w:t>年度的合并及公司利润表、合并及公司现金流量表、合并及公司股东权益变动表以及相关财务报表附注。</w:t>
      </w:r>
    </w:p>
    <w:p>
      <w:pPr>
        <w:autoSpaceDE w:val="0"/>
        <w:autoSpaceDN w:val="0"/>
        <w:adjustRightInd w:val="0"/>
        <w:spacing w:before="134" w:after="0"/>
        <w:ind w:firstLine="484"/>
        <w:rPr>
          <w:rFonts w:hint="default" w:eastAsia="Times New Roman"/>
          <w:kern w:val="0"/>
          <w:sz w:val="24"/>
          <w:szCs w:val="24"/>
          <w:lang w:val="zh-CN"/>
        </w:rPr>
      </w:pPr>
      <w:r>
        <w:rPr>
          <w:rFonts w:hint="eastAsia" w:ascii="宋体" w:hAnsi="宋体" w:cs="宋体"/>
          <w:kern w:val="0"/>
          <w:sz w:val="24"/>
          <w:szCs w:val="24"/>
          <w:lang w:val="zh-CN"/>
        </w:rPr>
        <w:t>我们认为，后附的财务报表在所有重大方面按照企业会计准则的规定编制，公允反映了伟隆公司</w:t>
      </w:r>
      <w:r>
        <w:rPr>
          <w:rFonts w:hint="default" w:eastAsia="Times New Roman"/>
          <w:kern w:val="0"/>
          <w:sz w:val="24"/>
          <w:szCs w:val="24"/>
          <w:lang w:val="zh-CN"/>
        </w:rPr>
        <w:t>2020</w:t>
      </w:r>
      <w:r>
        <w:rPr>
          <w:rFonts w:hint="eastAsia" w:ascii="宋体" w:hAnsi="宋体" w:cs="宋体"/>
          <w:kern w:val="0"/>
          <w:sz w:val="24"/>
          <w:szCs w:val="24"/>
          <w:lang w:val="zh-CN"/>
        </w:rPr>
        <w:t>年</w:t>
      </w:r>
      <w:r>
        <w:rPr>
          <w:rFonts w:hint="default" w:eastAsia="Times New Roman"/>
          <w:kern w:val="0"/>
          <w:sz w:val="24"/>
          <w:szCs w:val="24"/>
          <w:lang w:val="zh-CN"/>
        </w:rPr>
        <w:t>12</w:t>
      </w:r>
      <w:r>
        <w:rPr>
          <w:rFonts w:hint="eastAsia" w:ascii="宋体" w:hAnsi="宋体" w:cs="宋体"/>
          <w:kern w:val="0"/>
          <w:sz w:val="24"/>
          <w:szCs w:val="24"/>
          <w:lang w:val="zh-CN"/>
        </w:rPr>
        <w:t>月</w:t>
      </w:r>
      <w:r>
        <w:rPr>
          <w:rFonts w:hint="default" w:eastAsia="Times New Roman"/>
          <w:kern w:val="0"/>
          <w:sz w:val="24"/>
          <w:szCs w:val="24"/>
          <w:lang w:val="zh-CN"/>
        </w:rPr>
        <w:t>31</w:t>
      </w:r>
      <w:r>
        <w:rPr>
          <w:rFonts w:hint="eastAsia" w:ascii="宋体" w:hAnsi="宋体" w:cs="宋体"/>
          <w:kern w:val="0"/>
          <w:sz w:val="24"/>
          <w:szCs w:val="24"/>
          <w:lang w:val="zh-CN"/>
        </w:rPr>
        <w:t>日的合并及公司财务状况以及</w:t>
      </w:r>
      <w:r>
        <w:rPr>
          <w:rFonts w:hint="default" w:eastAsia="Times New Roman"/>
          <w:kern w:val="0"/>
          <w:sz w:val="24"/>
          <w:szCs w:val="24"/>
          <w:lang w:val="zh-CN"/>
        </w:rPr>
        <w:t>2020</w:t>
      </w:r>
      <w:r>
        <w:rPr>
          <w:rFonts w:hint="eastAsia" w:ascii="宋体" w:hAnsi="宋体" w:cs="宋体"/>
          <w:kern w:val="0"/>
          <w:sz w:val="24"/>
          <w:szCs w:val="24"/>
          <w:lang w:val="zh-CN"/>
        </w:rPr>
        <w:t>年度的合并及公司经营成果和合并及公司现金流量。</w:t>
      </w:r>
    </w:p>
    <w:p>
      <w:pPr>
        <w:autoSpaceDE w:val="0"/>
        <w:autoSpaceDN w:val="0"/>
        <w:adjustRightInd w:val="0"/>
        <w:spacing w:before="209" w:after="50"/>
        <w:ind w:firstLine="484"/>
        <w:jc w:val="left"/>
        <w:rPr>
          <w:rFonts w:hint="default" w:eastAsia="Times New Roman"/>
          <w:b/>
          <w:kern w:val="0"/>
          <w:sz w:val="24"/>
          <w:szCs w:val="24"/>
          <w:lang w:val="zh-CN"/>
        </w:rPr>
      </w:pPr>
      <w:r>
        <w:rPr>
          <w:rFonts w:hint="eastAsia" w:ascii="宋体" w:hAnsi="宋体" w:cs="宋体"/>
          <w:b/>
          <w:kern w:val="0"/>
          <w:sz w:val="24"/>
          <w:szCs w:val="24"/>
          <w:lang w:val="zh-CN"/>
        </w:rPr>
        <w:t>二、形成审计意见的基础</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我们按照中国注册会计师审计准则的规定执行了审计工作。审计报告的</w:t>
      </w:r>
      <w:r>
        <w:rPr>
          <w:rFonts w:hint="default" w:eastAsia="Times New Roman"/>
          <w:kern w:val="0"/>
          <w:sz w:val="24"/>
          <w:szCs w:val="24"/>
          <w:lang w:val="zh-CN"/>
        </w:rPr>
        <w:t>“</w:t>
      </w:r>
      <w:r>
        <w:rPr>
          <w:rFonts w:hint="eastAsia" w:ascii="宋体" w:hAnsi="宋体" w:cs="宋体"/>
          <w:kern w:val="0"/>
          <w:sz w:val="24"/>
          <w:szCs w:val="24"/>
          <w:lang w:val="zh-CN"/>
        </w:rPr>
        <w:t>注册会计师对财务报表审计的责任</w:t>
      </w:r>
      <w:r>
        <w:rPr>
          <w:rFonts w:hint="default" w:eastAsia="Times New Roman"/>
          <w:kern w:val="0"/>
          <w:sz w:val="24"/>
          <w:szCs w:val="24"/>
          <w:lang w:val="zh-CN"/>
        </w:rPr>
        <w:t>”</w:t>
      </w:r>
      <w:r>
        <w:rPr>
          <w:rFonts w:hint="eastAsia" w:ascii="宋体" w:hAnsi="宋体" w:cs="宋体"/>
          <w:kern w:val="0"/>
          <w:sz w:val="24"/>
          <w:szCs w:val="24"/>
          <w:lang w:val="zh-CN"/>
        </w:rPr>
        <w:t>部分进一步阐述了我们在这些准则下的责任。按照中国注册会计师职业道德守则，我们独立于伟隆公司，并履行了职业道德方面的其他责任。我们相信，我们获取的审计证据是充分、适当的，为发表审计意见提供了基础。</w:t>
      </w:r>
    </w:p>
    <w:p>
      <w:pPr>
        <w:autoSpaceDE w:val="0"/>
        <w:autoSpaceDN w:val="0"/>
        <w:adjustRightInd w:val="0"/>
        <w:spacing w:before="0" w:after="20"/>
        <w:ind w:firstLine="484"/>
        <w:jc w:val="left"/>
        <w:rPr>
          <w:rFonts w:hint="default" w:eastAsia="Times New Roman"/>
          <w:b/>
          <w:kern w:val="0"/>
          <w:sz w:val="24"/>
          <w:szCs w:val="24"/>
          <w:lang w:val="zh-CN"/>
        </w:rPr>
      </w:pPr>
      <w:r>
        <w:rPr>
          <w:rFonts w:hint="eastAsia" w:ascii="宋体" w:hAnsi="宋体" w:cs="宋体"/>
          <w:b/>
          <w:kern w:val="0"/>
          <w:sz w:val="24"/>
          <w:szCs w:val="24"/>
          <w:lang w:val="zh-CN"/>
        </w:rPr>
        <w:t>三、关键审计事项</w:t>
      </w:r>
    </w:p>
    <w:p>
      <w:pPr>
        <w:autoSpaceDE w:val="0"/>
        <w:autoSpaceDN w:val="0"/>
        <w:adjustRightInd w:val="0"/>
        <w:spacing w:before="83" w:after="0"/>
        <w:ind w:firstLine="482"/>
        <w:rPr>
          <w:rFonts w:hint="default" w:eastAsia="Times New Roman"/>
          <w:kern w:val="0"/>
          <w:sz w:val="24"/>
          <w:szCs w:val="24"/>
          <w:lang w:val="zh-CN"/>
        </w:rPr>
      </w:pPr>
      <w:r>
        <w:rPr>
          <w:rFonts w:hint="eastAsia" w:ascii="宋体" w:hAnsi="宋体" w:cs="宋体"/>
          <w:kern w:val="0"/>
          <w:sz w:val="24"/>
          <w:szCs w:val="24"/>
          <w:lang w:val="zh-CN"/>
        </w:rPr>
        <w:t>关键审计事项是我们根据职业判断，认为对本期财务报表审计最为重要的事项。这些事项的应对以对财务报表整体进行审计并形成审计意见为背景，我们不对这些事项单独发表意见。我们确定下列事项是需要在审计报告中沟通的关键审计事项：</w:t>
      </w:r>
    </w:p>
    <w:p>
      <w:pPr>
        <w:autoSpaceDE w:val="0"/>
        <w:autoSpaceDN w:val="0"/>
        <w:adjustRightInd w:val="0"/>
        <w:spacing w:before="83" w:after="0"/>
        <w:ind w:firstLine="484"/>
        <w:rPr>
          <w:rFonts w:hint="default" w:eastAsia="Times New Roman"/>
          <w:b/>
          <w:kern w:val="0"/>
          <w:sz w:val="24"/>
          <w:szCs w:val="24"/>
          <w:lang w:val="zh-CN"/>
        </w:rPr>
      </w:pPr>
      <w:r>
        <w:rPr>
          <w:rFonts w:hint="eastAsia" w:ascii="宋体" w:hAnsi="宋体" w:cs="宋体"/>
          <w:b/>
          <w:kern w:val="0"/>
          <w:sz w:val="24"/>
          <w:szCs w:val="24"/>
          <w:lang w:val="zh-CN"/>
        </w:rPr>
        <w:t>（一）外销出口收入确认</w:t>
      </w:r>
    </w:p>
    <w:p>
      <w:pPr>
        <w:autoSpaceDE w:val="0"/>
        <w:autoSpaceDN w:val="0"/>
        <w:adjustRightInd w:val="0"/>
        <w:spacing w:before="83" w:after="0"/>
        <w:ind w:firstLine="484"/>
        <w:rPr>
          <w:rFonts w:hint="default" w:eastAsia="Times New Roman"/>
          <w:kern w:val="0"/>
          <w:sz w:val="24"/>
          <w:szCs w:val="24"/>
          <w:lang w:val="zh-CN"/>
        </w:rPr>
      </w:pPr>
      <w:r>
        <w:rPr>
          <w:rFonts w:hint="default" w:eastAsia="Times New Roman"/>
          <w:kern w:val="0"/>
          <w:sz w:val="24"/>
          <w:szCs w:val="24"/>
          <w:lang w:val="zh-CN"/>
        </w:rPr>
        <w:t>1</w:t>
      </w:r>
      <w:r>
        <w:rPr>
          <w:rFonts w:hint="eastAsia" w:ascii="宋体" w:hAnsi="宋体" w:cs="宋体"/>
          <w:kern w:val="0"/>
          <w:sz w:val="24"/>
          <w:szCs w:val="24"/>
          <w:lang w:val="zh-CN"/>
        </w:rPr>
        <w:t>、事项描述</w:t>
      </w:r>
    </w:p>
    <w:p>
      <w:pPr>
        <w:autoSpaceDE w:val="0"/>
        <w:autoSpaceDN w:val="0"/>
        <w:adjustRightInd w:val="0"/>
        <w:spacing w:before="83" w:after="0"/>
        <w:ind w:firstLine="484"/>
        <w:rPr>
          <w:rFonts w:hint="default" w:eastAsia="Times New Roman"/>
          <w:kern w:val="0"/>
          <w:sz w:val="24"/>
          <w:szCs w:val="24"/>
          <w:lang w:val="zh-CN"/>
        </w:rPr>
      </w:pPr>
      <w:r>
        <w:rPr>
          <w:rFonts w:hint="default" w:eastAsia="Times New Roman"/>
          <w:kern w:val="0"/>
          <w:sz w:val="24"/>
          <w:szCs w:val="24"/>
          <w:lang w:val="zh-CN"/>
        </w:rPr>
        <w:t>2020</w:t>
      </w:r>
      <w:r>
        <w:rPr>
          <w:rFonts w:hint="eastAsia" w:ascii="宋体" w:hAnsi="宋体" w:cs="宋体"/>
          <w:kern w:val="0"/>
          <w:sz w:val="24"/>
          <w:szCs w:val="24"/>
          <w:lang w:val="zh-CN"/>
        </w:rPr>
        <w:t>年度伟隆公司营业收入总额</w:t>
      </w:r>
      <w:r>
        <w:rPr>
          <w:rFonts w:hint="default" w:eastAsia="Times New Roman"/>
          <w:kern w:val="0"/>
          <w:sz w:val="24"/>
          <w:szCs w:val="24"/>
          <w:lang w:val="zh-CN"/>
        </w:rPr>
        <w:t>34,459.00</w:t>
      </w:r>
      <w:r>
        <w:rPr>
          <w:rFonts w:hint="eastAsia" w:ascii="宋体" w:hAnsi="宋体" w:cs="宋体"/>
          <w:kern w:val="0"/>
          <w:sz w:val="24"/>
          <w:szCs w:val="24"/>
          <w:lang w:val="zh-CN"/>
        </w:rPr>
        <w:t>万元，其中外销出口收入为</w:t>
      </w:r>
      <w:r>
        <w:rPr>
          <w:rFonts w:hint="default" w:eastAsia="Times New Roman"/>
          <w:kern w:val="0"/>
          <w:sz w:val="24"/>
          <w:szCs w:val="24"/>
          <w:lang w:val="zh-CN"/>
        </w:rPr>
        <w:t>27,604.16</w:t>
      </w:r>
      <w:r>
        <w:rPr>
          <w:rFonts w:hint="eastAsia" w:ascii="宋体" w:hAnsi="宋体" w:cs="宋体"/>
          <w:kern w:val="0"/>
          <w:sz w:val="24"/>
          <w:szCs w:val="24"/>
          <w:lang w:val="zh-CN"/>
        </w:rPr>
        <w:t>万元，占营业收入总额的</w:t>
      </w:r>
      <w:r>
        <w:rPr>
          <w:rFonts w:hint="default" w:eastAsia="Times New Roman"/>
          <w:kern w:val="0"/>
          <w:sz w:val="24"/>
          <w:szCs w:val="24"/>
          <w:lang w:val="zh-CN"/>
        </w:rPr>
        <w:t>80.11%</w:t>
      </w:r>
      <w:r>
        <w:rPr>
          <w:rFonts w:hint="eastAsia" w:ascii="宋体" w:hAnsi="宋体" w:cs="宋体"/>
          <w:kern w:val="0"/>
          <w:sz w:val="24"/>
          <w:szCs w:val="24"/>
          <w:lang w:val="zh-CN"/>
        </w:rPr>
        <w:t>，外销出口收入金额及占营业收入总额的比例均较高，所以外销出口收入的确认对报表产生重要影响，因此我们将外销出口收入的确认识别为关键审计事项。</w:t>
      </w:r>
    </w:p>
    <w:p>
      <w:pPr>
        <w:autoSpaceDE w:val="0"/>
        <w:autoSpaceDN w:val="0"/>
        <w:adjustRightInd w:val="0"/>
        <w:spacing w:before="83" w:after="0"/>
        <w:ind w:firstLine="473"/>
        <w:jc w:val="left"/>
        <w:rPr>
          <w:rFonts w:hint="default" w:eastAsia="Times New Roman"/>
          <w:kern w:val="0"/>
          <w:sz w:val="24"/>
          <w:szCs w:val="24"/>
          <w:lang w:val="zh-CN"/>
        </w:rPr>
      </w:pPr>
      <w:r>
        <w:rPr>
          <w:rFonts w:hint="eastAsia" w:ascii="宋体" w:hAnsi="宋体" w:cs="宋体"/>
          <w:kern w:val="0"/>
          <w:sz w:val="24"/>
          <w:szCs w:val="24"/>
          <w:lang w:val="zh-CN"/>
        </w:rPr>
        <w:t>关于外销出口收入确认的会计政策见附注三、（二十九）；关于收入类别的披露见附注五、</w:t>
      </w:r>
      <w:r>
        <w:rPr>
          <w:rFonts w:hint="default" w:eastAsia="Times New Roman"/>
          <w:kern w:val="0"/>
          <w:sz w:val="24"/>
          <w:szCs w:val="24"/>
          <w:lang w:val="zh-CN"/>
        </w:rPr>
        <w:t>34</w:t>
      </w:r>
      <w:r>
        <w:rPr>
          <w:rFonts w:hint="eastAsia" w:ascii="宋体" w:hAnsi="宋体" w:cs="宋体"/>
          <w:kern w:val="0"/>
          <w:sz w:val="24"/>
          <w:szCs w:val="24"/>
          <w:lang w:val="zh-CN"/>
        </w:rPr>
        <w:t>。</w:t>
      </w:r>
    </w:p>
    <w:p>
      <w:pPr>
        <w:autoSpaceDE w:val="0"/>
        <w:autoSpaceDN w:val="0"/>
        <w:adjustRightInd w:val="0"/>
        <w:spacing w:before="83" w:after="0"/>
        <w:ind w:firstLine="484"/>
        <w:rPr>
          <w:rFonts w:hint="default" w:eastAsia="Times New Roman"/>
          <w:kern w:val="0"/>
          <w:sz w:val="24"/>
          <w:szCs w:val="24"/>
          <w:lang w:val="zh-CN"/>
        </w:rPr>
      </w:pPr>
      <w:r>
        <w:rPr>
          <w:rFonts w:hint="default" w:eastAsia="Times New Roman"/>
          <w:kern w:val="0"/>
          <w:sz w:val="24"/>
          <w:szCs w:val="24"/>
          <w:lang w:val="zh-CN"/>
        </w:rPr>
        <w:t>2</w:t>
      </w:r>
      <w:r>
        <w:rPr>
          <w:rFonts w:hint="eastAsia" w:ascii="宋体" w:hAnsi="宋体" w:cs="宋体"/>
          <w:kern w:val="0"/>
          <w:sz w:val="24"/>
          <w:szCs w:val="24"/>
          <w:lang w:val="zh-CN"/>
        </w:rPr>
        <w:t>、审计应对</w:t>
      </w:r>
    </w:p>
    <w:p>
      <w:pPr>
        <w:autoSpaceDE w:val="0"/>
        <w:autoSpaceDN w:val="0"/>
        <w:adjustRightInd w:val="0"/>
        <w:spacing w:before="83" w:after="0"/>
        <w:ind w:firstLine="473"/>
        <w:jc w:val="left"/>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1</w:t>
      </w:r>
      <w:r>
        <w:rPr>
          <w:rFonts w:hint="eastAsia" w:ascii="宋体" w:hAnsi="宋体" w:cs="宋体"/>
          <w:kern w:val="0"/>
          <w:sz w:val="24"/>
          <w:szCs w:val="24"/>
          <w:lang w:val="zh-CN"/>
        </w:rPr>
        <w:t>）对销售与收款相关内部控制制度进行了解并执行测试程序；</w:t>
      </w:r>
    </w:p>
    <w:p>
      <w:pPr>
        <w:autoSpaceDE w:val="0"/>
        <w:autoSpaceDN w:val="0"/>
        <w:adjustRightInd w:val="0"/>
        <w:spacing w:before="83" w:after="0"/>
        <w:ind w:firstLine="473"/>
        <w:jc w:val="left"/>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2</w:t>
      </w:r>
      <w:r>
        <w:rPr>
          <w:rFonts w:hint="eastAsia" w:ascii="宋体" w:hAnsi="宋体" w:cs="宋体"/>
          <w:kern w:val="0"/>
          <w:sz w:val="24"/>
          <w:szCs w:val="24"/>
          <w:lang w:val="zh-CN"/>
        </w:rPr>
        <w:t>）选取部分月份报关单、提单等资料与账面记录进行核对，评估收入确认是否与披露的收入确认政策一致；</w:t>
      </w:r>
    </w:p>
    <w:p>
      <w:pPr>
        <w:autoSpaceDE w:val="0"/>
        <w:autoSpaceDN w:val="0"/>
        <w:adjustRightInd w:val="0"/>
        <w:spacing w:before="83" w:after="0"/>
        <w:ind w:firstLine="473"/>
        <w:jc w:val="left"/>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3</w:t>
      </w:r>
      <w:r>
        <w:rPr>
          <w:rFonts w:hint="eastAsia" w:ascii="宋体" w:hAnsi="宋体" w:cs="宋体"/>
          <w:kern w:val="0"/>
          <w:sz w:val="24"/>
          <w:szCs w:val="24"/>
          <w:lang w:val="zh-CN"/>
        </w:rPr>
        <w:t>）对营业收入执行截止测试，确认收入是否记录在正确的会计期间；</w:t>
      </w:r>
    </w:p>
    <w:p>
      <w:pPr>
        <w:autoSpaceDE w:val="0"/>
        <w:autoSpaceDN w:val="0"/>
        <w:adjustRightInd w:val="0"/>
        <w:spacing w:before="83" w:after="0"/>
        <w:ind w:firstLine="473"/>
        <w:jc w:val="left"/>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4</w:t>
      </w:r>
      <w:r>
        <w:rPr>
          <w:rFonts w:hint="eastAsia" w:ascii="宋体" w:hAnsi="宋体" w:cs="宋体"/>
          <w:kern w:val="0"/>
          <w:sz w:val="24"/>
          <w:szCs w:val="24"/>
          <w:lang w:val="zh-CN"/>
        </w:rPr>
        <w:t>）抽样选择部分客户进行函证，询证资产负债表日的应收账款余额及</w:t>
      </w:r>
      <w:r>
        <w:rPr>
          <w:rFonts w:hint="default" w:eastAsia="Times New Roman"/>
          <w:kern w:val="0"/>
          <w:sz w:val="24"/>
          <w:szCs w:val="24"/>
          <w:lang w:val="zh-CN"/>
        </w:rPr>
        <w:t>2020</w:t>
      </w:r>
      <w:r>
        <w:rPr>
          <w:rFonts w:hint="eastAsia" w:ascii="宋体" w:hAnsi="宋体" w:cs="宋体"/>
          <w:kern w:val="0"/>
          <w:sz w:val="24"/>
          <w:szCs w:val="24"/>
          <w:lang w:val="zh-CN"/>
        </w:rPr>
        <w:t>年度销售额。</w:t>
      </w:r>
    </w:p>
    <w:p>
      <w:pPr>
        <w:autoSpaceDE w:val="0"/>
        <w:autoSpaceDN w:val="0"/>
        <w:adjustRightInd w:val="0"/>
        <w:spacing w:before="209" w:after="0"/>
        <w:ind w:firstLine="484"/>
        <w:rPr>
          <w:rFonts w:hint="default" w:eastAsia="Times New Roman"/>
          <w:b/>
          <w:kern w:val="0"/>
          <w:sz w:val="24"/>
          <w:szCs w:val="24"/>
          <w:lang w:val="zh-CN"/>
        </w:rPr>
      </w:pPr>
      <w:r>
        <w:rPr>
          <w:rFonts w:hint="eastAsia" w:ascii="宋体" w:hAnsi="宋体" w:cs="宋体"/>
          <w:b/>
          <w:kern w:val="0"/>
          <w:sz w:val="24"/>
          <w:szCs w:val="24"/>
          <w:lang w:val="zh-CN"/>
        </w:rPr>
        <w:t>（二）应收账款减值</w:t>
      </w:r>
    </w:p>
    <w:p>
      <w:pPr>
        <w:autoSpaceDE w:val="0"/>
        <w:autoSpaceDN w:val="0"/>
        <w:adjustRightInd w:val="0"/>
        <w:spacing w:before="209" w:after="0"/>
        <w:ind w:firstLine="484"/>
        <w:rPr>
          <w:rFonts w:hint="default" w:eastAsia="Times New Roman"/>
          <w:kern w:val="0"/>
          <w:sz w:val="24"/>
          <w:szCs w:val="24"/>
          <w:lang w:val="zh-CN"/>
        </w:rPr>
      </w:pPr>
      <w:r>
        <w:rPr>
          <w:rFonts w:hint="default" w:eastAsia="Times New Roman"/>
          <w:kern w:val="0"/>
          <w:sz w:val="24"/>
          <w:szCs w:val="24"/>
          <w:lang w:val="zh-CN"/>
        </w:rPr>
        <w:t>1</w:t>
      </w:r>
      <w:r>
        <w:rPr>
          <w:rFonts w:hint="eastAsia" w:ascii="宋体" w:hAnsi="宋体" w:cs="宋体"/>
          <w:kern w:val="0"/>
          <w:sz w:val="24"/>
          <w:szCs w:val="24"/>
          <w:lang w:val="zh-CN"/>
        </w:rPr>
        <w:t>、事项描述</w:t>
      </w:r>
    </w:p>
    <w:p>
      <w:pPr>
        <w:autoSpaceDE w:val="0"/>
        <w:autoSpaceDN w:val="0"/>
        <w:adjustRightInd w:val="0"/>
        <w:spacing w:before="50" w:after="0"/>
        <w:ind w:firstLine="484"/>
        <w:jc w:val="left"/>
        <w:rPr>
          <w:rFonts w:hint="default" w:eastAsia="Times New Roman"/>
          <w:kern w:val="0"/>
          <w:sz w:val="24"/>
          <w:szCs w:val="24"/>
          <w:lang w:val="zh-CN"/>
        </w:rPr>
      </w:pPr>
      <w:r>
        <w:rPr>
          <w:rFonts w:hint="default" w:eastAsia="Times New Roman"/>
          <w:kern w:val="0"/>
          <w:sz w:val="24"/>
          <w:szCs w:val="24"/>
          <w:lang w:val="zh-CN"/>
        </w:rPr>
        <w:t>2020</w:t>
      </w:r>
      <w:r>
        <w:rPr>
          <w:rFonts w:hint="eastAsia" w:ascii="宋体" w:hAnsi="宋体" w:cs="宋体"/>
          <w:kern w:val="0"/>
          <w:sz w:val="24"/>
          <w:szCs w:val="24"/>
          <w:lang w:val="zh-CN"/>
        </w:rPr>
        <w:t>年</w:t>
      </w:r>
      <w:r>
        <w:rPr>
          <w:rFonts w:hint="default" w:eastAsia="Times New Roman"/>
          <w:kern w:val="0"/>
          <w:sz w:val="24"/>
          <w:szCs w:val="24"/>
          <w:lang w:val="zh-CN"/>
        </w:rPr>
        <w:t>12</w:t>
      </w:r>
      <w:r>
        <w:rPr>
          <w:rFonts w:hint="eastAsia" w:ascii="宋体" w:hAnsi="宋体" w:cs="宋体"/>
          <w:kern w:val="0"/>
          <w:sz w:val="24"/>
          <w:szCs w:val="24"/>
          <w:lang w:val="zh-CN"/>
        </w:rPr>
        <w:t>月</w:t>
      </w:r>
      <w:r>
        <w:rPr>
          <w:rFonts w:hint="default" w:eastAsia="Times New Roman"/>
          <w:kern w:val="0"/>
          <w:sz w:val="24"/>
          <w:szCs w:val="24"/>
          <w:lang w:val="zh-CN"/>
        </w:rPr>
        <w:t>31</w:t>
      </w:r>
      <w:r>
        <w:rPr>
          <w:rFonts w:hint="eastAsia" w:ascii="宋体" w:hAnsi="宋体" w:cs="宋体"/>
          <w:kern w:val="0"/>
          <w:sz w:val="24"/>
          <w:szCs w:val="24"/>
          <w:lang w:val="zh-CN"/>
        </w:rPr>
        <w:t>日，伟隆公司应收账款账面余额为</w:t>
      </w:r>
      <w:r>
        <w:rPr>
          <w:rFonts w:hint="default" w:eastAsia="Times New Roman"/>
          <w:kern w:val="0"/>
          <w:sz w:val="24"/>
          <w:szCs w:val="24"/>
          <w:lang w:val="zh-CN"/>
        </w:rPr>
        <w:t>5,582.27</w:t>
      </w:r>
      <w:r>
        <w:rPr>
          <w:rFonts w:hint="eastAsia" w:ascii="宋体" w:hAnsi="宋体" w:cs="宋体"/>
          <w:kern w:val="0"/>
          <w:sz w:val="24"/>
          <w:szCs w:val="24"/>
          <w:lang w:val="zh-CN"/>
        </w:rPr>
        <w:t>万元，坏账准备为</w:t>
      </w:r>
      <w:r>
        <w:rPr>
          <w:rFonts w:hint="default" w:eastAsia="Times New Roman"/>
          <w:kern w:val="0"/>
          <w:sz w:val="24"/>
          <w:szCs w:val="24"/>
          <w:lang w:val="zh-CN"/>
        </w:rPr>
        <w:t>497.88</w:t>
      </w:r>
      <w:r>
        <w:rPr>
          <w:rFonts w:hint="eastAsia" w:ascii="宋体" w:hAnsi="宋体" w:cs="宋体"/>
          <w:kern w:val="0"/>
          <w:sz w:val="24"/>
          <w:szCs w:val="24"/>
          <w:lang w:val="zh-CN"/>
        </w:rPr>
        <w:t>万元。</w:t>
      </w:r>
    </w:p>
    <w:p>
      <w:pPr>
        <w:autoSpaceDE w:val="0"/>
        <w:autoSpaceDN w:val="0"/>
        <w:adjustRightInd w:val="0"/>
        <w:spacing w:before="50" w:after="0"/>
        <w:ind w:firstLine="484"/>
        <w:jc w:val="left"/>
        <w:rPr>
          <w:rFonts w:hint="default" w:eastAsia="Times New Roman"/>
          <w:kern w:val="0"/>
          <w:sz w:val="24"/>
          <w:szCs w:val="24"/>
          <w:lang w:val="zh-CN"/>
        </w:rPr>
      </w:pPr>
      <w:r>
        <w:rPr>
          <w:rFonts w:hint="eastAsia" w:ascii="宋体" w:hAnsi="宋体" w:cs="宋体"/>
          <w:kern w:val="0"/>
          <w:sz w:val="24"/>
          <w:szCs w:val="24"/>
          <w:lang w:val="zh-CN"/>
        </w:rPr>
        <w:t>由于应收账款减值涉及管理层运用重大会计估计和判断，且应收账款减值对于财务报表具有重要性，因此我们将应收账款减值识别为关键审计事项。</w:t>
      </w:r>
    </w:p>
    <w:p>
      <w:pPr>
        <w:autoSpaceDE w:val="0"/>
        <w:autoSpaceDN w:val="0"/>
        <w:adjustRightInd w:val="0"/>
        <w:spacing w:before="209" w:after="0"/>
        <w:ind w:firstLine="484"/>
        <w:rPr>
          <w:rFonts w:hint="default" w:eastAsia="Times New Roman"/>
          <w:kern w:val="0"/>
          <w:sz w:val="24"/>
          <w:szCs w:val="24"/>
          <w:lang w:val="zh-CN"/>
        </w:rPr>
      </w:pPr>
      <w:r>
        <w:rPr>
          <w:rFonts w:hint="default" w:eastAsia="Times New Roman"/>
          <w:kern w:val="0"/>
          <w:sz w:val="24"/>
          <w:szCs w:val="24"/>
          <w:lang w:val="zh-CN"/>
        </w:rPr>
        <w:t>2</w:t>
      </w:r>
      <w:r>
        <w:rPr>
          <w:rFonts w:hint="eastAsia" w:ascii="宋体" w:hAnsi="宋体" w:cs="宋体"/>
          <w:kern w:val="0"/>
          <w:sz w:val="24"/>
          <w:szCs w:val="24"/>
          <w:lang w:val="zh-CN"/>
        </w:rPr>
        <w:t>、审计应对</w:t>
      </w:r>
    </w:p>
    <w:p>
      <w:pPr>
        <w:autoSpaceDE w:val="0"/>
        <w:autoSpaceDN w:val="0"/>
        <w:adjustRightInd w:val="0"/>
        <w:spacing w:before="0" w:after="0"/>
        <w:ind w:firstLine="484"/>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1</w:t>
      </w:r>
      <w:r>
        <w:rPr>
          <w:rFonts w:hint="eastAsia" w:ascii="宋体" w:hAnsi="宋体" w:cs="宋体"/>
          <w:kern w:val="0"/>
          <w:sz w:val="24"/>
          <w:szCs w:val="24"/>
          <w:lang w:val="zh-CN"/>
        </w:rPr>
        <w:t>）了解与应收账款减值相关的关键内部控制，评价这些控制的设计，确定其是否得到执行，并测试相关内部控制的运行有效性；</w:t>
      </w:r>
    </w:p>
    <w:p>
      <w:pPr>
        <w:autoSpaceDE w:val="0"/>
        <w:autoSpaceDN w:val="0"/>
        <w:adjustRightInd w:val="0"/>
        <w:spacing w:before="0" w:after="0"/>
        <w:ind w:firstLine="484"/>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2</w:t>
      </w:r>
      <w:r>
        <w:rPr>
          <w:rFonts w:hint="eastAsia" w:ascii="宋体" w:hAnsi="宋体" w:cs="宋体"/>
          <w:kern w:val="0"/>
          <w:sz w:val="24"/>
          <w:szCs w:val="24"/>
          <w:lang w:val="zh-CN"/>
        </w:rPr>
        <w:t>）复核以前年度已计提坏账准备的应收账款的后续实际核销或转回情况，评价管理层过往预测的准确性。</w:t>
      </w:r>
    </w:p>
    <w:p>
      <w:pPr>
        <w:autoSpaceDE w:val="0"/>
        <w:autoSpaceDN w:val="0"/>
        <w:adjustRightInd w:val="0"/>
        <w:spacing w:before="0" w:after="0"/>
        <w:ind w:firstLine="484"/>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3</w:t>
      </w:r>
      <w:r>
        <w:rPr>
          <w:rFonts w:hint="eastAsia" w:ascii="宋体" w:hAnsi="宋体" w:cs="宋体"/>
          <w:kern w:val="0"/>
          <w:sz w:val="24"/>
          <w:szCs w:val="24"/>
          <w:lang w:val="zh-CN"/>
        </w:rPr>
        <w:t>）复核管理层对应收账款进行信用风险评估的相关考虑和客观证据，评价管理层是否恰当识别各项应收账款的信用风险特征；</w:t>
      </w:r>
    </w:p>
    <w:p>
      <w:pPr>
        <w:autoSpaceDE w:val="0"/>
        <w:autoSpaceDN w:val="0"/>
        <w:adjustRightInd w:val="0"/>
        <w:spacing w:before="0" w:after="0"/>
        <w:ind w:firstLine="484"/>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4</w:t>
      </w:r>
      <w:r>
        <w:rPr>
          <w:rFonts w:hint="eastAsia" w:ascii="宋体" w:hAnsi="宋体" w:cs="宋体"/>
          <w:kern w:val="0"/>
          <w:sz w:val="24"/>
          <w:szCs w:val="24"/>
          <w:lang w:val="zh-CN"/>
        </w:rPr>
        <w:t>）对于以单项为基础计量预期信用损失的应收账款，获取并检查管理层对预期收取现金流量的预测，评价在预测中使用的关键假设的合理性和数据的准确性，并与获取的外部证据进行核对；对于采用组合为基础计量预期信用损失的应收账款，评价管理层按信用风险特征划分组合的合理性；评价管理层根据历史信用损失经验及前瞻性估计确定的应收账款账龄与预期信用损失率对照表的合理性；测试管理层使用数据的准确性和完整性以及对坏账准备的计算是否准确。</w:t>
      </w:r>
    </w:p>
    <w:p>
      <w:pPr>
        <w:autoSpaceDE w:val="0"/>
        <w:autoSpaceDN w:val="0"/>
        <w:adjustRightInd w:val="0"/>
        <w:spacing w:before="0" w:after="0"/>
        <w:ind w:firstLine="484"/>
        <w:rPr>
          <w:rFonts w:hint="default" w:eastAsia="Times New Roman"/>
          <w:kern w:val="0"/>
          <w:sz w:val="24"/>
          <w:szCs w:val="24"/>
          <w:lang w:val="zh-CN"/>
        </w:rPr>
      </w:pPr>
      <w:r>
        <w:rPr>
          <w:rFonts w:hint="eastAsia" w:ascii="宋体" w:hAnsi="宋体" w:cs="宋体"/>
          <w:kern w:val="0"/>
          <w:sz w:val="24"/>
          <w:szCs w:val="24"/>
          <w:lang w:val="zh-CN"/>
        </w:rPr>
        <w:t>（</w:t>
      </w:r>
      <w:r>
        <w:rPr>
          <w:rFonts w:hint="default" w:eastAsia="Times New Roman"/>
          <w:kern w:val="0"/>
          <w:sz w:val="24"/>
          <w:szCs w:val="24"/>
          <w:lang w:val="zh-CN"/>
        </w:rPr>
        <w:t>5</w:t>
      </w:r>
      <w:r>
        <w:rPr>
          <w:rFonts w:hint="eastAsia" w:ascii="宋体" w:hAnsi="宋体" w:cs="宋体"/>
          <w:kern w:val="0"/>
          <w:sz w:val="24"/>
          <w:szCs w:val="24"/>
          <w:lang w:val="zh-CN"/>
        </w:rPr>
        <w:t>）选取样本对金额重大的应收账款余额实施了函证、检查期后回款等审计程序，评价应收账款坏账准备计提的合理性。</w:t>
      </w:r>
    </w:p>
    <w:p>
      <w:pPr>
        <w:autoSpaceDE w:val="0"/>
        <w:autoSpaceDN w:val="0"/>
        <w:adjustRightInd w:val="0"/>
        <w:spacing w:before="209" w:after="20"/>
        <w:ind w:firstLine="484"/>
        <w:jc w:val="left"/>
        <w:rPr>
          <w:rFonts w:hint="default" w:eastAsia="Times New Roman"/>
          <w:b/>
          <w:kern w:val="0"/>
          <w:sz w:val="24"/>
          <w:szCs w:val="24"/>
          <w:lang w:val="zh-CN"/>
        </w:rPr>
      </w:pPr>
      <w:r>
        <w:rPr>
          <w:rFonts w:hint="eastAsia" w:ascii="宋体" w:hAnsi="宋体" w:cs="宋体"/>
          <w:b/>
          <w:kern w:val="0"/>
          <w:sz w:val="24"/>
          <w:szCs w:val="24"/>
          <w:lang w:val="zh-CN"/>
        </w:rPr>
        <w:t>四、其他信息</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伟隆公司管理层（以下简称管理层）对其他信息负责。其他信息包括年度报告中涵盖的信息，但不包括财务报表和我们的审计报告。</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我们对财务报表发表的审计意见不涵盖其他信息，我们也不对其他信息发表任何形式的鉴证结论。</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结合我们对财务报表的审计，我们的责任是阅读其他信息，在此过程中，考虑其他信息是否与财务报表或我们在审计过程中了解到的情况存在重大不一致或者似乎存在重大错报。</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基于我们已执行的工作，如果我们确定其他信息存在重大错报，我们应当报告该事实。在这方面，我们无任何事项需要报告。</w:t>
      </w:r>
    </w:p>
    <w:p>
      <w:pPr>
        <w:autoSpaceDE w:val="0"/>
        <w:autoSpaceDN w:val="0"/>
        <w:adjustRightInd w:val="0"/>
        <w:spacing w:before="209" w:after="50"/>
        <w:ind w:firstLine="484"/>
        <w:jc w:val="left"/>
        <w:rPr>
          <w:rFonts w:hint="default" w:eastAsia="Times New Roman"/>
          <w:b/>
          <w:kern w:val="0"/>
          <w:sz w:val="24"/>
          <w:szCs w:val="24"/>
          <w:lang w:val="zh-CN"/>
        </w:rPr>
      </w:pPr>
      <w:r>
        <w:rPr>
          <w:rFonts w:hint="eastAsia" w:ascii="宋体" w:hAnsi="宋体" w:cs="宋体"/>
          <w:b/>
          <w:kern w:val="0"/>
          <w:sz w:val="24"/>
          <w:szCs w:val="24"/>
          <w:lang w:val="zh-CN"/>
        </w:rPr>
        <w:t>五、管理层和治理层对财务报表的责任</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伟隆公司管理层负责按照企业会计准则的规定编制财务报表，使其实现公允反映，并设计、执行和维护必要的内部控制，以使财务报表不存在由于舞弊或错误导致的重大错报。</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在编制财务报表时，管理层负责评估伟隆公司的持续经营能力，披露与持续经营相关的事项，并运用持续经营假设，除非管理层计划清算伟隆公司、终止运营或别无其他现实的选择。</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伟隆公司治理层（以下简称治理层）负责监督伟隆公司的财务报告过程。</w:t>
      </w:r>
    </w:p>
    <w:p>
      <w:pPr>
        <w:autoSpaceDE w:val="0"/>
        <w:autoSpaceDN w:val="0"/>
        <w:adjustRightInd w:val="0"/>
        <w:spacing w:before="0" w:after="50"/>
        <w:ind w:firstLine="484"/>
        <w:jc w:val="left"/>
        <w:rPr>
          <w:rFonts w:hint="default" w:eastAsia="Times New Roman"/>
          <w:b/>
          <w:kern w:val="0"/>
          <w:sz w:val="24"/>
          <w:szCs w:val="24"/>
          <w:lang w:val="zh-CN"/>
        </w:rPr>
      </w:pPr>
      <w:r>
        <w:rPr>
          <w:rFonts w:hint="eastAsia" w:ascii="宋体" w:hAnsi="宋体" w:cs="宋体"/>
          <w:b/>
          <w:kern w:val="0"/>
          <w:sz w:val="24"/>
          <w:szCs w:val="24"/>
          <w:lang w:val="zh-CN"/>
        </w:rPr>
        <w:t>六、注册会计师对财务报表审计的责任</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在按照审计准则执行审计工作的过程中，我们运用职业判断，并保持职业怀疑。同时，我们也执行以下工作：</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（二）了解与审计相关的内部控制，以设计恰当的审计程序，但目的并非对内部控制的有效性发表意见。</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（三）评价管理层选用会计政策的恰当性和作出会计估计及相关披露的合理性。</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四）对管理层使用持续经营假设的恰当性得出结论。同时，根据获取的审计证据，就可能导致对伟隆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伟隆公司不能持续经营。</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（五）评价财务报表的总体列报、结构和内容，并评价财务报表是否公允反映相关交易和事项。</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（六）就伟隆公司中实体或业务活动的财务信息获取充分、适当的审计证据，以对财务报表发表审计意见。我们负责指导、监督和执行集团审计，并对审计意见承担全部责任。</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我们与治理层就计划的审计范围、时间安排和重大审计发现等事项进行沟通，包括沟通我们在审计中识别出的值得关注的内部控制缺陷。</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我们还就已遵守与独立性相关的职业道德要求向治理层提供声明，并与治理层沟通可能被合理认为影响我们独立性的所有关系和其他事项，以及相关的防范措施。</w:t>
      </w:r>
    </w:p>
    <w:p>
      <w:pPr>
        <w:autoSpaceDE w:val="0"/>
        <w:autoSpaceDN w:val="0"/>
        <w:adjustRightInd w:val="0"/>
        <w:spacing w:before="83" w:after="0"/>
        <w:ind w:firstLine="484"/>
        <w:rPr>
          <w:rFonts w:hint="default" w:eastAsia="Times New Roman"/>
          <w:kern w:val="0"/>
          <w:sz w:val="24"/>
          <w:szCs w:val="24"/>
          <w:lang w:val="zh-CN"/>
        </w:rPr>
      </w:pPr>
      <w:r>
        <w:rPr>
          <w:rFonts w:hint="eastAsia" w:ascii="宋体" w:hAnsi="宋体" w:cs="宋体"/>
          <w:kern w:val="0"/>
          <w:sz w:val="24"/>
          <w:szCs w:val="24"/>
          <w:lang w:val="zh-CN"/>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autoSpaceDE w:val="0"/>
        <w:autoSpaceDN w:val="0"/>
        <w:adjustRightInd w:val="0"/>
        <w:spacing w:before="83" w:after="0"/>
        <w:rPr>
          <w:rFonts w:hint="default" w:eastAsia="Times New Roman"/>
          <w:kern w:val="0"/>
          <w:sz w:val="24"/>
          <w:szCs w:val="24"/>
          <w:lang w:val="zh-CN"/>
        </w:rPr>
      </w:pPr>
      <w:r>
        <w:rPr>
          <w:rFonts w:hint="default" w:eastAsia="Times New Roman"/>
          <w:kern w:val="0"/>
          <w:sz w:val="24"/>
          <w:szCs w:val="24"/>
          <w:lang w:val="zh-CN"/>
        </w:rPr>
        <w:t xml:space="preserve"> </w:t>
      </w:r>
    </w:p>
    <w:p>
      <w:pPr>
        <w:autoSpaceDE w:val="0"/>
        <w:autoSpaceDN w:val="0"/>
        <w:adjustRightInd w:val="0"/>
        <w:spacing w:before="83" w:after="0"/>
        <w:rPr>
          <w:rFonts w:hint="default" w:eastAsia="Times New Roman"/>
          <w:kern w:val="0"/>
          <w:sz w:val="24"/>
          <w:szCs w:val="24"/>
          <w:lang w:val="zh-CN"/>
        </w:rPr>
      </w:pPr>
    </w:p>
    <w:p>
      <w:pPr>
        <w:autoSpaceDE w:val="0"/>
        <w:autoSpaceDN w:val="0"/>
        <w:adjustRightInd w:val="0"/>
        <w:spacing w:before="83" w:after="0"/>
        <w:rPr>
          <w:rFonts w:hint="default" w:eastAsia="Times New Roman"/>
          <w:kern w:val="0"/>
          <w:sz w:val="24"/>
          <w:szCs w:val="24"/>
          <w:lang w:val="zh-CN"/>
        </w:rPr>
      </w:pPr>
    </w:p>
    <w:p>
      <w:pPr>
        <w:autoSpaceDE w:val="0"/>
        <w:autoSpaceDN w:val="0"/>
        <w:adjustRightInd w:val="0"/>
        <w:spacing w:before="83" w:after="0"/>
        <w:rPr>
          <w:rFonts w:hint="default" w:eastAsia="Times New Roman"/>
          <w:kern w:val="0"/>
          <w:sz w:val="24"/>
          <w:szCs w:val="24"/>
          <w:lang w:val="zh-CN"/>
        </w:rPr>
      </w:pPr>
    </w:p>
    <w:p>
      <w:pPr>
        <w:autoSpaceDE w:val="0"/>
        <w:autoSpaceDN w:val="0"/>
        <w:adjustRightInd w:val="0"/>
        <w:spacing w:before="83" w:after="0"/>
        <w:rPr>
          <w:rFonts w:hint="default" w:eastAsia="Times New Roman"/>
          <w:kern w:val="0"/>
          <w:sz w:val="24"/>
          <w:szCs w:val="24"/>
          <w:lang w:val="zh-CN"/>
        </w:rPr>
      </w:pPr>
    </w:p>
    <w:p>
      <w:pPr>
        <w:autoSpaceDE w:val="0"/>
        <w:autoSpaceDN w:val="0"/>
        <w:adjustRightInd w:val="0"/>
        <w:spacing w:before="83" w:after="0"/>
        <w:rPr>
          <w:rFonts w:hint="default" w:eastAsia="Times New Roman"/>
          <w:kern w:val="0"/>
          <w:sz w:val="24"/>
          <w:szCs w:val="24"/>
          <w:lang w:val="zh-CN"/>
        </w:rPr>
      </w:pPr>
    </w:p>
    <w:p>
      <w:pPr>
        <w:autoSpaceDE w:val="0"/>
        <w:autoSpaceDN w:val="0"/>
        <w:adjustRightInd w:val="0"/>
        <w:spacing w:before="0" w:after="0"/>
        <w:rPr>
          <w:rFonts w:hint="default" w:eastAsia="Times New Roman"/>
          <w:b/>
          <w:kern w:val="0"/>
          <w:sz w:val="24"/>
          <w:szCs w:val="24"/>
          <w:lang w:val="zh-CN"/>
        </w:rPr>
      </w:pPr>
      <w:r>
        <w:rPr>
          <w:rFonts w:hint="eastAsia" w:ascii="宋体" w:hAnsi="宋体" w:cs="宋体"/>
          <w:b/>
          <w:kern w:val="0"/>
          <w:sz w:val="24"/>
          <w:szCs w:val="24"/>
          <w:lang w:val="zh-CN"/>
        </w:rPr>
        <w:t>和信会计师事务所（特殊普通合伙）</w:t>
      </w:r>
      <w:r>
        <w:rPr>
          <w:rFonts w:hint="default" w:eastAsia="Times New Roman"/>
          <w:b/>
          <w:kern w:val="0"/>
          <w:sz w:val="24"/>
          <w:szCs w:val="24"/>
          <w:lang w:val="zh-CN"/>
        </w:rPr>
        <w:t xml:space="preserve">     </w:t>
      </w:r>
      <w:r>
        <w:rPr>
          <w:rFonts w:hint="eastAsia" w:ascii="宋体" w:hAnsi="宋体" w:cs="宋体"/>
          <w:b/>
          <w:kern w:val="0"/>
          <w:sz w:val="24"/>
          <w:szCs w:val="24"/>
          <w:lang w:val="zh-CN"/>
        </w:rPr>
        <w:t>中国注册会计师</w:t>
      </w:r>
      <w:r>
        <w:rPr>
          <w:rFonts w:hint="default" w:eastAsia="Times New Roman"/>
          <w:b/>
          <w:kern w:val="0"/>
          <w:sz w:val="24"/>
          <w:szCs w:val="24"/>
          <w:lang w:val="zh-CN"/>
        </w:rPr>
        <w:t>:</w:t>
      </w:r>
    </w:p>
    <w:p>
      <w:pPr>
        <w:autoSpaceDE w:val="0"/>
        <w:autoSpaceDN w:val="0"/>
        <w:adjustRightInd w:val="0"/>
        <w:spacing w:before="209" w:after="0"/>
        <w:rPr>
          <w:rFonts w:hint="default" w:eastAsia="Times New Roman"/>
          <w:b/>
          <w:kern w:val="0"/>
          <w:sz w:val="24"/>
          <w:szCs w:val="24"/>
          <w:lang w:val="zh-CN"/>
        </w:rPr>
      </w:pPr>
      <w:r>
        <w:rPr>
          <w:rFonts w:hint="default" w:eastAsia="Times New Roman"/>
          <w:b/>
          <w:kern w:val="0"/>
          <w:sz w:val="24"/>
          <w:szCs w:val="24"/>
          <w:lang w:val="zh-CN"/>
        </w:rPr>
        <w:t xml:space="preserve">                                        (</w:t>
      </w:r>
      <w:r>
        <w:rPr>
          <w:rFonts w:hint="eastAsia" w:ascii="宋体" w:hAnsi="宋体" w:cs="宋体"/>
          <w:b/>
          <w:kern w:val="0"/>
          <w:sz w:val="24"/>
          <w:szCs w:val="24"/>
          <w:lang w:val="zh-CN"/>
        </w:rPr>
        <w:t>项目合伙人</w:t>
      </w:r>
      <w:r>
        <w:rPr>
          <w:rFonts w:hint="default" w:eastAsia="Times New Roman"/>
          <w:b/>
          <w:kern w:val="0"/>
          <w:sz w:val="24"/>
          <w:szCs w:val="24"/>
          <w:lang w:val="zh-CN"/>
        </w:rPr>
        <w:t>)</w:t>
      </w:r>
    </w:p>
    <w:p>
      <w:pPr>
        <w:autoSpaceDE w:val="0"/>
        <w:autoSpaceDN w:val="0"/>
        <w:adjustRightInd w:val="0"/>
        <w:spacing w:before="0" w:after="0"/>
        <w:ind w:firstLine="932"/>
        <w:rPr>
          <w:rFonts w:hint="default" w:eastAsia="Times New Roman"/>
          <w:b/>
          <w:kern w:val="0"/>
          <w:sz w:val="24"/>
          <w:szCs w:val="24"/>
          <w:lang w:val="zh-CN"/>
        </w:rPr>
      </w:pPr>
    </w:p>
    <w:p>
      <w:pPr>
        <w:autoSpaceDE w:val="0"/>
        <w:autoSpaceDN w:val="0"/>
        <w:adjustRightInd w:val="0"/>
        <w:spacing w:before="0" w:after="0"/>
        <w:ind w:firstLine="932"/>
        <w:rPr>
          <w:rFonts w:hint="default" w:eastAsia="Times New Roman"/>
          <w:b/>
          <w:kern w:val="0"/>
          <w:sz w:val="24"/>
          <w:szCs w:val="24"/>
          <w:lang w:val="zh-CN"/>
        </w:rPr>
      </w:pPr>
      <w:r>
        <w:rPr>
          <w:rFonts w:hint="eastAsia" w:ascii="宋体" w:hAnsi="宋体" w:cs="宋体"/>
          <w:b/>
          <w:kern w:val="0"/>
          <w:sz w:val="24"/>
          <w:szCs w:val="24"/>
          <w:lang w:val="zh-CN"/>
        </w:rPr>
        <w:t>中国</w:t>
      </w:r>
      <w:r>
        <w:rPr>
          <w:rFonts w:hint="default" w:eastAsia="Times New Roman"/>
          <w:b/>
          <w:kern w:val="0"/>
          <w:sz w:val="24"/>
          <w:szCs w:val="24"/>
          <w:lang w:val="zh-CN"/>
        </w:rPr>
        <w:t>·</w:t>
      </w:r>
      <w:r>
        <w:rPr>
          <w:rFonts w:hint="eastAsia" w:ascii="宋体" w:hAnsi="宋体" w:cs="宋体"/>
          <w:b/>
          <w:kern w:val="0"/>
          <w:sz w:val="24"/>
          <w:szCs w:val="24"/>
          <w:lang w:val="zh-CN"/>
        </w:rPr>
        <w:t>济南</w:t>
      </w:r>
      <w:r>
        <w:rPr>
          <w:rFonts w:hint="default" w:eastAsia="Times New Roman"/>
          <w:b/>
          <w:kern w:val="0"/>
          <w:sz w:val="24"/>
          <w:szCs w:val="24"/>
          <w:lang w:val="zh-CN"/>
        </w:rPr>
        <w:t xml:space="preserve">                       </w:t>
      </w:r>
    </w:p>
    <w:p>
      <w:pPr>
        <w:autoSpaceDE w:val="0"/>
        <w:autoSpaceDN w:val="0"/>
        <w:adjustRightInd w:val="0"/>
        <w:spacing w:before="0" w:after="0"/>
        <w:rPr>
          <w:rFonts w:hint="default" w:eastAsia="Times New Roman"/>
          <w:b/>
          <w:kern w:val="0"/>
          <w:sz w:val="24"/>
          <w:szCs w:val="24"/>
          <w:lang w:val="zh-CN"/>
        </w:rPr>
      </w:pPr>
      <w:r>
        <w:rPr>
          <w:rFonts w:hint="default" w:eastAsia="Times New Roman"/>
          <w:b/>
          <w:kern w:val="0"/>
          <w:sz w:val="24"/>
          <w:szCs w:val="24"/>
          <w:lang w:val="zh-CN"/>
        </w:rPr>
        <w:t xml:space="preserve">                                      </w:t>
      </w:r>
      <w:r>
        <w:rPr>
          <w:rFonts w:hint="eastAsia" w:ascii="宋体" w:hAnsi="宋体" w:cs="宋体"/>
          <w:b/>
          <w:kern w:val="0"/>
          <w:sz w:val="24"/>
          <w:szCs w:val="24"/>
          <w:lang w:val="zh-CN"/>
        </w:rPr>
        <w:t>中国注册会计师</w:t>
      </w:r>
      <w:r>
        <w:rPr>
          <w:rFonts w:hint="default" w:eastAsia="Times New Roman"/>
          <w:b/>
          <w:kern w:val="0"/>
          <w:sz w:val="24"/>
          <w:szCs w:val="24"/>
          <w:lang w:val="zh-CN"/>
        </w:rPr>
        <w:t>:</w:t>
      </w:r>
    </w:p>
    <w:p>
      <w:pPr>
        <w:autoSpaceDE w:val="0"/>
        <w:autoSpaceDN w:val="0"/>
        <w:adjustRightInd w:val="0"/>
        <w:spacing w:before="0" w:after="0"/>
        <w:ind w:firstLine="4428"/>
        <w:rPr>
          <w:rFonts w:hint="default" w:eastAsia="Times New Roman"/>
          <w:b/>
          <w:kern w:val="0"/>
          <w:sz w:val="24"/>
          <w:szCs w:val="24"/>
          <w:lang w:val="zh-CN"/>
        </w:rPr>
      </w:pPr>
      <w:r>
        <w:rPr>
          <w:rFonts w:hint="default" w:eastAsia="Times New Roman"/>
          <w:b/>
          <w:kern w:val="0"/>
          <w:sz w:val="24"/>
          <w:szCs w:val="24"/>
          <w:lang w:val="zh-CN"/>
        </w:rPr>
        <w:t xml:space="preserve"> </w:t>
      </w:r>
    </w:p>
    <w:p>
      <w:pPr>
        <w:autoSpaceDE w:val="0"/>
        <w:autoSpaceDN w:val="0"/>
        <w:adjustRightInd w:val="0"/>
        <w:spacing w:before="0" w:after="0"/>
        <w:ind w:firstLine="4428"/>
        <w:rPr>
          <w:rFonts w:hint="default" w:eastAsia="Times New Roman"/>
          <w:b/>
          <w:kern w:val="0"/>
          <w:sz w:val="24"/>
          <w:szCs w:val="24"/>
          <w:lang w:val="zh-CN"/>
        </w:rPr>
      </w:pPr>
      <w:r>
        <w:rPr>
          <w:rFonts w:hint="default" w:eastAsia="Times New Roman"/>
          <w:b/>
          <w:kern w:val="0"/>
          <w:sz w:val="24"/>
          <w:szCs w:val="24"/>
          <w:lang w:val="zh-CN"/>
        </w:rPr>
        <w:t xml:space="preserve"> </w:t>
      </w:r>
    </w:p>
    <w:p>
      <w:pPr>
        <w:autoSpaceDE w:val="0"/>
        <w:autoSpaceDN w:val="0"/>
        <w:adjustRightInd w:val="0"/>
        <w:spacing w:before="0" w:after="0"/>
        <w:ind w:firstLine="4428"/>
        <w:rPr>
          <w:rFonts w:hint="default" w:eastAsia="Times New Roman"/>
          <w:kern w:val="0"/>
          <w:sz w:val="24"/>
          <w:szCs w:val="24"/>
          <w:lang w:val="zh-CN"/>
        </w:rPr>
      </w:pPr>
      <w:r>
        <w:rPr>
          <w:rFonts w:hint="default" w:eastAsia="Times New Roman"/>
          <w:b/>
          <w:kern w:val="0"/>
          <w:sz w:val="24"/>
          <w:szCs w:val="24"/>
          <w:lang w:val="zh-CN"/>
        </w:rPr>
        <w:t xml:space="preserve">  </w:t>
      </w:r>
      <w:r>
        <w:rPr>
          <w:rFonts w:hint="eastAsia" w:ascii="宋体" w:hAnsi="宋体" w:cs="宋体"/>
          <w:b/>
          <w:kern w:val="0"/>
          <w:sz w:val="24"/>
          <w:szCs w:val="24"/>
          <w:lang w:val="zh-CN"/>
        </w:rPr>
        <w:t>二</w:t>
      </w:r>
      <w:r>
        <w:rPr>
          <w:rFonts w:hint="default" w:eastAsia="Times New Roman"/>
          <w:b/>
          <w:kern w:val="0"/>
          <w:sz w:val="24"/>
          <w:szCs w:val="24"/>
          <w:lang w:val="zh-CN"/>
        </w:rPr>
        <w:t>○</w:t>
      </w:r>
      <w:r>
        <w:rPr>
          <w:rFonts w:hint="eastAsia" w:ascii="宋体" w:hAnsi="宋体" w:cs="宋体"/>
          <w:b/>
          <w:kern w:val="0"/>
          <w:sz w:val="24"/>
          <w:szCs w:val="24"/>
          <w:lang w:val="zh-CN"/>
        </w:rPr>
        <w:t>二一年四月二十八日</w:t>
      </w:r>
    </w:p>
    <w:p>
      <w:pPr>
        <w:autoSpaceDE w:val="0"/>
        <w:autoSpaceDN w:val="0"/>
        <w:adjustRightInd w:val="0"/>
        <w:spacing w:before="0" w:after="0"/>
        <w:jc w:val="left"/>
        <w:rPr>
          <w:rFonts w:hint="default" w:eastAsia="Times New Roman"/>
          <w:kern w:val="0"/>
          <w:sz w:val="18"/>
          <w:szCs w:val="24"/>
          <w:lang w:val="zh-CN"/>
        </w:rPr>
      </w:pPr>
    </w:p>
    <w:p>
      <w:pPr>
        <w:pStyle w:val="7"/>
        <w:outlineLvl w:val="1"/>
        <w:rPr>
          <w:rFonts w:hint="default"/>
          <w:sz w:val="24"/>
          <w:szCs w:val="24"/>
        </w:rPr>
      </w:pPr>
      <w:r>
        <w:rPr>
          <w:rFonts w:hint="eastAsia"/>
          <w:sz w:val="24"/>
          <w:szCs w:val="24"/>
        </w:rPr>
        <w:t>二、财务报表</w:t>
      </w:r>
    </w:p>
    <w:p>
      <w:pPr>
        <w:jc w:val="left"/>
        <w:rPr>
          <w:rFonts w:hint="default"/>
          <w:sz w:val="18"/>
          <w:szCs w:val="24"/>
        </w:rPr>
      </w:pPr>
      <w:r>
        <w:rPr>
          <w:rFonts w:hint="eastAsia"/>
          <w:sz w:val="18"/>
          <w:szCs w:val="24"/>
        </w:rPr>
        <w:t>财务附注中报表的单位为：元</w:t>
      </w:r>
    </w:p>
    <w:p>
      <w:pPr>
        <w:pStyle w:val="8"/>
        <w:outlineLvl w:val="2"/>
        <w:rPr>
          <w:rFonts w:hint="default"/>
          <w:sz w:val="21"/>
          <w:szCs w:val="24"/>
        </w:rPr>
      </w:pPr>
      <w:r>
        <w:rPr>
          <w:rFonts w:hint="default"/>
          <w:sz w:val="21"/>
          <w:szCs w:val="24"/>
        </w:rPr>
        <w:t>1</w:t>
      </w:r>
      <w:r>
        <w:rPr>
          <w:rFonts w:hint="eastAsia"/>
          <w:sz w:val="21"/>
          <w:szCs w:val="24"/>
        </w:rPr>
        <w:t>、合并资产负债表</w:t>
      </w:r>
    </w:p>
    <w:p>
      <w:pPr>
        <w:jc w:val="left"/>
        <w:rPr>
          <w:rFonts w:hint="default"/>
          <w:sz w:val="18"/>
          <w:szCs w:val="24"/>
        </w:rPr>
      </w:pPr>
      <w:r>
        <w:rPr>
          <w:rFonts w:hint="eastAsia"/>
          <w:sz w:val="18"/>
          <w:szCs w:val="24"/>
        </w:rPr>
        <w:t>编制单位：青岛伟隆阀门股份有限公司</w:t>
      </w:r>
    </w:p>
    <w:p>
      <w:pPr>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货币资金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57,715,316.04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64,156,884.49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结算备付金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拆出资金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交易性金融资产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334,004,283.96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275,371,071.09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50,843,941.41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67,182,916.72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应收款项融资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888,430.46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预付款项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2,086,400.62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1,305,808.90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应收保费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应收分保账款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应收分保合同准备金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4,492,285.68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5,893,828.87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其中：应收利息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买入返售金融资产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存货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74,218,386.35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69,984,211.20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合同资产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持有待售资产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31,777,341.61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2,217,011.71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556,026,386.13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486,111,732.98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发放贷款和垫款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长期股权投资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其他权益工具投资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投资性房地产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6,287,492.43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2,140,592.53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固定资产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245,669,062.62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258,179,216.73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在建工程</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12,829,256.89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2,327,542.83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生产性生物资产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油气资产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使用权资产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无形资产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35,431,909.73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37,403,874.32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开发支出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商誉</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长期待摊费用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285,962.60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349,509.80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11,471,352.37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9,758,687.83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1,663,500.00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3,637,853.22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313,638,536.64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313,797,277.26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资产总计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869,664,922.77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799,909,010.24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短期借款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49,586,141.87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向中央银行借款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拆入资金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交易性金融负债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34,798,500.08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28,784,555.96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50,130,832.30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59,956,045.67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预收款项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11,957,280.71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合同负债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21,659,525.49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卖出回购金融资产款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吸收存款及同业存放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代理买卖证券款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代理承销证券款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21,145,013.77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18,326,185.62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应交税费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911,908.09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1,622,535.64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12,243,854.80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13,839,894.91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其中：应付利息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应付手续费及佣金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应付分保账款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持有待售负债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915,607.91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191,422,984.31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134,486,498.51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保险合同准备金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应付债券</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租赁负债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预计负债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1,698,256.40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11,203,763.20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8,796,408.98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3,805,442.72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3,617,416.13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15,009,205.92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14,112,081.51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206,432,190.23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148,598,580.02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所有者权益：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股本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116,680,000.00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其他权益工具</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资本公积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245,900,770.45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242,773,294.11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减：库存股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3,835,944.00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16,734.39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专项储备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盈余公积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51,972,593.74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一般风险准备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未分配利润</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252,498,577.96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253,603,762.45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归属于母公司所有者权益合计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663,232,732.54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少数股东权益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663,232,732.54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负债和所有者权益总计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869,664,922.77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799,909,010.24</w:t>
            </w:r>
          </w:p>
        </w:tc>
      </w:tr>
    </w:tbl>
    <w:p>
      <w:pPr>
        <w:spacing w:before="300"/>
        <w:rPr>
          <w:rFonts w:hint="default"/>
          <w:sz w:val="18"/>
          <w:szCs w:val="24"/>
        </w:rPr>
      </w:pPr>
      <w:r>
        <w:rPr>
          <w:rFonts w:hint="eastAsia"/>
          <w:sz w:val="18"/>
          <w:szCs w:val="24"/>
        </w:rPr>
        <w:t>法定代表人：范庆伟</w:t>
      </w:r>
      <w:r>
        <w:rPr>
          <w:rFonts w:hint="default"/>
          <w:sz w:val="18"/>
          <w:szCs w:val="24"/>
        </w:rPr>
        <w:t xml:space="preserve">                     </w:t>
      </w:r>
      <w:r>
        <w:rPr>
          <w:rFonts w:hint="eastAsia"/>
          <w:sz w:val="18"/>
          <w:szCs w:val="24"/>
        </w:rPr>
        <w:t>主管会计工作负责人：迟娜娜</w:t>
      </w:r>
      <w:r>
        <w:rPr>
          <w:rFonts w:hint="default"/>
          <w:sz w:val="18"/>
          <w:szCs w:val="24"/>
        </w:rPr>
        <w:t xml:space="preserve">                     </w:t>
      </w:r>
      <w:r>
        <w:rPr>
          <w:rFonts w:hint="eastAsia"/>
          <w:sz w:val="18"/>
          <w:szCs w:val="24"/>
        </w:rPr>
        <w:t>会计机构负责人：王涛</w:t>
      </w:r>
    </w:p>
    <w:p>
      <w:pPr>
        <w:pStyle w:val="8"/>
        <w:outlineLvl w:val="2"/>
        <w:rPr>
          <w:rFonts w:hint="default"/>
          <w:sz w:val="21"/>
          <w:szCs w:val="24"/>
        </w:rPr>
      </w:pPr>
      <w:r>
        <w:rPr>
          <w:rFonts w:hint="default"/>
          <w:sz w:val="21"/>
          <w:szCs w:val="24"/>
        </w:rPr>
        <w:t>2</w:t>
      </w:r>
      <w:r>
        <w:rPr>
          <w:rFonts w:hint="eastAsia"/>
          <w:sz w:val="21"/>
          <w:szCs w:val="24"/>
        </w:rPr>
        <w:t>、母公司资产负债表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货币资金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46,185,224.78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54,824,266.14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交易性金融资产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275,371,071.09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38,709,715.31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65,552,931.35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应收款项融资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788,430.46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预付款项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76,367,197.16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38,105,267.69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23,008,321.95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26,863,455.81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其中：应收利息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存货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30,781,520.20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33,832,577.63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合同资产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持有待售资产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31,011,872.54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261,208.69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573,781,081.43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494,810,778.40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长期股权投资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242,044,261.25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228,796,424.38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其他权益工具投资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投资性房地产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固定资产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23,123,079.12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33,805,302.32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在建工程</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30,973.45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563,716.82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生产性生物资产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油气资产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使用权资产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无形资产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646,929.88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2,305,118.75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开发支出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商誉</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长期待摊费用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2,478,628.48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2,809,450.07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268,323,872.18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268,280,012.34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资产总计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842,104,953.61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763,090,790.74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短期借款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49,586,141.87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交易性金融负债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34,798,500.08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28,784,555.96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25,707,352.41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29,318,385.52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预收款项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11,380,382.31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合同负债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17,917,180.70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9,592,074.99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8,564,328.80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应交税费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373,286.33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1,088,638.95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8,738,883.86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11,893,076.36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其中：应付利息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持有待售负债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733,416.52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147,478,436.76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91,029,367.90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应付债券</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租赁负债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预计负债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2,745,923.90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3,802,104.45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3,491,403.56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6,548,028.35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3,491,403.56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154,026,465.11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94,520,771.46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所有者权益：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股本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116,680,000.00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其他权益工具</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资本公积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243,558,895.15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240,431,418.81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减：库存股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3,835,944.00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专项储备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盈余公积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51,972,593.74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未分配利润</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279,702,943.61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273,103,446.22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688,078,488.50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负债和所有者权益总计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842,104,953.61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763,090,790.74</w:t>
            </w:r>
          </w:p>
        </w:tc>
      </w:tr>
    </w:tbl>
    <w:p>
      <w:pPr>
        <w:pStyle w:val="8"/>
        <w:outlineLvl w:val="2"/>
        <w:rPr>
          <w:rFonts w:hint="default"/>
          <w:sz w:val="21"/>
          <w:szCs w:val="24"/>
        </w:rPr>
      </w:pPr>
      <w:r>
        <w:rPr>
          <w:rFonts w:hint="default"/>
          <w:sz w:val="21"/>
          <w:szCs w:val="24"/>
        </w:rPr>
        <w:t>3</w:t>
      </w:r>
      <w:r>
        <w:rPr>
          <w:rFonts w:hint="eastAsia"/>
          <w:sz w:val="21"/>
          <w:szCs w:val="24"/>
        </w:rPr>
        <w:t>、合并利润表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080"/>
        <w:gridCol w:w="3210"/>
        <w:gridCol w:w="3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年度</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一、营业总收入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344,590,024.63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355,225,906.74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其中：营业收入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344,590,024.63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355,225,906.74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利息收入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557,207.33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521,692.04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已赚保费</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手续费及佣金收入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二、营业总成本</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297,341,595.81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306,386,020.52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其中：营业成本</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225,618,597.01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226,827,008.02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利息支出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手续费及佣金支出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退保金</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赔付支出净额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提取保险责任合同准备金净额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保单红利支出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分保费用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税金及附加</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4,617,470.53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5,539,665.09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销售费用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20,821,013.58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29,360,618.97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管理费用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23,257,512.43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23,740,598.22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研发费用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21,237,919.68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21,350,293.92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财务费用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1,789,082.58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-432,163.70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其中：利息费用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639,030.28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利息收入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557,207.33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521,692.04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加：其他收益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4,170,698.89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2,080,253.77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投资收益（损失以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9,186,397.81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10,194,747.65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其中：对联营企业和合营企业的投资收益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以摊余成本计量的金融资产终止确认收益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汇兑收益（损失以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净敞口套期收益（损失以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公允价值变动收益（损失以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4,601,612.87</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1,371,071.09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信用减值损失（损失以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589,631.58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487,396.52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资产减值损失（损失以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-376,117.28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-791,204.63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资产处置收益（损失以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269,314.21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118,959.11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三、营业利润（亏损以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65,689,966.90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62,301,109.73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加：营业外收入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1,534,176.71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483,704.48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减：营业外支出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1,373,529.02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1,938,860.40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四、利润总额（亏损总额以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65,850,614.59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60,845,953.81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减：所得税费用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7,882,521.59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7,862,086.27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五、净利润（净亏损以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57,968,093.00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52,983,867.54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（一）按经营持续性分类</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持续经营净利润（净亏损以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57,968,093.00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52,983,867.54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终止经营净利润（净亏损以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（二）按所有权归属分类</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归属于母公司股东的净利润</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57,968,093.00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52,983,867.54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少数股东损益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归属母公司所有者的其他综合收益的税后净额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（一）不能重分类进损益的其他综合收益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重新计量设定受益计划变动额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权益法下不能转损益的其他综合收益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其他权益工具投资公允价值变动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企业自身信用风险公允价值变动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其他</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（二）将重分类进损益的其他综合收益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权益法下可转损益的其他综合收益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其他债权投资公允价值变动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金融资产重分类计入其他综合收益的金额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其他债权投资信用减值准备</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现金流量套期储备</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6.</w:t>
            </w:r>
            <w:r>
              <w:rPr>
                <w:rFonts w:hint="eastAsia"/>
                <w:sz w:val="18"/>
                <w:szCs w:val="24"/>
              </w:rPr>
              <w:t>外币财务报表折算差额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7.</w:t>
            </w:r>
            <w:r>
              <w:rPr>
                <w:rFonts w:hint="eastAsia"/>
                <w:sz w:val="18"/>
                <w:szCs w:val="24"/>
              </w:rPr>
              <w:t>其他</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归属于少数股东的其他综合收益的税后净额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七、综合收益总额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58,086,607.98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52,882,086.95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归属于母公司所有者的综合收益总额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58,086,607.98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52,882,086.95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归属于少数股东的综合收益总额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八、每股收益：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（一）基本每股收益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0.50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（二）稀释每股收益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0.50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0.45</w:t>
            </w:r>
          </w:p>
        </w:tc>
      </w:tr>
    </w:tbl>
    <w:p>
      <w:pPr>
        <w:jc w:val="left"/>
        <w:rPr>
          <w:rFonts w:hint="default"/>
          <w:sz w:val="18"/>
          <w:szCs w:val="24"/>
        </w:rPr>
      </w:pPr>
      <w:r>
        <w:rPr>
          <w:rFonts w:hint="eastAsia"/>
          <w:sz w:val="18"/>
          <w:szCs w:val="24"/>
        </w:rPr>
        <w:t>本期发生同一控制下企业合并的，被合并方在合并前实现的净利润为：元，上期被合并方实现的净利润为：元。</w:t>
      </w:r>
    </w:p>
    <w:p>
      <w:pPr>
        <w:spacing w:before="300"/>
        <w:rPr>
          <w:rFonts w:hint="default"/>
          <w:sz w:val="18"/>
          <w:szCs w:val="24"/>
        </w:rPr>
      </w:pPr>
      <w:r>
        <w:rPr>
          <w:rFonts w:hint="eastAsia"/>
          <w:sz w:val="18"/>
          <w:szCs w:val="24"/>
        </w:rPr>
        <w:t>法定代表人：范庆伟</w:t>
      </w:r>
      <w:r>
        <w:rPr>
          <w:rFonts w:hint="default"/>
          <w:sz w:val="18"/>
          <w:szCs w:val="24"/>
        </w:rPr>
        <w:t xml:space="preserve">                     </w:t>
      </w:r>
      <w:r>
        <w:rPr>
          <w:rFonts w:hint="eastAsia"/>
          <w:sz w:val="18"/>
          <w:szCs w:val="24"/>
        </w:rPr>
        <w:t>主管会计工作负责人：迟娜娜</w:t>
      </w:r>
      <w:r>
        <w:rPr>
          <w:rFonts w:hint="default"/>
          <w:sz w:val="18"/>
          <w:szCs w:val="24"/>
        </w:rPr>
        <w:t xml:space="preserve">                     </w:t>
      </w:r>
      <w:r>
        <w:rPr>
          <w:rFonts w:hint="eastAsia"/>
          <w:sz w:val="18"/>
          <w:szCs w:val="24"/>
        </w:rPr>
        <w:t>会计机构负责人：王涛</w:t>
      </w:r>
    </w:p>
    <w:p>
      <w:pPr>
        <w:pStyle w:val="8"/>
        <w:outlineLvl w:val="2"/>
        <w:rPr>
          <w:rFonts w:hint="default"/>
          <w:sz w:val="21"/>
          <w:szCs w:val="24"/>
        </w:rPr>
      </w:pPr>
      <w:r>
        <w:rPr>
          <w:rFonts w:hint="default"/>
          <w:sz w:val="21"/>
          <w:szCs w:val="24"/>
        </w:rPr>
        <w:t>4</w:t>
      </w:r>
      <w:r>
        <w:rPr>
          <w:rFonts w:hint="eastAsia"/>
          <w:sz w:val="21"/>
          <w:szCs w:val="24"/>
        </w:rPr>
        <w:t>、母公司利润表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一、营业收入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319,333,547.59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353,059,835.03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减：营业成本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208,137,049.65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227,112,391.70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税金及附加</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2,824,317.17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3,432,774.47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销售费用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20,852,115.60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28,413,806.41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管理费用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12,490,995.22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15,839,394.12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研发费用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16,964,914.56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16,436,771.86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财务费用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1,656,105.49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-410,738.49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其中：利息费用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639,030.28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利息收入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510,126.74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493,442.77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加：其他收益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2,343,773.28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598,530.77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投资收益（损失以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9,120,080.00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9,891,391.49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其中：对联营企业和合营企业的投资收益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以摊余成本计量的金融资产终止确认收益（损失以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净敞口套期收益（损失以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公允价值变动收益（损失以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4,526,127.94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1,371,071.09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信用减值损失（损失以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3,844,756.79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4,227,117.95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资产减值损失（损失以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-235,906.39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-357,004.19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资产处置收益（损失以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272,654.79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63,620.74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二、营业利润（亏损以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76,279,536.31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78,030,162.81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加：营业外收入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96,334.94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252,761.98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减：营业外支出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669,436.26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38,032.76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三、利润总额（亏损总额以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75,706,434.99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78,244,892.03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减：所得税费用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10,033,660.11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10,461,503.01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四、净利润（净亏损以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65,672,774.88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（一）持续经营净利润（净亏损以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65,672,774.88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（二）终止经营净利润（净亏损以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五、其他综合收益的税后净额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（一）不能重分类进损益的其他综合收益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重新计量设定受益计划变动额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权益法下不能转损益的其他综合收益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其他权益工具投资公允价值变动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企业自身信用风险公允价值变动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其他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（二）将重分类进损益的其他综合收益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权益法下可转损益的其他综合收益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其他债权投资公允价值变动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金融资产重分类计入其他综合收益的金额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其他债权投资信用减值准备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现金流量套期储备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6.</w:t>
            </w:r>
            <w:r>
              <w:rPr>
                <w:rFonts w:hint="eastAsia"/>
                <w:sz w:val="18"/>
                <w:szCs w:val="24"/>
              </w:rPr>
              <w:t>外币财务报表折算差额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7.</w:t>
            </w:r>
            <w:r>
              <w:rPr>
                <w:rFonts w:hint="eastAsia"/>
                <w:sz w:val="18"/>
                <w:szCs w:val="24"/>
              </w:rPr>
              <w:t>其他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六、综合收益总额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65,672,774.88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七、每股收益：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（一）基本每股收益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（二）稀释每股收益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bl>
    <w:p>
      <w:pPr>
        <w:pStyle w:val="8"/>
        <w:outlineLvl w:val="2"/>
        <w:rPr>
          <w:rFonts w:hint="default"/>
          <w:sz w:val="21"/>
          <w:szCs w:val="24"/>
        </w:rPr>
      </w:pPr>
      <w:r>
        <w:rPr>
          <w:rFonts w:hint="default"/>
          <w:sz w:val="21"/>
          <w:szCs w:val="24"/>
        </w:rPr>
        <w:t>5</w:t>
      </w:r>
      <w:r>
        <w:rPr>
          <w:rFonts w:hint="eastAsia"/>
          <w:sz w:val="21"/>
          <w:szCs w:val="24"/>
        </w:rPr>
        <w:t>、合并现金流量表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966"/>
        <w:gridCol w:w="3301"/>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一、经营活动产生的现金流量：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销售商品、提供劳务收到的现金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376,065,005.12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374,419,753.43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客户存款和同业存放款项净增加额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向中央银行借款净增加额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向其他金融机构拆入资金净增加额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收到原保险合同保费取得的现金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收到再保业务现金净额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保户储金及投资款净增加额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收取利息、手续费及佣金的现金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拆入资金净增加额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回购业务资金净增加额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代理买卖证券收到的现金净额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收到的税费返还</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19,474,193.97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38,149,582.60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8,536,941.70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3,220,947.85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404,076,140.79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415,790,283.88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购买商品、接受劳务支付的现金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215,337,141.62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172,822,026.43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客户贷款及垫款净增加额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存放中央银行和同业款项净增加额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支付原保险合同赔付款项的现金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拆出资金净增加额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支付利息、手续费及佣金的现金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支付保单红利的现金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支付给职工以及为职工支付的现金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49,762,207.42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53,941,818.76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支付的各项税费</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16,559,216.32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16,600,424.92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32,471,445.68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39,503,296.74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314,130,011.04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282,867,566.85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89,946,129.75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132,922,717.03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二、投资活动产生的现金流量：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收回投资收到的现金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779,000,000.00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取得投资收益收到的现金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9,149,797.81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11,097,101.09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处置固定资产、无形资产和其他长期资产收回的现金净额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458,913.35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1,623,193.34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处置子公司及其他营业单位收到的现金净额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739,608,711.16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791,720,294.43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购建固定资产、无形资产和其他长期资产支付的现金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23,632,618.50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68,245,243.54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814,000,000.00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876,000,000.00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质押贷款净增加额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取得子公司及其他营业单位支付的现金净额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837,632,618.50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944,245,243.54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-98,023,907.34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-152,524,949.11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三、筹资活动产生的现金流量：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吸收投资收到的现金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其中：子公司吸收少数股东投资收到的现金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取得借款收到的现金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51,191,019.10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51,191,019.10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偿还债务支付的现金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分配股利、利润或偿付利息支付的现金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52,921,723.40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其中：子公司支付给少数股东的股利、利润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370,860.00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53,292,583.40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23,525,000.00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-2,101,564.30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-23,525,000.00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四、汇率变动对现金及现金等价物的影响</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-786,467.28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-1,143,274.90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五、现金及现金等价物净增加额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-10,965,809.17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-44,270,506.98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加：期初现金及现金等价物余额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52,223,221.72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96,493,728.70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六、期末现金及现金等价物余额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41,257,412.55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52,223,221.72</w:t>
            </w:r>
          </w:p>
        </w:tc>
      </w:tr>
    </w:tbl>
    <w:p>
      <w:pPr>
        <w:pStyle w:val="8"/>
        <w:outlineLvl w:val="2"/>
        <w:rPr>
          <w:rFonts w:hint="default"/>
          <w:sz w:val="21"/>
          <w:szCs w:val="24"/>
        </w:rPr>
      </w:pPr>
      <w:r>
        <w:rPr>
          <w:rFonts w:hint="default"/>
          <w:sz w:val="21"/>
          <w:szCs w:val="24"/>
        </w:rPr>
        <w:t>6</w:t>
      </w:r>
      <w:r>
        <w:rPr>
          <w:rFonts w:hint="eastAsia"/>
          <w:sz w:val="21"/>
          <w:szCs w:val="24"/>
        </w:rPr>
        <w:t>、母公司现金流量表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966"/>
        <w:gridCol w:w="3301"/>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一、经营活动产生的现金流量：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销售商品、提供劳务收到的现金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355,961,615.56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375,160,567.88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收到的税费返还</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18,483,609.54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21,895,674.81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11,992,985.22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10,222,329.34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386,438,210.32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407,278,572.03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购买商品、接受劳务支付的现金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253,899,431.43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226,942,730.47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支付给职工以及为职工支付的现金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30,038,964.62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33,550,302.44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支付的各项税费</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13,648,164.83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12,221,697.54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23,249,966.75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33,451,782.87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320,836,527.63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306,166,513.32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经营活动产生的现金流量净额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65,601,682.69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101,112,058.71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二、投资活动产生的现金流量：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收回投资收到的现金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723,000,000.00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768,000,000.00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取得投资收益收到的现金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9,083,480.00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10,793,744.93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处置固定资产、无形资产和其他长期资产收回的现金净额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2,885,382.73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1,378,935.40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处置子公司及其他营业单位收到的现金净额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734,968,862.73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780,172,680.33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购建固定资产、无形资产和其他长期资产支付的现金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3,382,108.77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3,670,797.09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805,500,000.00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865,000,000.00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取得子公司及其他营业单位支付的现金净额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26,030,000.00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808,882,108.77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894,700,797.09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投资活动产生的现金流量净额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-73,913,246.04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-114,528,116.76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三、筹资活动产生的现金流量：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吸收投资收到的现金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取得借款收到的现金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51,191,019.10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收到其他与筹资活动有关的现金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51,191,019.10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偿还债务支付的现金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分配股利、利润或偿付利息支付的现金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52,921,723.40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支付其他与筹资活动有关的现金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370,860.00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53,292,583.40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23,525,000.00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筹资活动产生的现金流量净额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-2,101,564.30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-23,525,000.00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四、汇率变动对现金及现金等价物的影响</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-757,264.02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-1,143,274.90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五、现金及现金等价物净增加额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-11,170,391.67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-38,084,332.95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加：期初现金及现金等价物余额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42,890,603.37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80,974,936.32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六、期末现金及现金等价物余额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31,720,211.70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42,890,603.37</w:t>
            </w:r>
          </w:p>
        </w:tc>
      </w:tr>
    </w:tbl>
    <w:p>
      <w:pPr>
        <w:pStyle w:val="8"/>
        <w:outlineLvl w:val="2"/>
        <w:rPr>
          <w:rFonts w:hint="default"/>
          <w:sz w:val="21"/>
          <w:szCs w:val="24"/>
        </w:rPr>
      </w:pPr>
      <w:r>
        <w:rPr>
          <w:rFonts w:hint="default"/>
          <w:sz w:val="21"/>
          <w:szCs w:val="24"/>
        </w:rPr>
        <w:t>7</w:t>
      </w:r>
      <w:r>
        <w:rPr>
          <w:rFonts w:hint="eastAsia"/>
          <w:sz w:val="21"/>
          <w:szCs w:val="24"/>
        </w:rPr>
        <w:t>、合并所有者权益变动表</w:t>
      </w:r>
    </w:p>
    <w:p>
      <w:pPr>
        <w:jc w:val="left"/>
        <w:rPr>
          <w:rFonts w:hint="default"/>
          <w:sz w:val="18"/>
          <w:szCs w:val="24"/>
        </w:rPr>
      </w:pPr>
      <w:r>
        <w:rPr>
          <w:rFonts w:hint="eastAsia"/>
          <w:sz w:val="18"/>
          <w:szCs w:val="24"/>
        </w:rPr>
        <w:t>本期金额</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53"/>
        <w:gridCol w:w="493"/>
        <w:gridCol w:w="466"/>
        <w:gridCol w:w="467"/>
        <w:gridCol w:w="468"/>
        <w:gridCol w:w="583"/>
        <w:gridCol w:w="584"/>
        <w:gridCol w:w="584"/>
        <w:gridCol w:w="584"/>
        <w:gridCol w:w="583"/>
        <w:gridCol w:w="584"/>
        <w:gridCol w:w="584"/>
        <w:gridCol w:w="584"/>
        <w:gridCol w:w="584"/>
        <w:gridCol w:w="584"/>
        <w:gridCol w:w="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8310" w:type="dxa"/>
            <w:gridSpan w:val="1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148"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归属于母公司所有者权益</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少数股东权益</w:t>
            </w:r>
          </w:p>
        </w:tc>
        <w:tc>
          <w:tcPr>
            <w:tcW w:w="57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4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股本</w:t>
            </w:r>
          </w:p>
        </w:tc>
        <w:tc>
          <w:tcPr>
            <w:tcW w:w="14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其他权益工具</w:t>
            </w:r>
          </w:p>
        </w:tc>
        <w:tc>
          <w:tcPr>
            <w:tcW w:w="58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资本公积</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减：库存股</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其他综合收益</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专项储备</w:t>
            </w:r>
          </w:p>
        </w:tc>
        <w:tc>
          <w:tcPr>
            <w:tcW w:w="58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盈余公积</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一般风险准备</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未分配利润</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小计</w:t>
            </w: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4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优先股</w:t>
            </w: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永续债</w:t>
            </w: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一、上年期末余额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242,773,294.11</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253,603,762.45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加：会计政策变更</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前期差错更正</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同一控制下企业合并</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二、本年期初余额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242,773,294.11</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253,603,762.45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三、本期增减变动金额（减少以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3,127,476.34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-3,256,218.00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-1,105,184.49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11,922,302.32</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11,922,302.32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（一）综合收益总额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57,968,093.00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58,086,607.98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（二）所有者投入和减少资本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3,127,476.34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-3,256,218.00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6,341,694.34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6,341,694.34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．所有者投入的普通股</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-328,860.00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-370,860.00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．其他权益工具持有者投入资本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．股份支付计入所有者权益的金额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3,456,336.34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-3,256,218.00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6,712,554.34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6,712,554.34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（三）利润分配</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-59,073,277.49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．提取盈余公积</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．提取一般风险准备</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．对所有者（或股东）的分配</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（四）所有者权益内部结转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．资本公积转增资本（或股本）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．盈余公积转增资本（或股本）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．盈余公积弥补亏损</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．设定受益计划变动额结转留存收益</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5</w:t>
            </w:r>
            <w:r>
              <w:rPr>
                <w:rFonts w:hint="eastAsia"/>
                <w:sz w:val="18"/>
                <w:szCs w:val="24"/>
              </w:rPr>
              <w:t>．其他综合收益结转留存收益</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6</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（五）专项储备</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．本期提取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．本期使用</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四、本期期末余额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116,680,000.00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245,900,770.45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3,835,944.00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16,734.39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51,972,593.74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252,498,577.96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663,232,732.54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663,232,732.54</w:t>
            </w:r>
          </w:p>
        </w:tc>
      </w:tr>
    </w:tbl>
    <w:p>
      <w:pPr>
        <w:jc w:val="left"/>
        <w:rPr>
          <w:rFonts w:hint="default"/>
          <w:sz w:val="18"/>
          <w:szCs w:val="24"/>
        </w:rPr>
      </w:pPr>
      <w:r>
        <w:rPr>
          <w:rFonts w:hint="eastAsia"/>
          <w:sz w:val="18"/>
          <w:szCs w:val="24"/>
        </w:rPr>
        <w:t>上期金额</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12"/>
        <w:gridCol w:w="490"/>
        <w:gridCol w:w="449"/>
        <w:gridCol w:w="449"/>
        <w:gridCol w:w="491"/>
        <w:gridCol w:w="576"/>
        <w:gridCol w:w="577"/>
        <w:gridCol w:w="577"/>
        <w:gridCol w:w="577"/>
        <w:gridCol w:w="576"/>
        <w:gridCol w:w="577"/>
        <w:gridCol w:w="589"/>
        <w:gridCol w:w="567"/>
        <w:gridCol w:w="567"/>
        <w:gridCol w:w="643"/>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8356" w:type="dxa"/>
            <w:gridSpan w:val="1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062"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归属于母公司所有者权益</w:t>
            </w:r>
          </w:p>
        </w:tc>
        <w:tc>
          <w:tcPr>
            <w:tcW w:w="6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少数股东权益</w:t>
            </w:r>
          </w:p>
        </w:tc>
        <w:tc>
          <w:tcPr>
            <w:tcW w:w="6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4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股本</w:t>
            </w:r>
          </w:p>
        </w:tc>
        <w:tc>
          <w:tcPr>
            <w:tcW w:w="13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其他权益工具</w:t>
            </w:r>
          </w:p>
        </w:tc>
        <w:tc>
          <w:tcPr>
            <w:tcW w:w="5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资本公积</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减：库存股</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其他综合收益</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专项储备</w:t>
            </w:r>
          </w:p>
        </w:tc>
        <w:tc>
          <w:tcPr>
            <w:tcW w:w="5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盈余公积</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一般风险准备</w:t>
            </w:r>
          </w:p>
        </w:tc>
        <w:tc>
          <w:tcPr>
            <w:tcW w:w="5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未分配利润</w:t>
            </w:r>
          </w:p>
        </w:tc>
        <w:tc>
          <w:tcPr>
            <w:tcW w:w="5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5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小计</w:t>
            </w:r>
          </w:p>
        </w:tc>
        <w:tc>
          <w:tcPr>
            <w:tcW w:w="6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6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4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优先股</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永续债</w:t>
            </w: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5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6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6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一、上年期末余额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234,834,027.67</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10,312,260.00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-74,612.34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38,626,977.35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230,742,633.81</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610,558,766.49</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610,558,766.49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加：会计政策变更</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前期差错更正</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同一控制下企业合并</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二、本年期初余额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234,834,027.67</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10,312,260.00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-74,612.34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38,626,977.35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230,742,633.81</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610,558,766.49</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610,558,766.49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三、本期增减变动金额（减少以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7,939,266.44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-3,220,098.00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-27,168.25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22,861,128.64</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40,751,663.73</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40,751,663.73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（一）综合收益总额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-27,168.25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52,983,867.54</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52,956,699.29</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52,956,699.29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（二）所有者投入和减少资本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7,939,266.44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-3,220,098.00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11,139,364.44</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11,139,364.44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．所有者投入的普通股</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．其他权益工具持有者投入资本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．股份支付计入所有者权益的金额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7,939,266.44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-3,220,098.00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11,159,364.44</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11,159,364.44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（三）利润分配</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-30,122,738.90</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．提取盈余公积</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．提取一般风险准备</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．对所有者（或股东）的分配</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（四）所有者权益内部结转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．资本公积转增资本（或股本）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．盈余公积转增资本（或股本）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．盈余公积弥补亏损</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．设定受益计划变动额结转留存收益</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5</w:t>
            </w:r>
            <w:r>
              <w:rPr>
                <w:rFonts w:hint="eastAsia"/>
                <w:sz w:val="18"/>
                <w:szCs w:val="24"/>
              </w:rPr>
              <w:t>．其他综合收益结转留存收益</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6</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（五）专项储备</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．本期提取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．本期使用</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四、本期期末余额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242,773,294.11</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253,603,762.45</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r>
    </w:tbl>
    <w:p>
      <w:pPr>
        <w:pStyle w:val="8"/>
        <w:outlineLvl w:val="2"/>
        <w:rPr>
          <w:rFonts w:hint="default"/>
          <w:sz w:val="21"/>
          <w:szCs w:val="24"/>
        </w:rPr>
      </w:pPr>
      <w:r>
        <w:rPr>
          <w:rFonts w:hint="default"/>
          <w:sz w:val="21"/>
          <w:szCs w:val="24"/>
        </w:rPr>
        <w:t>8</w:t>
      </w:r>
      <w:r>
        <w:rPr>
          <w:rFonts w:hint="eastAsia"/>
          <w:sz w:val="21"/>
          <w:szCs w:val="24"/>
        </w:rPr>
        <w:t>、母公司所有者权益变动表</w:t>
      </w:r>
    </w:p>
    <w:p>
      <w:pPr>
        <w:jc w:val="left"/>
        <w:rPr>
          <w:rFonts w:hint="default"/>
          <w:sz w:val="18"/>
          <w:szCs w:val="24"/>
        </w:rPr>
      </w:pPr>
      <w:r>
        <w:rPr>
          <w:rFonts w:hint="eastAsia"/>
          <w:sz w:val="18"/>
          <w:szCs w:val="24"/>
        </w:rPr>
        <w:t>本期金额</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06"/>
        <w:gridCol w:w="628"/>
        <w:gridCol w:w="604"/>
        <w:gridCol w:w="604"/>
        <w:gridCol w:w="605"/>
        <w:gridCol w:w="726"/>
        <w:gridCol w:w="727"/>
        <w:gridCol w:w="726"/>
        <w:gridCol w:w="727"/>
        <w:gridCol w:w="726"/>
        <w:gridCol w:w="615"/>
        <w:gridCol w:w="710"/>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8261"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62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股本</w:t>
            </w:r>
          </w:p>
        </w:tc>
        <w:tc>
          <w:tcPr>
            <w:tcW w:w="181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其他权益工具</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资本公积</w:t>
            </w:r>
          </w:p>
        </w:tc>
        <w:tc>
          <w:tcPr>
            <w:tcW w:w="7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减：库存股</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其他综合收益</w:t>
            </w:r>
          </w:p>
        </w:tc>
        <w:tc>
          <w:tcPr>
            <w:tcW w:w="7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专项储备</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盈余公积</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未分配利润</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8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6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优先股</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永续债</w:t>
            </w: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8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一、上年期末余额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240,431,418.81</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273,103,446.22</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加：会计政策变更</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前期差错更正</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二、本年期初余额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240,431,418.81</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273,103,446.22</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三、本期增减变动金额（减少以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3,127,476.34</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-3,256,218.00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6,599,497.39</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19,508,469.22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（一）综合收益总额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65,672,774.88</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（二）所有者投入和减少资本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3,127,476.34</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-3,256,218.00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6,341,694.34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．所有者投入的普通股</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-328,860.00</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．其他权益工具持有者投入资本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．股份支付计入所有者权益的金额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3,456,336.34</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-3,256,218.00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6,712,554.34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（三）利润分配</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-59,073,277.49</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．提取盈余公积</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．对所有者（或股东）的分配</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（四）所有者权益内部结转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．资本公积转增资本（或股本）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．盈余公积转增资本（或股本）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．盈余公积弥补亏损</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．设定受益计划变动额结转留存收益</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5</w:t>
            </w:r>
            <w:r>
              <w:rPr>
                <w:rFonts w:hint="eastAsia"/>
                <w:sz w:val="18"/>
                <w:szCs w:val="24"/>
              </w:rPr>
              <w:t>．其他综合收益结转留存收益</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6</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（五）专项储备</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．本期提取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．本期使用</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四、本期期末余额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116,680,000.00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243,558,895.15</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3,835,944.00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51,972,593.74</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279,702,943.61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688,078,488.50</w:t>
            </w:r>
          </w:p>
        </w:tc>
      </w:tr>
    </w:tbl>
    <w:p>
      <w:pPr>
        <w:jc w:val="left"/>
        <w:rPr>
          <w:rFonts w:hint="default"/>
          <w:sz w:val="18"/>
          <w:szCs w:val="24"/>
        </w:rPr>
      </w:pPr>
      <w:r>
        <w:rPr>
          <w:rFonts w:hint="eastAsia"/>
          <w:sz w:val="18"/>
          <w:szCs w:val="24"/>
        </w:rPr>
        <w:t>上期金额</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31"/>
        <w:gridCol w:w="594"/>
        <w:gridCol w:w="572"/>
        <w:gridCol w:w="572"/>
        <w:gridCol w:w="572"/>
        <w:gridCol w:w="685"/>
        <w:gridCol w:w="686"/>
        <w:gridCol w:w="685"/>
        <w:gridCol w:w="781"/>
        <w:gridCol w:w="665"/>
        <w:gridCol w:w="798"/>
        <w:gridCol w:w="797"/>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8337"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股本</w:t>
            </w:r>
          </w:p>
        </w:tc>
        <w:tc>
          <w:tcPr>
            <w:tcW w:w="171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其他权益工具</w:t>
            </w:r>
          </w:p>
        </w:tc>
        <w:tc>
          <w:tcPr>
            <w:tcW w:w="6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资本公积</w:t>
            </w:r>
          </w:p>
        </w:tc>
        <w:tc>
          <w:tcPr>
            <w:tcW w:w="6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减：库存股</w:t>
            </w:r>
          </w:p>
        </w:tc>
        <w:tc>
          <w:tcPr>
            <w:tcW w:w="6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其他综合收益</w:t>
            </w:r>
          </w:p>
        </w:tc>
        <w:tc>
          <w:tcPr>
            <w:tcW w:w="78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专项储备</w:t>
            </w:r>
          </w:p>
        </w:tc>
        <w:tc>
          <w:tcPr>
            <w:tcW w:w="6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盈余公积</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未分配利润</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9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优先股</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永续债</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6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6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6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6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9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一、上年期末余额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232,492,152.37</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10,312,260.00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38,626,977.35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235,442,796.10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612,991,665.82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加：会计政策变更</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前期差错更正</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二、本年期初余额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232,492,152.37</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10,312,260.00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38,626,977.35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235,442,796.10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612,991,665.82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三、本期增减变动金额（减少以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7,939,266.44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-3,220,098.00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37,660,650.12</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55,578,353.46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（一）综合收益总额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67,783,389.02</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（二）所有者投入和减少资本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7,939,266.44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-3,220,098.00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11,139,364.44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．所有者投入的普通股</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．其他权益工具持有者投入资本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．股份支付计入所有者权益的金额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7,939,266.44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-3,220,098.00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11,159,364.44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（三）利润分配</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-30,122,738.90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．提取盈余公积</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．对所有者（或股东）的分配</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（四）所有者权益内部结转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．资本公积转增资本（或股本）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．盈余公积转增资本（或股本）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．盈余公积弥补亏损</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．设定受益计划变动额结转留存收益</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5</w:t>
            </w:r>
            <w:r>
              <w:rPr>
                <w:rFonts w:hint="eastAsia"/>
                <w:sz w:val="18"/>
                <w:szCs w:val="24"/>
              </w:rPr>
              <w:t>．其他综合收益结转留存收益</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6</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（五）专项储备</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．本期提取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．本期使用</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四、本期期末余额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240,431,418.81</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273,103,446.22</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668,570,019.28</w:t>
            </w:r>
          </w:p>
        </w:tc>
      </w:tr>
    </w:tbl>
    <w:p>
      <w:pPr>
        <w:pStyle w:val="7"/>
        <w:outlineLvl w:val="1"/>
        <w:rPr>
          <w:rFonts w:hint="default"/>
          <w:sz w:val="24"/>
          <w:szCs w:val="24"/>
        </w:rPr>
      </w:pPr>
      <w:r>
        <w:rPr>
          <w:rFonts w:hint="eastAsia"/>
          <w:sz w:val="24"/>
          <w:szCs w:val="24"/>
        </w:rPr>
        <w:t>三、公司基本情况</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青岛伟隆阀门股份有限公司（以下简称</w:t>
      </w:r>
      <w:r>
        <w:rPr>
          <w:rFonts w:hint="default" w:eastAsia="Times New Roman"/>
          <w:kern w:val="0"/>
          <w:sz w:val="21"/>
          <w:szCs w:val="24"/>
          <w:lang w:val="zh-CN"/>
        </w:rPr>
        <w:t>“</w:t>
      </w:r>
      <w:r>
        <w:rPr>
          <w:rFonts w:hint="eastAsia" w:ascii="宋体" w:hAnsi="宋体" w:cs="宋体"/>
          <w:kern w:val="0"/>
          <w:sz w:val="21"/>
          <w:szCs w:val="24"/>
          <w:lang w:val="zh-CN"/>
        </w:rPr>
        <w:t>本公司</w:t>
      </w:r>
      <w:r>
        <w:rPr>
          <w:rFonts w:hint="default" w:eastAsia="Times New Roman"/>
          <w:kern w:val="0"/>
          <w:sz w:val="21"/>
          <w:szCs w:val="24"/>
          <w:lang w:val="zh-CN"/>
        </w:rPr>
        <w:t>”</w:t>
      </w:r>
      <w:r>
        <w:rPr>
          <w:rFonts w:hint="eastAsia" w:ascii="宋体" w:hAnsi="宋体" w:cs="宋体"/>
          <w:kern w:val="0"/>
          <w:sz w:val="21"/>
          <w:szCs w:val="24"/>
          <w:lang w:val="zh-CN"/>
        </w:rPr>
        <w:t>或</w:t>
      </w:r>
      <w:r>
        <w:rPr>
          <w:rFonts w:hint="default" w:eastAsia="Times New Roman"/>
          <w:kern w:val="0"/>
          <w:sz w:val="21"/>
          <w:szCs w:val="24"/>
          <w:lang w:val="zh-CN"/>
        </w:rPr>
        <w:t>“</w:t>
      </w:r>
      <w:r>
        <w:rPr>
          <w:rFonts w:hint="eastAsia" w:ascii="宋体" w:hAnsi="宋体" w:cs="宋体"/>
          <w:kern w:val="0"/>
          <w:sz w:val="21"/>
          <w:szCs w:val="24"/>
          <w:lang w:val="zh-CN"/>
        </w:rPr>
        <w:t>公司</w:t>
      </w:r>
      <w:r>
        <w:rPr>
          <w:rFonts w:hint="default" w:eastAsia="Times New Roman"/>
          <w:kern w:val="0"/>
          <w:sz w:val="21"/>
          <w:szCs w:val="24"/>
          <w:lang w:val="zh-CN"/>
        </w:rPr>
        <w:t>”</w:t>
      </w:r>
      <w:r>
        <w:rPr>
          <w:rFonts w:hint="eastAsia" w:ascii="宋体" w:hAnsi="宋体" w:cs="宋体"/>
          <w:kern w:val="0"/>
          <w:sz w:val="21"/>
          <w:szCs w:val="24"/>
          <w:lang w:val="zh-CN"/>
        </w:rPr>
        <w:t>）系于</w:t>
      </w:r>
      <w:r>
        <w:rPr>
          <w:rFonts w:hint="default" w:eastAsia="Times New Roman"/>
          <w:kern w:val="0"/>
          <w:sz w:val="21"/>
          <w:szCs w:val="24"/>
          <w:lang w:val="zh-CN"/>
        </w:rPr>
        <w:t>2012</w:t>
      </w:r>
      <w:r>
        <w:rPr>
          <w:rFonts w:hint="eastAsia" w:ascii="宋体" w:hAnsi="宋体" w:cs="宋体"/>
          <w:kern w:val="0"/>
          <w:sz w:val="21"/>
          <w:szCs w:val="24"/>
          <w:lang w:val="zh-CN"/>
        </w:rPr>
        <w:t>年</w:t>
      </w:r>
      <w:r>
        <w:rPr>
          <w:rFonts w:hint="default" w:eastAsia="Times New Roman"/>
          <w:kern w:val="0"/>
          <w:sz w:val="21"/>
          <w:szCs w:val="24"/>
          <w:lang w:val="zh-CN"/>
        </w:rPr>
        <w:t>3</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日由青岛伟隆阀门有限公司整体变更设立的股份有限公司。</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2012</w:t>
      </w:r>
      <w:r>
        <w:rPr>
          <w:rFonts w:hint="eastAsia" w:ascii="宋体" w:hAnsi="宋体" w:cs="宋体"/>
          <w:kern w:val="0"/>
          <w:sz w:val="21"/>
          <w:szCs w:val="24"/>
          <w:lang w:val="zh-CN"/>
        </w:rPr>
        <w:t>年</w:t>
      </w:r>
      <w:r>
        <w:rPr>
          <w:rFonts w:hint="default" w:eastAsia="Times New Roman"/>
          <w:kern w:val="0"/>
          <w:sz w:val="21"/>
          <w:szCs w:val="24"/>
          <w:lang w:val="zh-CN"/>
        </w:rPr>
        <w:t>3</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日，青岛伟隆阀门有限公司整体变更为青岛伟隆阀门股份有限公司，按照经山东汇德会计师事务所有限公司审计的青岛伟隆阀门有限公司截止</w:t>
      </w:r>
      <w:r>
        <w:rPr>
          <w:rFonts w:hint="default" w:eastAsia="Times New Roman"/>
          <w:kern w:val="0"/>
          <w:sz w:val="21"/>
          <w:szCs w:val="24"/>
          <w:lang w:val="zh-CN"/>
        </w:rPr>
        <w:t>2011</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日的净资产折为股本</w:t>
      </w:r>
      <w:r>
        <w:rPr>
          <w:rFonts w:hint="default" w:eastAsia="Times New Roman"/>
          <w:kern w:val="0"/>
          <w:sz w:val="21"/>
          <w:szCs w:val="24"/>
          <w:lang w:val="zh-CN"/>
        </w:rPr>
        <w:t>5100</w:t>
      </w:r>
      <w:r>
        <w:rPr>
          <w:rFonts w:hint="eastAsia" w:ascii="宋体" w:hAnsi="宋体" w:cs="宋体"/>
          <w:kern w:val="0"/>
          <w:sz w:val="21"/>
          <w:szCs w:val="24"/>
          <w:lang w:val="zh-CN"/>
        </w:rPr>
        <w:t>万股（每股面值为人民币</w:t>
      </w:r>
      <w:r>
        <w:rPr>
          <w:rFonts w:hint="default" w:eastAsia="Times New Roman"/>
          <w:kern w:val="0"/>
          <w:sz w:val="21"/>
          <w:szCs w:val="24"/>
          <w:lang w:val="zh-CN"/>
        </w:rPr>
        <w:t>1.00</w:t>
      </w:r>
      <w:r>
        <w:rPr>
          <w:rFonts w:hint="eastAsia" w:ascii="宋体" w:hAnsi="宋体" w:cs="宋体"/>
          <w:kern w:val="0"/>
          <w:sz w:val="21"/>
          <w:szCs w:val="24"/>
          <w:lang w:val="zh-CN"/>
        </w:rPr>
        <w:t>元），剩余金额计入资本公积。变更后注册资本为</w:t>
      </w:r>
      <w:r>
        <w:rPr>
          <w:rFonts w:hint="default" w:eastAsia="Times New Roman"/>
          <w:kern w:val="0"/>
          <w:sz w:val="21"/>
          <w:szCs w:val="24"/>
          <w:lang w:val="zh-CN"/>
        </w:rPr>
        <w:t>5100</w:t>
      </w:r>
      <w:r>
        <w:rPr>
          <w:rFonts w:hint="eastAsia" w:ascii="宋体" w:hAnsi="宋体" w:cs="宋体"/>
          <w:kern w:val="0"/>
          <w:sz w:val="21"/>
          <w:szCs w:val="24"/>
          <w:lang w:val="zh-CN"/>
        </w:rPr>
        <w:t>万元</w:t>
      </w:r>
      <w:r>
        <w:rPr>
          <w:rFonts w:hint="default" w:eastAsia="Times New Roman"/>
          <w:kern w:val="0"/>
          <w:sz w:val="21"/>
          <w:szCs w:val="24"/>
          <w:lang w:val="zh-CN"/>
        </w:rPr>
        <w:t xml:space="preserve">, </w:t>
      </w:r>
      <w:r>
        <w:rPr>
          <w:rFonts w:hint="eastAsia" w:ascii="宋体" w:hAnsi="宋体" w:cs="宋体"/>
          <w:kern w:val="0"/>
          <w:sz w:val="21"/>
          <w:szCs w:val="24"/>
          <w:lang w:val="zh-CN"/>
        </w:rPr>
        <w:t>其中范庆伟出资</w:t>
      </w:r>
      <w:r>
        <w:rPr>
          <w:rFonts w:hint="default" w:eastAsia="Times New Roman"/>
          <w:kern w:val="0"/>
          <w:sz w:val="21"/>
          <w:szCs w:val="24"/>
          <w:lang w:val="zh-CN"/>
        </w:rPr>
        <w:t>4437</w:t>
      </w:r>
      <w:r>
        <w:rPr>
          <w:rFonts w:hint="eastAsia" w:ascii="宋体" w:hAnsi="宋体" w:cs="宋体"/>
          <w:kern w:val="0"/>
          <w:sz w:val="21"/>
          <w:szCs w:val="24"/>
          <w:lang w:val="zh-CN"/>
        </w:rPr>
        <w:t>万元，占注册资本的</w:t>
      </w:r>
      <w:r>
        <w:rPr>
          <w:rFonts w:hint="default" w:eastAsia="Times New Roman"/>
          <w:kern w:val="0"/>
          <w:sz w:val="21"/>
          <w:szCs w:val="24"/>
          <w:lang w:val="zh-CN"/>
        </w:rPr>
        <w:t>87.00%</w:t>
      </w:r>
      <w:r>
        <w:rPr>
          <w:rFonts w:hint="eastAsia" w:ascii="宋体" w:hAnsi="宋体" w:cs="宋体"/>
          <w:kern w:val="0"/>
          <w:sz w:val="21"/>
          <w:szCs w:val="24"/>
          <w:lang w:val="zh-CN"/>
        </w:rPr>
        <w:t>，范玉隆出资</w:t>
      </w:r>
      <w:r>
        <w:rPr>
          <w:rFonts w:hint="default" w:eastAsia="Times New Roman"/>
          <w:kern w:val="0"/>
          <w:sz w:val="21"/>
          <w:szCs w:val="24"/>
          <w:lang w:val="zh-CN"/>
        </w:rPr>
        <w:t>255</w:t>
      </w:r>
      <w:r>
        <w:rPr>
          <w:rFonts w:hint="eastAsia" w:ascii="宋体" w:hAnsi="宋体" w:cs="宋体"/>
          <w:kern w:val="0"/>
          <w:sz w:val="21"/>
          <w:szCs w:val="24"/>
          <w:lang w:val="zh-CN"/>
        </w:rPr>
        <w:t>万元，占注册资本的</w:t>
      </w:r>
      <w:r>
        <w:rPr>
          <w:rFonts w:hint="default" w:eastAsia="Times New Roman"/>
          <w:kern w:val="0"/>
          <w:sz w:val="21"/>
          <w:szCs w:val="24"/>
          <w:lang w:val="zh-CN"/>
        </w:rPr>
        <w:t>5.00%,</w:t>
      </w:r>
      <w:r>
        <w:rPr>
          <w:rFonts w:hint="eastAsia" w:ascii="宋体" w:hAnsi="宋体" w:cs="宋体"/>
          <w:kern w:val="0"/>
          <w:sz w:val="21"/>
          <w:szCs w:val="24"/>
          <w:lang w:val="zh-CN"/>
        </w:rPr>
        <w:t>青岛惠隆投资管理有限公司出资</w:t>
      </w:r>
      <w:r>
        <w:rPr>
          <w:rFonts w:hint="default" w:eastAsia="Times New Roman"/>
          <w:kern w:val="0"/>
          <w:sz w:val="21"/>
          <w:szCs w:val="24"/>
          <w:lang w:val="zh-CN"/>
        </w:rPr>
        <w:t>408</w:t>
      </w:r>
      <w:r>
        <w:rPr>
          <w:rFonts w:hint="eastAsia" w:ascii="宋体" w:hAnsi="宋体" w:cs="宋体"/>
          <w:kern w:val="0"/>
          <w:sz w:val="21"/>
          <w:szCs w:val="24"/>
          <w:lang w:val="zh-CN"/>
        </w:rPr>
        <w:t>万元，占注册资本的</w:t>
      </w:r>
      <w:r>
        <w:rPr>
          <w:rFonts w:hint="default" w:eastAsia="Times New Roman"/>
          <w:kern w:val="0"/>
          <w:sz w:val="21"/>
          <w:szCs w:val="24"/>
          <w:lang w:val="zh-CN"/>
        </w:rPr>
        <w:t>8.00%</w:t>
      </w:r>
      <w:r>
        <w:rPr>
          <w:rFonts w:hint="eastAsia" w:ascii="宋体" w:hAnsi="宋体" w:cs="宋体"/>
          <w:kern w:val="0"/>
          <w:sz w:val="21"/>
          <w:szCs w:val="24"/>
          <w:lang w:val="zh-CN"/>
        </w:rPr>
        <w:t>。</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2017</w:t>
      </w:r>
      <w:r>
        <w:rPr>
          <w:rFonts w:hint="eastAsia" w:ascii="宋体" w:hAnsi="宋体" w:cs="宋体"/>
          <w:kern w:val="0"/>
          <w:sz w:val="21"/>
          <w:szCs w:val="24"/>
          <w:lang w:val="zh-CN"/>
        </w:rPr>
        <w:t>年</w:t>
      </w:r>
      <w:r>
        <w:rPr>
          <w:rFonts w:hint="default" w:eastAsia="Times New Roman"/>
          <w:kern w:val="0"/>
          <w:sz w:val="21"/>
          <w:szCs w:val="24"/>
          <w:lang w:val="zh-CN"/>
        </w:rPr>
        <w:t>4</w:t>
      </w:r>
      <w:r>
        <w:rPr>
          <w:rFonts w:hint="eastAsia" w:ascii="宋体" w:hAnsi="宋体" w:cs="宋体"/>
          <w:kern w:val="0"/>
          <w:sz w:val="21"/>
          <w:szCs w:val="24"/>
          <w:lang w:val="zh-CN"/>
        </w:rPr>
        <w:t>月，经中国证券监督管理委员会以证监许可</w:t>
      </w:r>
      <w:r>
        <w:rPr>
          <w:rFonts w:hint="default" w:eastAsia="Times New Roman"/>
          <w:kern w:val="0"/>
          <w:sz w:val="21"/>
          <w:szCs w:val="24"/>
          <w:lang w:val="zh-CN"/>
        </w:rPr>
        <w:t>[2017]526</w:t>
      </w:r>
      <w:r>
        <w:rPr>
          <w:rFonts w:hint="eastAsia" w:ascii="宋体" w:hAnsi="宋体" w:cs="宋体"/>
          <w:kern w:val="0"/>
          <w:sz w:val="21"/>
          <w:szCs w:val="24"/>
          <w:lang w:val="zh-CN"/>
        </w:rPr>
        <w:t>号文《关于核准青岛伟隆阀门股份有限公司首次公开发行股票的批复》的核准，公司向社会公开发行人民币普通股</w:t>
      </w:r>
      <w:r>
        <w:rPr>
          <w:rFonts w:hint="default" w:eastAsia="Times New Roman"/>
          <w:kern w:val="0"/>
          <w:sz w:val="21"/>
          <w:szCs w:val="24"/>
          <w:lang w:val="zh-CN"/>
        </w:rPr>
        <w:t>1700</w:t>
      </w:r>
      <w:r>
        <w:rPr>
          <w:rFonts w:hint="eastAsia" w:ascii="宋体" w:hAnsi="宋体" w:cs="宋体"/>
          <w:kern w:val="0"/>
          <w:sz w:val="21"/>
          <w:szCs w:val="24"/>
          <w:lang w:val="zh-CN"/>
        </w:rPr>
        <w:t>万股，公司注册资本变更为</w:t>
      </w:r>
      <w:r>
        <w:rPr>
          <w:rFonts w:hint="default" w:eastAsia="Times New Roman"/>
          <w:kern w:val="0"/>
          <w:sz w:val="21"/>
          <w:szCs w:val="24"/>
          <w:lang w:val="zh-CN"/>
        </w:rPr>
        <w:t>6800</w:t>
      </w:r>
      <w:r>
        <w:rPr>
          <w:rFonts w:hint="eastAsia" w:ascii="宋体" w:hAnsi="宋体" w:cs="宋体"/>
          <w:kern w:val="0"/>
          <w:sz w:val="21"/>
          <w:szCs w:val="24"/>
          <w:lang w:val="zh-CN"/>
        </w:rPr>
        <w:t>万元。</w:t>
      </w:r>
      <w:r>
        <w:rPr>
          <w:rFonts w:hint="default" w:eastAsia="Times New Roman"/>
          <w:kern w:val="0"/>
          <w:sz w:val="21"/>
          <w:szCs w:val="24"/>
          <w:lang w:val="zh-CN"/>
        </w:rPr>
        <w:t>2017</w:t>
      </w:r>
      <w:r>
        <w:rPr>
          <w:rFonts w:hint="eastAsia" w:ascii="宋体" w:hAnsi="宋体" w:cs="宋体"/>
          <w:kern w:val="0"/>
          <w:sz w:val="21"/>
          <w:szCs w:val="24"/>
          <w:lang w:val="zh-CN"/>
        </w:rPr>
        <w:t>年</w:t>
      </w:r>
      <w:r>
        <w:rPr>
          <w:rFonts w:hint="default" w:eastAsia="Times New Roman"/>
          <w:kern w:val="0"/>
          <w:sz w:val="21"/>
          <w:szCs w:val="24"/>
          <w:lang w:val="zh-CN"/>
        </w:rPr>
        <w:t>5</w:t>
      </w:r>
      <w:r>
        <w:rPr>
          <w:rFonts w:hint="eastAsia" w:ascii="宋体" w:hAnsi="宋体" w:cs="宋体"/>
          <w:kern w:val="0"/>
          <w:sz w:val="21"/>
          <w:szCs w:val="24"/>
          <w:lang w:val="zh-CN"/>
        </w:rPr>
        <w:t>月在深圳证券交易所挂牌上市，上市后公司股本总额为人民币</w:t>
      </w:r>
      <w:r>
        <w:rPr>
          <w:rFonts w:hint="default" w:eastAsia="Times New Roman"/>
          <w:kern w:val="0"/>
          <w:sz w:val="21"/>
          <w:szCs w:val="24"/>
          <w:lang w:val="zh-CN"/>
        </w:rPr>
        <w:t>6800</w:t>
      </w:r>
      <w:r>
        <w:rPr>
          <w:rFonts w:hint="eastAsia" w:ascii="宋体" w:hAnsi="宋体" w:cs="宋体"/>
          <w:kern w:val="0"/>
          <w:sz w:val="21"/>
          <w:szCs w:val="24"/>
          <w:lang w:val="zh-CN"/>
        </w:rPr>
        <w:t>万元。</w:t>
      </w:r>
      <w:r>
        <w:rPr>
          <w:rFonts w:hint="default" w:eastAsia="Times New Roman"/>
          <w:kern w:val="0"/>
          <w:sz w:val="21"/>
          <w:szCs w:val="24"/>
          <w:lang w:val="zh-CN"/>
        </w:rPr>
        <w:t>2017</w:t>
      </w:r>
      <w:r>
        <w:rPr>
          <w:rFonts w:hint="eastAsia" w:ascii="宋体" w:hAnsi="宋体" w:cs="宋体"/>
          <w:kern w:val="0"/>
          <w:sz w:val="21"/>
          <w:szCs w:val="24"/>
          <w:lang w:val="zh-CN"/>
        </w:rPr>
        <w:t>年</w:t>
      </w:r>
      <w:r>
        <w:rPr>
          <w:rFonts w:hint="default" w:eastAsia="Times New Roman"/>
          <w:kern w:val="0"/>
          <w:sz w:val="21"/>
          <w:szCs w:val="24"/>
          <w:lang w:val="zh-CN"/>
        </w:rPr>
        <w:t>6</w:t>
      </w:r>
      <w:r>
        <w:rPr>
          <w:rFonts w:hint="eastAsia" w:ascii="宋体" w:hAnsi="宋体" w:cs="宋体"/>
          <w:kern w:val="0"/>
          <w:sz w:val="21"/>
          <w:szCs w:val="24"/>
          <w:lang w:val="zh-CN"/>
        </w:rPr>
        <w:t>月</w:t>
      </w:r>
      <w:r>
        <w:rPr>
          <w:rFonts w:hint="default" w:eastAsia="Times New Roman"/>
          <w:kern w:val="0"/>
          <w:sz w:val="21"/>
          <w:szCs w:val="24"/>
          <w:lang w:val="zh-CN"/>
        </w:rPr>
        <w:t>30</w:t>
      </w:r>
      <w:r>
        <w:rPr>
          <w:rFonts w:hint="eastAsia" w:ascii="宋体" w:hAnsi="宋体" w:cs="宋体"/>
          <w:kern w:val="0"/>
          <w:sz w:val="21"/>
          <w:szCs w:val="24"/>
          <w:lang w:val="zh-CN"/>
        </w:rPr>
        <w:t>日，公司完成了工商变更，</w:t>
      </w:r>
      <w:r>
        <w:rPr>
          <w:rFonts w:hint="default" w:eastAsia="Times New Roman"/>
          <w:kern w:val="0"/>
          <w:sz w:val="21"/>
          <w:szCs w:val="24"/>
          <w:lang w:val="zh-CN"/>
        </w:rPr>
        <w:t xml:space="preserve"> </w:t>
      </w:r>
      <w:r>
        <w:rPr>
          <w:rFonts w:hint="eastAsia" w:ascii="宋体" w:hAnsi="宋体" w:cs="宋体"/>
          <w:kern w:val="0"/>
          <w:sz w:val="21"/>
          <w:szCs w:val="24"/>
          <w:lang w:val="zh-CN"/>
        </w:rPr>
        <w:t>注册资本变更为</w:t>
      </w:r>
      <w:r>
        <w:rPr>
          <w:rFonts w:hint="default" w:eastAsia="Times New Roman"/>
          <w:kern w:val="0"/>
          <w:sz w:val="21"/>
          <w:szCs w:val="24"/>
          <w:lang w:val="zh-CN"/>
        </w:rPr>
        <w:t>6800</w:t>
      </w:r>
      <w:r>
        <w:rPr>
          <w:rFonts w:hint="eastAsia" w:ascii="宋体" w:hAnsi="宋体" w:cs="宋体"/>
          <w:kern w:val="0"/>
          <w:sz w:val="21"/>
          <w:szCs w:val="24"/>
          <w:lang w:val="zh-CN"/>
        </w:rPr>
        <w:t>万元。</w:t>
      </w:r>
    </w:p>
    <w:p>
      <w:pPr>
        <w:autoSpaceDE w:val="0"/>
        <w:autoSpaceDN w:val="0"/>
        <w:adjustRightInd w:val="0"/>
        <w:spacing w:before="0" w:after="0"/>
        <w:ind w:firstLine="436"/>
        <w:jc w:val="left"/>
        <w:rPr>
          <w:rFonts w:hint="default" w:eastAsia="Times New Roman"/>
          <w:kern w:val="0"/>
          <w:sz w:val="21"/>
          <w:szCs w:val="24"/>
          <w:lang w:val="zh-CN"/>
        </w:rPr>
      </w:pP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5</w:t>
      </w:r>
      <w:r>
        <w:rPr>
          <w:rFonts w:hint="eastAsia" w:ascii="宋体" w:hAnsi="宋体" w:cs="宋体"/>
          <w:kern w:val="0"/>
          <w:sz w:val="21"/>
          <w:szCs w:val="24"/>
          <w:lang w:val="zh-CN"/>
        </w:rPr>
        <w:t>月，依据公司</w:t>
      </w:r>
      <w:r>
        <w:rPr>
          <w:rFonts w:hint="default" w:eastAsia="Times New Roman"/>
          <w:kern w:val="0"/>
          <w:sz w:val="21"/>
          <w:szCs w:val="24"/>
          <w:lang w:val="zh-CN"/>
        </w:rPr>
        <w:t>2017</w:t>
      </w:r>
      <w:r>
        <w:rPr>
          <w:rFonts w:hint="eastAsia" w:ascii="宋体" w:hAnsi="宋体" w:cs="宋体"/>
          <w:kern w:val="0"/>
          <w:sz w:val="21"/>
          <w:szCs w:val="24"/>
          <w:lang w:val="zh-CN"/>
        </w:rPr>
        <w:t>年度股东大会决议通过的《关于</w:t>
      </w:r>
      <w:r>
        <w:rPr>
          <w:rFonts w:hint="default" w:eastAsia="Times New Roman"/>
          <w:kern w:val="0"/>
          <w:sz w:val="21"/>
          <w:szCs w:val="24"/>
          <w:lang w:val="zh-CN"/>
        </w:rPr>
        <w:t>2017</w:t>
      </w:r>
      <w:r>
        <w:rPr>
          <w:rFonts w:hint="eastAsia" w:ascii="宋体" w:hAnsi="宋体" w:cs="宋体"/>
          <w:kern w:val="0"/>
          <w:sz w:val="21"/>
          <w:szCs w:val="24"/>
          <w:lang w:val="zh-CN"/>
        </w:rPr>
        <w:t>年度利润分配预案的议案》，按每</w:t>
      </w:r>
      <w:r>
        <w:rPr>
          <w:rFonts w:hint="default" w:eastAsia="Times New Roman"/>
          <w:kern w:val="0"/>
          <w:sz w:val="21"/>
          <w:szCs w:val="24"/>
          <w:lang w:val="zh-CN"/>
        </w:rPr>
        <w:t>10</w:t>
      </w:r>
      <w:r>
        <w:rPr>
          <w:rFonts w:hint="eastAsia" w:ascii="宋体" w:hAnsi="宋体" w:cs="宋体"/>
          <w:kern w:val="0"/>
          <w:sz w:val="21"/>
          <w:szCs w:val="24"/>
          <w:lang w:val="zh-CN"/>
        </w:rPr>
        <w:t>股转增</w:t>
      </w:r>
      <w:r>
        <w:rPr>
          <w:rFonts w:hint="default" w:eastAsia="Times New Roman"/>
          <w:kern w:val="0"/>
          <w:sz w:val="21"/>
          <w:szCs w:val="24"/>
          <w:lang w:val="zh-CN"/>
        </w:rPr>
        <w:t>7</w:t>
      </w:r>
      <w:r>
        <w:rPr>
          <w:rFonts w:hint="eastAsia" w:ascii="宋体" w:hAnsi="宋体" w:cs="宋体"/>
          <w:kern w:val="0"/>
          <w:sz w:val="21"/>
          <w:szCs w:val="24"/>
          <w:lang w:val="zh-CN"/>
        </w:rPr>
        <w:t>股的比例，以资本公积向全体股东转增股份</w:t>
      </w:r>
      <w:r>
        <w:rPr>
          <w:rFonts w:hint="default" w:eastAsia="Times New Roman"/>
          <w:kern w:val="0"/>
          <w:sz w:val="21"/>
          <w:szCs w:val="24"/>
          <w:lang w:val="zh-CN"/>
        </w:rPr>
        <w:t>,</w:t>
      </w:r>
      <w:r>
        <w:rPr>
          <w:rFonts w:hint="eastAsia" w:ascii="宋体" w:hAnsi="宋体" w:cs="宋体"/>
          <w:kern w:val="0"/>
          <w:sz w:val="21"/>
          <w:szCs w:val="24"/>
          <w:lang w:val="zh-CN"/>
        </w:rPr>
        <w:t>增加股本</w:t>
      </w:r>
      <w:r>
        <w:rPr>
          <w:rFonts w:hint="default" w:eastAsia="Times New Roman"/>
          <w:kern w:val="0"/>
          <w:sz w:val="21"/>
          <w:szCs w:val="24"/>
          <w:lang w:val="zh-CN"/>
        </w:rPr>
        <w:t>4760</w:t>
      </w:r>
      <w:r>
        <w:rPr>
          <w:rFonts w:hint="eastAsia" w:ascii="宋体" w:hAnsi="宋体" w:cs="宋体"/>
          <w:kern w:val="0"/>
          <w:sz w:val="21"/>
          <w:szCs w:val="24"/>
          <w:lang w:val="zh-CN"/>
        </w:rPr>
        <w:t>万元，变更后的注册资本人民币</w:t>
      </w:r>
      <w:r>
        <w:rPr>
          <w:rFonts w:hint="default" w:eastAsia="Times New Roman"/>
          <w:kern w:val="0"/>
          <w:sz w:val="21"/>
          <w:szCs w:val="24"/>
          <w:lang w:val="zh-CN"/>
        </w:rPr>
        <w:t>11560</w:t>
      </w:r>
      <w:r>
        <w:rPr>
          <w:rFonts w:hint="eastAsia" w:ascii="宋体" w:hAnsi="宋体" w:cs="宋体"/>
          <w:kern w:val="0"/>
          <w:sz w:val="21"/>
          <w:szCs w:val="24"/>
          <w:lang w:val="zh-CN"/>
        </w:rPr>
        <w:t>万元。</w:t>
      </w: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7</w:t>
      </w:r>
      <w:r>
        <w:rPr>
          <w:rFonts w:hint="eastAsia" w:ascii="宋体" w:hAnsi="宋体" w:cs="宋体"/>
          <w:kern w:val="0"/>
          <w:sz w:val="21"/>
          <w:szCs w:val="24"/>
          <w:lang w:val="zh-CN"/>
        </w:rPr>
        <w:t>月</w:t>
      </w:r>
      <w:r>
        <w:rPr>
          <w:rFonts w:hint="default" w:eastAsia="Times New Roman"/>
          <w:kern w:val="0"/>
          <w:sz w:val="21"/>
          <w:szCs w:val="24"/>
          <w:lang w:val="zh-CN"/>
        </w:rPr>
        <w:t>4</w:t>
      </w:r>
      <w:r>
        <w:rPr>
          <w:rFonts w:hint="eastAsia" w:ascii="宋体" w:hAnsi="宋体" w:cs="宋体"/>
          <w:kern w:val="0"/>
          <w:sz w:val="21"/>
          <w:szCs w:val="24"/>
          <w:lang w:val="zh-CN"/>
        </w:rPr>
        <w:t>日，公司完成了工商变更。</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月，伟隆公司第三届董事会第七次会议审议通过《关于调整公司</w:t>
      </w:r>
      <w:r>
        <w:rPr>
          <w:rFonts w:hint="default" w:eastAsia="Times New Roman"/>
          <w:kern w:val="0"/>
          <w:sz w:val="21"/>
          <w:szCs w:val="24"/>
          <w:lang w:val="zh-CN"/>
        </w:rPr>
        <w:t>2018</w:t>
      </w:r>
      <w:r>
        <w:rPr>
          <w:rFonts w:hint="eastAsia" w:ascii="宋体" w:hAnsi="宋体" w:cs="宋体"/>
          <w:kern w:val="0"/>
          <w:sz w:val="21"/>
          <w:szCs w:val="24"/>
          <w:lang w:val="zh-CN"/>
        </w:rPr>
        <w:t>年限制性股票激励计划相关事项的议案》、《关于向</w:t>
      </w:r>
      <w:r>
        <w:rPr>
          <w:rFonts w:hint="default" w:eastAsia="Times New Roman"/>
          <w:kern w:val="0"/>
          <w:sz w:val="21"/>
          <w:szCs w:val="24"/>
          <w:lang w:val="zh-CN"/>
        </w:rPr>
        <w:t>2018</w:t>
      </w:r>
      <w:r>
        <w:rPr>
          <w:rFonts w:hint="eastAsia" w:ascii="宋体" w:hAnsi="宋体" w:cs="宋体"/>
          <w:kern w:val="0"/>
          <w:sz w:val="21"/>
          <w:szCs w:val="24"/>
          <w:lang w:val="zh-CN"/>
        </w:rPr>
        <w:t>年限制性股票激励计划激励对象授予限制性股票的议案》，确定以</w:t>
      </w: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w:t>
      </w:r>
      <w:r>
        <w:rPr>
          <w:rFonts w:hint="default" w:eastAsia="Times New Roman"/>
          <w:kern w:val="0"/>
          <w:sz w:val="21"/>
          <w:szCs w:val="24"/>
          <w:lang w:val="zh-CN"/>
        </w:rPr>
        <w:t>20</w:t>
      </w:r>
      <w:r>
        <w:rPr>
          <w:rFonts w:hint="eastAsia" w:ascii="宋体" w:hAnsi="宋体" w:cs="宋体"/>
          <w:kern w:val="0"/>
          <w:sz w:val="21"/>
          <w:szCs w:val="24"/>
          <w:lang w:val="zh-CN"/>
        </w:rPr>
        <w:t>日为授予日，向</w:t>
      </w:r>
      <w:r>
        <w:rPr>
          <w:rFonts w:hint="default" w:eastAsia="Times New Roman"/>
          <w:kern w:val="0"/>
          <w:sz w:val="21"/>
          <w:szCs w:val="24"/>
          <w:lang w:val="zh-CN"/>
        </w:rPr>
        <w:t>39</w:t>
      </w:r>
      <w:r>
        <w:rPr>
          <w:rFonts w:hint="eastAsia" w:ascii="宋体" w:hAnsi="宋体" w:cs="宋体"/>
          <w:kern w:val="0"/>
          <w:sz w:val="21"/>
          <w:szCs w:val="24"/>
          <w:lang w:val="zh-CN"/>
        </w:rPr>
        <w:t>名激励对象授予</w:t>
      </w:r>
      <w:r>
        <w:rPr>
          <w:rFonts w:hint="default" w:eastAsia="Times New Roman"/>
          <w:kern w:val="0"/>
          <w:sz w:val="21"/>
          <w:szCs w:val="24"/>
          <w:lang w:val="zh-CN"/>
        </w:rPr>
        <w:t>114.20</w:t>
      </w:r>
      <w:r>
        <w:rPr>
          <w:rFonts w:hint="eastAsia" w:ascii="宋体" w:hAnsi="宋体" w:cs="宋体"/>
          <w:kern w:val="0"/>
          <w:sz w:val="21"/>
          <w:szCs w:val="24"/>
          <w:lang w:val="zh-CN"/>
        </w:rPr>
        <w:t>万股限制性股票（每股面值人民币</w:t>
      </w:r>
      <w:r>
        <w:rPr>
          <w:rFonts w:hint="default" w:eastAsia="Times New Roman"/>
          <w:kern w:val="0"/>
          <w:sz w:val="21"/>
          <w:szCs w:val="24"/>
          <w:lang w:val="zh-CN"/>
        </w:rPr>
        <w:t>1</w:t>
      </w:r>
      <w:r>
        <w:rPr>
          <w:rFonts w:hint="eastAsia" w:ascii="宋体" w:hAnsi="宋体" w:cs="宋体"/>
          <w:kern w:val="0"/>
          <w:sz w:val="21"/>
          <w:szCs w:val="24"/>
          <w:lang w:val="zh-CN"/>
        </w:rPr>
        <w:t>元）。公司增加注册资本人民币</w:t>
      </w:r>
      <w:r>
        <w:rPr>
          <w:rFonts w:hint="default" w:eastAsia="Times New Roman"/>
          <w:kern w:val="0"/>
          <w:sz w:val="21"/>
          <w:szCs w:val="24"/>
          <w:lang w:val="zh-CN"/>
        </w:rPr>
        <w:t>1,142,000.00</w:t>
      </w:r>
      <w:r>
        <w:rPr>
          <w:rFonts w:hint="eastAsia" w:ascii="宋体" w:hAnsi="宋体" w:cs="宋体"/>
          <w:kern w:val="0"/>
          <w:sz w:val="21"/>
          <w:szCs w:val="24"/>
          <w:lang w:val="zh-CN"/>
        </w:rPr>
        <w:t>元，变更后的注册资本为人民币</w:t>
      </w:r>
      <w:r>
        <w:rPr>
          <w:rFonts w:hint="default" w:eastAsia="Times New Roman"/>
          <w:kern w:val="0"/>
          <w:sz w:val="21"/>
          <w:szCs w:val="24"/>
          <w:lang w:val="zh-CN"/>
        </w:rPr>
        <w:t>116,742,000.00</w:t>
      </w:r>
      <w:r>
        <w:rPr>
          <w:rFonts w:hint="eastAsia" w:ascii="宋体" w:hAnsi="宋体" w:cs="宋体"/>
          <w:kern w:val="0"/>
          <w:sz w:val="21"/>
          <w:szCs w:val="24"/>
          <w:lang w:val="zh-CN"/>
        </w:rPr>
        <w:t>元。</w:t>
      </w: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21</w:t>
      </w:r>
      <w:r>
        <w:rPr>
          <w:rFonts w:hint="eastAsia" w:ascii="宋体" w:hAnsi="宋体" w:cs="宋体"/>
          <w:kern w:val="0"/>
          <w:sz w:val="21"/>
          <w:szCs w:val="24"/>
          <w:lang w:val="zh-CN"/>
        </w:rPr>
        <w:t>日，公司完成了工商变更。</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公司于</w:t>
      </w: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13</w:t>
      </w:r>
      <w:r>
        <w:rPr>
          <w:rFonts w:hint="eastAsia" w:ascii="宋体" w:hAnsi="宋体" w:cs="宋体"/>
          <w:kern w:val="0"/>
          <w:sz w:val="21"/>
          <w:szCs w:val="24"/>
          <w:lang w:val="zh-CN"/>
        </w:rPr>
        <w:t>日召开</w:t>
      </w:r>
      <w:r>
        <w:rPr>
          <w:rFonts w:hint="default" w:eastAsia="Times New Roman"/>
          <w:kern w:val="0"/>
          <w:sz w:val="21"/>
          <w:szCs w:val="24"/>
          <w:lang w:val="zh-CN"/>
        </w:rPr>
        <w:t>2019</w:t>
      </w:r>
      <w:r>
        <w:rPr>
          <w:rFonts w:hint="eastAsia" w:ascii="宋体" w:hAnsi="宋体" w:cs="宋体"/>
          <w:kern w:val="0"/>
          <w:sz w:val="21"/>
          <w:szCs w:val="24"/>
          <w:lang w:val="zh-CN"/>
        </w:rPr>
        <w:t>年第一次临时股东大会，会议审议通过了《关于回购注销部分限制性股票的议案》、《关于变更公司注册资本与修改</w:t>
      </w:r>
      <w:r>
        <w:rPr>
          <w:rFonts w:hint="default" w:eastAsia="Times New Roman"/>
          <w:kern w:val="0"/>
          <w:sz w:val="21"/>
          <w:szCs w:val="24"/>
          <w:lang w:val="zh-CN"/>
        </w:rPr>
        <w:t>&lt;</w:t>
      </w:r>
      <w:r>
        <w:rPr>
          <w:rFonts w:hint="eastAsia" w:ascii="宋体" w:hAnsi="宋体" w:cs="宋体"/>
          <w:kern w:val="0"/>
          <w:sz w:val="21"/>
          <w:szCs w:val="24"/>
          <w:lang w:val="zh-CN"/>
        </w:rPr>
        <w:t>公司章程</w:t>
      </w:r>
      <w:r>
        <w:rPr>
          <w:rFonts w:hint="default" w:eastAsia="Times New Roman"/>
          <w:kern w:val="0"/>
          <w:sz w:val="21"/>
          <w:szCs w:val="24"/>
          <w:lang w:val="zh-CN"/>
        </w:rPr>
        <w:t>&gt;</w:t>
      </w:r>
      <w:r>
        <w:rPr>
          <w:rFonts w:hint="eastAsia" w:ascii="宋体" w:hAnsi="宋体" w:cs="宋体"/>
          <w:kern w:val="0"/>
          <w:sz w:val="21"/>
          <w:szCs w:val="24"/>
          <w:lang w:val="zh-CN"/>
        </w:rPr>
        <w:t>的议案》。由于公司</w:t>
      </w:r>
      <w:r>
        <w:rPr>
          <w:rFonts w:hint="default" w:eastAsia="Times New Roman"/>
          <w:kern w:val="0"/>
          <w:sz w:val="21"/>
          <w:szCs w:val="24"/>
          <w:lang w:val="zh-CN"/>
        </w:rPr>
        <w:t>1</w:t>
      </w:r>
      <w:r>
        <w:rPr>
          <w:rFonts w:hint="eastAsia" w:ascii="宋体" w:hAnsi="宋体" w:cs="宋体"/>
          <w:kern w:val="0"/>
          <w:sz w:val="21"/>
          <w:szCs w:val="24"/>
          <w:lang w:val="zh-CN"/>
        </w:rPr>
        <w:t>名原激励对象因个人原因离职，该人员已不符合激励条件，公司决定对该对象所持已获授但尚未解除限售的</w:t>
      </w:r>
      <w:r>
        <w:rPr>
          <w:rFonts w:hint="default" w:eastAsia="Times New Roman"/>
          <w:kern w:val="0"/>
          <w:sz w:val="21"/>
          <w:szCs w:val="24"/>
          <w:lang w:val="zh-CN"/>
        </w:rPr>
        <w:t>20,000.00</w:t>
      </w:r>
      <w:r>
        <w:rPr>
          <w:rFonts w:hint="eastAsia" w:ascii="宋体" w:hAnsi="宋体" w:cs="宋体"/>
          <w:kern w:val="0"/>
          <w:sz w:val="21"/>
          <w:szCs w:val="24"/>
          <w:lang w:val="zh-CN"/>
        </w:rPr>
        <w:t>股限制性股票进行回购注销。减少股本人民币</w:t>
      </w:r>
      <w:r>
        <w:rPr>
          <w:rFonts w:hint="default" w:eastAsia="Times New Roman"/>
          <w:kern w:val="0"/>
          <w:sz w:val="21"/>
          <w:szCs w:val="24"/>
          <w:lang w:val="zh-CN"/>
        </w:rPr>
        <w:t>20,000.00</w:t>
      </w:r>
      <w:r>
        <w:rPr>
          <w:rFonts w:hint="eastAsia" w:ascii="宋体" w:hAnsi="宋体" w:cs="宋体"/>
          <w:kern w:val="0"/>
          <w:sz w:val="21"/>
          <w:szCs w:val="24"/>
          <w:lang w:val="zh-CN"/>
        </w:rPr>
        <w:t>元，变更后的股本为人民币</w:t>
      </w:r>
      <w:r>
        <w:rPr>
          <w:rFonts w:hint="default" w:eastAsia="Times New Roman"/>
          <w:kern w:val="0"/>
          <w:sz w:val="21"/>
          <w:szCs w:val="24"/>
          <w:lang w:val="zh-CN"/>
        </w:rPr>
        <w:t>116,722,000.00</w:t>
      </w:r>
      <w:r>
        <w:rPr>
          <w:rFonts w:hint="eastAsia" w:ascii="宋体" w:hAnsi="宋体" w:cs="宋体"/>
          <w:kern w:val="0"/>
          <w:sz w:val="21"/>
          <w:szCs w:val="24"/>
          <w:lang w:val="zh-CN"/>
        </w:rPr>
        <w:t>元。</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公司于</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11</w:t>
      </w:r>
      <w:r>
        <w:rPr>
          <w:rFonts w:hint="eastAsia" w:ascii="宋体" w:hAnsi="宋体" w:cs="宋体"/>
          <w:kern w:val="0"/>
          <w:sz w:val="21"/>
          <w:szCs w:val="24"/>
          <w:lang w:val="zh-CN"/>
        </w:rPr>
        <w:t>日召开</w:t>
      </w:r>
      <w:r>
        <w:rPr>
          <w:rFonts w:hint="default" w:eastAsia="Times New Roman"/>
          <w:kern w:val="0"/>
          <w:sz w:val="21"/>
          <w:szCs w:val="24"/>
          <w:lang w:val="zh-CN"/>
        </w:rPr>
        <w:t>2020</w:t>
      </w:r>
      <w:r>
        <w:rPr>
          <w:rFonts w:hint="eastAsia" w:ascii="宋体" w:hAnsi="宋体" w:cs="宋体"/>
          <w:kern w:val="0"/>
          <w:sz w:val="21"/>
          <w:szCs w:val="24"/>
          <w:lang w:val="zh-CN"/>
        </w:rPr>
        <w:t>年第一次临时股东大会，会议审议通过了《关于回购注销部分限制性股票的议案》、《关于变更公司注册资本与修改</w:t>
      </w:r>
      <w:r>
        <w:rPr>
          <w:rFonts w:hint="default" w:eastAsia="Times New Roman"/>
          <w:kern w:val="0"/>
          <w:sz w:val="21"/>
          <w:szCs w:val="24"/>
          <w:lang w:val="zh-CN"/>
        </w:rPr>
        <w:t>&lt;</w:t>
      </w:r>
      <w:r>
        <w:rPr>
          <w:rFonts w:hint="eastAsia" w:ascii="宋体" w:hAnsi="宋体" w:cs="宋体"/>
          <w:kern w:val="0"/>
          <w:sz w:val="21"/>
          <w:szCs w:val="24"/>
          <w:lang w:val="zh-CN"/>
        </w:rPr>
        <w:t>公司章程</w:t>
      </w:r>
      <w:r>
        <w:rPr>
          <w:rFonts w:hint="default" w:eastAsia="Times New Roman"/>
          <w:kern w:val="0"/>
          <w:sz w:val="21"/>
          <w:szCs w:val="24"/>
          <w:lang w:val="zh-CN"/>
        </w:rPr>
        <w:t>&gt;</w:t>
      </w:r>
      <w:r>
        <w:rPr>
          <w:rFonts w:hint="eastAsia" w:ascii="宋体" w:hAnsi="宋体" w:cs="宋体"/>
          <w:kern w:val="0"/>
          <w:sz w:val="21"/>
          <w:szCs w:val="24"/>
          <w:lang w:val="zh-CN"/>
        </w:rPr>
        <w:t>的议案》。由于公司</w:t>
      </w:r>
      <w:r>
        <w:rPr>
          <w:rFonts w:hint="default" w:eastAsia="Times New Roman"/>
          <w:kern w:val="0"/>
          <w:sz w:val="21"/>
          <w:szCs w:val="24"/>
          <w:lang w:val="zh-CN"/>
        </w:rPr>
        <w:t>2</w:t>
      </w:r>
      <w:r>
        <w:rPr>
          <w:rFonts w:hint="eastAsia" w:ascii="宋体" w:hAnsi="宋体" w:cs="宋体"/>
          <w:kern w:val="0"/>
          <w:sz w:val="21"/>
          <w:szCs w:val="24"/>
          <w:lang w:val="zh-CN"/>
        </w:rPr>
        <w:t>名原激励对象因个人原因离职，公司决定对该对象所持已获授但尚未解除限售的</w:t>
      </w:r>
      <w:r>
        <w:rPr>
          <w:rFonts w:hint="default" w:eastAsia="Times New Roman"/>
          <w:kern w:val="0"/>
          <w:sz w:val="21"/>
          <w:szCs w:val="24"/>
          <w:lang w:val="zh-CN"/>
        </w:rPr>
        <w:t>42,000.00</w:t>
      </w:r>
      <w:r>
        <w:rPr>
          <w:rFonts w:hint="eastAsia" w:ascii="宋体" w:hAnsi="宋体" w:cs="宋体"/>
          <w:kern w:val="0"/>
          <w:sz w:val="21"/>
          <w:szCs w:val="24"/>
          <w:lang w:val="zh-CN"/>
        </w:rPr>
        <w:t>股限制性股票进行回购注销。减少股本人民币</w:t>
      </w:r>
      <w:r>
        <w:rPr>
          <w:rFonts w:hint="default" w:eastAsia="Times New Roman"/>
          <w:kern w:val="0"/>
          <w:sz w:val="21"/>
          <w:szCs w:val="24"/>
          <w:lang w:val="zh-CN"/>
        </w:rPr>
        <w:t>42,000.00</w:t>
      </w:r>
      <w:r>
        <w:rPr>
          <w:rFonts w:hint="eastAsia" w:ascii="宋体" w:hAnsi="宋体" w:cs="宋体"/>
          <w:kern w:val="0"/>
          <w:sz w:val="21"/>
          <w:szCs w:val="24"/>
          <w:lang w:val="zh-CN"/>
        </w:rPr>
        <w:t>元，变更后的股本为人民币</w:t>
      </w:r>
      <w:r>
        <w:rPr>
          <w:rFonts w:hint="default" w:eastAsia="Times New Roman"/>
          <w:kern w:val="0"/>
          <w:sz w:val="21"/>
          <w:szCs w:val="24"/>
          <w:lang w:val="zh-CN"/>
        </w:rPr>
        <w:t>116,680,000.00</w:t>
      </w:r>
      <w:r>
        <w:rPr>
          <w:rFonts w:hint="eastAsia" w:ascii="宋体" w:hAnsi="宋体" w:cs="宋体"/>
          <w:kern w:val="0"/>
          <w:sz w:val="21"/>
          <w:szCs w:val="24"/>
          <w:lang w:val="zh-CN"/>
        </w:rPr>
        <w:t>元。</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公司住所为青岛即墨市蓝村镇兴和路</w:t>
      </w:r>
      <w:r>
        <w:rPr>
          <w:rFonts w:hint="default" w:eastAsia="Times New Roman"/>
          <w:kern w:val="0"/>
          <w:sz w:val="21"/>
          <w:szCs w:val="24"/>
          <w:lang w:val="zh-CN"/>
        </w:rPr>
        <w:t>45</w:t>
      </w:r>
      <w:r>
        <w:rPr>
          <w:rFonts w:hint="eastAsia" w:ascii="宋体" w:hAnsi="宋体" w:cs="宋体"/>
          <w:kern w:val="0"/>
          <w:sz w:val="21"/>
          <w:szCs w:val="24"/>
          <w:lang w:val="zh-CN"/>
        </w:rPr>
        <w:t>号，公司法定代表人为范庆伟。</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公司经营范围：</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制造销售消防阀门、消防栓、消防设备配件（不含国家限制品种）、阀门及其配件、管件、机械配件，批发、零售工艺品、服装鞋帽、五金、化工产品（不含危险化学品）、普通机械、建筑材料、计算机及其配件，货物进出口、技术进出口（法律、行政法规禁止的项目除外）；法律、行政法规限制的项目取得许可后方可经营。</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公司主营业务：阀门及其配件、汽车配件铸件、管件的生产、销售及相关业务。</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公司所属行业：制造行业。</w:t>
      </w:r>
    </w:p>
    <w:p>
      <w:pPr>
        <w:autoSpaceDE w:val="0"/>
        <w:autoSpaceDN w:val="0"/>
        <w:adjustRightInd w:val="0"/>
        <w:spacing w:before="0" w:after="0"/>
        <w:ind w:right="170" w:firstLine="420"/>
        <w:rPr>
          <w:rFonts w:hint="default" w:eastAsia="Times New Roman"/>
          <w:kern w:val="0"/>
          <w:sz w:val="21"/>
          <w:szCs w:val="24"/>
          <w:lang w:val="zh-CN"/>
        </w:rPr>
      </w:pPr>
      <w:r>
        <w:rPr>
          <w:rFonts w:hint="eastAsia" w:ascii="宋体" w:hAnsi="宋体" w:cs="宋体"/>
          <w:kern w:val="0"/>
          <w:sz w:val="21"/>
          <w:szCs w:val="24"/>
          <w:lang w:val="zh-CN"/>
        </w:rPr>
        <w:t>本公司实际控制人为范庆伟家族，持有本公司</w:t>
      </w:r>
      <w:r>
        <w:rPr>
          <w:rFonts w:hint="default" w:eastAsia="Times New Roman"/>
          <w:kern w:val="0"/>
          <w:sz w:val="21"/>
          <w:szCs w:val="24"/>
          <w:lang w:val="zh-CN"/>
        </w:rPr>
        <w:t>67.34%</w:t>
      </w:r>
      <w:r>
        <w:rPr>
          <w:rFonts w:hint="eastAsia" w:ascii="宋体" w:hAnsi="宋体" w:cs="宋体"/>
          <w:kern w:val="0"/>
          <w:sz w:val="21"/>
          <w:szCs w:val="24"/>
          <w:lang w:val="zh-CN"/>
        </w:rPr>
        <w:t>的股权。</w:t>
      </w:r>
    </w:p>
    <w:p>
      <w:pPr>
        <w:autoSpaceDE w:val="0"/>
        <w:autoSpaceDN w:val="0"/>
        <w:adjustRightInd w:val="0"/>
        <w:spacing w:before="0" w:after="0"/>
        <w:ind w:right="170" w:firstLine="420"/>
        <w:rPr>
          <w:rFonts w:hint="default" w:eastAsia="Times New Roman"/>
          <w:kern w:val="0"/>
          <w:sz w:val="21"/>
          <w:szCs w:val="24"/>
          <w:lang w:val="zh-CN"/>
        </w:rPr>
      </w:pPr>
      <w:r>
        <w:rPr>
          <w:rFonts w:hint="eastAsia" w:ascii="宋体" w:hAnsi="宋体" w:cs="宋体"/>
          <w:kern w:val="0"/>
          <w:sz w:val="21"/>
          <w:szCs w:val="24"/>
          <w:lang w:val="zh-CN"/>
        </w:rPr>
        <w:t>本财务报表由公司董事会决议批准于</w:t>
      </w:r>
      <w:r>
        <w:rPr>
          <w:rFonts w:hint="default" w:eastAsia="Times New Roman"/>
          <w:kern w:val="0"/>
          <w:sz w:val="21"/>
          <w:szCs w:val="24"/>
          <w:lang w:val="zh-CN"/>
        </w:rPr>
        <w:t>2021</w:t>
      </w:r>
      <w:r>
        <w:rPr>
          <w:rFonts w:hint="eastAsia" w:ascii="宋体" w:hAnsi="宋体" w:cs="宋体"/>
          <w:kern w:val="0"/>
          <w:sz w:val="21"/>
          <w:szCs w:val="24"/>
          <w:lang w:val="zh-CN"/>
        </w:rPr>
        <w:t>年</w:t>
      </w:r>
      <w:r>
        <w:rPr>
          <w:rFonts w:hint="default" w:eastAsia="Times New Roman"/>
          <w:kern w:val="0"/>
          <w:sz w:val="21"/>
          <w:szCs w:val="24"/>
          <w:lang w:val="zh-CN"/>
        </w:rPr>
        <w:t>4</w:t>
      </w:r>
      <w:r>
        <w:rPr>
          <w:rFonts w:hint="eastAsia" w:ascii="宋体" w:hAnsi="宋体" w:cs="宋体"/>
          <w:kern w:val="0"/>
          <w:sz w:val="21"/>
          <w:szCs w:val="24"/>
          <w:lang w:val="zh-CN"/>
        </w:rPr>
        <w:t>月</w:t>
      </w:r>
      <w:r>
        <w:rPr>
          <w:rFonts w:hint="default" w:eastAsia="Times New Roman"/>
          <w:kern w:val="0"/>
          <w:sz w:val="21"/>
          <w:szCs w:val="24"/>
          <w:lang w:val="zh-CN"/>
        </w:rPr>
        <w:t>28</w:t>
      </w:r>
      <w:r>
        <w:rPr>
          <w:rFonts w:hint="eastAsia" w:ascii="宋体" w:hAnsi="宋体" w:cs="宋体"/>
          <w:kern w:val="0"/>
          <w:sz w:val="21"/>
          <w:szCs w:val="24"/>
          <w:lang w:val="zh-CN"/>
        </w:rPr>
        <w:t>日报出。</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截止</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日，公司合并财务报表范围内子公司如下：</w:t>
      </w:r>
    </w:p>
    <w:tbl>
      <w:tblPr>
        <w:tblStyle w:val="5"/>
        <w:tblW w:w="0" w:type="auto"/>
        <w:tblInd w:w="10" w:type="dxa"/>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Layout w:type="fixed"/>
        <w:tblCellMar>
          <w:top w:w="10" w:type="dxa"/>
          <w:left w:w="10" w:type="dxa"/>
          <w:bottom w:w="10" w:type="dxa"/>
          <w:right w:w="10" w:type="dxa"/>
        </w:tblCellMar>
      </w:tblPr>
      <w:tblGrid>
        <w:gridCol w:w="4544"/>
        <w:gridCol w:w="4544"/>
      </w:tblGrid>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公司名称</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子公司类型</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莱州伟隆阀门有限公司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青岛伟隆流体设备有限公司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Weflo Valve Company Limited</w:t>
            </w:r>
            <w:r>
              <w:rPr>
                <w:rFonts w:hint="eastAsia" w:ascii="宋体" w:hAnsi="宋体" w:cs="宋体"/>
                <w:kern w:val="0"/>
                <w:sz w:val="18"/>
                <w:szCs w:val="24"/>
                <w:lang w:val="zh-CN"/>
              </w:rPr>
              <w:t>（英国公司）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WEFLO VALVE LLC</w:t>
            </w:r>
            <w:r>
              <w:rPr>
                <w:rFonts w:hint="eastAsia" w:ascii="宋体" w:hAnsi="宋体" w:cs="宋体"/>
                <w:kern w:val="0"/>
                <w:sz w:val="18"/>
                <w:szCs w:val="24"/>
                <w:lang w:val="zh-CN"/>
              </w:rPr>
              <w:t>（美国公司）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青岛即聚机电有限责任公司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青岛卓信检测技术有限责任公司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偉隆（香港）實業有限公司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青岛伟隆五金机械有限公司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全资子公司</w:t>
            </w:r>
          </w:p>
        </w:tc>
      </w:tr>
    </w:tbl>
    <w:p>
      <w:pPr>
        <w:autoSpaceDE w:val="0"/>
        <w:autoSpaceDN w:val="0"/>
        <w:adjustRightInd w:val="0"/>
        <w:spacing w:before="150" w:after="150"/>
        <w:ind w:firstLine="496"/>
        <w:rPr>
          <w:rFonts w:hint="default" w:eastAsia="Times New Roman"/>
          <w:b/>
          <w:kern w:val="0"/>
          <w:sz w:val="24"/>
          <w:szCs w:val="24"/>
          <w:lang w:val="zh-CN"/>
        </w:rPr>
      </w:pPr>
      <w:r>
        <w:rPr>
          <w:rFonts w:hint="eastAsia" w:ascii="宋体" w:hAnsi="宋体" w:cs="宋体"/>
          <w:b/>
          <w:kern w:val="0"/>
          <w:sz w:val="24"/>
          <w:szCs w:val="24"/>
          <w:lang w:val="zh-CN"/>
        </w:rPr>
        <w:t>（三）本期合并财务报表范围发生变更的情况</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1</w:t>
      </w:r>
      <w:r>
        <w:rPr>
          <w:rFonts w:hint="eastAsia" w:ascii="宋体" w:hAnsi="宋体" w:cs="宋体"/>
          <w:kern w:val="0"/>
          <w:sz w:val="21"/>
          <w:szCs w:val="24"/>
          <w:lang w:val="zh-CN"/>
        </w:rPr>
        <w:t>、青岛即聚机电有限责任公司成立于</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w:t>
      </w:r>
      <w:r>
        <w:rPr>
          <w:rFonts w:hint="eastAsia" w:ascii="宋体" w:hAnsi="宋体" w:cs="宋体"/>
          <w:kern w:val="0"/>
          <w:sz w:val="21"/>
          <w:szCs w:val="24"/>
          <w:lang w:val="zh-CN"/>
        </w:rPr>
        <w:t>月</w:t>
      </w:r>
      <w:r>
        <w:rPr>
          <w:rFonts w:hint="default" w:eastAsia="Times New Roman"/>
          <w:kern w:val="0"/>
          <w:sz w:val="21"/>
          <w:szCs w:val="24"/>
          <w:lang w:val="zh-CN"/>
        </w:rPr>
        <w:t>7</w:t>
      </w:r>
      <w:r>
        <w:rPr>
          <w:rFonts w:hint="eastAsia" w:ascii="宋体" w:hAnsi="宋体" w:cs="宋体"/>
          <w:kern w:val="0"/>
          <w:sz w:val="21"/>
          <w:szCs w:val="24"/>
          <w:lang w:val="zh-CN"/>
        </w:rPr>
        <w:t>日，自成立之日起纳入合并报表范围。</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w:t>
      </w:r>
      <w:r>
        <w:rPr>
          <w:rFonts w:hint="eastAsia" w:ascii="宋体" w:hAnsi="宋体" w:cs="宋体"/>
          <w:kern w:val="0"/>
          <w:sz w:val="21"/>
          <w:szCs w:val="24"/>
          <w:lang w:val="zh-CN"/>
        </w:rPr>
        <w:t>、青岛卓信检测技术有限责任公司成立于</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9</w:t>
      </w:r>
      <w:r>
        <w:rPr>
          <w:rFonts w:hint="eastAsia" w:ascii="宋体" w:hAnsi="宋体" w:cs="宋体"/>
          <w:kern w:val="0"/>
          <w:sz w:val="21"/>
          <w:szCs w:val="24"/>
          <w:lang w:val="zh-CN"/>
        </w:rPr>
        <w:t>月</w:t>
      </w:r>
      <w:r>
        <w:rPr>
          <w:rFonts w:hint="default" w:eastAsia="Times New Roman"/>
          <w:kern w:val="0"/>
          <w:sz w:val="21"/>
          <w:szCs w:val="24"/>
          <w:lang w:val="zh-CN"/>
        </w:rPr>
        <w:t>8</w:t>
      </w:r>
      <w:r>
        <w:rPr>
          <w:rFonts w:hint="eastAsia" w:ascii="宋体" w:hAnsi="宋体" w:cs="宋体"/>
          <w:kern w:val="0"/>
          <w:sz w:val="21"/>
          <w:szCs w:val="24"/>
          <w:lang w:val="zh-CN"/>
        </w:rPr>
        <w:t>日，自成立之日起纳入合并报表范围。</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3</w:t>
      </w:r>
      <w:r>
        <w:rPr>
          <w:rFonts w:hint="eastAsia" w:ascii="宋体" w:hAnsi="宋体" w:cs="宋体"/>
          <w:kern w:val="0"/>
          <w:sz w:val="21"/>
          <w:szCs w:val="24"/>
          <w:lang w:val="zh-CN"/>
        </w:rPr>
        <w:t>、偉隆（香港）實業有限公司成立于</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3</w:t>
      </w:r>
      <w:r>
        <w:rPr>
          <w:rFonts w:hint="eastAsia" w:ascii="宋体" w:hAnsi="宋体" w:cs="宋体"/>
          <w:kern w:val="0"/>
          <w:sz w:val="21"/>
          <w:szCs w:val="24"/>
          <w:lang w:val="zh-CN"/>
        </w:rPr>
        <w:t>月</w:t>
      </w:r>
      <w:r>
        <w:rPr>
          <w:rFonts w:hint="default" w:eastAsia="Times New Roman"/>
          <w:kern w:val="0"/>
          <w:sz w:val="21"/>
          <w:szCs w:val="24"/>
          <w:lang w:val="zh-CN"/>
        </w:rPr>
        <w:t>17</w:t>
      </w:r>
      <w:r>
        <w:rPr>
          <w:rFonts w:hint="eastAsia" w:ascii="宋体" w:hAnsi="宋体" w:cs="宋体"/>
          <w:kern w:val="0"/>
          <w:sz w:val="21"/>
          <w:szCs w:val="24"/>
          <w:lang w:val="zh-CN"/>
        </w:rPr>
        <w:t>日，自成立之日起纳入合并报表范围。</w:t>
      </w:r>
    </w:p>
    <w:p>
      <w:pPr>
        <w:pStyle w:val="7"/>
        <w:outlineLvl w:val="1"/>
        <w:rPr>
          <w:rFonts w:hint="default"/>
          <w:sz w:val="24"/>
          <w:szCs w:val="24"/>
        </w:rPr>
      </w:pPr>
      <w:r>
        <w:rPr>
          <w:rFonts w:hint="eastAsia"/>
          <w:sz w:val="24"/>
          <w:szCs w:val="24"/>
        </w:rPr>
        <w:t>四、财务报表的编制基础</w:t>
      </w:r>
    </w:p>
    <w:p>
      <w:pPr>
        <w:pStyle w:val="8"/>
        <w:outlineLvl w:val="2"/>
        <w:rPr>
          <w:rFonts w:hint="default"/>
          <w:sz w:val="21"/>
          <w:szCs w:val="24"/>
        </w:rPr>
      </w:pPr>
      <w:r>
        <w:rPr>
          <w:rFonts w:hint="default"/>
          <w:sz w:val="21"/>
          <w:szCs w:val="24"/>
        </w:rPr>
        <w:t>1</w:t>
      </w:r>
      <w:r>
        <w:rPr>
          <w:rFonts w:hint="eastAsia"/>
          <w:sz w:val="21"/>
          <w:szCs w:val="24"/>
        </w:rPr>
        <w:t>、编制基础</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本公司财务报表以持续经营为基础，根据实际发生的交易和事项，按照财政部颁布的《企业会计准则</w:t>
      </w:r>
      <w:r>
        <w:rPr>
          <w:rFonts w:hint="default" w:eastAsia="Times New Roman"/>
          <w:kern w:val="0"/>
          <w:sz w:val="21"/>
          <w:szCs w:val="24"/>
          <w:lang w:val="zh-CN"/>
        </w:rPr>
        <w:t>-</w:t>
      </w:r>
      <w:r>
        <w:rPr>
          <w:rFonts w:hint="eastAsia" w:ascii="宋体" w:hAnsi="宋体" w:cs="宋体"/>
          <w:kern w:val="0"/>
          <w:sz w:val="21"/>
          <w:szCs w:val="24"/>
          <w:lang w:val="zh-CN"/>
        </w:rPr>
        <w:t>基本准则》、具体会计准则和其后颁布的企业会计准则应用指南、企业会计准则解释及其他相关规定（以下简称</w:t>
      </w:r>
      <w:r>
        <w:rPr>
          <w:rFonts w:hint="default" w:eastAsia="Times New Roman"/>
          <w:kern w:val="0"/>
          <w:sz w:val="21"/>
          <w:szCs w:val="24"/>
          <w:lang w:val="zh-CN"/>
        </w:rPr>
        <w:t>“</w:t>
      </w:r>
      <w:r>
        <w:rPr>
          <w:rFonts w:hint="eastAsia" w:ascii="宋体" w:hAnsi="宋体" w:cs="宋体"/>
          <w:kern w:val="0"/>
          <w:sz w:val="21"/>
          <w:szCs w:val="24"/>
          <w:lang w:val="zh-CN"/>
        </w:rPr>
        <w:t>企业会计准则</w:t>
      </w:r>
      <w:r>
        <w:rPr>
          <w:rFonts w:hint="default" w:eastAsia="Times New Roman"/>
          <w:kern w:val="0"/>
          <w:sz w:val="21"/>
          <w:szCs w:val="24"/>
          <w:lang w:val="zh-CN"/>
        </w:rPr>
        <w:t>”</w:t>
      </w:r>
      <w:r>
        <w:rPr>
          <w:rFonts w:hint="eastAsia" w:ascii="宋体" w:hAnsi="宋体" w:cs="宋体"/>
          <w:kern w:val="0"/>
          <w:sz w:val="21"/>
          <w:szCs w:val="24"/>
          <w:lang w:val="zh-CN"/>
        </w:rPr>
        <w:t>）以及中国证券监督管理委员会《公开发行证券的公司信息披露编报规则第</w:t>
      </w:r>
      <w:r>
        <w:rPr>
          <w:rFonts w:hint="default" w:eastAsia="Times New Roman"/>
          <w:kern w:val="0"/>
          <w:sz w:val="21"/>
          <w:szCs w:val="24"/>
          <w:lang w:val="zh-CN"/>
        </w:rPr>
        <w:t>15</w:t>
      </w:r>
      <w:r>
        <w:rPr>
          <w:rFonts w:hint="eastAsia" w:ascii="宋体" w:hAnsi="宋体" w:cs="宋体"/>
          <w:kern w:val="0"/>
          <w:sz w:val="21"/>
          <w:szCs w:val="24"/>
          <w:lang w:val="zh-CN"/>
        </w:rPr>
        <w:t>号</w:t>
      </w:r>
      <w:r>
        <w:rPr>
          <w:rFonts w:hint="default" w:eastAsia="Times New Roman"/>
          <w:kern w:val="0"/>
          <w:sz w:val="21"/>
          <w:szCs w:val="24"/>
          <w:lang w:val="zh-CN"/>
        </w:rPr>
        <w:t>——</w:t>
      </w:r>
      <w:r>
        <w:rPr>
          <w:rFonts w:hint="eastAsia" w:ascii="宋体" w:hAnsi="宋体" w:cs="宋体"/>
          <w:kern w:val="0"/>
          <w:sz w:val="21"/>
          <w:szCs w:val="24"/>
          <w:lang w:val="zh-CN"/>
        </w:rPr>
        <w:t>财务报告的一般规定》（</w:t>
      </w:r>
      <w:r>
        <w:rPr>
          <w:rFonts w:hint="default" w:eastAsia="Times New Roman"/>
          <w:kern w:val="0"/>
          <w:sz w:val="21"/>
          <w:szCs w:val="24"/>
          <w:lang w:val="zh-CN"/>
        </w:rPr>
        <w:t>2014</w:t>
      </w:r>
      <w:r>
        <w:rPr>
          <w:rFonts w:hint="eastAsia" w:ascii="宋体" w:hAnsi="宋体" w:cs="宋体"/>
          <w:kern w:val="0"/>
          <w:sz w:val="21"/>
          <w:szCs w:val="24"/>
          <w:lang w:val="zh-CN"/>
        </w:rPr>
        <w:t>年修订）的披露规定，并基于以下所述重要会计政策、会计估计进行编制。</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本公司会计核算以权责发生制为基础。除某些金融工具以外，本财务报表均以历史成本为计量基础。资产如果发生减值，则按照相关规定计提相应的减值准备。</w:t>
      </w:r>
    </w:p>
    <w:p>
      <w:pPr>
        <w:pStyle w:val="8"/>
        <w:outlineLvl w:val="2"/>
        <w:rPr>
          <w:rFonts w:hint="default"/>
          <w:sz w:val="21"/>
          <w:szCs w:val="24"/>
        </w:rPr>
      </w:pPr>
      <w:r>
        <w:rPr>
          <w:rFonts w:hint="default"/>
          <w:sz w:val="21"/>
          <w:szCs w:val="24"/>
        </w:rPr>
        <w:t>2</w:t>
      </w:r>
      <w:r>
        <w:rPr>
          <w:rFonts w:hint="eastAsia"/>
          <w:sz w:val="21"/>
          <w:szCs w:val="24"/>
        </w:rPr>
        <w:t>、持续经营</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报告期内及报告期末起至少十二个月，公司业务稳定，资产负债结构合理，具备持续经营能力，不存在影响持续经营能力的重大不利风险。</w:t>
      </w:r>
    </w:p>
    <w:p>
      <w:pPr>
        <w:pStyle w:val="7"/>
        <w:outlineLvl w:val="1"/>
        <w:rPr>
          <w:rFonts w:hint="default"/>
          <w:sz w:val="24"/>
          <w:szCs w:val="24"/>
        </w:rPr>
      </w:pPr>
      <w:r>
        <w:rPr>
          <w:rFonts w:hint="eastAsia"/>
          <w:sz w:val="24"/>
          <w:szCs w:val="24"/>
        </w:rPr>
        <w:t>五、重要会计政策及会计估计</w:t>
      </w:r>
    </w:p>
    <w:p>
      <w:pPr>
        <w:jc w:val="left"/>
        <w:rPr>
          <w:rFonts w:hint="default"/>
          <w:sz w:val="18"/>
          <w:szCs w:val="24"/>
        </w:rPr>
      </w:pPr>
      <w:r>
        <w:rPr>
          <w:rFonts w:hint="eastAsia"/>
          <w:sz w:val="18"/>
          <w:szCs w:val="24"/>
        </w:rPr>
        <w:t>具体会计政策和会计估计提示：</w:t>
      </w:r>
    </w:p>
    <w:p>
      <w:pPr>
        <w:autoSpaceDE w:val="0"/>
        <w:autoSpaceDN w:val="0"/>
        <w:adjustRightInd w:val="0"/>
        <w:jc w:val="left"/>
        <w:rPr>
          <w:rFonts w:hint="default" w:eastAsia="Times New Roman"/>
          <w:kern w:val="0"/>
          <w:sz w:val="18"/>
          <w:szCs w:val="24"/>
          <w:lang w:val="zh-CN"/>
        </w:rPr>
      </w:pPr>
      <w:r>
        <w:rPr>
          <w:rFonts w:hint="eastAsia" w:ascii="宋体" w:hAnsi="宋体" w:cs="宋体"/>
          <w:kern w:val="0"/>
          <w:sz w:val="18"/>
          <w:szCs w:val="24"/>
          <w:lang w:val="zh-CN"/>
        </w:rPr>
        <w:t>具体会计政策和会计估计提示：</w:t>
      </w:r>
    </w:p>
    <w:p>
      <w:pPr>
        <w:autoSpaceDE w:val="0"/>
        <w:autoSpaceDN w:val="0"/>
        <w:adjustRightInd w:val="0"/>
        <w:spacing w:before="0" w:after="0"/>
        <w:jc w:val="left"/>
        <w:rPr>
          <w:rFonts w:hint="default" w:eastAsia="Times New Roman"/>
          <w:kern w:val="0"/>
          <w:sz w:val="18"/>
          <w:szCs w:val="24"/>
          <w:lang w:val="zh-CN"/>
        </w:rPr>
      </w:pPr>
      <w:r>
        <w:rPr>
          <w:rFonts w:hint="default" w:eastAsia="Times New Roman"/>
          <w:kern w:val="0"/>
          <w:sz w:val="18"/>
          <w:szCs w:val="24"/>
          <w:lang w:val="zh-CN"/>
        </w:rPr>
        <w:t xml:space="preserve">    </w:t>
      </w:r>
      <w:r>
        <w:rPr>
          <w:rFonts w:hint="eastAsia" w:ascii="宋体" w:hAnsi="宋体" w:cs="宋体"/>
          <w:kern w:val="0"/>
          <w:sz w:val="18"/>
          <w:szCs w:val="24"/>
          <w:lang w:val="zh-CN"/>
        </w:rPr>
        <w:t>本公司从事通用设备制造业。本公司根据实际经营特点，依据相关企业会计准则的规定，对收入确认等交易和事项制定了若干项具体会计政策和会计估计，以下披露内容已涵盖了本公司根据实际经营特点制定的具体会计政策和会计估计。</w:t>
      </w:r>
    </w:p>
    <w:p>
      <w:pPr>
        <w:pStyle w:val="8"/>
        <w:outlineLvl w:val="2"/>
        <w:rPr>
          <w:rFonts w:hint="default"/>
          <w:sz w:val="21"/>
          <w:szCs w:val="24"/>
        </w:rPr>
      </w:pPr>
      <w:r>
        <w:rPr>
          <w:rFonts w:hint="default"/>
          <w:sz w:val="21"/>
          <w:szCs w:val="24"/>
        </w:rPr>
        <w:t>1</w:t>
      </w:r>
      <w:r>
        <w:rPr>
          <w:rFonts w:hint="eastAsia"/>
          <w:sz w:val="21"/>
          <w:szCs w:val="24"/>
        </w:rPr>
        <w:t>、遵循企业会计准则的声明</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本公司编制的财务报表符合企业会计准则的要求，真实、完整地反映了本公司</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日的财务状况及</w:t>
      </w:r>
      <w:r>
        <w:rPr>
          <w:rFonts w:hint="default" w:eastAsia="Times New Roman"/>
          <w:kern w:val="0"/>
          <w:sz w:val="21"/>
          <w:szCs w:val="24"/>
          <w:lang w:val="zh-CN"/>
        </w:rPr>
        <w:t>2020</w:t>
      </w:r>
      <w:r>
        <w:rPr>
          <w:rFonts w:hint="eastAsia" w:ascii="宋体" w:hAnsi="宋体" w:cs="宋体"/>
          <w:kern w:val="0"/>
          <w:sz w:val="21"/>
          <w:szCs w:val="24"/>
          <w:lang w:val="zh-CN"/>
        </w:rPr>
        <w:t>年度的经营成果和现金流量等有关信息。</w:t>
      </w:r>
    </w:p>
    <w:p>
      <w:pPr>
        <w:pStyle w:val="8"/>
        <w:outlineLvl w:val="2"/>
        <w:rPr>
          <w:rFonts w:hint="default"/>
          <w:sz w:val="21"/>
          <w:szCs w:val="24"/>
        </w:rPr>
      </w:pPr>
      <w:r>
        <w:rPr>
          <w:rFonts w:hint="default"/>
          <w:sz w:val="21"/>
          <w:szCs w:val="24"/>
        </w:rPr>
        <w:t>2</w:t>
      </w:r>
      <w:r>
        <w:rPr>
          <w:rFonts w:hint="eastAsia"/>
          <w:sz w:val="21"/>
          <w:szCs w:val="24"/>
        </w:rPr>
        <w:t>、会计期间</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本公司会计年度为公历年度，即每年</w:t>
      </w:r>
      <w:r>
        <w:rPr>
          <w:rFonts w:hint="default" w:eastAsia="Times New Roman"/>
          <w:kern w:val="0"/>
          <w:sz w:val="21"/>
          <w:szCs w:val="24"/>
          <w:lang w:val="zh-CN"/>
        </w:rPr>
        <w:t>1</w:t>
      </w:r>
      <w:r>
        <w:rPr>
          <w:rFonts w:hint="eastAsia" w:ascii="宋体" w:hAnsi="宋体" w:cs="宋体"/>
          <w:kern w:val="0"/>
          <w:sz w:val="21"/>
          <w:szCs w:val="24"/>
          <w:lang w:val="zh-CN"/>
        </w:rPr>
        <w:t>月</w:t>
      </w:r>
      <w:r>
        <w:rPr>
          <w:rFonts w:hint="default" w:eastAsia="Times New Roman"/>
          <w:kern w:val="0"/>
          <w:sz w:val="21"/>
          <w:szCs w:val="24"/>
          <w:lang w:val="zh-CN"/>
        </w:rPr>
        <w:t>1</w:t>
      </w:r>
      <w:r>
        <w:rPr>
          <w:rFonts w:hint="eastAsia" w:ascii="宋体" w:hAnsi="宋体" w:cs="宋体"/>
          <w:kern w:val="0"/>
          <w:sz w:val="21"/>
          <w:szCs w:val="24"/>
          <w:lang w:val="zh-CN"/>
        </w:rPr>
        <w:t>日起至</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日止。</w:t>
      </w:r>
    </w:p>
    <w:p>
      <w:pPr>
        <w:pStyle w:val="8"/>
        <w:outlineLvl w:val="2"/>
        <w:rPr>
          <w:rFonts w:hint="default"/>
          <w:sz w:val="21"/>
          <w:szCs w:val="24"/>
        </w:rPr>
      </w:pPr>
      <w:r>
        <w:rPr>
          <w:rFonts w:hint="default"/>
          <w:sz w:val="21"/>
          <w:szCs w:val="24"/>
        </w:rPr>
        <w:t>3</w:t>
      </w:r>
      <w:r>
        <w:rPr>
          <w:rFonts w:hint="eastAsia"/>
          <w:sz w:val="21"/>
          <w:szCs w:val="24"/>
        </w:rPr>
        <w:t>、营业周期</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正常营业周期，是指企业从购买用于加工的资产起至实现现金或现金等价物的期间。本公司以</w:t>
      </w:r>
      <w:r>
        <w:rPr>
          <w:rFonts w:hint="default" w:eastAsia="Times New Roman"/>
          <w:kern w:val="0"/>
          <w:sz w:val="21"/>
          <w:szCs w:val="24"/>
          <w:lang w:val="zh-CN"/>
        </w:rPr>
        <w:t xml:space="preserve">12 </w:t>
      </w:r>
      <w:r>
        <w:rPr>
          <w:rFonts w:hint="eastAsia" w:ascii="宋体" w:hAnsi="宋体" w:cs="宋体"/>
          <w:kern w:val="0"/>
          <w:sz w:val="21"/>
          <w:szCs w:val="24"/>
          <w:lang w:val="zh-CN"/>
        </w:rPr>
        <w:t>个月作为正常营业周期，并以其作为资产与负债流动性划分的标准。</w:t>
      </w:r>
    </w:p>
    <w:p>
      <w:pPr>
        <w:pStyle w:val="8"/>
        <w:outlineLvl w:val="2"/>
        <w:rPr>
          <w:rFonts w:hint="default"/>
          <w:sz w:val="21"/>
          <w:szCs w:val="24"/>
        </w:rPr>
      </w:pPr>
      <w:r>
        <w:rPr>
          <w:rFonts w:hint="default"/>
          <w:sz w:val="21"/>
          <w:szCs w:val="24"/>
        </w:rPr>
        <w:t>4</w:t>
      </w:r>
      <w:r>
        <w:rPr>
          <w:rFonts w:hint="eastAsia"/>
          <w:sz w:val="21"/>
          <w:szCs w:val="24"/>
        </w:rPr>
        <w:t>、记账本位币</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公司及境内子公司以人民币为记账本位币。公司之境外子公司根据其经营所处的主要经济环境中的货币决定其记账本位币，编制财务报表时折算成人民币。</w:t>
      </w:r>
    </w:p>
    <w:p>
      <w:pPr>
        <w:pStyle w:val="8"/>
        <w:outlineLvl w:val="2"/>
        <w:rPr>
          <w:rFonts w:hint="default"/>
          <w:sz w:val="21"/>
          <w:szCs w:val="24"/>
        </w:rPr>
      </w:pPr>
      <w:r>
        <w:rPr>
          <w:rFonts w:hint="default"/>
          <w:sz w:val="21"/>
          <w:szCs w:val="24"/>
        </w:rPr>
        <w:t>5</w:t>
      </w:r>
      <w:r>
        <w:rPr>
          <w:rFonts w:hint="eastAsia"/>
          <w:sz w:val="21"/>
          <w:szCs w:val="24"/>
        </w:rPr>
        <w:t>、同一控制下和非同一控制下企业合并的会计处理方法</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企业合并，是指将两个或两个以上单独的企业合并形成一个报告主体的交易或事项。企业合并分为同一控制下企业合并和非同一控制下企业合并。</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、同一控制下的企业合并</w:t>
      </w:r>
    </w:p>
    <w:p>
      <w:pPr>
        <w:autoSpaceDE w:val="0"/>
        <w:autoSpaceDN w:val="0"/>
        <w:adjustRightInd w:val="0"/>
        <w:spacing w:before="0" w:after="0"/>
        <w:ind w:firstLine="459"/>
        <w:jc w:val="left"/>
        <w:rPr>
          <w:rFonts w:hint="default" w:eastAsia="Times New Roman"/>
          <w:kern w:val="0"/>
          <w:sz w:val="21"/>
          <w:szCs w:val="24"/>
          <w:lang w:val="zh-CN"/>
        </w:rPr>
      </w:pPr>
      <w:r>
        <w:rPr>
          <w:rFonts w:hint="eastAsia" w:ascii="宋体" w:hAnsi="宋体" w:cs="宋体"/>
          <w:kern w:val="0"/>
          <w:sz w:val="21"/>
          <w:szCs w:val="24"/>
          <w:lang w:val="zh-CN"/>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资本溢价或股本溢价）；资本公积（资本溢价或股本溢价）的余额不足冲减的，依次冲减盈余公积和未分配利润。合并方以发行权益性工具作为合并对价的，按发行股份的面值总额作为股本，长期股权投资的初始投资成本与所发行股份面值总额之间的差额，调整资本公积（资本溢价或股本溢价）；资本公积（资本溢价或股本溢价）不足冲减的，依次冲减盈余公积和未分配利润。</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通过多次交易分步实现同一控制下企业合并，属于一揽子交易的，合并方应当将各项交易作为一项取得控制权的交易进行会计处理。不属于</w:t>
      </w:r>
      <w:r>
        <w:rPr>
          <w:rFonts w:hint="default" w:eastAsia="Times New Roman"/>
          <w:kern w:val="0"/>
          <w:sz w:val="21"/>
          <w:szCs w:val="24"/>
          <w:lang w:val="zh-CN"/>
        </w:rPr>
        <w:t>“</w:t>
      </w:r>
      <w:r>
        <w:rPr>
          <w:rFonts w:hint="eastAsia" w:ascii="宋体" w:hAnsi="宋体" w:cs="宋体"/>
          <w:kern w:val="0"/>
          <w:sz w:val="21"/>
          <w:szCs w:val="24"/>
          <w:lang w:val="zh-CN"/>
        </w:rPr>
        <w:t>一揽子交易</w:t>
      </w:r>
      <w:r>
        <w:rPr>
          <w:rFonts w:hint="default" w:eastAsia="Times New Roman"/>
          <w:kern w:val="0"/>
          <w:sz w:val="21"/>
          <w:szCs w:val="24"/>
          <w:lang w:val="zh-CN"/>
        </w:rPr>
        <w:t>”</w:t>
      </w:r>
      <w:r>
        <w:rPr>
          <w:rFonts w:hint="eastAsia" w:ascii="宋体" w:hAnsi="宋体" w:cs="宋体"/>
          <w:kern w:val="0"/>
          <w:sz w:val="21"/>
          <w:szCs w:val="24"/>
          <w:lang w:val="zh-CN"/>
        </w:rPr>
        <w:t>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、非同一控制下的企业合并</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人权益性工具或债务性工具的初始确认金额。所涉及的或有对价按其在购买日的公允价值计入合并成本，购买日后</w:t>
      </w:r>
      <w:r>
        <w:rPr>
          <w:rFonts w:hint="default" w:eastAsia="Times New Roman"/>
          <w:kern w:val="0"/>
          <w:sz w:val="21"/>
          <w:szCs w:val="24"/>
          <w:lang w:val="zh-CN"/>
        </w:rPr>
        <w:t xml:space="preserve"> 12 </w:t>
      </w:r>
      <w:r>
        <w:rPr>
          <w:rFonts w:hint="eastAsia" w:ascii="宋体" w:hAnsi="宋体" w:cs="宋体"/>
          <w:kern w:val="0"/>
          <w:sz w:val="21"/>
          <w:szCs w:val="24"/>
          <w:lang w:val="zh-CN"/>
        </w:rPr>
        <w:t>个月内出现对购买日已存在情况的新的或进一步证据而需要调整或有对价的，相应调整合并商誉。</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该公允价值份额的，其差额计入当期损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通过多次交易分步实现非同一控制下企业合并的，在母公司财务报表中，以购买日之前所持被购买方的股权投资的账面价值与购买日新增投资成本之和，作为项投资的初始投资成本。</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以购买日之前所持被购买方的股权于购买日的公允价值与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pStyle w:val="8"/>
        <w:outlineLvl w:val="2"/>
        <w:rPr>
          <w:rFonts w:hint="default"/>
          <w:sz w:val="21"/>
          <w:szCs w:val="24"/>
        </w:rPr>
      </w:pPr>
      <w:r>
        <w:rPr>
          <w:rFonts w:hint="default"/>
          <w:sz w:val="21"/>
          <w:szCs w:val="24"/>
        </w:rPr>
        <w:t>6</w:t>
      </w:r>
      <w:r>
        <w:rPr>
          <w:rFonts w:hint="eastAsia"/>
          <w:sz w:val="21"/>
          <w:szCs w:val="24"/>
        </w:rPr>
        <w:t>、合并财务报表的编制方法</w:t>
      </w:r>
    </w:p>
    <w:p>
      <w:pPr>
        <w:autoSpaceDE w:val="0"/>
        <w:autoSpaceDN w:val="0"/>
        <w:adjustRightInd w:val="0"/>
        <w:spacing w:before="150" w:after="15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、合并财务报表范围</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公司对合并财务报表的合并范围以控制为基础予以确定。本公司将全部子公司纳入合并财务报表范围。</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、统一母子公司的会计政策、统一母子公司的资产负债表日及会计期间</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子公司与本公司采用的会计政策或会计期间不一致的，在编制合并财务报表时，按照本公司的会计政策或会计期间对子公司财务报表进行必要的调整。对非同一控制下企业合并取得的子公司，已按照购买日该子公司可辨认的资产、负债及或有负债的公允价值对子公司财务报表进行了相应的调整。</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、合并财务报表抵销事项</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w:t>
      </w:r>
      <w:r>
        <w:rPr>
          <w:rFonts w:hint="default" w:eastAsia="Times New Roman"/>
          <w:kern w:val="0"/>
          <w:sz w:val="21"/>
          <w:szCs w:val="24"/>
          <w:lang w:val="zh-CN"/>
        </w:rPr>
        <w:t>“</w:t>
      </w:r>
      <w:r>
        <w:rPr>
          <w:rFonts w:hint="eastAsia" w:ascii="宋体" w:hAnsi="宋体" w:cs="宋体"/>
          <w:kern w:val="0"/>
          <w:sz w:val="21"/>
          <w:szCs w:val="24"/>
          <w:lang w:val="zh-CN"/>
        </w:rPr>
        <w:t>少数股东权益</w:t>
      </w:r>
      <w:r>
        <w:rPr>
          <w:rFonts w:hint="default" w:eastAsia="Times New Roman"/>
          <w:kern w:val="0"/>
          <w:sz w:val="21"/>
          <w:szCs w:val="24"/>
          <w:lang w:val="zh-CN"/>
        </w:rPr>
        <w:t>”</w:t>
      </w:r>
      <w:r>
        <w:rPr>
          <w:rFonts w:hint="eastAsia" w:ascii="宋体" w:hAnsi="宋体" w:cs="宋体"/>
          <w:kern w:val="0"/>
          <w:sz w:val="21"/>
          <w:szCs w:val="24"/>
          <w:lang w:val="zh-CN"/>
        </w:rPr>
        <w:t>项目列示。</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子公司持有母公司的长期股权投资，视为企业集团的库存股，作为所有者权益的减项，在合并资产负债表中所有者权益项目下以</w:t>
      </w:r>
      <w:r>
        <w:rPr>
          <w:rFonts w:hint="default" w:eastAsia="Times New Roman"/>
          <w:kern w:val="0"/>
          <w:sz w:val="21"/>
          <w:szCs w:val="24"/>
          <w:lang w:val="zh-CN"/>
        </w:rPr>
        <w:t>“</w:t>
      </w:r>
      <w:r>
        <w:rPr>
          <w:rFonts w:hint="eastAsia" w:ascii="宋体" w:hAnsi="宋体" w:cs="宋体"/>
          <w:kern w:val="0"/>
          <w:sz w:val="21"/>
          <w:szCs w:val="24"/>
          <w:lang w:val="zh-CN"/>
        </w:rPr>
        <w:t>减：库存股</w:t>
      </w:r>
      <w:r>
        <w:rPr>
          <w:rFonts w:hint="default" w:eastAsia="Times New Roman"/>
          <w:kern w:val="0"/>
          <w:sz w:val="21"/>
          <w:szCs w:val="24"/>
          <w:lang w:val="zh-CN"/>
        </w:rPr>
        <w:t>”</w:t>
      </w:r>
      <w:r>
        <w:rPr>
          <w:rFonts w:hint="eastAsia" w:ascii="宋体" w:hAnsi="宋体" w:cs="宋体"/>
          <w:kern w:val="0"/>
          <w:sz w:val="21"/>
          <w:szCs w:val="24"/>
          <w:lang w:val="zh-CN"/>
        </w:rPr>
        <w:t>项目列示。</w:t>
      </w:r>
    </w:p>
    <w:p>
      <w:pPr>
        <w:autoSpaceDE w:val="0"/>
        <w:autoSpaceDN w:val="0"/>
        <w:adjustRightInd w:val="0"/>
        <w:spacing w:before="0" w:after="0"/>
        <w:ind w:firstLine="425"/>
        <w:rPr>
          <w:rFonts w:hint="default" w:eastAsia="Times New Roman"/>
          <w:b/>
          <w:kern w:val="0"/>
          <w:sz w:val="21"/>
          <w:szCs w:val="24"/>
          <w:lang w:val="zh-CN"/>
        </w:rPr>
      </w:pPr>
      <w:r>
        <w:rPr>
          <w:rFonts w:hint="default" w:eastAsia="Times New Roman"/>
          <w:b/>
          <w:kern w:val="0"/>
          <w:sz w:val="21"/>
          <w:szCs w:val="24"/>
          <w:lang w:val="zh-CN"/>
        </w:rPr>
        <w:t>4</w:t>
      </w:r>
      <w:r>
        <w:rPr>
          <w:rFonts w:hint="eastAsia" w:ascii="宋体" w:hAnsi="宋体" w:cs="宋体"/>
          <w:b/>
          <w:kern w:val="0"/>
          <w:sz w:val="21"/>
          <w:szCs w:val="24"/>
          <w:lang w:val="zh-CN"/>
        </w:rPr>
        <w:t>、合并取得子公司会计处理</w:t>
      </w:r>
    </w:p>
    <w:p>
      <w:pPr>
        <w:autoSpaceDE w:val="0"/>
        <w:autoSpaceDN w:val="0"/>
        <w:adjustRightInd w:val="0"/>
        <w:spacing w:before="0" w:after="0"/>
        <w:ind w:firstLine="425"/>
        <w:rPr>
          <w:rFonts w:hint="default" w:eastAsia="Times New Roman"/>
          <w:b/>
          <w:kern w:val="0"/>
          <w:sz w:val="21"/>
          <w:szCs w:val="24"/>
          <w:lang w:val="zh-CN"/>
        </w:rPr>
      </w:pPr>
      <w:r>
        <w:rPr>
          <w:rFonts w:hint="eastAsia" w:ascii="宋体" w:hAnsi="宋体" w:cs="宋体"/>
          <w:kern w:val="0"/>
          <w:sz w:val="21"/>
          <w:szCs w:val="24"/>
          <w:lang w:val="zh-CN"/>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pPr>
        <w:autoSpaceDE w:val="0"/>
        <w:autoSpaceDN w:val="0"/>
        <w:adjustRightInd w:val="0"/>
        <w:spacing w:before="0" w:after="0"/>
        <w:ind w:firstLine="425"/>
        <w:rPr>
          <w:rFonts w:hint="default" w:eastAsia="Times New Roman"/>
          <w:kern w:val="0"/>
          <w:sz w:val="21"/>
          <w:szCs w:val="24"/>
          <w:lang w:val="zh-CN"/>
        </w:rPr>
      </w:pPr>
      <w:r>
        <w:rPr>
          <w:rFonts w:hint="eastAsia" w:ascii="宋体" w:hAnsi="宋体" w:cs="宋体"/>
          <w:kern w:val="0"/>
          <w:sz w:val="21"/>
          <w:szCs w:val="24"/>
          <w:lang w:val="zh-CN"/>
        </w:rPr>
        <w:t>对于因非同一控制企业合并形成的子公司，合并成本大于合并中取得的子公司可辨认净资产公允价值份额的差额，不调整投资成本，在合并财务报表中列作商誉。</w:t>
      </w:r>
    </w:p>
    <w:p>
      <w:pPr>
        <w:autoSpaceDE w:val="0"/>
        <w:autoSpaceDN w:val="0"/>
        <w:adjustRightInd w:val="0"/>
        <w:spacing w:before="0" w:after="0"/>
        <w:ind w:firstLine="425"/>
        <w:rPr>
          <w:rFonts w:hint="default" w:eastAsia="Times New Roman"/>
          <w:kern w:val="0"/>
          <w:sz w:val="21"/>
          <w:szCs w:val="24"/>
          <w:lang w:val="zh-CN"/>
        </w:rPr>
      </w:pPr>
      <w:r>
        <w:rPr>
          <w:rFonts w:hint="eastAsia" w:ascii="宋体" w:hAnsi="宋体" w:cs="宋体"/>
          <w:kern w:val="0"/>
          <w:sz w:val="21"/>
          <w:szCs w:val="24"/>
          <w:lang w:val="zh-CN"/>
        </w:rPr>
        <w:t>对于报告期内增加的子公司，若属于同一控制下企业合并的，调整合并资产负债表的期初数，并将该子公司当期期初至报告期末的收入、费用、利润纳入合并利润表，将同期的现金流量纳入合并现金流量表；若属于非同一控制下的企业合并的，则不调整合并资产负债表的期初数，并将该子公司购买日至报告期末的收入、费用、利润纳入合并利润表，将同期的现金流量纳入合并现金流量表。对于报告期内处置的子公司，不论属于同一控制抑或非同一控制企业合并，均不调整合并资产负债表的期初数，并将该子公司期初至处置日收入、费用、利润纳入合并利润表，及同期的现金流量纳入合并现金流量表。</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5</w:t>
      </w:r>
      <w:r>
        <w:rPr>
          <w:rFonts w:hint="eastAsia" w:ascii="宋体" w:hAnsi="宋体" w:cs="宋体"/>
          <w:b/>
          <w:kern w:val="0"/>
          <w:sz w:val="21"/>
          <w:szCs w:val="24"/>
          <w:lang w:val="zh-CN"/>
        </w:rPr>
        <w:t>、分步处置子公司股权至丧失控制权的会计处理方法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①不属于</w:t>
      </w:r>
      <w:r>
        <w:rPr>
          <w:rFonts w:hint="default" w:eastAsia="Times New Roman"/>
          <w:kern w:val="0"/>
          <w:sz w:val="21"/>
          <w:szCs w:val="24"/>
          <w:lang w:val="zh-CN"/>
        </w:rPr>
        <w:t>“</w:t>
      </w:r>
      <w:r>
        <w:rPr>
          <w:rFonts w:hint="eastAsia" w:ascii="宋体" w:hAnsi="宋体" w:cs="宋体"/>
          <w:kern w:val="0"/>
          <w:sz w:val="21"/>
          <w:szCs w:val="24"/>
          <w:lang w:val="zh-CN"/>
        </w:rPr>
        <w:t>一揽子交易</w:t>
      </w:r>
      <w:r>
        <w:rPr>
          <w:rFonts w:hint="default" w:eastAsia="Times New Roman"/>
          <w:kern w:val="0"/>
          <w:sz w:val="21"/>
          <w:szCs w:val="24"/>
          <w:lang w:val="zh-CN"/>
        </w:rPr>
        <w:t>”</w:t>
      </w:r>
      <w:r>
        <w:rPr>
          <w:rFonts w:hint="eastAsia" w:ascii="宋体" w:hAnsi="宋体" w:cs="宋体"/>
          <w:kern w:val="0"/>
          <w:sz w:val="21"/>
          <w:szCs w:val="24"/>
          <w:lang w:val="zh-CN"/>
        </w:rPr>
        <w:t>的分步处置股权至丧失控制权的各项交易在母公司财务报表和合并财务报表中的会计处理方法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对丧失控制权之前的各项交易，母公司财务报表中，出售所得价款与处置长期股权投资账面价值之间的差额计入当期投资收益。在合并报表层面，处置价款与处置长期投资相对应享有子公司自购买日或者合并日开始持续计算的净资产份额之间的差额，调整资本公积（股本溢价），不足冲减的，调整留存收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②属于</w:t>
      </w:r>
      <w:r>
        <w:rPr>
          <w:rFonts w:hint="default" w:eastAsia="Times New Roman"/>
          <w:kern w:val="0"/>
          <w:sz w:val="21"/>
          <w:szCs w:val="24"/>
          <w:lang w:val="zh-CN"/>
        </w:rPr>
        <w:t>“</w:t>
      </w:r>
      <w:r>
        <w:rPr>
          <w:rFonts w:hint="eastAsia" w:ascii="宋体" w:hAnsi="宋体" w:cs="宋体"/>
          <w:kern w:val="0"/>
          <w:sz w:val="21"/>
          <w:szCs w:val="24"/>
          <w:lang w:val="zh-CN"/>
        </w:rPr>
        <w:t>一揽子交易</w:t>
      </w:r>
      <w:r>
        <w:rPr>
          <w:rFonts w:hint="default" w:eastAsia="Times New Roman"/>
          <w:kern w:val="0"/>
          <w:sz w:val="21"/>
          <w:szCs w:val="24"/>
          <w:lang w:val="zh-CN"/>
        </w:rPr>
        <w:t>”</w:t>
      </w:r>
      <w:r>
        <w:rPr>
          <w:rFonts w:hint="eastAsia" w:ascii="宋体" w:hAnsi="宋体" w:cs="宋体"/>
          <w:kern w:val="0"/>
          <w:sz w:val="21"/>
          <w:szCs w:val="24"/>
          <w:lang w:val="zh-CN"/>
        </w:rPr>
        <w:t>的分步处置股权至丧失控制权的各项交易在母公司财务报表和合并财务报表中的会计处理方法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对于属于</w:t>
      </w:r>
      <w:r>
        <w:rPr>
          <w:rFonts w:hint="default" w:eastAsia="Times New Roman"/>
          <w:kern w:val="0"/>
          <w:sz w:val="21"/>
          <w:szCs w:val="24"/>
          <w:lang w:val="zh-CN"/>
        </w:rPr>
        <w:t>“</w:t>
      </w:r>
      <w:r>
        <w:rPr>
          <w:rFonts w:hint="eastAsia" w:ascii="宋体" w:hAnsi="宋体" w:cs="宋体"/>
          <w:kern w:val="0"/>
          <w:sz w:val="21"/>
          <w:szCs w:val="24"/>
          <w:lang w:val="zh-CN"/>
        </w:rPr>
        <w:t>一揽子交易</w:t>
      </w:r>
      <w:r>
        <w:rPr>
          <w:rFonts w:hint="default" w:eastAsia="Times New Roman"/>
          <w:kern w:val="0"/>
          <w:sz w:val="21"/>
          <w:szCs w:val="24"/>
          <w:lang w:val="zh-CN"/>
        </w:rPr>
        <w:t>”</w:t>
      </w:r>
      <w:r>
        <w:rPr>
          <w:rFonts w:hint="eastAsia" w:ascii="宋体" w:hAnsi="宋体" w:cs="宋体"/>
          <w:kern w:val="0"/>
          <w:sz w:val="21"/>
          <w:szCs w:val="24"/>
          <w:lang w:val="zh-CN"/>
        </w:rPr>
        <w:t>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p>
      <w:pPr>
        <w:pStyle w:val="8"/>
        <w:outlineLvl w:val="2"/>
        <w:rPr>
          <w:rFonts w:hint="default"/>
          <w:sz w:val="21"/>
          <w:szCs w:val="24"/>
        </w:rPr>
      </w:pPr>
      <w:r>
        <w:rPr>
          <w:rFonts w:hint="default"/>
          <w:sz w:val="21"/>
          <w:szCs w:val="24"/>
        </w:rPr>
        <w:t>7</w:t>
      </w:r>
      <w:r>
        <w:rPr>
          <w:rFonts w:hint="eastAsia"/>
          <w:sz w:val="21"/>
          <w:szCs w:val="24"/>
        </w:rPr>
        <w:t>、合营安排分类及共同经营会计处理方法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合营安排，是指一项由两个或两个以上的参与方共同控制的安排。本公司根据在合营安排中享有的权利和承担的义务，将合营安排分为共同经营和合营企业。</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当本公司是合营安排的合营方，享有该安排相关资产且承担该安排相关负债时，为共同经营。</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本公司确认与共同经营中利益份额相关的下列项目，并按照相关企业会计准则的规定进行会计处理：</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①确认本公司单独所持有的资产，以及按本公司份额确认共同持有的资产；</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②确认本公司单独所承担的负债，以及按本公司份额确认共同承担的负债；</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③确认出售本公司享有的共同经营产出份额所产生的收入；</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④按本公司份额确认共同经营因出售产出所产生的收入；</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⑤确认单独所发生的费用，以及按本公司份额确认共同经营发生的费用。</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合营企业，是指本公司仅对该安排的净资产享有权利的合营安排。本公司对合营企业的投资采用权益法核算，相关会计政策见本附注</w:t>
      </w:r>
      <w:r>
        <w:rPr>
          <w:rFonts w:hint="default" w:eastAsia="Times New Roman"/>
          <w:kern w:val="0"/>
          <w:sz w:val="21"/>
          <w:szCs w:val="24"/>
          <w:lang w:val="zh-CN"/>
        </w:rPr>
        <w:t>“</w:t>
      </w:r>
      <w:r>
        <w:rPr>
          <w:rFonts w:hint="eastAsia" w:ascii="宋体" w:hAnsi="宋体" w:cs="宋体"/>
          <w:kern w:val="0"/>
          <w:sz w:val="21"/>
          <w:szCs w:val="24"/>
          <w:lang w:val="zh-CN"/>
        </w:rPr>
        <w:t>三、（十六）长期股权投资</w:t>
      </w:r>
      <w:r>
        <w:rPr>
          <w:rFonts w:hint="default" w:eastAsia="Times New Roman"/>
          <w:kern w:val="0"/>
          <w:sz w:val="21"/>
          <w:szCs w:val="24"/>
          <w:lang w:val="zh-CN"/>
        </w:rPr>
        <w:t>”</w:t>
      </w:r>
      <w:r>
        <w:rPr>
          <w:rFonts w:hint="eastAsia" w:ascii="宋体" w:hAnsi="宋体" w:cs="宋体"/>
          <w:kern w:val="0"/>
          <w:sz w:val="21"/>
          <w:szCs w:val="24"/>
          <w:lang w:val="zh-CN"/>
        </w:rPr>
        <w:t>。</w:t>
      </w:r>
    </w:p>
    <w:p>
      <w:pPr>
        <w:pStyle w:val="8"/>
        <w:outlineLvl w:val="2"/>
        <w:rPr>
          <w:rFonts w:hint="default"/>
          <w:sz w:val="21"/>
          <w:szCs w:val="24"/>
        </w:rPr>
      </w:pPr>
      <w:r>
        <w:rPr>
          <w:rFonts w:hint="default"/>
          <w:sz w:val="21"/>
          <w:szCs w:val="24"/>
        </w:rPr>
        <w:t>8</w:t>
      </w:r>
      <w:r>
        <w:rPr>
          <w:rFonts w:hint="eastAsia"/>
          <w:sz w:val="21"/>
          <w:szCs w:val="24"/>
        </w:rPr>
        <w:t>、现金及现金等价物的确定标准</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本公司在编制现金流量表时所确定的现金，是指本公司库存现金以及可以随时用于支付的存款。</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本公司在编制现金流量表时所确定的现金等价物，是指本公司持有的期限短、流动性强、易于转换为已知金额现金、价值变动风险很小的投资。</w:t>
      </w:r>
    </w:p>
    <w:p>
      <w:pPr>
        <w:pStyle w:val="8"/>
        <w:outlineLvl w:val="2"/>
        <w:rPr>
          <w:rFonts w:hint="default"/>
          <w:sz w:val="21"/>
          <w:szCs w:val="24"/>
        </w:rPr>
      </w:pPr>
      <w:r>
        <w:rPr>
          <w:rFonts w:hint="default"/>
          <w:sz w:val="21"/>
          <w:szCs w:val="24"/>
        </w:rPr>
        <w:t>9</w:t>
      </w:r>
      <w:r>
        <w:rPr>
          <w:rFonts w:hint="eastAsia"/>
          <w:sz w:val="21"/>
          <w:szCs w:val="24"/>
        </w:rPr>
        <w:t>、外币业务和外币报表折算</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、外币业务折算</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本公司对发生的外币交易，采用交易发生日的即期汇率折算人民币入账。</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、外币财务报表折算</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本公司的控股子公司、合营企业、联营企业等，若采用与本公司不同的记账本位币，需对其外币财务报表折算后，再进行会计核算及合并财务报表的编报。</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资产负债表中的资产和负债项目，采用资产负债表日的即期汇率折算，所有者权益项目除</w:t>
      </w:r>
      <w:r>
        <w:rPr>
          <w:rFonts w:hint="default" w:eastAsia="Times New Roman"/>
          <w:kern w:val="0"/>
          <w:sz w:val="21"/>
          <w:szCs w:val="24"/>
          <w:lang w:val="zh-CN"/>
        </w:rPr>
        <w:t>“</w:t>
      </w:r>
      <w:r>
        <w:rPr>
          <w:rFonts w:hint="eastAsia" w:ascii="宋体" w:hAnsi="宋体" w:cs="宋体"/>
          <w:kern w:val="0"/>
          <w:sz w:val="21"/>
          <w:szCs w:val="24"/>
          <w:lang w:val="zh-CN"/>
        </w:rPr>
        <w:t>未分配利润</w:t>
      </w:r>
      <w:r>
        <w:rPr>
          <w:rFonts w:hint="default" w:eastAsia="Times New Roman"/>
          <w:kern w:val="0"/>
          <w:sz w:val="21"/>
          <w:szCs w:val="24"/>
          <w:lang w:val="zh-CN"/>
        </w:rPr>
        <w:t>”</w:t>
      </w:r>
      <w:r>
        <w:rPr>
          <w:rFonts w:hint="eastAsia" w:ascii="宋体" w:hAnsi="宋体" w:cs="宋体"/>
          <w:kern w:val="0"/>
          <w:sz w:val="21"/>
          <w:szCs w:val="24"/>
          <w:lang w:val="zh-CN"/>
        </w:rPr>
        <w:t>项目外，其他项目采用发生时的即期汇率折算。利润表中的收入和费用项目，采用交易发生日的即期汇率折算。折算产生的外币财务报表折算差额，在资产负债表中所有者权益项目其他综合收益下列示。</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外币现金流量按照系统合理方法确定的，采用交易发生日的即期汇率折算。汇率变动对现金的影响额，在现金流量表中单独列示。</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处置境外经营时，与该境外经营有关的外币报表折算差额，全部或按处置该境外经营的比例转入处置当期损益。</w:t>
      </w:r>
    </w:p>
    <w:p>
      <w:pPr>
        <w:pStyle w:val="8"/>
        <w:outlineLvl w:val="2"/>
        <w:rPr>
          <w:rFonts w:hint="default"/>
          <w:sz w:val="21"/>
          <w:szCs w:val="24"/>
        </w:rPr>
      </w:pPr>
      <w:r>
        <w:rPr>
          <w:rFonts w:hint="default"/>
          <w:sz w:val="21"/>
          <w:szCs w:val="24"/>
        </w:rPr>
        <w:t>10</w:t>
      </w:r>
      <w:r>
        <w:rPr>
          <w:rFonts w:hint="eastAsia"/>
          <w:sz w:val="21"/>
          <w:szCs w:val="24"/>
        </w:rPr>
        <w:t>、金融工具</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在本公司成为金融工具合同的一方时确认一项金融资产或金融负债。</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、金融资产的分类、确认和计量</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债务工具：</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①以摊余成本计量的金融资产</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②以公允价值计量且其变动计入其他综合收益的金融资产</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③以公允价值计量且其变动计入当期损益的金融资产</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权益工具：</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、金融负债的分类、确认和计量</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本公司根据所发行金融工具的合同条款及其所反映的经济实质而非仅以法律形式，结合金融负债和权益工具的定义，在初始确认时将该金融工具或其组成部分分类为金融负债或权益工具。</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当金融负债的现时义务全部或部分已经解除时，本集团终止确认该金融负债或义务已解除的部分。终止确认部分的账面价值与支付的对价之间的差额，计入当期损益。</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、金融资产转移的确认依据和计量方法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4</w:t>
      </w:r>
      <w:r>
        <w:rPr>
          <w:rFonts w:hint="eastAsia" w:ascii="宋体" w:hAnsi="宋体" w:cs="宋体"/>
          <w:b/>
          <w:kern w:val="0"/>
          <w:sz w:val="21"/>
          <w:szCs w:val="24"/>
          <w:lang w:val="zh-CN"/>
        </w:rPr>
        <w:t>、金融负债的终止确认</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金融负债（或其一部分）终止确认的，本公司将其账面价值与支付的对价（包括转出的非现金资产或承担的负债）之间的差额，计入当期损益。</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5</w:t>
      </w:r>
      <w:r>
        <w:rPr>
          <w:rFonts w:hint="eastAsia" w:ascii="宋体" w:hAnsi="宋体" w:cs="宋体"/>
          <w:b/>
          <w:kern w:val="0"/>
          <w:sz w:val="21"/>
          <w:szCs w:val="24"/>
          <w:lang w:val="zh-CN"/>
        </w:rPr>
        <w:t>、金融资产和金融负债的抵销</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6</w:t>
      </w:r>
      <w:r>
        <w:rPr>
          <w:rFonts w:hint="eastAsia" w:ascii="宋体" w:hAnsi="宋体" w:cs="宋体"/>
          <w:b/>
          <w:kern w:val="0"/>
          <w:sz w:val="21"/>
          <w:szCs w:val="24"/>
          <w:lang w:val="zh-CN"/>
        </w:rPr>
        <w:t>、金融资产和金融负债的公允价值确定方法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7</w:t>
      </w:r>
      <w:r>
        <w:rPr>
          <w:rFonts w:hint="eastAsia" w:ascii="宋体" w:hAnsi="宋体" w:cs="宋体"/>
          <w:b/>
          <w:kern w:val="0"/>
          <w:sz w:val="21"/>
          <w:szCs w:val="24"/>
          <w:lang w:val="zh-CN"/>
        </w:rPr>
        <w:t>、金融资产减值</w:t>
      </w:r>
      <w:r>
        <w:rPr>
          <w:rFonts w:hint="default" w:eastAsia="Times New Roman"/>
          <w:b/>
          <w:kern w:val="0"/>
          <w:sz w:val="21"/>
          <w:szCs w:val="24"/>
          <w:lang w:val="zh-CN"/>
        </w:rPr>
        <w:t xml:space="preserve"> </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本公司对于以摊余成本计量的金融资产、以公允价值计量且其变动计入其他综合收益的债务工具投资等，以预期信用损失为基础确认损失准备。</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本公司考虑有关过去事项、当前状况以及对未来经济状况的预测等合理且有依据的信息，确认预期信用损失。</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在每个资产负债表日，本公司对于处于不同阶段的金融工具的预期信用损失分别进行计量。金融工具自初始确认后信用风险未显著增加的，处于第一阶段，本公司按照未来</w:t>
      </w:r>
      <w:r>
        <w:rPr>
          <w:rFonts w:hint="default" w:eastAsia="Times New Roman"/>
          <w:kern w:val="0"/>
          <w:sz w:val="21"/>
          <w:szCs w:val="24"/>
          <w:lang w:val="zh-CN"/>
        </w:rPr>
        <w:t xml:space="preserve">12 </w:t>
      </w:r>
      <w:r>
        <w:rPr>
          <w:rFonts w:hint="eastAsia" w:ascii="宋体" w:hAnsi="宋体" w:cs="宋体"/>
          <w:kern w:val="0"/>
          <w:sz w:val="21"/>
          <w:szCs w:val="24"/>
          <w:lang w:val="zh-CN"/>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对于在资产负债表日具有较低信用风险的金融工具，本公司假设其信用风险自初始确认后并未显著增加，按照未来</w:t>
      </w:r>
      <w:r>
        <w:rPr>
          <w:rFonts w:hint="default" w:eastAsia="Times New Roman"/>
          <w:kern w:val="0"/>
          <w:sz w:val="21"/>
          <w:szCs w:val="24"/>
          <w:lang w:val="zh-CN"/>
        </w:rPr>
        <w:t xml:space="preserve">12 </w:t>
      </w:r>
      <w:r>
        <w:rPr>
          <w:rFonts w:hint="eastAsia" w:ascii="宋体" w:hAnsi="宋体" w:cs="宋体"/>
          <w:kern w:val="0"/>
          <w:sz w:val="21"/>
          <w:szCs w:val="24"/>
          <w:lang w:val="zh-CN"/>
        </w:rPr>
        <w:t>个月内的预期信用损失计量损失准备。</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对于因销售商品、提供劳务等日常经营活动形成的应收票据和应收账款，无论是否存在重大融资成分，本公司均按照整个存续期的预期信用损失计量损失准备。</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对于其他应收款，本公司参考历史信用损失经验，结合当前状况以及对未来经济状况的预测，通过违约风险敞口和未来</w:t>
      </w:r>
      <w:r>
        <w:rPr>
          <w:rFonts w:hint="default" w:eastAsia="Times New Roman"/>
          <w:kern w:val="0"/>
          <w:sz w:val="21"/>
          <w:szCs w:val="24"/>
          <w:lang w:val="zh-CN"/>
        </w:rPr>
        <w:t xml:space="preserve"> 12 </w:t>
      </w:r>
      <w:r>
        <w:rPr>
          <w:rFonts w:hint="eastAsia" w:ascii="宋体" w:hAnsi="宋体" w:cs="宋体"/>
          <w:kern w:val="0"/>
          <w:sz w:val="21"/>
          <w:szCs w:val="24"/>
          <w:lang w:val="zh-CN"/>
        </w:rPr>
        <w:t>个月内或整个存续期预期信用损失率，计算预期信用损失。</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公司在每个资产负债表日重新计量预期信用损失，由此形成的损失准备的增加或转回金额，作为减值损失或利得计入当期损益。对于以摊余成本计量的金融资产，损失准备抵减该金融资产在资产负债表中列示的账面价值；对于以公允价值计量且其变动计入其他综合收益的债权投资，公司在其他综合收益中确认其损失准备，不抵减该金融资产的账面价值。</w:t>
      </w:r>
    </w:p>
    <w:p>
      <w:pPr>
        <w:pStyle w:val="8"/>
        <w:outlineLvl w:val="2"/>
        <w:rPr>
          <w:rFonts w:hint="default"/>
          <w:sz w:val="21"/>
          <w:szCs w:val="24"/>
        </w:rPr>
      </w:pPr>
      <w:r>
        <w:rPr>
          <w:rFonts w:hint="default"/>
          <w:sz w:val="21"/>
          <w:szCs w:val="24"/>
        </w:rPr>
        <w:t>11</w:t>
      </w:r>
      <w:r>
        <w:rPr>
          <w:rFonts w:hint="eastAsia"/>
          <w:sz w:val="21"/>
          <w:szCs w:val="24"/>
        </w:rPr>
        <w:t>、应收票据</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本公司对于应收票据按照相当于整个存续期内的预期信用损失金额计量损失准备。</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除了单项评估信用风险的应收票据外，基于应收票据的信用风险特征，将其划分为不同组合，具体组合及计量预期信用损失的方法如下</w:t>
      </w:r>
    </w:p>
    <w:tbl>
      <w:tblPr>
        <w:tblStyle w:val="5"/>
        <w:tblW w:w="0" w:type="auto"/>
        <w:tblInd w:w="152" w:type="dxa"/>
        <w:tblBorders>
          <w:top w:val="single" w:color="auto" w:sz="8" w:space="0"/>
          <w:left w:val="single" w:color="auto" w:sz="8" w:space="0"/>
          <w:bottom w:val="single" w:color="auto" w:sz="12" w:space="0"/>
          <w:right w:val="single" w:color="auto" w:sz="8" w:space="0"/>
          <w:insideH w:val="single" w:color="auto" w:sz="8" w:space="0"/>
          <w:insideV w:val="single" w:color="auto" w:sz="8" w:space="0"/>
        </w:tblBorders>
        <w:tblLayout w:type="fixed"/>
        <w:tblCellMar>
          <w:top w:w="10" w:type="dxa"/>
          <w:left w:w="10" w:type="dxa"/>
          <w:bottom w:w="10" w:type="dxa"/>
          <w:right w:w="10" w:type="dxa"/>
        </w:tblCellMar>
      </w:tblPr>
      <w:tblGrid>
        <w:gridCol w:w="2126"/>
        <w:gridCol w:w="2127"/>
        <w:gridCol w:w="4536"/>
      </w:tblGrid>
      <w:tr>
        <w:tblPrEx>
          <w:tblBorders>
            <w:top w:val="single" w:color="auto" w:sz="8" w:space="0"/>
            <w:left w:val="single" w:color="auto" w:sz="8" w:space="0"/>
            <w:bottom w:val="single" w:color="auto" w:sz="12" w:space="0"/>
            <w:right w:val="single" w:color="auto" w:sz="8" w:space="0"/>
            <w:insideH w:val="single" w:color="auto" w:sz="8" w:space="0"/>
            <w:insideV w:val="single" w:color="auto" w:sz="8" w:space="0"/>
          </w:tblBorders>
          <w:tblCellMar>
            <w:top w:w="10" w:type="dxa"/>
            <w:left w:w="10" w:type="dxa"/>
            <w:bottom w:w="10" w:type="dxa"/>
            <w:right w:w="10" w:type="dxa"/>
          </w:tblCellMar>
        </w:tblPrEx>
        <w:trPr>
          <w:trHeight w:val="312" w:hRule="atLeast"/>
        </w:trPr>
        <w:tc>
          <w:tcPr>
            <w:tcW w:w="2126" w:type="dxa"/>
            <w:vMerge w:val="restart"/>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项目</w:t>
            </w:r>
          </w:p>
        </w:tc>
        <w:tc>
          <w:tcPr>
            <w:tcW w:w="2127" w:type="dxa"/>
            <w:vMerge w:val="restart"/>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确定组合的依据</w:t>
            </w:r>
          </w:p>
        </w:tc>
        <w:tc>
          <w:tcPr>
            <w:tcW w:w="4536" w:type="dxa"/>
            <w:vMerge w:val="restart"/>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计量预期信用损失的方法</w:t>
            </w:r>
          </w:p>
        </w:tc>
      </w:tr>
      <w:tr>
        <w:tblPrEx>
          <w:tblBorders>
            <w:top w:val="single" w:color="auto" w:sz="8" w:space="0"/>
            <w:left w:val="single" w:color="auto" w:sz="8" w:space="0"/>
            <w:bottom w:val="single" w:color="auto" w:sz="12" w:space="0"/>
            <w:right w:val="single" w:color="auto" w:sz="8" w:space="0"/>
            <w:insideH w:val="single" w:color="auto" w:sz="8" w:space="0"/>
            <w:insideV w:val="single" w:color="auto" w:sz="8" w:space="0"/>
          </w:tblBorders>
          <w:tblCellMar>
            <w:top w:w="10" w:type="dxa"/>
            <w:left w:w="10" w:type="dxa"/>
            <w:bottom w:w="10" w:type="dxa"/>
            <w:right w:w="10" w:type="dxa"/>
          </w:tblCellMar>
        </w:tblPrEx>
        <w:trPr>
          <w:trHeight w:val="312" w:hRule="atLeast"/>
        </w:trPr>
        <w:tc>
          <w:tcPr>
            <w:tcW w:w="2126" w:type="dxa"/>
            <w:vMerge w:val="restart"/>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银行承兑汇票</w:t>
            </w:r>
          </w:p>
        </w:tc>
        <w:tc>
          <w:tcPr>
            <w:tcW w:w="2127" w:type="dxa"/>
            <w:vMerge w:val="restart"/>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票据类型</w:t>
            </w:r>
          </w:p>
        </w:tc>
        <w:tc>
          <w:tcPr>
            <w:tcW w:w="4536" w:type="dxa"/>
            <w:vMerge w:val="restart"/>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参考历史信用损失经验，结合当前状况以及对未来经济状况的预测，通过违约风险敞口和整个存续期预期信用损失率，计算预期信用损失</w:t>
            </w:r>
          </w:p>
        </w:tc>
      </w:tr>
      <w:tr>
        <w:tblPrEx>
          <w:tblBorders>
            <w:top w:val="single" w:color="auto" w:sz="8" w:space="0"/>
            <w:left w:val="single" w:color="auto" w:sz="8" w:space="0"/>
            <w:bottom w:val="single" w:color="auto" w:sz="12" w:space="0"/>
            <w:right w:val="single" w:color="auto" w:sz="8" w:space="0"/>
            <w:insideH w:val="single" w:color="auto" w:sz="8" w:space="0"/>
            <w:insideV w:val="single" w:color="auto" w:sz="8" w:space="0"/>
          </w:tblBorders>
          <w:tblCellMar>
            <w:top w:w="10" w:type="dxa"/>
            <w:left w:w="10" w:type="dxa"/>
            <w:bottom w:w="10" w:type="dxa"/>
            <w:right w:w="10" w:type="dxa"/>
          </w:tblCellMar>
        </w:tblPrEx>
        <w:trPr>
          <w:trHeight w:val="312" w:hRule="atLeast"/>
        </w:trPr>
        <w:tc>
          <w:tcPr>
            <w:tcW w:w="2126" w:type="dxa"/>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商业承兑汇票</w:t>
            </w:r>
          </w:p>
        </w:tc>
        <w:tc>
          <w:tcPr>
            <w:tcW w:w="2127" w:type="dxa"/>
            <w:vMerge w:val="continue"/>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jc w:val="left"/>
              <w:rPr>
                <w:rFonts w:hint="default" w:eastAsia="Times New Roman"/>
                <w:kern w:val="0"/>
                <w:sz w:val="18"/>
                <w:szCs w:val="24"/>
                <w:lang w:val="zh-CN"/>
              </w:rPr>
            </w:pPr>
          </w:p>
        </w:tc>
        <w:tc>
          <w:tcPr>
            <w:tcW w:w="4536" w:type="dxa"/>
            <w:vMerge w:val="continue"/>
            <w:tcBorders>
              <w:top w:val="single" w:color="auto" w:sz="8" w:space="0"/>
              <w:left w:val="single" w:color="auto" w:sz="8" w:space="0"/>
              <w:bottom w:val="single" w:color="auto" w:sz="12" w:space="0"/>
              <w:right w:val="single" w:color="auto" w:sz="8" w:space="0"/>
              <w:tl2br w:val="nil"/>
              <w:tr2bl w:val="nil"/>
            </w:tcBorders>
            <w:noWrap w:val="0"/>
            <w:vAlign w:val="top"/>
          </w:tcPr>
          <w:p>
            <w:pPr>
              <w:autoSpaceDE w:val="0"/>
              <w:autoSpaceDN w:val="0"/>
              <w:adjustRightInd w:val="0"/>
              <w:spacing w:before="0" w:after="0"/>
              <w:jc w:val="left"/>
              <w:rPr>
                <w:rFonts w:hint="default" w:eastAsia="Times New Roman"/>
                <w:kern w:val="0"/>
                <w:sz w:val="18"/>
                <w:szCs w:val="24"/>
                <w:lang w:val="zh-CN"/>
              </w:rPr>
            </w:pPr>
          </w:p>
        </w:tc>
      </w:tr>
    </w:tbl>
    <w:p>
      <w:pPr>
        <w:autoSpaceDE w:val="0"/>
        <w:autoSpaceDN w:val="0"/>
        <w:adjustRightInd w:val="0"/>
        <w:spacing w:before="0" w:after="0"/>
        <w:jc w:val="left"/>
        <w:rPr>
          <w:rFonts w:hint="default" w:eastAsia="Times New Roman"/>
          <w:kern w:val="0"/>
          <w:sz w:val="18"/>
          <w:szCs w:val="24"/>
          <w:lang w:val="zh-CN"/>
        </w:rPr>
      </w:pPr>
    </w:p>
    <w:p>
      <w:pPr>
        <w:pStyle w:val="8"/>
        <w:outlineLvl w:val="2"/>
        <w:rPr>
          <w:rFonts w:hint="default"/>
          <w:sz w:val="21"/>
          <w:szCs w:val="24"/>
        </w:rPr>
      </w:pPr>
      <w:r>
        <w:rPr>
          <w:rFonts w:hint="default"/>
          <w:sz w:val="21"/>
          <w:szCs w:val="24"/>
        </w:rPr>
        <w:t>12</w:t>
      </w:r>
      <w:r>
        <w:rPr>
          <w:rFonts w:hint="eastAsia"/>
          <w:sz w:val="21"/>
          <w:szCs w:val="24"/>
        </w:rPr>
        <w:t>、应收账款</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对于不含重大融资成分的应收账款及合同资产，本公司按照相当于整个存续期内的预期信用损失金额计量损失准备。</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对于包含重大融资成分的应收账款和合同资产，本公司选择始终按照相当于存续期内预期信用损失的金额计量损失准备。</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除了单项评估信用风险的应收账款、合同资产外，本公司参考历史信用损失经验，结合当前状况以及对未来经济状况的预测，编制应收账款及合同资产账龄与整个存续期预期信用损失率对照表，计算预期信用损失。</w:t>
      </w:r>
    </w:p>
    <w:tbl>
      <w:tblPr>
        <w:tblStyle w:val="5"/>
        <w:tblW w:w="0" w:type="auto"/>
        <w:tblInd w:w="10" w:type="dxa"/>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Layout w:type="fixed"/>
        <w:tblCellMar>
          <w:top w:w="10" w:type="dxa"/>
          <w:left w:w="10" w:type="dxa"/>
          <w:bottom w:w="10" w:type="dxa"/>
          <w:right w:w="10" w:type="dxa"/>
        </w:tblCellMar>
      </w:tblPr>
      <w:tblGrid>
        <w:gridCol w:w="4370"/>
        <w:gridCol w:w="4718"/>
      </w:tblGrid>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37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账龄</w:t>
            </w:r>
          </w:p>
        </w:tc>
        <w:tc>
          <w:tcPr>
            <w:tcW w:w="471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应收账款（合同资产）计提比例</w:t>
            </w:r>
            <w:r>
              <w:rPr>
                <w:rFonts w:hint="default" w:eastAsia="Times New Roman"/>
                <w:b/>
                <w:kern w:val="0"/>
                <w:sz w:val="18"/>
                <w:szCs w:val="24"/>
                <w:lang w:val="zh-CN"/>
              </w:rPr>
              <w:t>(%)</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37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年以内（含</w:t>
            </w:r>
            <w:r>
              <w:rPr>
                <w:rFonts w:hint="default" w:eastAsia="Times New Roman"/>
                <w:kern w:val="0"/>
                <w:sz w:val="18"/>
                <w:szCs w:val="24"/>
                <w:lang w:val="zh-CN"/>
              </w:rPr>
              <w:t>1</w:t>
            </w:r>
            <w:r>
              <w:rPr>
                <w:rFonts w:hint="eastAsia" w:ascii="宋体" w:hAnsi="宋体" w:cs="宋体"/>
                <w:kern w:val="0"/>
                <w:sz w:val="18"/>
                <w:szCs w:val="24"/>
                <w:lang w:val="zh-CN"/>
              </w:rPr>
              <w:t>年）</w:t>
            </w:r>
          </w:p>
        </w:tc>
        <w:tc>
          <w:tcPr>
            <w:tcW w:w="471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ind w:firstLine="392"/>
              <w:jc w:val="center"/>
              <w:rPr>
                <w:rFonts w:hint="default" w:eastAsia="Times New Roman"/>
                <w:kern w:val="0"/>
                <w:sz w:val="18"/>
                <w:szCs w:val="24"/>
                <w:lang w:val="zh-CN"/>
              </w:rPr>
            </w:pPr>
            <w:r>
              <w:rPr>
                <w:rFonts w:hint="default" w:eastAsia="Times New Roman"/>
                <w:kern w:val="0"/>
                <w:sz w:val="18"/>
                <w:szCs w:val="24"/>
                <w:lang w:val="zh-CN"/>
              </w:rPr>
              <w:t>5.00</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37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至</w:t>
            </w:r>
            <w:r>
              <w:rPr>
                <w:rFonts w:hint="default" w:eastAsia="Times New Roman"/>
                <w:kern w:val="0"/>
                <w:sz w:val="18"/>
                <w:szCs w:val="24"/>
                <w:lang w:val="zh-CN"/>
              </w:rPr>
              <w:t>2</w:t>
            </w:r>
            <w:r>
              <w:rPr>
                <w:rFonts w:hint="eastAsia" w:ascii="宋体" w:hAnsi="宋体" w:cs="宋体"/>
                <w:kern w:val="0"/>
                <w:sz w:val="18"/>
                <w:szCs w:val="24"/>
                <w:lang w:val="zh-CN"/>
              </w:rPr>
              <w:t>年（含</w:t>
            </w:r>
            <w:r>
              <w:rPr>
                <w:rFonts w:hint="default" w:eastAsia="Times New Roman"/>
                <w:kern w:val="0"/>
                <w:sz w:val="18"/>
                <w:szCs w:val="24"/>
                <w:lang w:val="zh-CN"/>
              </w:rPr>
              <w:t>2</w:t>
            </w:r>
            <w:r>
              <w:rPr>
                <w:rFonts w:hint="eastAsia" w:ascii="宋体" w:hAnsi="宋体" w:cs="宋体"/>
                <w:kern w:val="0"/>
                <w:sz w:val="18"/>
                <w:szCs w:val="24"/>
                <w:lang w:val="zh-CN"/>
              </w:rPr>
              <w:t>年）</w:t>
            </w:r>
          </w:p>
        </w:tc>
        <w:tc>
          <w:tcPr>
            <w:tcW w:w="471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ind w:firstLine="392"/>
              <w:jc w:val="center"/>
              <w:rPr>
                <w:rFonts w:hint="default" w:eastAsia="Times New Roman"/>
                <w:kern w:val="0"/>
                <w:sz w:val="18"/>
                <w:szCs w:val="24"/>
                <w:lang w:val="zh-CN"/>
              </w:rPr>
            </w:pPr>
            <w:r>
              <w:rPr>
                <w:rFonts w:hint="default" w:eastAsia="Times New Roman"/>
                <w:kern w:val="0"/>
                <w:sz w:val="18"/>
                <w:szCs w:val="24"/>
                <w:lang w:val="zh-CN"/>
              </w:rPr>
              <w:t>10.00</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437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2</w:t>
            </w:r>
            <w:r>
              <w:rPr>
                <w:rFonts w:hint="eastAsia" w:ascii="宋体" w:hAnsi="宋体" w:cs="宋体"/>
                <w:kern w:val="0"/>
                <w:sz w:val="18"/>
                <w:szCs w:val="24"/>
                <w:lang w:val="zh-CN"/>
              </w:rPr>
              <w:t>至</w:t>
            </w:r>
            <w:r>
              <w:rPr>
                <w:rFonts w:hint="default" w:eastAsia="Times New Roman"/>
                <w:kern w:val="0"/>
                <w:sz w:val="18"/>
                <w:szCs w:val="24"/>
                <w:lang w:val="zh-CN"/>
              </w:rPr>
              <w:t>3</w:t>
            </w:r>
            <w:r>
              <w:rPr>
                <w:rFonts w:hint="eastAsia" w:ascii="宋体" w:hAnsi="宋体" w:cs="宋体"/>
                <w:kern w:val="0"/>
                <w:sz w:val="18"/>
                <w:szCs w:val="24"/>
                <w:lang w:val="zh-CN"/>
              </w:rPr>
              <w:t>年（含</w:t>
            </w:r>
            <w:r>
              <w:rPr>
                <w:rFonts w:hint="default" w:eastAsia="Times New Roman"/>
                <w:kern w:val="0"/>
                <w:sz w:val="18"/>
                <w:szCs w:val="24"/>
                <w:lang w:val="zh-CN"/>
              </w:rPr>
              <w:t>3</w:t>
            </w:r>
            <w:r>
              <w:rPr>
                <w:rFonts w:hint="eastAsia" w:ascii="宋体" w:hAnsi="宋体" w:cs="宋体"/>
                <w:kern w:val="0"/>
                <w:sz w:val="18"/>
                <w:szCs w:val="24"/>
                <w:lang w:val="zh-CN"/>
              </w:rPr>
              <w:t>年）</w:t>
            </w:r>
          </w:p>
        </w:tc>
        <w:tc>
          <w:tcPr>
            <w:tcW w:w="471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ind w:firstLine="392"/>
              <w:jc w:val="center"/>
              <w:rPr>
                <w:rFonts w:hint="default" w:eastAsia="Times New Roman"/>
                <w:kern w:val="0"/>
                <w:sz w:val="18"/>
                <w:szCs w:val="24"/>
                <w:lang w:val="zh-CN"/>
              </w:rPr>
            </w:pPr>
            <w:r>
              <w:rPr>
                <w:rFonts w:hint="default" w:eastAsia="Times New Roman"/>
                <w:kern w:val="0"/>
                <w:sz w:val="18"/>
                <w:szCs w:val="24"/>
                <w:lang w:val="zh-CN"/>
              </w:rPr>
              <w:t>30.00</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37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3</w:t>
            </w:r>
            <w:r>
              <w:rPr>
                <w:rFonts w:hint="eastAsia" w:ascii="宋体" w:hAnsi="宋体" w:cs="宋体"/>
                <w:kern w:val="0"/>
                <w:sz w:val="18"/>
                <w:szCs w:val="24"/>
                <w:lang w:val="zh-CN"/>
              </w:rPr>
              <w:t>至</w:t>
            </w:r>
            <w:r>
              <w:rPr>
                <w:rFonts w:hint="default" w:eastAsia="Times New Roman"/>
                <w:kern w:val="0"/>
                <w:sz w:val="18"/>
                <w:szCs w:val="24"/>
                <w:lang w:val="zh-CN"/>
              </w:rPr>
              <w:t>4</w:t>
            </w:r>
            <w:r>
              <w:rPr>
                <w:rFonts w:hint="eastAsia" w:ascii="宋体" w:hAnsi="宋体" w:cs="宋体"/>
                <w:kern w:val="0"/>
                <w:sz w:val="18"/>
                <w:szCs w:val="24"/>
                <w:lang w:val="zh-CN"/>
              </w:rPr>
              <w:t>年（含</w:t>
            </w:r>
            <w:r>
              <w:rPr>
                <w:rFonts w:hint="default" w:eastAsia="Times New Roman"/>
                <w:kern w:val="0"/>
                <w:sz w:val="18"/>
                <w:szCs w:val="24"/>
                <w:lang w:val="zh-CN"/>
              </w:rPr>
              <w:t>4</w:t>
            </w:r>
            <w:r>
              <w:rPr>
                <w:rFonts w:hint="eastAsia" w:ascii="宋体" w:hAnsi="宋体" w:cs="宋体"/>
                <w:kern w:val="0"/>
                <w:sz w:val="18"/>
                <w:szCs w:val="24"/>
                <w:lang w:val="zh-CN"/>
              </w:rPr>
              <w:t>年）</w:t>
            </w:r>
          </w:p>
        </w:tc>
        <w:tc>
          <w:tcPr>
            <w:tcW w:w="471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ind w:firstLine="392"/>
              <w:jc w:val="center"/>
              <w:rPr>
                <w:rFonts w:hint="default" w:eastAsia="Times New Roman"/>
                <w:kern w:val="0"/>
                <w:sz w:val="18"/>
                <w:szCs w:val="24"/>
                <w:lang w:val="zh-CN"/>
              </w:rPr>
            </w:pPr>
            <w:r>
              <w:rPr>
                <w:rFonts w:hint="default" w:eastAsia="Times New Roman"/>
                <w:kern w:val="0"/>
                <w:sz w:val="18"/>
                <w:szCs w:val="24"/>
                <w:lang w:val="zh-CN"/>
              </w:rPr>
              <w:t>50.00</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37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4</w:t>
            </w:r>
            <w:r>
              <w:rPr>
                <w:rFonts w:hint="eastAsia" w:ascii="宋体" w:hAnsi="宋体" w:cs="宋体"/>
                <w:kern w:val="0"/>
                <w:sz w:val="18"/>
                <w:szCs w:val="24"/>
                <w:lang w:val="zh-CN"/>
              </w:rPr>
              <w:t>至</w:t>
            </w:r>
            <w:r>
              <w:rPr>
                <w:rFonts w:hint="default" w:eastAsia="Times New Roman"/>
                <w:kern w:val="0"/>
                <w:sz w:val="18"/>
                <w:szCs w:val="24"/>
                <w:lang w:val="zh-CN"/>
              </w:rPr>
              <w:t>5</w:t>
            </w:r>
            <w:r>
              <w:rPr>
                <w:rFonts w:hint="eastAsia" w:ascii="宋体" w:hAnsi="宋体" w:cs="宋体"/>
                <w:kern w:val="0"/>
                <w:sz w:val="18"/>
                <w:szCs w:val="24"/>
                <w:lang w:val="zh-CN"/>
              </w:rPr>
              <w:t>年（含</w:t>
            </w:r>
            <w:r>
              <w:rPr>
                <w:rFonts w:hint="default" w:eastAsia="Times New Roman"/>
                <w:kern w:val="0"/>
                <w:sz w:val="18"/>
                <w:szCs w:val="24"/>
                <w:lang w:val="zh-CN"/>
              </w:rPr>
              <w:t>5</w:t>
            </w:r>
            <w:r>
              <w:rPr>
                <w:rFonts w:hint="eastAsia" w:ascii="宋体" w:hAnsi="宋体" w:cs="宋体"/>
                <w:kern w:val="0"/>
                <w:sz w:val="18"/>
                <w:szCs w:val="24"/>
                <w:lang w:val="zh-CN"/>
              </w:rPr>
              <w:t>年）</w:t>
            </w:r>
          </w:p>
        </w:tc>
        <w:tc>
          <w:tcPr>
            <w:tcW w:w="471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ind w:firstLine="392"/>
              <w:jc w:val="center"/>
              <w:rPr>
                <w:rFonts w:hint="default" w:eastAsia="Times New Roman"/>
                <w:kern w:val="0"/>
                <w:sz w:val="18"/>
                <w:szCs w:val="24"/>
                <w:lang w:val="zh-CN"/>
              </w:rPr>
            </w:pPr>
            <w:r>
              <w:rPr>
                <w:rFonts w:hint="default" w:eastAsia="Times New Roman"/>
                <w:kern w:val="0"/>
                <w:sz w:val="18"/>
                <w:szCs w:val="24"/>
                <w:lang w:val="zh-CN"/>
              </w:rPr>
              <w:t>80.00</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37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5</w:t>
            </w:r>
            <w:r>
              <w:rPr>
                <w:rFonts w:hint="eastAsia" w:ascii="宋体" w:hAnsi="宋体" w:cs="宋体"/>
                <w:kern w:val="0"/>
                <w:sz w:val="18"/>
                <w:szCs w:val="24"/>
                <w:lang w:val="zh-CN"/>
              </w:rPr>
              <w:t>年以上</w:t>
            </w:r>
          </w:p>
        </w:tc>
        <w:tc>
          <w:tcPr>
            <w:tcW w:w="471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ind w:firstLine="392"/>
              <w:jc w:val="center"/>
              <w:rPr>
                <w:rFonts w:hint="default" w:eastAsia="Times New Roman"/>
                <w:kern w:val="0"/>
                <w:sz w:val="18"/>
                <w:szCs w:val="24"/>
                <w:lang w:val="zh-CN"/>
              </w:rPr>
            </w:pPr>
            <w:r>
              <w:rPr>
                <w:rFonts w:hint="default" w:eastAsia="Times New Roman"/>
                <w:kern w:val="0"/>
                <w:sz w:val="18"/>
                <w:szCs w:val="24"/>
                <w:lang w:val="zh-CN"/>
              </w:rPr>
              <w:t>100.00</w:t>
            </w:r>
          </w:p>
        </w:tc>
      </w:tr>
    </w:tbl>
    <w:p>
      <w:pPr>
        <w:autoSpaceDE w:val="0"/>
        <w:autoSpaceDN w:val="0"/>
        <w:adjustRightInd w:val="0"/>
        <w:spacing w:before="150" w:after="150"/>
        <w:rPr>
          <w:rFonts w:hint="default" w:eastAsia="Times New Roman"/>
          <w:kern w:val="0"/>
          <w:sz w:val="21"/>
          <w:szCs w:val="24"/>
          <w:lang w:val="zh-CN"/>
        </w:rPr>
      </w:pPr>
    </w:p>
    <w:p>
      <w:pPr>
        <w:autoSpaceDE w:val="0"/>
        <w:autoSpaceDN w:val="0"/>
        <w:adjustRightInd w:val="0"/>
        <w:spacing w:before="0" w:after="0"/>
        <w:jc w:val="left"/>
        <w:rPr>
          <w:rFonts w:hint="default" w:eastAsia="Times New Roman"/>
          <w:kern w:val="0"/>
          <w:sz w:val="18"/>
          <w:szCs w:val="24"/>
          <w:lang w:val="zh-CN"/>
        </w:rPr>
      </w:pPr>
    </w:p>
    <w:p>
      <w:pPr>
        <w:pStyle w:val="8"/>
        <w:outlineLvl w:val="2"/>
        <w:rPr>
          <w:rFonts w:hint="default"/>
          <w:sz w:val="21"/>
          <w:szCs w:val="24"/>
        </w:rPr>
      </w:pPr>
      <w:r>
        <w:rPr>
          <w:rFonts w:hint="default"/>
          <w:sz w:val="21"/>
          <w:szCs w:val="24"/>
        </w:rPr>
        <w:t>13</w:t>
      </w:r>
      <w:r>
        <w:rPr>
          <w:rFonts w:hint="eastAsia"/>
          <w:sz w:val="21"/>
          <w:szCs w:val="24"/>
        </w:rPr>
        <w:t>、应收款项融资</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对于合同现金流量特征与基本借贷安排相一致，且公司管理此类金融资产的业务模式为既以收取合同现金流量为目标又以出售为目标的应收票据及应收账款，本公司将其分类为应收款项融资，以公允价值计量且其变动计入其他综合收益。应收款项融资采用实际利率法确认的利息收入、减值损失及汇兑差额确认为当期损益，其余公允价值变动计入其他综合收益。终止确认时，之前计入其他综合收益的累计利得或损失从其他综合收益转出，计入当期损益。</w:t>
      </w:r>
    </w:p>
    <w:p>
      <w:pPr>
        <w:pStyle w:val="8"/>
        <w:outlineLvl w:val="2"/>
        <w:rPr>
          <w:rFonts w:hint="default"/>
          <w:sz w:val="21"/>
          <w:szCs w:val="24"/>
        </w:rPr>
      </w:pPr>
      <w:r>
        <w:rPr>
          <w:rFonts w:hint="default"/>
          <w:sz w:val="21"/>
          <w:szCs w:val="24"/>
        </w:rPr>
        <w:t>14</w:t>
      </w:r>
      <w:r>
        <w:rPr>
          <w:rFonts w:hint="eastAsia"/>
          <w:sz w:val="21"/>
          <w:szCs w:val="24"/>
        </w:rPr>
        <w:t>、其他应收款</w:t>
      </w:r>
    </w:p>
    <w:p>
      <w:pPr>
        <w:jc w:val="left"/>
        <w:rPr>
          <w:rFonts w:hint="default"/>
          <w:sz w:val="18"/>
          <w:szCs w:val="24"/>
        </w:rPr>
      </w:pPr>
      <w:r>
        <w:rPr>
          <w:rFonts w:hint="eastAsia"/>
          <w:sz w:val="18"/>
          <w:szCs w:val="24"/>
        </w:rPr>
        <w:t>其他应收款的预期信用损失的确定方法及会计处理方法</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本公司依据其他应收款信用风险自初始确认后是否已经显著增加，采用相当于未来</w:t>
      </w:r>
      <w:r>
        <w:rPr>
          <w:rFonts w:hint="default" w:eastAsia="Times New Roman"/>
          <w:kern w:val="0"/>
          <w:sz w:val="21"/>
          <w:szCs w:val="24"/>
          <w:lang w:val="zh-CN"/>
        </w:rPr>
        <w:t xml:space="preserve">12 </w:t>
      </w:r>
      <w:r>
        <w:rPr>
          <w:rFonts w:hint="eastAsia" w:ascii="宋体" w:hAnsi="宋体" w:cs="宋体"/>
          <w:kern w:val="0"/>
          <w:sz w:val="21"/>
          <w:szCs w:val="24"/>
          <w:lang w:val="zh-CN"/>
        </w:rPr>
        <w:t>个月内、或整个存续期的预期信用损失的金额计量减值损失。除了单项评估信用风险的其他应收款外，公司参考历史信用损失经验，结合当前状况以及对未来经济状况的预测，编制其他应收款账龄与整个存续期预期信用损失率对照表，计算预期信用损失，账龄对照表参照应收账款执行。</w:t>
      </w:r>
    </w:p>
    <w:p>
      <w:pPr>
        <w:pStyle w:val="8"/>
        <w:outlineLvl w:val="2"/>
        <w:rPr>
          <w:rFonts w:hint="default"/>
          <w:sz w:val="21"/>
          <w:szCs w:val="24"/>
        </w:rPr>
      </w:pPr>
      <w:r>
        <w:rPr>
          <w:rFonts w:hint="default"/>
          <w:sz w:val="21"/>
          <w:szCs w:val="24"/>
        </w:rPr>
        <w:t>15</w:t>
      </w:r>
      <w:r>
        <w:rPr>
          <w:rFonts w:hint="eastAsia"/>
          <w:sz w:val="21"/>
          <w:szCs w:val="24"/>
        </w:rPr>
        <w:t>、存货</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、存货分类</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公司存货包括生产经营过程中为销售或耗用而持有的原材料、在产品、库存商品等。</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、存货取得和发出的计价方法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）公司存货按实际成本进行初始计量，存货成本包括采购成本、加工成本和其他使存货达到目前场所和状态所发生的支出。存货发出时，采用加权平均法确定其实际成本。</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）低值易耗品及周转材料采用五五摊销法核算。</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）包装物采用一次摊销法核算。</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、存货数量的盘存方法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公司存货数量的盘存方法采用永续盘存制。</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4</w:t>
      </w:r>
      <w:r>
        <w:rPr>
          <w:rFonts w:hint="eastAsia" w:ascii="宋体" w:hAnsi="宋体" w:cs="宋体"/>
          <w:b/>
          <w:kern w:val="0"/>
          <w:sz w:val="21"/>
          <w:szCs w:val="24"/>
          <w:lang w:val="zh-CN"/>
        </w:rPr>
        <w:t>、存货跌价准备</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资产负债表日，公司存货按照成本与可变现净值孰低计量，并按单个存货项目的可变现净值低于存货成本的差额，计提存货跌价准备，计入当期损益；以前减记存货价值的影响因素已经消失的，减记的金额予以恢复，并在原已计提的存货跌价准备金额内转回，转回的金额计入当期损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存货可变现净值是指在日常活动中，存货的估计售价减去至完工时估计将要发生的成本、估计的销售费用以及相关税费后的金额。</w:t>
      </w:r>
    </w:p>
    <w:p>
      <w:pPr>
        <w:pStyle w:val="8"/>
        <w:outlineLvl w:val="2"/>
        <w:rPr>
          <w:rFonts w:hint="default"/>
          <w:sz w:val="21"/>
          <w:szCs w:val="24"/>
        </w:rPr>
      </w:pPr>
      <w:r>
        <w:rPr>
          <w:rFonts w:hint="default"/>
          <w:sz w:val="21"/>
          <w:szCs w:val="24"/>
        </w:rPr>
        <w:t>16</w:t>
      </w:r>
      <w:r>
        <w:rPr>
          <w:rFonts w:hint="eastAsia"/>
          <w:sz w:val="21"/>
          <w:szCs w:val="24"/>
        </w:rPr>
        <w:t>、合同资产</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本公司将拥有的、无条件（即，仅取决于时间流逝）向客户收取对价的权利作为应收款项列示，将已向客户转让商品而有权收取对价的权利，且该权利取决于时间流逝之外的其他因素作为合同资产列示。</w:t>
      </w:r>
    </w:p>
    <w:p>
      <w:pPr>
        <w:autoSpaceDE w:val="0"/>
        <w:autoSpaceDN w:val="0"/>
        <w:adjustRightInd w:val="0"/>
        <w:spacing w:before="0" w:after="0"/>
        <w:rPr>
          <w:rFonts w:hint="default" w:eastAsia="Times New Roman"/>
          <w:kern w:val="0"/>
          <w:sz w:val="21"/>
          <w:szCs w:val="24"/>
          <w:lang w:val="zh-CN"/>
        </w:rPr>
      </w:pPr>
      <w:r>
        <w:rPr>
          <w:rFonts w:hint="eastAsia" w:ascii="宋体" w:hAnsi="宋体" w:cs="宋体"/>
          <w:kern w:val="0"/>
          <w:sz w:val="21"/>
          <w:szCs w:val="24"/>
          <w:lang w:val="zh-CN"/>
        </w:rPr>
        <w:t>向客户销售两项可明确区分的商品，因已交付其中一项商品而有权收取款项，但收取该款项还取决于交付另一项商品的，本公司将该收款权利作为合同资产。</w:t>
      </w:r>
    </w:p>
    <w:p>
      <w:pPr>
        <w:pStyle w:val="8"/>
        <w:outlineLvl w:val="2"/>
        <w:rPr>
          <w:rFonts w:hint="default"/>
          <w:sz w:val="21"/>
          <w:szCs w:val="24"/>
        </w:rPr>
      </w:pPr>
      <w:r>
        <w:rPr>
          <w:rFonts w:hint="default"/>
          <w:sz w:val="21"/>
          <w:szCs w:val="24"/>
        </w:rPr>
        <w:t>17</w:t>
      </w:r>
      <w:r>
        <w:rPr>
          <w:rFonts w:hint="eastAsia"/>
          <w:sz w:val="21"/>
          <w:szCs w:val="24"/>
        </w:rPr>
        <w:t>、合同成本</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合同履约成本，是指本公司为履行合同发生的成本，该成本不属于收入准则以外的其他准则规范范围且同时满足下列条件：</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）该成本与一份当前或预期取得的合同直接相关，包括直接人工、直接材料、制造费用（或类似费用）、明确由客户承担的成本以及仅因该合同而发生的其他成本；</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）该成本增加了本公司未来用于履行履约义务的资源；</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）该成本预期能够收回。</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本公司的下列支出于发生时，计入当期损益：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）管理费用。</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）非正常消耗的直接材料、直接人工和制造费用（或类似费用），这些支出为履行合同发生，但未反映在合同价格中。</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）与履约义务中已履行部分相关的支出。</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）无法在尚未履行的与已履行的履约义务之间区分的相关支出。</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为取得合同发生的增量成本预期能够收回的，作为合同取得成本确认为一项资产；如该资产摊销期限不超过一年的，在发生时计入当期损益。增量成本，是指本公司不取得合同就不会发生的成本（如销售佣金等）。本公司为取得合同发生的、除预期能够收回的增量成本之外的其他支出（如无论是否取得合同均会发生的差旅费等），在发生时计入当期损益，但是，明确由客户承担的除外。</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本公司与合同成本有关的资产，应当采用与该资产相关的商品收入确认相同的基础进行摊销，计入当期损益。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本公司与合同成本有关的资产，其账面价值高于下列两项的差额的，超出部分计提减值准备，并确认为资产减值损失：</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）本公司因转让与该资产相关的商品预期能够取得的剩余对价；</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）为转让该相关商品估计将要发生的成本。</w:t>
      </w:r>
    </w:p>
    <w:p>
      <w:pPr>
        <w:pStyle w:val="8"/>
        <w:outlineLvl w:val="2"/>
        <w:rPr>
          <w:rFonts w:hint="default"/>
          <w:sz w:val="21"/>
          <w:szCs w:val="24"/>
        </w:rPr>
      </w:pPr>
      <w:r>
        <w:rPr>
          <w:rFonts w:hint="default"/>
          <w:sz w:val="21"/>
          <w:szCs w:val="24"/>
        </w:rPr>
        <w:t>18</w:t>
      </w:r>
      <w:r>
        <w:rPr>
          <w:rFonts w:hint="eastAsia"/>
          <w:sz w:val="21"/>
          <w:szCs w:val="24"/>
        </w:rPr>
        <w:t>、持有待售资产</w:t>
      </w:r>
    </w:p>
    <w:p>
      <w:pPr>
        <w:autoSpaceDE w:val="0"/>
        <w:autoSpaceDN w:val="0"/>
        <w:adjustRightInd w:val="0"/>
        <w:spacing w:before="0" w:after="0"/>
        <w:ind w:firstLine="436"/>
        <w:jc w:val="left"/>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、持有待售的非流动资产或处置组的分类与计量</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本公司主要通过出售（包括具有商业实质的非货币性资产交换）而非持续使用一项非流动资产或处置组收回其账面价值时，该非流动资产或处置组被划分为持有待售类别。</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处置组，是指在一项交易中作为整体通过出售或其他方式一并处置的一组资产，以及在该交易中转让的与这些资产直接相关的负债。处置组所属的资产组或资产组组合按照《企业会计准则第</w:t>
      </w:r>
      <w:r>
        <w:rPr>
          <w:rFonts w:hint="default" w:eastAsia="Times New Roman"/>
          <w:kern w:val="0"/>
          <w:sz w:val="21"/>
          <w:szCs w:val="24"/>
          <w:lang w:val="zh-CN"/>
        </w:rPr>
        <w:t>8</w:t>
      </w:r>
      <w:r>
        <w:rPr>
          <w:rFonts w:hint="eastAsia" w:ascii="宋体" w:hAnsi="宋体" w:cs="宋体"/>
          <w:kern w:val="0"/>
          <w:sz w:val="21"/>
          <w:szCs w:val="24"/>
          <w:lang w:val="zh-CN"/>
        </w:rPr>
        <w:t>号</w:t>
      </w:r>
      <w:r>
        <w:rPr>
          <w:rFonts w:hint="default" w:eastAsia="Times New Roman"/>
          <w:kern w:val="0"/>
          <w:sz w:val="21"/>
          <w:szCs w:val="24"/>
          <w:lang w:val="zh-CN"/>
        </w:rPr>
        <w:t>——</w:t>
      </w:r>
      <w:r>
        <w:rPr>
          <w:rFonts w:hint="eastAsia" w:ascii="宋体" w:hAnsi="宋体" w:cs="宋体"/>
          <w:kern w:val="0"/>
          <w:sz w:val="21"/>
          <w:szCs w:val="24"/>
          <w:lang w:val="zh-CN"/>
        </w:rPr>
        <w:t>资产减值》分摊了企业合并中取得的商誉的，该处置组应当包含分摊至处置组的商誉。</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持有待售的非流动资产和持有待售的处置组中的资产不计提折旧或进行摊销；持有待售的处置组中负债的利息和其他费用继续予以确认。</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某项非流动资产或处置组被划分为持有待售类别，但后来不再满足持有待售类别划分条件的，本公司停止将其划分为持有待售类别，并按照下列两项金额中较低者计量：</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①该资产或处置组被划分为持有待售类别之前的账面价值，按照其假定在没有被划分为持有待售类别的情况下本应确认的折旧、摊销或减值进行调整后的金额；</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②可收回金额。</w:t>
      </w:r>
    </w:p>
    <w:p>
      <w:pPr>
        <w:autoSpaceDE w:val="0"/>
        <w:autoSpaceDN w:val="0"/>
        <w:adjustRightInd w:val="0"/>
        <w:spacing w:before="0" w:after="0"/>
        <w:ind w:firstLine="436"/>
        <w:jc w:val="left"/>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、终止经营</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终止经营，是指满足下列条件之一的已被本公司处置或被本公司划分为持有待售类别的、能够单独区分的组成部分：</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①该组成部分代表一项独立的主要业务或一个单独的主要经营地区。</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②该组成部分是拟对一项独立的主要业务或一个单独的主要经营地区进行处置的一项相关联计划的一部分。</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③该组成部分是专为转售而取得的子公司。</w:t>
      </w:r>
    </w:p>
    <w:p>
      <w:pPr>
        <w:autoSpaceDE w:val="0"/>
        <w:autoSpaceDN w:val="0"/>
        <w:adjustRightInd w:val="0"/>
        <w:spacing w:before="0" w:after="0"/>
        <w:ind w:firstLine="436"/>
        <w:jc w:val="left"/>
        <w:rPr>
          <w:rFonts w:hint="default" w:eastAsia="Times New Roman"/>
          <w:b/>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、列报</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本公司在资产负债表中将持有待售的非流动资产或持有待售的处置组中的资产列报于</w:t>
      </w:r>
      <w:r>
        <w:rPr>
          <w:rFonts w:hint="default" w:eastAsia="Times New Roman"/>
          <w:kern w:val="0"/>
          <w:sz w:val="21"/>
          <w:szCs w:val="24"/>
          <w:lang w:val="zh-CN"/>
        </w:rPr>
        <w:t>“</w:t>
      </w:r>
      <w:r>
        <w:rPr>
          <w:rFonts w:hint="eastAsia" w:ascii="宋体" w:hAnsi="宋体" w:cs="宋体"/>
          <w:kern w:val="0"/>
          <w:sz w:val="21"/>
          <w:szCs w:val="24"/>
          <w:lang w:val="zh-CN"/>
        </w:rPr>
        <w:t>持有待售资产</w:t>
      </w:r>
      <w:r>
        <w:rPr>
          <w:rFonts w:hint="default" w:eastAsia="Times New Roman"/>
          <w:kern w:val="0"/>
          <w:sz w:val="21"/>
          <w:szCs w:val="24"/>
          <w:lang w:val="zh-CN"/>
        </w:rPr>
        <w:t>”</w:t>
      </w:r>
      <w:r>
        <w:rPr>
          <w:rFonts w:hint="eastAsia" w:ascii="宋体" w:hAnsi="宋体" w:cs="宋体"/>
          <w:kern w:val="0"/>
          <w:sz w:val="21"/>
          <w:szCs w:val="24"/>
          <w:lang w:val="zh-CN"/>
        </w:rPr>
        <w:t>，将持有待售的处置组中的负债列报于</w:t>
      </w:r>
      <w:r>
        <w:rPr>
          <w:rFonts w:hint="default" w:eastAsia="Times New Roman"/>
          <w:kern w:val="0"/>
          <w:sz w:val="21"/>
          <w:szCs w:val="24"/>
          <w:lang w:val="zh-CN"/>
        </w:rPr>
        <w:t>“</w:t>
      </w:r>
      <w:r>
        <w:rPr>
          <w:rFonts w:hint="eastAsia" w:ascii="宋体" w:hAnsi="宋体" w:cs="宋体"/>
          <w:kern w:val="0"/>
          <w:sz w:val="21"/>
          <w:szCs w:val="24"/>
          <w:lang w:val="zh-CN"/>
        </w:rPr>
        <w:t>持有待售负债</w:t>
      </w:r>
      <w:r>
        <w:rPr>
          <w:rFonts w:hint="default" w:eastAsia="Times New Roman"/>
          <w:kern w:val="0"/>
          <w:sz w:val="21"/>
          <w:szCs w:val="24"/>
          <w:lang w:val="zh-CN"/>
        </w:rPr>
        <w:t>”</w:t>
      </w:r>
      <w:r>
        <w:rPr>
          <w:rFonts w:hint="eastAsia" w:ascii="宋体" w:hAnsi="宋体" w:cs="宋体"/>
          <w:kern w:val="0"/>
          <w:sz w:val="21"/>
          <w:szCs w:val="24"/>
          <w:lang w:val="zh-CN"/>
        </w:rPr>
        <w:t>。</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拟结束使用而非出售且满足终止经营定义中有关组成部分的条件的处置组，自其停止使用日起作为终止经营列报。</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pStyle w:val="8"/>
        <w:outlineLvl w:val="2"/>
        <w:rPr>
          <w:rFonts w:hint="default"/>
          <w:sz w:val="21"/>
          <w:szCs w:val="24"/>
        </w:rPr>
      </w:pPr>
      <w:r>
        <w:rPr>
          <w:rFonts w:hint="default"/>
          <w:sz w:val="21"/>
          <w:szCs w:val="24"/>
        </w:rPr>
        <w:t>19</w:t>
      </w:r>
      <w:r>
        <w:rPr>
          <w:rFonts w:hint="eastAsia"/>
          <w:sz w:val="21"/>
          <w:szCs w:val="24"/>
        </w:rPr>
        <w:t>、债权投资</w:t>
      </w:r>
    </w:p>
    <w:p>
      <w:pPr>
        <w:pStyle w:val="8"/>
        <w:outlineLvl w:val="2"/>
        <w:rPr>
          <w:rFonts w:hint="default"/>
          <w:sz w:val="21"/>
          <w:szCs w:val="24"/>
        </w:rPr>
      </w:pPr>
      <w:r>
        <w:rPr>
          <w:rFonts w:hint="default"/>
          <w:sz w:val="21"/>
          <w:szCs w:val="24"/>
        </w:rPr>
        <w:t>20</w:t>
      </w:r>
      <w:r>
        <w:rPr>
          <w:rFonts w:hint="eastAsia"/>
          <w:sz w:val="21"/>
          <w:szCs w:val="24"/>
        </w:rPr>
        <w:t>、其他债权投资</w:t>
      </w:r>
    </w:p>
    <w:p>
      <w:pPr>
        <w:pStyle w:val="8"/>
        <w:outlineLvl w:val="2"/>
        <w:rPr>
          <w:rFonts w:hint="default"/>
          <w:sz w:val="21"/>
          <w:szCs w:val="24"/>
        </w:rPr>
      </w:pPr>
      <w:r>
        <w:rPr>
          <w:rFonts w:hint="default"/>
          <w:sz w:val="21"/>
          <w:szCs w:val="24"/>
        </w:rPr>
        <w:t>21</w:t>
      </w:r>
      <w:r>
        <w:rPr>
          <w:rFonts w:hint="eastAsia"/>
          <w:sz w:val="21"/>
          <w:szCs w:val="24"/>
        </w:rPr>
        <w:t>、长期应收款</w:t>
      </w:r>
    </w:p>
    <w:p>
      <w:pPr>
        <w:pStyle w:val="8"/>
        <w:outlineLvl w:val="2"/>
        <w:rPr>
          <w:rFonts w:hint="default"/>
          <w:sz w:val="21"/>
          <w:szCs w:val="24"/>
        </w:rPr>
      </w:pPr>
      <w:r>
        <w:rPr>
          <w:rFonts w:hint="default"/>
          <w:sz w:val="21"/>
          <w:szCs w:val="24"/>
        </w:rPr>
        <w:t>22</w:t>
      </w:r>
      <w:r>
        <w:rPr>
          <w:rFonts w:hint="eastAsia"/>
          <w:sz w:val="21"/>
          <w:szCs w:val="24"/>
        </w:rPr>
        <w:t>、长期股权投资</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本部分所指的长期股权投资是指本公司对被投资单位具有控制、共同控制或重大影响的长期股权投资。</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、初始投资成本确定</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）对于企业合并取得的长期股权投资，如为同一控制下的企业合并，应当按照取得被合并方所有者权益账面价值的份额确认为初始成本；非同一控制下的企业合并，应当按购买日确定的合并成本确认为初始成本；</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w:t>
      </w:r>
      <w:r>
        <w:rPr>
          <w:rFonts w:hint="default" w:eastAsia="Times New Roman"/>
          <w:kern w:val="0"/>
          <w:sz w:val="21"/>
          <w:szCs w:val="24"/>
          <w:lang w:val="zh-CN"/>
        </w:rPr>
        <w:t>12</w:t>
      </w:r>
      <w:r>
        <w:rPr>
          <w:rFonts w:hint="eastAsia" w:ascii="宋体" w:hAnsi="宋体" w:cs="宋体"/>
          <w:kern w:val="0"/>
          <w:sz w:val="21"/>
          <w:szCs w:val="24"/>
          <w:lang w:val="zh-CN"/>
        </w:rPr>
        <w:t>号</w:t>
      </w:r>
      <w:r>
        <w:rPr>
          <w:rFonts w:hint="default" w:eastAsia="Times New Roman"/>
          <w:kern w:val="0"/>
          <w:sz w:val="21"/>
          <w:szCs w:val="24"/>
          <w:lang w:val="zh-CN"/>
        </w:rPr>
        <w:t>——</w:t>
      </w:r>
      <w:r>
        <w:rPr>
          <w:rFonts w:hint="eastAsia" w:ascii="宋体" w:hAnsi="宋体" w:cs="宋体"/>
          <w:kern w:val="0"/>
          <w:sz w:val="21"/>
          <w:szCs w:val="24"/>
          <w:lang w:val="zh-CN"/>
        </w:rPr>
        <w:t>债务重组》的有关规定确定；非货币性资产交换取得，初始投资成本根据准则相关规定确定。</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、后续计量及损益确认方法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）成本法核算</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）权益法核算</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投资方对联营企业和合营企业的长期股权投资采用权益法核算。投资方对联营企业的权益性投资，其中一部分通过风险投资机构、共同基金、信托公司或包括投连险基金在内的类似主体间接持有的，无论以上主体是否对这部分投资具有重大影响，投资方都可以按照《企业会计准则第</w:t>
      </w:r>
      <w:r>
        <w:rPr>
          <w:rFonts w:hint="default" w:eastAsia="Times New Roman"/>
          <w:kern w:val="0"/>
          <w:sz w:val="21"/>
          <w:szCs w:val="24"/>
          <w:lang w:val="zh-CN"/>
        </w:rPr>
        <w:t>22</w:t>
      </w:r>
      <w:r>
        <w:rPr>
          <w:rFonts w:hint="eastAsia" w:ascii="宋体" w:hAnsi="宋体" w:cs="宋体"/>
          <w:kern w:val="0"/>
          <w:sz w:val="21"/>
          <w:szCs w:val="24"/>
          <w:lang w:val="zh-CN"/>
        </w:rPr>
        <w:t>号</w:t>
      </w:r>
      <w:r>
        <w:rPr>
          <w:rFonts w:hint="default" w:eastAsia="Times New Roman"/>
          <w:kern w:val="0"/>
          <w:sz w:val="21"/>
          <w:szCs w:val="24"/>
          <w:lang w:val="zh-CN"/>
        </w:rPr>
        <w:t>——</w:t>
      </w:r>
      <w:r>
        <w:rPr>
          <w:rFonts w:hint="eastAsia" w:ascii="宋体" w:hAnsi="宋体" w:cs="宋体"/>
          <w:kern w:val="0"/>
          <w:sz w:val="21"/>
          <w:szCs w:val="24"/>
          <w:lang w:val="zh-CN"/>
        </w:rPr>
        <w:t>金融工具确认和计量》的有关规定，对间接持有的该部分投资选择以公允价值计量且其变动计入损益，并对其余部分采用权益法核算。</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、长期股权投资核算方法的转换</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成本法转权益法：因处置投资等原因导致对被投资单位由能够实施控制转为具有重大影响或者与其他投资方一起实施共同控制的，首先应按处置投资的比例结转应终止确认的长期股权投资成本。然后比较剩余长期股权投资的成本与按照剩余持股比例计算原投资时应享有被投资单位可辨认净资产公允价值的份额，前者大于后者的，属于投资作价中体现的商誉部分，不调整长期股权投资的账面价值；前者小于后者的，在调整长期股权投资成本的同时，调整留存收益。</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4</w:t>
      </w:r>
      <w:r>
        <w:rPr>
          <w:rFonts w:hint="eastAsia" w:ascii="宋体" w:hAnsi="宋体" w:cs="宋体"/>
          <w:b/>
          <w:kern w:val="0"/>
          <w:sz w:val="21"/>
          <w:szCs w:val="24"/>
          <w:lang w:val="zh-CN"/>
        </w:rPr>
        <w:t>、确定对被投资单位具有共同控制、重大影响的依据</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当本公司直接或通过子公司间接拥有被投资单位</w:t>
      </w:r>
      <w:r>
        <w:rPr>
          <w:rFonts w:hint="default" w:eastAsia="Times New Roman"/>
          <w:kern w:val="0"/>
          <w:sz w:val="21"/>
          <w:szCs w:val="24"/>
          <w:lang w:val="zh-CN"/>
        </w:rPr>
        <w:t>20%</w:t>
      </w:r>
      <w:r>
        <w:rPr>
          <w:rFonts w:hint="eastAsia" w:ascii="宋体" w:hAnsi="宋体" w:cs="宋体"/>
          <w:kern w:val="0"/>
          <w:sz w:val="21"/>
          <w:szCs w:val="24"/>
          <w:lang w:val="zh-CN"/>
        </w:rPr>
        <w:t>（含</w:t>
      </w:r>
      <w:r>
        <w:rPr>
          <w:rFonts w:hint="default" w:eastAsia="Times New Roman"/>
          <w:kern w:val="0"/>
          <w:sz w:val="21"/>
          <w:szCs w:val="24"/>
          <w:lang w:val="zh-CN"/>
        </w:rPr>
        <w:t>20%</w:t>
      </w:r>
      <w:r>
        <w:rPr>
          <w:rFonts w:hint="eastAsia" w:ascii="宋体" w:hAnsi="宋体" w:cs="宋体"/>
          <w:kern w:val="0"/>
          <w:sz w:val="21"/>
          <w:szCs w:val="24"/>
          <w:lang w:val="zh-CN"/>
        </w:rPr>
        <w:t>）以上但低于</w:t>
      </w:r>
      <w:r>
        <w:rPr>
          <w:rFonts w:hint="default" w:eastAsia="Times New Roman"/>
          <w:kern w:val="0"/>
          <w:sz w:val="21"/>
          <w:szCs w:val="24"/>
          <w:lang w:val="zh-CN"/>
        </w:rPr>
        <w:t>50%</w:t>
      </w:r>
      <w:r>
        <w:rPr>
          <w:rFonts w:hint="eastAsia" w:ascii="宋体" w:hAnsi="宋体" w:cs="宋体"/>
          <w:kern w:val="0"/>
          <w:sz w:val="21"/>
          <w:szCs w:val="24"/>
          <w:lang w:val="zh-CN"/>
        </w:rPr>
        <w:t>的表决权股份时，一般认为对被投资单位具有重大影响，除非有明确证据表明该种情况下不能参与被投资单位的生产经营决策，不形成重大影响。</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本公司通常通过以下一种或几种情形来判断是否对被投资单位具有重大影响：</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①在被投资单位的董事会或类似权力机构中派有代表。</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②参与被投资单位财务和经营政策制定过程。</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③与被投资单位之间发生重要交易。</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④向被投资单位派出管理人员。</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⑤向被投资单位提供关键技术资料。</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存在上述一种或多种情形并不意味着本公司一定对被投资单位具有重大影响，本公司需要综合考虑所有事实和情况来做出恰当的判断。</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5</w:t>
      </w:r>
      <w:r>
        <w:rPr>
          <w:rFonts w:hint="eastAsia" w:ascii="宋体" w:hAnsi="宋体" w:cs="宋体"/>
          <w:b/>
          <w:kern w:val="0"/>
          <w:sz w:val="21"/>
          <w:szCs w:val="24"/>
          <w:lang w:val="zh-CN"/>
        </w:rPr>
        <w:t>、减值测试方法及减值准备计提方法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可收回金额按照长期股权投资出售的公允价值净额与预计未来现金流量的现值之间孰高确定。</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6</w:t>
      </w:r>
      <w:r>
        <w:rPr>
          <w:rFonts w:hint="eastAsia" w:ascii="宋体" w:hAnsi="宋体" w:cs="宋体"/>
          <w:b/>
          <w:kern w:val="0"/>
          <w:sz w:val="21"/>
          <w:szCs w:val="24"/>
          <w:lang w:val="zh-CN"/>
        </w:rPr>
        <w:t>、长期股权投资处置</w:t>
      </w:r>
    </w:p>
    <w:p>
      <w:pPr>
        <w:autoSpaceDE w:val="0"/>
        <w:autoSpaceDN w:val="0"/>
        <w:adjustRightInd w:val="0"/>
        <w:spacing w:before="0" w:after="0"/>
        <w:ind w:firstLine="459"/>
        <w:rPr>
          <w:rFonts w:hint="default" w:eastAsia="Times New Roman"/>
          <w:kern w:val="0"/>
          <w:sz w:val="21"/>
          <w:szCs w:val="24"/>
          <w:lang w:val="zh-CN"/>
        </w:rPr>
      </w:pPr>
      <w:r>
        <w:rPr>
          <w:rFonts w:hint="eastAsia" w:ascii="宋体" w:hAnsi="宋体" w:cs="宋体"/>
          <w:kern w:val="0"/>
          <w:sz w:val="21"/>
          <w:szCs w:val="24"/>
          <w:lang w:val="zh-CN"/>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pStyle w:val="8"/>
        <w:outlineLvl w:val="2"/>
        <w:rPr>
          <w:rFonts w:hint="default"/>
          <w:sz w:val="21"/>
          <w:szCs w:val="24"/>
        </w:rPr>
      </w:pPr>
      <w:r>
        <w:rPr>
          <w:rFonts w:hint="default"/>
          <w:sz w:val="21"/>
          <w:szCs w:val="24"/>
        </w:rPr>
        <w:t>23</w:t>
      </w:r>
      <w:r>
        <w:rPr>
          <w:rFonts w:hint="eastAsia"/>
          <w:sz w:val="21"/>
          <w:szCs w:val="24"/>
        </w:rPr>
        <w:t>、投资性房地产</w:t>
      </w:r>
    </w:p>
    <w:p>
      <w:pPr>
        <w:jc w:val="left"/>
        <w:rPr>
          <w:rFonts w:hint="default"/>
          <w:sz w:val="18"/>
          <w:szCs w:val="24"/>
        </w:rPr>
      </w:pPr>
      <w:r>
        <w:rPr>
          <w:rFonts w:hint="eastAsia"/>
          <w:sz w:val="18"/>
          <w:szCs w:val="24"/>
        </w:rPr>
        <w:t>投资性房地产计量模式</w:t>
      </w:r>
    </w:p>
    <w:p>
      <w:pPr>
        <w:jc w:val="left"/>
        <w:rPr>
          <w:rFonts w:hint="default"/>
          <w:sz w:val="18"/>
          <w:szCs w:val="24"/>
        </w:rPr>
      </w:pPr>
      <w:r>
        <w:rPr>
          <w:rFonts w:hint="eastAsia"/>
          <w:sz w:val="18"/>
          <w:szCs w:val="24"/>
        </w:rPr>
        <w:t>成本法计量</w:t>
      </w:r>
    </w:p>
    <w:p>
      <w:pPr>
        <w:jc w:val="left"/>
        <w:rPr>
          <w:rFonts w:hint="default"/>
          <w:sz w:val="18"/>
          <w:szCs w:val="24"/>
        </w:rPr>
      </w:pPr>
      <w:r>
        <w:rPr>
          <w:rFonts w:hint="eastAsia"/>
          <w:sz w:val="18"/>
          <w:szCs w:val="24"/>
        </w:rPr>
        <w:t>折旧或摊销方法</w:t>
      </w:r>
    </w:p>
    <w:p>
      <w:pPr>
        <w:autoSpaceDE w:val="0"/>
        <w:autoSpaceDN w:val="0"/>
        <w:adjustRightInd w:val="0"/>
        <w:spacing w:before="0" w:after="0"/>
        <w:ind w:firstLine="422"/>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、投资性房地产的种类和计量模式</w:t>
      </w:r>
    </w:p>
    <w:p>
      <w:pPr>
        <w:autoSpaceDE w:val="0"/>
        <w:autoSpaceDN w:val="0"/>
        <w:adjustRightInd w:val="0"/>
        <w:spacing w:before="0" w:after="0"/>
        <w:ind w:firstLine="422"/>
        <w:rPr>
          <w:rFonts w:hint="default" w:eastAsia="Times New Roman"/>
          <w:kern w:val="0"/>
          <w:sz w:val="21"/>
          <w:szCs w:val="24"/>
          <w:lang w:val="zh-CN"/>
        </w:rPr>
      </w:pPr>
      <w:r>
        <w:rPr>
          <w:rFonts w:hint="eastAsia" w:ascii="宋体" w:hAnsi="宋体" w:cs="宋体"/>
          <w:kern w:val="0"/>
          <w:sz w:val="21"/>
          <w:szCs w:val="24"/>
          <w:lang w:val="zh-CN"/>
        </w:rPr>
        <w:t>本公司投资性房地产的种类：出租的土地使用权、出租的建筑物、持有并准备增值后转让的土地使用权。</w:t>
      </w:r>
    </w:p>
    <w:p>
      <w:pPr>
        <w:autoSpaceDE w:val="0"/>
        <w:autoSpaceDN w:val="0"/>
        <w:adjustRightInd w:val="0"/>
        <w:spacing w:before="0" w:after="0"/>
        <w:ind w:firstLine="422"/>
        <w:rPr>
          <w:rFonts w:hint="default" w:eastAsia="Times New Roman"/>
          <w:kern w:val="0"/>
          <w:sz w:val="21"/>
          <w:szCs w:val="24"/>
          <w:lang w:val="zh-CN"/>
        </w:rPr>
      </w:pPr>
      <w:r>
        <w:rPr>
          <w:rFonts w:hint="eastAsia" w:ascii="宋体" w:hAnsi="宋体" w:cs="宋体"/>
          <w:kern w:val="0"/>
          <w:sz w:val="21"/>
          <w:szCs w:val="24"/>
          <w:lang w:val="zh-CN"/>
        </w:rPr>
        <w:t>本公司投资性房地产按照成本进行初始计量，采用成本模式进行后续计量。</w:t>
      </w:r>
    </w:p>
    <w:p>
      <w:pPr>
        <w:autoSpaceDE w:val="0"/>
        <w:autoSpaceDN w:val="0"/>
        <w:adjustRightInd w:val="0"/>
        <w:spacing w:before="0" w:after="0"/>
        <w:ind w:firstLine="422"/>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、采用成本模式核算政策</w:t>
      </w:r>
    </w:p>
    <w:p>
      <w:pPr>
        <w:autoSpaceDE w:val="0"/>
        <w:autoSpaceDN w:val="0"/>
        <w:adjustRightInd w:val="0"/>
        <w:spacing w:before="0" w:after="0"/>
        <w:ind w:firstLine="422"/>
        <w:rPr>
          <w:rFonts w:hint="default" w:eastAsia="Times New Roman"/>
          <w:kern w:val="0"/>
          <w:sz w:val="21"/>
          <w:szCs w:val="24"/>
          <w:lang w:val="zh-CN"/>
        </w:rPr>
      </w:pPr>
      <w:r>
        <w:rPr>
          <w:rFonts w:hint="eastAsia" w:ascii="宋体" w:hAnsi="宋体" w:cs="宋体"/>
          <w:kern w:val="0"/>
          <w:sz w:val="21"/>
          <w:szCs w:val="24"/>
          <w:lang w:val="zh-CN"/>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autoSpaceDE w:val="0"/>
        <w:autoSpaceDN w:val="0"/>
        <w:adjustRightInd w:val="0"/>
        <w:spacing w:before="0" w:after="0"/>
        <w:ind w:firstLine="436"/>
        <w:rPr>
          <w:rFonts w:hint="default" w:eastAsia="Times New Roman"/>
          <w:b/>
          <w:kern w:val="0"/>
          <w:sz w:val="21"/>
          <w:szCs w:val="24"/>
          <w:lang w:val="zh-CN"/>
        </w:rPr>
      </w:pPr>
      <w:r>
        <w:rPr>
          <w:rFonts w:hint="eastAsia" w:ascii="宋体" w:hAnsi="宋体" w:cs="宋体"/>
          <w:kern w:val="0"/>
          <w:sz w:val="21"/>
          <w:szCs w:val="24"/>
          <w:lang w:val="zh-CN"/>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pStyle w:val="8"/>
        <w:outlineLvl w:val="2"/>
        <w:rPr>
          <w:rFonts w:hint="default"/>
          <w:sz w:val="21"/>
          <w:szCs w:val="24"/>
        </w:rPr>
      </w:pPr>
      <w:r>
        <w:rPr>
          <w:rFonts w:hint="default"/>
          <w:sz w:val="21"/>
          <w:szCs w:val="24"/>
        </w:rPr>
        <w:t>24</w:t>
      </w:r>
      <w:r>
        <w:rPr>
          <w:rFonts w:hint="eastAsia"/>
          <w:sz w:val="21"/>
          <w:szCs w:val="24"/>
        </w:rPr>
        <w:t>、固定资产</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）确认条件</w:t>
      </w:r>
    </w:p>
    <w:p>
      <w:pPr>
        <w:jc w:val="left"/>
        <w:rPr>
          <w:rFonts w:hint="default"/>
          <w:sz w:val="18"/>
          <w:szCs w:val="24"/>
        </w:rPr>
      </w:pPr>
      <w:r>
        <w:rPr>
          <w:rFonts w:hint="eastAsia"/>
          <w:sz w:val="18"/>
          <w:szCs w:val="24"/>
        </w:rPr>
        <w:t>公司的固定资产是指为生产商品、提供劳务、出租或经营管理而持有且使用寿命超过一个会计年度的有形资产。同时满足下列条件的，确认为固定资产：（</w:t>
      </w:r>
      <w:r>
        <w:rPr>
          <w:rFonts w:hint="default"/>
          <w:sz w:val="18"/>
          <w:szCs w:val="24"/>
        </w:rPr>
        <w:t>1</w:t>
      </w:r>
      <w:r>
        <w:rPr>
          <w:rFonts w:hint="eastAsia"/>
          <w:sz w:val="18"/>
          <w:szCs w:val="24"/>
        </w:rPr>
        <w:t>）与该固定资产有关的经济利益很可能流入企业；（</w:t>
      </w:r>
      <w:r>
        <w:rPr>
          <w:rFonts w:hint="default"/>
          <w:sz w:val="18"/>
          <w:szCs w:val="24"/>
        </w:rPr>
        <w:t>2</w:t>
      </w:r>
      <w:r>
        <w:rPr>
          <w:rFonts w:hint="eastAsia"/>
          <w:sz w:val="18"/>
          <w:szCs w:val="24"/>
        </w:rPr>
        <w:t>）该固定资产的成本能够可靠计量。固定资产在取得时按取得时的成本入账。取得成本包括购买价款、相关税费、使固定资产达到预定可使用状态前的发生的可归属于该项资产的运输费、装卸费、安装费和专业人员服务费等。</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）折旧方法</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折旧方法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折旧年限</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残值率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房屋及建筑物</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机器设备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5</w:t>
            </w:r>
            <w:r>
              <w:rPr>
                <w:rFonts w:hint="eastAsia"/>
                <w:sz w:val="18"/>
                <w:szCs w:val="24"/>
              </w:rPr>
              <w:t>－</w:t>
            </w:r>
            <w:r>
              <w:rPr>
                <w:rFonts w:hint="default"/>
                <w:sz w:val="18"/>
                <w:szCs w:val="24"/>
              </w:rPr>
              <w:t>10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5</w:t>
            </w:r>
            <w:r>
              <w:rPr>
                <w:rFonts w:hint="eastAsia"/>
                <w:sz w:val="18"/>
                <w:szCs w:val="24"/>
              </w:rPr>
              <w:t>－</w:t>
            </w:r>
            <w:r>
              <w:rPr>
                <w:rFonts w:hint="default"/>
                <w:sz w:val="18"/>
                <w:szCs w:val="24"/>
              </w:rPr>
              <w:t>15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6.33%—19.00%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运输工具</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19.00%—23.75%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电子设备及其他</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19.00%—31.67%</w:t>
            </w:r>
          </w:p>
        </w:tc>
      </w:tr>
    </w:tbl>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本公司固定资产主要分为：房屋及建筑物、机器设备、运输工具、电子设备等。采用直线法计提折旧，并按各类固定资产原值和估计的使用年限扣除残值（原值的</w:t>
      </w:r>
      <w:r>
        <w:rPr>
          <w:rFonts w:hint="default" w:eastAsia="Times New Roman"/>
          <w:kern w:val="0"/>
          <w:sz w:val="21"/>
          <w:szCs w:val="24"/>
          <w:lang w:val="zh-CN"/>
        </w:rPr>
        <w:t>5%</w:t>
      </w:r>
      <w:r>
        <w:rPr>
          <w:rFonts w:hint="eastAsia" w:ascii="宋体" w:hAnsi="宋体" w:cs="宋体"/>
          <w:kern w:val="0"/>
          <w:sz w:val="21"/>
          <w:szCs w:val="24"/>
          <w:lang w:val="zh-CN"/>
        </w:rPr>
        <w:t>），确定其折旧率。</w:t>
      </w:r>
    </w:p>
    <w:p>
      <w:pPr>
        <w:autoSpaceDE w:val="0"/>
        <w:autoSpaceDN w:val="0"/>
        <w:adjustRightInd w:val="0"/>
        <w:spacing w:before="0" w:after="0"/>
        <w:jc w:val="left"/>
        <w:rPr>
          <w:rFonts w:hint="default" w:eastAsia="Times New Roman"/>
          <w:kern w:val="0"/>
          <w:sz w:val="18"/>
          <w:szCs w:val="24"/>
          <w:lang w:val="zh-CN"/>
        </w:rPr>
      </w:pPr>
      <w:r>
        <w:rPr>
          <w:rFonts w:hint="eastAsia" w:ascii="MS Mincho" w:hAnsi="MS Mincho" w:eastAsia="MS Mincho" w:cs="MS Mincho"/>
          <w:kern w:val="0"/>
          <w:sz w:val="18"/>
          <w:szCs w:val="24"/>
          <w:lang w:val="zh-CN"/>
        </w:rPr>
        <w:t>ﾔﾃﾄﾄｶﾖﾁ｣ｶｹｶﾗｲｵﾊﾓﾊﾃ｡ﾔｼｾｲﾖｺﾕｾｷｷｽﾐｸｺ｡ｹｶﾗｲｵﾊﾓﾊﾃ｡ﾔｼｾｲﾖｺﾕｾｷｷﾓﾒﾇｹｼﾓｲﾒｻﾖｴｸｱｵ｣ｷｱｽﾐｵﾕ｡</w:t>
      </w:r>
    </w:p>
    <w:p>
      <w:pPr>
        <w:autoSpaceDE w:val="0"/>
        <w:autoSpaceDN w:val="0"/>
        <w:adjustRightInd w:val="0"/>
        <w:spacing w:before="0" w:after="0"/>
        <w:jc w:val="left"/>
        <w:rPr>
          <w:rFonts w:hint="default" w:eastAsia="Times New Roman"/>
          <w:kern w:val="0"/>
          <w:sz w:val="21"/>
          <w:szCs w:val="24"/>
          <w:lang w:val="zh-CN"/>
        </w:rPr>
      </w:pP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）融资租入固定资产的认定依据、计价和折旧方法</w:t>
      </w:r>
    </w:p>
    <w:p>
      <w:pPr>
        <w:jc w:val="left"/>
        <w:rPr>
          <w:rFonts w:hint="default"/>
          <w:sz w:val="18"/>
          <w:szCs w:val="24"/>
        </w:rPr>
      </w:pPr>
      <w:r>
        <w:rPr>
          <w:rFonts w:hint="eastAsia"/>
          <w:sz w:val="18"/>
          <w:szCs w:val="24"/>
        </w:rPr>
        <w:t>本公司融资租入固定资产是指实质上转移了与资产所有权有关的全部风险和报酬的租赁，具体认定依据为符合下列一项或数项条件的：</w:t>
      </w:r>
      <w:r>
        <w:rPr>
          <w:rFonts w:hint="eastAsia" w:ascii="宋体" w:hAnsi="宋体" w:cs="宋体"/>
          <w:sz w:val="18"/>
          <w:szCs w:val="24"/>
        </w:rPr>
        <w:t>①</w:t>
      </w:r>
      <w:r>
        <w:rPr>
          <w:rFonts w:hint="eastAsia"/>
          <w:sz w:val="18"/>
          <w:szCs w:val="24"/>
        </w:rPr>
        <w:t>在租赁期届满时，租赁资产的所有权转移给承租人；</w:t>
      </w:r>
      <w:r>
        <w:rPr>
          <w:rFonts w:hint="eastAsia" w:ascii="宋体" w:hAnsi="宋体" w:cs="宋体"/>
          <w:sz w:val="18"/>
          <w:szCs w:val="24"/>
        </w:rPr>
        <w:t>②</w:t>
      </w:r>
      <w:r>
        <w:rPr>
          <w:rFonts w:hint="eastAsia"/>
          <w:sz w:val="18"/>
          <w:szCs w:val="24"/>
        </w:rPr>
        <w:t>承租人有购买租赁资产的选择权，所订立的购买价款预计将远低于行使选择权时租赁资产的公允价值，因而在租赁开始日就可以合理确定承租人会行使这种选择权；</w:t>
      </w:r>
      <w:r>
        <w:rPr>
          <w:rFonts w:hint="eastAsia" w:ascii="宋体" w:hAnsi="宋体" w:cs="宋体"/>
          <w:sz w:val="18"/>
          <w:szCs w:val="24"/>
        </w:rPr>
        <w:t>③</w:t>
      </w:r>
      <w:r>
        <w:rPr>
          <w:rFonts w:hint="eastAsia"/>
          <w:sz w:val="18"/>
          <w:szCs w:val="24"/>
        </w:rPr>
        <w:t>即使资产的所有权不转移，但租赁期占租赁资产使用寿命的大部分；</w:t>
      </w:r>
      <w:r>
        <w:rPr>
          <w:rFonts w:hint="eastAsia" w:ascii="宋体" w:hAnsi="宋体" w:cs="宋体"/>
          <w:sz w:val="18"/>
          <w:szCs w:val="24"/>
        </w:rPr>
        <w:t>④</w:t>
      </w:r>
      <w:r>
        <w:rPr>
          <w:rFonts w:hint="eastAsia"/>
          <w:sz w:val="18"/>
          <w:szCs w:val="24"/>
        </w:rPr>
        <w:t>承租人在租赁开始日的最低租赁付款额现值，几乎相当于租赁开始日租赁资产公允价值；</w:t>
      </w:r>
      <w:r>
        <w:rPr>
          <w:rFonts w:hint="eastAsia" w:ascii="宋体" w:hAnsi="宋体" w:cs="宋体"/>
          <w:sz w:val="18"/>
          <w:szCs w:val="24"/>
        </w:rPr>
        <w:t>⑤</w:t>
      </w:r>
      <w:r>
        <w:rPr>
          <w:rFonts w:hint="eastAsia"/>
          <w:sz w:val="18"/>
          <w:szCs w:val="24"/>
        </w:rPr>
        <w:t>租赁资产性质特殊，如不作较大改造只有承租人才能使用。本公司融资租入固定资产的计价方法：融资租入固定资产初始计价为租赁期开始日租赁资产公允价值与最低租赁付款额现值较低者作为入账价值；融资租入固定资产后续计价采用与自有固定资产相一致的折旧政策计提折旧及减值准备。（</w:t>
      </w:r>
      <w:r>
        <w:rPr>
          <w:rFonts w:hint="default"/>
          <w:sz w:val="18"/>
          <w:szCs w:val="24"/>
        </w:rPr>
        <w:t>4</w:t>
      </w:r>
      <w:r>
        <w:rPr>
          <w:rFonts w:hint="eastAsia"/>
          <w:sz w:val="18"/>
          <w:szCs w:val="24"/>
        </w:rPr>
        <w:t>）固定资产处置当固定资产处置时或预期通过使用或处置不能产生经济利益时，终止确认该固定资产。固定资产出售、转让、报废或毁损的处置收入扣除其账面价值和相关税费后的差额计入当期损益。（</w:t>
      </w:r>
      <w:r>
        <w:rPr>
          <w:rFonts w:hint="default"/>
          <w:sz w:val="18"/>
          <w:szCs w:val="24"/>
        </w:rPr>
        <w:t>5</w:t>
      </w:r>
      <w:r>
        <w:rPr>
          <w:rFonts w:hint="eastAsia"/>
          <w:sz w:val="18"/>
          <w:szCs w:val="24"/>
        </w:rPr>
        <w:t>）固定资产的减值测试方法、减值准备计提方法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pStyle w:val="8"/>
        <w:outlineLvl w:val="2"/>
        <w:rPr>
          <w:rFonts w:hint="default"/>
          <w:sz w:val="21"/>
          <w:szCs w:val="24"/>
        </w:rPr>
      </w:pPr>
      <w:r>
        <w:rPr>
          <w:rFonts w:hint="default"/>
          <w:sz w:val="21"/>
          <w:szCs w:val="24"/>
        </w:rPr>
        <w:t>25</w:t>
      </w:r>
      <w:r>
        <w:rPr>
          <w:rFonts w:hint="eastAsia"/>
          <w:sz w:val="21"/>
          <w:szCs w:val="24"/>
        </w:rPr>
        <w:t>、在建工程</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、在建工程类别</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本公司在建工程分为自营方式建造和出包方式建造两种。</w:t>
      </w:r>
    </w:p>
    <w:p>
      <w:pPr>
        <w:autoSpaceDE w:val="0"/>
        <w:autoSpaceDN w:val="0"/>
        <w:adjustRightInd w:val="0"/>
        <w:spacing w:before="0" w:after="150"/>
        <w:ind w:firstLine="420"/>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、在建工程结转固定资产的标准和时点</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本公司在建工程在工程完工达到预定可使用状态时，结转固定资产。预定可使用状态的判断标准，应符合下列情况之一：</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）固定资产的实体建造（包括安装）工作已经全部完成或实质上已经全部完成；</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）已经试生产或试运行，并且其结果表明资产能够正常运行或能够稳定地生产出合格产品，或者试运行结果表明其能够正常运转或营业；</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）该项建造的固定资产上的支出金额很少或者几乎不再发生；</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）所购建的固定资产已经达到设计或合同要求，或与设计或合同要求基本相符。</w:t>
      </w:r>
    </w:p>
    <w:p>
      <w:pPr>
        <w:autoSpaceDE w:val="0"/>
        <w:autoSpaceDN w:val="0"/>
        <w:adjustRightInd w:val="0"/>
        <w:spacing w:before="0" w:after="0"/>
        <w:ind w:firstLine="420"/>
        <w:rPr>
          <w:rFonts w:hint="default" w:eastAsia="Times New Roman"/>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、在建工程减值测试方法、减值准备计提方法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在建工程可收回金额根据资产公允价值减去处置费用后的净额与资产预计未来现金流量的现值两者孰高确定。</w:t>
      </w:r>
    </w:p>
    <w:p>
      <w:pPr>
        <w:pStyle w:val="8"/>
        <w:outlineLvl w:val="2"/>
        <w:rPr>
          <w:rFonts w:hint="default"/>
          <w:sz w:val="21"/>
          <w:szCs w:val="24"/>
        </w:rPr>
      </w:pPr>
      <w:r>
        <w:rPr>
          <w:rFonts w:hint="default"/>
          <w:sz w:val="21"/>
          <w:szCs w:val="24"/>
        </w:rPr>
        <w:t>26</w:t>
      </w:r>
      <w:r>
        <w:rPr>
          <w:rFonts w:hint="eastAsia"/>
          <w:sz w:val="21"/>
          <w:szCs w:val="24"/>
        </w:rPr>
        <w:t>、借款费用</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、借款费用资本化的原则</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w:t>
      </w:r>
    </w:p>
    <w:p>
      <w:pPr>
        <w:autoSpaceDE w:val="0"/>
        <w:autoSpaceDN w:val="0"/>
        <w:adjustRightInd w:val="0"/>
        <w:spacing w:before="0" w:after="0"/>
        <w:ind w:left="420"/>
        <w:rPr>
          <w:rFonts w:hint="default" w:eastAsia="Times New Roman"/>
          <w:kern w:val="0"/>
          <w:sz w:val="21"/>
          <w:szCs w:val="24"/>
          <w:lang w:val="zh-CN"/>
        </w:rPr>
      </w:pPr>
      <w:r>
        <w:rPr>
          <w:rFonts w:hint="eastAsia" w:ascii="宋体" w:hAnsi="宋体" w:cs="宋体"/>
          <w:kern w:val="0"/>
          <w:sz w:val="21"/>
          <w:szCs w:val="24"/>
          <w:lang w:val="zh-CN"/>
        </w:rPr>
        <w:t>借款费用同时满足下列条件的，才能开始资本化：</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）资产支出已经发生，资产支出包括为购建符合资本化条件的资产而以支付现金、转移非现金资产或者承担带息债务形式发生的支出；</w:t>
      </w:r>
    </w:p>
    <w:p>
      <w:pPr>
        <w:autoSpaceDE w:val="0"/>
        <w:autoSpaceDN w:val="0"/>
        <w:adjustRightInd w:val="0"/>
        <w:spacing w:before="0" w:after="0"/>
        <w:ind w:left="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）借款费用已经发生；</w:t>
      </w:r>
    </w:p>
    <w:p>
      <w:pPr>
        <w:autoSpaceDE w:val="0"/>
        <w:autoSpaceDN w:val="0"/>
        <w:adjustRightInd w:val="0"/>
        <w:spacing w:before="0" w:after="0"/>
        <w:ind w:left="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）为使资产达到预定可使用状态所必要的购建活动已经开始。</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、资本化金额的计算方法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为购建符合资本化条件的资产而借入专门借款的，以专门借款当期实际发生的利息费用，减去将尚未动用的借款资金存入银行取得的利息收入或进行暂时性投资取得的投资收益后的金额确定。</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为购建符合资本化条件的资产而占用了一般借款的，根据累计资产支出超过专门借款部分的资产支出加权平均数乘以所占用一般借款的资本化率，计算确定一般借款应予资本化的利息金额。资本化率根据一般借款加权平均利率计算确认。</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符合资本化条件的资产在购建过程中发生非正常中断、且中断时间连续超过</w:t>
      </w:r>
      <w:r>
        <w:rPr>
          <w:rFonts w:hint="default" w:eastAsia="Times New Roman"/>
          <w:kern w:val="0"/>
          <w:sz w:val="21"/>
          <w:szCs w:val="24"/>
          <w:lang w:val="zh-CN"/>
        </w:rPr>
        <w:t>3</w:t>
      </w:r>
      <w:r>
        <w:rPr>
          <w:rFonts w:hint="eastAsia" w:ascii="宋体" w:hAnsi="宋体" w:cs="宋体"/>
          <w:kern w:val="0"/>
          <w:sz w:val="21"/>
          <w:szCs w:val="24"/>
          <w:lang w:val="zh-CN"/>
        </w:rPr>
        <w:t>个月的，暂停借款费用的资本化，在中断期间发生的借款费用，计入当期损益。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购建符合资本化条件的资产达到预定可使用状态之后所发生的借款费用，根据其发生额确认为费用，计入当期损益。</w:t>
      </w:r>
    </w:p>
    <w:p>
      <w:pPr>
        <w:pStyle w:val="8"/>
        <w:outlineLvl w:val="2"/>
        <w:rPr>
          <w:rFonts w:hint="default"/>
          <w:sz w:val="21"/>
          <w:szCs w:val="24"/>
        </w:rPr>
      </w:pPr>
      <w:r>
        <w:rPr>
          <w:rFonts w:hint="default"/>
          <w:sz w:val="21"/>
          <w:szCs w:val="24"/>
        </w:rPr>
        <w:t>27</w:t>
      </w:r>
      <w:r>
        <w:rPr>
          <w:rFonts w:hint="eastAsia"/>
          <w:sz w:val="21"/>
          <w:szCs w:val="24"/>
        </w:rPr>
        <w:t>、生物资产</w:t>
      </w:r>
    </w:p>
    <w:p>
      <w:pPr>
        <w:pStyle w:val="8"/>
        <w:outlineLvl w:val="2"/>
        <w:rPr>
          <w:rFonts w:hint="default"/>
          <w:sz w:val="21"/>
          <w:szCs w:val="24"/>
        </w:rPr>
      </w:pPr>
      <w:r>
        <w:rPr>
          <w:rFonts w:hint="default"/>
          <w:sz w:val="21"/>
          <w:szCs w:val="24"/>
        </w:rPr>
        <w:t>28</w:t>
      </w:r>
      <w:r>
        <w:rPr>
          <w:rFonts w:hint="eastAsia"/>
          <w:sz w:val="21"/>
          <w:szCs w:val="24"/>
        </w:rPr>
        <w:t>、油气资产</w:t>
      </w:r>
    </w:p>
    <w:p>
      <w:pPr>
        <w:pStyle w:val="8"/>
        <w:outlineLvl w:val="2"/>
        <w:rPr>
          <w:rFonts w:hint="default"/>
          <w:sz w:val="21"/>
          <w:szCs w:val="24"/>
        </w:rPr>
      </w:pPr>
      <w:r>
        <w:rPr>
          <w:rFonts w:hint="default"/>
          <w:sz w:val="21"/>
          <w:szCs w:val="24"/>
        </w:rPr>
        <w:t>29</w:t>
      </w:r>
      <w:r>
        <w:rPr>
          <w:rFonts w:hint="eastAsia"/>
          <w:sz w:val="21"/>
          <w:szCs w:val="24"/>
        </w:rPr>
        <w:t>、使用权资产</w:t>
      </w:r>
    </w:p>
    <w:p>
      <w:pPr>
        <w:pStyle w:val="8"/>
        <w:outlineLvl w:val="2"/>
        <w:rPr>
          <w:rFonts w:hint="default"/>
          <w:sz w:val="21"/>
          <w:szCs w:val="24"/>
        </w:rPr>
      </w:pPr>
      <w:r>
        <w:rPr>
          <w:rFonts w:hint="default"/>
          <w:sz w:val="21"/>
          <w:szCs w:val="24"/>
        </w:rPr>
        <w:t>30</w:t>
      </w:r>
      <w:r>
        <w:rPr>
          <w:rFonts w:hint="eastAsia"/>
          <w:sz w:val="21"/>
          <w:szCs w:val="24"/>
        </w:rPr>
        <w:t>、无形资产</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）计价方法、使用寿命、减值测试</w:t>
      </w:r>
    </w:p>
    <w:p>
      <w:pPr>
        <w:autoSpaceDE w:val="0"/>
        <w:autoSpaceDN w:val="0"/>
        <w:adjustRightInd w:val="0"/>
        <w:spacing w:before="0" w:after="0"/>
        <w:ind w:firstLine="436"/>
        <w:rPr>
          <w:rFonts w:hint="default" w:eastAsia="Times New Roman"/>
          <w:b/>
          <w:kern w:val="0"/>
          <w:sz w:val="21"/>
          <w:szCs w:val="24"/>
          <w:lang w:val="zh-CN"/>
        </w:rPr>
      </w:pPr>
      <w:r>
        <w:rPr>
          <w:rFonts w:hint="eastAsia" w:ascii="宋体" w:hAnsi="宋体" w:cs="宋体"/>
          <w:kern w:val="0"/>
          <w:sz w:val="21"/>
          <w:szCs w:val="24"/>
          <w:lang w:val="zh-CN"/>
        </w:rPr>
        <w:t>无形资产是指本公司拥有或者控制的没有实物形态的可辨认非货币性资产。</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、无形资产的计价方法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、无形资产使用寿命的确定及复核</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）公司无形资产源自合同性权利或其他法定权利，且合同规定或法律规定有明确的使用年限，其使用寿命按照合同性权利或其他法定权利的期限确定。</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）没有明确的合同或法律规定的无形资产</w:t>
      </w:r>
      <w:r>
        <w:rPr>
          <w:rFonts w:hint="default" w:eastAsia="Times New Roman"/>
          <w:kern w:val="0"/>
          <w:sz w:val="21"/>
          <w:szCs w:val="24"/>
          <w:lang w:val="zh-CN"/>
        </w:rPr>
        <w:t>,</w:t>
      </w:r>
      <w:r>
        <w:rPr>
          <w:rFonts w:hint="eastAsia" w:ascii="宋体" w:hAnsi="宋体" w:cs="宋体"/>
          <w:kern w:val="0"/>
          <w:sz w:val="21"/>
          <w:szCs w:val="24"/>
          <w:lang w:val="zh-CN"/>
        </w:rPr>
        <w:t>公司综合以下各方面情况</w:t>
      </w:r>
      <w:r>
        <w:rPr>
          <w:rFonts w:hint="default" w:eastAsia="Times New Roman"/>
          <w:kern w:val="0"/>
          <w:sz w:val="21"/>
          <w:szCs w:val="24"/>
          <w:lang w:val="zh-CN"/>
        </w:rPr>
        <w:t>,</w:t>
      </w:r>
      <w:r>
        <w:rPr>
          <w:rFonts w:hint="eastAsia" w:ascii="宋体" w:hAnsi="宋体" w:cs="宋体"/>
          <w:kern w:val="0"/>
          <w:sz w:val="21"/>
          <w:szCs w:val="24"/>
          <w:lang w:val="zh-CN"/>
        </w:rPr>
        <w:t>来确定无形资产为公司带来未来经济利益的期限。</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①运用该资产生产的产品通常的寿命周期、可获得的类似资产使用寿命的信息；</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②技术、工艺等方面的现阶段情况及对未来发展趋势的估计；</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③以该资产生产的产品或提供劳务的市场需求情况；</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④现在或潜在的竞争者预期采取的行动；</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⑤为维持该资产带来经济利益能力的预期维护支出，以及公司预计支付有关支出的能力；</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⑥与公司持有其他资产使用寿命的关联性等。</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如果经过上述努力确实无法合理确定无形资产为公司带来经济利益的期限</w:t>
      </w:r>
      <w:r>
        <w:rPr>
          <w:rFonts w:hint="default" w:eastAsia="Times New Roman"/>
          <w:kern w:val="0"/>
          <w:sz w:val="21"/>
          <w:szCs w:val="24"/>
          <w:lang w:val="zh-CN"/>
        </w:rPr>
        <w:t>,</w:t>
      </w:r>
      <w:r>
        <w:rPr>
          <w:rFonts w:hint="eastAsia" w:ascii="宋体" w:hAnsi="宋体" w:cs="宋体"/>
          <w:kern w:val="0"/>
          <w:sz w:val="21"/>
          <w:szCs w:val="24"/>
          <w:lang w:val="zh-CN"/>
        </w:rPr>
        <w:t>则将其作为使用寿命不确定的无形资产。</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）根据可获得的情况判断</w:t>
      </w:r>
      <w:r>
        <w:rPr>
          <w:rFonts w:hint="default" w:eastAsia="Times New Roman"/>
          <w:kern w:val="0"/>
          <w:sz w:val="21"/>
          <w:szCs w:val="24"/>
          <w:lang w:val="zh-CN"/>
        </w:rPr>
        <w:t>,</w:t>
      </w:r>
      <w:r>
        <w:rPr>
          <w:rFonts w:hint="eastAsia" w:ascii="宋体" w:hAnsi="宋体" w:cs="宋体"/>
          <w:kern w:val="0"/>
          <w:sz w:val="21"/>
          <w:szCs w:val="24"/>
          <w:lang w:val="zh-CN"/>
        </w:rPr>
        <w:t>有确凿证据表明无法合理估计其使用寿命的无形资产</w:t>
      </w:r>
      <w:r>
        <w:rPr>
          <w:rFonts w:hint="default" w:eastAsia="Times New Roman"/>
          <w:kern w:val="0"/>
          <w:sz w:val="21"/>
          <w:szCs w:val="24"/>
          <w:lang w:val="zh-CN"/>
        </w:rPr>
        <w:t>,</w:t>
      </w:r>
      <w:r>
        <w:rPr>
          <w:rFonts w:hint="eastAsia" w:ascii="宋体" w:hAnsi="宋体" w:cs="宋体"/>
          <w:kern w:val="0"/>
          <w:sz w:val="21"/>
          <w:szCs w:val="24"/>
          <w:lang w:val="zh-CN"/>
        </w:rPr>
        <w:t>作为使用寿命不确定的无形资产。如果期末重新复核后仍为不确定的</w:t>
      </w:r>
      <w:r>
        <w:rPr>
          <w:rFonts w:hint="default" w:eastAsia="Times New Roman"/>
          <w:kern w:val="0"/>
          <w:sz w:val="21"/>
          <w:szCs w:val="24"/>
          <w:lang w:val="zh-CN"/>
        </w:rPr>
        <w:t>,</w:t>
      </w:r>
      <w:r>
        <w:rPr>
          <w:rFonts w:hint="eastAsia" w:ascii="宋体" w:hAnsi="宋体" w:cs="宋体"/>
          <w:kern w:val="0"/>
          <w:sz w:val="21"/>
          <w:szCs w:val="24"/>
          <w:lang w:val="zh-CN"/>
        </w:rPr>
        <w:t>公司在每个会计期间进行减值测试，严格按照计提资产减值核算方法的规定处理</w:t>
      </w:r>
      <w:r>
        <w:rPr>
          <w:rFonts w:hint="default" w:eastAsia="Times New Roman"/>
          <w:kern w:val="0"/>
          <w:sz w:val="21"/>
          <w:szCs w:val="24"/>
          <w:lang w:val="zh-CN"/>
        </w:rPr>
        <w:t>,</w:t>
      </w:r>
      <w:r>
        <w:rPr>
          <w:rFonts w:hint="eastAsia" w:ascii="宋体" w:hAnsi="宋体" w:cs="宋体"/>
          <w:kern w:val="0"/>
          <w:sz w:val="21"/>
          <w:szCs w:val="24"/>
          <w:lang w:val="zh-CN"/>
        </w:rPr>
        <w:t>需要计提减值准备的</w:t>
      </w:r>
      <w:r>
        <w:rPr>
          <w:rFonts w:hint="default" w:eastAsia="Times New Roman"/>
          <w:kern w:val="0"/>
          <w:sz w:val="21"/>
          <w:szCs w:val="24"/>
          <w:lang w:val="zh-CN"/>
        </w:rPr>
        <w:t>,</w:t>
      </w:r>
      <w:r>
        <w:rPr>
          <w:rFonts w:hint="eastAsia" w:ascii="宋体" w:hAnsi="宋体" w:cs="宋体"/>
          <w:kern w:val="0"/>
          <w:sz w:val="21"/>
          <w:szCs w:val="24"/>
          <w:lang w:val="zh-CN"/>
        </w:rPr>
        <w:t>相应计提有关的减值准备。</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）公司于每年年度终了，对使用寿命有限的无形资产的使用寿命及未来经济利益消耗方式进行复核。无形资产的预计使用寿命及未来经济利益的预期消耗方式与以前估计不同的，相应改变摊销期限和摊销方法。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公司在每个会计期间对使用寿命不确定的无形资产的使用寿命进行复核。如果有证据表明无形资产的使用寿命是有限的，估计其使用寿命，并按其估计使用寿命进行摊销。</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、无形资产的减值测试方法及减值准备计提方法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无形资产可收回金额根据资产公允价值减去处置费用后的净额与资产预计未来现金流量的现值两者孰高确定。</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无形资产减值准备的计提按照资产减值核算方法处理。无形资产减值损失一经确认在以后会计期间不再转回，当该项资产处置时予以转出。</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）内部研究开发支出会计政策</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公司将研究开发项目区分为研究阶段与开发阶段。公司划分内部研究开发项目研究阶段支出和开发阶段支出的具体标准为：为获取新的技术和知识等进行的有计划的调查阶段，确定为研究阶段，该阶段具有计划性和探索性等特点；在进行商业性生产或使用前，将研究成果或其他知识应用于某项计划或设计，以生产出新的或具有实质性改进的材料、装置、产品等阶段，确定为开发阶段，该阶段具有针对性和形成成果的可能性较大等特点。</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公司自行研究开发的无形资产，其研究阶段的支出，于发生时计入当期损益；其开发阶段的支出，同时满足下列条件的，确认为无形资产（专利技术和非专利技术）：</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）完成该无形资产以使其能够使用或出售在技术上具有可行性；</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）具有完成该无形资产并使用或出售的意图；</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）无形资产产生经济利益的方式，包括能够证明运用该无形资产生产的产品存在市场或无形资产自身存在市场，无形资产将在内部使用的，证明其有用性；</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）有足够的技术、财务资源和其他资源支持，以完成该无形资产的开发，并有能力使用或出售该无形资产；</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5</w:t>
      </w:r>
      <w:r>
        <w:rPr>
          <w:rFonts w:hint="eastAsia" w:ascii="宋体" w:hAnsi="宋体" w:cs="宋体"/>
          <w:kern w:val="0"/>
          <w:sz w:val="21"/>
          <w:szCs w:val="24"/>
          <w:lang w:val="zh-CN"/>
        </w:rPr>
        <w:t>）归属于该无形资产开发阶段的支出能够可靠地计量；</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无法区分研究阶段支出和开发阶段支出的，将发生的研发支出全部计入当期损益。</w:t>
      </w:r>
    </w:p>
    <w:p>
      <w:pPr>
        <w:pStyle w:val="8"/>
        <w:outlineLvl w:val="2"/>
        <w:rPr>
          <w:rFonts w:hint="default"/>
          <w:sz w:val="21"/>
          <w:szCs w:val="24"/>
        </w:rPr>
      </w:pPr>
      <w:r>
        <w:rPr>
          <w:rFonts w:hint="default"/>
          <w:sz w:val="21"/>
          <w:szCs w:val="24"/>
        </w:rPr>
        <w:t>31</w:t>
      </w:r>
      <w:r>
        <w:rPr>
          <w:rFonts w:hint="eastAsia"/>
          <w:sz w:val="21"/>
          <w:szCs w:val="24"/>
        </w:rPr>
        <w:t>、长期资产减值</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1</w:t>
      </w:r>
      <w:r>
        <w:rPr>
          <w:rFonts w:hint="eastAsia" w:ascii="宋体" w:hAnsi="宋体" w:cs="宋体"/>
          <w:kern w:val="0"/>
          <w:sz w:val="21"/>
          <w:szCs w:val="24"/>
          <w:lang w:val="zh-CN"/>
        </w:rPr>
        <w:t>、在资产负债表日公司对各项资产（除存货、递延所得税资产、融资租赁中出租人未担保余值、金融资产、长期股权投资以外的资产）进行检查，判断是否存在可能发生减值的迹象。当存在下列迹象时，表明资产可能发生了减值：</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）资产的市价当期大幅度下跌，其跌幅明显高于因时间的推移或者正常使用而预计的下跌；</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）公司经营所处的经济、技术或者法律等环境以及资产所处的市场在当期或者将在近期发生重大变化，从而对公司产生不利影响；</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）市场利率或者其他市场投资报酬率在当期已经提高，从而影响公司计算资产预计未来现金流量现值的折现率，导致资产可收回金额大幅度降低；</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）有证据表明资产已经陈旧过时或者其实体已经损坏；</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5</w:t>
      </w:r>
      <w:r>
        <w:rPr>
          <w:rFonts w:hint="eastAsia" w:ascii="宋体" w:hAnsi="宋体" w:cs="宋体"/>
          <w:kern w:val="0"/>
          <w:sz w:val="21"/>
          <w:szCs w:val="24"/>
          <w:lang w:val="zh-CN"/>
        </w:rPr>
        <w:t>）资产已经或者将被闲置、终止使用或者计划提前处置；</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6</w:t>
      </w:r>
      <w:r>
        <w:rPr>
          <w:rFonts w:hint="eastAsia" w:ascii="宋体" w:hAnsi="宋体" w:cs="宋体"/>
          <w:kern w:val="0"/>
          <w:sz w:val="21"/>
          <w:szCs w:val="24"/>
          <w:lang w:val="zh-CN"/>
        </w:rPr>
        <w:t>）公司内部报告的证据表明资产的经济绩效已经低于或者将低于预期，如资产所创造的净现金流量或者实现的营业利润（或者亏损）远远低于（或者高于）预计金额等；</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7</w:t>
      </w:r>
      <w:r>
        <w:rPr>
          <w:rFonts w:hint="eastAsia" w:ascii="宋体" w:hAnsi="宋体" w:cs="宋体"/>
          <w:kern w:val="0"/>
          <w:sz w:val="21"/>
          <w:szCs w:val="24"/>
          <w:lang w:val="zh-CN"/>
        </w:rPr>
        <w:t>）其他表明资产可能已经发生减值的迹象。</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w:t>
      </w:r>
      <w:r>
        <w:rPr>
          <w:rFonts w:hint="eastAsia" w:ascii="宋体" w:hAnsi="宋体" w:cs="宋体"/>
          <w:kern w:val="0"/>
          <w:sz w:val="21"/>
          <w:szCs w:val="24"/>
          <w:lang w:val="zh-CN"/>
        </w:rPr>
        <w:t>、有迹象表明一项资产可能发生减值的，以单项资产为基础估计其可收回金额；难以对单项资产的可收回金额进行估计的，以该资产所属的资产组或资产组组合为基础确定其可收回金额。因企业合并所形成的商誉和使用寿命不确定的无形资产，无论是否存在减值迹象，每年均进行减值测试。</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3</w:t>
      </w:r>
      <w:r>
        <w:rPr>
          <w:rFonts w:hint="eastAsia" w:ascii="宋体" w:hAnsi="宋体" w:cs="宋体"/>
          <w:kern w:val="0"/>
          <w:sz w:val="21"/>
          <w:szCs w:val="24"/>
          <w:lang w:val="zh-CN"/>
        </w:rPr>
        <w:t>、可收回金额根据单项资产、资产组或资产组组合的公允价值减去处置费用后的净额与其预计未来现金流量的现值两者之间较高者确定。</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4</w:t>
      </w:r>
      <w:r>
        <w:rPr>
          <w:rFonts w:hint="eastAsia" w:ascii="宋体" w:hAnsi="宋体" w:cs="宋体"/>
          <w:kern w:val="0"/>
          <w:sz w:val="21"/>
          <w:szCs w:val="24"/>
          <w:lang w:val="zh-CN"/>
        </w:rPr>
        <w:t>、单项资产的可收回金额低于其账面价值的，按单项资产的账面价值与可收回金额的差额计提相应的资产减值准备。资产组或资产组组合的可收回金额低于其账面价值的（总部资产和商誉分摊至某资产组或资产组组合的，该资产组或资产组组合的账面价值应当包括相关总部资产和商誉的分摊额），确认其相应的减值损失。减值损失金额先抵减分摊至资产组或资产组组合中商誉的账面价值，再根据资产组或资产组组合中除商誉之外的其他各项资产的账面价值所占比重，按比例抵减其他各项资产的账面价值；以上资产账面价值的抵减，作为各单项资产（包括商誉）的减值损失，计提各单项资产的减值准备。</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5</w:t>
      </w:r>
      <w:r>
        <w:rPr>
          <w:rFonts w:hint="eastAsia" w:ascii="宋体" w:hAnsi="宋体" w:cs="宋体"/>
          <w:kern w:val="0"/>
          <w:sz w:val="21"/>
          <w:szCs w:val="24"/>
          <w:lang w:val="zh-CN"/>
        </w:rPr>
        <w:t>、上述资产减值损失一经确认，在以后会计期间不予转回。</w:t>
      </w:r>
    </w:p>
    <w:p>
      <w:pPr>
        <w:autoSpaceDE w:val="0"/>
        <w:autoSpaceDN w:val="0"/>
        <w:adjustRightInd w:val="0"/>
        <w:spacing w:before="0" w:after="0"/>
        <w:ind w:firstLine="496"/>
        <w:rPr>
          <w:rFonts w:hint="default" w:eastAsia="Times New Roman"/>
          <w:b/>
          <w:kern w:val="0"/>
          <w:sz w:val="24"/>
          <w:szCs w:val="24"/>
          <w:lang w:val="zh-CN"/>
        </w:rPr>
      </w:pPr>
      <w:r>
        <w:rPr>
          <w:rFonts w:hint="eastAsia" w:ascii="宋体" w:hAnsi="宋体" w:cs="宋体"/>
          <w:b/>
          <w:kern w:val="0"/>
          <w:sz w:val="24"/>
          <w:szCs w:val="24"/>
          <w:lang w:val="zh-CN"/>
        </w:rPr>
        <w:t>非货币性资产交换</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如果非货币性资产交换具有商业实质，并且换入资产或换出资产的公允价值能够可靠地计量，非货币性资产交换以公允价值为基础计量。对于换入资产，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以换入资产的公允价值和应支付的相关税费作为换入资产的初始计量金额；对于换出资产，在终止确认时，将换入资产的公允价值与换出资产账面价值之间的差额计入当期损益。</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不满足以公允价值为基础计量的条件的非货币性资产交换，以账面价值为基础计量。对于换入资产，以换出资产的账面价值和应支付的相关税费作为换入资产的初始计量金额；对于换出资产，终止确认时不确认损益。</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非货币性资产交换同时换入多项资产的，如果以公允价值为基础计量，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非货币性资产交换同时换出多项资产的，如果以公允价值为基础计量，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autoSpaceDE w:val="0"/>
        <w:autoSpaceDN w:val="0"/>
        <w:adjustRightInd w:val="0"/>
        <w:spacing w:before="0" w:after="0"/>
        <w:ind w:firstLine="436"/>
        <w:rPr>
          <w:rFonts w:hint="default" w:eastAsia="Times New Roman"/>
          <w:kern w:val="0"/>
          <w:sz w:val="21"/>
          <w:szCs w:val="24"/>
          <w:lang w:val="zh-CN"/>
        </w:rPr>
      </w:pPr>
    </w:p>
    <w:p>
      <w:pPr>
        <w:pStyle w:val="8"/>
        <w:outlineLvl w:val="2"/>
        <w:rPr>
          <w:rFonts w:hint="default"/>
          <w:sz w:val="21"/>
          <w:szCs w:val="24"/>
        </w:rPr>
      </w:pPr>
      <w:r>
        <w:rPr>
          <w:rFonts w:hint="default"/>
          <w:sz w:val="21"/>
          <w:szCs w:val="24"/>
        </w:rPr>
        <w:t>32</w:t>
      </w:r>
      <w:r>
        <w:rPr>
          <w:rFonts w:hint="eastAsia"/>
          <w:sz w:val="21"/>
          <w:szCs w:val="24"/>
        </w:rPr>
        <w:t>、长期待摊费用</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长期待摊费用按实际发生额核算，在项目受益期内平均摊销。如果长期摊销的费用项目不能使以后会计期间受益的，将尚未摊销的该项目的摊余价值全部转入当期损益。</w:t>
      </w:r>
    </w:p>
    <w:p>
      <w:pPr>
        <w:pStyle w:val="8"/>
        <w:outlineLvl w:val="2"/>
        <w:rPr>
          <w:rFonts w:hint="default"/>
          <w:sz w:val="21"/>
          <w:szCs w:val="24"/>
        </w:rPr>
      </w:pPr>
      <w:r>
        <w:rPr>
          <w:rFonts w:hint="default"/>
          <w:sz w:val="21"/>
          <w:szCs w:val="24"/>
        </w:rPr>
        <w:t>33</w:t>
      </w:r>
      <w:r>
        <w:rPr>
          <w:rFonts w:hint="eastAsia"/>
          <w:sz w:val="21"/>
          <w:szCs w:val="24"/>
        </w:rPr>
        <w:t>、合同负债</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pStyle w:val="8"/>
        <w:outlineLvl w:val="2"/>
        <w:rPr>
          <w:rFonts w:hint="default"/>
          <w:sz w:val="21"/>
          <w:szCs w:val="24"/>
        </w:rPr>
      </w:pPr>
      <w:r>
        <w:rPr>
          <w:rFonts w:hint="default"/>
          <w:sz w:val="21"/>
          <w:szCs w:val="24"/>
        </w:rPr>
        <w:t>34</w:t>
      </w:r>
      <w:r>
        <w:rPr>
          <w:rFonts w:hint="eastAsia"/>
          <w:sz w:val="21"/>
          <w:szCs w:val="24"/>
        </w:rPr>
        <w:t>、职工薪酬</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）短期薪酬的会计处理方法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职工薪酬是本公司为获得职工提供的服务而给予的各种形式报酬以及其他相关支出，包括短期薪酬、离职后福利、辞退福利和其他长期福利。</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短期薪酬包括短期工资、奖金、津贴、补贴、职工福利费、住房公积金、工会经费和职工教育经费、医疗保险费、工伤保险费、生育保险费、短期带薪缺勤、短期利润分享计划等。</w:t>
      </w:r>
      <w:r>
        <w:rPr>
          <w:rFonts w:hint="eastAsia" w:ascii="宋体" w:hAnsi="宋体" w:cs="宋体"/>
          <w:kern w:val="0"/>
          <w:sz w:val="21"/>
          <w:szCs w:val="24"/>
          <w:lang w:val="en-AU"/>
        </w:rPr>
        <w:t>在职工提供服务的会计期间，将实际发生的应付的短期薪酬确认为负债，并按照受益对象</w:t>
      </w:r>
      <w:r>
        <w:rPr>
          <w:rFonts w:hint="eastAsia" w:ascii="宋体" w:hAnsi="宋体" w:cs="宋体"/>
          <w:kern w:val="0"/>
          <w:sz w:val="21"/>
          <w:szCs w:val="24"/>
          <w:lang w:val="zh-CN"/>
        </w:rPr>
        <w:t>按照权责发生制原则</w:t>
      </w:r>
      <w:r>
        <w:rPr>
          <w:rFonts w:hint="eastAsia" w:ascii="宋体" w:hAnsi="宋体" w:cs="宋体"/>
          <w:kern w:val="0"/>
          <w:sz w:val="21"/>
          <w:szCs w:val="24"/>
          <w:lang w:val="en-AU"/>
        </w:rPr>
        <w:t>计入当期损益或相关资产成本。</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）离职后福利的会计处理方法</w:t>
      </w:r>
    </w:p>
    <w:p>
      <w:pPr>
        <w:autoSpaceDE w:val="0"/>
        <w:autoSpaceDN w:val="0"/>
        <w:adjustRightInd w:val="0"/>
        <w:spacing w:before="0" w:after="0"/>
        <w:ind w:firstLine="440"/>
        <w:rPr>
          <w:rFonts w:hint="default" w:eastAsia="Times New Roman"/>
          <w:kern w:val="0"/>
          <w:sz w:val="21"/>
          <w:szCs w:val="24"/>
          <w:lang w:val="zh-CN"/>
        </w:rPr>
      </w:pPr>
      <w:r>
        <w:rPr>
          <w:rFonts w:hint="eastAsia" w:ascii="宋体" w:hAnsi="宋体" w:cs="宋体"/>
          <w:kern w:val="0"/>
          <w:sz w:val="21"/>
          <w:szCs w:val="24"/>
          <w:lang w:val="en-AU"/>
        </w:rPr>
        <w:t>离职后福利主要包括基本养老保险费、企业年金等，按照公司承担的风险和义务，分类为设定提存计划、设定受益计划。设定提存计划：在根据在资产负债表日为换取职工在会计期间提供的服务而向单独主体缴存的提存金确认为负债，并按照受益对象计入当期损益或相关资产成本。</w:t>
      </w:r>
      <w:r>
        <w:rPr>
          <w:rFonts w:hint="eastAsia" w:ascii="宋体" w:hAnsi="宋体" w:cs="宋体"/>
          <w:kern w:val="0"/>
          <w:sz w:val="21"/>
          <w:szCs w:val="24"/>
          <w:lang w:val="zh-CN"/>
        </w:rPr>
        <w:t>设定受益计划：在半年和年度资产负债表日由独立精算师进行精算估值，以预期累积福利单位法确定提供福利的成本。本公司设定受益计划导致的职工薪酬成本包括下列组成部分：（</w:t>
      </w:r>
      <w:r>
        <w:rPr>
          <w:rFonts w:hint="default" w:eastAsia="Times New Roman"/>
          <w:kern w:val="0"/>
          <w:sz w:val="21"/>
          <w:szCs w:val="24"/>
          <w:lang w:val="zh-CN"/>
        </w:rPr>
        <w:t>1</w:t>
      </w:r>
      <w:r>
        <w:rPr>
          <w:rFonts w:hint="eastAsia" w:ascii="宋体" w:hAnsi="宋体" w:cs="宋体"/>
          <w:kern w:val="0"/>
          <w:sz w:val="21"/>
          <w:szCs w:val="24"/>
          <w:lang w:val="zh-CN"/>
        </w:rPr>
        <w:t>）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w:t>
      </w:r>
      <w:r>
        <w:rPr>
          <w:rFonts w:hint="default" w:eastAsia="Times New Roman"/>
          <w:kern w:val="0"/>
          <w:sz w:val="21"/>
          <w:szCs w:val="24"/>
          <w:lang w:val="zh-CN"/>
        </w:rPr>
        <w:t>2</w:t>
      </w:r>
      <w:r>
        <w:rPr>
          <w:rFonts w:hint="eastAsia" w:ascii="宋体" w:hAnsi="宋体" w:cs="宋体"/>
          <w:kern w:val="0"/>
          <w:sz w:val="21"/>
          <w:szCs w:val="24"/>
          <w:lang w:val="zh-CN"/>
        </w:rPr>
        <w:t>）设定受益义务的利息费用；（</w:t>
      </w:r>
      <w:r>
        <w:rPr>
          <w:rFonts w:hint="default" w:eastAsia="Times New Roman"/>
          <w:kern w:val="0"/>
          <w:sz w:val="21"/>
          <w:szCs w:val="24"/>
          <w:lang w:val="zh-CN"/>
        </w:rPr>
        <w:t>3</w:t>
      </w:r>
      <w:r>
        <w:rPr>
          <w:rFonts w:hint="eastAsia" w:ascii="宋体" w:hAnsi="宋体" w:cs="宋体"/>
          <w:kern w:val="0"/>
          <w:sz w:val="21"/>
          <w:szCs w:val="24"/>
          <w:lang w:val="zh-CN"/>
        </w:rPr>
        <w:t>）重新计量设定受益计划负债导致的变动。除非其他会计准则要求或允许职工福利成本计入资产成本，本公司将上述第（</w:t>
      </w:r>
      <w:r>
        <w:rPr>
          <w:rFonts w:hint="default" w:eastAsia="Times New Roman"/>
          <w:kern w:val="0"/>
          <w:sz w:val="21"/>
          <w:szCs w:val="24"/>
          <w:lang w:val="zh-CN"/>
        </w:rPr>
        <w:t>1</w:t>
      </w:r>
      <w:r>
        <w:rPr>
          <w:rFonts w:hint="eastAsia" w:ascii="宋体" w:hAnsi="宋体" w:cs="宋体"/>
          <w:kern w:val="0"/>
          <w:sz w:val="21"/>
          <w:szCs w:val="24"/>
          <w:lang w:val="zh-CN"/>
        </w:rPr>
        <w:t>）和（</w:t>
      </w:r>
      <w:r>
        <w:rPr>
          <w:rFonts w:hint="default" w:eastAsia="Times New Roman"/>
          <w:kern w:val="0"/>
          <w:sz w:val="21"/>
          <w:szCs w:val="24"/>
          <w:lang w:val="zh-CN"/>
        </w:rPr>
        <w:t>2</w:t>
      </w:r>
      <w:r>
        <w:rPr>
          <w:rFonts w:hint="eastAsia" w:ascii="宋体" w:hAnsi="宋体" w:cs="宋体"/>
          <w:kern w:val="0"/>
          <w:sz w:val="21"/>
          <w:szCs w:val="24"/>
          <w:lang w:val="zh-CN"/>
        </w:rPr>
        <w:t>）项计入当期损益；第（</w:t>
      </w:r>
      <w:r>
        <w:rPr>
          <w:rFonts w:hint="default" w:eastAsia="Times New Roman"/>
          <w:kern w:val="0"/>
          <w:sz w:val="21"/>
          <w:szCs w:val="24"/>
          <w:lang w:val="zh-CN"/>
        </w:rPr>
        <w:t>3</w:t>
      </w:r>
      <w:r>
        <w:rPr>
          <w:rFonts w:hint="eastAsia" w:ascii="宋体" w:hAnsi="宋体" w:cs="宋体"/>
          <w:kern w:val="0"/>
          <w:sz w:val="21"/>
          <w:szCs w:val="24"/>
          <w:lang w:val="zh-CN"/>
        </w:rPr>
        <w:t>）项计入其他综合收益且不会在后续会计期间转回至损益。</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）辞退福利的会计处理方法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辞退福利：本公司在职工劳动合同到期之前解除与职工的劳动关系，或者为鼓励职工自愿接受裁减而提出给予补偿的建议，在同时满足下列条件时，确认因解除与职工的劳动关系给予补偿而产生的预计负债，同时计入当期损益：本公司已经制定正式的解除劳动关系计划或提出自愿裁减建议，并即将实施；本公司不能单方面撤回解除劳动关系计划或裁减建议。职工内部退休计划采用上述辞退福利相同的原则处理。本公司将自职工停止提供服务日至正常退休日的期间拟支付的内退人员工资和缴纳的社会保险费等，在符合预计负债确认条件时，计入当期损益。</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）其他长期职工福利的会计处理方法</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无</w:t>
      </w:r>
    </w:p>
    <w:p>
      <w:pPr>
        <w:pStyle w:val="8"/>
        <w:outlineLvl w:val="2"/>
        <w:rPr>
          <w:rFonts w:hint="default"/>
          <w:sz w:val="21"/>
          <w:szCs w:val="24"/>
        </w:rPr>
      </w:pPr>
      <w:r>
        <w:rPr>
          <w:rFonts w:hint="default"/>
          <w:sz w:val="21"/>
          <w:szCs w:val="24"/>
        </w:rPr>
        <w:t>35</w:t>
      </w:r>
      <w:r>
        <w:rPr>
          <w:rFonts w:hint="eastAsia"/>
          <w:sz w:val="21"/>
          <w:szCs w:val="24"/>
        </w:rPr>
        <w:t>、租赁负债</w:t>
      </w:r>
    </w:p>
    <w:p>
      <w:pPr>
        <w:pStyle w:val="8"/>
        <w:outlineLvl w:val="2"/>
        <w:rPr>
          <w:rFonts w:hint="default"/>
          <w:sz w:val="21"/>
          <w:szCs w:val="24"/>
        </w:rPr>
      </w:pPr>
      <w:r>
        <w:rPr>
          <w:rFonts w:hint="default"/>
          <w:sz w:val="21"/>
          <w:szCs w:val="24"/>
        </w:rPr>
        <w:t>36</w:t>
      </w:r>
      <w:r>
        <w:rPr>
          <w:rFonts w:hint="eastAsia"/>
          <w:sz w:val="21"/>
          <w:szCs w:val="24"/>
        </w:rPr>
        <w:t>、预计负债</w:t>
      </w:r>
    </w:p>
    <w:p>
      <w:pPr>
        <w:autoSpaceDE w:val="0"/>
        <w:autoSpaceDN w:val="0"/>
        <w:adjustRightInd w:val="0"/>
        <w:spacing w:before="0" w:after="150"/>
        <w:ind w:right="306"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、预计负债的确认标准</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当与或有事项相关的义务是本公司承担的现时义务，且履行该义务很可能导致经济利益流出，同时其金额能够可靠地计量时确认该义务为预计负债。</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、预计负债的计量方法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本公司于资产负债表日对预计负债账面价值进行复核，有确凿证据表明该账面价值不能真实反映当前最佳估计数，按照当前最佳估计数对该账面价值进行调整。</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如果清偿预计负债所需支出全部或部分预期由第三方补偿的，补偿金额在基本确定能够收到时，作为资产单独确认，且确认的补偿金额不超过预计负债的账面价值。</w:t>
      </w:r>
    </w:p>
    <w:p>
      <w:pPr>
        <w:pStyle w:val="8"/>
        <w:outlineLvl w:val="2"/>
        <w:rPr>
          <w:rFonts w:hint="default"/>
          <w:sz w:val="21"/>
          <w:szCs w:val="24"/>
        </w:rPr>
      </w:pPr>
      <w:r>
        <w:rPr>
          <w:rFonts w:hint="default"/>
          <w:sz w:val="21"/>
          <w:szCs w:val="24"/>
        </w:rPr>
        <w:t>37</w:t>
      </w:r>
      <w:r>
        <w:rPr>
          <w:rFonts w:hint="eastAsia"/>
          <w:sz w:val="21"/>
          <w:szCs w:val="24"/>
        </w:rPr>
        <w:t>、股份支付</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公司的股份支付分为以权益结算的股份支付和以现金结算的股份支付。</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1</w:t>
      </w:r>
      <w:r>
        <w:rPr>
          <w:rFonts w:hint="eastAsia" w:ascii="宋体" w:hAnsi="宋体" w:cs="宋体"/>
          <w:kern w:val="0"/>
          <w:sz w:val="21"/>
          <w:szCs w:val="24"/>
          <w:lang w:val="zh-CN"/>
        </w:rPr>
        <w:t>、权益工具公允价值的确定</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以权益结算的股份支付，以授予职工权益工具的公允价值计量。以现金结算的股份支付，按照公司承担的以股份或其他权益工具为基础计算确定的负债的公允价值计量。</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对于授予的存在活跃市场的期权等权益工具，按照活跃市场中的报价确定其公允价值。对于授予的不存在活跃市场的期权等权益工具，采用期权定价模型等确定其公允价值，选用的期权定价模型考虑以下因素：</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期权的行权价格、期权的有效期、标的股份的现行价格、股价预计波动率、股份的预计股利、期权有效期内的无风险利率。</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w:t>
      </w:r>
      <w:r>
        <w:rPr>
          <w:rFonts w:hint="eastAsia" w:ascii="宋体" w:hAnsi="宋体" w:cs="宋体"/>
          <w:kern w:val="0"/>
          <w:sz w:val="21"/>
          <w:szCs w:val="24"/>
          <w:lang w:val="zh-CN"/>
        </w:rPr>
        <w:t>、以权益工具结算的股份支付会计处理</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）授予后立即可行权的以权益结算的股份支付，在授予日以权益工具的公允价值计入相关成本或费用，相应增加资本公积。</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授予日，是指股份支付协议获得批准的日期。</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完成等待期内的服务或达到规定业绩条件才可行权的换取职工服务的以权益结算的股份支付，在等待期内的每个资产负债表日，以对可行权权益工具数量的最佳估计为基础，按照权益工具授予日的公允价值，将当期取得的服务计入相关成本或费用和资本公积，不确认后续公允价值变动。</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等待期内每个资产负债表日，公司根据最新取得的可行权职工人数变动等后续信息作出最佳估计，修正预计可行权的权益工具数量。在可行权日，最终预计可行权权益工具的数量与实际可行权工具的数量一致。</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）对于权益结算的股份支付，在可行权日之后不再对已确认的成本费用和所有者权益总额进行调整。公司在行权日根据行权情况，确认股本和股本溢价，同时结转等待期内确认的资本公积。</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3</w:t>
      </w:r>
      <w:r>
        <w:rPr>
          <w:rFonts w:hint="eastAsia" w:ascii="宋体" w:hAnsi="宋体" w:cs="宋体"/>
          <w:kern w:val="0"/>
          <w:sz w:val="21"/>
          <w:szCs w:val="24"/>
          <w:lang w:val="zh-CN"/>
        </w:rPr>
        <w:t>、以现金结算的股份支付的会计处理</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）授予后立即可行权的以现金结算的股份支付，在授予日以本公司承担负债的公允价值计入相关成本或费用，相应增加应付职工薪酬。</w:t>
      </w:r>
    </w:p>
    <w:p>
      <w:pPr>
        <w:autoSpaceDE w:val="0"/>
        <w:autoSpaceDN w:val="0"/>
        <w:adjustRightInd w:val="0"/>
        <w:spacing w:before="0" w:after="0"/>
        <w:ind w:firstLine="436"/>
        <w:rPr>
          <w:rFonts w:hint="default" w:eastAsia="Times New Roman"/>
          <w:kern w:val="0"/>
          <w:sz w:val="18"/>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完成等待期内的服务或达到规定业绩条件以后才可行权的以现金结算的股份支付，在等待期内的每个资产负债表日，以对可行权情况的最佳估计为基础，按照公司承担负债的公允价值金额，将当期取得的服务计入成本或费用和相应的负债</w:t>
      </w:r>
      <w:r>
        <w:rPr>
          <w:rFonts w:hint="eastAsia" w:ascii="宋体" w:hAnsi="宋体" w:cs="宋体"/>
          <w:kern w:val="0"/>
          <w:sz w:val="18"/>
          <w:szCs w:val="24"/>
          <w:lang w:val="zh-CN"/>
        </w:rPr>
        <w:t>。</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）对于现金结算的股份支付，公司在可行权日之后不再确认成本费用，负债（应付职工薪酬）公允价值的变动计入当期损益（公允价值变动损益）。</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4</w:t>
      </w:r>
      <w:r>
        <w:rPr>
          <w:rFonts w:hint="eastAsia" w:ascii="宋体" w:hAnsi="宋体" w:cs="宋体"/>
          <w:kern w:val="0"/>
          <w:sz w:val="21"/>
          <w:szCs w:val="24"/>
          <w:lang w:val="zh-CN"/>
        </w:rPr>
        <w:t>、股份支付计划的修改、终止</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无论已授予的权益工具的条款和条件如何修改，或者取消权益工具的授予或结算该权益工具，公司确认按照所授予的权益工具在授予日的公允价值来计量获取的相应的服务，除非因不能满足权益工具的可行权条件（除市场条件外）而无法可行权。</w:t>
      </w:r>
    </w:p>
    <w:p>
      <w:pPr>
        <w:pStyle w:val="8"/>
        <w:outlineLvl w:val="2"/>
        <w:rPr>
          <w:rFonts w:hint="default"/>
          <w:sz w:val="21"/>
          <w:szCs w:val="24"/>
        </w:rPr>
      </w:pPr>
      <w:r>
        <w:rPr>
          <w:rFonts w:hint="default"/>
          <w:sz w:val="21"/>
          <w:szCs w:val="24"/>
        </w:rPr>
        <w:t>38</w:t>
      </w:r>
      <w:r>
        <w:rPr>
          <w:rFonts w:hint="eastAsia"/>
          <w:sz w:val="21"/>
          <w:szCs w:val="24"/>
        </w:rPr>
        <w:t>、优先股、永续债等其他金融工具</w:t>
      </w:r>
    </w:p>
    <w:p>
      <w:pPr>
        <w:pStyle w:val="8"/>
        <w:outlineLvl w:val="2"/>
        <w:rPr>
          <w:rFonts w:hint="default"/>
          <w:sz w:val="21"/>
          <w:szCs w:val="24"/>
        </w:rPr>
      </w:pPr>
      <w:r>
        <w:rPr>
          <w:rFonts w:hint="default"/>
          <w:sz w:val="21"/>
          <w:szCs w:val="24"/>
        </w:rPr>
        <w:t>39</w:t>
      </w:r>
      <w:r>
        <w:rPr>
          <w:rFonts w:hint="eastAsia"/>
          <w:sz w:val="21"/>
          <w:szCs w:val="24"/>
        </w:rPr>
        <w:t>、收入</w:t>
      </w:r>
    </w:p>
    <w:p>
      <w:pPr>
        <w:jc w:val="left"/>
        <w:rPr>
          <w:rFonts w:hint="default"/>
          <w:sz w:val="18"/>
          <w:szCs w:val="24"/>
        </w:rPr>
      </w:pPr>
      <w:r>
        <w:rPr>
          <w:rFonts w:hint="eastAsia"/>
          <w:sz w:val="18"/>
          <w:szCs w:val="24"/>
        </w:rPr>
        <w:t>收入确认和计量所采用的会计政策</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公司销售商品收入确认的具体原则为：</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外销销售收入确认：</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在销售定价交易模式为</w:t>
      </w:r>
      <w:r>
        <w:rPr>
          <w:rFonts w:hint="default" w:eastAsia="Times New Roman"/>
          <w:kern w:val="0"/>
          <w:sz w:val="21"/>
          <w:szCs w:val="24"/>
          <w:lang w:val="zh-CN"/>
        </w:rPr>
        <w:t>FOB</w:t>
      </w:r>
      <w:r>
        <w:rPr>
          <w:rFonts w:hint="eastAsia" w:ascii="宋体" w:hAnsi="宋体" w:cs="宋体"/>
          <w:kern w:val="0"/>
          <w:sz w:val="21"/>
          <w:szCs w:val="24"/>
          <w:lang w:val="zh-CN"/>
        </w:rPr>
        <w:t>和</w:t>
      </w:r>
      <w:r>
        <w:rPr>
          <w:rFonts w:hint="default" w:eastAsia="Times New Roman"/>
          <w:kern w:val="0"/>
          <w:sz w:val="21"/>
          <w:szCs w:val="24"/>
          <w:lang w:val="zh-CN"/>
        </w:rPr>
        <w:t>CFR</w:t>
      </w:r>
      <w:r>
        <w:rPr>
          <w:rFonts w:hint="eastAsia" w:ascii="宋体" w:hAnsi="宋体" w:cs="宋体"/>
          <w:kern w:val="0"/>
          <w:sz w:val="21"/>
          <w:szCs w:val="24"/>
          <w:lang w:val="zh-CN"/>
        </w:rPr>
        <w:t>、</w:t>
      </w:r>
      <w:r>
        <w:rPr>
          <w:rFonts w:hint="default" w:eastAsia="Times New Roman"/>
          <w:kern w:val="0"/>
          <w:sz w:val="21"/>
          <w:szCs w:val="24"/>
          <w:lang w:val="zh-CN"/>
        </w:rPr>
        <w:t>CIF</w:t>
      </w:r>
      <w:r>
        <w:rPr>
          <w:rFonts w:hint="eastAsia" w:ascii="宋体" w:hAnsi="宋体" w:cs="宋体"/>
          <w:kern w:val="0"/>
          <w:sz w:val="21"/>
          <w:szCs w:val="24"/>
          <w:lang w:val="zh-CN"/>
        </w:rPr>
        <w:t>方式下</w:t>
      </w:r>
      <w:r>
        <w:rPr>
          <w:rFonts w:hint="default" w:eastAsia="Times New Roman"/>
          <w:kern w:val="0"/>
          <w:sz w:val="21"/>
          <w:szCs w:val="24"/>
          <w:lang w:val="zh-CN"/>
        </w:rPr>
        <w:t>,</w:t>
      </w:r>
      <w:r>
        <w:rPr>
          <w:rFonts w:hint="eastAsia" w:ascii="宋体" w:hAnsi="宋体" w:cs="宋体"/>
          <w:kern w:val="0"/>
          <w:sz w:val="21"/>
          <w:szCs w:val="24"/>
          <w:lang w:val="zh-CN"/>
        </w:rPr>
        <w:t>公司以货物装船</w:t>
      </w:r>
      <w:r>
        <w:rPr>
          <w:rFonts w:hint="default" w:eastAsia="Times New Roman"/>
          <w:kern w:val="0"/>
          <w:sz w:val="21"/>
          <w:szCs w:val="24"/>
          <w:lang w:val="zh-CN"/>
        </w:rPr>
        <w:t>,</w:t>
      </w:r>
      <w:r>
        <w:rPr>
          <w:rFonts w:hint="eastAsia" w:ascii="宋体" w:hAnsi="宋体" w:cs="宋体"/>
          <w:kern w:val="0"/>
          <w:sz w:val="21"/>
          <w:szCs w:val="24"/>
          <w:lang w:val="zh-CN"/>
        </w:rPr>
        <w:t>报关出口手续完成后控制权发生转移，确认收入的实现；在销售定价交易模式为</w:t>
      </w:r>
      <w:r>
        <w:rPr>
          <w:rFonts w:hint="default" w:eastAsia="Times New Roman"/>
          <w:kern w:val="0"/>
          <w:sz w:val="21"/>
          <w:szCs w:val="24"/>
          <w:lang w:val="zh-CN"/>
        </w:rPr>
        <w:t>EXW</w:t>
      </w:r>
      <w:r>
        <w:rPr>
          <w:rFonts w:hint="eastAsia" w:ascii="宋体" w:hAnsi="宋体" w:cs="宋体"/>
          <w:kern w:val="0"/>
          <w:sz w:val="21"/>
          <w:szCs w:val="24"/>
          <w:lang w:val="zh-CN"/>
        </w:rPr>
        <w:t>方式下，货物报关出口并交付给企业后控制权发生转移，确认收入的实现。</w:t>
      </w:r>
    </w:p>
    <w:p>
      <w:pPr>
        <w:autoSpaceDE w:val="0"/>
        <w:autoSpaceDN w:val="0"/>
        <w:adjustRightInd w:val="0"/>
        <w:spacing w:before="0" w:after="0"/>
        <w:ind w:firstLine="327"/>
        <w:rPr>
          <w:rFonts w:hint="default" w:eastAsia="Times New Roman"/>
          <w:kern w:val="0"/>
          <w:sz w:val="21"/>
          <w:szCs w:val="24"/>
          <w:lang w:val="zh-CN"/>
        </w:rPr>
      </w:pPr>
      <w:r>
        <w:rPr>
          <w:rFonts w:hint="eastAsia" w:ascii="宋体" w:hAnsi="宋体" w:cs="宋体"/>
          <w:kern w:val="0"/>
          <w:sz w:val="21"/>
          <w:szCs w:val="24"/>
          <w:lang w:val="zh-CN"/>
        </w:rPr>
        <w:t>国内销售收入确认：</w:t>
      </w:r>
    </w:p>
    <w:p>
      <w:pPr>
        <w:autoSpaceDE w:val="0"/>
        <w:autoSpaceDN w:val="0"/>
        <w:adjustRightInd w:val="0"/>
        <w:spacing w:before="0" w:after="0"/>
        <w:ind w:firstLine="327"/>
        <w:rPr>
          <w:rFonts w:hint="default" w:eastAsia="Times New Roman"/>
          <w:kern w:val="0"/>
          <w:sz w:val="21"/>
          <w:szCs w:val="24"/>
          <w:lang w:val="zh-CN"/>
        </w:rPr>
      </w:pPr>
      <w:r>
        <w:rPr>
          <w:rFonts w:hint="eastAsia" w:ascii="宋体" w:hAnsi="宋体" w:cs="宋体"/>
          <w:kern w:val="0"/>
          <w:sz w:val="21"/>
          <w:szCs w:val="24"/>
          <w:lang w:val="zh-CN"/>
        </w:rPr>
        <w:t>如需要检验或安装的，在客户接受商品并且检验或安装完毕时控制权发生转移，确认销售收入；无需检验或安装的，在产品出库且对方确认收到产品时控制权发生转移，确认销售收入。</w:t>
      </w:r>
    </w:p>
    <w:p>
      <w:pPr>
        <w:jc w:val="left"/>
        <w:rPr>
          <w:rFonts w:hint="default"/>
          <w:sz w:val="18"/>
          <w:szCs w:val="24"/>
        </w:rPr>
      </w:pPr>
      <w:r>
        <w:rPr>
          <w:rFonts w:hint="eastAsia"/>
          <w:sz w:val="18"/>
          <w:szCs w:val="24"/>
        </w:rPr>
        <w:t>同类业务采用不同经营模式导致收入确认会计政策存在差异的情况</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无</w:t>
      </w:r>
    </w:p>
    <w:p>
      <w:pPr>
        <w:pStyle w:val="8"/>
        <w:outlineLvl w:val="2"/>
        <w:rPr>
          <w:rFonts w:hint="default"/>
          <w:sz w:val="21"/>
          <w:szCs w:val="24"/>
        </w:rPr>
      </w:pPr>
      <w:r>
        <w:rPr>
          <w:rFonts w:hint="default"/>
          <w:sz w:val="21"/>
          <w:szCs w:val="24"/>
        </w:rPr>
        <w:t>40</w:t>
      </w:r>
      <w:r>
        <w:rPr>
          <w:rFonts w:hint="eastAsia"/>
          <w:sz w:val="21"/>
          <w:szCs w:val="24"/>
        </w:rPr>
        <w:t>、政府补助</w:t>
      </w:r>
    </w:p>
    <w:p>
      <w:pPr>
        <w:autoSpaceDE w:val="0"/>
        <w:autoSpaceDN w:val="0"/>
        <w:adjustRightInd w:val="0"/>
        <w:spacing w:before="0" w:after="0"/>
        <w:ind w:firstLine="42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、政府补助类型</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政府补助是指本公司从政府无偿取得的货币性资产或非货币性资产，主要划分为与资产相关的政府补助和与收益相关的政府补助两种类型。</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、与资产相关的政府补助的会计处理方法</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与资产相关的政府补助，是指本公司取得的、用于购建或以其他方式形成长期资产的政府补助。本公司对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autoSpaceDE w:val="0"/>
        <w:autoSpaceDN w:val="0"/>
        <w:adjustRightInd w:val="0"/>
        <w:spacing w:before="0" w:after="0"/>
        <w:ind w:firstLine="420"/>
        <w:rPr>
          <w:rFonts w:hint="default" w:eastAsia="Times New Roman"/>
          <w:b/>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、与收益相关的政府补助的会计处理方法</w:t>
      </w:r>
    </w:p>
    <w:p>
      <w:pPr>
        <w:autoSpaceDE w:val="0"/>
        <w:autoSpaceDN w:val="0"/>
        <w:adjustRightInd w:val="0"/>
        <w:spacing w:before="0" w:after="0"/>
        <w:ind w:firstLine="545"/>
        <w:rPr>
          <w:rFonts w:hint="default" w:eastAsia="Times New Roman"/>
          <w:kern w:val="0"/>
          <w:sz w:val="21"/>
          <w:szCs w:val="24"/>
          <w:lang w:val="zh-CN"/>
        </w:rPr>
      </w:pPr>
      <w:r>
        <w:rPr>
          <w:rFonts w:hint="eastAsia" w:ascii="宋体" w:hAnsi="宋体" w:cs="宋体"/>
          <w:kern w:val="0"/>
          <w:sz w:val="21"/>
          <w:szCs w:val="24"/>
          <w:lang w:val="zh-CN"/>
        </w:rPr>
        <w:t>与收益相关的政府补助，是指本公司取得的除与资产相关的政府补助之外的政府补助。本公司对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本公司取得的政策性优惠贷款贴息，区分以下两种情况，分别进行会计处理：</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）财政将贴息资金拨付给贷款银行，由贷款银行以政策性优惠利率向本公司提供贷款的，本公司以实际收到的借款金额作为借款的入账价值，按照借款本金和该政策性优惠利率计算相关借款费用。</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）财政将贴息资金直接拨付给本公司的，本公司将对应的贴息冲减相关借款费用。</w:t>
      </w:r>
    </w:p>
    <w:p>
      <w:pPr>
        <w:autoSpaceDE w:val="0"/>
        <w:autoSpaceDN w:val="0"/>
        <w:adjustRightInd w:val="0"/>
        <w:spacing w:before="0" w:after="0"/>
        <w:ind w:firstLine="426"/>
        <w:rPr>
          <w:rFonts w:hint="default" w:eastAsia="Times New Roman"/>
          <w:b/>
          <w:kern w:val="0"/>
          <w:sz w:val="21"/>
          <w:szCs w:val="24"/>
          <w:lang w:val="zh-CN"/>
        </w:rPr>
      </w:pPr>
      <w:r>
        <w:rPr>
          <w:rFonts w:hint="default" w:eastAsia="Times New Roman"/>
          <w:b/>
          <w:kern w:val="0"/>
          <w:sz w:val="21"/>
          <w:szCs w:val="24"/>
          <w:lang w:val="zh-CN"/>
        </w:rPr>
        <w:t>4</w:t>
      </w:r>
      <w:r>
        <w:rPr>
          <w:rFonts w:hint="eastAsia" w:ascii="宋体" w:hAnsi="宋体" w:cs="宋体"/>
          <w:b/>
          <w:kern w:val="0"/>
          <w:sz w:val="21"/>
          <w:szCs w:val="24"/>
          <w:lang w:val="zh-CN"/>
        </w:rPr>
        <w:t>、区分与资产相关政府补助和与收益相关政府补助的具体标准</w:t>
      </w:r>
    </w:p>
    <w:p>
      <w:pPr>
        <w:autoSpaceDE w:val="0"/>
        <w:autoSpaceDN w:val="0"/>
        <w:adjustRightInd w:val="0"/>
        <w:spacing w:before="0" w:after="0"/>
        <w:ind w:firstLine="425"/>
        <w:rPr>
          <w:rFonts w:hint="default" w:eastAsia="Times New Roman"/>
          <w:kern w:val="0"/>
          <w:sz w:val="21"/>
          <w:szCs w:val="24"/>
          <w:lang w:val="zh-CN"/>
        </w:rPr>
      </w:pPr>
      <w:r>
        <w:rPr>
          <w:rFonts w:hint="eastAsia" w:ascii="宋体" w:hAnsi="宋体" w:cs="宋体"/>
          <w:kern w:val="0"/>
          <w:sz w:val="21"/>
          <w:szCs w:val="24"/>
          <w:lang w:val="zh-CN"/>
        </w:rPr>
        <w:t>企业取得的政府补助，用于补助长期资产购置、建造等直接相关支出，为与资产相关的政府补助。</w:t>
      </w:r>
    </w:p>
    <w:p>
      <w:pPr>
        <w:autoSpaceDE w:val="0"/>
        <w:autoSpaceDN w:val="0"/>
        <w:adjustRightInd w:val="0"/>
        <w:spacing w:before="0" w:after="0"/>
        <w:ind w:firstLine="425"/>
        <w:rPr>
          <w:rFonts w:hint="default" w:eastAsia="Times New Roman"/>
          <w:kern w:val="0"/>
          <w:sz w:val="21"/>
          <w:szCs w:val="24"/>
          <w:lang w:val="zh-CN"/>
        </w:rPr>
      </w:pPr>
      <w:r>
        <w:rPr>
          <w:rFonts w:hint="eastAsia" w:ascii="宋体" w:hAnsi="宋体" w:cs="宋体"/>
          <w:kern w:val="0"/>
          <w:sz w:val="21"/>
          <w:szCs w:val="24"/>
          <w:lang w:val="zh-CN"/>
        </w:rPr>
        <w:t>企业取得的政府补助，用于补助补偿的期间费用或损失的，为与收益相关的政府补助。</w:t>
      </w:r>
    </w:p>
    <w:p>
      <w:pPr>
        <w:autoSpaceDE w:val="0"/>
        <w:autoSpaceDN w:val="0"/>
        <w:adjustRightInd w:val="0"/>
        <w:spacing w:before="0" w:after="0"/>
        <w:ind w:firstLine="425"/>
        <w:rPr>
          <w:rFonts w:hint="default" w:eastAsia="Times New Roman"/>
          <w:kern w:val="0"/>
          <w:sz w:val="21"/>
          <w:szCs w:val="24"/>
          <w:lang w:val="zh-CN"/>
        </w:rPr>
      </w:pPr>
      <w:r>
        <w:rPr>
          <w:rFonts w:hint="eastAsia" w:ascii="宋体" w:hAnsi="宋体" w:cs="宋体"/>
          <w:kern w:val="0"/>
          <w:sz w:val="21"/>
          <w:szCs w:val="24"/>
          <w:lang w:val="zh-CN"/>
        </w:rPr>
        <w:t>企业取得的综合性项目补助，依据批准文件或申请文件将其划分为与资产相关的政府补助和与收益相关的政府补助。难以区分的，将政府补助整体归类为与收益相关的政府补助。</w:t>
      </w:r>
    </w:p>
    <w:p>
      <w:pPr>
        <w:autoSpaceDE w:val="0"/>
        <w:autoSpaceDN w:val="0"/>
        <w:adjustRightInd w:val="0"/>
        <w:spacing w:before="0" w:after="0"/>
        <w:ind w:firstLine="425"/>
        <w:rPr>
          <w:rFonts w:hint="default" w:eastAsia="Times New Roman"/>
          <w:b/>
          <w:kern w:val="0"/>
          <w:sz w:val="21"/>
          <w:szCs w:val="24"/>
          <w:lang w:val="zh-CN"/>
        </w:rPr>
      </w:pPr>
      <w:r>
        <w:rPr>
          <w:rFonts w:hint="default" w:eastAsia="Times New Roman"/>
          <w:b/>
          <w:kern w:val="0"/>
          <w:sz w:val="21"/>
          <w:szCs w:val="24"/>
          <w:lang w:val="zh-CN"/>
        </w:rPr>
        <w:t>5</w:t>
      </w:r>
      <w:r>
        <w:rPr>
          <w:rFonts w:hint="eastAsia" w:ascii="宋体" w:hAnsi="宋体" w:cs="宋体"/>
          <w:b/>
          <w:kern w:val="0"/>
          <w:sz w:val="21"/>
          <w:szCs w:val="24"/>
          <w:lang w:val="zh-CN"/>
        </w:rPr>
        <w:t>、政府补助的确认时点</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公司取得的政府补助，一般在收到时确认，除非在期末有确凿证据表明能够符合财政扶持政策规定的相关条件且预计能够收到财政扶持资金时，可以按应收金额计量确认。</w:t>
      </w:r>
    </w:p>
    <w:p>
      <w:pPr>
        <w:pStyle w:val="8"/>
        <w:outlineLvl w:val="2"/>
        <w:rPr>
          <w:rFonts w:hint="default"/>
          <w:sz w:val="21"/>
          <w:szCs w:val="24"/>
        </w:rPr>
      </w:pPr>
      <w:r>
        <w:rPr>
          <w:rFonts w:hint="default"/>
          <w:sz w:val="21"/>
          <w:szCs w:val="24"/>
        </w:rPr>
        <w:t>41</w:t>
      </w:r>
      <w:r>
        <w:rPr>
          <w:rFonts w:hint="eastAsia"/>
          <w:sz w:val="21"/>
          <w:szCs w:val="24"/>
        </w:rPr>
        <w:t>、递延所得税资产</w:t>
      </w:r>
      <w:r>
        <w:rPr>
          <w:rFonts w:hint="default"/>
          <w:sz w:val="21"/>
          <w:szCs w:val="24"/>
        </w:rPr>
        <w:t>/</w:t>
      </w:r>
      <w:r>
        <w:rPr>
          <w:rFonts w:hint="eastAsia"/>
          <w:sz w:val="21"/>
          <w:szCs w:val="24"/>
        </w:rPr>
        <w:t>递延所得税负债</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1</w:t>
      </w:r>
      <w:r>
        <w:rPr>
          <w:rFonts w:hint="eastAsia" w:ascii="宋体" w:hAnsi="宋体" w:cs="宋体"/>
          <w:kern w:val="0"/>
          <w:sz w:val="21"/>
          <w:szCs w:val="24"/>
          <w:lang w:val="zh-CN"/>
        </w:rPr>
        <w:t>、公司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w:t>
      </w:r>
      <w:r>
        <w:rPr>
          <w:rFonts w:hint="eastAsia" w:ascii="宋体" w:hAnsi="宋体" w:cs="宋体"/>
          <w:kern w:val="0"/>
          <w:sz w:val="21"/>
          <w:szCs w:val="24"/>
          <w:lang w:val="zh-CN"/>
        </w:rP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3</w:t>
      </w:r>
      <w:r>
        <w:rPr>
          <w:rFonts w:hint="eastAsia" w:ascii="宋体" w:hAnsi="宋体" w:cs="宋体"/>
          <w:kern w:val="0"/>
          <w:sz w:val="21"/>
          <w:szCs w:val="24"/>
          <w:lang w:val="zh-CN"/>
        </w:rPr>
        <w:t>、资产负债表日，对已确认的递延所得税资产账面价值进行复核，如果未来期间很可能无法获得足够的应纳税所得额用以抵扣递延所得税资产时，则减记递延所得税资产的账面价值。在很可能获得足够的应纳税所得额时，减记的金额予以转回。公司未来期间很可能获得足够的应纳税所得额的金额是依据管理层批准的经营计划（或盈利预测）确定。</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4</w:t>
      </w:r>
      <w:r>
        <w:rPr>
          <w:rFonts w:hint="eastAsia" w:ascii="宋体" w:hAnsi="宋体" w:cs="宋体"/>
          <w:kern w:val="0"/>
          <w:sz w:val="21"/>
          <w:szCs w:val="24"/>
          <w:lang w:val="zh-CN"/>
        </w:rPr>
        <w:t>、公司当期所得税和递延所得税作为所得税费用或收益计入当期损益，但不包括下列情况产生的所得税：</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）企业合并；</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）直接在所有者权益中确认的交易或者事项。</w:t>
      </w:r>
    </w:p>
    <w:p>
      <w:pPr>
        <w:pStyle w:val="8"/>
        <w:outlineLvl w:val="2"/>
        <w:rPr>
          <w:rFonts w:hint="default"/>
          <w:sz w:val="21"/>
          <w:szCs w:val="24"/>
        </w:rPr>
      </w:pPr>
      <w:r>
        <w:rPr>
          <w:rFonts w:hint="default"/>
          <w:sz w:val="21"/>
          <w:szCs w:val="24"/>
        </w:rPr>
        <w:t>42</w:t>
      </w:r>
      <w:r>
        <w:rPr>
          <w:rFonts w:hint="eastAsia"/>
          <w:sz w:val="21"/>
          <w:szCs w:val="24"/>
        </w:rPr>
        <w:t>、租赁</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）经营租赁的会计处理方法</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、融资租赁</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）在租赁期开始日，承租人（公司）将租赁开始日租赁资产公允价值与最低租赁付款额现值两者中较低者作为租入资产的入账价值，将最低租赁付款额作为长期应付款的入账价值，其差额作为未确认融资费用。</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在租赁期开始日，出租人（公司）将租赁开始日最低租赁收款额与初始直接费用之和作为应收融资租赁款的入账价值，同时记录未担保余值；将最低租赁收款额、初始直接费用及未担保余值之和与其现值之和的差额确认为未实现融资收益。</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融资租入的固定资产按同类固定资产的折旧政策采用直线法计提折旧。对能够合理确定租赁期届满时取得租入资产所有权的租入资产在使用寿命内计提折旧。否则，租赁资产在租赁期与租赁资产使用寿命两者中较短的期间内计提折旧。</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本公司对未确认融资费用采用实际利率法在租赁期内各个期间进行分摊，并按照借款费用的原则处理。</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资产负债表日，本公司将与融资租赁相关的长期应付款减去未确认融资费用的差额，分别以长期负债和一年内到期的长期负债列示。</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）融资租赁的会计处理方法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）对于经营租赁的租金，承租人（公司）在租赁期内各个期间按照直线法确认为当期损益；其他方法更为系统合理的，可以采用其他方法。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承租人（公司）发生的初始直接费用，计入当期损益。或有租金在实际发生时计入当期损益。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）对于经营租赁的租金，出租人（公司）在租赁期内各个期间按照直线法确认为当期损益；其他方法更为系统合理的，可以采用其他方法。</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出租人（公司）发生的初始直接费用，计入当期损益。</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对于经营租赁资产中的固定资产，出租人（公司）采用类似资产的折旧政策计提折旧；对于其它经营租赁资产，采用系统合理的方法进行摊销。</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出租人（公司）或有租金在实际发生时计入当期损益。</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ÿ</w:t>
      </w:r>
    </w:p>
    <w:p>
      <w:pPr>
        <w:pStyle w:val="8"/>
        <w:outlineLvl w:val="2"/>
        <w:rPr>
          <w:rFonts w:hint="default"/>
          <w:sz w:val="21"/>
          <w:szCs w:val="24"/>
        </w:rPr>
      </w:pPr>
      <w:r>
        <w:rPr>
          <w:rFonts w:hint="default"/>
          <w:sz w:val="21"/>
          <w:szCs w:val="24"/>
        </w:rPr>
        <w:t>43</w:t>
      </w:r>
      <w:r>
        <w:rPr>
          <w:rFonts w:hint="eastAsia"/>
          <w:sz w:val="21"/>
          <w:szCs w:val="24"/>
        </w:rPr>
        <w:t>、其他重要的会计政策和会计估计</w:t>
      </w:r>
    </w:p>
    <w:p>
      <w:pPr>
        <w:autoSpaceDE w:val="0"/>
        <w:autoSpaceDN w:val="0"/>
        <w:adjustRightInd w:val="0"/>
        <w:spacing w:before="0" w:after="0"/>
        <w:ind w:right="34" w:firstLine="436"/>
        <w:rPr>
          <w:rFonts w:hint="default" w:eastAsia="Times New Roman"/>
          <w:kern w:val="0"/>
          <w:sz w:val="21"/>
          <w:szCs w:val="24"/>
          <w:lang w:val="zh-CN"/>
        </w:rPr>
      </w:pPr>
      <w:r>
        <w:rPr>
          <w:rFonts w:hint="eastAsia" w:ascii="宋体" w:hAnsi="宋体" w:cs="宋体"/>
          <w:kern w:val="0"/>
          <w:sz w:val="21"/>
          <w:szCs w:val="24"/>
          <w:lang w:val="zh-CN"/>
        </w:rPr>
        <w:t>其他重要会计政策、会计估计执行《企业会计准则》的相关规定。</w:t>
      </w:r>
    </w:p>
    <w:p>
      <w:pPr>
        <w:pStyle w:val="8"/>
        <w:outlineLvl w:val="2"/>
        <w:rPr>
          <w:rFonts w:hint="default"/>
          <w:sz w:val="21"/>
          <w:szCs w:val="24"/>
        </w:rPr>
      </w:pPr>
      <w:r>
        <w:rPr>
          <w:rFonts w:hint="default"/>
          <w:sz w:val="21"/>
          <w:szCs w:val="24"/>
        </w:rPr>
        <w:t>44</w:t>
      </w:r>
      <w:r>
        <w:rPr>
          <w:rFonts w:hint="eastAsia"/>
          <w:sz w:val="21"/>
          <w:szCs w:val="24"/>
        </w:rPr>
        <w:t>、重要会计政策和会计估计变更</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）重要会计政策变更</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1"/>
        <w:gridCol w:w="3189"/>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会计政策变更的内容和原因</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审批程序</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执行财政部发布的《关于修订印发</w:t>
            </w:r>
            <w:r>
              <w:rPr>
                <w:rFonts w:hint="default"/>
                <w:sz w:val="18"/>
                <w:szCs w:val="24"/>
              </w:rPr>
              <w:t>&lt;</w:t>
            </w:r>
            <w:r>
              <w:rPr>
                <w:rFonts w:hint="eastAsia"/>
                <w:sz w:val="18"/>
                <w:szCs w:val="24"/>
              </w:rPr>
              <w:t>企业会计准则第</w:t>
            </w:r>
            <w:r>
              <w:rPr>
                <w:rFonts w:hint="default"/>
                <w:sz w:val="18"/>
                <w:szCs w:val="24"/>
              </w:rPr>
              <w:t xml:space="preserve"> 14 </w:t>
            </w:r>
            <w:r>
              <w:rPr>
                <w:rFonts w:hint="eastAsia"/>
                <w:sz w:val="18"/>
                <w:szCs w:val="24"/>
              </w:rPr>
              <w:t>号</w:t>
            </w:r>
            <w:r>
              <w:rPr>
                <w:rFonts w:hint="default"/>
                <w:sz w:val="18"/>
                <w:szCs w:val="24"/>
              </w:rPr>
              <w:t>—</w:t>
            </w:r>
            <w:r>
              <w:rPr>
                <w:rFonts w:hint="eastAsia"/>
                <w:sz w:val="18"/>
                <w:szCs w:val="24"/>
              </w:rPr>
              <w:t>收入</w:t>
            </w:r>
            <w:r>
              <w:rPr>
                <w:rFonts w:hint="default"/>
                <w:sz w:val="18"/>
                <w:szCs w:val="24"/>
              </w:rPr>
              <w:t>&gt;</w:t>
            </w:r>
            <w:r>
              <w:rPr>
                <w:rFonts w:hint="eastAsia"/>
                <w:sz w:val="18"/>
                <w:szCs w:val="24"/>
              </w:rPr>
              <w:t>的通知》（财会〔</w:t>
            </w:r>
            <w:r>
              <w:rPr>
                <w:rFonts w:hint="default"/>
                <w:sz w:val="18"/>
                <w:szCs w:val="24"/>
              </w:rPr>
              <w:t>2017</w:t>
            </w:r>
            <w:r>
              <w:rPr>
                <w:rFonts w:hint="eastAsia"/>
                <w:sz w:val="18"/>
                <w:szCs w:val="24"/>
              </w:rPr>
              <w:t>〕</w:t>
            </w:r>
            <w:r>
              <w:rPr>
                <w:rFonts w:hint="default"/>
                <w:sz w:val="18"/>
                <w:szCs w:val="24"/>
              </w:rPr>
              <w:t xml:space="preserve"> 22 </w:t>
            </w:r>
            <w:r>
              <w:rPr>
                <w:rFonts w:hint="eastAsia"/>
                <w:sz w:val="18"/>
                <w:szCs w:val="24"/>
              </w:rPr>
              <w:t>号）</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4</w:t>
            </w:r>
            <w:r>
              <w:rPr>
                <w:rFonts w:hint="eastAsia"/>
                <w:sz w:val="18"/>
                <w:szCs w:val="24"/>
              </w:rPr>
              <w:t>月</w:t>
            </w:r>
            <w:r>
              <w:rPr>
                <w:rFonts w:hint="default"/>
                <w:sz w:val="18"/>
                <w:szCs w:val="24"/>
              </w:rPr>
              <w:t>27</w:t>
            </w:r>
            <w:r>
              <w:rPr>
                <w:rFonts w:hint="eastAsia"/>
                <w:sz w:val="18"/>
                <w:szCs w:val="24"/>
              </w:rPr>
              <w:t>日第三届董事会第十六次会议、第三届监事会第十二次会议</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详见附注三、（三十四）（</w:t>
            </w:r>
            <w:r>
              <w:rPr>
                <w:rFonts w:hint="default"/>
                <w:sz w:val="18"/>
                <w:szCs w:val="24"/>
              </w:rPr>
              <w:t>3</w:t>
            </w:r>
            <w:r>
              <w:rPr>
                <w:rFonts w:hint="eastAsia"/>
                <w:sz w:val="18"/>
                <w:szCs w:val="24"/>
              </w:rPr>
              <w:t>）</w:t>
            </w:r>
          </w:p>
        </w:tc>
      </w:tr>
    </w:tbl>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说明</w:t>
      </w:r>
      <w:r>
        <w:rPr>
          <w:rFonts w:hint="default" w:eastAsia="Times New Roman"/>
          <w:kern w:val="0"/>
          <w:sz w:val="21"/>
          <w:szCs w:val="24"/>
          <w:lang w:val="zh-CN"/>
        </w:rPr>
        <w:t>:</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w:t>
      </w:r>
      <w:r>
        <w:rPr>
          <w:rFonts w:hint="default" w:eastAsia="Times New Roman"/>
          <w:kern w:val="0"/>
          <w:sz w:val="21"/>
          <w:szCs w:val="24"/>
          <w:lang w:val="zh-CN"/>
        </w:rPr>
        <w:t xml:space="preserve">2017 </w:t>
      </w:r>
      <w:r>
        <w:rPr>
          <w:rFonts w:hint="eastAsia" w:ascii="宋体" w:hAnsi="宋体" w:cs="宋体"/>
          <w:kern w:val="0"/>
          <w:sz w:val="21"/>
          <w:szCs w:val="24"/>
          <w:lang w:val="zh-CN"/>
        </w:rPr>
        <w:t>年</w:t>
      </w:r>
      <w:r>
        <w:rPr>
          <w:rFonts w:hint="default" w:eastAsia="Times New Roman"/>
          <w:kern w:val="0"/>
          <w:sz w:val="21"/>
          <w:szCs w:val="24"/>
          <w:lang w:val="zh-CN"/>
        </w:rPr>
        <w:t xml:space="preserve"> 7 </w:t>
      </w:r>
      <w:r>
        <w:rPr>
          <w:rFonts w:hint="eastAsia" w:ascii="宋体" w:hAnsi="宋体" w:cs="宋体"/>
          <w:kern w:val="0"/>
          <w:sz w:val="21"/>
          <w:szCs w:val="24"/>
          <w:lang w:val="zh-CN"/>
        </w:rPr>
        <w:t>月</w:t>
      </w:r>
      <w:r>
        <w:rPr>
          <w:rFonts w:hint="default" w:eastAsia="Times New Roman"/>
          <w:kern w:val="0"/>
          <w:sz w:val="21"/>
          <w:szCs w:val="24"/>
          <w:lang w:val="zh-CN"/>
        </w:rPr>
        <w:t xml:space="preserve"> 5 </w:t>
      </w:r>
      <w:r>
        <w:rPr>
          <w:rFonts w:hint="eastAsia" w:ascii="宋体" w:hAnsi="宋体" w:cs="宋体"/>
          <w:kern w:val="0"/>
          <w:sz w:val="21"/>
          <w:szCs w:val="24"/>
          <w:lang w:val="zh-CN"/>
        </w:rPr>
        <w:t>日，财政部发布了《企业会计准则第</w:t>
      </w:r>
      <w:r>
        <w:rPr>
          <w:rFonts w:hint="default" w:eastAsia="Times New Roman"/>
          <w:kern w:val="0"/>
          <w:sz w:val="21"/>
          <w:szCs w:val="24"/>
          <w:lang w:val="zh-CN"/>
        </w:rPr>
        <w:t>14</w:t>
      </w:r>
      <w:r>
        <w:rPr>
          <w:rFonts w:hint="eastAsia" w:ascii="宋体" w:hAnsi="宋体" w:cs="宋体"/>
          <w:kern w:val="0"/>
          <w:sz w:val="21"/>
          <w:szCs w:val="24"/>
          <w:lang w:val="zh-CN"/>
        </w:rPr>
        <w:t>号</w:t>
      </w:r>
      <w:r>
        <w:rPr>
          <w:rFonts w:hint="default" w:eastAsia="Times New Roman"/>
          <w:kern w:val="0"/>
          <w:sz w:val="21"/>
          <w:szCs w:val="24"/>
          <w:lang w:val="zh-CN"/>
        </w:rPr>
        <w:t>——</w:t>
      </w:r>
      <w:r>
        <w:rPr>
          <w:rFonts w:hint="eastAsia" w:ascii="宋体" w:hAnsi="宋体" w:cs="宋体"/>
          <w:kern w:val="0"/>
          <w:sz w:val="21"/>
          <w:szCs w:val="24"/>
          <w:lang w:val="zh-CN"/>
        </w:rPr>
        <w:t>收入（</w:t>
      </w:r>
      <w:r>
        <w:rPr>
          <w:rFonts w:hint="default" w:eastAsia="Times New Roman"/>
          <w:kern w:val="0"/>
          <w:sz w:val="21"/>
          <w:szCs w:val="24"/>
          <w:lang w:val="zh-CN"/>
        </w:rPr>
        <w:t xml:space="preserve">2017 </w:t>
      </w:r>
      <w:r>
        <w:rPr>
          <w:rFonts w:hint="eastAsia" w:ascii="宋体" w:hAnsi="宋体" w:cs="宋体"/>
          <w:kern w:val="0"/>
          <w:sz w:val="21"/>
          <w:szCs w:val="24"/>
          <w:lang w:val="zh-CN"/>
        </w:rPr>
        <w:t>年修订）》（财会〔</w:t>
      </w:r>
      <w:r>
        <w:rPr>
          <w:rFonts w:hint="default" w:eastAsia="Times New Roman"/>
          <w:kern w:val="0"/>
          <w:sz w:val="21"/>
          <w:szCs w:val="24"/>
          <w:lang w:val="zh-CN"/>
        </w:rPr>
        <w:t>2017</w:t>
      </w:r>
      <w:r>
        <w:rPr>
          <w:rFonts w:hint="eastAsia" w:ascii="宋体" w:hAnsi="宋体" w:cs="宋体"/>
          <w:kern w:val="0"/>
          <w:sz w:val="21"/>
          <w:szCs w:val="24"/>
          <w:lang w:val="zh-CN"/>
        </w:rPr>
        <w:t>〕</w:t>
      </w:r>
      <w:r>
        <w:rPr>
          <w:rFonts w:hint="default" w:eastAsia="Times New Roman"/>
          <w:kern w:val="0"/>
          <w:sz w:val="21"/>
          <w:szCs w:val="24"/>
          <w:lang w:val="zh-CN"/>
        </w:rPr>
        <w:t>22</w:t>
      </w:r>
      <w:r>
        <w:rPr>
          <w:rFonts w:hint="eastAsia" w:ascii="宋体" w:hAnsi="宋体" w:cs="宋体"/>
          <w:kern w:val="0"/>
          <w:sz w:val="21"/>
          <w:szCs w:val="24"/>
          <w:lang w:val="zh-CN"/>
        </w:rPr>
        <w:t>号）。根据新收入准则的施行时间要求，公司于</w:t>
      </w:r>
      <w:r>
        <w:rPr>
          <w:rFonts w:hint="default" w:eastAsia="Times New Roman"/>
          <w:kern w:val="0"/>
          <w:sz w:val="21"/>
          <w:szCs w:val="24"/>
          <w:lang w:val="zh-CN"/>
        </w:rPr>
        <w:t xml:space="preserve"> 2020 </w:t>
      </w:r>
      <w:r>
        <w:rPr>
          <w:rFonts w:hint="eastAsia" w:ascii="宋体" w:hAnsi="宋体" w:cs="宋体"/>
          <w:kern w:val="0"/>
          <w:sz w:val="21"/>
          <w:szCs w:val="24"/>
          <w:lang w:val="zh-CN"/>
        </w:rPr>
        <w:t>年</w:t>
      </w:r>
      <w:r>
        <w:rPr>
          <w:rFonts w:hint="default" w:eastAsia="Times New Roman"/>
          <w:kern w:val="0"/>
          <w:sz w:val="21"/>
          <w:szCs w:val="24"/>
          <w:lang w:val="zh-CN"/>
        </w:rPr>
        <w:t xml:space="preserve"> 1 </w:t>
      </w:r>
      <w:r>
        <w:rPr>
          <w:rFonts w:hint="eastAsia" w:ascii="宋体" w:hAnsi="宋体" w:cs="宋体"/>
          <w:kern w:val="0"/>
          <w:sz w:val="21"/>
          <w:szCs w:val="24"/>
          <w:lang w:val="zh-CN"/>
        </w:rPr>
        <w:t>月</w:t>
      </w:r>
      <w:r>
        <w:rPr>
          <w:rFonts w:hint="default" w:eastAsia="Times New Roman"/>
          <w:kern w:val="0"/>
          <w:sz w:val="21"/>
          <w:szCs w:val="24"/>
          <w:lang w:val="zh-CN"/>
        </w:rPr>
        <w:t xml:space="preserve"> 1 </w:t>
      </w:r>
      <w:r>
        <w:rPr>
          <w:rFonts w:hint="eastAsia" w:ascii="宋体" w:hAnsi="宋体" w:cs="宋体"/>
          <w:kern w:val="0"/>
          <w:sz w:val="21"/>
          <w:szCs w:val="24"/>
          <w:lang w:val="zh-CN"/>
        </w:rPr>
        <w:t>日起执行，并依据准则的规定对相关会计政策进行变更。根据新收入准则中衔接规定相关要求，公司对上年同期比较报表不进行追溯调整，本次会计政策变更不会对公司以前年度的财务状况、经营成果产生影响。</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）上述会计政策变更经本公司于</w:t>
      </w:r>
      <w:r>
        <w:rPr>
          <w:rFonts w:hint="default" w:eastAsia="Times New Roman"/>
          <w:kern w:val="0"/>
          <w:sz w:val="21"/>
          <w:szCs w:val="24"/>
          <w:lang w:val="zh-CN"/>
        </w:rPr>
        <w:t xml:space="preserve"> 2020 </w:t>
      </w:r>
      <w:r>
        <w:rPr>
          <w:rFonts w:hint="eastAsia" w:ascii="宋体" w:hAnsi="宋体" w:cs="宋体"/>
          <w:kern w:val="0"/>
          <w:sz w:val="21"/>
          <w:szCs w:val="24"/>
          <w:lang w:val="zh-CN"/>
        </w:rPr>
        <w:t>年</w:t>
      </w:r>
      <w:r>
        <w:rPr>
          <w:rFonts w:hint="default" w:eastAsia="Times New Roman"/>
          <w:kern w:val="0"/>
          <w:sz w:val="21"/>
          <w:szCs w:val="24"/>
          <w:lang w:val="zh-CN"/>
        </w:rPr>
        <w:t xml:space="preserve"> 4 </w:t>
      </w:r>
      <w:r>
        <w:rPr>
          <w:rFonts w:hint="eastAsia" w:ascii="宋体" w:hAnsi="宋体" w:cs="宋体"/>
          <w:kern w:val="0"/>
          <w:sz w:val="21"/>
          <w:szCs w:val="24"/>
          <w:lang w:val="zh-CN"/>
        </w:rPr>
        <w:t>月</w:t>
      </w:r>
      <w:r>
        <w:rPr>
          <w:rFonts w:hint="default" w:eastAsia="Times New Roman"/>
          <w:kern w:val="0"/>
          <w:sz w:val="21"/>
          <w:szCs w:val="24"/>
          <w:lang w:val="zh-CN"/>
        </w:rPr>
        <w:t xml:space="preserve"> 27 </w:t>
      </w:r>
      <w:r>
        <w:rPr>
          <w:rFonts w:hint="eastAsia" w:ascii="宋体" w:hAnsi="宋体" w:cs="宋体"/>
          <w:kern w:val="0"/>
          <w:sz w:val="21"/>
          <w:szCs w:val="24"/>
          <w:lang w:val="zh-CN"/>
        </w:rPr>
        <w:t>日召开的第三届董事会第十六次会议批准。</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）重要会计估计变更</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w:t>
      </w:r>
      <w:r>
        <w:rPr>
          <w:rFonts w:hint="default"/>
          <w:sz w:val="21"/>
          <w:szCs w:val="24"/>
        </w:rPr>
        <w:t>2020</w:t>
      </w:r>
      <w:r>
        <w:rPr>
          <w:rFonts w:hint="eastAsia"/>
          <w:sz w:val="21"/>
          <w:szCs w:val="24"/>
        </w:rPr>
        <w:t>年起首次执行新收入准则、新租赁准则调整首次执行当年年初财务报表相关项目情况</w:t>
      </w:r>
    </w:p>
    <w:p>
      <w:pPr>
        <w:jc w:val="left"/>
        <w:rPr>
          <w:rFonts w:hint="default"/>
          <w:sz w:val="18"/>
          <w:szCs w:val="24"/>
        </w:rPr>
      </w:pPr>
      <w:r>
        <w:rPr>
          <w:rFonts w:hint="eastAsia"/>
          <w:sz w:val="18"/>
          <w:szCs w:val="24"/>
        </w:rPr>
        <w:t>适用</w:t>
      </w:r>
    </w:p>
    <w:p>
      <w:pPr>
        <w:jc w:val="left"/>
        <w:rPr>
          <w:rFonts w:hint="default"/>
          <w:sz w:val="18"/>
          <w:szCs w:val="24"/>
        </w:rPr>
      </w:pPr>
      <w:r>
        <w:rPr>
          <w:rFonts w:hint="eastAsia"/>
          <w:sz w:val="18"/>
          <w:szCs w:val="24"/>
        </w:rPr>
        <w:t>是否需要调整年初资产负债表科目</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合并资产负债表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206"/>
        <w:gridCol w:w="2453"/>
        <w:gridCol w:w="2454"/>
        <w:gridCol w:w="2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r>
              <w:rPr>
                <w:rFonts w:hint="default"/>
                <w:sz w:val="18"/>
                <w:szCs w:val="24"/>
              </w:rPr>
              <w:t>01</w:t>
            </w:r>
            <w:r>
              <w:rPr>
                <w:rFonts w:hint="eastAsia"/>
                <w:sz w:val="18"/>
                <w:szCs w:val="24"/>
              </w:rPr>
              <w:t>月</w:t>
            </w:r>
            <w:r>
              <w:rPr>
                <w:rFonts w:hint="default"/>
                <w:sz w:val="18"/>
                <w:szCs w:val="24"/>
              </w:rPr>
              <w:t>01</w:t>
            </w:r>
            <w:r>
              <w:rPr>
                <w:rFonts w:hint="eastAsia"/>
                <w:sz w:val="18"/>
                <w:szCs w:val="24"/>
              </w:rPr>
              <w:t>日</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调整数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货币资金</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64,156,884.49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64,156,884.49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结算备付金</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拆出资金</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交易性金融资产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275,371,071.09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275,371,071.09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应收票据</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应收账款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67,182,916.72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67,182,916.72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应收款项融资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预付款项</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1,305,808.90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1,305,808.90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应收保费</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应收分保账款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应收分保合同准备金</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其他应收款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5,893,828.87</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5,893,828.87</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其中：应收利息</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应收股利</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买入返售金融资产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存货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69,984,211.20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69,984,211.20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合同资产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持有待售资产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一年内到期的非流动资产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2,217,011.71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2,217,011.71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流动资产合计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486,111,732.98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486,111,732.98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发放贷款和垫款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债权投资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其他债权投资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长期应收款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长期股权投资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其他权益工具投资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其他非流动金融资产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投资性房地产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2,140,592.53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2,140,592.53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固定资产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258,179,216.73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258,179,216.73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在建工程</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2,327,542.83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2,327,542.83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生产性生物资产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油气资产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使用权资产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无形资产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37,403,874.32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37,403,874.32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开发支出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商誉</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长期待摊费用</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349,509.80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349,509.80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9,758,687.83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9,758,687.83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3,637,853.22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3,637,853.22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313,797,277.26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313,797,277.26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资产总计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799,909,010.24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799,909,010.24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短期借款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向中央银行借款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拆入资金</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交易性金融负债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应付票据</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28,784,555.96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28,784,555.96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应付账款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59,956,045.67</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59,956,045.67</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预收款项</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11,957,280.71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-11,957,280.71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合同负债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11,610,953.68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11,610,953.68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卖出回购金融资产款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吸收存款及同业存放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代理买卖证券款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代理承销证券款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应付职工薪酬</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18,326,185.62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18,326,185.62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应交税费</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1,622,535.64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1,622,535.64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其他应付款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13,839,894.91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13,839,894.91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其中：应付利息</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应付股利</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应付手续费及佣金</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应付分保账款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持有待售负债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一年内到期的非流动负债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346,327.03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346,327.03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流动负债合计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134,486,498.51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134,486,498.51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保险合同准备金</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长期借款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应付债券</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其中：优先股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永续债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租赁负债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长期应付款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长期应付职工薪酬</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预计负债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1,698,256.40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1,698,256.40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递延收益</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8,796,408.98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8,796,408.98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3,617,416.13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3,617,416.13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非流动负债合计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14,112,081.51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14,112,081.51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负债合计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148,598,580.02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148,598,580.02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所有者权益：</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股本</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116,722,000.00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其他权益工具</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其中：优先股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永续债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资本公积</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242,773,294.11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242,773,294.11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减：库存股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7,092,162.00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其他综合收益</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-101,780.59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专项储备</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盈余公积</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45,405,316.25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一般风险准备</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未分配利润</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253,603,762.45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253,603,762.45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归属于母公司所有者权益合计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651,310,430.22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少数股东权益</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所有者权益合计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651,310,430.22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651,310,430.22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负债和所有者权益总计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799,909,010.24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799,909,010.24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调整情况说明</w:t>
      </w:r>
    </w:p>
    <w:p>
      <w:pPr>
        <w:autoSpaceDE w:val="0"/>
        <w:autoSpaceDN w:val="0"/>
        <w:adjustRightInd w:val="0"/>
        <w:spacing w:before="150" w:after="0"/>
        <w:ind w:firstLine="436"/>
        <w:jc w:val="left"/>
        <w:rPr>
          <w:rFonts w:hint="default" w:eastAsia="Times New Roman"/>
          <w:kern w:val="0"/>
          <w:sz w:val="21"/>
          <w:szCs w:val="24"/>
          <w:lang w:val="zh-CN"/>
        </w:rPr>
      </w:pPr>
      <w:r>
        <w:rPr>
          <w:rFonts w:hint="eastAsia" w:ascii="宋体" w:hAnsi="宋体" w:cs="宋体"/>
          <w:kern w:val="0"/>
          <w:sz w:val="21"/>
          <w:szCs w:val="24"/>
          <w:lang w:val="zh-CN"/>
        </w:rPr>
        <w:t>本公司将</w:t>
      </w: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日的预收款项中不含增值税金额于</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w:t>
      </w:r>
      <w:r>
        <w:rPr>
          <w:rFonts w:hint="eastAsia" w:ascii="宋体" w:hAnsi="宋体" w:cs="宋体"/>
          <w:kern w:val="0"/>
          <w:sz w:val="21"/>
          <w:szCs w:val="24"/>
          <w:lang w:val="zh-CN"/>
        </w:rPr>
        <w:t>月</w:t>
      </w:r>
      <w:r>
        <w:rPr>
          <w:rFonts w:hint="default" w:eastAsia="Times New Roman"/>
          <w:kern w:val="0"/>
          <w:sz w:val="21"/>
          <w:szCs w:val="24"/>
          <w:lang w:val="zh-CN"/>
        </w:rPr>
        <w:t>1</w:t>
      </w:r>
      <w:r>
        <w:rPr>
          <w:rFonts w:hint="eastAsia" w:ascii="宋体" w:hAnsi="宋体" w:cs="宋体"/>
          <w:kern w:val="0"/>
          <w:sz w:val="21"/>
          <w:szCs w:val="24"/>
          <w:lang w:val="zh-CN"/>
        </w:rPr>
        <w:t>日适用新收入准则重分类至合同负债，增值税金额按照流动性重分类为其他流动负债。</w:t>
      </w:r>
    </w:p>
    <w:p>
      <w:pPr>
        <w:autoSpaceDE w:val="0"/>
        <w:autoSpaceDN w:val="0"/>
        <w:adjustRightInd w:val="0"/>
        <w:spacing w:before="0" w:after="0"/>
        <w:jc w:val="left"/>
        <w:rPr>
          <w:rFonts w:hint="default" w:eastAsia="Times New Roman"/>
          <w:kern w:val="0"/>
          <w:sz w:val="18"/>
          <w:szCs w:val="24"/>
          <w:lang w:val="zh-CN"/>
        </w:rPr>
      </w:pPr>
    </w:p>
    <w:p>
      <w:pPr>
        <w:jc w:val="left"/>
        <w:rPr>
          <w:rFonts w:hint="default"/>
          <w:sz w:val="18"/>
          <w:szCs w:val="24"/>
        </w:rPr>
      </w:pPr>
      <w:r>
        <w:rPr>
          <w:rFonts w:hint="eastAsia"/>
          <w:sz w:val="18"/>
          <w:szCs w:val="24"/>
        </w:rPr>
        <w:t>母公司资产负债表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206"/>
        <w:gridCol w:w="2453"/>
        <w:gridCol w:w="2454"/>
        <w:gridCol w:w="2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w:t>
            </w:r>
            <w:r>
              <w:rPr>
                <w:rFonts w:hint="default"/>
                <w:sz w:val="18"/>
                <w:szCs w:val="24"/>
              </w:rPr>
              <w:t>01</w:t>
            </w:r>
            <w:r>
              <w:rPr>
                <w:rFonts w:hint="eastAsia"/>
                <w:sz w:val="18"/>
                <w:szCs w:val="24"/>
              </w:rPr>
              <w:t>月</w:t>
            </w:r>
            <w:r>
              <w:rPr>
                <w:rFonts w:hint="default"/>
                <w:sz w:val="18"/>
                <w:szCs w:val="24"/>
              </w:rPr>
              <w:t>01</w:t>
            </w:r>
            <w:r>
              <w:rPr>
                <w:rFonts w:hint="eastAsia"/>
                <w:sz w:val="18"/>
                <w:szCs w:val="24"/>
              </w:rPr>
              <w:t>日</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调整数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货币资金</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54,824,266.14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54,824,266.14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交易性金融资产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275,371,071.09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275,371,071.09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应收票据</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应收账款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65,552,931.35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65,552,931.35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应收款项融资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预付款项</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38,105,267.69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38,105,267.69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其他应收款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26,863,455.81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26,863,455.81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其中：应收利息</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应收股利</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存货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33,832,577.63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33,832,577.63</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合同资产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持有待售资产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一年内到期的非流动资产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261,208.69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261,208.69</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流动资产合计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494,810,778.40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494,810,778.40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债权投资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其他债权投资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长期应收款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长期股权投资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228,796,424.38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228,796,424.38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其他权益工具投资</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其他非流动金融资产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投资性房地产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固定资产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33,805,302.32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33,805,302.32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在建工程</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563,716.82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563,716.82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生产性生物资产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油气资产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使用权资产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无形资产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2,305,118.75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2,305,118.75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开发支出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商誉</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长期待摊费用</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2,809,450.07</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2,809,450.07</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其他非流动资产</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268,280,012.34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268,280,012.34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资产总计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763,090,790.74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763,090,790.74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短期借款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交易性金融负债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应付票据</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28,784,555.96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28,784,555.96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应付账款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29,318,385.52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29,318,385.52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预收款项</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11,380,382.31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-11,380,382.31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合同负债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11,056,997.67</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11,056,997.67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应付职工薪酬</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8,564,328.80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8,564,328.80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应交税费</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1,088,638.95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1,088,638.95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其他应付款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11,893,076.36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11,893,076.36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其中：应付利息</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应付股利</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持有待售负债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一年内到期的非流动负债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323,384.64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323,384.64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流动负债合计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91,029,367.90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91,029,367.90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长期借款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应付债券</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其中：优先股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永续债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租赁负债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长期应付款</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长期应付职工薪酬</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预计负债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递延收益</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3,491,403.56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3,491,403.56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其他非流动负债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非流动负债合计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3,491,403.56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3,491,403.56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负债合计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94,520,771.46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94,520,771.46</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所有者权益：</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股本</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116,722,000.00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116,722,000.00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其他权益工具</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其中：优先股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永续债</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资本公积</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240,431,418.81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240,431,418.81</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减：库存股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7,092,162.00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其他综合收益</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专项储备</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盈余公积</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45,405,316.25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未分配利润</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273,103,446.22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273,103,446.22</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所有者权益合计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668,570,019.28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668,570,019.28</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负债和所有者权益总计</w:t>
            </w:r>
          </w:p>
        </w:tc>
        <w:tc>
          <w:tcPr>
            <w:tcW w:w="245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763,090,790.74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763,090,790.74</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调整情况说明</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本公司将</w:t>
      </w: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日的预收款项中不含增值税金额于</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w:t>
      </w:r>
      <w:r>
        <w:rPr>
          <w:rFonts w:hint="eastAsia" w:ascii="宋体" w:hAnsi="宋体" w:cs="宋体"/>
          <w:kern w:val="0"/>
          <w:sz w:val="21"/>
          <w:szCs w:val="24"/>
          <w:lang w:val="zh-CN"/>
        </w:rPr>
        <w:t>月</w:t>
      </w:r>
      <w:r>
        <w:rPr>
          <w:rFonts w:hint="default" w:eastAsia="Times New Roman"/>
          <w:kern w:val="0"/>
          <w:sz w:val="21"/>
          <w:szCs w:val="24"/>
          <w:lang w:val="zh-CN"/>
        </w:rPr>
        <w:t>1</w:t>
      </w:r>
      <w:r>
        <w:rPr>
          <w:rFonts w:hint="eastAsia" w:ascii="宋体" w:hAnsi="宋体" w:cs="宋体"/>
          <w:kern w:val="0"/>
          <w:sz w:val="21"/>
          <w:szCs w:val="24"/>
          <w:lang w:val="zh-CN"/>
        </w:rPr>
        <w:t>日适用新收入准则重分类至合同负债，增值税金额按照流动性重分类为其他流动负债。</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w:t>
      </w:r>
      <w:r>
        <w:rPr>
          <w:rFonts w:hint="default"/>
          <w:sz w:val="21"/>
          <w:szCs w:val="24"/>
        </w:rPr>
        <w:t>2020</w:t>
      </w:r>
      <w:r>
        <w:rPr>
          <w:rFonts w:hint="eastAsia"/>
          <w:sz w:val="21"/>
          <w:szCs w:val="24"/>
        </w:rPr>
        <w:t>年起首次执行新收入准则、新租赁准则追溯调整前期比较数据说明</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45</w:t>
      </w:r>
      <w:r>
        <w:rPr>
          <w:rFonts w:hint="eastAsia"/>
          <w:sz w:val="21"/>
          <w:szCs w:val="24"/>
        </w:rPr>
        <w:t>、其他</w:t>
      </w:r>
    </w:p>
    <w:p>
      <w:pPr>
        <w:autoSpaceDE w:val="0"/>
        <w:autoSpaceDN w:val="0"/>
        <w:adjustRightInd w:val="0"/>
        <w:spacing w:before="150" w:after="150"/>
        <w:rPr>
          <w:rFonts w:hint="default" w:eastAsia="Times New Roman"/>
          <w:b/>
          <w:kern w:val="0"/>
          <w:sz w:val="21"/>
          <w:szCs w:val="24"/>
          <w:lang w:val="zh-CN"/>
        </w:rPr>
      </w:pPr>
    </w:p>
    <w:p>
      <w:pPr>
        <w:autoSpaceDE w:val="0"/>
        <w:autoSpaceDN w:val="0"/>
        <w:adjustRightInd w:val="0"/>
        <w:spacing w:before="0" w:after="0"/>
        <w:jc w:val="left"/>
        <w:rPr>
          <w:rFonts w:hint="default" w:eastAsia="Times New Roman"/>
          <w:kern w:val="0"/>
          <w:sz w:val="18"/>
          <w:szCs w:val="24"/>
          <w:lang w:val="zh-CN"/>
        </w:rPr>
      </w:pPr>
    </w:p>
    <w:p>
      <w:pPr>
        <w:pStyle w:val="7"/>
        <w:outlineLvl w:val="1"/>
        <w:rPr>
          <w:rFonts w:hint="default"/>
          <w:sz w:val="24"/>
          <w:szCs w:val="24"/>
        </w:rPr>
      </w:pPr>
      <w:r>
        <w:rPr>
          <w:rFonts w:hint="eastAsia"/>
          <w:sz w:val="24"/>
          <w:szCs w:val="24"/>
        </w:rPr>
        <w:t>六、税项</w:t>
      </w:r>
    </w:p>
    <w:p>
      <w:pPr>
        <w:pStyle w:val="8"/>
        <w:outlineLvl w:val="2"/>
        <w:rPr>
          <w:rFonts w:hint="default"/>
          <w:sz w:val="21"/>
          <w:szCs w:val="24"/>
        </w:rPr>
      </w:pPr>
      <w:r>
        <w:rPr>
          <w:rFonts w:hint="default"/>
          <w:sz w:val="21"/>
          <w:szCs w:val="24"/>
        </w:rPr>
        <w:t>1</w:t>
      </w:r>
      <w:r>
        <w:rPr>
          <w:rFonts w:hint="eastAsia"/>
          <w:sz w:val="21"/>
          <w:szCs w:val="24"/>
        </w:rPr>
        <w:t>、主要税种及税率</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税种</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计税依据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增值税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应纳税收入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13%</w:t>
            </w:r>
            <w:r>
              <w:rPr>
                <w:rFonts w:hint="eastAsia"/>
                <w:sz w:val="18"/>
                <w:szCs w:val="24"/>
              </w:rPr>
              <w:t>、</w:t>
            </w:r>
            <w:r>
              <w:rPr>
                <w:rFonts w:hint="default"/>
                <w:sz w:val="18"/>
                <w:szCs w:val="24"/>
              </w:rPr>
              <w:t>9%</w:t>
            </w:r>
            <w:r>
              <w:rPr>
                <w:rFonts w:hint="eastAsia"/>
                <w:sz w:val="18"/>
                <w:szCs w:val="24"/>
              </w:rPr>
              <w:t>、</w:t>
            </w:r>
            <w:r>
              <w:rPr>
                <w:rFonts w:hint="default"/>
                <w:sz w:val="18"/>
                <w:szCs w:val="24"/>
              </w:rPr>
              <w:t>6%</w:t>
            </w:r>
            <w:r>
              <w:rPr>
                <w:rFonts w:hint="eastAsia"/>
                <w:sz w:val="18"/>
                <w:szCs w:val="24"/>
              </w:rPr>
              <w:t>、</w:t>
            </w:r>
            <w:r>
              <w:rPr>
                <w:rFonts w:hint="default"/>
                <w:sz w:val="18"/>
                <w:szCs w:val="24"/>
              </w:rPr>
              <w:t>5%</w:t>
            </w:r>
            <w:r>
              <w:rPr>
                <w:rFonts w:hint="eastAsia"/>
                <w:sz w:val="18"/>
                <w:szCs w:val="24"/>
              </w:rPr>
              <w:t>、</w:t>
            </w:r>
            <w:r>
              <w:rPr>
                <w:rFonts w:hint="default"/>
                <w:sz w:val="18"/>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城市维护建设税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企业所得税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应纳税所得额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15%</w:t>
            </w:r>
            <w:r>
              <w:rPr>
                <w:rFonts w:hint="eastAsia"/>
                <w:sz w:val="18"/>
                <w:szCs w:val="24"/>
              </w:rPr>
              <w:t>、</w:t>
            </w:r>
            <w:r>
              <w:rPr>
                <w:rFonts w:hint="default"/>
                <w:sz w:val="18"/>
                <w:szCs w:val="24"/>
              </w:rPr>
              <w:t>25%</w:t>
            </w:r>
            <w:r>
              <w:rPr>
                <w:rFonts w:hint="eastAsia"/>
                <w:sz w:val="18"/>
                <w:szCs w:val="24"/>
              </w:rPr>
              <w:t>、</w:t>
            </w:r>
            <w:r>
              <w:rPr>
                <w:rFonts w:hint="default"/>
                <w:sz w:val="18"/>
                <w:szCs w:val="24"/>
              </w:rPr>
              <w:t>20%</w:t>
            </w:r>
            <w:r>
              <w:rPr>
                <w:rFonts w:hint="eastAsia"/>
                <w:sz w:val="18"/>
                <w:szCs w:val="24"/>
              </w:rPr>
              <w:t>、超额累进税率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地方教育费附加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地方水利建设基金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0.5%</w:t>
            </w:r>
          </w:p>
        </w:tc>
      </w:tr>
    </w:tbl>
    <w:p>
      <w:pPr>
        <w:jc w:val="left"/>
        <w:rPr>
          <w:rFonts w:hint="default"/>
          <w:sz w:val="18"/>
          <w:szCs w:val="24"/>
        </w:rPr>
      </w:pPr>
      <w:r>
        <w:rPr>
          <w:rFonts w:hint="eastAsia"/>
          <w:sz w:val="18"/>
          <w:szCs w:val="24"/>
        </w:rPr>
        <w:t>存在不同企业所得税税率纳税主体的，披露情况说明</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纳税主体名称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所得税税率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莱州伟隆阀门有限公司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青岛伟隆流体设备有限公司及青岛卓信检测技术有限公司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青岛伟隆五金机械有限公司、青岛即聚机电有限责任公司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对小型微利企业年应纳税所得额不超过</w:t>
            </w:r>
            <w:r>
              <w:rPr>
                <w:rFonts w:hint="default"/>
                <w:sz w:val="18"/>
                <w:szCs w:val="24"/>
              </w:rPr>
              <w:t>100</w:t>
            </w:r>
            <w:r>
              <w:rPr>
                <w:rFonts w:hint="eastAsia"/>
                <w:sz w:val="18"/>
                <w:szCs w:val="24"/>
              </w:rPr>
              <w:t>万元的部分，减按</w:t>
            </w:r>
            <w:r>
              <w:rPr>
                <w:rFonts w:hint="default"/>
                <w:sz w:val="18"/>
                <w:szCs w:val="24"/>
              </w:rPr>
              <w:t>25%</w:t>
            </w:r>
            <w:r>
              <w:rPr>
                <w:rFonts w:hint="eastAsia"/>
                <w:sz w:val="18"/>
                <w:szCs w:val="24"/>
              </w:rPr>
              <w:t>计入应纳税所得额，按</w:t>
            </w:r>
            <w:r>
              <w:rPr>
                <w:rFonts w:hint="default"/>
                <w:sz w:val="18"/>
                <w:szCs w:val="24"/>
              </w:rPr>
              <w:t>20%</w:t>
            </w:r>
            <w:r>
              <w:rPr>
                <w:rFonts w:hint="eastAsia"/>
                <w:sz w:val="18"/>
                <w:szCs w:val="24"/>
              </w:rPr>
              <w:t>的税率缴纳企业所得税。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WEFLO VALVE LLC</w:t>
            </w:r>
            <w:r>
              <w:rPr>
                <w:rFonts w:hint="eastAsia"/>
                <w:sz w:val="18"/>
                <w:szCs w:val="24"/>
              </w:rPr>
              <w:t>（美国公司）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超额累进税率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青岛伟隆阀门股份有限公司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15%</w:t>
            </w:r>
          </w:p>
        </w:tc>
      </w:tr>
    </w:tbl>
    <w:p>
      <w:pPr>
        <w:pStyle w:val="8"/>
        <w:outlineLvl w:val="2"/>
        <w:rPr>
          <w:rFonts w:hint="default"/>
          <w:sz w:val="21"/>
          <w:szCs w:val="24"/>
        </w:rPr>
      </w:pPr>
      <w:r>
        <w:rPr>
          <w:rFonts w:hint="default"/>
          <w:sz w:val="21"/>
          <w:szCs w:val="24"/>
        </w:rPr>
        <w:t>2</w:t>
      </w:r>
      <w:r>
        <w:rPr>
          <w:rFonts w:hint="eastAsia"/>
          <w:sz w:val="21"/>
          <w:szCs w:val="24"/>
        </w:rPr>
        <w:t>、税收优惠</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w:t>
      </w:r>
      <w:r>
        <w:rPr>
          <w:rFonts w:hint="default" w:eastAsia="Times New Roman"/>
          <w:kern w:val="0"/>
          <w:sz w:val="21"/>
          <w:szCs w:val="24"/>
          <w:lang w:val="zh-CN"/>
        </w:rPr>
        <w:t>2018</w:t>
      </w:r>
      <w:r>
        <w:rPr>
          <w:rFonts w:hint="eastAsia" w:ascii="宋体" w:hAnsi="宋体" w:cs="宋体"/>
          <w:kern w:val="0"/>
          <w:sz w:val="21"/>
          <w:szCs w:val="24"/>
          <w:lang w:val="zh-CN"/>
        </w:rPr>
        <w:t>年公司进行高新技术企业重新认定，</w:t>
      </w: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w:t>
      </w:r>
      <w:r>
        <w:rPr>
          <w:rFonts w:hint="default" w:eastAsia="Times New Roman"/>
          <w:kern w:val="0"/>
          <w:sz w:val="21"/>
          <w:szCs w:val="24"/>
          <w:lang w:val="zh-CN"/>
        </w:rPr>
        <w:t>12</w:t>
      </w:r>
      <w:r>
        <w:rPr>
          <w:rFonts w:hint="eastAsia" w:ascii="宋体" w:hAnsi="宋体" w:cs="宋体"/>
          <w:kern w:val="0"/>
          <w:sz w:val="21"/>
          <w:szCs w:val="24"/>
          <w:lang w:val="zh-CN"/>
        </w:rPr>
        <w:t>日，取得编号为</w:t>
      </w:r>
      <w:r>
        <w:rPr>
          <w:rFonts w:hint="default" w:eastAsia="Times New Roman"/>
          <w:kern w:val="0"/>
          <w:sz w:val="21"/>
          <w:szCs w:val="24"/>
          <w:lang w:val="zh-CN"/>
        </w:rPr>
        <w:t>GR201837100891</w:t>
      </w:r>
      <w:r>
        <w:rPr>
          <w:rFonts w:hint="eastAsia" w:ascii="宋体" w:hAnsi="宋体" w:cs="宋体"/>
          <w:kern w:val="0"/>
          <w:sz w:val="21"/>
          <w:szCs w:val="24"/>
          <w:lang w:val="zh-CN"/>
        </w:rPr>
        <w:t>的高新技术企业证书，自</w:t>
      </w:r>
      <w:r>
        <w:rPr>
          <w:rFonts w:hint="default" w:eastAsia="Times New Roman"/>
          <w:kern w:val="0"/>
          <w:sz w:val="21"/>
          <w:szCs w:val="24"/>
          <w:lang w:val="zh-CN"/>
        </w:rPr>
        <w:t>2018</w:t>
      </w:r>
      <w:r>
        <w:rPr>
          <w:rFonts w:hint="eastAsia" w:ascii="宋体" w:hAnsi="宋体" w:cs="宋体"/>
          <w:kern w:val="0"/>
          <w:sz w:val="21"/>
          <w:szCs w:val="24"/>
          <w:lang w:val="zh-CN"/>
        </w:rPr>
        <w:t>至</w:t>
      </w:r>
      <w:r>
        <w:rPr>
          <w:rFonts w:hint="default" w:eastAsia="Times New Roman"/>
          <w:kern w:val="0"/>
          <w:sz w:val="21"/>
          <w:szCs w:val="24"/>
          <w:lang w:val="zh-CN"/>
        </w:rPr>
        <w:t>2020</w:t>
      </w:r>
      <w:r>
        <w:rPr>
          <w:rFonts w:hint="eastAsia" w:ascii="宋体" w:hAnsi="宋体" w:cs="宋体"/>
          <w:kern w:val="0"/>
          <w:sz w:val="21"/>
          <w:szCs w:val="24"/>
          <w:lang w:val="zh-CN"/>
        </w:rPr>
        <w:t>年度执行</w:t>
      </w:r>
      <w:r>
        <w:rPr>
          <w:rFonts w:hint="default" w:eastAsia="Times New Roman"/>
          <w:kern w:val="0"/>
          <w:sz w:val="21"/>
          <w:szCs w:val="24"/>
          <w:lang w:val="zh-CN"/>
        </w:rPr>
        <w:t>15%</w:t>
      </w:r>
      <w:r>
        <w:rPr>
          <w:rFonts w:hint="eastAsia" w:ascii="宋体" w:hAnsi="宋体" w:cs="宋体"/>
          <w:kern w:val="0"/>
          <w:sz w:val="21"/>
          <w:szCs w:val="24"/>
          <w:lang w:val="zh-CN"/>
        </w:rPr>
        <w:t>的企业所得税率。</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公司子公司莱州伟隆阀门有限公司</w:t>
      </w: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w:t>
      </w:r>
      <w:r>
        <w:rPr>
          <w:rFonts w:hint="default" w:eastAsia="Times New Roman"/>
          <w:kern w:val="0"/>
          <w:sz w:val="21"/>
          <w:szCs w:val="24"/>
          <w:lang w:val="zh-CN"/>
        </w:rPr>
        <w:t>28</w:t>
      </w:r>
      <w:r>
        <w:rPr>
          <w:rFonts w:hint="eastAsia" w:ascii="宋体" w:hAnsi="宋体" w:cs="宋体"/>
          <w:kern w:val="0"/>
          <w:sz w:val="21"/>
          <w:szCs w:val="24"/>
          <w:lang w:val="zh-CN"/>
        </w:rPr>
        <w:t>日被认定为高新技术企业，取得编号为</w:t>
      </w:r>
      <w:r>
        <w:rPr>
          <w:rFonts w:hint="default" w:eastAsia="Times New Roman"/>
          <w:kern w:val="0"/>
          <w:sz w:val="21"/>
          <w:szCs w:val="24"/>
          <w:lang w:val="zh-CN"/>
        </w:rPr>
        <w:t>GR201937000844</w:t>
      </w:r>
      <w:r>
        <w:rPr>
          <w:rFonts w:hint="eastAsia" w:ascii="宋体" w:hAnsi="宋体" w:cs="宋体"/>
          <w:kern w:val="0"/>
          <w:sz w:val="21"/>
          <w:szCs w:val="24"/>
          <w:lang w:val="zh-CN"/>
        </w:rPr>
        <w:t>的高新技术企业证书，自</w:t>
      </w:r>
      <w:r>
        <w:rPr>
          <w:rFonts w:hint="default" w:eastAsia="Times New Roman"/>
          <w:kern w:val="0"/>
          <w:sz w:val="21"/>
          <w:szCs w:val="24"/>
          <w:lang w:val="zh-CN"/>
        </w:rPr>
        <w:t>2019</w:t>
      </w:r>
      <w:r>
        <w:rPr>
          <w:rFonts w:hint="eastAsia" w:ascii="宋体" w:hAnsi="宋体" w:cs="宋体"/>
          <w:kern w:val="0"/>
          <w:sz w:val="21"/>
          <w:szCs w:val="24"/>
          <w:lang w:val="zh-CN"/>
        </w:rPr>
        <w:t>至</w:t>
      </w:r>
      <w:r>
        <w:rPr>
          <w:rFonts w:hint="default" w:eastAsia="Times New Roman"/>
          <w:kern w:val="0"/>
          <w:sz w:val="21"/>
          <w:szCs w:val="24"/>
          <w:lang w:val="zh-CN"/>
        </w:rPr>
        <w:t>2021</w:t>
      </w:r>
      <w:r>
        <w:rPr>
          <w:rFonts w:hint="eastAsia" w:ascii="宋体" w:hAnsi="宋体" w:cs="宋体"/>
          <w:kern w:val="0"/>
          <w:sz w:val="21"/>
          <w:szCs w:val="24"/>
          <w:lang w:val="zh-CN"/>
        </w:rPr>
        <w:t>年度执行</w:t>
      </w:r>
      <w:r>
        <w:rPr>
          <w:rFonts w:hint="default" w:eastAsia="Times New Roman"/>
          <w:kern w:val="0"/>
          <w:sz w:val="21"/>
          <w:szCs w:val="24"/>
          <w:lang w:val="zh-CN"/>
        </w:rPr>
        <w:t>15%</w:t>
      </w:r>
      <w:r>
        <w:rPr>
          <w:rFonts w:hint="eastAsia" w:ascii="宋体" w:hAnsi="宋体" w:cs="宋体"/>
          <w:kern w:val="0"/>
          <w:sz w:val="21"/>
          <w:szCs w:val="24"/>
          <w:lang w:val="zh-CN"/>
        </w:rPr>
        <w:t>的企业所得税率。</w:t>
      </w:r>
    </w:p>
    <w:p>
      <w:pPr>
        <w:pStyle w:val="8"/>
        <w:outlineLvl w:val="2"/>
        <w:rPr>
          <w:rFonts w:hint="default"/>
          <w:sz w:val="21"/>
          <w:szCs w:val="24"/>
        </w:rPr>
      </w:pPr>
      <w:r>
        <w:rPr>
          <w:rFonts w:hint="default"/>
          <w:sz w:val="21"/>
          <w:szCs w:val="24"/>
        </w:rPr>
        <w:t>3</w:t>
      </w:r>
      <w:r>
        <w:rPr>
          <w:rFonts w:hint="eastAsia"/>
          <w:sz w:val="21"/>
          <w:szCs w:val="24"/>
        </w:rPr>
        <w:t>、其他</w:t>
      </w:r>
    </w:p>
    <w:p>
      <w:pPr>
        <w:pStyle w:val="7"/>
        <w:outlineLvl w:val="1"/>
        <w:rPr>
          <w:rFonts w:hint="default"/>
          <w:sz w:val="24"/>
          <w:szCs w:val="24"/>
        </w:rPr>
      </w:pPr>
      <w:r>
        <w:rPr>
          <w:rFonts w:hint="eastAsia"/>
          <w:sz w:val="24"/>
          <w:szCs w:val="24"/>
        </w:rPr>
        <w:t>七、合并财务报表项目注释</w:t>
      </w:r>
    </w:p>
    <w:p>
      <w:pPr>
        <w:pStyle w:val="8"/>
        <w:outlineLvl w:val="2"/>
        <w:rPr>
          <w:rFonts w:hint="default"/>
          <w:sz w:val="21"/>
          <w:szCs w:val="24"/>
        </w:rPr>
      </w:pPr>
      <w:r>
        <w:rPr>
          <w:rFonts w:hint="default"/>
          <w:sz w:val="21"/>
          <w:szCs w:val="24"/>
        </w:rPr>
        <w:t>1</w:t>
      </w:r>
      <w:r>
        <w:rPr>
          <w:rFonts w:hint="eastAsia"/>
          <w:sz w:val="21"/>
          <w:szCs w:val="24"/>
        </w:rPr>
        <w:t>、货币资金</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库存现金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88,655.07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124,433.12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银行存款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43,561,647.89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52,098,788.60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其他货币资金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14,065,013.08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11,933,662.77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57,715,316.04</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64,156,884.49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其中：存放在境外的款项总额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因抵押、质押或冻结等对使用有限制的款项总额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16,457,903.49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11,933,662.77</w:t>
            </w:r>
          </w:p>
        </w:tc>
      </w:tr>
    </w:tbl>
    <w:p>
      <w:pPr>
        <w:jc w:val="left"/>
        <w:rPr>
          <w:rFonts w:hint="default"/>
          <w:sz w:val="18"/>
          <w:szCs w:val="24"/>
        </w:rPr>
      </w:pPr>
      <w:r>
        <w:rPr>
          <w:rFonts w:hint="eastAsia"/>
          <w:sz w:val="18"/>
          <w:szCs w:val="24"/>
        </w:rPr>
        <w:t>其他说明</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）其他货币资金按明细项目列示：</w:t>
      </w:r>
    </w:p>
    <w:tbl>
      <w:tblPr>
        <w:tblStyle w:val="5"/>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20"/>
        <w:gridCol w:w="3007"/>
        <w:gridCol w:w="3005"/>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项</w:t>
            </w:r>
            <w:r>
              <w:rPr>
                <w:rFonts w:hint="default" w:eastAsia="Times New Roman"/>
                <w:b/>
                <w:kern w:val="0"/>
                <w:sz w:val="18"/>
                <w:szCs w:val="24"/>
                <w:lang w:val="zh-CN"/>
              </w:rPr>
              <w:t xml:space="preserve">   </w:t>
            </w:r>
            <w:r>
              <w:rPr>
                <w:rFonts w:hint="eastAsia" w:ascii="宋体" w:hAnsi="宋体" w:cs="宋体"/>
                <w:b/>
                <w:kern w:val="0"/>
                <w:sz w:val="18"/>
                <w:szCs w:val="24"/>
                <w:lang w:val="zh-CN"/>
              </w:rPr>
              <w:t>目</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期末余额</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银行承兑汇票保证金</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14,056,323.22</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11,529,831.96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保函保证金</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8,689.86</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3,783.56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远期结汇保证金</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47.25</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诉讼冻结资金</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400,000.00 </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合计</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14,065,013.08</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 xml:space="preserve">11,933,662.77 </w:t>
            </w:r>
          </w:p>
        </w:tc>
      </w:tr>
    </w:tbl>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）因抵押、质押或冻结等对使用有限制的货币资金明细如下：</w:t>
      </w:r>
    </w:p>
    <w:tbl>
      <w:tblPr>
        <w:tblStyle w:val="5"/>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20"/>
        <w:gridCol w:w="3005"/>
        <w:gridCol w:w="3007"/>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ind w:firstLine="1003"/>
              <w:rPr>
                <w:rFonts w:hint="default" w:eastAsia="Times New Roman"/>
                <w:b/>
                <w:kern w:val="0"/>
                <w:sz w:val="18"/>
                <w:szCs w:val="24"/>
                <w:lang w:val="zh-CN"/>
              </w:rPr>
            </w:pPr>
            <w:r>
              <w:rPr>
                <w:rFonts w:hint="eastAsia" w:ascii="宋体" w:hAnsi="宋体" w:cs="宋体"/>
                <w:b/>
                <w:kern w:val="0"/>
                <w:sz w:val="18"/>
                <w:szCs w:val="24"/>
                <w:lang w:val="zh-CN"/>
              </w:rPr>
              <w:t>项</w:t>
            </w:r>
            <w:r>
              <w:rPr>
                <w:rFonts w:hint="default" w:eastAsia="Times New Roman"/>
                <w:b/>
                <w:kern w:val="0"/>
                <w:sz w:val="18"/>
                <w:szCs w:val="24"/>
                <w:lang w:val="zh-CN"/>
              </w:rPr>
              <w:t xml:space="preserve">   </w:t>
            </w:r>
            <w:r>
              <w:rPr>
                <w:rFonts w:hint="eastAsia" w:ascii="宋体" w:hAnsi="宋体" w:cs="宋体"/>
                <w:b/>
                <w:kern w:val="0"/>
                <w:sz w:val="18"/>
                <w:szCs w:val="24"/>
                <w:lang w:val="zh-CN"/>
              </w:rPr>
              <w:t>目</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期末余额</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银行承兑汇票保证金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14,056,323.22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11,529,831.96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保函保证金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8,689.86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3,783.56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远期结汇保证金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47.25</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诉讼冻结资金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2,392,890.41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400,000.00 </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合计</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 xml:space="preserve">16,457,903.49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 xml:space="preserve">11,933,662.77 </w:t>
            </w:r>
          </w:p>
        </w:tc>
      </w:tr>
    </w:tbl>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除上述款项</w:t>
      </w:r>
      <w:r>
        <w:rPr>
          <w:rFonts w:hint="default" w:eastAsia="Times New Roman"/>
          <w:kern w:val="0"/>
          <w:sz w:val="21"/>
          <w:szCs w:val="24"/>
          <w:lang w:val="zh-CN"/>
        </w:rPr>
        <w:t>,</w:t>
      </w:r>
      <w:r>
        <w:rPr>
          <w:rFonts w:hint="eastAsia" w:ascii="宋体" w:hAnsi="宋体" w:cs="宋体"/>
          <w:kern w:val="0"/>
          <w:sz w:val="21"/>
          <w:szCs w:val="24"/>
          <w:lang w:val="zh-CN"/>
        </w:rPr>
        <w:t>报告期内无其他因抵押、质押或冻结等对使用有限制、存放在境外、有潜在回收风险的款项。</w:t>
      </w:r>
    </w:p>
    <w:p>
      <w:pPr>
        <w:pStyle w:val="8"/>
        <w:outlineLvl w:val="2"/>
        <w:rPr>
          <w:rFonts w:hint="default"/>
          <w:sz w:val="21"/>
          <w:szCs w:val="24"/>
        </w:rPr>
      </w:pPr>
      <w:r>
        <w:rPr>
          <w:rFonts w:hint="default"/>
          <w:sz w:val="21"/>
          <w:szCs w:val="24"/>
        </w:rPr>
        <w:t>2</w:t>
      </w:r>
      <w:r>
        <w:rPr>
          <w:rFonts w:hint="eastAsia"/>
          <w:sz w:val="21"/>
          <w:szCs w:val="24"/>
        </w:rPr>
        <w:t>、交易性金融资产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以公允价值计量且其变动计入当期损益的金融资产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334,004,283.96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275,371,071.09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结构性存款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194,744,369.87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理财类产品</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334,004,283.96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80,626,701.22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334,004,283.96</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275,371,071.09</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w:t>
      </w:r>
      <w:r>
        <w:rPr>
          <w:rFonts w:hint="eastAsia"/>
          <w:sz w:val="21"/>
          <w:szCs w:val="24"/>
        </w:rPr>
        <w:t>、衍生金融资产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w:t>
      </w:r>
      <w:r>
        <w:rPr>
          <w:rFonts w:hint="eastAsia"/>
          <w:sz w:val="21"/>
          <w:szCs w:val="24"/>
        </w:rPr>
        <w:t>、应收票据</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）应收票据分类列示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35"/>
        <w:gridCol w:w="763"/>
        <w:gridCol w:w="762"/>
        <w:gridCol w:w="762"/>
        <w:gridCol w:w="763"/>
        <w:gridCol w:w="789"/>
        <w:gridCol w:w="776"/>
        <w:gridCol w:w="797"/>
        <w:gridCol w:w="930"/>
        <w:gridCol w:w="798"/>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7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7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7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bl>
    <w:p>
      <w:pPr>
        <w:jc w:val="left"/>
        <w:rPr>
          <w:rFonts w:hint="default"/>
          <w:sz w:val="18"/>
          <w:szCs w:val="24"/>
        </w:rPr>
      </w:pPr>
      <w:r>
        <w:rPr>
          <w:rFonts w:hint="eastAsia"/>
          <w:sz w:val="18"/>
          <w:szCs w:val="24"/>
        </w:rPr>
        <w:t>按单项计提坏账准备：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计提理由</w:t>
            </w:r>
          </w:p>
        </w:tc>
      </w:tr>
    </w:tbl>
    <w:p>
      <w:pPr>
        <w:jc w:val="left"/>
        <w:rPr>
          <w:rFonts w:hint="default"/>
          <w:sz w:val="18"/>
          <w:szCs w:val="24"/>
        </w:rPr>
      </w:pPr>
      <w:r>
        <w:rPr>
          <w:rFonts w:hint="eastAsia"/>
          <w:sz w:val="18"/>
          <w:szCs w:val="24"/>
        </w:rPr>
        <w:t>按组合计提坏账准备：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r>
    </w:tbl>
    <w:p>
      <w:pPr>
        <w:jc w:val="left"/>
        <w:rPr>
          <w:rFonts w:hint="default"/>
          <w:sz w:val="18"/>
          <w:szCs w:val="24"/>
        </w:rPr>
      </w:pPr>
      <w:r>
        <w:rPr>
          <w:rFonts w:hint="eastAsia"/>
          <w:sz w:val="18"/>
          <w:szCs w:val="24"/>
        </w:rPr>
        <w:t>确定该组合依据的说明：</w:t>
      </w:r>
    </w:p>
    <w:p>
      <w:pPr>
        <w:jc w:val="left"/>
        <w:rPr>
          <w:rFonts w:hint="default"/>
          <w:sz w:val="18"/>
          <w:szCs w:val="24"/>
        </w:rPr>
      </w:pPr>
      <w:r>
        <w:rPr>
          <w:rFonts w:hint="eastAsia"/>
          <w:sz w:val="18"/>
          <w:szCs w:val="24"/>
        </w:rPr>
        <w:t>如是按照预期信用损失一般模型计提应收票据坏账准备，请参照其他应收款的披露方式披露坏账准备的相关信息：</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jc w:val="left"/>
        <w:rPr>
          <w:rFonts w:hint="default"/>
          <w:sz w:val="18"/>
          <w:szCs w:val="24"/>
        </w:rPr>
      </w:pPr>
      <w:r>
        <w:rPr>
          <w:rFonts w:hint="eastAsia"/>
          <w:sz w:val="18"/>
          <w:szCs w:val="24"/>
        </w:rPr>
        <w:t>本期计提坏账准备情况：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其中本期坏账准备收回或转回金额重要的：</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）期末公司已质押的应收票据</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期末已质押金额</w:t>
            </w:r>
          </w:p>
        </w:tc>
      </w:tr>
    </w:tbl>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）期末公司已背书或贴现且在资产负债表日尚未到期的应收票据</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期末终止确认金额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期末未终止确认金额</w:t>
            </w:r>
          </w:p>
        </w:tc>
      </w:tr>
    </w:tbl>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）期末公司因出票人未履约而将其转应收账款的票据</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期末转应收账款金额</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）本期实际核销的应收票据情况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r>
    </w:tbl>
    <w:p>
      <w:pPr>
        <w:jc w:val="left"/>
        <w:rPr>
          <w:rFonts w:hint="default"/>
          <w:sz w:val="18"/>
          <w:szCs w:val="24"/>
        </w:rPr>
      </w:pPr>
      <w:r>
        <w:rPr>
          <w:rFonts w:hint="eastAsia"/>
          <w:sz w:val="18"/>
          <w:szCs w:val="24"/>
        </w:rPr>
        <w:t>其中重要的应收票据核销情况：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应收票据性质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核销原因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履行的核销程序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款项是否由关联交易产生</w:t>
            </w:r>
          </w:p>
        </w:tc>
      </w:tr>
    </w:tbl>
    <w:p>
      <w:pPr>
        <w:jc w:val="left"/>
        <w:rPr>
          <w:rFonts w:hint="default"/>
          <w:sz w:val="18"/>
          <w:szCs w:val="24"/>
        </w:rPr>
      </w:pPr>
      <w:r>
        <w:rPr>
          <w:rFonts w:hint="eastAsia"/>
          <w:sz w:val="18"/>
          <w:szCs w:val="24"/>
        </w:rPr>
        <w:t>应收票据核销说明：</w:t>
      </w:r>
    </w:p>
    <w:p>
      <w:pPr>
        <w:pStyle w:val="8"/>
        <w:outlineLvl w:val="2"/>
        <w:rPr>
          <w:rFonts w:hint="default"/>
          <w:sz w:val="21"/>
          <w:szCs w:val="24"/>
        </w:rPr>
      </w:pPr>
      <w:r>
        <w:rPr>
          <w:rFonts w:hint="default"/>
          <w:sz w:val="21"/>
          <w:szCs w:val="24"/>
        </w:rPr>
        <w:t>5</w:t>
      </w:r>
      <w:r>
        <w:rPr>
          <w:rFonts w:hint="eastAsia"/>
          <w:sz w:val="21"/>
          <w:szCs w:val="24"/>
        </w:rPr>
        <w:t>、应收账款</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）应收账款分类披露</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35"/>
        <w:gridCol w:w="763"/>
        <w:gridCol w:w="762"/>
        <w:gridCol w:w="762"/>
        <w:gridCol w:w="763"/>
        <w:gridCol w:w="789"/>
        <w:gridCol w:w="776"/>
        <w:gridCol w:w="797"/>
        <w:gridCol w:w="798"/>
        <w:gridCol w:w="790"/>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9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9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按组合计提坏账准备的应收账款</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55,822,700.10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4,978,758.69</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8.92%</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50,843,941.41</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72,693,069.99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5,510,153.27</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7.58%</w:t>
            </w: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67,182,916.72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55,822,700.10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4,978,758.69</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8.92%</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50,843,941.41</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72,693,069.99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5,510,153.27</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7.58%</w:t>
            </w:r>
          </w:p>
        </w:tc>
        <w:tc>
          <w:tcPr>
            <w:tcW w:w="93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67,182,916.72</w:t>
            </w:r>
          </w:p>
        </w:tc>
      </w:tr>
    </w:tbl>
    <w:p>
      <w:pPr>
        <w:jc w:val="left"/>
        <w:rPr>
          <w:rFonts w:hint="default"/>
          <w:sz w:val="18"/>
          <w:szCs w:val="24"/>
        </w:rPr>
      </w:pPr>
      <w:r>
        <w:rPr>
          <w:rFonts w:hint="eastAsia"/>
          <w:sz w:val="18"/>
          <w:szCs w:val="24"/>
        </w:rPr>
        <w:t>按单项计提坏账准备：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计提理由</w:t>
            </w:r>
          </w:p>
        </w:tc>
      </w:tr>
    </w:tbl>
    <w:p>
      <w:pPr>
        <w:jc w:val="left"/>
        <w:rPr>
          <w:rFonts w:hint="default"/>
          <w:sz w:val="18"/>
          <w:szCs w:val="24"/>
        </w:rPr>
      </w:pPr>
      <w:r>
        <w:rPr>
          <w:rFonts w:hint="eastAsia"/>
          <w:sz w:val="18"/>
          <w:szCs w:val="24"/>
        </w:rPr>
        <w:t>按组合计提坏账准备：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48,009,208.33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2,400,460.42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年（含</w:t>
            </w:r>
            <w:r>
              <w:rPr>
                <w:rFonts w:hint="default"/>
                <w:sz w:val="18"/>
                <w:szCs w:val="24"/>
              </w:rPr>
              <w:t>2</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3,416,709.57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341,670.96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年（含</w:t>
            </w:r>
            <w:r>
              <w:rPr>
                <w:rFonts w:hint="default"/>
                <w:sz w:val="18"/>
                <w:szCs w:val="24"/>
              </w:rPr>
              <w:t>3</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2,497,942.85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749,382.86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w:t>
            </w:r>
            <w:r>
              <w:rPr>
                <w:rFonts w:hint="eastAsia"/>
                <w:sz w:val="18"/>
                <w:szCs w:val="24"/>
              </w:rPr>
              <w:t>至</w:t>
            </w:r>
            <w:r>
              <w:rPr>
                <w:rFonts w:hint="default"/>
                <w:sz w:val="18"/>
                <w:szCs w:val="24"/>
              </w:rPr>
              <w:t>4</w:t>
            </w:r>
            <w:r>
              <w:rPr>
                <w:rFonts w:hint="eastAsia"/>
                <w:sz w:val="18"/>
                <w:szCs w:val="24"/>
              </w:rPr>
              <w:t>年（含</w:t>
            </w:r>
            <w:r>
              <w:rPr>
                <w:rFonts w:hint="default"/>
                <w:sz w:val="18"/>
                <w:szCs w:val="24"/>
              </w:rPr>
              <w:t>4</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370,957.40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185,478.70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4</w:t>
            </w:r>
            <w:r>
              <w:rPr>
                <w:rFonts w:hint="eastAsia"/>
                <w:sz w:val="18"/>
                <w:szCs w:val="24"/>
              </w:rPr>
              <w:t>至</w:t>
            </w:r>
            <w:r>
              <w:rPr>
                <w:rFonts w:hint="default"/>
                <w:sz w:val="18"/>
                <w:szCs w:val="24"/>
              </w:rPr>
              <w:t>5</w:t>
            </w:r>
            <w:r>
              <w:rPr>
                <w:rFonts w:hint="eastAsia"/>
                <w:sz w:val="18"/>
                <w:szCs w:val="24"/>
              </w:rPr>
              <w:t>年（含</w:t>
            </w:r>
            <w:r>
              <w:rPr>
                <w:rFonts w:hint="default"/>
                <w:sz w:val="18"/>
                <w:szCs w:val="24"/>
              </w:rPr>
              <w:t>5</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1,130,581.00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904,464.80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5</w:t>
            </w:r>
            <w:r>
              <w:rPr>
                <w:rFonts w:hint="eastAsia"/>
                <w:sz w:val="18"/>
                <w:szCs w:val="24"/>
              </w:rPr>
              <w:t>年以上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397,300.95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397,300.95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55,822,700.10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4,978,758.69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确定该组合依据的说明：</w:t>
      </w:r>
    </w:p>
    <w:p>
      <w:pPr>
        <w:jc w:val="left"/>
        <w:rPr>
          <w:rFonts w:hint="default"/>
          <w:sz w:val="18"/>
          <w:szCs w:val="24"/>
        </w:rPr>
      </w:pPr>
      <w:r>
        <w:rPr>
          <w:rFonts w:hint="eastAsia"/>
          <w:sz w:val="18"/>
          <w:szCs w:val="24"/>
        </w:rPr>
        <w:t>按组合计提坏账准备：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r>
    </w:tbl>
    <w:p>
      <w:pPr>
        <w:jc w:val="left"/>
        <w:rPr>
          <w:rFonts w:hint="default"/>
          <w:sz w:val="18"/>
          <w:szCs w:val="24"/>
        </w:rPr>
      </w:pPr>
      <w:r>
        <w:rPr>
          <w:rFonts w:hint="eastAsia"/>
          <w:sz w:val="18"/>
          <w:szCs w:val="24"/>
        </w:rPr>
        <w:t>确定该组合依据的说明：</w:t>
      </w:r>
    </w:p>
    <w:p>
      <w:pPr>
        <w:jc w:val="left"/>
        <w:rPr>
          <w:rFonts w:hint="default"/>
          <w:sz w:val="18"/>
          <w:szCs w:val="24"/>
        </w:rPr>
      </w:pPr>
      <w:r>
        <w:rPr>
          <w:rFonts w:hint="eastAsia"/>
          <w:sz w:val="18"/>
          <w:szCs w:val="24"/>
        </w:rPr>
        <w:t>如是按照预期信用损失一般模型计提应收账款坏账准备，请参照其他应收款的披露方式披露坏账准备的相关信息：</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按账龄披露</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48,009,208.33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3,416,709.57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2,497,942.85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1,898,839.35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至</w:t>
            </w:r>
            <w:r>
              <w:rPr>
                <w:rFonts w:hint="default"/>
                <w:sz w:val="18"/>
                <w:szCs w:val="24"/>
              </w:rPr>
              <w:t>4</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370,957.40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1,130,581.00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397,300.95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55,822,700.10</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jc w:val="left"/>
        <w:rPr>
          <w:rFonts w:hint="default"/>
          <w:sz w:val="18"/>
          <w:szCs w:val="24"/>
        </w:rPr>
      </w:pPr>
      <w:r>
        <w:rPr>
          <w:rFonts w:hint="eastAsia"/>
          <w:sz w:val="18"/>
          <w:szCs w:val="24"/>
        </w:rPr>
        <w:t>本期计提坏账准备情况：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按组合计提坏账准备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5,510,153.27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531,394.58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4,978,758.69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5,510,153.27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531,394.58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4,978,758.69</w:t>
            </w:r>
          </w:p>
        </w:tc>
      </w:tr>
    </w:tbl>
    <w:p>
      <w:pPr>
        <w:jc w:val="left"/>
        <w:rPr>
          <w:rFonts w:hint="default"/>
          <w:sz w:val="18"/>
          <w:szCs w:val="24"/>
        </w:rPr>
      </w:pPr>
      <w:r>
        <w:rPr>
          <w:rFonts w:hint="eastAsia"/>
          <w:sz w:val="18"/>
          <w:szCs w:val="24"/>
        </w:rPr>
        <w:t>其中本期坏账准备收回或转回金额重要的：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收回或转回金额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收回方式</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）本期实际核销的应收账款情况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r>
    </w:tbl>
    <w:p>
      <w:pPr>
        <w:jc w:val="left"/>
        <w:rPr>
          <w:rFonts w:hint="default"/>
          <w:sz w:val="18"/>
          <w:szCs w:val="24"/>
        </w:rPr>
      </w:pPr>
      <w:r>
        <w:rPr>
          <w:rFonts w:hint="eastAsia"/>
          <w:sz w:val="18"/>
          <w:szCs w:val="24"/>
        </w:rPr>
        <w:t>其中重要的应收账款核销情况：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应收账款性质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核销原因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履行的核销程序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款项是否由关联交易产生</w:t>
            </w:r>
          </w:p>
        </w:tc>
      </w:tr>
    </w:tbl>
    <w:p>
      <w:pPr>
        <w:jc w:val="left"/>
        <w:rPr>
          <w:rFonts w:hint="default"/>
          <w:sz w:val="18"/>
          <w:szCs w:val="24"/>
        </w:rPr>
      </w:pPr>
      <w:r>
        <w:rPr>
          <w:rFonts w:hint="eastAsia"/>
          <w:sz w:val="18"/>
          <w:szCs w:val="24"/>
        </w:rPr>
        <w:t>应收账款核销说明：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）按欠款方归集的期末余额前五名的应收账款情况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81"/>
        <w:gridCol w:w="2529"/>
        <w:gridCol w:w="2529"/>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应收账款期末余额</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占应收账款期末余额合计数的比例</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客户一</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4,404,258.44</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7.89%</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220,212.92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客户二</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3,553,027.25</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6.36%</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177,651.36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客户三</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2,913,664.86</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5.22%</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145,683.24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客户四</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2,710,741.84</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4.86%</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135,537.09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客户五</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2,659,459.54</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4.76%</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132,972.98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16,241,151.93</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29.09%</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bl>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）因金融资产转移而终止确认的应收账款</w:t>
      </w:r>
    </w:p>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）转移应收账款且继续涉入形成的资产、负债金额</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w:t>
      </w:r>
      <w:r>
        <w:rPr>
          <w:rFonts w:hint="eastAsia"/>
          <w:sz w:val="21"/>
          <w:szCs w:val="24"/>
        </w:rPr>
        <w:t>、应收款项融资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以公允价值计量且其变动计入其他综合收益的应收票据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888,430.46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888,430.46</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应收款项融资本期增减变动及公允价值变动情况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如是按照预期信用损失一般模型计提应收款项融资减值准备，请参照其他应收款的披露方式披露减值准备的相关信息：</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其他说明：</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期末公司已背书或贴现且在资产负债表日尚未到期的应收款项融资：</w:t>
      </w:r>
    </w:p>
    <w:tbl>
      <w:tblPr>
        <w:tblStyle w:val="5"/>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09"/>
        <w:gridCol w:w="3017"/>
        <w:gridCol w:w="3015"/>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项</w:t>
            </w:r>
            <w:r>
              <w:rPr>
                <w:rFonts w:hint="default" w:eastAsia="Times New Roman"/>
                <w:b/>
                <w:kern w:val="0"/>
                <w:sz w:val="18"/>
                <w:szCs w:val="24"/>
                <w:lang w:val="zh-CN"/>
              </w:rPr>
              <w:t xml:space="preserve">  </w:t>
            </w:r>
            <w:r>
              <w:rPr>
                <w:rFonts w:hint="eastAsia" w:ascii="宋体" w:hAnsi="宋体" w:cs="宋体"/>
                <w:b/>
                <w:kern w:val="0"/>
                <w:sz w:val="18"/>
                <w:szCs w:val="24"/>
                <w:lang w:val="zh-CN"/>
              </w:rPr>
              <w:t>目</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期末终止确认金额</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期末未终止确认金额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银行承兑汇票</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8,054,569.80 </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合计</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 xml:space="preserve">8,054,569.80 </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eastAsia" w:ascii="宋体" w:hAnsi="宋体" w:cs="宋体"/>
                <w:b/>
                <w:kern w:val="0"/>
                <w:sz w:val="18"/>
                <w:szCs w:val="24"/>
                <w:lang w:val="zh-CN"/>
              </w:rPr>
              <w:t>　</w:t>
            </w:r>
          </w:p>
        </w:tc>
      </w:tr>
    </w:tbl>
    <w:p>
      <w:pPr>
        <w:autoSpaceDE w:val="0"/>
        <w:autoSpaceDN w:val="0"/>
        <w:adjustRightInd w:val="0"/>
        <w:spacing w:before="0" w:after="0"/>
        <w:jc w:val="left"/>
        <w:rPr>
          <w:rFonts w:hint="default" w:eastAsia="Times New Roman"/>
          <w:kern w:val="0"/>
          <w:sz w:val="18"/>
          <w:szCs w:val="24"/>
          <w:lang w:val="zh-CN"/>
        </w:rPr>
      </w:pPr>
    </w:p>
    <w:p>
      <w:pPr>
        <w:pStyle w:val="8"/>
        <w:outlineLvl w:val="2"/>
        <w:rPr>
          <w:rFonts w:hint="default"/>
          <w:sz w:val="21"/>
          <w:szCs w:val="24"/>
        </w:rPr>
      </w:pPr>
      <w:r>
        <w:rPr>
          <w:rFonts w:hint="default"/>
          <w:sz w:val="21"/>
          <w:szCs w:val="24"/>
        </w:rPr>
        <w:t>7</w:t>
      </w:r>
      <w:r>
        <w:rPr>
          <w:rFonts w:hint="eastAsia"/>
          <w:sz w:val="21"/>
          <w:szCs w:val="24"/>
        </w:rPr>
        <w:t>、预付款项</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）预付款项按账龄列示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5"/>
        <w:gridCol w:w="1914"/>
        <w:gridCol w:w="1914"/>
        <w:gridCol w:w="1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38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8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1,600,342.38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76.70%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1,200,877.43</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442,881.47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21.23%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94,931.47</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43,176.77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年以上</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10,000.00</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2,086,400.62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1,305,808.90</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账龄超过</w:t>
      </w:r>
      <w:r>
        <w:rPr>
          <w:rFonts w:hint="default"/>
          <w:sz w:val="18"/>
          <w:szCs w:val="24"/>
        </w:rPr>
        <w:t>1</w:t>
      </w:r>
      <w:r>
        <w:rPr>
          <w:rFonts w:hint="eastAsia"/>
          <w:sz w:val="18"/>
          <w:szCs w:val="24"/>
        </w:rPr>
        <w:t>年且金额重要的预付款项未及时结算原因的说明：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）按预付对象归集的期末余额前五名的预付款情况</w:t>
      </w:r>
    </w:p>
    <w:tbl>
      <w:tblPr>
        <w:tblStyle w:val="5"/>
        <w:tblW w:w="0" w:type="auto"/>
        <w:tblInd w:w="10" w:type="dxa"/>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Layout w:type="fixed"/>
        <w:tblCellMar>
          <w:top w:w="10" w:type="dxa"/>
          <w:left w:w="10" w:type="dxa"/>
          <w:bottom w:w="10" w:type="dxa"/>
          <w:right w:w="10" w:type="dxa"/>
        </w:tblCellMar>
      </w:tblPr>
      <w:tblGrid>
        <w:gridCol w:w="2977"/>
        <w:gridCol w:w="1559"/>
        <w:gridCol w:w="1134"/>
        <w:gridCol w:w="1418"/>
        <w:gridCol w:w="1843"/>
      </w:tblGrid>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单位名称</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金额</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年限</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占预付款项总</w:t>
            </w:r>
            <w:r>
              <w:rPr>
                <w:rFonts w:hint="default" w:eastAsia="Times New Roman"/>
                <w:b/>
                <w:kern w:val="0"/>
                <w:sz w:val="18"/>
                <w:szCs w:val="24"/>
                <w:lang w:val="zh-CN"/>
              </w:rPr>
              <w:t xml:space="preserve"> </w:t>
            </w:r>
            <w:r>
              <w:rPr>
                <w:rFonts w:hint="eastAsia" w:ascii="宋体" w:hAnsi="宋体" w:cs="宋体"/>
                <w:b/>
                <w:kern w:val="0"/>
                <w:sz w:val="18"/>
                <w:szCs w:val="24"/>
                <w:lang w:val="zh-CN"/>
              </w:rPr>
              <w:t>额的比例（</w:t>
            </w:r>
            <w:r>
              <w:rPr>
                <w:rFonts w:hint="default" w:eastAsia="Times New Roman"/>
                <w:b/>
                <w:kern w:val="0"/>
                <w:sz w:val="18"/>
                <w:szCs w:val="24"/>
                <w:lang w:val="zh-CN"/>
              </w:rPr>
              <w:t>%</w:t>
            </w:r>
            <w:r>
              <w:rPr>
                <w:rFonts w:hint="eastAsia" w:ascii="宋体" w:hAnsi="宋体" w:cs="宋体"/>
                <w:b/>
                <w:kern w:val="0"/>
                <w:sz w:val="18"/>
                <w:szCs w:val="24"/>
                <w:lang w:val="zh-CN"/>
              </w:rPr>
              <w:t>）</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未结算原因</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供应商一</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978,147.65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46.88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供应商二</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451,121.47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年以内、</w:t>
            </w:r>
            <w:r>
              <w:rPr>
                <w:rFonts w:hint="default" w:eastAsia="Times New Roman"/>
                <w:kern w:val="0"/>
                <w:sz w:val="18"/>
                <w:szCs w:val="24"/>
                <w:lang w:val="zh-CN"/>
              </w:rPr>
              <w:t>1-2</w:t>
            </w:r>
            <w:r>
              <w:rPr>
                <w:rFonts w:hint="eastAsia" w:ascii="宋体" w:hAnsi="宋体" w:cs="宋体"/>
                <w:kern w:val="0"/>
                <w:sz w:val="18"/>
                <w:szCs w:val="24"/>
                <w:lang w:val="zh-CN"/>
              </w:rPr>
              <w:t>年</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21.62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供应商三</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161,467.42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7.74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供应商四</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87,760.00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default" w:eastAsia="Times New Roman"/>
                <w:kern w:val="0"/>
                <w:sz w:val="18"/>
                <w:szCs w:val="24"/>
                <w:lang w:val="zh-CN"/>
              </w:rPr>
              <w:t>1-2</w:t>
            </w:r>
            <w:r>
              <w:rPr>
                <w:rFonts w:hint="eastAsia" w:ascii="宋体" w:hAnsi="宋体" w:cs="宋体"/>
                <w:kern w:val="0"/>
                <w:sz w:val="18"/>
                <w:szCs w:val="24"/>
                <w:lang w:val="zh-CN"/>
              </w:rPr>
              <w:t>年、</w:t>
            </w:r>
            <w:r>
              <w:rPr>
                <w:rFonts w:hint="default" w:eastAsia="Times New Roman"/>
                <w:kern w:val="0"/>
                <w:sz w:val="18"/>
                <w:szCs w:val="24"/>
                <w:lang w:val="zh-CN"/>
              </w:rPr>
              <w:t>2-3</w:t>
            </w:r>
            <w:r>
              <w:rPr>
                <w:rFonts w:hint="eastAsia" w:ascii="宋体" w:hAnsi="宋体" w:cs="宋体"/>
                <w:kern w:val="0"/>
                <w:sz w:val="18"/>
                <w:szCs w:val="24"/>
                <w:lang w:val="zh-CN"/>
              </w:rPr>
              <w:t>年</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4.21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供应商五</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84,693.55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4.06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kern w:val="0"/>
                <w:sz w:val="18"/>
                <w:szCs w:val="24"/>
                <w:lang w:val="zh-CN"/>
              </w:rPr>
            </w:pPr>
            <w:r>
              <w:rPr>
                <w:rFonts w:hint="eastAsia" w:ascii="宋体" w:hAnsi="宋体" w:cs="宋体"/>
                <w:kern w:val="0"/>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合计</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 xml:space="preserve">1,763,190.09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rPr>
                <w:rFonts w:hint="default" w:eastAsia="Times New Roman"/>
                <w:b/>
                <w:kern w:val="0"/>
                <w:sz w:val="18"/>
                <w:szCs w:val="24"/>
                <w:lang w:val="zh-CN"/>
              </w:rPr>
            </w:pPr>
            <w:r>
              <w:rPr>
                <w:rFonts w:hint="eastAsia" w:ascii="宋体" w:hAnsi="宋体" w:cs="宋体"/>
                <w:b/>
                <w:kern w:val="0"/>
                <w:sz w:val="18"/>
                <w:szCs w:val="24"/>
                <w:lang w:val="zh-CN"/>
              </w:rPr>
              <w:t>　</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 xml:space="preserve">84.51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　</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PrEx>
        <w:trPr>
          <w:gridAfter w:val="4"/>
          <w:wAfter w:w="5954" w:type="dxa"/>
        </w:trPr>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after="0"/>
              <w:rPr>
                <w:rFonts w:hint="default" w:eastAsia="Times New Roman"/>
                <w:kern w:val="0"/>
                <w:sz w:val="21"/>
                <w:szCs w:val="24"/>
                <w:lang w:val="zh-CN"/>
              </w:rPr>
            </w:pPr>
          </w:p>
        </w:tc>
      </w:tr>
    </w:tbl>
    <w:p>
      <w:pPr>
        <w:autoSpaceDE w:val="0"/>
        <w:autoSpaceDN w:val="0"/>
        <w:adjustRightInd w:val="0"/>
        <w:spacing w:before="0" w:after="0"/>
        <w:jc w:val="left"/>
        <w:rPr>
          <w:rFonts w:hint="default" w:eastAsia="Times New Roman"/>
          <w:kern w:val="0"/>
          <w:sz w:val="18"/>
          <w:szCs w:val="24"/>
          <w:lang w:val="zh-CN"/>
        </w:rPr>
      </w:pP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8</w:t>
      </w:r>
      <w:r>
        <w:rPr>
          <w:rFonts w:hint="eastAsia"/>
          <w:sz w:val="21"/>
          <w:szCs w:val="24"/>
        </w:rPr>
        <w:t>、其他应收款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其他应收款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4,492,285.68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5,893,828.87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4,492,285.68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5,893,828.87</w:t>
            </w:r>
          </w:p>
        </w:tc>
      </w:tr>
    </w:tbl>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）应收利息</w:t>
      </w:r>
    </w:p>
    <w:p>
      <w:pPr>
        <w:pStyle w:val="8"/>
        <w:outlineLvl w:val="4"/>
        <w:rPr>
          <w:rFonts w:hint="default"/>
          <w:sz w:val="21"/>
          <w:szCs w:val="24"/>
        </w:rPr>
      </w:pPr>
      <w:r>
        <w:rPr>
          <w:rFonts w:hint="default"/>
          <w:sz w:val="21"/>
          <w:szCs w:val="24"/>
        </w:rPr>
        <w:t>1</w:t>
      </w:r>
      <w:r>
        <w:rPr>
          <w:rFonts w:hint="eastAsia"/>
          <w:sz w:val="21"/>
          <w:szCs w:val="24"/>
        </w:rPr>
        <w:t>）应收利息分类</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pStyle w:val="8"/>
        <w:outlineLvl w:val="4"/>
        <w:rPr>
          <w:rFonts w:hint="default"/>
          <w:sz w:val="21"/>
          <w:szCs w:val="24"/>
        </w:rPr>
      </w:pPr>
      <w:r>
        <w:rPr>
          <w:rFonts w:hint="default"/>
          <w:sz w:val="21"/>
          <w:szCs w:val="24"/>
        </w:rPr>
        <w:t>2</w:t>
      </w:r>
      <w:r>
        <w:rPr>
          <w:rFonts w:hint="eastAsia"/>
          <w:sz w:val="21"/>
          <w:szCs w:val="24"/>
        </w:rPr>
        <w:t>）重要逾期利息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借款单位</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逾期原因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是否发生减值及其判断依据</w:t>
            </w:r>
          </w:p>
        </w:tc>
      </w:tr>
    </w:tbl>
    <w:p>
      <w:pPr>
        <w:jc w:val="left"/>
        <w:rPr>
          <w:rFonts w:hint="default"/>
          <w:sz w:val="18"/>
          <w:szCs w:val="24"/>
        </w:rPr>
      </w:pPr>
      <w:r>
        <w:rPr>
          <w:rFonts w:hint="eastAsia"/>
          <w:sz w:val="18"/>
          <w:szCs w:val="24"/>
        </w:rPr>
        <w:t>其他说明：</w:t>
      </w:r>
    </w:p>
    <w:p>
      <w:pPr>
        <w:pStyle w:val="8"/>
        <w:outlineLvl w:val="4"/>
        <w:rPr>
          <w:rFonts w:hint="default"/>
          <w:sz w:val="21"/>
          <w:szCs w:val="24"/>
        </w:rPr>
      </w:pPr>
      <w:r>
        <w:rPr>
          <w:rFonts w:hint="default"/>
          <w:sz w:val="21"/>
          <w:szCs w:val="24"/>
        </w:rPr>
        <w:t>3</w:t>
      </w:r>
      <w:r>
        <w:rPr>
          <w:rFonts w:hint="eastAsia"/>
          <w:sz w:val="21"/>
          <w:szCs w:val="24"/>
        </w:rPr>
        <w:t>）坏账准备计提情况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）应收股利</w:t>
      </w:r>
    </w:p>
    <w:p>
      <w:pPr>
        <w:pStyle w:val="8"/>
        <w:outlineLvl w:val="4"/>
        <w:rPr>
          <w:rFonts w:hint="default"/>
          <w:sz w:val="21"/>
          <w:szCs w:val="24"/>
        </w:rPr>
      </w:pPr>
      <w:r>
        <w:rPr>
          <w:rFonts w:hint="default"/>
          <w:sz w:val="21"/>
          <w:szCs w:val="24"/>
        </w:rPr>
        <w:t>1</w:t>
      </w:r>
      <w:r>
        <w:rPr>
          <w:rFonts w:hint="eastAsia"/>
          <w:sz w:val="21"/>
          <w:szCs w:val="24"/>
        </w:rPr>
        <w:t>）应收股利分类</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pStyle w:val="8"/>
        <w:outlineLvl w:val="4"/>
        <w:rPr>
          <w:rFonts w:hint="default"/>
          <w:sz w:val="21"/>
          <w:szCs w:val="24"/>
        </w:rPr>
      </w:pPr>
      <w:r>
        <w:rPr>
          <w:rFonts w:hint="default"/>
          <w:sz w:val="21"/>
          <w:szCs w:val="24"/>
        </w:rPr>
        <w:t>2</w:t>
      </w:r>
      <w:r>
        <w:rPr>
          <w:rFonts w:hint="eastAsia"/>
          <w:sz w:val="21"/>
          <w:szCs w:val="24"/>
        </w:rPr>
        <w:t>）重要的账龄超过</w:t>
      </w:r>
      <w:r>
        <w:rPr>
          <w:rFonts w:hint="default"/>
          <w:sz w:val="21"/>
          <w:szCs w:val="24"/>
        </w:rPr>
        <w:t>1</w:t>
      </w:r>
      <w:r>
        <w:rPr>
          <w:rFonts w:hint="eastAsia"/>
          <w:sz w:val="21"/>
          <w:szCs w:val="24"/>
        </w:rPr>
        <w:t>年的应收股利</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未收回的原因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是否发生减值及其判断依据</w:t>
            </w:r>
          </w:p>
        </w:tc>
      </w:tr>
    </w:tbl>
    <w:p>
      <w:pPr>
        <w:pStyle w:val="8"/>
        <w:outlineLvl w:val="4"/>
        <w:rPr>
          <w:rFonts w:hint="default"/>
          <w:sz w:val="21"/>
          <w:szCs w:val="24"/>
        </w:rPr>
      </w:pPr>
      <w:r>
        <w:rPr>
          <w:rFonts w:hint="default"/>
          <w:sz w:val="21"/>
          <w:szCs w:val="24"/>
        </w:rPr>
        <w:t>3</w:t>
      </w:r>
      <w:r>
        <w:rPr>
          <w:rFonts w:hint="eastAsia"/>
          <w:sz w:val="21"/>
          <w:szCs w:val="24"/>
        </w:rPr>
        <w:t>）坏账准备计提情况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）其他应收款</w:t>
      </w:r>
    </w:p>
    <w:p>
      <w:pPr>
        <w:pStyle w:val="8"/>
        <w:outlineLvl w:val="4"/>
        <w:rPr>
          <w:rFonts w:hint="default"/>
          <w:sz w:val="21"/>
          <w:szCs w:val="24"/>
        </w:rPr>
      </w:pPr>
      <w:r>
        <w:rPr>
          <w:rFonts w:hint="default"/>
          <w:sz w:val="21"/>
          <w:szCs w:val="24"/>
        </w:rPr>
        <w:t>1</w:t>
      </w:r>
      <w:r>
        <w:rPr>
          <w:rFonts w:hint="eastAsia"/>
          <w:sz w:val="21"/>
          <w:szCs w:val="24"/>
        </w:rPr>
        <w:t>）其他应收款按款项性质分类情况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款项性质</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期末账面余额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出口退税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2,833,151.23</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3,637,084.49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保证金</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790,230.53</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503,680.54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往来及其他</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1,198,762.12</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2,141,159.04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4,822,143.88</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6,281,924.07</w:t>
            </w:r>
          </w:p>
        </w:tc>
      </w:tr>
    </w:tbl>
    <w:p>
      <w:pPr>
        <w:pStyle w:val="8"/>
        <w:outlineLvl w:val="4"/>
        <w:rPr>
          <w:rFonts w:hint="default"/>
          <w:sz w:val="21"/>
          <w:szCs w:val="24"/>
        </w:rPr>
      </w:pPr>
      <w:r>
        <w:rPr>
          <w:rFonts w:hint="default"/>
          <w:sz w:val="21"/>
          <w:szCs w:val="24"/>
        </w:rPr>
        <w:t>2</w:t>
      </w:r>
      <w:r>
        <w:rPr>
          <w:rFonts w:hint="eastAsia"/>
          <w:sz w:val="21"/>
          <w:szCs w:val="24"/>
        </w:rPr>
        <w:t>）坏账准备计提情况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388,095.20</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388,095.20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本期转回</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58,237.00</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58,237.00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329,858.20</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329,858.20</w:t>
            </w:r>
          </w:p>
        </w:tc>
      </w:tr>
    </w:tbl>
    <w:p>
      <w:pPr>
        <w:jc w:val="left"/>
        <w:rPr>
          <w:rFonts w:hint="default"/>
          <w:sz w:val="18"/>
          <w:szCs w:val="24"/>
        </w:rPr>
      </w:pPr>
      <w:r>
        <w:rPr>
          <w:rFonts w:hint="eastAsia"/>
          <w:sz w:val="18"/>
          <w:szCs w:val="24"/>
        </w:rPr>
        <w:t>损失准备本期变动金额重大的账面余额变动情况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按账龄披露</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4,410,923.88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292,120.00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至</w:t>
            </w:r>
            <w:r>
              <w:rPr>
                <w:rFonts w:hint="default"/>
                <w:sz w:val="18"/>
                <w:szCs w:val="24"/>
              </w:rPr>
              <w:t>4</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4,822,143.88</w:t>
            </w:r>
          </w:p>
        </w:tc>
      </w:tr>
    </w:tbl>
    <w:p>
      <w:pPr>
        <w:pStyle w:val="8"/>
        <w:outlineLvl w:val="4"/>
        <w:rPr>
          <w:rFonts w:hint="default"/>
          <w:sz w:val="21"/>
          <w:szCs w:val="24"/>
        </w:rPr>
      </w:pPr>
      <w:r>
        <w:rPr>
          <w:rFonts w:hint="default"/>
          <w:sz w:val="21"/>
          <w:szCs w:val="24"/>
        </w:rPr>
        <w:t>3</w:t>
      </w:r>
      <w:r>
        <w:rPr>
          <w:rFonts w:hint="eastAsia"/>
          <w:sz w:val="21"/>
          <w:szCs w:val="24"/>
        </w:rPr>
        <w:t>）本期计提、收回或转回的坏账准备情况</w:t>
      </w:r>
    </w:p>
    <w:p>
      <w:pPr>
        <w:jc w:val="left"/>
        <w:rPr>
          <w:rFonts w:hint="default"/>
          <w:sz w:val="18"/>
          <w:szCs w:val="24"/>
        </w:rPr>
      </w:pPr>
      <w:r>
        <w:rPr>
          <w:rFonts w:hint="eastAsia"/>
          <w:sz w:val="18"/>
          <w:szCs w:val="24"/>
        </w:rPr>
        <w:t>本期计提坏账准备情况：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415"/>
        <w:gridCol w:w="1098"/>
        <w:gridCol w:w="1194"/>
        <w:gridCol w:w="1303"/>
        <w:gridCol w:w="1092"/>
        <w:gridCol w:w="1736"/>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10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5325"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本期变动金额</w:t>
            </w:r>
          </w:p>
        </w:tc>
        <w:tc>
          <w:tcPr>
            <w:tcW w:w="17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0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w:t>
            </w: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收回或转回</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7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其中本期坏账准备转回或收回金额重要的：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转回或收回金额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收回方式</w:t>
            </w:r>
          </w:p>
        </w:tc>
      </w:tr>
    </w:tbl>
    <w:p>
      <w:pPr>
        <w:pStyle w:val="8"/>
        <w:outlineLvl w:val="4"/>
        <w:rPr>
          <w:rFonts w:hint="default"/>
          <w:sz w:val="21"/>
          <w:szCs w:val="24"/>
        </w:rPr>
      </w:pPr>
      <w:r>
        <w:rPr>
          <w:rFonts w:hint="default"/>
          <w:sz w:val="21"/>
          <w:szCs w:val="24"/>
        </w:rPr>
        <w:t>4</w:t>
      </w:r>
      <w:r>
        <w:rPr>
          <w:rFonts w:hint="eastAsia"/>
          <w:sz w:val="21"/>
          <w:szCs w:val="24"/>
        </w:rPr>
        <w:t>）本期实际核销的其他应收款情况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r>
    </w:tbl>
    <w:p>
      <w:pPr>
        <w:jc w:val="left"/>
        <w:rPr>
          <w:rFonts w:hint="default"/>
          <w:sz w:val="18"/>
          <w:szCs w:val="24"/>
        </w:rPr>
      </w:pPr>
      <w:r>
        <w:rPr>
          <w:rFonts w:hint="eastAsia"/>
          <w:sz w:val="18"/>
          <w:szCs w:val="24"/>
        </w:rPr>
        <w:t>其中重要的其他应收款核销情况：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4"/>
        <w:gridCol w:w="1594"/>
        <w:gridCol w:w="1594"/>
        <w:gridCol w:w="1594"/>
        <w:gridCol w:w="1595"/>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其他应收款性质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核销原因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履行的核销程序</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款项是否由关联交易产生</w:t>
            </w:r>
          </w:p>
        </w:tc>
      </w:tr>
    </w:tbl>
    <w:p>
      <w:pPr>
        <w:jc w:val="left"/>
        <w:rPr>
          <w:rFonts w:hint="default"/>
          <w:sz w:val="18"/>
          <w:szCs w:val="24"/>
        </w:rPr>
      </w:pPr>
      <w:r>
        <w:rPr>
          <w:rFonts w:hint="eastAsia"/>
          <w:sz w:val="18"/>
          <w:szCs w:val="24"/>
        </w:rPr>
        <w:t>其他应收款核销说明：</w:t>
      </w:r>
    </w:p>
    <w:p>
      <w:pPr>
        <w:pStyle w:val="8"/>
        <w:outlineLvl w:val="4"/>
        <w:rPr>
          <w:rFonts w:hint="default"/>
          <w:sz w:val="21"/>
          <w:szCs w:val="24"/>
        </w:rPr>
      </w:pPr>
      <w:r>
        <w:rPr>
          <w:rFonts w:hint="default"/>
          <w:sz w:val="21"/>
          <w:szCs w:val="24"/>
        </w:rPr>
        <w:t>5</w:t>
      </w:r>
      <w:r>
        <w:rPr>
          <w:rFonts w:hint="eastAsia"/>
          <w:sz w:val="21"/>
          <w:szCs w:val="24"/>
        </w:rPr>
        <w:t>）按欠款方归集的期末余额前五名的其他应收款情况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4"/>
        <w:gridCol w:w="1594"/>
        <w:gridCol w:w="1594"/>
        <w:gridCol w:w="1594"/>
        <w:gridCol w:w="1595"/>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款项的性质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占其他应收款期末余额合计数的比例</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应收出口退税款</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出口退税</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2,833,151.23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58.75%</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141,657.56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应收残疾人就业增值税优惠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个人往来及其他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1,168,920.00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24.24%</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70,288.00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4.98%</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客户二</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3.32%</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客户三</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121,130.53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2.51%</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6,056.53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4,523,201.76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93.80%</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238,002.09</w:t>
            </w:r>
          </w:p>
        </w:tc>
      </w:tr>
    </w:tbl>
    <w:p>
      <w:pPr>
        <w:pStyle w:val="8"/>
        <w:outlineLvl w:val="4"/>
        <w:rPr>
          <w:rFonts w:hint="default"/>
          <w:sz w:val="21"/>
          <w:szCs w:val="24"/>
        </w:rPr>
      </w:pPr>
      <w:r>
        <w:rPr>
          <w:rFonts w:hint="default"/>
          <w:sz w:val="21"/>
          <w:szCs w:val="24"/>
        </w:rPr>
        <w:t>6</w:t>
      </w:r>
      <w:r>
        <w:rPr>
          <w:rFonts w:hint="eastAsia"/>
          <w:sz w:val="21"/>
          <w:szCs w:val="24"/>
        </w:rPr>
        <w:t>）涉及政府补助的应收款项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4"/>
        <w:gridCol w:w="1914"/>
        <w:gridCol w:w="1914"/>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政府补助项目名称</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期末账龄</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预计收取的时间、金额及依据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应收残疾人就业增值税优惠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残疾人即征即退增值税</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1,168,920.00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p>
        </w:tc>
      </w:tr>
    </w:tbl>
    <w:p>
      <w:pPr>
        <w:pStyle w:val="8"/>
        <w:outlineLvl w:val="4"/>
        <w:rPr>
          <w:rFonts w:hint="default"/>
          <w:sz w:val="21"/>
          <w:szCs w:val="24"/>
        </w:rPr>
      </w:pPr>
      <w:r>
        <w:rPr>
          <w:rFonts w:hint="default"/>
          <w:sz w:val="21"/>
          <w:szCs w:val="24"/>
        </w:rPr>
        <w:t>7</w:t>
      </w:r>
      <w:r>
        <w:rPr>
          <w:rFonts w:hint="eastAsia"/>
          <w:sz w:val="21"/>
          <w:szCs w:val="24"/>
        </w:rPr>
        <w:t>）因金融资产转移而终止确认的其他应收款</w:t>
      </w:r>
    </w:p>
    <w:p>
      <w:pPr>
        <w:pStyle w:val="8"/>
        <w:outlineLvl w:val="4"/>
        <w:rPr>
          <w:rFonts w:hint="default"/>
          <w:sz w:val="21"/>
          <w:szCs w:val="24"/>
        </w:rPr>
      </w:pPr>
      <w:r>
        <w:rPr>
          <w:rFonts w:hint="default"/>
          <w:sz w:val="21"/>
          <w:szCs w:val="24"/>
        </w:rPr>
        <w:t>8</w:t>
      </w:r>
      <w:r>
        <w:rPr>
          <w:rFonts w:hint="eastAsia"/>
          <w:sz w:val="21"/>
          <w:szCs w:val="24"/>
        </w:rPr>
        <w:t>）转移其他应收款且继续涉入形成的资产、负债金额</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9</w:t>
      </w:r>
      <w:r>
        <w:rPr>
          <w:rFonts w:hint="eastAsia"/>
          <w:sz w:val="21"/>
          <w:szCs w:val="24"/>
        </w:rPr>
        <w:t>、存货</w:t>
      </w:r>
    </w:p>
    <w:p>
      <w:pPr>
        <w:jc w:val="left"/>
        <w:rPr>
          <w:rFonts w:hint="default"/>
          <w:sz w:val="18"/>
          <w:szCs w:val="24"/>
        </w:rPr>
      </w:pPr>
      <w:r>
        <w:rPr>
          <w:rFonts w:hint="eastAsia"/>
          <w:sz w:val="18"/>
          <w:szCs w:val="24"/>
        </w:rPr>
        <w:t>公司是否需要遵守房地产行业的披露要求</w:t>
      </w:r>
    </w:p>
    <w:p>
      <w:pPr>
        <w:jc w:val="left"/>
        <w:rPr>
          <w:rFonts w:hint="default"/>
          <w:sz w:val="18"/>
          <w:szCs w:val="24"/>
        </w:rPr>
      </w:pPr>
      <w:r>
        <w:rPr>
          <w:rFonts w:hint="eastAsia"/>
          <w:sz w:val="18"/>
          <w:szCs w:val="24"/>
        </w:rPr>
        <w:t>否</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）存货分类</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存货跌价准备或合同履约成本减值准备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存货跌价准备或合同履约成本减值准备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原材料</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16,255,831.28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7,497.05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16,248,334.23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16,446,694.71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12,397.91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16,434,296.80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在产品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3,817,243.09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3,817,243.09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7,202,930.42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7,202,930.42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库存商品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20,044,219.59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978,500.30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19,065,719.29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15,549,916.98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1,146,676.66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14,403,240.32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周转材料</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8,797,814.33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8,797,814.33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7,838,087.68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7,838,087.68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发出商品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4,581,220.07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4,581,220.07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4,856,625.95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4,856,625.95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委托加工物资</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149,790.73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149,790.73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237,620.51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237,620.51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自制半成品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21,715,953.40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157,688.79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21,558,264.61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19,200,890.26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189,480.74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19,011,409.52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75,362,072.49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1,143,686.14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74,218,386.35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71,332,766.51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1,348,555.31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69,984,211.20</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）存货跌价准备和合同履约成本减值准备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本期增加金额</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转回或转销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原材料</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12,397.91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4,900.86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7,497.05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库存商品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1,146,676.66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376,117.28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544,293.64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978,500.30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自制半成品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189,480.74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31,791.95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157,688.79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1,348,555.31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376,117.28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580,986.45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1,143,686.14</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）存货期末余额含有借款费用资本化金额的说明</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报告期末存货余额中无利息资本化金额。</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）合同履约成本本期摊销金额的说明</w:t>
      </w:r>
    </w:p>
    <w:p>
      <w:pPr>
        <w:pStyle w:val="8"/>
        <w:outlineLvl w:val="2"/>
        <w:rPr>
          <w:rFonts w:hint="default"/>
          <w:sz w:val="21"/>
          <w:szCs w:val="24"/>
        </w:rPr>
      </w:pPr>
      <w:r>
        <w:rPr>
          <w:rFonts w:hint="default"/>
          <w:sz w:val="21"/>
          <w:szCs w:val="24"/>
        </w:rPr>
        <w:t>10</w:t>
      </w:r>
      <w:r>
        <w:rPr>
          <w:rFonts w:hint="eastAsia"/>
          <w:sz w:val="21"/>
          <w:szCs w:val="24"/>
        </w:rPr>
        <w:t>、合同资产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132"/>
        <w:gridCol w:w="1196"/>
        <w:gridCol w:w="1329"/>
        <w:gridCol w:w="1195"/>
        <w:gridCol w:w="1196"/>
        <w:gridCol w:w="1196"/>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1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720"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71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1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bl>
    <w:p>
      <w:pPr>
        <w:jc w:val="left"/>
        <w:rPr>
          <w:rFonts w:hint="default"/>
          <w:sz w:val="18"/>
          <w:szCs w:val="24"/>
        </w:rPr>
      </w:pPr>
      <w:r>
        <w:rPr>
          <w:rFonts w:hint="eastAsia"/>
          <w:sz w:val="18"/>
          <w:szCs w:val="24"/>
        </w:rPr>
        <w:t>合同资产的账面价值在本期内发生的重大变动金额和原因：</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205"/>
        <w:gridCol w:w="2419"/>
        <w:gridCol w:w="4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41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变动金额</w:t>
            </w:r>
          </w:p>
        </w:tc>
        <w:tc>
          <w:tcPr>
            <w:tcW w:w="4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变动原因</w:t>
            </w:r>
          </w:p>
        </w:tc>
      </w:tr>
    </w:tbl>
    <w:p>
      <w:pPr>
        <w:jc w:val="left"/>
        <w:rPr>
          <w:rFonts w:hint="default"/>
          <w:sz w:val="18"/>
          <w:szCs w:val="24"/>
        </w:rPr>
      </w:pPr>
      <w:r>
        <w:rPr>
          <w:rFonts w:hint="eastAsia"/>
          <w:sz w:val="18"/>
          <w:szCs w:val="24"/>
        </w:rPr>
        <w:t>如是按照预期信用损失一般模型计提合同资产坏账准备，请参照其他应收款的披露方式披露坏账准备的相关信息：</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本期合同资产计提减值准备情况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本期计提</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本期转回</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本期转销</w:t>
            </w:r>
            <w:r>
              <w:rPr>
                <w:rFonts w:hint="default"/>
                <w:sz w:val="18"/>
                <w:szCs w:val="24"/>
              </w:rPr>
              <w:t>/</w:t>
            </w:r>
            <w:r>
              <w:rPr>
                <w:rFonts w:hint="eastAsia"/>
                <w:sz w:val="18"/>
                <w:szCs w:val="24"/>
              </w:rPr>
              <w:t>核销</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原因</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11</w:t>
      </w:r>
      <w:r>
        <w:rPr>
          <w:rFonts w:hint="eastAsia"/>
          <w:sz w:val="21"/>
          <w:szCs w:val="24"/>
        </w:rPr>
        <w:t>、持有待售资产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7"/>
        <w:gridCol w:w="1367"/>
        <w:gridCol w:w="1367"/>
        <w:gridCol w:w="1367"/>
        <w:gridCol w:w="1367"/>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公允价值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预计处置费用</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预计处置时间</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12</w:t>
      </w:r>
      <w:r>
        <w:rPr>
          <w:rFonts w:hint="eastAsia"/>
          <w:sz w:val="21"/>
          <w:szCs w:val="24"/>
        </w:rPr>
        <w:t>、一年内到期的非流动资产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重要的债权投资</w:t>
      </w:r>
      <w:r>
        <w:rPr>
          <w:rFonts w:hint="default"/>
          <w:sz w:val="18"/>
          <w:szCs w:val="24"/>
        </w:rPr>
        <w:t>/</w:t>
      </w:r>
      <w:r>
        <w:rPr>
          <w:rFonts w:hint="eastAsia"/>
          <w:sz w:val="18"/>
          <w:szCs w:val="24"/>
        </w:rPr>
        <w:t>其他债权投资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到期日</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13</w:t>
      </w:r>
      <w:r>
        <w:rPr>
          <w:rFonts w:hint="eastAsia"/>
          <w:sz w:val="21"/>
          <w:szCs w:val="24"/>
        </w:rPr>
        <w:t>、其他流动资产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待抵扣增值税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1,703,452.30</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2,057,612.10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待摊的财产保险费</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37,289.31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47,426.13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预缴的城镇土地使用税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111,973.48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大额定期存单理财</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30,036,600.00</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31,777,341.61</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2,217,011.71</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14</w:t>
      </w:r>
      <w:r>
        <w:rPr>
          <w:rFonts w:hint="eastAsia"/>
          <w:sz w:val="21"/>
          <w:szCs w:val="24"/>
        </w:rPr>
        <w:t>、债权投资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bl>
    <w:p>
      <w:pPr>
        <w:jc w:val="left"/>
        <w:rPr>
          <w:rFonts w:hint="default"/>
          <w:sz w:val="18"/>
          <w:szCs w:val="24"/>
        </w:rPr>
      </w:pPr>
      <w:r>
        <w:rPr>
          <w:rFonts w:hint="eastAsia"/>
          <w:sz w:val="18"/>
          <w:szCs w:val="24"/>
        </w:rPr>
        <w:t>重要的债权投资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到期日</w:t>
            </w:r>
          </w:p>
        </w:tc>
      </w:tr>
    </w:tbl>
    <w:p>
      <w:pPr>
        <w:jc w:val="left"/>
        <w:rPr>
          <w:rFonts w:hint="default"/>
          <w:sz w:val="18"/>
          <w:szCs w:val="24"/>
        </w:rPr>
      </w:pPr>
      <w:r>
        <w:rPr>
          <w:rFonts w:hint="eastAsia"/>
          <w:sz w:val="18"/>
          <w:szCs w:val="24"/>
        </w:rPr>
        <w:t>减值准备计提情况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损失准备本期变动金额重大的账面余额变动情况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15</w:t>
      </w:r>
      <w:r>
        <w:rPr>
          <w:rFonts w:hint="eastAsia"/>
          <w:sz w:val="21"/>
          <w:szCs w:val="24"/>
        </w:rPr>
        <w:t>、其他债权投资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96"/>
        <w:gridCol w:w="1035"/>
        <w:gridCol w:w="1034"/>
        <w:gridCol w:w="1034"/>
        <w:gridCol w:w="1034"/>
        <w:gridCol w:w="1034"/>
        <w:gridCol w:w="1034"/>
        <w:gridCol w:w="1034"/>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应计利息</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本期公允价值变动</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成本</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累计公允价值变动</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累计在其他综合收益中确认的损失准备</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备注</w:t>
            </w:r>
          </w:p>
        </w:tc>
      </w:tr>
    </w:tbl>
    <w:p>
      <w:pPr>
        <w:jc w:val="left"/>
        <w:rPr>
          <w:rFonts w:hint="default"/>
          <w:sz w:val="18"/>
          <w:szCs w:val="24"/>
        </w:rPr>
      </w:pPr>
      <w:r>
        <w:rPr>
          <w:rFonts w:hint="eastAsia"/>
          <w:sz w:val="18"/>
          <w:szCs w:val="24"/>
        </w:rPr>
        <w:t>重要的其他债权投资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到期日</w:t>
            </w:r>
          </w:p>
        </w:tc>
      </w:tr>
    </w:tbl>
    <w:p>
      <w:pPr>
        <w:jc w:val="left"/>
        <w:rPr>
          <w:rFonts w:hint="default"/>
          <w:sz w:val="18"/>
          <w:szCs w:val="24"/>
        </w:rPr>
      </w:pPr>
      <w:r>
        <w:rPr>
          <w:rFonts w:hint="eastAsia"/>
          <w:sz w:val="18"/>
          <w:szCs w:val="24"/>
        </w:rPr>
        <w:t>减值准备计提情况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损失准备本期变动金额重大的账面余额变动情况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16</w:t>
      </w:r>
      <w:r>
        <w:rPr>
          <w:rFonts w:hint="eastAsia"/>
          <w:sz w:val="21"/>
          <w:szCs w:val="24"/>
        </w:rPr>
        <w:t>、长期应收款</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）长期应收款情况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403"/>
        <w:gridCol w:w="1167"/>
        <w:gridCol w:w="1167"/>
        <w:gridCol w:w="1167"/>
        <w:gridCol w:w="1167"/>
        <w:gridCol w:w="1168"/>
        <w:gridCol w:w="1165"/>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0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5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500"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1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折现率区间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40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1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1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坏账准备减值情况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损失准备本期变动金额重大的账面余额变动情况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）因金融资产转移而终止确认的长期应收款</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）转移长期应收款且继续涉入形成的资产、负债金额</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17</w:t>
      </w:r>
      <w:r>
        <w:rPr>
          <w:rFonts w:hint="eastAsia"/>
          <w:sz w:val="21"/>
          <w:szCs w:val="24"/>
        </w:rPr>
        <w:t>、长期股权投资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796"/>
        <w:gridCol w:w="797"/>
        <w:gridCol w:w="797"/>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被投资单位</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6383"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本期增减变动</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追加投资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减少投资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权益法下确认的投资损益</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其他综合收益调整</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其他权益变动</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宣告发放现金股利或利润</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计提减值准备</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一、合营企业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二、联营企业</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18</w:t>
      </w:r>
      <w:r>
        <w:rPr>
          <w:rFonts w:hint="eastAsia"/>
          <w:sz w:val="21"/>
          <w:szCs w:val="24"/>
        </w:rPr>
        <w:t>、其他权益工具投资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分项披露本期非交易性权益工具投资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确认的股利收入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累计利得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累计损失</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其他综合收益转入留存收益的金额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指定为以公允价值计量且其变动计入其他综合收益的原因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其他综合收益转入留存收益的原因</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19</w:t>
      </w:r>
      <w:r>
        <w:rPr>
          <w:rFonts w:hint="eastAsia"/>
          <w:sz w:val="21"/>
          <w:szCs w:val="24"/>
        </w:rPr>
        <w:t>、其他非流动金融资产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20</w:t>
      </w:r>
      <w:r>
        <w:rPr>
          <w:rFonts w:hint="eastAsia"/>
          <w:sz w:val="21"/>
          <w:szCs w:val="24"/>
        </w:rPr>
        <w:t>、投资性房地产</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）采用成本计量模式的投资性房地产</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房屋、建筑物</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土地使用权</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在建工程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一、账面原值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6,036,790.06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815,291.84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6,852,081.90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8,161,405.49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1,438,312.48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9,599,717.97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）外购</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）存货</w:t>
            </w:r>
            <w:r>
              <w:rPr>
                <w:rFonts w:hint="default"/>
                <w:sz w:val="18"/>
                <w:szCs w:val="24"/>
              </w:rPr>
              <w:t>\</w:t>
            </w:r>
            <w:r>
              <w:rPr>
                <w:rFonts w:hint="eastAsia"/>
                <w:sz w:val="18"/>
                <w:szCs w:val="24"/>
              </w:rPr>
              <w:t>固定资产</w:t>
            </w:r>
            <w:r>
              <w:rPr>
                <w:rFonts w:hint="default"/>
                <w:sz w:val="18"/>
                <w:szCs w:val="24"/>
              </w:rPr>
              <w:t>\</w:t>
            </w:r>
            <w:r>
              <w:rPr>
                <w:rFonts w:hint="eastAsia"/>
                <w:sz w:val="18"/>
                <w:szCs w:val="24"/>
              </w:rPr>
              <w:t>在建工程转入</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157,494.63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157,494.63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14,040,700.92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2,253,604.32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16,294,305.24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二、累计折旧和累计摊销</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4,367,707.95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343,781.42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4,711,489.37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4,875,277.16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474,176.88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5,349,454.04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）计提或摊销</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350,401.19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23,771.13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374,172.32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54,130.60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9,188,854.51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817,958.30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10,006,812.81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三、减值准备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4,851,846.41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1,435,646.02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6,287,492.43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1,669,082.11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471,510.42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2,140,592.53</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）采用公允价值计量模式的投资性房地产</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）未办妥产权证书的投资性房地产情况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未办妥产权证书原因</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21</w:t>
      </w:r>
      <w:r>
        <w:rPr>
          <w:rFonts w:hint="eastAsia"/>
          <w:sz w:val="21"/>
          <w:szCs w:val="24"/>
        </w:rPr>
        <w:t>、固定资产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固定资产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245,669,062.62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258,179,216.73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245,669,062.62</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258,179,216.73</w:t>
            </w:r>
          </w:p>
        </w:tc>
      </w:tr>
    </w:tbl>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）固定资产情况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4"/>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房屋及建筑物</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机器设备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运输工具</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电子设备及其他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159,831,408.33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176,402,547.00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5,915,076.24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8,470,047.88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350,619,079.45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1,539,756.09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10,748,006.35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538,761.06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668,082.06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13,494,605.56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）购置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292,652.06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538,761.06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491,167.49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1,322,580.61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）在建工程转入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1,382,261.46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10,455,354.29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176,914.57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12,014,530.32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9,142,615.90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3,756,221.89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222,372.18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170,170.44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13,291,380.41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981,210.41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3,756,221.89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222,372.18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170,170.44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5,129,974.92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w:t>
            </w:r>
            <w:r>
              <w:rPr>
                <w:rFonts w:hint="default"/>
                <w:sz w:val="18"/>
                <w:szCs w:val="24"/>
              </w:rPr>
              <w:t>2</w:t>
            </w:r>
            <w:r>
              <w:rPr>
                <w:rFonts w:hint="eastAsia"/>
                <w:sz w:val="18"/>
                <w:szCs w:val="24"/>
              </w:rPr>
              <w:t>）转入投资性房地产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8,161,405.49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8,161,405.49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152,228,548.52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183,394,331.46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6,231,465.12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8,967,959.50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350,822,304.60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二、累计折旧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43,692,466.37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38,323,764.34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4,150,235.46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6,273,396.55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92,439,862.72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7,533,895.23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12,647,659.66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496,436.00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579,826.54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21,257,817.43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7,479,764.63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12,647,659.66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496,436.00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579,826.54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21,203,686.83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w:t>
            </w:r>
            <w:r>
              <w:rPr>
                <w:rFonts w:hint="default"/>
                <w:sz w:val="18"/>
                <w:szCs w:val="24"/>
              </w:rPr>
              <w:t>2</w:t>
            </w:r>
            <w:r>
              <w:rPr>
                <w:rFonts w:hint="eastAsia"/>
                <w:sz w:val="18"/>
                <w:szCs w:val="24"/>
              </w:rPr>
              <w:t>）投资性房地产转入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54,130.60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5,018,084.11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3,155,784.69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207,183.07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163,386.30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8,544,438.17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493,208.14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3,155,784.69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207,183.07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163,386.30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4,019,562.20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w:t>
            </w:r>
            <w:r>
              <w:rPr>
                <w:rFonts w:hint="default"/>
                <w:sz w:val="18"/>
                <w:szCs w:val="24"/>
              </w:rPr>
              <w:t>2</w:t>
            </w:r>
            <w:r>
              <w:rPr>
                <w:rFonts w:hint="eastAsia"/>
                <w:sz w:val="18"/>
                <w:szCs w:val="24"/>
              </w:rPr>
              <w:t>）转入投资性房地产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4,524,875.97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4,524,875.97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46,208,277.49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47,815,639.31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4,439,488.39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6,689,836.79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105,153,241.98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106,020,271.03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135,578,692.15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1,791,976.73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2,278,122.71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245,669,062.62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116,138,941.96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138,078,782.66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1,764,840.78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2,196,651.33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258,179,216.73</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）暂时闲置的固定资产情况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累计折旧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备注</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）通过融资租赁租入的固定资产情况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账面原值</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累计折旧</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bl>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）通过经营租赁租出的固定资产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期末账面价值</w:t>
            </w:r>
          </w:p>
        </w:tc>
      </w:tr>
    </w:tbl>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）未办妥产权证书的固定资产情况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未办妥产权证书的原因</w:t>
            </w:r>
          </w:p>
        </w:tc>
      </w:tr>
    </w:tbl>
    <w:p>
      <w:pPr>
        <w:jc w:val="left"/>
        <w:rPr>
          <w:rFonts w:hint="default"/>
          <w:sz w:val="18"/>
          <w:szCs w:val="24"/>
        </w:rPr>
      </w:pPr>
      <w:r>
        <w:rPr>
          <w:rFonts w:hint="eastAsia"/>
          <w:sz w:val="18"/>
          <w:szCs w:val="24"/>
        </w:rPr>
        <w:t>其他说明</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②报告期末无未办妥产权证书的固定资产。</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③截至</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日，公司的房屋建筑物无设定抵押情况。</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④报告期公司固定资产未发生减值情况</w:t>
      </w:r>
      <w:r>
        <w:rPr>
          <w:rFonts w:hint="default" w:eastAsia="Times New Roman"/>
          <w:kern w:val="0"/>
          <w:sz w:val="21"/>
          <w:szCs w:val="24"/>
          <w:lang w:val="zh-CN"/>
        </w:rPr>
        <w:t>,</w:t>
      </w:r>
      <w:r>
        <w:rPr>
          <w:rFonts w:hint="eastAsia" w:ascii="宋体" w:hAnsi="宋体" w:cs="宋体"/>
          <w:kern w:val="0"/>
          <w:sz w:val="21"/>
          <w:szCs w:val="24"/>
          <w:lang w:val="zh-CN"/>
        </w:rPr>
        <w:t>故未计提减值准备。</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⑤</w:t>
      </w:r>
      <w:r>
        <w:rPr>
          <w:rFonts w:hint="default" w:eastAsia="Times New Roman"/>
          <w:kern w:val="0"/>
          <w:sz w:val="21"/>
          <w:szCs w:val="24"/>
          <w:lang w:val="zh-CN"/>
        </w:rPr>
        <w:t>2020</w:t>
      </w:r>
      <w:r>
        <w:rPr>
          <w:rFonts w:hint="eastAsia" w:ascii="宋体" w:hAnsi="宋体" w:cs="宋体"/>
          <w:kern w:val="0"/>
          <w:sz w:val="21"/>
          <w:szCs w:val="24"/>
          <w:lang w:val="zh-CN"/>
        </w:rPr>
        <w:t>年度在建工程转入增加固定资产原值为</w:t>
      </w:r>
      <w:r>
        <w:rPr>
          <w:rFonts w:hint="default" w:eastAsia="Times New Roman"/>
          <w:kern w:val="0"/>
          <w:sz w:val="21"/>
          <w:szCs w:val="24"/>
          <w:lang w:val="zh-CN"/>
        </w:rPr>
        <w:t>12,014,530.32</w:t>
      </w:r>
      <w:r>
        <w:rPr>
          <w:rFonts w:hint="eastAsia" w:ascii="宋体" w:hAnsi="宋体" w:cs="宋体"/>
          <w:kern w:val="0"/>
          <w:sz w:val="21"/>
          <w:szCs w:val="24"/>
          <w:lang w:val="zh-CN"/>
        </w:rPr>
        <w:t>元。</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⑥报告期公司无暂时闲置的固定资产情况。</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⑦报告期公司无通过融资租赁租入的固定资产情况。</w:t>
      </w:r>
    </w:p>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）固定资产清理</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8"/>
        <w:gridCol w:w="3191"/>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无</w:t>
      </w:r>
    </w:p>
    <w:p>
      <w:pPr>
        <w:pStyle w:val="8"/>
        <w:outlineLvl w:val="2"/>
        <w:rPr>
          <w:rFonts w:hint="default"/>
          <w:sz w:val="21"/>
          <w:szCs w:val="24"/>
        </w:rPr>
      </w:pPr>
      <w:r>
        <w:rPr>
          <w:rFonts w:hint="default"/>
          <w:sz w:val="21"/>
          <w:szCs w:val="24"/>
        </w:rPr>
        <w:t>22</w:t>
      </w:r>
      <w:r>
        <w:rPr>
          <w:rFonts w:hint="eastAsia"/>
          <w:sz w:val="21"/>
          <w:szCs w:val="24"/>
        </w:rPr>
        <w:t>、在建工程</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在建工程</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12,829,256.89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2,327,542.83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12,829,256.89</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2,327,542.83</w:t>
            </w:r>
          </w:p>
        </w:tc>
      </w:tr>
    </w:tbl>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）在建工程情况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待安装设备</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12,144,870.04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12,144,870.04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566,035.31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566,035.31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厂房及零星工程等</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684,386.85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684,386.85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1,761,507.52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1,761,507.52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12,829,256.89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12,829,256.89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2,327,542.83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2,327,542.83</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）重要在建工程项目本期变动情况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732"/>
        <w:gridCol w:w="736"/>
        <w:gridCol w:w="736"/>
        <w:gridCol w:w="736"/>
        <w:gridCol w:w="736"/>
        <w:gridCol w:w="736"/>
        <w:gridCol w:w="736"/>
        <w:gridCol w:w="736"/>
        <w:gridCol w:w="736"/>
        <w:gridCol w:w="736"/>
        <w:gridCol w:w="736"/>
        <w:gridCol w:w="73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项目名称</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预算数</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本期转入固定资产金额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本期其他减少金额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工程累计投入占预算比例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工程进度</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利息资本化累计金额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其中：本期利息资本化金额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本期利息资本化率</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待安装设备</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566,035.31</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22,211,103.59</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10,632,268.86</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12,144,870.04</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厂房及零星工程等</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1,761,507.52</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380,362.03</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1,382,261.46</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684,386.85</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2,327,542.83</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22,591,465.62</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12,014,530.32</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12,829,256.89</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）本期计提在建工程减值准备情况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8"/>
        <w:gridCol w:w="3191"/>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本期计提金额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计提原因</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）工程物资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132"/>
        <w:gridCol w:w="1329"/>
        <w:gridCol w:w="1328"/>
        <w:gridCol w:w="1196"/>
        <w:gridCol w:w="1196"/>
        <w:gridCol w:w="1196"/>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1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85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58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1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23</w:t>
      </w:r>
      <w:r>
        <w:rPr>
          <w:rFonts w:hint="eastAsia"/>
          <w:sz w:val="21"/>
          <w:szCs w:val="24"/>
        </w:rPr>
        <w:t>、生产性生物资产</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）采用成本计量模式的生产性生物资产</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）采用公允价值计量模式的生产性生物资产</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24</w:t>
      </w:r>
      <w:r>
        <w:rPr>
          <w:rFonts w:hint="eastAsia"/>
          <w:sz w:val="21"/>
          <w:szCs w:val="24"/>
        </w:rPr>
        <w:t>、油气资产</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25</w:t>
      </w:r>
      <w:r>
        <w:rPr>
          <w:rFonts w:hint="eastAsia"/>
          <w:sz w:val="21"/>
          <w:szCs w:val="24"/>
        </w:rPr>
        <w:t>、使用权资产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26</w:t>
      </w:r>
      <w:r>
        <w:rPr>
          <w:rFonts w:hint="eastAsia"/>
          <w:sz w:val="21"/>
          <w:szCs w:val="24"/>
        </w:rPr>
        <w:t>、无形资产</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）无形资产情况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4"/>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土地使用权</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专利权</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非专利技术</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计算机软件</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42,966,107.31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1,154,839.62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44,120,946.93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92,920.36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92,920.36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）购置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17,699.12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17,699.12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）内部研发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w:t>
            </w:r>
            <w:r>
              <w:rPr>
                <w:rFonts w:hint="default"/>
                <w:sz w:val="18"/>
                <w:szCs w:val="24"/>
              </w:rPr>
              <w:t>4</w:t>
            </w:r>
            <w:r>
              <w:rPr>
                <w:rFonts w:hint="eastAsia"/>
                <w:sz w:val="18"/>
                <w:szCs w:val="24"/>
              </w:rPr>
              <w:t>）在建工程转入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75,221.24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75,221.24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1,438,312.48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1,438,312.48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w:t>
            </w:r>
            <w:r>
              <w:rPr>
                <w:rFonts w:hint="default"/>
                <w:sz w:val="18"/>
                <w:szCs w:val="24"/>
              </w:rPr>
              <w:t>2</w:t>
            </w:r>
            <w:r>
              <w:rPr>
                <w:rFonts w:hint="eastAsia"/>
                <w:sz w:val="18"/>
                <w:szCs w:val="24"/>
              </w:rPr>
              <w:t>）转入投资性房地产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1,438,312.48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1,438,312.48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41,527,794.83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1,247,759.98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42,775,554.81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二、累计摊销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6,278,180.02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438,892.59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6,717,072.61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915,040.71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161,937.51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1,076,978.22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915,040.71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161,937.51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1,076,978.22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450,405.75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450,405.75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w:t>
            </w:r>
            <w:r>
              <w:rPr>
                <w:rFonts w:hint="default"/>
                <w:sz w:val="18"/>
                <w:szCs w:val="24"/>
              </w:rPr>
              <w:t>2</w:t>
            </w:r>
            <w:r>
              <w:rPr>
                <w:rFonts w:hint="eastAsia"/>
                <w:sz w:val="18"/>
                <w:szCs w:val="24"/>
              </w:rPr>
              <w:t>）转入投资性房地产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450,405.75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450,405.75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6,742,814.98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600,830.10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7,343,645.08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四、账面价值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34,784,979.85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646,929.88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35,431,909.73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36,687,927.29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715,947.03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37,403,874.32</w:t>
            </w:r>
          </w:p>
        </w:tc>
      </w:tr>
    </w:tbl>
    <w:p>
      <w:pPr>
        <w:jc w:val="left"/>
        <w:rPr>
          <w:rFonts w:hint="default"/>
          <w:sz w:val="18"/>
          <w:szCs w:val="24"/>
        </w:rPr>
      </w:pPr>
      <w:r>
        <w:rPr>
          <w:rFonts w:hint="eastAsia"/>
          <w:sz w:val="18"/>
          <w:szCs w:val="24"/>
        </w:rPr>
        <w:t>本期末通过公司内部研发形成的无形资产占无形资产余额的比例。</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）未办妥产权证书的土地使用权情况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未办妥产权证书的原因</w:t>
            </w:r>
          </w:p>
        </w:tc>
      </w:tr>
    </w:tbl>
    <w:p>
      <w:pPr>
        <w:jc w:val="left"/>
        <w:rPr>
          <w:rFonts w:hint="default"/>
          <w:sz w:val="18"/>
          <w:szCs w:val="24"/>
        </w:rPr>
      </w:pPr>
      <w:r>
        <w:rPr>
          <w:rFonts w:hint="eastAsia"/>
          <w:sz w:val="18"/>
          <w:szCs w:val="24"/>
        </w:rPr>
        <w:t>其他说明：</w:t>
      </w:r>
    </w:p>
    <w:p>
      <w:pPr>
        <w:autoSpaceDE w:val="0"/>
        <w:autoSpaceDN w:val="0"/>
        <w:adjustRightInd w:val="0"/>
        <w:spacing w:before="150" w:after="0"/>
        <w:ind w:firstLine="436"/>
        <w:jc w:val="left"/>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）报告期无形资产未发生减值情况，故未计提减值准备。</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）截至</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日，公司的土地使用权无设定抵押的情况。</w:t>
      </w:r>
      <w:r>
        <w:rPr>
          <w:rFonts w:hint="default" w:eastAsia="Times New Roman"/>
          <w:kern w:val="0"/>
          <w:sz w:val="21"/>
          <w:szCs w:val="24"/>
          <w:lang w:val="zh-CN"/>
        </w:rPr>
        <w:t xml:space="preserve"> </w:t>
      </w:r>
    </w:p>
    <w:p>
      <w:pPr>
        <w:autoSpaceDE w:val="0"/>
        <w:autoSpaceDN w:val="0"/>
        <w:adjustRightInd w:val="0"/>
        <w:spacing w:before="0" w:after="15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5</w:t>
      </w:r>
      <w:r>
        <w:rPr>
          <w:rFonts w:hint="eastAsia" w:ascii="宋体" w:hAnsi="宋体" w:cs="宋体"/>
          <w:kern w:val="0"/>
          <w:sz w:val="21"/>
          <w:szCs w:val="24"/>
          <w:lang w:val="zh-CN"/>
        </w:rPr>
        <w:t>）截至</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日，公司无未办妥产权证书的土地使用权情况。</w:t>
      </w:r>
    </w:p>
    <w:p>
      <w:pPr>
        <w:autoSpaceDE w:val="0"/>
        <w:autoSpaceDN w:val="0"/>
        <w:adjustRightInd w:val="0"/>
        <w:spacing w:before="0" w:after="150"/>
        <w:rPr>
          <w:rFonts w:hint="default" w:eastAsia="Times New Roman"/>
          <w:kern w:val="0"/>
          <w:sz w:val="21"/>
          <w:szCs w:val="24"/>
          <w:lang w:val="zh-CN"/>
        </w:rPr>
      </w:pPr>
    </w:p>
    <w:p>
      <w:pPr>
        <w:pStyle w:val="8"/>
        <w:outlineLvl w:val="2"/>
        <w:rPr>
          <w:rFonts w:hint="default"/>
          <w:sz w:val="21"/>
          <w:szCs w:val="24"/>
        </w:rPr>
      </w:pPr>
      <w:r>
        <w:rPr>
          <w:rFonts w:hint="default"/>
          <w:sz w:val="21"/>
          <w:szCs w:val="24"/>
        </w:rPr>
        <w:t>27</w:t>
      </w:r>
      <w:r>
        <w:rPr>
          <w:rFonts w:hint="eastAsia"/>
          <w:sz w:val="21"/>
          <w:szCs w:val="24"/>
        </w:rPr>
        <w:t>、开发支出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063"/>
        <w:gridCol w:w="1063"/>
        <w:gridCol w:w="1063"/>
        <w:gridCol w:w="1063"/>
        <w:gridCol w:w="1063"/>
        <w:gridCol w:w="1063"/>
        <w:gridCol w:w="1063"/>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31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本期增加金额</w:t>
            </w:r>
          </w:p>
        </w:tc>
        <w:tc>
          <w:tcPr>
            <w:tcW w:w="31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本期减少金额</w:t>
            </w:r>
          </w:p>
        </w:tc>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内部开发支出</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确认为无形资产</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转入当期损益</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0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28</w:t>
      </w:r>
      <w:r>
        <w:rPr>
          <w:rFonts w:hint="eastAsia"/>
          <w:sz w:val="21"/>
          <w:szCs w:val="24"/>
        </w:rPr>
        <w:t>、商誉</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）商誉账面原值</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7"/>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被投资单位名称或形成商誉的事项</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企业合并形成的</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处置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）商誉减值准备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7"/>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被投资单位名称或形成商誉的事项</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处置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商誉所在资产组或资产组组合的相关信息</w:t>
      </w:r>
    </w:p>
    <w:p>
      <w:pPr>
        <w:jc w:val="left"/>
        <w:rPr>
          <w:rFonts w:hint="default"/>
          <w:sz w:val="18"/>
          <w:szCs w:val="24"/>
        </w:rPr>
      </w:pPr>
      <w:r>
        <w:rPr>
          <w:rFonts w:hint="eastAsia"/>
          <w:sz w:val="18"/>
          <w:szCs w:val="24"/>
        </w:rPr>
        <w:t>说明商誉减值测试过程、关键参数（如预计未来现金流量现值时的预测期增长率、稳定期增长率、利润率、折现率、预测期等）及商誉减值损失的确认方法：</w:t>
      </w:r>
    </w:p>
    <w:p>
      <w:pPr>
        <w:jc w:val="left"/>
        <w:rPr>
          <w:rFonts w:hint="default"/>
          <w:sz w:val="18"/>
          <w:szCs w:val="24"/>
        </w:rPr>
      </w:pPr>
      <w:r>
        <w:rPr>
          <w:rFonts w:hint="eastAsia"/>
          <w:sz w:val="18"/>
          <w:szCs w:val="24"/>
        </w:rPr>
        <w:t>商誉减值测试的影响</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29</w:t>
      </w:r>
      <w:r>
        <w:rPr>
          <w:rFonts w:hint="eastAsia"/>
          <w:sz w:val="21"/>
          <w:szCs w:val="24"/>
        </w:rPr>
        <w:t>、长期待摊费用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本期摊销金额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房屋改造费用</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349,509.80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63,547.20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285,962.60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349,509.80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63,547.20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285,962.60</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30</w:t>
      </w:r>
      <w:r>
        <w:rPr>
          <w:rFonts w:hint="eastAsia"/>
          <w:sz w:val="21"/>
          <w:szCs w:val="24"/>
        </w:rPr>
        <w:t>、递延所得税资产</w:t>
      </w:r>
      <w:r>
        <w:rPr>
          <w:rFonts w:hint="default"/>
          <w:sz w:val="21"/>
          <w:szCs w:val="24"/>
        </w:rPr>
        <w:t>/</w:t>
      </w:r>
      <w:r>
        <w:rPr>
          <w:rFonts w:hint="eastAsia"/>
          <w:sz w:val="21"/>
          <w:szCs w:val="24"/>
        </w:rPr>
        <w:t>递延所得税负债</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）未经抵销的递延所得税资产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可抵扣暂时性差异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递延所得税资产</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可抵扣暂时性差异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递延所得税资产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内部交易未实现利润</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106,763.00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16,014.45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可抵扣亏损</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43,666,951.08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6,533,002.42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38,947,461.72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5,871,416.86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存货跌价准备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1,143,686.14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171,552.92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1,348,555.31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202,283.29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坏账准备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5,308,616.89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808,197.73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5,898,248.47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894,791.00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递延收益</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11,203,763.20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2,378,814.52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8,796,408.98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2,034,707.33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股权激励</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4,166,344.00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624,951.60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5,036,595.66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755,489.35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理财产品公允价值变动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4,740.00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环保设备抵税额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6,227,191.54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934,078.73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71,854,915.85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11,471,352.37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60,027,270.14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9,758,687.83</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）未经抵销的递延所得税负债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应纳税暂时性差异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递延所得税负债</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应纳税暂时性差异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递延所得税负债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内部交易未实现利润</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840,083.80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126,012.57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固定资产税前一次性扣除</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19,418,563.95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2,912,348.61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21,904,952.60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3,285,742.89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交易性金融资产公允价值变动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6,004,284.03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893,094.11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1,371,071.13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205,660.67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25,422,847.98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3,805,442.72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24,116,107.53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3,617,416.13</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）以抵销后净额列示的递延所得税资产或负债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递延所得税资产和负债期末互抵金额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抵销后递延所得税资产或负债期末余额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递延所得税资产和负债期初互抵金额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抵销后递延所得税资产或负债期初余额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递延所得税资产</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11,471,352.37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9,758,687.83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递延所得税负债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3,805,442.72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3,617,416.13</w:t>
            </w:r>
          </w:p>
        </w:tc>
      </w:tr>
    </w:tbl>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）未确认递延所得税资产明细</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可抵扣亏损</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1,323,888.95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1,734,004.96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1,323,888.95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1,734,004.96</w:t>
            </w:r>
          </w:p>
        </w:tc>
      </w:tr>
    </w:tbl>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）未确认递延所得税资产的可抵扣亏损将于以下年度到期</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年份</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413,968.44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2021</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483,669.58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483,669.58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2022</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661,691.64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661,691.64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2023</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170,764.33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170,764.33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2024</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3,910.97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3,910.97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2025</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3,852.43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1,323,888.95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1,734,004.96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31</w:t>
      </w:r>
      <w:r>
        <w:rPr>
          <w:rFonts w:hint="eastAsia"/>
          <w:sz w:val="21"/>
          <w:szCs w:val="24"/>
        </w:rPr>
        <w:t>、其他非流动资产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8"/>
        <w:gridCol w:w="1064"/>
        <w:gridCol w:w="1064"/>
        <w:gridCol w:w="1065"/>
        <w:gridCol w:w="1062"/>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预付设备款</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1,663,500.00</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1,663,500.00</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3,637,853.22</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3,637,853.22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1,663,500.00</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1,663,500.00</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3,637,853.22</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3,637,853.22</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32</w:t>
      </w:r>
      <w:r>
        <w:rPr>
          <w:rFonts w:hint="eastAsia"/>
          <w:sz w:val="21"/>
          <w:szCs w:val="24"/>
        </w:rPr>
        <w:t>、短期借款</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）短期借款分类</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信用证融资</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29,796,519.10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保证借款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19,574,700.00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未到期应付利息</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214,922.77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49,586,141.87</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短期借款分类的说明：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）已逾期未偿还的短期借款情况</w:t>
      </w:r>
    </w:p>
    <w:p>
      <w:pPr>
        <w:jc w:val="left"/>
        <w:rPr>
          <w:rFonts w:hint="default"/>
          <w:sz w:val="18"/>
          <w:szCs w:val="24"/>
        </w:rPr>
      </w:pPr>
      <w:r>
        <w:rPr>
          <w:rFonts w:hint="eastAsia"/>
          <w:sz w:val="18"/>
          <w:szCs w:val="24"/>
        </w:rPr>
        <w:t>本期末已逾期未偿还的短期借款总额为元，其中重要的已逾期未偿还的短期借款情况如下：</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借款单位</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借款利率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逾期利率</w:t>
            </w:r>
          </w:p>
        </w:tc>
      </w:tr>
    </w:tbl>
    <w:p>
      <w:pPr>
        <w:jc w:val="left"/>
        <w:rPr>
          <w:rFonts w:hint="default"/>
          <w:sz w:val="18"/>
          <w:szCs w:val="24"/>
        </w:rPr>
      </w:pPr>
      <w:r>
        <w:rPr>
          <w:rFonts w:hint="eastAsia"/>
          <w:sz w:val="18"/>
          <w:szCs w:val="24"/>
        </w:rPr>
        <w:t>其他说明：</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本期无已逾期未偿还的短期借款。</w:t>
      </w:r>
    </w:p>
    <w:p>
      <w:pPr>
        <w:pStyle w:val="8"/>
        <w:outlineLvl w:val="2"/>
        <w:rPr>
          <w:rFonts w:hint="default"/>
          <w:sz w:val="21"/>
          <w:szCs w:val="24"/>
        </w:rPr>
      </w:pPr>
      <w:r>
        <w:rPr>
          <w:rFonts w:hint="default"/>
          <w:sz w:val="21"/>
          <w:szCs w:val="24"/>
        </w:rPr>
        <w:t>33</w:t>
      </w:r>
      <w:r>
        <w:rPr>
          <w:rFonts w:hint="eastAsia"/>
          <w:sz w:val="21"/>
          <w:szCs w:val="24"/>
        </w:rPr>
        <w:t>、交易性金融负债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交易性金融负债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远期结售汇业务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31,600.00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其他说明：</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交易性金融负债是由企业签订的远期外汇合约所形成。</w:t>
      </w:r>
    </w:p>
    <w:p>
      <w:pPr>
        <w:pStyle w:val="8"/>
        <w:outlineLvl w:val="2"/>
        <w:rPr>
          <w:rFonts w:hint="default"/>
          <w:sz w:val="21"/>
          <w:szCs w:val="24"/>
        </w:rPr>
      </w:pPr>
      <w:r>
        <w:rPr>
          <w:rFonts w:hint="default"/>
          <w:sz w:val="21"/>
          <w:szCs w:val="24"/>
        </w:rPr>
        <w:t>34</w:t>
      </w:r>
      <w:r>
        <w:rPr>
          <w:rFonts w:hint="eastAsia"/>
          <w:sz w:val="21"/>
          <w:szCs w:val="24"/>
        </w:rPr>
        <w:t>、衍生金融负债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35</w:t>
      </w:r>
      <w:r>
        <w:rPr>
          <w:rFonts w:hint="eastAsia"/>
          <w:sz w:val="21"/>
          <w:szCs w:val="24"/>
        </w:rPr>
        <w:t>、应付票据</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种类</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银行承兑汇票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34,798,500.08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28,784,555.96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34,798,500.08</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28,784,555.96</w:t>
            </w:r>
          </w:p>
        </w:tc>
      </w:tr>
    </w:tbl>
    <w:p>
      <w:pPr>
        <w:jc w:val="left"/>
        <w:rPr>
          <w:rFonts w:hint="default"/>
          <w:sz w:val="18"/>
          <w:szCs w:val="24"/>
        </w:rPr>
      </w:pPr>
      <w:r>
        <w:rPr>
          <w:rFonts w:hint="eastAsia"/>
          <w:sz w:val="18"/>
          <w:szCs w:val="24"/>
        </w:rPr>
        <w:t>本期末已到期未支付的应付票据总额为元。</w:t>
      </w:r>
    </w:p>
    <w:p>
      <w:pPr>
        <w:pStyle w:val="8"/>
        <w:outlineLvl w:val="2"/>
        <w:rPr>
          <w:rFonts w:hint="default"/>
          <w:sz w:val="21"/>
          <w:szCs w:val="24"/>
        </w:rPr>
      </w:pPr>
      <w:r>
        <w:rPr>
          <w:rFonts w:hint="default"/>
          <w:sz w:val="21"/>
          <w:szCs w:val="24"/>
        </w:rPr>
        <w:t>36</w:t>
      </w:r>
      <w:r>
        <w:rPr>
          <w:rFonts w:hint="eastAsia"/>
          <w:sz w:val="21"/>
          <w:szCs w:val="24"/>
        </w:rPr>
        <w:t>、应付账款</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）应付账款列示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47,689,951.39</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59,397,550.22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年（含</w:t>
            </w:r>
            <w:r>
              <w:rPr>
                <w:rFonts w:hint="default"/>
                <w:sz w:val="18"/>
                <w:szCs w:val="24"/>
              </w:rPr>
              <w:t>2</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1,955,187.46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153,713.56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年（含</w:t>
            </w:r>
            <w:r>
              <w:rPr>
                <w:rFonts w:hint="default"/>
                <w:sz w:val="18"/>
                <w:szCs w:val="24"/>
              </w:rPr>
              <w:t>3</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143,139.37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68,841.48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w:t>
            </w:r>
            <w:r>
              <w:rPr>
                <w:rFonts w:hint="eastAsia"/>
                <w:sz w:val="18"/>
                <w:szCs w:val="24"/>
              </w:rPr>
              <w:t>年以上</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342,554.08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335,940.41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50,130,832.30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59,956,045.67</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年的重要应付账款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未偿还或结转的原因</w:t>
            </w:r>
          </w:p>
        </w:tc>
      </w:tr>
    </w:tbl>
    <w:p>
      <w:pPr>
        <w:jc w:val="left"/>
        <w:rPr>
          <w:rFonts w:hint="default"/>
          <w:sz w:val="18"/>
          <w:szCs w:val="24"/>
        </w:rPr>
      </w:pPr>
      <w:r>
        <w:rPr>
          <w:rFonts w:hint="eastAsia"/>
          <w:sz w:val="18"/>
          <w:szCs w:val="24"/>
        </w:rPr>
        <w:t>其他说明：</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）报告期末公司应付账款中无账龄超过</w:t>
      </w:r>
      <w:r>
        <w:rPr>
          <w:rFonts w:hint="default" w:eastAsia="Times New Roman"/>
          <w:kern w:val="0"/>
          <w:sz w:val="21"/>
          <w:szCs w:val="24"/>
          <w:lang w:val="zh-CN"/>
        </w:rPr>
        <w:t>1</w:t>
      </w:r>
      <w:r>
        <w:rPr>
          <w:rFonts w:hint="eastAsia" w:ascii="宋体" w:hAnsi="宋体" w:cs="宋体"/>
          <w:kern w:val="0"/>
          <w:sz w:val="21"/>
          <w:szCs w:val="24"/>
          <w:lang w:val="zh-CN"/>
        </w:rPr>
        <w:t>年的大额应付账款。</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）报告期末应付账款中无欠持有本公司</w:t>
      </w:r>
      <w:r>
        <w:rPr>
          <w:rFonts w:hint="default" w:eastAsia="Times New Roman"/>
          <w:kern w:val="0"/>
          <w:sz w:val="21"/>
          <w:szCs w:val="24"/>
          <w:lang w:val="zh-CN"/>
        </w:rPr>
        <w:t>5%</w:t>
      </w:r>
      <w:r>
        <w:rPr>
          <w:rFonts w:hint="eastAsia" w:ascii="宋体" w:hAnsi="宋体" w:cs="宋体"/>
          <w:kern w:val="0"/>
          <w:sz w:val="21"/>
          <w:szCs w:val="24"/>
          <w:lang w:val="zh-CN"/>
        </w:rPr>
        <w:t>（含</w:t>
      </w:r>
      <w:r>
        <w:rPr>
          <w:rFonts w:hint="default" w:eastAsia="Times New Roman"/>
          <w:kern w:val="0"/>
          <w:sz w:val="21"/>
          <w:szCs w:val="24"/>
          <w:lang w:val="zh-CN"/>
        </w:rPr>
        <w:t>5%</w:t>
      </w:r>
      <w:r>
        <w:rPr>
          <w:rFonts w:hint="eastAsia" w:ascii="宋体" w:hAnsi="宋体" w:cs="宋体"/>
          <w:kern w:val="0"/>
          <w:sz w:val="21"/>
          <w:szCs w:val="24"/>
          <w:lang w:val="zh-CN"/>
        </w:rPr>
        <w:t>）以上表决权股份的股东单位的款项。</w:t>
      </w:r>
    </w:p>
    <w:p>
      <w:pPr>
        <w:pStyle w:val="8"/>
        <w:outlineLvl w:val="2"/>
        <w:rPr>
          <w:rFonts w:hint="default"/>
          <w:sz w:val="21"/>
          <w:szCs w:val="24"/>
        </w:rPr>
      </w:pPr>
      <w:r>
        <w:rPr>
          <w:rFonts w:hint="default"/>
          <w:sz w:val="21"/>
          <w:szCs w:val="24"/>
        </w:rPr>
        <w:t>37</w:t>
      </w:r>
      <w:r>
        <w:rPr>
          <w:rFonts w:hint="eastAsia"/>
          <w:sz w:val="21"/>
          <w:szCs w:val="24"/>
        </w:rPr>
        <w:t>、预收款项</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）预收款项列示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年的重要预收款项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未偿还或结转的原因</w:t>
            </w:r>
          </w:p>
        </w:tc>
      </w:tr>
    </w:tbl>
    <w:p>
      <w:pPr>
        <w:pStyle w:val="8"/>
        <w:outlineLvl w:val="2"/>
        <w:rPr>
          <w:rFonts w:hint="default"/>
          <w:sz w:val="21"/>
          <w:szCs w:val="24"/>
        </w:rPr>
      </w:pPr>
      <w:r>
        <w:rPr>
          <w:rFonts w:hint="default"/>
          <w:sz w:val="21"/>
          <w:szCs w:val="24"/>
        </w:rPr>
        <w:t>38</w:t>
      </w:r>
      <w:r>
        <w:rPr>
          <w:rFonts w:hint="eastAsia"/>
          <w:sz w:val="21"/>
          <w:szCs w:val="24"/>
        </w:rPr>
        <w:t>、合同负债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预收款项</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21,659,525.49</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11,610,953.68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21,659,525.49</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11,610,953.68</w:t>
            </w:r>
          </w:p>
        </w:tc>
      </w:tr>
    </w:tbl>
    <w:p>
      <w:pPr>
        <w:jc w:val="left"/>
        <w:rPr>
          <w:rFonts w:hint="default"/>
          <w:sz w:val="18"/>
          <w:szCs w:val="24"/>
        </w:rPr>
      </w:pPr>
      <w:r>
        <w:rPr>
          <w:rFonts w:hint="eastAsia"/>
          <w:sz w:val="18"/>
          <w:szCs w:val="24"/>
        </w:rPr>
        <w:t>报告期内账面价值发生重大变动的金额和原因</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205"/>
        <w:gridCol w:w="2419"/>
        <w:gridCol w:w="4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41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变动金额</w:t>
            </w:r>
          </w:p>
        </w:tc>
        <w:tc>
          <w:tcPr>
            <w:tcW w:w="4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变动原因</w:t>
            </w:r>
          </w:p>
        </w:tc>
      </w:tr>
    </w:tbl>
    <w:p>
      <w:pPr>
        <w:pStyle w:val="8"/>
        <w:outlineLvl w:val="2"/>
        <w:rPr>
          <w:rFonts w:hint="default"/>
          <w:sz w:val="21"/>
          <w:szCs w:val="24"/>
        </w:rPr>
      </w:pPr>
      <w:r>
        <w:rPr>
          <w:rFonts w:hint="default"/>
          <w:sz w:val="21"/>
          <w:szCs w:val="24"/>
        </w:rPr>
        <w:t>39</w:t>
      </w:r>
      <w:r>
        <w:rPr>
          <w:rFonts w:hint="eastAsia"/>
          <w:sz w:val="21"/>
          <w:szCs w:val="24"/>
        </w:rPr>
        <w:t>、应付职工薪酬</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）应付职工薪酬列示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一、短期薪酬</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18,326,185.62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52,249,452.16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49,430,624.01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21,145,013.77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二、离职后福利</w:t>
            </w:r>
            <w:r>
              <w:rPr>
                <w:rFonts w:hint="default"/>
                <w:sz w:val="18"/>
                <w:szCs w:val="24"/>
              </w:rPr>
              <w:t>-</w:t>
            </w:r>
            <w:r>
              <w:rPr>
                <w:rFonts w:hint="eastAsia"/>
                <w:sz w:val="18"/>
                <w:szCs w:val="24"/>
              </w:rPr>
              <w:t>设定提存计划</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331,583.41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331,583.41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18,326,185.62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52,581,035.57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49,762,207.42</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21,145,013.77</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）短期薪酬列示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、工资、奖金、津贴和补贴</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6,301,849.09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44,805,475.47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43,296,600.30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7,810,724.26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、职工福利费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153,103.59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1,271,317.05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1,424,420.64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、社会保险费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1,691,731.65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1,691,731.65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其中：医疗保险费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1,680,565.13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1,680,565.13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工伤保险费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11,166.52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11,166.52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4</w:t>
            </w:r>
            <w:r>
              <w:rPr>
                <w:rFonts w:hint="eastAsia"/>
                <w:sz w:val="18"/>
                <w:szCs w:val="24"/>
              </w:rPr>
              <w:t>、住房公积金</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1,402,524.00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1,402,524.00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5</w:t>
            </w:r>
            <w:r>
              <w:rPr>
                <w:rFonts w:hint="eastAsia"/>
                <w:sz w:val="18"/>
                <w:szCs w:val="24"/>
              </w:rPr>
              <w:t>、工会经费和职工教育经费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11,871,232.94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1,993,013.99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529,957.42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13,334,289.51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8</w:t>
            </w:r>
            <w:r>
              <w:rPr>
                <w:rFonts w:hint="eastAsia"/>
                <w:sz w:val="18"/>
                <w:szCs w:val="24"/>
              </w:rPr>
              <w:t>、补充医疗保险</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1,085,390.00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1,085,390.00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18,326,185.62</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52,249,452.16</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49,430,624.01</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21,145,013.77</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）设定提存计划列示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、基本养老保险</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317,684.96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317,684.96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、失业保险费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13,898.45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13,898.45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331,583.41</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331,583.41</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40</w:t>
      </w:r>
      <w:r>
        <w:rPr>
          <w:rFonts w:hint="eastAsia"/>
          <w:sz w:val="21"/>
          <w:szCs w:val="24"/>
        </w:rPr>
        <w:t>、应交税费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增值税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67,850.27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87,059.94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企业所得税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36,384.81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689,462.31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个人所得税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37,029.78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50,973.17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城市维护建设税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173,307.04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164,604.91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印花税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21,962.90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22,518.30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房产税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317,029.42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386,903.30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城镇土地使用税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116,729.66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87,569.68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74,274.45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70,544.96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地方教育费附加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49,516.30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47,029.98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地方水利建设基金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12,379.07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11,757.49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5,444.39</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911,908.09</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1,622,535.64</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41</w:t>
      </w:r>
      <w:r>
        <w:rPr>
          <w:rFonts w:hint="eastAsia"/>
          <w:sz w:val="21"/>
          <w:szCs w:val="24"/>
        </w:rPr>
        <w:t>、其他应付款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其他应付款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12,243,854.80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13,839,894.91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12,243,854.80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13,839,894.91</w:t>
            </w:r>
          </w:p>
        </w:tc>
      </w:tr>
    </w:tbl>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）应付利息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重要的已逾期未支付的利息情况：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借款单位</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逾期金额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逾期原因</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）应付股利</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其他说明，包括重要的超过</w:t>
      </w:r>
      <w:r>
        <w:rPr>
          <w:rFonts w:hint="default"/>
          <w:sz w:val="18"/>
          <w:szCs w:val="24"/>
        </w:rPr>
        <w:t>1</w:t>
      </w:r>
      <w:r>
        <w:rPr>
          <w:rFonts w:hint="eastAsia"/>
          <w:sz w:val="18"/>
          <w:szCs w:val="24"/>
        </w:rPr>
        <w:t>年未支付的应付股利，应披露未支付原因：</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）其他应付款</w:t>
      </w:r>
    </w:p>
    <w:p>
      <w:pPr>
        <w:pStyle w:val="8"/>
        <w:outlineLvl w:val="4"/>
        <w:rPr>
          <w:rFonts w:hint="default"/>
          <w:sz w:val="21"/>
          <w:szCs w:val="24"/>
        </w:rPr>
      </w:pPr>
      <w:r>
        <w:rPr>
          <w:rFonts w:hint="default"/>
          <w:sz w:val="21"/>
          <w:szCs w:val="24"/>
        </w:rPr>
        <w:t>1</w:t>
      </w:r>
      <w:r>
        <w:rPr>
          <w:rFonts w:hint="eastAsia"/>
          <w:sz w:val="21"/>
          <w:szCs w:val="24"/>
        </w:rPr>
        <w:t>）按款项性质列示其他应付款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质保金及押金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6,187,363.97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6,205,109.30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单位间往来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752,781.35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501,161.90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个人往来及其他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1,467,765.48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41,461.71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限制性股票回购义务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3,835,944.00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12,243,854.80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13,839,894.91</w:t>
            </w:r>
          </w:p>
        </w:tc>
      </w:tr>
    </w:tbl>
    <w:p>
      <w:pPr>
        <w:pStyle w:val="8"/>
        <w:outlineLvl w:val="4"/>
        <w:rPr>
          <w:rFonts w:hint="default"/>
          <w:sz w:val="21"/>
          <w:szCs w:val="24"/>
        </w:rPr>
      </w:pP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年的重要其他应付款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未偿还或结转的原因</w:t>
            </w:r>
          </w:p>
        </w:tc>
      </w:tr>
    </w:tbl>
    <w:p>
      <w:pPr>
        <w:jc w:val="left"/>
        <w:rPr>
          <w:rFonts w:hint="default"/>
          <w:sz w:val="18"/>
          <w:szCs w:val="24"/>
        </w:rPr>
      </w:pPr>
      <w:r>
        <w:rPr>
          <w:rFonts w:hint="eastAsia"/>
          <w:sz w:val="18"/>
          <w:szCs w:val="24"/>
        </w:rPr>
        <w:t>其他说明</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①按账龄列示：</w:t>
      </w:r>
    </w:p>
    <w:tbl>
      <w:tblPr>
        <w:tblStyle w:val="5"/>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063"/>
        <w:gridCol w:w="2253"/>
        <w:gridCol w:w="1294"/>
        <w:gridCol w:w="2113"/>
        <w:gridCol w:w="1363"/>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账</w:t>
            </w:r>
            <w:r>
              <w:rPr>
                <w:rFonts w:hint="default" w:eastAsia="Times New Roman"/>
                <w:b/>
                <w:kern w:val="0"/>
                <w:sz w:val="18"/>
                <w:szCs w:val="24"/>
                <w:lang w:val="zh-CN"/>
              </w:rPr>
              <w:t xml:space="preserve">  </w:t>
            </w:r>
            <w:r>
              <w:rPr>
                <w:rFonts w:hint="eastAsia" w:ascii="宋体" w:hAnsi="宋体" w:cs="宋体"/>
                <w:b/>
                <w:kern w:val="0"/>
                <w:sz w:val="18"/>
                <w:szCs w:val="24"/>
                <w:lang w:val="zh-CN"/>
              </w:rPr>
              <w:t>龄</w:t>
            </w:r>
          </w:p>
        </w:tc>
        <w:tc>
          <w:tcPr>
            <w:tcW w:w="3547" w:type="dxa"/>
            <w:gridSpan w:val="2"/>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期末余额</w:t>
            </w:r>
          </w:p>
        </w:tc>
        <w:tc>
          <w:tcPr>
            <w:tcW w:w="3476" w:type="dxa"/>
            <w:gridSpan w:val="2"/>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continue"/>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left"/>
              <w:rPr>
                <w:rFonts w:hint="default" w:eastAsia="Times New Roman"/>
                <w:kern w:val="0"/>
                <w:sz w:val="18"/>
                <w:szCs w:val="24"/>
                <w:lang w:val="zh-CN"/>
              </w:rPr>
            </w:pP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金额</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比例（</w:t>
            </w:r>
            <w:r>
              <w:rPr>
                <w:rFonts w:hint="default" w:eastAsia="Times New Roman"/>
                <w:b/>
                <w:kern w:val="0"/>
                <w:sz w:val="18"/>
                <w:szCs w:val="24"/>
                <w:lang w:val="zh-CN"/>
              </w:rPr>
              <w:t>%</w:t>
            </w:r>
            <w:r>
              <w:rPr>
                <w:rFonts w:hint="eastAsia" w:ascii="宋体" w:hAnsi="宋体" w:cs="宋体"/>
                <w:b/>
                <w:kern w:val="0"/>
                <w:sz w:val="18"/>
                <w:szCs w:val="24"/>
                <w:lang w:val="zh-CN"/>
              </w:rPr>
              <w:t>）</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金额</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比例（</w:t>
            </w:r>
            <w:r>
              <w:rPr>
                <w:rFonts w:hint="default" w:eastAsia="Times New Roman"/>
                <w:b/>
                <w:kern w:val="0"/>
                <w:sz w:val="18"/>
                <w:szCs w:val="24"/>
                <w:lang w:val="zh-CN"/>
              </w:rPr>
              <w:t>%</w:t>
            </w:r>
            <w:r>
              <w:rPr>
                <w:rFonts w:hint="eastAsia" w:ascii="宋体" w:hAnsi="宋体" w:cs="宋体"/>
                <w:b/>
                <w:kern w:val="0"/>
                <w:sz w:val="18"/>
                <w:szCs w:val="24"/>
                <w:lang w:val="zh-CN"/>
              </w:rPr>
              <w:t>）</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年以内（含</w:t>
            </w:r>
            <w:r>
              <w:rPr>
                <w:rFonts w:hint="default" w:eastAsia="Times New Roman"/>
                <w:kern w:val="0"/>
                <w:sz w:val="18"/>
                <w:szCs w:val="24"/>
                <w:lang w:val="zh-CN"/>
              </w:rPr>
              <w:t>1</w:t>
            </w:r>
            <w:r>
              <w:rPr>
                <w:rFonts w:hint="eastAsia" w:ascii="宋体" w:hAnsi="宋体" w:cs="宋体"/>
                <w:kern w:val="0"/>
                <w:sz w:val="18"/>
                <w:szCs w:val="24"/>
                <w:lang w:val="zh-CN"/>
              </w:rPr>
              <w:t>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3,172,258.00</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25.91</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3,720,658.77</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26.88</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1</w:t>
            </w:r>
            <w:r>
              <w:rPr>
                <w:rFonts w:hint="eastAsia" w:ascii="宋体" w:hAnsi="宋体" w:cs="宋体"/>
                <w:kern w:val="0"/>
                <w:sz w:val="18"/>
                <w:szCs w:val="24"/>
                <w:lang w:val="zh-CN"/>
              </w:rPr>
              <w:t>至</w:t>
            </w:r>
            <w:r>
              <w:rPr>
                <w:rFonts w:hint="default" w:eastAsia="Times New Roman"/>
                <w:kern w:val="0"/>
                <w:sz w:val="18"/>
                <w:szCs w:val="24"/>
                <w:lang w:val="zh-CN"/>
              </w:rPr>
              <w:t>2</w:t>
            </w:r>
            <w:r>
              <w:rPr>
                <w:rFonts w:hint="eastAsia" w:ascii="宋体" w:hAnsi="宋体" w:cs="宋体"/>
                <w:kern w:val="0"/>
                <w:sz w:val="18"/>
                <w:szCs w:val="24"/>
                <w:lang w:val="zh-CN"/>
              </w:rPr>
              <w:t>年（含</w:t>
            </w:r>
            <w:r>
              <w:rPr>
                <w:rFonts w:hint="default" w:eastAsia="Times New Roman"/>
                <w:kern w:val="0"/>
                <w:sz w:val="18"/>
                <w:szCs w:val="24"/>
                <w:lang w:val="zh-CN"/>
              </w:rPr>
              <w:t>2</w:t>
            </w:r>
            <w:r>
              <w:rPr>
                <w:rFonts w:hint="eastAsia" w:ascii="宋体" w:hAnsi="宋体" w:cs="宋体"/>
                <w:kern w:val="0"/>
                <w:sz w:val="18"/>
                <w:szCs w:val="24"/>
                <w:lang w:val="zh-CN"/>
              </w:rPr>
              <w:t>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2,689,288.15</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21.96</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7,648,166.00</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55.26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2</w:t>
            </w:r>
            <w:r>
              <w:rPr>
                <w:rFonts w:hint="eastAsia" w:ascii="宋体" w:hAnsi="宋体" w:cs="宋体"/>
                <w:kern w:val="0"/>
                <w:sz w:val="18"/>
                <w:szCs w:val="24"/>
                <w:lang w:val="zh-CN"/>
              </w:rPr>
              <w:t>至</w:t>
            </w:r>
            <w:r>
              <w:rPr>
                <w:rFonts w:hint="default" w:eastAsia="Times New Roman"/>
                <w:kern w:val="0"/>
                <w:sz w:val="18"/>
                <w:szCs w:val="24"/>
                <w:lang w:val="zh-CN"/>
              </w:rPr>
              <w:t>3</w:t>
            </w:r>
            <w:r>
              <w:rPr>
                <w:rFonts w:hint="eastAsia" w:ascii="宋体" w:hAnsi="宋体" w:cs="宋体"/>
                <w:kern w:val="0"/>
                <w:sz w:val="18"/>
                <w:szCs w:val="24"/>
                <w:lang w:val="zh-CN"/>
              </w:rPr>
              <w:t>年（含</w:t>
            </w:r>
            <w:r>
              <w:rPr>
                <w:rFonts w:hint="default" w:eastAsia="Times New Roman"/>
                <w:kern w:val="0"/>
                <w:sz w:val="18"/>
                <w:szCs w:val="24"/>
                <w:lang w:val="zh-CN"/>
              </w:rPr>
              <w:t>3</w:t>
            </w:r>
            <w:r>
              <w:rPr>
                <w:rFonts w:hint="eastAsia" w:ascii="宋体" w:hAnsi="宋体" w:cs="宋体"/>
                <w:kern w:val="0"/>
                <w:sz w:val="18"/>
                <w:szCs w:val="24"/>
                <w:lang w:val="zh-CN"/>
              </w:rPr>
              <w:t>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4,216,278.00</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34.44</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48,300.00</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0.35</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default" w:eastAsia="Times New Roman"/>
                <w:kern w:val="0"/>
                <w:sz w:val="18"/>
                <w:szCs w:val="24"/>
                <w:lang w:val="zh-CN"/>
              </w:rPr>
              <w:t>3</w:t>
            </w:r>
            <w:r>
              <w:rPr>
                <w:rFonts w:hint="eastAsia" w:ascii="宋体" w:hAnsi="宋体" w:cs="宋体"/>
                <w:kern w:val="0"/>
                <w:sz w:val="18"/>
                <w:szCs w:val="24"/>
                <w:lang w:val="zh-CN"/>
              </w:rPr>
              <w:t>年以上</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2,166,030.65</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17.69</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2,422,770.14</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17.51</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合计</w:t>
            </w:r>
          </w:p>
        </w:tc>
        <w:tc>
          <w:tcPr>
            <w:tcW w:w="225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12,243,854.80</w:t>
            </w:r>
          </w:p>
        </w:tc>
        <w:tc>
          <w:tcPr>
            <w:tcW w:w="129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100.00</w:t>
            </w:r>
          </w:p>
        </w:tc>
        <w:tc>
          <w:tcPr>
            <w:tcW w:w="211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13,839,894.91</w:t>
            </w:r>
          </w:p>
        </w:tc>
        <w:tc>
          <w:tcPr>
            <w:tcW w:w="136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default" w:eastAsia="Times New Roman"/>
                <w:b/>
                <w:kern w:val="0"/>
                <w:sz w:val="18"/>
                <w:szCs w:val="24"/>
                <w:lang w:val="zh-CN"/>
              </w:rPr>
              <w:t>100.00</w:t>
            </w:r>
          </w:p>
        </w:tc>
      </w:tr>
    </w:tbl>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②报告期末其他应付款中无欠持有本公司</w:t>
      </w:r>
      <w:r>
        <w:rPr>
          <w:rFonts w:hint="default" w:eastAsia="Times New Roman"/>
          <w:kern w:val="0"/>
          <w:sz w:val="21"/>
          <w:szCs w:val="24"/>
          <w:lang w:val="zh-CN"/>
        </w:rPr>
        <w:t>5%</w:t>
      </w:r>
      <w:r>
        <w:rPr>
          <w:rFonts w:hint="eastAsia" w:ascii="宋体" w:hAnsi="宋体" w:cs="宋体"/>
          <w:kern w:val="0"/>
          <w:sz w:val="21"/>
          <w:szCs w:val="24"/>
          <w:lang w:val="zh-CN"/>
        </w:rPr>
        <w:t>（含</w:t>
      </w:r>
      <w:r>
        <w:rPr>
          <w:rFonts w:hint="default" w:eastAsia="Times New Roman"/>
          <w:kern w:val="0"/>
          <w:sz w:val="21"/>
          <w:szCs w:val="24"/>
          <w:lang w:val="zh-CN"/>
        </w:rPr>
        <w:t>5%</w:t>
      </w:r>
      <w:r>
        <w:rPr>
          <w:rFonts w:hint="eastAsia" w:ascii="宋体" w:hAnsi="宋体" w:cs="宋体"/>
          <w:kern w:val="0"/>
          <w:sz w:val="21"/>
          <w:szCs w:val="24"/>
          <w:lang w:val="zh-CN"/>
        </w:rPr>
        <w:t>）以上表决权股份的股东单位款项。</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③</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日公司其他应付款中账龄超过</w:t>
      </w:r>
      <w:r>
        <w:rPr>
          <w:rFonts w:hint="default" w:eastAsia="Times New Roman"/>
          <w:kern w:val="0"/>
          <w:sz w:val="21"/>
          <w:szCs w:val="24"/>
          <w:lang w:val="zh-CN"/>
        </w:rPr>
        <w:t>1</w:t>
      </w:r>
      <w:r>
        <w:rPr>
          <w:rFonts w:hint="eastAsia" w:ascii="宋体" w:hAnsi="宋体" w:cs="宋体"/>
          <w:kern w:val="0"/>
          <w:sz w:val="21"/>
          <w:szCs w:val="24"/>
          <w:lang w:val="zh-CN"/>
        </w:rPr>
        <w:t>年的款项主要为限制性股票回购款及供应商质量保证金。</w:t>
      </w:r>
    </w:p>
    <w:p>
      <w:pPr>
        <w:autoSpaceDE w:val="0"/>
        <w:autoSpaceDN w:val="0"/>
        <w:adjustRightInd w:val="0"/>
        <w:spacing w:before="0" w:after="0"/>
        <w:jc w:val="left"/>
        <w:rPr>
          <w:rFonts w:hint="default" w:eastAsia="Times New Roman"/>
          <w:kern w:val="0"/>
          <w:sz w:val="18"/>
          <w:szCs w:val="24"/>
          <w:lang w:val="zh-CN"/>
        </w:rPr>
      </w:pPr>
    </w:p>
    <w:p>
      <w:pPr>
        <w:pStyle w:val="8"/>
        <w:outlineLvl w:val="2"/>
        <w:rPr>
          <w:rFonts w:hint="default"/>
          <w:sz w:val="21"/>
          <w:szCs w:val="24"/>
        </w:rPr>
      </w:pPr>
      <w:r>
        <w:rPr>
          <w:rFonts w:hint="default"/>
          <w:sz w:val="21"/>
          <w:szCs w:val="24"/>
        </w:rPr>
        <w:t>42</w:t>
      </w:r>
      <w:r>
        <w:rPr>
          <w:rFonts w:hint="eastAsia"/>
          <w:sz w:val="21"/>
          <w:szCs w:val="24"/>
        </w:rPr>
        <w:t>、持有待售负债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43</w:t>
      </w:r>
      <w:r>
        <w:rPr>
          <w:rFonts w:hint="eastAsia"/>
          <w:sz w:val="21"/>
          <w:szCs w:val="24"/>
        </w:rPr>
        <w:t>、一年内到期的非流动负债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44</w:t>
      </w:r>
      <w:r>
        <w:rPr>
          <w:rFonts w:hint="eastAsia"/>
          <w:sz w:val="21"/>
          <w:szCs w:val="24"/>
        </w:rPr>
        <w:t>、其他流动负债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待转销项税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915,607.91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346,327.03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915,607.91</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346,327.03</w:t>
            </w:r>
          </w:p>
        </w:tc>
      </w:tr>
    </w:tbl>
    <w:p>
      <w:pPr>
        <w:jc w:val="left"/>
        <w:rPr>
          <w:rFonts w:hint="default"/>
          <w:sz w:val="18"/>
          <w:szCs w:val="24"/>
        </w:rPr>
      </w:pPr>
      <w:r>
        <w:rPr>
          <w:rFonts w:hint="eastAsia"/>
          <w:sz w:val="18"/>
          <w:szCs w:val="24"/>
        </w:rPr>
        <w:t>短期应付债券的增减变动：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798"/>
        <w:gridCol w:w="798"/>
        <w:gridCol w:w="798"/>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债券名称</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面值</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发行日期</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债券期限</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发行金额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本期发行</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按面值计提利息</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溢折价摊销</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本期偿还</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bl>
    <w:p>
      <w:pPr>
        <w:jc w:val="left"/>
        <w:rPr>
          <w:rFonts w:hint="default"/>
          <w:sz w:val="18"/>
          <w:szCs w:val="24"/>
        </w:rPr>
      </w:pPr>
      <w:r>
        <w:rPr>
          <w:rFonts w:hint="eastAsia"/>
          <w:sz w:val="18"/>
          <w:szCs w:val="24"/>
        </w:rPr>
        <w:t>其他说明：</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根据新收入准则，将预收款项重分类至合同负债、其他流动负债。</w:t>
      </w:r>
    </w:p>
    <w:p>
      <w:pPr>
        <w:pStyle w:val="8"/>
        <w:outlineLvl w:val="2"/>
        <w:rPr>
          <w:rFonts w:hint="default"/>
          <w:sz w:val="21"/>
          <w:szCs w:val="24"/>
        </w:rPr>
      </w:pPr>
      <w:r>
        <w:rPr>
          <w:rFonts w:hint="default"/>
          <w:sz w:val="21"/>
          <w:szCs w:val="24"/>
        </w:rPr>
        <w:t>45</w:t>
      </w:r>
      <w:r>
        <w:rPr>
          <w:rFonts w:hint="eastAsia"/>
          <w:sz w:val="21"/>
          <w:szCs w:val="24"/>
        </w:rPr>
        <w:t>、长期借款</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）长期借款分类</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长期借款分类的说明：</w:t>
      </w:r>
    </w:p>
    <w:p>
      <w:pPr>
        <w:jc w:val="left"/>
        <w:rPr>
          <w:rFonts w:hint="default"/>
          <w:sz w:val="18"/>
          <w:szCs w:val="24"/>
        </w:rPr>
      </w:pPr>
      <w:r>
        <w:rPr>
          <w:rFonts w:hint="eastAsia"/>
          <w:sz w:val="18"/>
          <w:szCs w:val="24"/>
        </w:rPr>
        <w:t>其他说明，包括利率区间：</w:t>
      </w:r>
    </w:p>
    <w:p>
      <w:pPr>
        <w:pStyle w:val="8"/>
        <w:outlineLvl w:val="2"/>
        <w:rPr>
          <w:rFonts w:hint="default"/>
          <w:sz w:val="21"/>
          <w:szCs w:val="24"/>
        </w:rPr>
      </w:pPr>
      <w:r>
        <w:rPr>
          <w:rFonts w:hint="default"/>
          <w:sz w:val="21"/>
          <w:szCs w:val="24"/>
        </w:rPr>
        <w:t>46</w:t>
      </w:r>
      <w:r>
        <w:rPr>
          <w:rFonts w:hint="eastAsia"/>
          <w:sz w:val="21"/>
          <w:szCs w:val="24"/>
        </w:rPr>
        <w:t>、应付债券</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）应付债券</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）应付债券的增减变动（不包括划分为金融负债的优先股、永续债等其他金融工具）</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798"/>
        <w:gridCol w:w="798"/>
        <w:gridCol w:w="798"/>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债券名称</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面值</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发行日期</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债券期限</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发行金额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本期发行</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按面值计提利息</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溢折价摊销</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本期偿还</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）可转换公司债券的转股条件、转股时间说明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）划分为金融负债的其他金融工具说明</w:t>
      </w:r>
    </w:p>
    <w:p>
      <w:pPr>
        <w:jc w:val="left"/>
        <w:rPr>
          <w:rFonts w:hint="default"/>
          <w:sz w:val="18"/>
          <w:szCs w:val="24"/>
        </w:rPr>
      </w:pPr>
      <w:r>
        <w:rPr>
          <w:rFonts w:hint="eastAsia"/>
          <w:sz w:val="18"/>
          <w:szCs w:val="24"/>
        </w:rPr>
        <w:t>期末发行在外的优先股、永续债等其他金融工具基本情况</w:t>
      </w:r>
    </w:p>
    <w:p>
      <w:pPr>
        <w:jc w:val="left"/>
        <w:rPr>
          <w:rFonts w:hint="default"/>
          <w:sz w:val="18"/>
          <w:szCs w:val="24"/>
        </w:rPr>
      </w:pPr>
      <w:r>
        <w:rPr>
          <w:rFonts w:hint="eastAsia"/>
          <w:sz w:val="18"/>
          <w:szCs w:val="24"/>
        </w:rPr>
        <w:t>期末发行在外的优先股、永续债等金融工具变动情况表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065"/>
        <w:gridCol w:w="1067"/>
        <w:gridCol w:w="1063"/>
        <w:gridCol w:w="1063"/>
        <w:gridCol w:w="1063"/>
        <w:gridCol w:w="1062"/>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发行在外的金融工具</w:t>
            </w:r>
          </w:p>
        </w:tc>
        <w:tc>
          <w:tcPr>
            <w:tcW w:w="21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w:t>
            </w:r>
          </w:p>
        </w:tc>
        <w:tc>
          <w:tcPr>
            <w:tcW w:w="21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bl>
    <w:p>
      <w:pPr>
        <w:jc w:val="left"/>
        <w:rPr>
          <w:rFonts w:hint="default"/>
          <w:sz w:val="18"/>
          <w:szCs w:val="24"/>
        </w:rPr>
      </w:pPr>
      <w:r>
        <w:rPr>
          <w:rFonts w:hint="eastAsia"/>
          <w:sz w:val="18"/>
          <w:szCs w:val="24"/>
        </w:rPr>
        <w:t>其他金融工具划分为金融负债的依据说明</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47</w:t>
      </w:r>
      <w:r>
        <w:rPr>
          <w:rFonts w:hint="eastAsia"/>
          <w:sz w:val="21"/>
          <w:szCs w:val="24"/>
        </w:rPr>
        <w:t>、租赁负债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48</w:t>
      </w:r>
      <w:r>
        <w:rPr>
          <w:rFonts w:hint="eastAsia"/>
          <w:sz w:val="21"/>
          <w:szCs w:val="24"/>
        </w:rPr>
        <w:t>、长期应付款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）按款项性质列示长期应付款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）专项应付款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形成原因</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49</w:t>
      </w:r>
      <w:r>
        <w:rPr>
          <w:rFonts w:hint="eastAsia"/>
          <w:sz w:val="21"/>
          <w:szCs w:val="24"/>
        </w:rPr>
        <w:t>、长期应付职工薪酬</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）长期应付职工薪酬表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）设定受益计划变动情况</w:t>
      </w:r>
    </w:p>
    <w:p>
      <w:pPr>
        <w:jc w:val="left"/>
        <w:rPr>
          <w:rFonts w:hint="default"/>
          <w:sz w:val="18"/>
          <w:szCs w:val="24"/>
        </w:rPr>
      </w:pPr>
      <w:r>
        <w:rPr>
          <w:rFonts w:hint="eastAsia"/>
          <w:sz w:val="18"/>
          <w:szCs w:val="24"/>
        </w:rPr>
        <w:t>设定受益计划义务现值：</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计划资产：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设定受益计划净负债（净资产）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设定受益计划的内容及与之相关风险、对公司未来现金流量、时间和不确定性的影响说明：</w:t>
      </w:r>
    </w:p>
    <w:p>
      <w:pPr>
        <w:jc w:val="left"/>
        <w:rPr>
          <w:rFonts w:hint="default"/>
          <w:sz w:val="18"/>
          <w:szCs w:val="24"/>
        </w:rPr>
      </w:pPr>
      <w:r>
        <w:rPr>
          <w:rFonts w:hint="eastAsia"/>
          <w:sz w:val="18"/>
          <w:szCs w:val="24"/>
        </w:rPr>
        <w:t>设定受益计划重大精算假设及敏感性分析结果说明：</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50</w:t>
      </w:r>
      <w:r>
        <w:rPr>
          <w:rFonts w:hint="eastAsia"/>
          <w:sz w:val="21"/>
          <w:szCs w:val="24"/>
        </w:rPr>
        <w:t>、预计负债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形成原因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未决诉讼</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1,698,256.40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1,698,256.40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其他说明，包括重要预计负债的相关重要假设、估计说明：</w:t>
      </w:r>
    </w:p>
    <w:p>
      <w:pPr>
        <w:pStyle w:val="8"/>
        <w:outlineLvl w:val="2"/>
        <w:rPr>
          <w:rFonts w:hint="default"/>
          <w:sz w:val="21"/>
          <w:szCs w:val="24"/>
        </w:rPr>
      </w:pPr>
      <w:r>
        <w:rPr>
          <w:rFonts w:hint="default"/>
          <w:sz w:val="21"/>
          <w:szCs w:val="24"/>
        </w:rPr>
        <w:t>51</w:t>
      </w:r>
      <w:r>
        <w:rPr>
          <w:rFonts w:hint="eastAsia"/>
          <w:sz w:val="21"/>
          <w:szCs w:val="24"/>
        </w:rPr>
        <w:t>、递延收益</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形成原因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政府补助</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8,796,408.98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592,645.78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11,203,763.20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政府补助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8,796,408.98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592,645.78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11,203,763.20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涉及政府补助的项目：</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012"/>
        <w:gridCol w:w="1249"/>
        <w:gridCol w:w="1010"/>
        <w:gridCol w:w="1010"/>
        <w:gridCol w:w="1010"/>
        <w:gridCol w:w="1010"/>
        <w:gridCol w:w="1010"/>
        <w:gridCol w:w="1248"/>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负债项目</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本期新增补助金额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本期计入营业外收入金额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本期计入其他收益金额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本期冲减成本费用金额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其他变动</w:t>
            </w: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与资产相关</w:t>
            </w:r>
            <w:r>
              <w:rPr>
                <w:rFonts w:hint="default"/>
                <w:sz w:val="18"/>
                <w:szCs w:val="24"/>
              </w:rPr>
              <w:t>/</w:t>
            </w:r>
            <w:r>
              <w:rPr>
                <w:rFonts w:hint="eastAsia"/>
                <w:sz w:val="18"/>
                <w:szCs w:val="24"/>
              </w:rPr>
              <w:t>与收益相关</w:t>
            </w:r>
          </w:p>
        </w:tc>
      </w:tr>
    </w:tbl>
    <w:p>
      <w:pPr>
        <w:jc w:val="left"/>
        <w:rPr>
          <w:rFonts w:hint="default"/>
          <w:sz w:val="18"/>
          <w:szCs w:val="24"/>
        </w:rPr>
      </w:pPr>
      <w:r>
        <w:rPr>
          <w:rFonts w:hint="eastAsia"/>
          <w:sz w:val="18"/>
          <w:szCs w:val="24"/>
        </w:rPr>
        <w:t>其他说明：</w:t>
      </w:r>
    </w:p>
    <w:p>
      <w:pPr>
        <w:autoSpaceDE w:val="0"/>
        <w:autoSpaceDN w:val="0"/>
        <w:adjustRightInd w:val="0"/>
        <w:spacing w:before="150" w:after="15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）政府补助项目：</w:t>
      </w:r>
    </w:p>
    <w:tbl>
      <w:tblPr>
        <w:tblStyle w:val="5"/>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994"/>
        <w:gridCol w:w="1351"/>
        <w:gridCol w:w="1204"/>
        <w:gridCol w:w="1276"/>
        <w:gridCol w:w="1274"/>
        <w:gridCol w:w="991"/>
        <w:gridCol w:w="1284"/>
        <w:gridCol w:w="1123"/>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99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项</w:t>
            </w:r>
            <w:r>
              <w:rPr>
                <w:rFonts w:hint="default" w:eastAsia="Times New Roman"/>
                <w:b/>
                <w:kern w:val="0"/>
                <w:sz w:val="18"/>
                <w:szCs w:val="24"/>
                <w:lang w:val="zh-CN"/>
              </w:rPr>
              <w:t xml:space="preserve">  </w:t>
            </w:r>
            <w:r>
              <w:rPr>
                <w:rFonts w:hint="eastAsia" w:ascii="宋体" w:hAnsi="宋体" w:cs="宋体"/>
                <w:b/>
                <w:kern w:val="0"/>
                <w:sz w:val="18"/>
                <w:szCs w:val="24"/>
                <w:lang w:val="zh-CN"/>
              </w:rPr>
              <w:t>目</w:t>
            </w:r>
          </w:p>
        </w:tc>
        <w:tc>
          <w:tcPr>
            <w:tcW w:w="13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初始金额</w:t>
            </w:r>
          </w:p>
        </w:tc>
        <w:tc>
          <w:tcPr>
            <w:tcW w:w="120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期初余额</w:t>
            </w:r>
          </w:p>
        </w:tc>
        <w:tc>
          <w:tcPr>
            <w:tcW w:w="1276"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本期新增补助金额</w:t>
            </w:r>
          </w:p>
        </w:tc>
        <w:tc>
          <w:tcPr>
            <w:tcW w:w="127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本期计入当期损益金额</w:t>
            </w:r>
          </w:p>
        </w:tc>
        <w:tc>
          <w:tcPr>
            <w:tcW w:w="99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其他变动</w:t>
            </w:r>
          </w:p>
        </w:tc>
        <w:tc>
          <w:tcPr>
            <w:tcW w:w="128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期末余额</w:t>
            </w:r>
          </w:p>
        </w:tc>
        <w:tc>
          <w:tcPr>
            <w:tcW w:w="112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与资产相关</w:t>
            </w:r>
            <w:r>
              <w:rPr>
                <w:rFonts w:hint="default" w:eastAsia="Times New Roman"/>
                <w:b/>
                <w:kern w:val="0"/>
                <w:sz w:val="18"/>
                <w:szCs w:val="24"/>
                <w:lang w:val="zh-CN"/>
              </w:rPr>
              <w:t>/</w:t>
            </w:r>
            <w:r>
              <w:rPr>
                <w:rFonts w:hint="eastAsia" w:ascii="宋体" w:hAnsi="宋体" w:cs="宋体"/>
                <w:b/>
                <w:kern w:val="0"/>
                <w:sz w:val="18"/>
                <w:szCs w:val="24"/>
                <w:lang w:val="zh-CN"/>
              </w:rPr>
              <w:t>与收益相关</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99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5"/>
                <w:szCs w:val="24"/>
                <w:lang w:val="zh-CN"/>
              </w:rPr>
            </w:pPr>
            <w:r>
              <w:rPr>
                <w:rFonts w:hint="eastAsia" w:ascii="宋体" w:hAnsi="宋体" w:cs="宋体"/>
                <w:kern w:val="0"/>
                <w:sz w:val="15"/>
                <w:szCs w:val="24"/>
                <w:lang w:val="zh-CN"/>
              </w:rPr>
              <w:t>基础设施建设补助</w:t>
            </w:r>
          </w:p>
        </w:tc>
        <w:tc>
          <w:tcPr>
            <w:tcW w:w="13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8,000,000.00</w:t>
            </w:r>
          </w:p>
        </w:tc>
        <w:tc>
          <w:tcPr>
            <w:tcW w:w="120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 xml:space="preserve">7,152,459.86 </w:t>
            </w:r>
          </w:p>
        </w:tc>
        <w:tc>
          <w:tcPr>
            <w:tcW w:w="1276"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p>
        </w:tc>
        <w:tc>
          <w:tcPr>
            <w:tcW w:w="127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169,959.48</w:t>
            </w:r>
          </w:p>
        </w:tc>
        <w:tc>
          <w:tcPr>
            <w:tcW w:w="99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p>
        </w:tc>
        <w:tc>
          <w:tcPr>
            <w:tcW w:w="128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6,982,500.38</w:t>
            </w:r>
          </w:p>
        </w:tc>
        <w:tc>
          <w:tcPr>
            <w:tcW w:w="112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5"/>
                <w:szCs w:val="24"/>
                <w:lang w:val="zh-CN"/>
              </w:rPr>
            </w:pPr>
            <w:r>
              <w:rPr>
                <w:rFonts w:hint="eastAsia" w:ascii="宋体" w:hAnsi="宋体" w:cs="宋体"/>
                <w:kern w:val="0"/>
                <w:sz w:val="15"/>
                <w:szCs w:val="24"/>
                <w:lang w:val="zh-CN"/>
              </w:rPr>
              <w:t>与资产相关</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99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5"/>
                <w:szCs w:val="24"/>
                <w:lang w:val="zh-CN"/>
              </w:rPr>
            </w:pPr>
            <w:r>
              <w:rPr>
                <w:rFonts w:hint="eastAsia" w:ascii="宋体" w:hAnsi="宋体" w:cs="宋体"/>
                <w:kern w:val="0"/>
                <w:sz w:val="15"/>
                <w:szCs w:val="24"/>
                <w:lang w:val="zh-CN"/>
              </w:rPr>
              <w:t>年产</w:t>
            </w:r>
            <w:r>
              <w:rPr>
                <w:rFonts w:hint="default" w:eastAsia="Times New Roman"/>
                <w:kern w:val="0"/>
                <w:sz w:val="15"/>
                <w:szCs w:val="24"/>
                <w:lang w:val="zh-CN"/>
              </w:rPr>
              <w:t>45</w:t>
            </w:r>
            <w:r>
              <w:rPr>
                <w:rFonts w:hint="eastAsia" w:ascii="宋体" w:hAnsi="宋体" w:cs="宋体"/>
                <w:kern w:val="0"/>
                <w:sz w:val="15"/>
                <w:szCs w:val="24"/>
                <w:lang w:val="zh-CN"/>
              </w:rPr>
              <w:t>万支新型阀门制造建设项目</w:t>
            </w:r>
          </w:p>
        </w:tc>
        <w:tc>
          <w:tcPr>
            <w:tcW w:w="13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1,658,000.00</w:t>
            </w:r>
          </w:p>
        </w:tc>
        <w:tc>
          <w:tcPr>
            <w:tcW w:w="120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 xml:space="preserve">1,643,949.12 </w:t>
            </w:r>
          </w:p>
        </w:tc>
        <w:tc>
          <w:tcPr>
            <w:tcW w:w="1276"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p>
        </w:tc>
        <w:tc>
          <w:tcPr>
            <w:tcW w:w="127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168,610.20</w:t>
            </w:r>
          </w:p>
        </w:tc>
        <w:tc>
          <w:tcPr>
            <w:tcW w:w="99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p>
        </w:tc>
        <w:tc>
          <w:tcPr>
            <w:tcW w:w="128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1,475,338.92</w:t>
            </w:r>
          </w:p>
        </w:tc>
        <w:tc>
          <w:tcPr>
            <w:tcW w:w="112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5"/>
                <w:szCs w:val="24"/>
                <w:lang w:val="zh-CN"/>
              </w:rPr>
            </w:pPr>
            <w:r>
              <w:rPr>
                <w:rFonts w:hint="eastAsia" w:ascii="宋体" w:hAnsi="宋体" w:cs="宋体"/>
                <w:kern w:val="0"/>
                <w:sz w:val="15"/>
                <w:szCs w:val="24"/>
                <w:lang w:val="zh-CN"/>
              </w:rPr>
              <w:t>与资产相关</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99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5"/>
                <w:szCs w:val="24"/>
                <w:lang w:val="zh-CN"/>
              </w:rPr>
            </w:pPr>
            <w:r>
              <w:rPr>
                <w:rFonts w:hint="eastAsia" w:ascii="宋体" w:hAnsi="宋体" w:cs="宋体"/>
                <w:kern w:val="0"/>
                <w:sz w:val="15"/>
                <w:szCs w:val="24"/>
                <w:lang w:val="zh-CN"/>
              </w:rPr>
              <w:t>企业技术改造综合奖</w:t>
            </w:r>
          </w:p>
        </w:tc>
        <w:tc>
          <w:tcPr>
            <w:tcW w:w="13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r>
              <w:rPr>
                <w:rFonts w:hint="default" w:eastAsia="Times New Roman"/>
                <w:kern w:val="0"/>
                <w:sz w:val="15"/>
                <w:szCs w:val="24"/>
                <w:lang w:val="zh-CN"/>
              </w:rPr>
              <w:t>3,000,000.00</w:t>
            </w:r>
          </w:p>
        </w:tc>
        <w:tc>
          <w:tcPr>
            <w:tcW w:w="120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p>
        </w:tc>
        <w:tc>
          <w:tcPr>
            <w:tcW w:w="1276"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3,000,000.00</w:t>
            </w:r>
          </w:p>
        </w:tc>
        <w:tc>
          <w:tcPr>
            <w:tcW w:w="127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254,076.10</w:t>
            </w:r>
          </w:p>
        </w:tc>
        <w:tc>
          <w:tcPr>
            <w:tcW w:w="99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p>
        </w:tc>
        <w:tc>
          <w:tcPr>
            <w:tcW w:w="128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5"/>
                <w:szCs w:val="24"/>
                <w:lang w:val="zh-CN"/>
              </w:rPr>
            </w:pPr>
            <w:r>
              <w:rPr>
                <w:rFonts w:hint="default" w:eastAsia="Times New Roman"/>
                <w:kern w:val="0"/>
                <w:sz w:val="15"/>
                <w:szCs w:val="24"/>
                <w:lang w:val="zh-CN"/>
              </w:rPr>
              <w:t>2,745,923.90</w:t>
            </w:r>
          </w:p>
        </w:tc>
        <w:tc>
          <w:tcPr>
            <w:tcW w:w="112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kern w:val="0"/>
                <w:sz w:val="15"/>
                <w:szCs w:val="24"/>
                <w:lang w:val="zh-CN"/>
              </w:rPr>
            </w:pPr>
            <w:r>
              <w:rPr>
                <w:rFonts w:hint="eastAsia" w:ascii="宋体" w:hAnsi="宋体" w:cs="宋体"/>
                <w:kern w:val="0"/>
                <w:sz w:val="15"/>
                <w:szCs w:val="24"/>
                <w:lang w:val="zh-CN"/>
              </w:rPr>
              <w:t>与资产相关</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99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5"/>
                <w:szCs w:val="24"/>
                <w:lang w:val="zh-CN"/>
              </w:rPr>
            </w:pPr>
            <w:r>
              <w:rPr>
                <w:rFonts w:hint="eastAsia" w:ascii="宋体" w:hAnsi="宋体" w:cs="宋体"/>
                <w:b/>
                <w:kern w:val="0"/>
                <w:sz w:val="15"/>
                <w:szCs w:val="24"/>
                <w:lang w:val="zh-CN"/>
              </w:rPr>
              <w:t>合计</w:t>
            </w:r>
          </w:p>
        </w:tc>
        <w:tc>
          <w:tcPr>
            <w:tcW w:w="13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r>
              <w:rPr>
                <w:rFonts w:hint="default" w:eastAsia="Times New Roman"/>
                <w:b/>
                <w:kern w:val="0"/>
                <w:sz w:val="15"/>
                <w:szCs w:val="24"/>
                <w:lang w:val="zh-CN"/>
              </w:rPr>
              <w:t>12,658,000.00</w:t>
            </w:r>
          </w:p>
        </w:tc>
        <w:tc>
          <w:tcPr>
            <w:tcW w:w="120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r>
              <w:rPr>
                <w:rFonts w:hint="default" w:eastAsia="Times New Roman"/>
                <w:b/>
                <w:kern w:val="0"/>
                <w:sz w:val="15"/>
                <w:szCs w:val="24"/>
                <w:lang w:val="zh-CN"/>
              </w:rPr>
              <w:t xml:space="preserve">8,796,408.98 </w:t>
            </w:r>
          </w:p>
        </w:tc>
        <w:tc>
          <w:tcPr>
            <w:tcW w:w="1276"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r>
              <w:rPr>
                <w:rFonts w:hint="default" w:eastAsia="Times New Roman"/>
                <w:b/>
                <w:kern w:val="0"/>
                <w:sz w:val="15"/>
                <w:szCs w:val="24"/>
                <w:lang w:val="zh-CN"/>
              </w:rPr>
              <w:t>3,000,000.00</w:t>
            </w:r>
          </w:p>
        </w:tc>
        <w:tc>
          <w:tcPr>
            <w:tcW w:w="127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r>
              <w:rPr>
                <w:rFonts w:hint="default" w:eastAsia="Times New Roman"/>
                <w:b/>
                <w:kern w:val="0"/>
                <w:sz w:val="15"/>
                <w:szCs w:val="24"/>
                <w:lang w:val="zh-CN"/>
              </w:rPr>
              <w:t>592,645.78</w:t>
            </w:r>
          </w:p>
        </w:tc>
        <w:tc>
          <w:tcPr>
            <w:tcW w:w="99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p>
        </w:tc>
        <w:tc>
          <w:tcPr>
            <w:tcW w:w="128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r>
              <w:rPr>
                <w:rFonts w:hint="default" w:eastAsia="Times New Roman"/>
                <w:b/>
                <w:kern w:val="0"/>
                <w:sz w:val="15"/>
                <w:szCs w:val="24"/>
                <w:lang w:val="zh-CN"/>
              </w:rPr>
              <w:t>11,203,763.20</w:t>
            </w:r>
          </w:p>
        </w:tc>
        <w:tc>
          <w:tcPr>
            <w:tcW w:w="112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5"/>
                <w:szCs w:val="24"/>
                <w:lang w:val="zh-CN"/>
              </w:rPr>
            </w:pPr>
          </w:p>
        </w:tc>
      </w:tr>
    </w:tbl>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w:t>
      </w:r>
      <w:r>
        <w:rPr>
          <w:rFonts w:hint="default" w:eastAsia="Times New Roman"/>
          <w:kern w:val="0"/>
          <w:sz w:val="21"/>
          <w:szCs w:val="24"/>
          <w:lang w:val="zh-CN"/>
        </w:rPr>
        <w:t>2013</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月，青岛高新技术产业开发区管理委员会财政局根据</w:t>
      </w:r>
      <w:r>
        <w:rPr>
          <w:rFonts w:hint="default" w:eastAsia="Times New Roman"/>
          <w:kern w:val="0"/>
          <w:sz w:val="21"/>
          <w:szCs w:val="24"/>
          <w:lang w:val="zh-CN"/>
        </w:rPr>
        <w:t>2011</w:t>
      </w:r>
      <w:r>
        <w:rPr>
          <w:rFonts w:hint="eastAsia" w:ascii="宋体" w:hAnsi="宋体" w:cs="宋体"/>
          <w:kern w:val="0"/>
          <w:sz w:val="21"/>
          <w:szCs w:val="24"/>
          <w:lang w:val="zh-CN"/>
        </w:rPr>
        <w:t>年</w:t>
      </w:r>
      <w:r>
        <w:rPr>
          <w:rFonts w:hint="default" w:eastAsia="Times New Roman"/>
          <w:kern w:val="0"/>
          <w:sz w:val="21"/>
          <w:szCs w:val="24"/>
          <w:lang w:val="zh-CN"/>
        </w:rPr>
        <w:t>7</w:t>
      </w:r>
      <w:r>
        <w:rPr>
          <w:rFonts w:hint="eastAsia" w:ascii="宋体" w:hAnsi="宋体" w:cs="宋体"/>
          <w:kern w:val="0"/>
          <w:sz w:val="21"/>
          <w:szCs w:val="24"/>
          <w:lang w:val="zh-CN"/>
        </w:rPr>
        <w:t>月青岛市高新技术产业开发区投资促进局与公司签订的青岛高新区投资项目补充协议，拨付基础设施建设补助资金</w:t>
      </w:r>
      <w:r>
        <w:rPr>
          <w:rFonts w:hint="default" w:eastAsia="Times New Roman"/>
          <w:kern w:val="0"/>
          <w:sz w:val="21"/>
          <w:szCs w:val="24"/>
          <w:lang w:val="zh-CN"/>
        </w:rPr>
        <w:t>280</w:t>
      </w:r>
      <w:r>
        <w:rPr>
          <w:rFonts w:hint="eastAsia" w:ascii="宋体" w:hAnsi="宋体" w:cs="宋体"/>
          <w:kern w:val="0"/>
          <w:sz w:val="21"/>
          <w:szCs w:val="24"/>
          <w:lang w:val="zh-CN"/>
        </w:rPr>
        <w:t>万元，按受益期摊销。</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3</w:t>
      </w:r>
      <w:r>
        <w:rPr>
          <w:rFonts w:hint="eastAsia" w:ascii="宋体" w:hAnsi="宋体" w:cs="宋体"/>
          <w:kern w:val="0"/>
          <w:sz w:val="21"/>
          <w:szCs w:val="24"/>
          <w:lang w:val="zh-CN"/>
        </w:rPr>
        <w:t>）</w:t>
      </w:r>
      <w:r>
        <w:rPr>
          <w:rFonts w:hint="default" w:eastAsia="Times New Roman"/>
          <w:kern w:val="0"/>
          <w:sz w:val="21"/>
          <w:szCs w:val="24"/>
          <w:lang w:val="zh-CN"/>
        </w:rPr>
        <w:t>2015</w:t>
      </w:r>
      <w:r>
        <w:rPr>
          <w:rFonts w:hint="eastAsia" w:ascii="宋体" w:hAnsi="宋体" w:cs="宋体"/>
          <w:kern w:val="0"/>
          <w:sz w:val="21"/>
          <w:szCs w:val="24"/>
          <w:lang w:val="zh-CN"/>
        </w:rPr>
        <w:t>年</w:t>
      </w:r>
      <w:r>
        <w:rPr>
          <w:rFonts w:hint="default" w:eastAsia="Times New Roman"/>
          <w:kern w:val="0"/>
          <w:sz w:val="21"/>
          <w:szCs w:val="24"/>
          <w:lang w:val="zh-CN"/>
        </w:rPr>
        <w:t>8</w:t>
      </w:r>
      <w:r>
        <w:rPr>
          <w:rFonts w:hint="eastAsia" w:ascii="宋体" w:hAnsi="宋体" w:cs="宋体"/>
          <w:kern w:val="0"/>
          <w:sz w:val="21"/>
          <w:szCs w:val="24"/>
          <w:lang w:val="zh-CN"/>
        </w:rPr>
        <w:t>月，青岛高新技术产业开发区管理委员会财政局根据</w:t>
      </w:r>
      <w:r>
        <w:rPr>
          <w:rFonts w:hint="default" w:eastAsia="Times New Roman"/>
          <w:kern w:val="0"/>
          <w:sz w:val="21"/>
          <w:szCs w:val="24"/>
          <w:lang w:val="zh-CN"/>
        </w:rPr>
        <w:t>2011</w:t>
      </w:r>
      <w:r>
        <w:rPr>
          <w:rFonts w:hint="eastAsia" w:ascii="宋体" w:hAnsi="宋体" w:cs="宋体"/>
          <w:kern w:val="0"/>
          <w:sz w:val="21"/>
          <w:szCs w:val="24"/>
          <w:lang w:val="zh-CN"/>
        </w:rPr>
        <w:t>年</w:t>
      </w:r>
      <w:r>
        <w:rPr>
          <w:rFonts w:hint="default" w:eastAsia="Times New Roman"/>
          <w:kern w:val="0"/>
          <w:sz w:val="21"/>
          <w:szCs w:val="24"/>
          <w:lang w:val="zh-CN"/>
        </w:rPr>
        <w:t>7</w:t>
      </w:r>
      <w:r>
        <w:rPr>
          <w:rFonts w:hint="eastAsia" w:ascii="宋体" w:hAnsi="宋体" w:cs="宋体"/>
          <w:kern w:val="0"/>
          <w:sz w:val="21"/>
          <w:szCs w:val="24"/>
          <w:lang w:val="zh-CN"/>
        </w:rPr>
        <w:t>月青岛市高新技术产业开发区投资促进局与公司签订的青岛高新区投资项目补充协议，拨付基础设施建设补助资金</w:t>
      </w:r>
      <w:r>
        <w:rPr>
          <w:rFonts w:hint="default" w:eastAsia="Times New Roman"/>
          <w:kern w:val="0"/>
          <w:sz w:val="21"/>
          <w:szCs w:val="24"/>
          <w:lang w:val="zh-CN"/>
        </w:rPr>
        <w:t>520</w:t>
      </w:r>
      <w:r>
        <w:rPr>
          <w:rFonts w:hint="eastAsia" w:ascii="宋体" w:hAnsi="宋体" w:cs="宋体"/>
          <w:kern w:val="0"/>
          <w:sz w:val="21"/>
          <w:szCs w:val="24"/>
          <w:lang w:val="zh-CN"/>
        </w:rPr>
        <w:t>万元，按受益期摊销。</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4</w:t>
      </w:r>
      <w:r>
        <w:rPr>
          <w:rFonts w:hint="eastAsia" w:ascii="宋体" w:hAnsi="宋体" w:cs="宋体"/>
          <w:kern w:val="0"/>
          <w:sz w:val="21"/>
          <w:szCs w:val="24"/>
          <w:lang w:val="zh-CN"/>
        </w:rPr>
        <w:t>）</w:t>
      </w: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20</w:t>
      </w:r>
      <w:r>
        <w:rPr>
          <w:rFonts w:hint="eastAsia" w:ascii="宋体" w:hAnsi="宋体" w:cs="宋体"/>
          <w:kern w:val="0"/>
          <w:sz w:val="21"/>
          <w:szCs w:val="24"/>
          <w:lang w:val="zh-CN"/>
        </w:rPr>
        <w:t>日，莱州市财政局根据《关于实施制造业强市战略的意见（试行）》（烟发〔</w:t>
      </w:r>
      <w:r>
        <w:rPr>
          <w:rFonts w:hint="default" w:eastAsia="Times New Roman"/>
          <w:kern w:val="0"/>
          <w:sz w:val="21"/>
          <w:szCs w:val="24"/>
          <w:lang w:val="zh-CN"/>
        </w:rPr>
        <w:t>2017</w:t>
      </w:r>
      <w:r>
        <w:rPr>
          <w:rFonts w:hint="eastAsia" w:ascii="宋体" w:hAnsi="宋体" w:cs="宋体"/>
          <w:kern w:val="0"/>
          <w:sz w:val="21"/>
          <w:szCs w:val="24"/>
          <w:lang w:val="zh-CN"/>
        </w:rPr>
        <w:t>〕</w:t>
      </w:r>
      <w:r>
        <w:rPr>
          <w:rFonts w:hint="default" w:eastAsia="Times New Roman"/>
          <w:kern w:val="0"/>
          <w:sz w:val="21"/>
          <w:szCs w:val="24"/>
          <w:lang w:val="zh-CN"/>
        </w:rPr>
        <w:t>14</w:t>
      </w:r>
      <w:r>
        <w:rPr>
          <w:rFonts w:hint="eastAsia" w:ascii="宋体" w:hAnsi="宋体" w:cs="宋体"/>
          <w:kern w:val="0"/>
          <w:sz w:val="21"/>
          <w:szCs w:val="24"/>
          <w:lang w:val="zh-CN"/>
        </w:rPr>
        <w:t>号）和《烟台市制造业强市奖补资金管理暂行办法》（烟财企〔</w:t>
      </w:r>
      <w:r>
        <w:rPr>
          <w:rFonts w:hint="default" w:eastAsia="Times New Roman"/>
          <w:kern w:val="0"/>
          <w:sz w:val="21"/>
          <w:szCs w:val="24"/>
          <w:lang w:val="zh-CN"/>
        </w:rPr>
        <w:t>2017</w:t>
      </w:r>
      <w:r>
        <w:rPr>
          <w:rFonts w:hint="eastAsia" w:ascii="宋体" w:hAnsi="宋体" w:cs="宋体"/>
          <w:kern w:val="0"/>
          <w:sz w:val="21"/>
          <w:szCs w:val="24"/>
          <w:lang w:val="zh-CN"/>
        </w:rPr>
        <w:t>〕</w:t>
      </w:r>
      <w:r>
        <w:rPr>
          <w:rFonts w:hint="default" w:eastAsia="Times New Roman"/>
          <w:kern w:val="0"/>
          <w:sz w:val="21"/>
          <w:szCs w:val="24"/>
          <w:lang w:val="zh-CN"/>
        </w:rPr>
        <w:t>11</w:t>
      </w:r>
      <w:r>
        <w:rPr>
          <w:rFonts w:hint="eastAsia" w:ascii="宋体" w:hAnsi="宋体" w:cs="宋体"/>
          <w:kern w:val="0"/>
          <w:sz w:val="21"/>
          <w:szCs w:val="24"/>
          <w:lang w:val="zh-CN"/>
        </w:rPr>
        <w:t>号）拨付给莱州伟隆阀门有限公司年产</w:t>
      </w:r>
      <w:r>
        <w:rPr>
          <w:rFonts w:hint="default" w:eastAsia="Times New Roman"/>
          <w:kern w:val="0"/>
          <w:sz w:val="21"/>
          <w:szCs w:val="24"/>
          <w:lang w:val="zh-CN"/>
        </w:rPr>
        <w:t>45</w:t>
      </w:r>
      <w:r>
        <w:rPr>
          <w:rFonts w:hint="eastAsia" w:ascii="宋体" w:hAnsi="宋体" w:cs="宋体"/>
          <w:kern w:val="0"/>
          <w:sz w:val="21"/>
          <w:szCs w:val="24"/>
          <w:lang w:val="zh-CN"/>
        </w:rPr>
        <w:t>万支新型阀门制造建设项目补助资金</w:t>
      </w:r>
      <w:r>
        <w:rPr>
          <w:rFonts w:hint="default" w:eastAsia="Times New Roman"/>
          <w:kern w:val="0"/>
          <w:sz w:val="21"/>
          <w:szCs w:val="24"/>
          <w:lang w:val="zh-CN"/>
        </w:rPr>
        <w:t>1,658,000.00</w:t>
      </w:r>
      <w:r>
        <w:rPr>
          <w:rFonts w:hint="eastAsia" w:ascii="宋体" w:hAnsi="宋体" w:cs="宋体"/>
          <w:kern w:val="0"/>
          <w:sz w:val="21"/>
          <w:szCs w:val="24"/>
          <w:lang w:val="zh-CN"/>
        </w:rPr>
        <w:t>元，按受益期摊销。</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5</w:t>
      </w:r>
      <w:r>
        <w:rPr>
          <w:rFonts w:hint="eastAsia" w:ascii="宋体" w:hAnsi="宋体" w:cs="宋体"/>
          <w:kern w:val="0"/>
          <w:sz w:val="21"/>
          <w:szCs w:val="24"/>
          <w:lang w:val="zh-CN"/>
        </w:rPr>
        <w:t>）</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3</w:t>
      </w:r>
      <w:r>
        <w:rPr>
          <w:rFonts w:hint="eastAsia" w:ascii="宋体" w:hAnsi="宋体" w:cs="宋体"/>
          <w:kern w:val="0"/>
          <w:sz w:val="21"/>
          <w:szCs w:val="24"/>
          <w:lang w:val="zh-CN"/>
        </w:rPr>
        <w:t>月</w:t>
      </w:r>
      <w:r>
        <w:rPr>
          <w:rFonts w:hint="default" w:eastAsia="Times New Roman"/>
          <w:kern w:val="0"/>
          <w:sz w:val="21"/>
          <w:szCs w:val="24"/>
          <w:lang w:val="zh-CN"/>
        </w:rPr>
        <w:t>23</w:t>
      </w:r>
      <w:r>
        <w:rPr>
          <w:rFonts w:hint="eastAsia" w:ascii="宋体" w:hAnsi="宋体" w:cs="宋体"/>
          <w:kern w:val="0"/>
          <w:sz w:val="21"/>
          <w:szCs w:val="24"/>
          <w:lang w:val="zh-CN"/>
        </w:rPr>
        <w:t>日，青岛市即墨区国库集中支付中心依据即政发【</w:t>
      </w:r>
      <w:r>
        <w:rPr>
          <w:rFonts w:hint="default" w:eastAsia="Times New Roman"/>
          <w:kern w:val="0"/>
          <w:sz w:val="21"/>
          <w:szCs w:val="24"/>
          <w:lang w:val="zh-CN"/>
        </w:rPr>
        <w:t>2018</w:t>
      </w:r>
      <w:r>
        <w:rPr>
          <w:rFonts w:hint="eastAsia" w:ascii="宋体" w:hAnsi="宋体" w:cs="宋体"/>
          <w:kern w:val="0"/>
          <w:sz w:val="21"/>
          <w:szCs w:val="24"/>
          <w:lang w:val="zh-CN"/>
        </w:rPr>
        <w:t>】</w:t>
      </w:r>
      <w:r>
        <w:rPr>
          <w:rFonts w:hint="default" w:eastAsia="Times New Roman"/>
          <w:kern w:val="0"/>
          <w:sz w:val="21"/>
          <w:szCs w:val="24"/>
          <w:lang w:val="zh-CN"/>
        </w:rPr>
        <w:t>23</w:t>
      </w:r>
      <w:r>
        <w:rPr>
          <w:rFonts w:hint="eastAsia" w:ascii="宋体" w:hAnsi="宋体" w:cs="宋体"/>
          <w:kern w:val="0"/>
          <w:sz w:val="21"/>
          <w:szCs w:val="24"/>
          <w:lang w:val="zh-CN"/>
        </w:rPr>
        <w:t>号青岛市即墨区人民政府关于促进企业高质量发展的意见，拨付企业技术改造综合奖</w:t>
      </w:r>
      <w:r>
        <w:rPr>
          <w:rFonts w:hint="default" w:eastAsia="Times New Roman"/>
          <w:kern w:val="0"/>
          <w:sz w:val="21"/>
          <w:szCs w:val="24"/>
          <w:lang w:val="zh-CN"/>
        </w:rPr>
        <w:t>150</w:t>
      </w:r>
      <w:r>
        <w:rPr>
          <w:rFonts w:hint="eastAsia" w:ascii="宋体" w:hAnsi="宋体" w:cs="宋体"/>
          <w:kern w:val="0"/>
          <w:sz w:val="21"/>
          <w:szCs w:val="24"/>
          <w:lang w:val="zh-CN"/>
        </w:rPr>
        <w:t>万元；</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7</w:t>
      </w:r>
      <w:r>
        <w:rPr>
          <w:rFonts w:hint="eastAsia" w:ascii="宋体" w:hAnsi="宋体" w:cs="宋体"/>
          <w:kern w:val="0"/>
          <w:sz w:val="21"/>
          <w:szCs w:val="24"/>
          <w:lang w:val="zh-CN"/>
        </w:rPr>
        <w:t>月</w:t>
      </w:r>
      <w:r>
        <w:rPr>
          <w:rFonts w:hint="default" w:eastAsia="Times New Roman"/>
          <w:kern w:val="0"/>
          <w:sz w:val="21"/>
          <w:szCs w:val="24"/>
          <w:lang w:val="zh-CN"/>
        </w:rPr>
        <w:t>10</w:t>
      </w:r>
      <w:r>
        <w:rPr>
          <w:rFonts w:hint="eastAsia" w:ascii="宋体" w:hAnsi="宋体" w:cs="宋体"/>
          <w:kern w:val="0"/>
          <w:sz w:val="21"/>
          <w:szCs w:val="24"/>
          <w:lang w:val="zh-CN"/>
        </w:rPr>
        <w:t>日，青岛市即墨区国库集中支付中心依据即政发【</w:t>
      </w:r>
      <w:r>
        <w:rPr>
          <w:rFonts w:hint="default" w:eastAsia="Times New Roman"/>
          <w:kern w:val="0"/>
          <w:sz w:val="21"/>
          <w:szCs w:val="24"/>
          <w:lang w:val="zh-CN"/>
        </w:rPr>
        <w:t>2018</w:t>
      </w:r>
      <w:r>
        <w:rPr>
          <w:rFonts w:hint="eastAsia" w:ascii="宋体" w:hAnsi="宋体" w:cs="宋体"/>
          <w:kern w:val="0"/>
          <w:sz w:val="21"/>
          <w:szCs w:val="24"/>
          <w:lang w:val="zh-CN"/>
        </w:rPr>
        <w:t>】</w:t>
      </w:r>
      <w:r>
        <w:rPr>
          <w:rFonts w:hint="default" w:eastAsia="Times New Roman"/>
          <w:kern w:val="0"/>
          <w:sz w:val="21"/>
          <w:szCs w:val="24"/>
          <w:lang w:val="zh-CN"/>
        </w:rPr>
        <w:t>23</w:t>
      </w:r>
      <w:r>
        <w:rPr>
          <w:rFonts w:hint="eastAsia" w:ascii="宋体" w:hAnsi="宋体" w:cs="宋体"/>
          <w:kern w:val="0"/>
          <w:sz w:val="21"/>
          <w:szCs w:val="24"/>
          <w:lang w:val="zh-CN"/>
        </w:rPr>
        <w:t>号青岛市即墨区人民政府关于促进企业高质量发展的意见，拨付企业技术改造综合奖</w:t>
      </w:r>
      <w:r>
        <w:rPr>
          <w:rFonts w:hint="default" w:eastAsia="Times New Roman"/>
          <w:kern w:val="0"/>
          <w:sz w:val="21"/>
          <w:szCs w:val="24"/>
          <w:lang w:val="zh-CN"/>
        </w:rPr>
        <w:t>150</w:t>
      </w:r>
      <w:r>
        <w:rPr>
          <w:rFonts w:hint="eastAsia" w:ascii="宋体" w:hAnsi="宋体" w:cs="宋体"/>
          <w:kern w:val="0"/>
          <w:sz w:val="21"/>
          <w:szCs w:val="24"/>
          <w:lang w:val="zh-CN"/>
        </w:rPr>
        <w:t>万元，按受益期摊销。</w:t>
      </w:r>
    </w:p>
    <w:p>
      <w:pPr>
        <w:pStyle w:val="8"/>
        <w:outlineLvl w:val="2"/>
        <w:rPr>
          <w:rFonts w:hint="default"/>
          <w:sz w:val="21"/>
          <w:szCs w:val="24"/>
        </w:rPr>
      </w:pPr>
      <w:r>
        <w:rPr>
          <w:rFonts w:hint="default"/>
          <w:sz w:val="21"/>
          <w:szCs w:val="24"/>
        </w:rPr>
        <w:t>52</w:t>
      </w:r>
      <w:r>
        <w:rPr>
          <w:rFonts w:hint="eastAsia"/>
          <w:sz w:val="21"/>
          <w:szCs w:val="24"/>
        </w:rPr>
        <w:t>、其他非流动负债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53</w:t>
      </w:r>
      <w:r>
        <w:rPr>
          <w:rFonts w:hint="eastAsia"/>
          <w:sz w:val="21"/>
          <w:szCs w:val="24"/>
        </w:rPr>
        <w:t>、股本</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195"/>
        <w:gridCol w:w="1197"/>
        <w:gridCol w:w="1196"/>
        <w:gridCol w:w="1196"/>
        <w:gridCol w:w="1196"/>
        <w:gridCol w:w="1196"/>
        <w:gridCol w:w="1196"/>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1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1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598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本次变动增减（</w:t>
            </w:r>
            <w:r>
              <w:rPr>
                <w:rFonts w:hint="default"/>
                <w:sz w:val="18"/>
                <w:szCs w:val="24"/>
              </w:rPr>
              <w:t>+</w:t>
            </w:r>
            <w:r>
              <w:rPr>
                <w:rFonts w:hint="eastAsia"/>
                <w:sz w:val="18"/>
                <w:szCs w:val="24"/>
              </w:rPr>
              <w:t>、</w:t>
            </w:r>
            <w:r>
              <w:rPr>
                <w:rFonts w:hint="default"/>
                <w:sz w:val="18"/>
                <w:szCs w:val="24"/>
              </w:rPr>
              <w:t>-</w:t>
            </w:r>
            <w:r>
              <w:rPr>
                <w:rFonts w:hint="eastAsia"/>
                <w:sz w:val="18"/>
                <w:szCs w:val="24"/>
              </w:rPr>
              <w:t>）</w:t>
            </w:r>
          </w:p>
        </w:tc>
        <w:tc>
          <w:tcPr>
            <w:tcW w:w="11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发行新股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送股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公积金转股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小计</w:t>
            </w:r>
          </w:p>
        </w:tc>
        <w:tc>
          <w:tcPr>
            <w:tcW w:w="11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股份总数</w:t>
            </w:r>
          </w:p>
        </w:tc>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116,722,000.00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116,680,000.00</w:t>
            </w:r>
          </w:p>
        </w:tc>
      </w:tr>
    </w:tbl>
    <w:p>
      <w:pPr>
        <w:jc w:val="left"/>
        <w:rPr>
          <w:rFonts w:hint="default"/>
          <w:sz w:val="18"/>
          <w:szCs w:val="24"/>
        </w:rPr>
      </w:pPr>
      <w:r>
        <w:rPr>
          <w:rFonts w:hint="eastAsia"/>
          <w:sz w:val="18"/>
          <w:szCs w:val="24"/>
        </w:rPr>
        <w:t>其他说明：</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①公司于</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11</w:t>
      </w:r>
      <w:r>
        <w:rPr>
          <w:rFonts w:hint="eastAsia" w:ascii="宋体" w:hAnsi="宋体" w:cs="宋体"/>
          <w:kern w:val="0"/>
          <w:sz w:val="21"/>
          <w:szCs w:val="24"/>
          <w:lang w:val="zh-CN"/>
        </w:rPr>
        <w:t>日召开</w:t>
      </w:r>
      <w:r>
        <w:rPr>
          <w:rFonts w:hint="default" w:eastAsia="Times New Roman"/>
          <w:kern w:val="0"/>
          <w:sz w:val="21"/>
          <w:szCs w:val="24"/>
          <w:lang w:val="zh-CN"/>
        </w:rPr>
        <w:t>2020</w:t>
      </w:r>
      <w:r>
        <w:rPr>
          <w:rFonts w:hint="eastAsia" w:ascii="宋体" w:hAnsi="宋体" w:cs="宋体"/>
          <w:kern w:val="0"/>
          <w:sz w:val="21"/>
          <w:szCs w:val="24"/>
          <w:lang w:val="zh-CN"/>
        </w:rPr>
        <w:t>年第一次临时股东大会，会议审议通过了《关于回购注销部分限制性股票的议案》、《关于变更公司注册资本与修改</w:t>
      </w:r>
      <w:r>
        <w:rPr>
          <w:rFonts w:hint="default" w:eastAsia="Times New Roman"/>
          <w:kern w:val="0"/>
          <w:sz w:val="21"/>
          <w:szCs w:val="24"/>
          <w:lang w:val="zh-CN"/>
        </w:rPr>
        <w:t>&lt;</w:t>
      </w:r>
      <w:r>
        <w:rPr>
          <w:rFonts w:hint="eastAsia" w:ascii="宋体" w:hAnsi="宋体" w:cs="宋体"/>
          <w:kern w:val="0"/>
          <w:sz w:val="21"/>
          <w:szCs w:val="24"/>
          <w:lang w:val="zh-CN"/>
        </w:rPr>
        <w:t>公司章程</w:t>
      </w:r>
      <w:r>
        <w:rPr>
          <w:rFonts w:hint="default" w:eastAsia="Times New Roman"/>
          <w:kern w:val="0"/>
          <w:sz w:val="21"/>
          <w:szCs w:val="24"/>
          <w:lang w:val="zh-CN"/>
        </w:rPr>
        <w:t>&gt;</w:t>
      </w:r>
      <w:r>
        <w:rPr>
          <w:rFonts w:hint="eastAsia" w:ascii="宋体" w:hAnsi="宋体" w:cs="宋体"/>
          <w:kern w:val="0"/>
          <w:sz w:val="21"/>
          <w:szCs w:val="24"/>
          <w:lang w:val="zh-CN"/>
        </w:rPr>
        <w:t>的议案》。由于公司</w:t>
      </w:r>
      <w:r>
        <w:rPr>
          <w:rFonts w:hint="default" w:eastAsia="Times New Roman"/>
          <w:kern w:val="0"/>
          <w:sz w:val="21"/>
          <w:szCs w:val="24"/>
          <w:lang w:val="zh-CN"/>
        </w:rPr>
        <w:t>2</w:t>
      </w:r>
      <w:r>
        <w:rPr>
          <w:rFonts w:hint="eastAsia" w:ascii="宋体" w:hAnsi="宋体" w:cs="宋体"/>
          <w:kern w:val="0"/>
          <w:sz w:val="21"/>
          <w:szCs w:val="24"/>
          <w:lang w:val="zh-CN"/>
        </w:rPr>
        <w:t>名原激励对象因个人原因离职，公司决定对该对象所持已获授但尚未解除限售的</w:t>
      </w:r>
      <w:r>
        <w:rPr>
          <w:rFonts w:hint="default" w:eastAsia="Times New Roman"/>
          <w:kern w:val="0"/>
          <w:sz w:val="21"/>
          <w:szCs w:val="24"/>
          <w:lang w:val="zh-CN"/>
        </w:rPr>
        <w:t>42,000.00</w:t>
      </w:r>
      <w:r>
        <w:rPr>
          <w:rFonts w:hint="eastAsia" w:ascii="宋体" w:hAnsi="宋体" w:cs="宋体"/>
          <w:kern w:val="0"/>
          <w:sz w:val="21"/>
          <w:szCs w:val="24"/>
          <w:lang w:val="zh-CN"/>
        </w:rPr>
        <w:t>股限制性股票进行回购注销。减少股本人民币</w:t>
      </w:r>
      <w:r>
        <w:rPr>
          <w:rFonts w:hint="default" w:eastAsia="Times New Roman"/>
          <w:kern w:val="0"/>
          <w:sz w:val="21"/>
          <w:szCs w:val="24"/>
          <w:lang w:val="zh-CN"/>
        </w:rPr>
        <w:t>42,000.00</w:t>
      </w:r>
      <w:r>
        <w:rPr>
          <w:rFonts w:hint="eastAsia" w:ascii="宋体" w:hAnsi="宋体" w:cs="宋体"/>
          <w:kern w:val="0"/>
          <w:sz w:val="21"/>
          <w:szCs w:val="24"/>
          <w:lang w:val="zh-CN"/>
        </w:rPr>
        <w:t>元，变更后的股本为人民币</w:t>
      </w:r>
      <w:r>
        <w:rPr>
          <w:rFonts w:hint="default" w:eastAsia="Times New Roman"/>
          <w:kern w:val="0"/>
          <w:sz w:val="21"/>
          <w:szCs w:val="24"/>
          <w:lang w:val="zh-CN"/>
        </w:rPr>
        <w:t>116,680,000.00</w:t>
      </w:r>
      <w:r>
        <w:rPr>
          <w:rFonts w:hint="eastAsia" w:ascii="宋体" w:hAnsi="宋体" w:cs="宋体"/>
          <w:kern w:val="0"/>
          <w:sz w:val="21"/>
          <w:szCs w:val="24"/>
          <w:lang w:val="zh-CN"/>
        </w:rPr>
        <w:t>元。</w:t>
      </w:r>
    </w:p>
    <w:p>
      <w:pPr>
        <w:pStyle w:val="8"/>
        <w:outlineLvl w:val="2"/>
        <w:rPr>
          <w:rFonts w:hint="default"/>
          <w:sz w:val="21"/>
          <w:szCs w:val="24"/>
        </w:rPr>
      </w:pPr>
      <w:r>
        <w:rPr>
          <w:rFonts w:hint="default"/>
          <w:sz w:val="21"/>
          <w:szCs w:val="24"/>
        </w:rPr>
        <w:t>54</w:t>
      </w:r>
      <w:r>
        <w:rPr>
          <w:rFonts w:hint="eastAsia"/>
          <w:sz w:val="21"/>
          <w:szCs w:val="24"/>
        </w:rPr>
        <w:t>、其他权益工具</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）期末发行在外的优先股、永续债等其他金融工具基本情况</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）期末发行在外的优先股、永续债等金融工具变动情况表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065"/>
        <w:gridCol w:w="1067"/>
        <w:gridCol w:w="1063"/>
        <w:gridCol w:w="1063"/>
        <w:gridCol w:w="1063"/>
        <w:gridCol w:w="1062"/>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发行在外的金融工具</w:t>
            </w:r>
          </w:p>
        </w:tc>
        <w:tc>
          <w:tcPr>
            <w:tcW w:w="21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w:t>
            </w:r>
          </w:p>
        </w:tc>
        <w:tc>
          <w:tcPr>
            <w:tcW w:w="21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bl>
    <w:p>
      <w:pPr>
        <w:jc w:val="left"/>
        <w:rPr>
          <w:rFonts w:hint="default"/>
          <w:sz w:val="18"/>
          <w:szCs w:val="24"/>
        </w:rPr>
      </w:pPr>
      <w:r>
        <w:rPr>
          <w:rFonts w:hint="eastAsia"/>
          <w:sz w:val="18"/>
          <w:szCs w:val="24"/>
        </w:rPr>
        <w:t>其他权益工具本期增减变动情况、变动原因说明，以及相关会计处理的依据：</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55</w:t>
      </w:r>
      <w:r>
        <w:rPr>
          <w:rFonts w:hint="eastAsia"/>
          <w:sz w:val="21"/>
          <w:szCs w:val="24"/>
        </w:rPr>
        <w:t>、资本公积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资本溢价（股本溢价）</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235,491,743.08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4,326,588.00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328,860.00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239,489,471.08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其他资本公积</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7,281,551.03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3,725,673.00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4,595,924.66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6,411,299.37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242,773,294.11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8,052,261.00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4,924,784.66</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245,900,770.45</w:t>
            </w:r>
          </w:p>
        </w:tc>
      </w:tr>
    </w:tbl>
    <w:p>
      <w:pPr>
        <w:jc w:val="left"/>
        <w:rPr>
          <w:rFonts w:hint="default"/>
          <w:sz w:val="18"/>
          <w:szCs w:val="24"/>
        </w:rPr>
      </w:pPr>
      <w:r>
        <w:rPr>
          <w:rFonts w:hint="eastAsia"/>
          <w:sz w:val="18"/>
          <w:szCs w:val="24"/>
        </w:rPr>
        <w:t>其他说明，包括本期增减变动情况、变动原因说明：</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）股本溢价：</w:t>
      </w:r>
    </w:p>
    <w:p>
      <w:pPr>
        <w:autoSpaceDE w:val="0"/>
        <w:autoSpaceDN w:val="0"/>
        <w:adjustRightInd w:val="0"/>
        <w:spacing w:before="0" w:after="0"/>
        <w:ind w:firstLine="420"/>
        <w:rPr>
          <w:rFonts w:hint="default" w:eastAsia="Times New Roman"/>
          <w:kern w:val="0"/>
          <w:sz w:val="21"/>
          <w:szCs w:val="24"/>
          <w:lang w:val="zh-CN"/>
        </w:rPr>
      </w:pPr>
      <w:r>
        <w:rPr>
          <w:rFonts w:hint="default" w:eastAsia="Times New Roman"/>
          <w:kern w:val="0"/>
          <w:sz w:val="21"/>
          <w:szCs w:val="24"/>
          <w:lang w:val="zh-CN"/>
        </w:rPr>
        <w:t>2012</w:t>
      </w:r>
      <w:r>
        <w:rPr>
          <w:rFonts w:hint="eastAsia" w:ascii="宋体" w:hAnsi="宋体" w:cs="宋体"/>
          <w:kern w:val="0"/>
          <w:sz w:val="21"/>
          <w:szCs w:val="24"/>
          <w:lang w:val="zh-CN"/>
        </w:rPr>
        <w:t>年</w:t>
      </w:r>
      <w:r>
        <w:rPr>
          <w:rFonts w:hint="default" w:eastAsia="Times New Roman"/>
          <w:kern w:val="0"/>
          <w:sz w:val="21"/>
          <w:szCs w:val="24"/>
          <w:lang w:val="zh-CN"/>
        </w:rPr>
        <w:t>3</w:t>
      </w:r>
      <w:r>
        <w:rPr>
          <w:rFonts w:hint="eastAsia" w:ascii="宋体" w:hAnsi="宋体" w:cs="宋体"/>
          <w:kern w:val="0"/>
          <w:sz w:val="21"/>
          <w:szCs w:val="24"/>
          <w:lang w:val="zh-CN"/>
        </w:rPr>
        <w:t>月，青岛伟隆阀门有限公司整体变更为青岛伟隆阀门股份有限公司。按照经山东汇德会计师事务所有限公司审计的青岛伟隆阀门有限公司截止</w:t>
      </w:r>
      <w:r>
        <w:rPr>
          <w:rFonts w:hint="default" w:eastAsia="Times New Roman"/>
          <w:kern w:val="0"/>
          <w:sz w:val="21"/>
          <w:szCs w:val="24"/>
          <w:lang w:val="zh-CN"/>
        </w:rPr>
        <w:t>2011</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日的净资产折为股本</w:t>
      </w:r>
      <w:r>
        <w:rPr>
          <w:rFonts w:hint="default" w:eastAsia="Times New Roman"/>
          <w:kern w:val="0"/>
          <w:sz w:val="21"/>
          <w:szCs w:val="24"/>
          <w:lang w:val="zh-CN"/>
        </w:rPr>
        <w:t xml:space="preserve">51,000,000.00 </w:t>
      </w:r>
      <w:r>
        <w:rPr>
          <w:rFonts w:hint="eastAsia" w:ascii="宋体" w:hAnsi="宋体" w:cs="宋体"/>
          <w:kern w:val="0"/>
          <w:sz w:val="21"/>
          <w:szCs w:val="24"/>
          <w:lang w:val="zh-CN"/>
        </w:rPr>
        <w:t>股（每股面值为人民币</w:t>
      </w:r>
      <w:r>
        <w:rPr>
          <w:rFonts w:hint="default" w:eastAsia="Times New Roman"/>
          <w:kern w:val="0"/>
          <w:sz w:val="21"/>
          <w:szCs w:val="24"/>
          <w:lang w:val="zh-CN"/>
        </w:rPr>
        <w:t>1.00</w:t>
      </w:r>
      <w:r>
        <w:rPr>
          <w:rFonts w:hint="eastAsia" w:ascii="宋体" w:hAnsi="宋体" w:cs="宋体"/>
          <w:kern w:val="0"/>
          <w:sz w:val="21"/>
          <w:szCs w:val="24"/>
          <w:lang w:val="zh-CN"/>
        </w:rPr>
        <w:t>元），余额</w:t>
      </w:r>
      <w:r>
        <w:rPr>
          <w:rFonts w:hint="default" w:eastAsia="Times New Roman"/>
          <w:kern w:val="0"/>
          <w:sz w:val="21"/>
          <w:szCs w:val="24"/>
          <w:lang w:val="zh-CN"/>
        </w:rPr>
        <w:t>64,688,747.29</w:t>
      </w:r>
      <w:r>
        <w:rPr>
          <w:rFonts w:hint="eastAsia" w:ascii="宋体" w:hAnsi="宋体" w:cs="宋体"/>
          <w:kern w:val="0"/>
          <w:sz w:val="21"/>
          <w:szCs w:val="24"/>
          <w:lang w:val="zh-CN"/>
        </w:rPr>
        <w:t>元计入资本公积。</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经中国证券监督管理委员会以证监许可</w:t>
      </w:r>
      <w:r>
        <w:rPr>
          <w:rFonts w:hint="default" w:eastAsia="Times New Roman"/>
          <w:kern w:val="0"/>
          <w:sz w:val="21"/>
          <w:szCs w:val="24"/>
          <w:lang w:val="zh-CN"/>
        </w:rPr>
        <w:t>[2017]526</w:t>
      </w:r>
      <w:r>
        <w:rPr>
          <w:rFonts w:hint="eastAsia" w:ascii="宋体" w:hAnsi="宋体" w:cs="宋体"/>
          <w:kern w:val="0"/>
          <w:sz w:val="21"/>
          <w:szCs w:val="24"/>
          <w:lang w:val="zh-CN"/>
        </w:rPr>
        <w:t>号文《关于核准青岛伟隆阀门股份有限公司首次公开发行股票的批复》核准，公司向社会公开发行人民币普通股股票（</w:t>
      </w:r>
      <w:r>
        <w:rPr>
          <w:rFonts w:hint="default" w:eastAsia="Times New Roman"/>
          <w:kern w:val="0"/>
          <w:sz w:val="21"/>
          <w:szCs w:val="24"/>
          <w:lang w:val="zh-CN"/>
        </w:rPr>
        <w:t>A</w:t>
      </w:r>
      <w:r>
        <w:rPr>
          <w:rFonts w:hint="eastAsia" w:ascii="宋体" w:hAnsi="宋体" w:cs="宋体"/>
          <w:kern w:val="0"/>
          <w:sz w:val="21"/>
          <w:szCs w:val="24"/>
          <w:lang w:val="zh-CN"/>
        </w:rPr>
        <w:t>股）</w:t>
      </w:r>
      <w:r>
        <w:rPr>
          <w:rFonts w:hint="default" w:eastAsia="Times New Roman"/>
          <w:kern w:val="0"/>
          <w:sz w:val="21"/>
          <w:szCs w:val="24"/>
          <w:lang w:val="zh-CN"/>
        </w:rPr>
        <w:t>1700</w:t>
      </w:r>
      <w:r>
        <w:rPr>
          <w:rFonts w:hint="eastAsia" w:ascii="宋体" w:hAnsi="宋体" w:cs="宋体"/>
          <w:kern w:val="0"/>
          <w:sz w:val="21"/>
          <w:szCs w:val="24"/>
          <w:lang w:val="zh-CN"/>
        </w:rPr>
        <w:t>万股</w:t>
      </w:r>
      <w:r>
        <w:rPr>
          <w:rFonts w:hint="default" w:eastAsia="Times New Roman"/>
          <w:kern w:val="0"/>
          <w:sz w:val="21"/>
          <w:szCs w:val="24"/>
          <w:lang w:val="zh-CN"/>
        </w:rPr>
        <w:t>,</w:t>
      </w:r>
      <w:r>
        <w:rPr>
          <w:rFonts w:hint="eastAsia" w:ascii="宋体" w:hAnsi="宋体" w:cs="宋体"/>
          <w:kern w:val="0"/>
          <w:sz w:val="21"/>
          <w:szCs w:val="24"/>
          <w:lang w:val="zh-CN"/>
        </w:rPr>
        <w:t>每股面值</w:t>
      </w:r>
      <w:r>
        <w:rPr>
          <w:rFonts w:hint="default" w:eastAsia="Times New Roman"/>
          <w:kern w:val="0"/>
          <w:sz w:val="21"/>
          <w:szCs w:val="24"/>
          <w:lang w:val="zh-CN"/>
        </w:rPr>
        <w:t>1.00</w:t>
      </w:r>
      <w:r>
        <w:rPr>
          <w:rFonts w:hint="eastAsia" w:ascii="宋体" w:hAnsi="宋体" w:cs="宋体"/>
          <w:kern w:val="0"/>
          <w:sz w:val="21"/>
          <w:szCs w:val="24"/>
          <w:lang w:val="zh-CN"/>
        </w:rPr>
        <w:t>元，每股发行价格为人民币</w:t>
      </w:r>
      <w:r>
        <w:rPr>
          <w:rFonts w:hint="default" w:eastAsia="Times New Roman"/>
          <w:kern w:val="0"/>
          <w:sz w:val="21"/>
          <w:szCs w:val="24"/>
          <w:lang w:val="zh-CN"/>
        </w:rPr>
        <w:t>15.39</w:t>
      </w:r>
      <w:r>
        <w:rPr>
          <w:rFonts w:hint="eastAsia" w:ascii="宋体" w:hAnsi="宋体" w:cs="宋体"/>
          <w:kern w:val="0"/>
          <w:sz w:val="21"/>
          <w:szCs w:val="24"/>
          <w:lang w:val="zh-CN"/>
        </w:rPr>
        <w:t>元，募集资金总额为人民币</w:t>
      </w:r>
      <w:r>
        <w:rPr>
          <w:rFonts w:hint="default" w:eastAsia="Times New Roman"/>
          <w:kern w:val="0"/>
          <w:sz w:val="21"/>
          <w:szCs w:val="24"/>
          <w:lang w:val="zh-CN"/>
        </w:rPr>
        <w:t>261,630,000.00</w:t>
      </w:r>
      <w:r>
        <w:rPr>
          <w:rFonts w:hint="eastAsia" w:ascii="宋体" w:hAnsi="宋体" w:cs="宋体"/>
          <w:kern w:val="0"/>
          <w:sz w:val="21"/>
          <w:szCs w:val="24"/>
          <w:lang w:val="zh-CN"/>
        </w:rPr>
        <w:t>元，扣除各项发行费用合计人民币</w:t>
      </w:r>
      <w:r>
        <w:rPr>
          <w:rFonts w:hint="default" w:eastAsia="Times New Roman"/>
          <w:kern w:val="0"/>
          <w:sz w:val="21"/>
          <w:szCs w:val="24"/>
          <w:lang w:val="zh-CN"/>
        </w:rPr>
        <w:t>41,995,000.00</w:t>
      </w:r>
      <w:r>
        <w:rPr>
          <w:rFonts w:hint="eastAsia" w:ascii="宋体" w:hAnsi="宋体" w:cs="宋体"/>
          <w:kern w:val="0"/>
          <w:sz w:val="21"/>
          <w:szCs w:val="24"/>
          <w:lang w:val="zh-CN"/>
        </w:rPr>
        <w:t>元，实际募集资金净额为人民币</w:t>
      </w:r>
      <w:r>
        <w:rPr>
          <w:rFonts w:hint="default" w:eastAsia="Times New Roman"/>
          <w:kern w:val="0"/>
          <w:sz w:val="21"/>
          <w:szCs w:val="24"/>
          <w:lang w:val="zh-CN"/>
        </w:rPr>
        <w:t>219,635,000.00</w:t>
      </w:r>
      <w:r>
        <w:rPr>
          <w:rFonts w:hint="eastAsia" w:ascii="宋体" w:hAnsi="宋体" w:cs="宋体"/>
          <w:kern w:val="0"/>
          <w:sz w:val="21"/>
          <w:szCs w:val="24"/>
          <w:lang w:val="zh-CN"/>
        </w:rPr>
        <w:t>元，实际募集金额扣除发行股本加上发行费用可抵扣增值税额的余额</w:t>
      </w:r>
      <w:r>
        <w:rPr>
          <w:rFonts w:hint="default" w:eastAsia="Times New Roman"/>
          <w:kern w:val="0"/>
          <w:sz w:val="21"/>
          <w:szCs w:val="24"/>
          <w:lang w:val="zh-CN"/>
        </w:rPr>
        <w:t>204,822,307.79</w:t>
      </w:r>
      <w:r>
        <w:rPr>
          <w:rFonts w:hint="eastAsia" w:ascii="宋体" w:hAnsi="宋体" w:cs="宋体"/>
          <w:kern w:val="0"/>
          <w:sz w:val="21"/>
          <w:szCs w:val="24"/>
          <w:lang w:val="zh-CN"/>
        </w:rPr>
        <w:t>元计入资本公积。</w:t>
      </w:r>
    </w:p>
    <w:p>
      <w:pPr>
        <w:autoSpaceDE w:val="0"/>
        <w:autoSpaceDN w:val="0"/>
        <w:adjustRightInd w:val="0"/>
        <w:spacing w:before="0" w:after="0"/>
        <w:ind w:firstLine="436"/>
        <w:jc w:val="left"/>
        <w:rPr>
          <w:rFonts w:hint="default" w:eastAsia="Times New Roman"/>
          <w:kern w:val="0"/>
          <w:sz w:val="21"/>
          <w:szCs w:val="24"/>
          <w:lang w:val="zh-CN"/>
        </w:rPr>
      </w:pP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5</w:t>
      </w:r>
      <w:r>
        <w:rPr>
          <w:rFonts w:hint="eastAsia" w:ascii="宋体" w:hAnsi="宋体" w:cs="宋体"/>
          <w:kern w:val="0"/>
          <w:sz w:val="21"/>
          <w:szCs w:val="24"/>
          <w:lang w:val="zh-CN"/>
        </w:rPr>
        <w:t>月，根据公司</w:t>
      </w:r>
      <w:r>
        <w:rPr>
          <w:rFonts w:hint="default" w:eastAsia="Times New Roman"/>
          <w:kern w:val="0"/>
          <w:sz w:val="21"/>
          <w:szCs w:val="24"/>
          <w:lang w:val="zh-CN"/>
        </w:rPr>
        <w:t>2017</w:t>
      </w:r>
      <w:r>
        <w:rPr>
          <w:rFonts w:hint="eastAsia" w:ascii="宋体" w:hAnsi="宋体" w:cs="宋体"/>
          <w:kern w:val="0"/>
          <w:sz w:val="21"/>
          <w:szCs w:val="24"/>
          <w:lang w:val="zh-CN"/>
        </w:rPr>
        <w:t>年度股东大会决议通过的《关于</w:t>
      </w:r>
      <w:r>
        <w:rPr>
          <w:rFonts w:hint="default" w:eastAsia="Times New Roman"/>
          <w:kern w:val="0"/>
          <w:sz w:val="21"/>
          <w:szCs w:val="24"/>
          <w:lang w:val="zh-CN"/>
        </w:rPr>
        <w:t>2017</w:t>
      </w:r>
      <w:r>
        <w:rPr>
          <w:rFonts w:hint="eastAsia" w:ascii="宋体" w:hAnsi="宋体" w:cs="宋体"/>
          <w:kern w:val="0"/>
          <w:sz w:val="21"/>
          <w:szCs w:val="24"/>
          <w:lang w:val="zh-CN"/>
        </w:rPr>
        <w:t>年度利润分配预案的议案》，以公司</w:t>
      </w:r>
      <w:r>
        <w:rPr>
          <w:rFonts w:hint="default" w:eastAsia="Times New Roman"/>
          <w:kern w:val="0"/>
          <w:sz w:val="21"/>
          <w:szCs w:val="24"/>
          <w:lang w:val="zh-CN"/>
        </w:rPr>
        <w:t xml:space="preserve"> 2017 </w:t>
      </w:r>
      <w:r>
        <w:rPr>
          <w:rFonts w:hint="eastAsia" w:ascii="宋体" w:hAnsi="宋体" w:cs="宋体"/>
          <w:kern w:val="0"/>
          <w:sz w:val="21"/>
          <w:szCs w:val="24"/>
          <w:lang w:val="zh-CN"/>
        </w:rPr>
        <w:t>年</w:t>
      </w:r>
      <w:r>
        <w:rPr>
          <w:rFonts w:hint="default" w:eastAsia="Times New Roman"/>
          <w:kern w:val="0"/>
          <w:sz w:val="21"/>
          <w:szCs w:val="24"/>
          <w:lang w:val="zh-CN"/>
        </w:rPr>
        <w:t xml:space="preserve"> 12 </w:t>
      </w:r>
      <w:r>
        <w:rPr>
          <w:rFonts w:hint="eastAsia" w:ascii="宋体" w:hAnsi="宋体" w:cs="宋体"/>
          <w:kern w:val="0"/>
          <w:sz w:val="21"/>
          <w:szCs w:val="24"/>
          <w:lang w:val="zh-CN"/>
        </w:rPr>
        <w:t>月</w:t>
      </w:r>
      <w:r>
        <w:rPr>
          <w:rFonts w:hint="default" w:eastAsia="Times New Roman"/>
          <w:kern w:val="0"/>
          <w:sz w:val="21"/>
          <w:szCs w:val="24"/>
          <w:lang w:val="zh-CN"/>
        </w:rPr>
        <w:t xml:space="preserve"> 31 </w:t>
      </w:r>
      <w:r>
        <w:rPr>
          <w:rFonts w:hint="eastAsia" w:ascii="宋体" w:hAnsi="宋体" w:cs="宋体"/>
          <w:kern w:val="0"/>
          <w:sz w:val="21"/>
          <w:szCs w:val="24"/>
          <w:lang w:val="zh-CN"/>
        </w:rPr>
        <w:t>日总股本</w:t>
      </w:r>
      <w:r>
        <w:rPr>
          <w:rFonts w:hint="default" w:eastAsia="Times New Roman"/>
          <w:kern w:val="0"/>
          <w:sz w:val="21"/>
          <w:szCs w:val="24"/>
          <w:lang w:val="zh-CN"/>
        </w:rPr>
        <w:t xml:space="preserve">68,000,000.00 </w:t>
      </w:r>
      <w:r>
        <w:rPr>
          <w:rFonts w:hint="eastAsia" w:ascii="宋体" w:hAnsi="宋体" w:cs="宋体"/>
          <w:kern w:val="0"/>
          <w:sz w:val="21"/>
          <w:szCs w:val="24"/>
          <w:lang w:val="zh-CN"/>
        </w:rPr>
        <w:t>股为基数</w:t>
      </w:r>
      <w:r>
        <w:rPr>
          <w:rFonts w:hint="default" w:eastAsia="Times New Roman"/>
          <w:kern w:val="0"/>
          <w:sz w:val="21"/>
          <w:szCs w:val="24"/>
          <w:lang w:val="zh-CN"/>
        </w:rPr>
        <w:t>,</w:t>
      </w:r>
      <w:r>
        <w:rPr>
          <w:rFonts w:hint="eastAsia" w:ascii="宋体" w:hAnsi="宋体" w:cs="宋体"/>
          <w:kern w:val="0"/>
          <w:sz w:val="21"/>
          <w:szCs w:val="24"/>
          <w:lang w:val="zh-CN"/>
        </w:rPr>
        <w:t>以资本公积向全体股东每</w:t>
      </w:r>
      <w:r>
        <w:rPr>
          <w:rFonts w:hint="default" w:eastAsia="Times New Roman"/>
          <w:kern w:val="0"/>
          <w:sz w:val="21"/>
          <w:szCs w:val="24"/>
          <w:lang w:val="zh-CN"/>
        </w:rPr>
        <w:t>10</w:t>
      </w:r>
      <w:r>
        <w:rPr>
          <w:rFonts w:hint="eastAsia" w:ascii="宋体" w:hAnsi="宋体" w:cs="宋体"/>
          <w:kern w:val="0"/>
          <w:sz w:val="21"/>
          <w:szCs w:val="24"/>
          <w:lang w:val="zh-CN"/>
        </w:rPr>
        <w:t>股转增</w:t>
      </w:r>
      <w:r>
        <w:rPr>
          <w:rFonts w:hint="default" w:eastAsia="Times New Roman"/>
          <w:kern w:val="0"/>
          <w:sz w:val="21"/>
          <w:szCs w:val="24"/>
          <w:lang w:val="zh-CN"/>
        </w:rPr>
        <w:t>7</w:t>
      </w:r>
      <w:r>
        <w:rPr>
          <w:rFonts w:hint="eastAsia" w:ascii="宋体" w:hAnsi="宋体" w:cs="宋体"/>
          <w:kern w:val="0"/>
          <w:sz w:val="21"/>
          <w:szCs w:val="24"/>
          <w:lang w:val="zh-CN"/>
        </w:rPr>
        <w:t>股，共计转增</w:t>
      </w:r>
      <w:r>
        <w:rPr>
          <w:rFonts w:hint="default" w:eastAsia="Times New Roman"/>
          <w:kern w:val="0"/>
          <w:sz w:val="21"/>
          <w:szCs w:val="24"/>
          <w:lang w:val="zh-CN"/>
        </w:rPr>
        <w:t>47,600,000.00</w:t>
      </w:r>
      <w:r>
        <w:rPr>
          <w:rFonts w:hint="eastAsia" w:ascii="宋体" w:hAnsi="宋体" w:cs="宋体"/>
          <w:kern w:val="0"/>
          <w:sz w:val="21"/>
          <w:szCs w:val="24"/>
          <w:lang w:val="zh-CN"/>
        </w:rPr>
        <w:t>股，减少资本公积</w:t>
      </w:r>
      <w:r>
        <w:rPr>
          <w:rFonts w:hint="default" w:eastAsia="Times New Roman"/>
          <w:kern w:val="0"/>
          <w:sz w:val="21"/>
          <w:szCs w:val="24"/>
          <w:lang w:val="zh-CN"/>
        </w:rPr>
        <w:t>47,600,000.00</w:t>
      </w:r>
      <w:r>
        <w:rPr>
          <w:rFonts w:hint="eastAsia" w:ascii="宋体" w:hAnsi="宋体" w:cs="宋体"/>
          <w:kern w:val="0"/>
          <w:sz w:val="21"/>
          <w:szCs w:val="24"/>
          <w:lang w:val="zh-CN"/>
        </w:rPr>
        <w:t>元。</w:t>
      </w:r>
    </w:p>
    <w:p>
      <w:pPr>
        <w:autoSpaceDE w:val="0"/>
        <w:autoSpaceDN w:val="0"/>
        <w:adjustRightInd w:val="0"/>
        <w:spacing w:before="0" w:after="0"/>
        <w:ind w:firstLine="436"/>
        <w:jc w:val="left"/>
        <w:rPr>
          <w:rFonts w:hint="default" w:eastAsia="Times New Roman"/>
          <w:kern w:val="0"/>
          <w:sz w:val="21"/>
          <w:szCs w:val="24"/>
          <w:lang w:val="zh-CN"/>
        </w:rPr>
      </w:pP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月，公司第三届董事会第七次会议审议通过《关于调整公司</w:t>
      </w:r>
      <w:r>
        <w:rPr>
          <w:rFonts w:hint="default" w:eastAsia="Times New Roman"/>
          <w:kern w:val="0"/>
          <w:sz w:val="21"/>
          <w:szCs w:val="24"/>
          <w:lang w:val="zh-CN"/>
        </w:rPr>
        <w:t>2018</w:t>
      </w:r>
      <w:r>
        <w:rPr>
          <w:rFonts w:hint="eastAsia" w:ascii="宋体" w:hAnsi="宋体" w:cs="宋体"/>
          <w:kern w:val="0"/>
          <w:sz w:val="21"/>
          <w:szCs w:val="24"/>
          <w:lang w:val="zh-CN"/>
        </w:rPr>
        <w:t>年限制性股票激励计划相关事项的议案》、《关于向</w:t>
      </w:r>
      <w:r>
        <w:rPr>
          <w:rFonts w:hint="default" w:eastAsia="Times New Roman"/>
          <w:kern w:val="0"/>
          <w:sz w:val="21"/>
          <w:szCs w:val="24"/>
          <w:lang w:val="zh-CN"/>
        </w:rPr>
        <w:t>2018</w:t>
      </w:r>
      <w:r>
        <w:rPr>
          <w:rFonts w:hint="eastAsia" w:ascii="宋体" w:hAnsi="宋体" w:cs="宋体"/>
          <w:kern w:val="0"/>
          <w:sz w:val="21"/>
          <w:szCs w:val="24"/>
          <w:lang w:val="zh-CN"/>
        </w:rPr>
        <w:t>年限制性股票激励计划激励对象授予限制性股票的议案》，确定以</w:t>
      </w: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w:t>
      </w:r>
      <w:r>
        <w:rPr>
          <w:rFonts w:hint="default" w:eastAsia="Times New Roman"/>
          <w:kern w:val="0"/>
          <w:sz w:val="21"/>
          <w:szCs w:val="24"/>
          <w:lang w:val="zh-CN"/>
        </w:rPr>
        <w:t>20</w:t>
      </w:r>
      <w:r>
        <w:rPr>
          <w:rFonts w:hint="eastAsia" w:ascii="宋体" w:hAnsi="宋体" w:cs="宋体"/>
          <w:kern w:val="0"/>
          <w:sz w:val="21"/>
          <w:szCs w:val="24"/>
          <w:lang w:val="zh-CN"/>
        </w:rPr>
        <w:t>日为授予日，向</w:t>
      </w:r>
      <w:r>
        <w:rPr>
          <w:rFonts w:hint="default" w:eastAsia="Times New Roman"/>
          <w:kern w:val="0"/>
          <w:sz w:val="21"/>
          <w:szCs w:val="24"/>
          <w:lang w:val="zh-CN"/>
        </w:rPr>
        <w:t>39</w:t>
      </w:r>
      <w:r>
        <w:rPr>
          <w:rFonts w:hint="eastAsia" w:ascii="宋体" w:hAnsi="宋体" w:cs="宋体"/>
          <w:kern w:val="0"/>
          <w:sz w:val="21"/>
          <w:szCs w:val="24"/>
          <w:lang w:val="zh-CN"/>
        </w:rPr>
        <w:t>名激励对象授予</w:t>
      </w:r>
      <w:r>
        <w:rPr>
          <w:rFonts w:hint="default" w:eastAsia="Times New Roman"/>
          <w:kern w:val="0"/>
          <w:sz w:val="21"/>
          <w:szCs w:val="24"/>
          <w:lang w:val="zh-CN"/>
        </w:rPr>
        <w:t>114.20</w:t>
      </w:r>
      <w:r>
        <w:rPr>
          <w:rFonts w:hint="eastAsia" w:ascii="宋体" w:hAnsi="宋体" w:cs="宋体"/>
          <w:kern w:val="0"/>
          <w:sz w:val="21"/>
          <w:szCs w:val="24"/>
          <w:lang w:val="zh-CN"/>
        </w:rPr>
        <w:t>万股限制性股票，增加资本公积</w:t>
      </w:r>
      <w:r>
        <w:rPr>
          <w:rFonts w:hint="default" w:eastAsia="Times New Roman"/>
          <w:kern w:val="0"/>
          <w:sz w:val="21"/>
          <w:szCs w:val="24"/>
          <w:lang w:val="zh-CN"/>
        </w:rPr>
        <w:t>9,170,260.00</w:t>
      </w:r>
      <w:r>
        <w:rPr>
          <w:rFonts w:hint="eastAsia" w:ascii="宋体" w:hAnsi="宋体" w:cs="宋体"/>
          <w:kern w:val="0"/>
          <w:sz w:val="21"/>
          <w:szCs w:val="24"/>
          <w:lang w:val="zh-CN"/>
        </w:rPr>
        <w:t>元。</w:t>
      </w:r>
    </w:p>
    <w:p>
      <w:pPr>
        <w:autoSpaceDE w:val="0"/>
        <w:autoSpaceDN w:val="0"/>
        <w:adjustRightInd w:val="0"/>
        <w:spacing w:before="0" w:after="0"/>
        <w:ind w:firstLine="436"/>
        <w:jc w:val="left"/>
        <w:rPr>
          <w:rFonts w:hint="default" w:eastAsia="Times New Roman"/>
          <w:kern w:val="0"/>
          <w:sz w:val="21"/>
          <w:szCs w:val="24"/>
          <w:lang w:val="zh-CN"/>
        </w:rPr>
      </w:pP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w:t>
      </w:r>
      <w:r>
        <w:rPr>
          <w:rFonts w:hint="default" w:eastAsia="Times New Roman"/>
          <w:kern w:val="0"/>
          <w:sz w:val="21"/>
          <w:szCs w:val="24"/>
          <w:lang w:val="zh-CN"/>
        </w:rPr>
        <w:t>27</w:t>
      </w:r>
      <w:r>
        <w:rPr>
          <w:rFonts w:hint="eastAsia" w:ascii="宋体" w:hAnsi="宋体" w:cs="宋体"/>
          <w:kern w:val="0"/>
          <w:sz w:val="21"/>
          <w:szCs w:val="24"/>
          <w:lang w:val="zh-CN"/>
        </w:rPr>
        <w:t>日，公司第三届董事会第十二次会议通过了《关于</w:t>
      </w:r>
      <w:r>
        <w:rPr>
          <w:rFonts w:hint="default" w:eastAsia="Times New Roman"/>
          <w:kern w:val="0"/>
          <w:sz w:val="21"/>
          <w:szCs w:val="24"/>
          <w:lang w:val="zh-CN"/>
        </w:rPr>
        <w:t>2018</w:t>
      </w:r>
      <w:r>
        <w:rPr>
          <w:rFonts w:hint="eastAsia" w:ascii="宋体" w:hAnsi="宋体" w:cs="宋体"/>
          <w:kern w:val="0"/>
          <w:sz w:val="21"/>
          <w:szCs w:val="24"/>
          <w:lang w:val="zh-CN"/>
        </w:rPr>
        <w:t>年限制性股票激励计划第一个解锁期解锁条件成就的议案》、《关于调整限制性股票回购价格的议案》、《关于回购注销部分限制性股票的议案》等议案。根据公司《激励计划》的相关规定，第一个解锁期可解锁的限制性股票数量为获授限制性股票总数的</w:t>
      </w:r>
      <w:r>
        <w:rPr>
          <w:rFonts w:hint="default" w:eastAsia="Times New Roman"/>
          <w:kern w:val="0"/>
          <w:sz w:val="21"/>
          <w:szCs w:val="24"/>
          <w:lang w:val="zh-CN"/>
        </w:rPr>
        <w:t xml:space="preserve"> 30%</w:t>
      </w:r>
      <w:r>
        <w:rPr>
          <w:rFonts w:hint="eastAsia" w:ascii="宋体" w:hAnsi="宋体" w:cs="宋体"/>
          <w:kern w:val="0"/>
          <w:sz w:val="21"/>
          <w:szCs w:val="24"/>
          <w:lang w:val="zh-CN"/>
        </w:rPr>
        <w:t>。</w:t>
      </w:r>
      <w:r>
        <w:rPr>
          <w:rFonts w:hint="default" w:eastAsia="Times New Roman"/>
          <w:kern w:val="0"/>
          <w:sz w:val="21"/>
          <w:szCs w:val="24"/>
          <w:lang w:val="zh-CN"/>
        </w:rPr>
        <w:t>39</w:t>
      </w:r>
      <w:r>
        <w:rPr>
          <w:rFonts w:hint="eastAsia" w:ascii="宋体" w:hAnsi="宋体" w:cs="宋体"/>
          <w:kern w:val="0"/>
          <w:sz w:val="21"/>
          <w:szCs w:val="24"/>
          <w:lang w:val="zh-CN"/>
        </w:rPr>
        <w:t>名激励对象获授限制性股票总数为</w:t>
      </w:r>
      <w:r>
        <w:rPr>
          <w:rFonts w:hint="default" w:eastAsia="Times New Roman"/>
          <w:kern w:val="0"/>
          <w:sz w:val="21"/>
          <w:szCs w:val="24"/>
          <w:lang w:val="zh-CN"/>
        </w:rPr>
        <w:t>114.20</w:t>
      </w:r>
      <w:r>
        <w:rPr>
          <w:rFonts w:hint="eastAsia" w:ascii="宋体" w:hAnsi="宋体" w:cs="宋体"/>
          <w:kern w:val="0"/>
          <w:sz w:val="21"/>
          <w:szCs w:val="24"/>
          <w:lang w:val="zh-CN"/>
        </w:rPr>
        <w:t>万股，本次可申请解锁的限制性股票数量为</w:t>
      </w:r>
      <w:r>
        <w:rPr>
          <w:rFonts w:hint="default" w:eastAsia="Times New Roman"/>
          <w:kern w:val="0"/>
          <w:sz w:val="21"/>
          <w:szCs w:val="24"/>
          <w:lang w:val="zh-CN"/>
        </w:rPr>
        <w:t>33.66</w:t>
      </w:r>
      <w:r>
        <w:rPr>
          <w:rFonts w:hint="eastAsia" w:ascii="宋体" w:hAnsi="宋体" w:cs="宋体"/>
          <w:kern w:val="0"/>
          <w:sz w:val="21"/>
          <w:szCs w:val="24"/>
          <w:lang w:val="zh-CN"/>
        </w:rPr>
        <w:t>万股，占目前公司总股本的</w:t>
      </w:r>
      <w:r>
        <w:rPr>
          <w:rFonts w:hint="default" w:eastAsia="Times New Roman"/>
          <w:kern w:val="0"/>
          <w:sz w:val="21"/>
          <w:szCs w:val="24"/>
          <w:lang w:val="zh-CN"/>
        </w:rPr>
        <w:t>0.2883%</w:t>
      </w:r>
      <w:r>
        <w:rPr>
          <w:rFonts w:hint="eastAsia" w:ascii="宋体" w:hAnsi="宋体" w:cs="宋体"/>
          <w:kern w:val="0"/>
          <w:sz w:val="21"/>
          <w:szCs w:val="24"/>
          <w:lang w:val="zh-CN"/>
        </w:rPr>
        <w:t>，将资本公积</w:t>
      </w:r>
      <w:r>
        <w:rPr>
          <w:rFonts w:hint="default" w:eastAsia="Times New Roman"/>
          <w:kern w:val="0"/>
          <w:sz w:val="21"/>
          <w:szCs w:val="24"/>
          <w:lang w:val="zh-CN"/>
        </w:rPr>
        <w:t>-</w:t>
      </w:r>
      <w:r>
        <w:rPr>
          <w:rFonts w:hint="eastAsia" w:ascii="宋体" w:hAnsi="宋体" w:cs="宋体"/>
          <w:kern w:val="0"/>
          <w:sz w:val="21"/>
          <w:szCs w:val="24"/>
          <w:lang w:val="zh-CN"/>
        </w:rPr>
        <w:t>其他资本公积</w:t>
      </w:r>
      <w:r>
        <w:rPr>
          <w:rFonts w:hint="default" w:eastAsia="Times New Roman"/>
          <w:kern w:val="0"/>
          <w:sz w:val="21"/>
          <w:szCs w:val="24"/>
          <w:lang w:val="zh-CN"/>
        </w:rPr>
        <w:t>4,571,028.00</w:t>
      </w:r>
      <w:r>
        <w:rPr>
          <w:rFonts w:hint="eastAsia" w:ascii="宋体" w:hAnsi="宋体" w:cs="宋体"/>
          <w:kern w:val="0"/>
          <w:sz w:val="21"/>
          <w:szCs w:val="24"/>
          <w:lang w:val="zh-CN"/>
        </w:rPr>
        <w:t>元调整到资本公积</w:t>
      </w:r>
      <w:r>
        <w:rPr>
          <w:rFonts w:hint="default" w:eastAsia="Times New Roman"/>
          <w:kern w:val="0"/>
          <w:sz w:val="21"/>
          <w:szCs w:val="24"/>
          <w:lang w:val="zh-CN"/>
        </w:rPr>
        <w:t>-</w:t>
      </w:r>
      <w:r>
        <w:rPr>
          <w:rFonts w:hint="eastAsia" w:ascii="宋体" w:hAnsi="宋体" w:cs="宋体"/>
          <w:kern w:val="0"/>
          <w:sz w:val="21"/>
          <w:szCs w:val="24"/>
          <w:lang w:val="zh-CN"/>
        </w:rPr>
        <w:t>股本溢价。</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公司于</w:t>
      </w: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13</w:t>
      </w:r>
      <w:r>
        <w:rPr>
          <w:rFonts w:hint="eastAsia" w:ascii="宋体" w:hAnsi="宋体" w:cs="宋体"/>
          <w:kern w:val="0"/>
          <w:sz w:val="21"/>
          <w:szCs w:val="24"/>
          <w:lang w:val="zh-CN"/>
        </w:rPr>
        <w:t>日召开</w:t>
      </w:r>
      <w:r>
        <w:rPr>
          <w:rFonts w:hint="default" w:eastAsia="Times New Roman"/>
          <w:kern w:val="0"/>
          <w:sz w:val="21"/>
          <w:szCs w:val="24"/>
          <w:lang w:val="zh-CN"/>
        </w:rPr>
        <w:t>2019</w:t>
      </w:r>
      <w:r>
        <w:rPr>
          <w:rFonts w:hint="eastAsia" w:ascii="宋体" w:hAnsi="宋体" w:cs="宋体"/>
          <w:kern w:val="0"/>
          <w:sz w:val="21"/>
          <w:szCs w:val="24"/>
          <w:lang w:val="zh-CN"/>
        </w:rPr>
        <w:t>年第一次临时股东大会，会议审议通过了《关于回购注销部分限制性股票的议案》、《关于变更公司注册资本与修改</w:t>
      </w:r>
      <w:r>
        <w:rPr>
          <w:rFonts w:hint="default" w:eastAsia="Times New Roman"/>
          <w:kern w:val="0"/>
          <w:sz w:val="21"/>
          <w:szCs w:val="24"/>
          <w:lang w:val="zh-CN"/>
        </w:rPr>
        <w:t>&lt;</w:t>
      </w:r>
      <w:r>
        <w:rPr>
          <w:rFonts w:hint="eastAsia" w:ascii="宋体" w:hAnsi="宋体" w:cs="宋体"/>
          <w:kern w:val="0"/>
          <w:sz w:val="21"/>
          <w:szCs w:val="24"/>
          <w:lang w:val="zh-CN"/>
        </w:rPr>
        <w:t>公司章程</w:t>
      </w:r>
      <w:r>
        <w:rPr>
          <w:rFonts w:hint="default" w:eastAsia="Times New Roman"/>
          <w:kern w:val="0"/>
          <w:sz w:val="21"/>
          <w:szCs w:val="24"/>
          <w:lang w:val="zh-CN"/>
        </w:rPr>
        <w:t>&gt;</w:t>
      </w:r>
      <w:r>
        <w:rPr>
          <w:rFonts w:hint="eastAsia" w:ascii="宋体" w:hAnsi="宋体" w:cs="宋体"/>
          <w:kern w:val="0"/>
          <w:sz w:val="21"/>
          <w:szCs w:val="24"/>
          <w:lang w:val="zh-CN"/>
        </w:rPr>
        <w:t>的议案》。由于公司</w:t>
      </w:r>
      <w:r>
        <w:rPr>
          <w:rFonts w:hint="default" w:eastAsia="Times New Roman"/>
          <w:kern w:val="0"/>
          <w:sz w:val="21"/>
          <w:szCs w:val="24"/>
          <w:lang w:val="zh-CN"/>
        </w:rPr>
        <w:t>1</w:t>
      </w:r>
      <w:r>
        <w:rPr>
          <w:rFonts w:hint="eastAsia" w:ascii="宋体" w:hAnsi="宋体" w:cs="宋体"/>
          <w:kern w:val="0"/>
          <w:sz w:val="21"/>
          <w:szCs w:val="24"/>
          <w:lang w:val="zh-CN"/>
        </w:rPr>
        <w:t>名原激励对象因个人原因离职，该人员已不符合激励条件，公司决定对该对象所持已获授但尚未解除限售的</w:t>
      </w:r>
      <w:r>
        <w:rPr>
          <w:rFonts w:hint="default" w:eastAsia="Times New Roman"/>
          <w:kern w:val="0"/>
          <w:sz w:val="21"/>
          <w:szCs w:val="24"/>
          <w:lang w:val="zh-CN"/>
        </w:rPr>
        <w:t>20,000.00</w:t>
      </w:r>
      <w:r>
        <w:rPr>
          <w:rFonts w:hint="eastAsia" w:ascii="宋体" w:hAnsi="宋体" w:cs="宋体"/>
          <w:kern w:val="0"/>
          <w:sz w:val="21"/>
          <w:szCs w:val="24"/>
          <w:lang w:val="zh-CN"/>
        </w:rPr>
        <w:t>股限制性股票进行回购注销，减少对应资本公积股本溢价</w:t>
      </w:r>
      <w:r>
        <w:rPr>
          <w:rFonts w:hint="default" w:eastAsia="Times New Roman"/>
          <w:kern w:val="0"/>
          <w:sz w:val="21"/>
          <w:szCs w:val="24"/>
          <w:lang w:val="zh-CN"/>
        </w:rPr>
        <w:t>160,600.00</w:t>
      </w:r>
      <w:r>
        <w:rPr>
          <w:rFonts w:hint="eastAsia" w:ascii="宋体" w:hAnsi="宋体" w:cs="宋体"/>
          <w:kern w:val="0"/>
          <w:sz w:val="21"/>
          <w:szCs w:val="24"/>
          <w:lang w:val="zh-CN"/>
        </w:rPr>
        <w:t>元。</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公司于</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11</w:t>
      </w:r>
      <w:r>
        <w:rPr>
          <w:rFonts w:hint="eastAsia" w:ascii="宋体" w:hAnsi="宋体" w:cs="宋体"/>
          <w:kern w:val="0"/>
          <w:sz w:val="21"/>
          <w:szCs w:val="24"/>
          <w:lang w:val="zh-CN"/>
        </w:rPr>
        <w:t>日召开</w:t>
      </w:r>
      <w:r>
        <w:rPr>
          <w:rFonts w:hint="default" w:eastAsia="Times New Roman"/>
          <w:kern w:val="0"/>
          <w:sz w:val="21"/>
          <w:szCs w:val="24"/>
          <w:lang w:val="zh-CN"/>
        </w:rPr>
        <w:t>2020</w:t>
      </w:r>
      <w:r>
        <w:rPr>
          <w:rFonts w:hint="eastAsia" w:ascii="宋体" w:hAnsi="宋体" w:cs="宋体"/>
          <w:kern w:val="0"/>
          <w:sz w:val="21"/>
          <w:szCs w:val="24"/>
          <w:lang w:val="zh-CN"/>
        </w:rPr>
        <w:t>年第一次临时股东大会，会议审议通过了《关于回购注销部分限制性股票的议案》、《关于变更公司注册资本与修改</w:t>
      </w:r>
      <w:r>
        <w:rPr>
          <w:rFonts w:hint="default" w:eastAsia="Times New Roman"/>
          <w:kern w:val="0"/>
          <w:sz w:val="21"/>
          <w:szCs w:val="24"/>
          <w:lang w:val="zh-CN"/>
        </w:rPr>
        <w:t>&lt;</w:t>
      </w:r>
      <w:r>
        <w:rPr>
          <w:rFonts w:hint="eastAsia" w:ascii="宋体" w:hAnsi="宋体" w:cs="宋体"/>
          <w:kern w:val="0"/>
          <w:sz w:val="21"/>
          <w:szCs w:val="24"/>
          <w:lang w:val="zh-CN"/>
        </w:rPr>
        <w:t>公司章程</w:t>
      </w:r>
      <w:r>
        <w:rPr>
          <w:rFonts w:hint="default" w:eastAsia="Times New Roman"/>
          <w:kern w:val="0"/>
          <w:sz w:val="21"/>
          <w:szCs w:val="24"/>
          <w:lang w:val="zh-CN"/>
        </w:rPr>
        <w:t>&gt;</w:t>
      </w:r>
      <w:r>
        <w:rPr>
          <w:rFonts w:hint="eastAsia" w:ascii="宋体" w:hAnsi="宋体" w:cs="宋体"/>
          <w:kern w:val="0"/>
          <w:sz w:val="21"/>
          <w:szCs w:val="24"/>
          <w:lang w:val="zh-CN"/>
        </w:rPr>
        <w:t>的议案》。由于公司</w:t>
      </w:r>
      <w:r>
        <w:rPr>
          <w:rFonts w:hint="default" w:eastAsia="Times New Roman"/>
          <w:kern w:val="0"/>
          <w:sz w:val="21"/>
          <w:szCs w:val="24"/>
          <w:lang w:val="zh-CN"/>
        </w:rPr>
        <w:t>2</w:t>
      </w:r>
      <w:r>
        <w:rPr>
          <w:rFonts w:hint="eastAsia" w:ascii="宋体" w:hAnsi="宋体" w:cs="宋体"/>
          <w:kern w:val="0"/>
          <w:sz w:val="21"/>
          <w:szCs w:val="24"/>
          <w:lang w:val="zh-CN"/>
        </w:rPr>
        <w:t>名原激励对象因个人原因离职，该人员已不符合激励条件，公司决定对该对象所持已获授但尚未解除限售的</w:t>
      </w:r>
      <w:r>
        <w:rPr>
          <w:rFonts w:hint="default" w:eastAsia="Times New Roman"/>
          <w:kern w:val="0"/>
          <w:sz w:val="21"/>
          <w:szCs w:val="24"/>
          <w:lang w:val="zh-CN"/>
        </w:rPr>
        <w:t>42,000.00</w:t>
      </w:r>
      <w:r>
        <w:rPr>
          <w:rFonts w:hint="eastAsia" w:ascii="宋体" w:hAnsi="宋体" w:cs="宋体"/>
          <w:kern w:val="0"/>
          <w:sz w:val="21"/>
          <w:szCs w:val="24"/>
          <w:lang w:val="zh-CN"/>
        </w:rPr>
        <w:t>股限制性股票进行回购注销，减少对应资本公积股本溢价</w:t>
      </w:r>
      <w:r>
        <w:rPr>
          <w:rFonts w:hint="default" w:eastAsia="Times New Roman"/>
          <w:kern w:val="0"/>
          <w:sz w:val="21"/>
          <w:szCs w:val="24"/>
          <w:lang w:val="zh-CN"/>
        </w:rPr>
        <w:t>328,860.00</w:t>
      </w:r>
      <w:r>
        <w:rPr>
          <w:rFonts w:hint="eastAsia" w:ascii="宋体" w:hAnsi="宋体" w:cs="宋体"/>
          <w:kern w:val="0"/>
          <w:sz w:val="21"/>
          <w:szCs w:val="24"/>
          <w:lang w:val="zh-CN"/>
        </w:rPr>
        <w:t>元。</w:t>
      </w:r>
    </w:p>
    <w:p>
      <w:pPr>
        <w:autoSpaceDE w:val="0"/>
        <w:autoSpaceDN w:val="0"/>
        <w:adjustRightInd w:val="0"/>
        <w:spacing w:before="0" w:after="0"/>
        <w:ind w:firstLine="420"/>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）其他资本公积：</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月，公司向</w:t>
      </w:r>
      <w:r>
        <w:rPr>
          <w:rFonts w:hint="default" w:eastAsia="Times New Roman"/>
          <w:kern w:val="0"/>
          <w:sz w:val="21"/>
          <w:szCs w:val="24"/>
          <w:lang w:val="zh-CN"/>
        </w:rPr>
        <w:t>39</w:t>
      </w:r>
      <w:r>
        <w:rPr>
          <w:rFonts w:hint="eastAsia" w:ascii="宋体" w:hAnsi="宋体" w:cs="宋体"/>
          <w:kern w:val="0"/>
          <w:sz w:val="21"/>
          <w:szCs w:val="24"/>
          <w:lang w:val="zh-CN"/>
        </w:rPr>
        <w:t>名激励对象授予</w:t>
      </w:r>
      <w:r>
        <w:rPr>
          <w:rFonts w:hint="default" w:eastAsia="Times New Roman"/>
          <w:kern w:val="0"/>
          <w:sz w:val="21"/>
          <w:szCs w:val="24"/>
          <w:lang w:val="zh-CN"/>
        </w:rPr>
        <w:t>114.20</w:t>
      </w:r>
      <w:r>
        <w:rPr>
          <w:rFonts w:hint="eastAsia" w:ascii="宋体" w:hAnsi="宋体" w:cs="宋体"/>
          <w:kern w:val="0"/>
          <w:sz w:val="21"/>
          <w:szCs w:val="24"/>
          <w:lang w:val="zh-CN"/>
        </w:rPr>
        <w:t>万股限制性股票，</w:t>
      </w:r>
      <w:r>
        <w:rPr>
          <w:rFonts w:hint="default" w:eastAsia="Times New Roman"/>
          <w:kern w:val="0"/>
          <w:sz w:val="21"/>
          <w:szCs w:val="24"/>
          <w:lang w:val="zh-CN"/>
        </w:rPr>
        <w:t>2018</w:t>
      </w:r>
      <w:r>
        <w:rPr>
          <w:rFonts w:hint="eastAsia" w:ascii="宋体" w:hAnsi="宋体" w:cs="宋体"/>
          <w:kern w:val="0"/>
          <w:sz w:val="21"/>
          <w:szCs w:val="24"/>
          <w:lang w:val="zh-CN"/>
        </w:rPr>
        <w:t>年度确认股份支付费用增加资本公积</w:t>
      </w:r>
      <w:r>
        <w:rPr>
          <w:rFonts w:hint="default" w:eastAsia="Times New Roman"/>
          <w:kern w:val="0"/>
          <w:sz w:val="21"/>
          <w:szCs w:val="24"/>
          <w:lang w:val="zh-CN"/>
        </w:rPr>
        <w:t>1,507,757.22</w:t>
      </w:r>
      <w:r>
        <w:rPr>
          <w:rFonts w:hint="eastAsia" w:ascii="宋体" w:hAnsi="宋体" w:cs="宋体"/>
          <w:kern w:val="0"/>
          <w:sz w:val="21"/>
          <w:szCs w:val="24"/>
          <w:lang w:val="zh-CN"/>
        </w:rPr>
        <w:t>元；</w:t>
      </w:r>
      <w:r>
        <w:rPr>
          <w:rFonts w:hint="default" w:eastAsia="Times New Roman"/>
          <w:kern w:val="0"/>
          <w:sz w:val="21"/>
          <w:szCs w:val="24"/>
          <w:lang w:val="zh-CN"/>
        </w:rPr>
        <w:t>2019</w:t>
      </w:r>
      <w:r>
        <w:rPr>
          <w:rFonts w:hint="eastAsia" w:ascii="宋体" w:hAnsi="宋体" w:cs="宋体"/>
          <w:kern w:val="0"/>
          <w:sz w:val="21"/>
          <w:szCs w:val="24"/>
          <w:lang w:val="zh-CN"/>
        </w:rPr>
        <w:t>年度确认股份支付费用增加资本公积</w:t>
      </w:r>
      <w:r>
        <w:rPr>
          <w:rFonts w:hint="default" w:eastAsia="Times New Roman"/>
          <w:kern w:val="0"/>
          <w:sz w:val="21"/>
          <w:szCs w:val="24"/>
          <w:lang w:val="zh-CN"/>
        </w:rPr>
        <w:t>8,126,272.00</w:t>
      </w:r>
      <w:r>
        <w:rPr>
          <w:rFonts w:hint="eastAsia" w:ascii="宋体" w:hAnsi="宋体" w:cs="宋体"/>
          <w:kern w:val="0"/>
          <w:sz w:val="21"/>
          <w:szCs w:val="24"/>
          <w:lang w:val="zh-CN"/>
        </w:rPr>
        <w:t>元；</w:t>
      </w:r>
      <w:r>
        <w:rPr>
          <w:rFonts w:hint="default" w:eastAsia="Times New Roman"/>
          <w:kern w:val="0"/>
          <w:sz w:val="21"/>
          <w:szCs w:val="24"/>
          <w:lang w:val="zh-CN"/>
        </w:rPr>
        <w:t xml:space="preserve"> 2020</w:t>
      </w:r>
      <w:r>
        <w:rPr>
          <w:rFonts w:hint="eastAsia" w:ascii="宋体" w:hAnsi="宋体" w:cs="宋体"/>
          <w:kern w:val="0"/>
          <w:sz w:val="21"/>
          <w:szCs w:val="24"/>
          <w:lang w:val="zh-CN"/>
        </w:rPr>
        <w:t>年度确认股份支付费用增加资本公积</w:t>
      </w:r>
      <w:r>
        <w:rPr>
          <w:rFonts w:hint="default" w:eastAsia="Times New Roman"/>
          <w:kern w:val="0"/>
          <w:sz w:val="21"/>
          <w:szCs w:val="24"/>
          <w:lang w:val="zh-CN"/>
        </w:rPr>
        <w:t>3,725,673.00</w:t>
      </w:r>
      <w:r>
        <w:rPr>
          <w:rFonts w:hint="eastAsia" w:ascii="宋体" w:hAnsi="宋体" w:cs="宋体"/>
          <w:kern w:val="0"/>
          <w:sz w:val="21"/>
          <w:szCs w:val="24"/>
          <w:lang w:val="zh-CN"/>
        </w:rPr>
        <w:t>元。</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2019</w:t>
      </w:r>
      <w:r>
        <w:rPr>
          <w:rFonts w:hint="eastAsia" w:ascii="宋体" w:hAnsi="宋体" w:cs="宋体"/>
          <w:kern w:val="0"/>
          <w:sz w:val="21"/>
          <w:szCs w:val="24"/>
          <w:lang w:val="zh-CN"/>
        </w:rPr>
        <w:t>年，公司因回购注销限制性股票，减少股份支付费用</w:t>
      </w:r>
      <w:r>
        <w:rPr>
          <w:rFonts w:hint="default" w:eastAsia="Times New Roman"/>
          <w:kern w:val="0"/>
          <w:sz w:val="21"/>
          <w:szCs w:val="24"/>
          <w:lang w:val="zh-CN"/>
        </w:rPr>
        <w:t>26,405.56</w:t>
      </w:r>
      <w:r>
        <w:rPr>
          <w:rFonts w:hint="eastAsia" w:ascii="宋体" w:hAnsi="宋体" w:cs="宋体"/>
          <w:kern w:val="0"/>
          <w:sz w:val="21"/>
          <w:szCs w:val="24"/>
          <w:lang w:val="zh-CN"/>
        </w:rPr>
        <w:t>元；公司限制性股票解禁</w:t>
      </w:r>
      <w:r>
        <w:rPr>
          <w:rFonts w:hint="default" w:eastAsia="Times New Roman"/>
          <w:kern w:val="0"/>
          <w:sz w:val="21"/>
          <w:szCs w:val="24"/>
          <w:lang w:val="zh-CN"/>
        </w:rPr>
        <w:t>33.66</w:t>
      </w:r>
      <w:r>
        <w:rPr>
          <w:rFonts w:hint="eastAsia" w:ascii="宋体" w:hAnsi="宋体" w:cs="宋体"/>
          <w:kern w:val="0"/>
          <w:sz w:val="21"/>
          <w:szCs w:val="24"/>
          <w:lang w:val="zh-CN"/>
        </w:rPr>
        <w:t>万股，将资本公积</w:t>
      </w:r>
      <w:r>
        <w:rPr>
          <w:rFonts w:hint="default" w:eastAsia="Times New Roman"/>
          <w:kern w:val="0"/>
          <w:sz w:val="21"/>
          <w:szCs w:val="24"/>
          <w:lang w:val="zh-CN"/>
        </w:rPr>
        <w:t>-</w:t>
      </w:r>
      <w:r>
        <w:rPr>
          <w:rFonts w:hint="eastAsia" w:ascii="宋体" w:hAnsi="宋体" w:cs="宋体"/>
          <w:kern w:val="0"/>
          <w:sz w:val="21"/>
          <w:szCs w:val="24"/>
          <w:lang w:val="zh-CN"/>
        </w:rPr>
        <w:t>其他资本公积</w:t>
      </w:r>
      <w:r>
        <w:rPr>
          <w:rFonts w:hint="default" w:eastAsia="Times New Roman"/>
          <w:kern w:val="0"/>
          <w:sz w:val="21"/>
          <w:szCs w:val="24"/>
          <w:lang w:val="zh-CN"/>
        </w:rPr>
        <w:t>4,571,028.00</w:t>
      </w:r>
      <w:r>
        <w:rPr>
          <w:rFonts w:hint="eastAsia" w:ascii="宋体" w:hAnsi="宋体" w:cs="宋体"/>
          <w:kern w:val="0"/>
          <w:sz w:val="21"/>
          <w:szCs w:val="24"/>
          <w:lang w:val="zh-CN"/>
        </w:rPr>
        <w:t>元调整到资本公积</w:t>
      </w:r>
      <w:r>
        <w:rPr>
          <w:rFonts w:hint="default" w:eastAsia="Times New Roman"/>
          <w:kern w:val="0"/>
          <w:sz w:val="21"/>
          <w:szCs w:val="24"/>
          <w:lang w:val="zh-CN"/>
        </w:rPr>
        <w:t>-</w:t>
      </w:r>
      <w:r>
        <w:rPr>
          <w:rFonts w:hint="eastAsia" w:ascii="宋体" w:hAnsi="宋体" w:cs="宋体"/>
          <w:kern w:val="0"/>
          <w:sz w:val="21"/>
          <w:szCs w:val="24"/>
          <w:lang w:val="zh-CN"/>
        </w:rPr>
        <w:t>股本溢价。</w:t>
      </w:r>
    </w:p>
    <w:p>
      <w:pPr>
        <w:autoSpaceDE w:val="0"/>
        <w:autoSpaceDN w:val="0"/>
        <w:adjustRightInd w:val="0"/>
        <w:spacing w:before="0" w:after="0"/>
        <w:ind w:firstLine="436"/>
        <w:rPr>
          <w:rFonts w:hint="default" w:eastAsia="Times New Roman"/>
          <w:kern w:val="0"/>
          <w:sz w:val="21"/>
          <w:szCs w:val="24"/>
          <w:lang w:val="zh-CN"/>
        </w:rPr>
      </w:pPr>
      <w:r>
        <w:rPr>
          <w:rFonts w:hint="default" w:eastAsia="Times New Roman"/>
          <w:kern w:val="0"/>
          <w:sz w:val="21"/>
          <w:szCs w:val="24"/>
          <w:lang w:val="zh-CN"/>
        </w:rPr>
        <w:t>2020</w:t>
      </w:r>
      <w:r>
        <w:rPr>
          <w:rFonts w:hint="eastAsia" w:ascii="宋体" w:hAnsi="宋体" w:cs="宋体"/>
          <w:kern w:val="0"/>
          <w:sz w:val="21"/>
          <w:szCs w:val="24"/>
          <w:lang w:val="zh-CN"/>
        </w:rPr>
        <w:t>年，公司因回购注销限制性股票，减少股份支付费用</w:t>
      </w:r>
      <w:r>
        <w:rPr>
          <w:rFonts w:hint="default" w:eastAsia="Times New Roman"/>
          <w:kern w:val="0"/>
          <w:sz w:val="21"/>
          <w:szCs w:val="24"/>
          <w:lang w:val="zh-CN"/>
        </w:rPr>
        <w:t>269,336.66</w:t>
      </w:r>
      <w:r>
        <w:rPr>
          <w:rFonts w:hint="eastAsia" w:ascii="宋体" w:hAnsi="宋体" w:cs="宋体"/>
          <w:kern w:val="0"/>
          <w:sz w:val="21"/>
          <w:szCs w:val="24"/>
          <w:lang w:val="zh-CN"/>
        </w:rPr>
        <w:t>元；公司限制性股票解禁</w:t>
      </w:r>
      <w:r>
        <w:rPr>
          <w:rFonts w:hint="default" w:eastAsia="Times New Roman"/>
          <w:kern w:val="0"/>
          <w:sz w:val="21"/>
          <w:szCs w:val="24"/>
          <w:lang w:val="zh-CN"/>
        </w:rPr>
        <w:t>31.86</w:t>
      </w:r>
      <w:r>
        <w:rPr>
          <w:rFonts w:hint="eastAsia" w:ascii="宋体" w:hAnsi="宋体" w:cs="宋体"/>
          <w:kern w:val="0"/>
          <w:sz w:val="21"/>
          <w:szCs w:val="24"/>
          <w:lang w:val="zh-CN"/>
        </w:rPr>
        <w:t>万股，将资本公积</w:t>
      </w:r>
      <w:r>
        <w:rPr>
          <w:rFonts w:hint="default" w:eastAsia="Times New Roman"/>
          <w:kern w:val="0"/>
          <w:sz w:val="21"/>
          <w:szCs w:val="24"/>
          <w:lang w:val="zh-CN"/>
        </w:rPr>
        <w:t>-</w:t>
      </w:r>
      <w:r>
        <w:rPr>
          <w:rFonts w:hint="eastAsia" w:ascii="宋体" w:hAnsi="宋体" w:cs="宋体"/>
          <w:kern w:val="0"/>
          <w:sz w:val="21"/>
          <w:szCs w:val="24"/>
          <w:lang w:val="zh-CN"/>
        </w:rPr>
        <w:t>其他资本公积</w:t>
      </w:r>
      <w:r>
        <w:rPr>
          <w:rFonts w:hint="default" w:eastAsia="Times New Roman"/>
          <w:kern w:val="0"/>
          <w:sz w:val="21"/>
          <w:szCs w:val="24"/>
          <w:lang w:val="zh-CN"/>
        </w:rPr>
        <w:t>4,326,588.00</w:t>
      </w:r>
      <w:r>
        <w:rPr>
          <w:rFonts w:hint="eastAsia" w:ascii="宋体" w:hAnsi="宋体" w:cs="宋体"/>
          <w:kern w:val="0"/>
          <w:sz w:val="21"/>
          <w:szCs w:val="24"/>
          <w:lang w:val="zh-CN"/>
        </w:rPr>
        <w:t>元调整到资本公积</w:t>
      </w:r>
      <w:r>
        <w:rPr>
          <w:rFonts w:hint="default" w:eastAsia="Times New Roman"/>
          <w:kern w:val="0"/>
          <w:sz w:val="21"/>
          <w:szCs w:val="24"/>
          <w:lang w:val="zh-CN"/>
        </w:rPr>
        <w:t>-</w:t>
      </w:r>
      <w:r>
        <w:rPr>
          <w:rFonts w:hint="eastAsia" w:ascii="宋体" w:hAnsi="宋体" w:cs="宋体"/>
          <w:kern w:val="0"/>
          <w:sz w:val="21"/>
          <w:szCs w:val="24"/>
          <w:lang w:val="zh-CN"/>
        </w:rPr>
        <w:t>股本溢价。</w:t>
      </w:r>
    </w:p>
    <w:p>
      <w:pPr>
        <w:pStyle w:val="8"/>
        <w:outlineLvl w:val="2"/>
        <w:rPr>
          <w:rFonts w:hint="default"/>
          <w:sz w:val="21"/>
          <w:szCs w:val="24"/>
        </w:rPr>
      </w:pPr>
      <w:r>
        <w:rPr>
          <w:rFonts w:hint="default"/>
          <w:sz w:val="21"/>
          <w:szCs w:val="24"/>
        </w:rPr>
        <w:t>56</w:t>
      </w:r>
      <w:r>
        <w:rPr>
          <w:rFonts w:hint="eastAsia"/>
          <w:sz w:val="21"/>
          <w:szCs w:val="24"/>
        </w:rPr>
        <w:t>、库存股</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库存股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7,092,162.00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3,256,218.00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7,092,162.00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3,256,218.00</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3,835,944.00</w:t>
            </w:r>
          </w:p>
        </w:tc>
      </w:tr>
    </w:tbl>
    <w:p>
      <w:pPr>
        <w:jc w:val="left"/>
        <w:rPr>
          <w:rFonts w:hint="default"/>
          <w:sz w:val="18"/>
          <w:szCs w:val="24"/>
        </w:rPr>
      </w:pPr>
      <w:r>
        <w:rPr>
          <w:rFonts w:hint="eastAsia"/>
          <w:sz w:val="18"/>
          <w:szCs w:val="24"/>
        </w:rPr>
        <w:t>其他说明，包括本期增减变动情况、变动原因说明：</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①</w:t>
      </w: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月，公司向</w:t>
      </w:r>
      <w:r>
        <w:rPr>
          <w:rFonts w:hint="default" w:eastAsia="Times New Roman"/>
          <w:kern w:val="0"/>
          <w:sz w:val="21"/>
          <w:szCs w:val="24"/>
          <w:lang w:val="zh-CN"/>
        </w:rPr>
        <w:t>39</w:t>
      </w:r>
      <w:r>
        <w:rPr>
          <w:rFonts w:hint="eastAsia" w:ascii="宋体" w:hAnsi="宋体" w:cs="宋体"/>
          <w:kern w:val="0"/>
          <w:sz w:val="21"/>
          <w:szCs w:val="24"/>
          <w:lang w:val="zh-CN"/>
        </w:rPr>
        <w:t>名激励对象授予</w:t>
      </w:r>
      <w:r>
        <w:rPr>
          <w:rFonts w:hint="default" w:eastAsia="Times New Roman"/>
          <w:kern w:val="0"/>
          <w:sz w:val="21"/>
          <w:szCs w:val="24"/>
          <w:lang w:val="zh-CN"/>
        </w:rPr>
        <w:t>114.20</w:t>
      </w:r>
      <w:r>
        <w:rPr>
          <w:rFonts w:hint="eastAsia" w:ascii="宋体" w:hAnsi="宋体" w:cs="宋体"/>
          <w:kern w:val="0"/>
          <w:sz w:val="21"/>
          <w:szCs w:val="24"/>
          <w:lang w:val="zh-CN"/>
        </w:rPr>
        <w:t>万股限制性股票，依据发行限制性股票数量及回购价格计算回购义务，增加库存股。</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②</w:t>
      </w: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月，回购注销不符合条件的限制性股票</w:t>
      </w:r>
      <w:r>
        <w:rPr>
          <w:rFonts w:hint="default" w:eastAsia="Times New Roman"/>
          <w:kern w:val="0"/>
          <w:sz w:val="21"/>
          <w:szCs w:val="24"/>
          <w:lang w:val="zh-CN"/>
        </w:rPr>
        <w:t>2.00</w:t>
      </w:r>
      <w:r>
        <w:rPr>
          <w:rFonts w:hint="eastAsia" w:ascii="宋体" w:hAnsi="宋体" w:cs="宋体"/>
          <w:kern w:val="0"/>
          <w:sz w:val="21"/>
          <w:szCs w:val="24"/>
          <w:lang w:val="zh-CN"/>
        </w:rPr>
        <w:t>万股，依据回购限制性股票数量及回购价格减少回购义务，减少库存股。</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③</w:t>
      </w:r>
      <w:r>
        <w:rPr>
          <w:rFonts w:hint="default" w:eastAsia="Times New Roman"/>
          <w:kern w:val="0"/>
          <w:sz w:val="21"/>
          <w:szCs w:val="24"/>
          <w:lang w:val="zh-CN"/>
        </w:rPr>
        <w:t>2019</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月，股权激励总股份的</w:t>
      </w:r>
      <w:r>
        <w:rPr>
          <w:rFonts w:hint="default" w:eastAsia="Times New Roman"/>
          <w:kern w:val="0"/>
          <w:sz w:val="21"/>
          <w:szCs w:val="24"/>
          <w:lang w:val="zh-CN"/>
        </w:rPr>
        <w:t>30%</w:t>
      </w:r>
      <w:r>
        <w:rPr>
          <w:rFonts w:hint="eastAsia" w:ascii="宋体" w:hAnsi="宋体" w:cs="宋体"/>
          <w:kern w:val="0"/>
          <w:sz w:val="21"/>
          <w:szCs w:val="24"/>
          <w:lang w:val="zh-CN"/>
        </w:rPr>
        <w:t>符合解禁条件，解禁限制性股票</w:t>
      </w:r>
      <w:r>
        <w:rPr>
          <w:rFonts w:hint="default" w:eastAsia="Times New Roman"/>
          <w:kern w:val="0"/>
          <w:sz w:val="21"/>
          <w:szCs w:val="24"/>
          <w:lang w:val="zh-CN"/>
        </w:rPr>
        <w:t>33.66</w:t>
      </w:r>
      <w:r>
        <w:rPr>
          <w:rFonts w:hint="eastAsia" w:ascii="宋体" w:hAnsi="宋体" w:cs="宋体"/>
          <w:kern w:val="0"/>
          <w:sz w:val="21"/>
          <w:szCs w:val="24"/>
          <w:lang w:val="zh-CN"/>
        </w:rPr>
        <w:t>万股，依据解禁限制性股票数量及回购价格减少回购义务，减少库存股。</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④</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月，回购注销不符合条件的限制性股票</w:t>
      </w:r>
      <w:r>
        <w:rPr>
          <w:rFonts w:hint="default" w:eastAsia="Times New Roman"/>
          <w:kern w:val="0"/>
          <w:sz w:val="21"/>
          <w:szCs w:val="24"/>
          <w:lang w:val="zh-CN"/>
        </w:rPr>
        <w:t>4.20</w:t>
      </w:r>
      <w:r>
        <w:rPr>
          <w:rFonts w:hint="eastAsia" w:ascii="宋体" w:hAnsi="宋体" w:cs="宋体"/>
          <w:kern w:val="0"/>
          <w:sz w:val="21"/>
          <w:szCs w:val="24"/>
          <w:lang w:val="zh-CN"/>
        </w:rPr>
        <w:t>万股，依据回购限制性股票数量及回购价格减少回购义务，减少库存股。</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⑤</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月，股权激励总股份的</w:t>
      </w:r>
      <w:r>
        <w:rPr>
          <w:rFonts w:hint="default" w:eastAsia="Times New Roman"/>
          <w:kern w:val="0"/>
          <w:sz w:val="21"/>
          <w:szCs w:val="24"/>
          <w:lang w:val="zh-CN"/>
        </w:rPr>
        <w:t>30%</w:t>
      </w:r>
      <w:r>
        <w:rPr>
          <w:rFonts w:hint="eastAsia" w:ascii="宋体" w:hAnsi="宋体" w:cs="宋体"/>
          <w:kern w:val="0"/>
          <w:sz w:val="21"/>
          <w:szCs w:val="24"/>
          <w:lang w:val="zh-CN"/>
        </w:rPr>
        <w:t>符合解禁条件，解禁限制性股票</w:t>
      </w:r>
      <w:r>
        <w:rPr>
          <w:rFonts w:hint="default" w:eastAsia="Times New Roman"/>
          <w:kern w:val="0"/>
          <w:sz w:val="21"/>
          <w:szCs w:val="24"/>
          <w:lang w:val="zh-CN"/>
        </w:rPr>
        <w:t>31.86</w:t>
      </w:r>
      <w:r>
        <w:rPr>
          <w:rFonts w:hint="eastAsia" w:ascii="宋体" w:hAnsi="宋体" w:cs="宋体"/>
          <w:kern w:val="0"/>
          <w:sz w:val="21"/>
          <w:szCs w:val="24"/>
          <w:lang w:val="zh-CN"/>
        </w:rPr>
        <w:t>万股，依据解禁限制性股票数量及回购价格减少回购义务，减少库存股。</w:t>
      </w:r>
    </w:p>
    <w:p>
      <w:pPr>
        <w:pStyle w:val="8"/>
        <w:outlineLvl w:val="2"/>
        <w:rPr>
          <w:rFonts w:hint="default"/>
          <w:sz w:val="21"/>
          <w:szCs w:val="24"/>
        </w:rPr>
      </w:pPr>
      <w:r>
        <w:rPr>
          <w:rFonts w:hint="default"/>
          <w:sz w:val="21"/>
          <w:szCs w:val="24"/>
        </w:rPr>
        <w:t>57</w:t>
      </w:r>
      <w:r>
        <w:rPr>
          <w:rFonts w:hint="eastAsia"/>
          <w:sz w:val="21"/>
          <w:szCs w:val="24"/>
        </w:rPr>
        <w:t>、其他综合收益</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557"/>
        <w:gridCol w:w="974"/>
        <w:gridCol w:w="852"/>
        <w:gridCol w:w="1050"/>
        <w:gridCol w:w="852"/>
        <w:gridCol w:w="852"/>
        <w:gridCol w:w="853"/>
        <w:gridCol w:w="852"/>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55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9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5311"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55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9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本期所得税前发生额</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减：前期计入其他综合收益当期转入损益</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减：前期计入其他综合收益当期转入留存收益</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减：所得税费用</w:t>
            </w: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税后归属于母公司</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税后归属于少数股东</w:t>
            </w: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5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二、将重分类进损益的其他综合收益</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-101,780.59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16,734.39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其他综合收益合计</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-101,780.59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118,514.98</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16,734.39</w:t>
            </w:r>
          </w:p>
        </w:tc>
      </w:tr>
    </w:tbl>
    <w:p>
      <w:pPr>
        <w:jc w:val="left"/>
        <w:rPr>
          <w:rFonts w:hint="default"/>
          <w:sz w:val="18"/>
          <w:szCs w:val="24"/>
        </w:rPr>
      </w:pPr>
      <w:r>
        <w:rPr>
          <w:rFonts w:hint="eastAsia"/>
          <w:sz w:val="18"/>
          <w:szCs w:val="24"/>
        </w:rPr>
        <w:t>其他说明，包括对现金流量套期损益的有效部分转为被套期项目初始确认金额调整：</w:t>
      </w:r>
    </w:p>
    <w:p>
      <w:pPr>
        <w:pStyle w:val="8"/>
        <w:outlineLvl w:val="2"/>
        <w:rPr>
          <w:rFonts w:hint="default"/>
          <w:sz w:val="21"/>
          <w:szCs w:val="24"/>
        </w:rPr>
      </w:pPr>
      <w:r>
        <w:rPr>
          <w:rFonts w:hint="default"/>
          <w:sz w:val="21"/>
          <w:szCs w:val="24"/>
        </w:rPr>
        <w:t>58</w:t>
      </w:r>
      <w:r>
        <w:rPr>
          <w:rFonts w:hint="eastAsia"/>
          <w:sz w:val="21"/>
          <w:szCs w:val="24"/>
        </w:rPr>
        <w:t>、专项储备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bl>
    <w:p>
      <w:pPr>
        <w:jc w:val="left"/>
        <w:rPr>
          <w:rFonts w:hint="default"/>
          <w:sz w:val="18"/>
          <w:szCs w:val="24"/>
        </w:rPr>
      </w:pPr>
      <w:r>
        <w:rPr>
          <w:rFonts w:hint="eastAsia"/>
          <w:sz w:val="18"/>
          <w:szCs w:val="24"/>
        </w:rPr>
        <w:t>其他说明，包括本期增减变动情况、变动原因说明：</w:t>
      </w:r>
    </w:p>
    <w:p>
      <w:pPr>
        <w:pStyle w:val="8"/>
        <w:outlineLvl w:val="2"/>
        <w:rPr>
          <w:rFonts w:hint="default"/>
          <w:sz w:val="21"/>
          <w:szCs w:val="24"/>
        </w:rPr>
      </w:pPr>
      <w:r>
        <w:rPr>
          <w:rFonts w:hint="default"/>
          <w:sz w:val="21"/>
          <w:szCs w:val="24"/>
        </w:rPr>
        <w:t>59</w:t>
      </w:r>
      <w:r>
        <w:rPr>
          <w:rFonts w:hint="eastAsia"/>
          <w:sz w:val="21"/>
          <w:szCs w:val="24"/>
        </w:rPr>
        <w:t>、盈余公积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法定盈余公积</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45,405,316.25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51,972,593.74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45,405,316.25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51,972,593.74</w:t>
            </w:r>
          </w:p>
        </w:tc>
      </w:tr>
    </w:tbl>
    <w:p>
      <w:pPr>
        <w:jc w:val="left"/>
        <w:rPr>
          <w:rFonts w:hint="default"/>
          <w:sz w:val="18"/>
          <w:szCs w:val="24"/>
        </w:rPr>
      </w:pPr>
      <w:r>
        <w:rPr>
          <w:rFonts w:hint="eastAsia"/>
          <w:sz w:val="18"/>
          <w:szCs w:val="24"/>
        </w:rPr>
        <w:t>盈余公积说明，包括本期增减变动情况、变动原因说明：</w:t>
      </w:r>
    </w:p>
    <w:p>
      <w:pPr>
        <w:pStyle w:val="8"/>
        <w:outlineLvl w:val="2"/>
        <w:rPr>
          <w:rFonts w:hint="default"/>
          <w:sz w:val="21"/>
          <w:szCs w:val="24"/>
        </w:rPr>
      </w:pPr>
      <w:r>
        <w:rPr>
          <w:rFonts w:hint="default"/>
          <w:sz w:val="21"/>
          <w:szCs w:val="24"/>
        </w:rPr>
        <w:t>60</w:t>
      </w:r>
      <w:r>
        <w:rPr>
          <w:rFonts w:hint="eastAsia"/>
          <w:sz w:val="21"/>
          <w:szCs w:val="24"/>
        </w:rPr>
        <w:t>、未分配利润</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725"/>
        <w:gridCol w:w="2924"/>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调整前上期末未分配利润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253,603,762.45</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230,742,633.81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调整后期初未分配利润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253,603,762.45</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230,742,633.81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加：本期归属于母公司所有者的净利润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57,968,093.00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52,983,867.54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减：提取法定盈余公积</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6,567,277.49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6,778,338.90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应付普通股股利</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23,344,400.00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期末未分配利润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252,498,577.96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253,603,762.45</w:t>
            </w:r>
          </w:p>
        </w:tc>
      </w:tr>
    </w:tbl>
    <w:p>
      <w:pPr>
        <w:jc w:val="left"/>
        <w:rPr>
          <w:rFonts w:hint="default"/>
          <w:sz w:val="18"/>
          <w:szCs w:val="24"/>
        </w:rPr>
      </w:pPr>
      <w:r>
        <w:rPr>
          <w:rFonts w:hint="eastAsia"/>
          <w:sz w:val="18"/>
          <w:szCs w:val="24"/>
        </w:rPr>
        <w:t>调整期初未分配利润明细：</w:t>
      </w:r>
    </w:p>
    <w:p>
      <w:pPr>
        <w:jc w:val="left"/>
        <w:rPr>
          <w:rFonts w:hint="default"/>
          <w:sz w:val="18"/>
          <w:szCs w:val="24"/>
        </w:rPr>
      </w:pPr>
      <w:r>
        <w:rPr>
          <w:rFonts w:hint="default"/>
          <w:sz w:val="18"/>
          <w:szCs w:val="24"/>
        </w:rPr>
        <w:t>1)</w:t>
      </w:r>
      <w:r>
        <w:rPr>
          <w:rFonts w:hint="eastAsia"/>
          <w:sz w:val="18"/>
          <w:szCs w:val="24"/>
        </w:rPr>
        <w:t>、由于《企业会计准则》及其相关新规定进行追溯调整，影响期初未分配利润元。</w:t>
      </w:r>
    </w:p>
    <w:p>
      <w:pPr>
        <w:jc w:val="left"/>
        <w:rPr>
          <w:rFonts w:hint="default"/>
          <w:sz w:val="18"/>
          <w:szCs w:val="24"/>
        </w:rPr>
      </w:pPr>
      <w:r>
        <w:rPr>
          <w:rFonts w:hint="default"/>
          <w:sz w:val="18"/>
          <w:szCs w:val="24"/>
        </w:rPr>
        <w:t>2)</w:t>
      </w:r>
      <w:r>
        <w:rPr>
          <w:rFonts w:hint="eastAsia"/>
          <w:sz w:val="18"/>
          <w:szCs w:val="24"/>
        </w:rPr>
        <w:t>、由于会计政策变更，影响期初未分配利润元。</w:t>
      </w:r>
    </w:p>
    <w:p>
      <w:pPr>
        <w:jc w:val="left"/>
        <w:rPr>
          <w:rFonts w:hint="default"/>
          <w:sz w:val="18"/>
          <w:szCs w:val="24"/>
        </w:rPr>
      </w:pPr>
      <w:r>
        <w:rPr>
          <w:rFonts w:hint="default"/>
          <w:sz w:val="18"/>
          <w:szCs w:val="24"/>
        </w:rPr>
        <w:t>3)</w:t>
      </w:r>
      <w:r>
        <w:rPr>
          <w:rFonts w:hint="eastAsia"/>
          <w:sz w:val="18"/>
          <w:szCs w:val="24"/>
        </w:rPr>
        <w:t>、由于重大会计差错更正，影响期初未分配利润元。</w:t>
      </w:r>
    </w:p>
    <w:p>
      <w:pPr>
        <w:jc w:val="left"/>
        <w:rPr>
          <w:rFonts w:hint="default"/>
          <w:sz w:val="18"/>
          <w:szCs w:val="24"/>
        </w:rPr>
      </w:pPr>
      <w:r>
        <w:rPr>
          <w:rFonts w:hint="default"/>
          <w:sz w:val="18"/>
          <w:szCs w:val="24"/>
        </w:rPr>
        <w:t>4)</w:t>
      </w:r>
      <w:r>
        <w:rPr>
          <w:rFonts w:hint="eastAsia"/>
          <w:sz w:val="18"/>
          <w:szCs w:val="24"/>
        </w:rPr>
        <w:t>、由于同一控制导致的合并范围变更，影响期初未分配利润元。</w:t>
      </w:r>
    </w:p>
    <w:p>
      <w:pPr>
        <w:jc w:val="left"/>
        <w:rPr>
          <w:rFonts w:hint="default"/>
          <w:sz w:val="18"/>
          <w:szCs w:val="24"/>
        </w:rPr>
      </w:pPr>
      <w:r>
        <w:rPr>
          <w:rFonts w:hint="default"/>
          <w:sz w:val="18"/>
          <w:szCs w:val="24"/>
        </w:rPr>
        <w:t>5)</w:t>
      </w:r>
      <w:r>
        <w:rPr>
          <w:rFonts w:hint="eastAsia"/>
          <w:sz w:val="18"/>
          <w:szCs w:val="24"/>
        </w:rPr>
        <w:t>、其他调整合计影响期初未分配利润元。</w:t>
      </w:r>
    </w:p>
    <w:p>
      <w:pPr>
        <w:pStyle w:val="8"/>
        <w:outlineLvl w:val="2"/>
        <w:rPr>
          <w:rFonts w:hint="default"/>
          <w:sz w:val="21"/>
          <w:szCs w:val="24"/>
        </w:rPr>
      </w:pPr>
      <w:r>
        <w:rPr>
          <w:rFonts w:hint="default"/>
          <w:sz w:val="21"/>
          <w:szCs w:val="24"/>
        </w:rPr>
        <w:t>61</w:t>
      </w:r>
      <w:r>
        <w:rPr>
          <w:rFonts w:hint="eastAsia"/>
          <w:sz w:val="21"/>
          <w:szCs w:val="24"/>
        </w:rPr>
        <w:t>、营业收入和营业成本</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成本</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主营业务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343,353,901.86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225,232,151.08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353,276,859.89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226,799,563.50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其他业务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1,236,122.77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386,445.93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1,949,046.85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27,444.52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344,590,024.63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225,618,597.01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355,225,906.74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226,827,008.02</w:t>
            </w:r>
          </w:p>
        </w:tc>
      </w:tr>
    </w:tbl>
    <w:p>
      <w:pPr>
        <w:jc w:val="left"/>
        <w:rPr>
          <w:rFonts w:hint="default"/>
          <w:sz w:val="18"/>
          <w:szCs w:val="24"/>
        </w:rPr>
      </w:pPr>
      <w:r>
        <w:rPr>
          <w:rFonts w:hint="eastAsia"/>
          <w:sz w:val="18"/>
          <w:szCs w:val="24"/>
        </w:rPr>
        <w:t>经审计扣除非经常损益前后净利润孰低是否为负值</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收入相关信息：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合同分类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分部</w:t>
            </w:r>
            <w:r>
              <w:rPr>
                <w:rFonts w:hint="default"/>
                <w:sz w:val="18"/>
                <w:szCs w:val="24"/>
              </w:rPr>
              <w:t>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分部</w:t>
            </w:r>
            <w:r>
              <w:rPr>
                <w:rFonts w:hint="default"/>
                <w:sz w:val="18"/>
                <w:szCs w:val="24"/>
              </w:rPr>
              <w:t>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2020</w:t>
            </w:r>
            <w:r>
              <w:rPr>
                <w:rFonts w:hint="eastAsia"/>
                <w:sz w:val="18"/>
                <w:szCs w:val="24"/>
              </w:rPr>
              <w:t>年度</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阀门销售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276,069,311.82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276,069,311.82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过滤器销售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18,900,753.51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18,900,753.51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阀门零件及管件销售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29,286,197.93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29,286,197.93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汽车配件</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19,097,638.60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19,097,638.60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其他业务收入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1,236,122.77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1,236,122.77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内销收入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68,548,419.01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68,548,419.01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出口收入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276,041,605.62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276,041,605.62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344,590,024.63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344,590,024.63</w:t>
            </w:r>
          </w:p>
        </w:tc>
      </w:tr>
    </w:tbl>
    <w:p>
      <w:pPr>
        <w:jc w:val="left"/>
        <w:rPr>
          <w:rFonts w:hint="eastAsia"/>
          <w:sz w:val="18"/>
          <w:szCs w:val="24"/>
        </w:rPr>
      </w:pPr>
      <w:r>
        <w:rPr>
          <w:rFonts w:hint="eastAsia"/>
          <w:sz w:val="18"/>
          <w:szCs w:val="24"/>
        </w:rPr>
        <w:t>与履约义务相关的信息：</w:t>
      </w:r>
    </w:p>
    <w:p>
      <w:pPr>
        <w:jc w:val="left"/>
        <w:rPr>
          <w:rFonts w:hint="eastAsia"/>
          <w:sz w:val="18"/>
          <w:szCs w:val="24"/>
        </w:rPr>
      </w:pPr>
      <w:r>
        <w:rPr>
          <w:rFonts w:hint="eastAsia"/>
          <w:sz w:val="18"/>
          <w:szCs w:val="24"/>
        </w:rPr>
        <w:t>无</w:t>
      </w:r>
    </w:p>
    <w:p>
      <w:pPr>
        <w:jc w:val="left"/>
        <w:rPr>
          <w:rFonts w:hint="default"/>
          <w:sz w:val="18"/>
          <w:szCs w:val="24"/>
        </w:rPr>
      </w:pPr>
      <w:r>
        <w:rPr>
          <w:rFonts w:hint="eastAsia"/>
          <w:sz w:val="18"/>
          <w:szCs w:val="24"/>
        </w:rPr>
        <w:t>与分摊至剩余履约义务的交易价格相关的信息：</w:t>
      </w:r>
    </w:p>
    <w:p>
      <w:pPr>
        <w:jc w:val="left"/>
        <w:rPr>
          <w:rFonts w:hint="eastAsia"/>
          <w:sz w:val="18"/>
          <w:szCs w:val="24"/>
        </w:rPr>
      </w:pPr>
      <w:r>
        <w:rPr>
          <w:rFonts w:hint="eastAsia"/>
          <w:sz w:val="18"/>
          <w:szCs w:val="24"/>
        </w:rPr>
        <w:t>本报告期末已签订合同、但尚未履行或尚未履行完毕的履约义务所对应的收入金额为45,721,084.43元，其中，45,721,084.43元预计将于2021年度确认收入。</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62</w:t>
      </w:r>
      <w:r>
        <w:rPr>
          <w:rFonts w:hint="eastAsia"/>
          <w:sz w:val="21"/>
          <w:szCs w:val="24"/>
        </w:rPr>
        <w:t>、税金及附加</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城市维护建设税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1,554,320.46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1,897,624.06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666,137.34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813,267.47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房产税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1,205,386.97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1,422,827.15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土地使用税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498,696.11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599,150.17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车船使用税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13,570.88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15,214.08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印花税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107,797.90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97,412.90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地方教育费附加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444,091.57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542,178.31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地方水利建设基金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111,022.90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135,544.57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16,446.40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4,617,470.53</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5,539,665.09</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63</w:t>
      </w:r>
      <w:r>
        <w:rPr>
          <w:rFonts w:hint="eastAsia"/>
          <w:sz w:val="21"/>
          <w:szCs w:val="24"/>
        </w:rPr>
        <w:t>、销售费用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办公费及差旅费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1,159,646.84</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743,361.64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运输费及装卸费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9,023,408.00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3,959,606.68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3,349,341.65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业务宣传费及展位费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582,690.22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604,485.06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检验费及认证费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3,165,318.07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2,864,982.62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佣金及咨询费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10,369,401.16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9,698,043.87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水电费、通讯费及其他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1,584,350.61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3,076,996.13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20,821,013.58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29,360,618.97</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64</w:t>
      </w:r>
      <w:r>
        <w:rPr>
          <w:rFonts w:hint="eastAsia"/>
          <w:sz w:val="21"/>
          <w:szCs w:val="24"/>
        </w:rPr>
        <w:t>、管理费用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办公费及差旅费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372,965.72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1,152,817.80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业务招待费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389,591.04</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673,135.68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9,818,298.45</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8,095,930.43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折旧及摊销</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3,833,818.31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3,439,608.76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股权激励费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1,935,150.15</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4,464,047.90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6,907,688.76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5,915,057.65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23,257,512.43</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23,740,598.22</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65</w:t>
      </w:r>
      <w:r>
        <w:rPr>
          <w:rFonts w:hint="eastAsia"/>
          <w:sz w:val="21"/>
          <w:szCs w:val="24"/>
        </w:rPr>
        <w:t>、研发费用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11,342,717.08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11,895,144.97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折旧费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1,308,792.08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848,295.88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材料费用</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5,637,368.41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6,538,878.77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调试费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2,276,928.78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1,269,631.13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其他费用</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175,363.85</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222,596.75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租赁费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496,749.48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575,746.42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21,237,919.68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21,350,293.92</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66</w:t>
      </w:r>
      <w:r>
        <w:rPr>
          <w:rFonts w:hint="eastAsia"/>
          <w:sz w:val="21"/>
          <w:szCs w:val="24"/>
        </w:rPr>
        <w:t>、财务费用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利息支出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639,030.28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减：利息收入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557,207.33</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521,692.04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手续费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466,661.66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451,693.16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汇兑损益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1,240,597.97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-362,164.82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1,789,082.58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-432,163.70</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67</w:t>
      </w:r>
      <w:r>
        <w:rPr>
          <w:rFonts w:hint="eastAsia"/>
          <w:sz w:val="21"/>
          <w:szCs w:val="24"/>
        </w:rPr>
        <w:t>、其他收益</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产生其他收益的来源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社保和岗位补贴</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214,475.62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研发补贴</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1,486,200.00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国际市场开拓项目补贴</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208,300.00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基础设施建设补助资金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169,959.48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169,959.48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残疾人就业增值税优惠补贴</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916,800.00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1,069,600.00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手续费返还</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58,869.66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82,775.65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稳岗补贴</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146,763.30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99,316.26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减免税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15,644.53</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6,949.27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知识产权运营服务体系建设科技专项资金补贴</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专利奖补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科技专项基金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190,000.00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高企认定奖励资金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40,000.00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以工代训补贴</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支持企业创建国际自主品牌</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200,000.00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企业技术改造综合奖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254,076.10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年产</w:t>
            </w:r>
            <w:r>
              <w:rPr>
                <w:rFonts w:hint="default"/>
                <w:sz w:val="18"/>
                <w:szCs w:val="24"/>
              </w:rPr>
              <w:t>45</w:t>
            </w:r>
            <w:r>
              <w:rPr>
                <w:rFonts w:hint="eastAsia"/>
                <w:sz w:val="18"/>
                <w:szCs w:val="24"/>
              </w:rPr>
              <w:t>万支新型阀门制造建设项目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168,610.20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14,050.85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4,170,698.89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2,080,253.77</w:t>
            </w:r>
          </w:p>
        </w:tc>
      </w:tr>
    </w:tbl>
    <w:p>
      <w:pPr>
        <w:pStyle w:val="8"/>
        <w:outlineLvl w:val="2"/>
        <w:rPr>
          <w:rFonts w:hint="default"/>
          <w:sz w:val="21"/>
          <w:szCs w:val="24"/>
        </w:rPr>
      </w:pPr>
      <w:r>
        <w:rPr>
          <w:rFonts w:hint="default"/>
          <w:sz w:val="21"/>
          <w:szCs w:val="24"/>
        </w:rPr>
        <w:t>68</w:t>
      </w:r>
      <w:r>
        <w:rPr>
          <w:rFonts w:hint="eastAsia"/>
          <w:sz w:val="21"/>
          <w:szCs w:val="24"/>
        </w:rPr>
        <w:t>、投资收益</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460"/>
        <w:gridCol w:w="3190"/>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理财产品收益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8,885,047.81</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10,194,747.65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外汇期权收益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430,900.00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远期结售汇损失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-129,550.00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9,186,397.81</w:t>
            </w:r>
          </w:p>
        </w:tc>
        <w:tc>
          <w:tcPr>
            <w:tcW w:w="29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10,194,747.65</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69</w:t>
      </w:r>
      <w:r>
        <w:rPr>
          <w:rFonts w:hint="eastAsia"/>
          <w:sz w:val="21"/>
          <w:szCs w:val="24"/>
        </w:rPr>
        <w:t>、净敞口套期收益</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70</w:t>
      </w:r>
      <w:r>
        <w:rPr>
          <w:rFonts w:hint="eastAsia"/>
          <w:sz w:val="21"/>
          <w:szCs w:val="24"/>
        </w:rPr>
        <w:t>、公允价值变动收益</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产生公允价值变动收益的来源</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交易性金融资产</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4,633,212.87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1,371,071.09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交易性金融负债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4,601,612.87</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1,371,071.09</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71</w:t>
      </w:r>
      <w:r>
        <w:rPr>
          <w:rFonts w:hint="eastAsia"/>
          <w:sz w:val="21"/>
          <w:szCs w:val="24"/>
        </w:rPr>
        <w:t>、信用减值损失</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坏账损失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589,631.58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487,396.52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589,631.58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487,396.52</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72</w:t>
      </w:r>
      <w:r>
        <w:rPr>
          <w:rFonts w:hint="eastAsia"/>
          <w:sz w:val="21"/>
          <w:szCs w:val="24"/>
        </w:rPr>
        <w:t>、资产减值损失</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二、存货跌价损失及合同履约成本减值损失</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-376,117.28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-791,204.63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-376,117.28</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-791,204.63</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73</w:t>
      </w:r>
      <w:r>
        <w:rPr>
          <w:rFonts w:hint="eastAsia"/>
          <w:sz w:val="21"/>
          <w:szCs w:val="24"/>
        </w:rPr>
        <w:t>、资产处置收益</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资产处置收益的来源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处置固定资产收益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269,314.21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118,959.11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269,314.21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118,959.11</w:t>
            </w:r>
          </w:p>
        </w:tc>
      </w:tr>
    </w:tbl>
    <w:p>
      <w:pPr>
        <w:pStyle w:val="8"/>
        <w:outlineLvl w:val="2"/>
        <w:rPr>
          <w:rFonts w:hint="default"/>
          <w:sz w:val="21"/>
          <w:szCs w:val="24"/>
        </w:rPr>
      </w:pPr>
      <w:r>
        <w:rPr>
          <w:rFonts w:hint="default"/>
          <w:sz w:val="21"/>
          <w:szCs w:val="24"/>
        </w:rPr>
        <w:t>74</w:t>
      </w:r>
      <w:r>
        <w:rPr>
          <w:rFonts w:hint="eastAsia"/>
          <w:sz w:val="21"/>
          <w:szCs w:val="24"/>
        </w:rPr>
        <w:t>、营业外收入</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计入当期非经常性损益的金额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非流动资产毁损报废利得</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104,596.17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104,596.17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预计负债转回</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1,252,736.04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1,252,736.04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176,844.50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483,704.48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176,844.50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1,534,176.71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483,704.48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1,534,176.71</w:t>
            </w:r>
          </w:p>
        </w:tc>
      </w:tr>
    </w:tbl>
    <w:p>
      <w:pPr>
        <w:jc w:val="left"/>
        <w:rPr>
          <w:rFonts w:hint="default"/>
          <w:sz w:val="18"/>
          <w:szCs w:val="24"/>
        </w:rPr>
      </w:pPr>
      <w:r>
        <w:rPr>
          <w:rFonts w:hint="eastAsia"/>
          <w:sz w:val="18"/>
          <w:szCs w:val="24"/>
        </w:rPr>
        <w:t>计入当期损益的政府补助：</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065"/>
        <w:gridCol w:w="1063"/>
        <w:gridCol w:w="1063"/>
        <w:gridCol w:w="1063"/>
        <w:gridCol w:w="1063"/>
        <w:gridCol w:w="1063"/>
        <w:gridCol w:w="1063"/>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补助项目</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发放主体</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发放原因</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性质类型</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补贴是否影响当年盈亏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是否特殊补贴</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与资产相关</w:t>
            </w:r>
            <w:r>
              <w:rPr>
                <w:rFonts w:hint="default"/>
                <w:sz w:val="18"/>
                <w:szCs w:val="24"/>
              </w:rPr>
              <w:t>/</w:t>
            </w:r>
            <w:r>
              <w:rPr>
                <w:rFonts w:hint="eastAsia"/>
                <w:sz w:val="18"/>
                <w:szCs w:val="24"/>
              </w:rPr>
              <w:t>与收益相关</w:t>
            </w:r>
          </w:p>
        </w:tc>
      </w:tr>
    </w:tbl>
    <w:p>
      <w:pPr>
        <w:jc w:val="left"/>
        <w:rPr>
          <w:rFonts w:hint="default"/>
          <w:sz w:val="18"/>
          <w:szCs w:val="24"/>
        </w:rPr>
      </w:pPr>
      <w:r>
        <w:rPr>
          <w:rFonts w:hint="eastAsia"/>
          <w:sz w:val="18"/>
          <w:szCs w:val="24"/>
        </w:rPr>
        <w:t>其他说明：</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报告期公司营业外收入全部计入非经常性损益。</w:t>
      </w:r>
    </w:p>
    <w:p>
      <w:pPr>
        <w:pStyle w:val="8"/>
        <w:outlineLvl w:val="2"/>
        <w:rPr>
          <w:rFonts w:hint="default"/>
          <w:sz w:val="21"/>
          <w:szCs w:val="24"/>
        </w:rPr>
      </w:pPr>
      <w:r>
        <w:rPr>
          <w:rFonts w:hint="default"/>
          <w:sz w:val="21"/>
          <w:szCs w:val="24"/>
        </w:rPr>
        <w:t>75</w:t>
      </w:r>
      <w:r>
        <w:rPr>
          <w:rFonts w:hint="eastAsia"/>
          <w:sz w:val="21"/>
          <w:szCs w:val="24"/>
        </w:rPr>
        <w:t>、营业外支出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计入当期非经常性损益的金额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对外捐赠</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580,000.00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非流动资产毁损报废损失</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658,736.19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196,005.22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658,736.19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预计负债</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1,698,956.40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134,792.83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8,898.78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134,792.83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1,373,529.02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1,938,860.40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1,373,529.02</w:t>
            </w:r>
          </w:p>
        </w:tc>
      </w:tr>
    </w:tbl>
    <w:p>
      <w:pPr>
        <w:jc w:val="left"/>
        <w:rPr>
          <w:rFonts w:hint="default"/>
          <w:sz w:val="18"/>
          <w:szCs w:val="24"/>
        </w:rPr>
      </w:pPr>
      <w:r>
        <w:rPr>
          <w:rFonts w:hint="eastAsia"/>
          <w:sz w:val="18"/>
          <w:szCs w:val="24"/>
        </w:rPr>
        <w:t>其他说明：</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报告期公司营业外支出全部计入非经常性损益。</w:t>
      </w:r>
    </w:p>
    <w:p>
      <w:pPr>
        <w:pStyle w:val="8"/>
        <w:outlineLvl w:val="2"/>
        <w:rPr>
          <w:rFonts w:hint="default"/>
          <w:sz w:val="21"/>
          <w:szCs w:val="24"/>
        </w:rPr>
      </w:pPr>
      <w:r>
        <w:rPr>
          <w:rFonts w:hint="default"/>
          <w:sz w:val="21"/>
          <w:szCs w:val="24"/>
        </w:rPr>
        <w:t>76</w:t>
      </w:r>
      <w:r>
        <w:rPr>
          <w:rFonts w:hint="eastAsia"/>
          <w:sz w:val="21"/>
          <w:szCs w:val="24"/>
        </w:rPr>
        <w:t>、所得税费用</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）所得税费用表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当期所得税费用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9,407,159.54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9,192,249.01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递延所得税费用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-1,524,637.95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-1,330,162.74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7,882,521.59</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7,862,086.27</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）会计利润与所得税费用调整过程</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79"/>
        <w:gridCol w:w="4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利润总额</w:t>
            </w:r>
          </w:p>
        </w:tc>
        <w:tc>
          <w:tcPr>
            <w:tcW w:w="47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65,850,614.59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按法定</w:t>
            </w:r>
            <w:r>
              <w:rPr>
                <w:rFonts w:hint="default"/>
                <w:sz w:val="18"/>
                <w:szCs w:val="24"/>
              </w:rPr>
              <w:t>/</w:t>
            </w:r>
            <w:r>
              <w:rPr>
                <w:rFonts w:hint="eastAsia"/>
                <w:sz w:val="18"/>
                <w:szCs w:val="24"/>
              </w:rPr>
              <w:t>适用税率计算的所得税费用</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9,877,592.19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子公司适用不同税率的影响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51,208.52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不可抵扣的成本、费用和损失的影响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449,585.16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使用前期未确认递延所得税资产的可抵扣亏损的影响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-4,174.30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本期未确认递延所得税资产的可抵扣暂时性差异或可抵扣亏损的影响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963.10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技术开发费加计扣除的影响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-2,492,653.08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所得税费用</w:t>
            </w:r>
          </w:p>
        </w:tc>
        <w:tc>
          <w:tcPr>
            <w:tcW w:w="47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7,882,521.59</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77</w:t>
      </w:r>
      <w:r>
        <w:rPr>
          <w:rFonts w:hint="eastAsia"/>
          <w:sz w:val="21"/>
          <w:szCs w:val="24"/>
        </w:rPr>
        <w:t>、其他综合收益</w:t>
      </w:r>
    </w:p>
    <w:p>
      <w:pPr>
        <w:jc w:val="left"/>
        <w:rPr>
          <w:rFonts w:hint="default"/>
          <w:sz w:val="18"/>
          <w:szCs w:val="24"/>
        </w:rPr>
      </w:pPr>
      <w:r>
        <w:rPr>
          <w:rFonts w:hint="eastAsia"/>
          <w:sz w:val="18"/>
          <w:szCs w:val="24"/>
        </w:rPr>
        <w:t>详见附注。</w:t>
      </w:r>
    </w:p>
    <w:p>
      <w:pPr>
        <w:pStyle w:val="8"/>
        <w:outlineLvl w:val="2"/>
        <w:rPr>
          <w:rFonts w:hint="default"/>
          <w:sz w:val="21"/>
          <w:szCs w:val="24"/>
        </w:rPr>
      </w:pPr>
      <w:r>
        <w:rPr>
          <w:rFonts w:hint="default"/>
          <w:sz w:val="21"/>
          <w:szCs w:val="24"/>
        </w:rPr>
        <w:t>78</w:t>
      </w:r>
      <w:r>
        <w:rPr>
          <w:rFonts w:hint="eastAsia"/>
          <w:sz w:val="21"/>
          <w:szCs w:val="24"/>
        </w:rPr>
        <w:t>、现金流量表项目</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）收到的其他与经营活动有关的现金</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补贴收入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6,474,608.58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1,588,450.96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利息收入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557,207.33</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521,644.79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往来款及其他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1,505,125.79</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1,110,852.10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8,536,941.70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3,220,947.85</w:t>
            </w:r>
          </w:p>
        </w:tc>
      </w:tr>
    </w:tbl>
    <w:p>
      <w:pPr>
        <w:jc w:val="left"/>
        <w:rPr>
          <w:rFonts w:hint="default"/>
          <w:sz w:val="18"/>
          <w:szCs w:val="24"/>
        </w:rPr>
      </w:pPr>
      <w:r>
        <w:rPr>
          <w:rFonts w:hint="eastAsia"/>
          <w:sz w:val="18"/>
          <w:szCs w:val="24"/>
        </w:rPr>
        <w:t>收到的其他与经营活动有关的现金说明：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）支付的其他与经营活动有关的现金</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管理费用及研发费用中的现金支出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10,774,899.68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12,778,644.79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销售费用中的现金支出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15,209,598.36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26,001,222.70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往来款及其他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6,486,947.64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723,429.25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32,471,445.68</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39,503,296.74</w:t>
            </w:r>
          </w:p>
        </w:tc>
      </w:tr>
    </w:tbl>
    <w:p>
      <w:pPr>
        <w:jc w:val="left"/>
        <w:rPr>
          <w:rFonts w:hint="default"/>
          <w:sz w:val="18"/>
          <w:szCs w:val="24"/>
        </w:rPr>
      </w:pPr>
      <w:r>
        <w:rPr>
          <w:rFonts w:hint="eastAsia"/>
          <w:sz w:val="18"/>
          <w:szCs w:val="24"/>
        </w:rPr>
        <w:t>支付的其他与经营活动有关的现金说明：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）收到的其他与投资活动有关的现金</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收到的其他与投资活动有关的现金说明：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）支付的其他与投资活动有关的现金</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支付的其他与投资活动有关的现金说明：</w:t>
      </w:r>
    </w:p>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）收到的其他与筹资活动有关的现金</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收到的其他与筹资活动有关的现金说明：</w:t>
      </w:r>
    </w:p>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）支付的其他与筹资活动有关的现金</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股权激励回购款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370,860.00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370,860.00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180,600.00</w:t>
            </w:r>
          </w:p>
        </w:tc>
      </w:tr>
    </w:tbl>
    <w:p>
      <w:pPr>
        <w:jc w:val="left"/>
        <w:rPr>
          <w:rFonts w:hint="default"/>
          <w:sz w:val="18"/>
          <w:szCs w:val="24"/>
        </w:rPr>
      </w:pPr>
      <w:r>
        <w:rPr>
          <w:rFonts w:hint="eastAsia"/>
          <w:sz w:val="18"/>
          <w:szCs w:val="24"/>
        </w:rPr>
        <w:t>支付的其他与筹资活动有关的现金说明：</w:t>
      </w:r>
    </w:p>
    <w:p>
      <w:pPr>
        <w:pStyle w:val="8"/>
        <w:outlineLvl w:val="2"/>
        <w:rPr>
          <w:rFonts w:hint="default"/>
          <w:sz w:val="21"/>
          <w:szCs w:val="24"/>
        </w:rPr>
      </w:pPr>
      <w:r>
        <w:rPr>
          <w:rFonts w:hint="default"/>
          <w:sz w:val="21"/>
          <w:szCs w:val="24"/>
        </w:rPr>
        <w:t>79</w:t>
      </w:r>
      <w:r>
        <w:rPr>
          <w:rFonts w:hint="eastAsia"/>
          <w:sz w:val="21"/>
          <w:szCs w:val="24"/>
        </w:rPr>
        <w:t>、现金流量表补充资料</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）现金流量表补充资料</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补充资料</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本期金额</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．将净利润调节为经营活动现金流量：</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净利润</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57,968,093.00</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52,983,867.54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加：资产减值准备</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-213,514.30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303,808.11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固定资产折旧、油气资产折耗、生产性生物资产折旧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21,577,859.15</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15,265,962.26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使用权资产折旧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无形资产摊销</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1,076,978.22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1,013,459.77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长期待摊费用摊销</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63,547.20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63,547.80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处置固定资产、无形资产和其他长期资产的损失（收益以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-269,314.21</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-118,959.11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固定资产报废损失（收益以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554,140.02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196,005.22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公允价值变动损失（收益以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-4,601,612.87</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-1,371,071.09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财务费用（收益以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1,744,411.13</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1,143,274.90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投资损失（收益以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-9,186,397.81</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-10,194,747.65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递延所得税资产减少（增加以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-1,712,664.54</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-2,374,031.88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递延所得税负债增加（减少以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188,026.59</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1,043,869.14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存货的减少（增加以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-4,610,292.43</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26,303,115.67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经营性应收项目的减少（增加以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14,251,899.87</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13,403,858.52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经营性应付项目的增加（减少以</w:t>
            </w:r>
            <w:r>
              <w:rPr>
                <w:rFonts w:hint="default"/>
                <w:sz w:val="18"/>
                <w:szCs w:val="24"/>
              </w:rPr>
              <w:t>“</w:t>
            </w:r>
            <w:r>
              <w:rPr>
                <w:rFonts w:hint="eastAsia"/>
                <w:sz w:val="18"/>
                <w:szCs w:val="24"/>
              </w:rPr>
              <w:t>－</w:t>
            </w:r>
            <w:r>
              <w:rPr>
                <w:rFonts w:hint="default"/>
                <w:sz w:val="18"/>
                <w:szCs w:val="24"/>
              </w:rPr>
              <w:t>”</w:t>
            </w:r>
            <w:r>
              <w:rPr>
                <w:rFonts w:hint="eastAsia"/>
                <w:sz w:val="18"/>
                <w:szCs w:val="24"/>
              </w:rPr>
              <w:t>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9,658,634.39</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27,330,850.87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其他</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3,456,336.34</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7,929,906.96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经营活动产生的现金流量净额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89,946,129.75</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132,922,717.03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．不涉及现金收支的重大投资和筹资活动：</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债务转为资本</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一年内到期的可转换公司债券</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融资租入固定资产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．现金及现金等价物净变动情况：</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现金的期末余额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41,257,412.55</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52,223,221.72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减：现金的期初余额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52,223,221.72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96,493,728.70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加：现金等价物的期末余额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减：现金等价物的期初余额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现金及现金等价物净增加额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-10,965,809.17</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-44,270,506.98</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）本期支付的取得子公司的现金净额</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988"/>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）本期收到的处置子公司的现金净额</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988"/>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）现金和现金等价物的构成</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一、现金</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41,257,412.55</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52,223,221.72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其中：库存现金</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88,655.07</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124,433.12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可随时用于支付的银行存款</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41,168,757.48</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52,098,788.60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三、期末现金及现金等价物余额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41,257,412.55</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52,223,221.72</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80</w:t>
      </w:r>
      <w:r>
        <w:rPr>
          <w:rFonts w:hint="eastAsia"/>
          <w:sz w:val="21"/>
          <w:szCs w:val="24"/>
        </w:rPr>
        <w:t>、所有者权益变动表项目注释</w:t>
      </w:r>
    </w:p>
    <w:p>
      <w:pPr>
        <w:jc w:val="left"/>
        <w:rPr>
          <w:rFonts w:hint="default"/>
          <w:sz w:val="18"/>
          <w:szCs w:val="24"/>
        </w:rPr>
      </w:pPr>
      <w:r>
        <w:rPr>
          <w:rFonts w:hint="eastAsia"/>
          <w:sz w:val="18"/>
          <w:szCs w:val="24"/>
        </w:rPr>
        <w:t>说明对上年期末余额进行调整的</w:t>
      </w:r>
      <w:r>
        <w:rPr>
          <w:rFonts w:hint="default"/>
          <w:sz w:val="18"/>
          <w:szCs w:val="24"/>
        </w:rPr>
        <w:t>“</w:t>
      </w:r>
      <w:r>
        <w:rPr>
          <w:rFonts w:hint="eastAsia"/>
          <w:sz w:val="18"/>
          <w:szCs w:val="24"/>
        </w:rPr>
        <w:t>其他</w:t>
      </w:r>
      <w:r>
        <w:rPr>
          <w:rFonts w:hint="default"/>
          <w:sz w:val="18"/>
          <w:szCs w:val="24"/>
        </w:rPr>
        <w:t>”</w:t>
      </w:r>
      <w:r>
        <w:rPr>
          <w:rFonts w:hint="eastAsia"/>
          <w:sz w:val="18"/>
          <w:szCs w:val="24"/>
        </w:rPr>
        <w:t>项目名称及调整金额等事项：</w:t>
      </w:r>
    </w:p>
    <w:p>
      <w:pPr>
        <w:pStyle w:val="8"/>
        <w:outlineLvl w:val="2"/>
        <w:rPr>
          <w:rFonts w:hint="default"/>
          <w:sz w:val="21"/>
          <w:szCs w:val="24"/>
        </w:rPr>
      </w:pPr>
      <w:r>
        <w:rPr>
          <w:rFonts w:hint="default"/>
          <w:sz w:val="21"/>
          <w:szCs w:val="24"/>
        </w:rPr>
        <w:t>81</w:t>
      </w:r>
      <w:r>
        <w:rPr>
          <w:rFonts w:hint="eastAsia"/>
          <w:sz w:val="21"/>
          <w:szCs w:val="24"/>
        </w:rPr>
        <w:t>、所有权或使用权受到限制的资产</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期末账面价值</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受限原因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货币资金</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16,457,903.49</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票据保证金、保函保证金、诉讼冻结资金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16,457,903.49</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82</w:t>
      </w:r>
      <w:r>
        <w:rPr>
          <w:rFonts w:hint="eastAsia"/>
          <w:sz w:val="21"/>
          <w:szCs w:val="24"/>
        </w:rPr>
        <w:t>、外币货币性项目</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）外币货币性项目</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495"/>
        <w:gridCol w:w="2293"/>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期末外币余额</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折算汇率</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期末折算人民币余额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货币资金</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149,996.71</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6.5249</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978,713.53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英镑</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1,000,434.39</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8.8903</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8,894,161.86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36,483.28</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8.0250</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292,778.32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应收账款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4,237,560.27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6.5249</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27,649,657.01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应付账款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86,044.46</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6.5249</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561,431.50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其中：欧元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119,796.40</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8.0250</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961,366.11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其中：澳元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3,000.00</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5.0163</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15,048.90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短期借款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3,032,938.86</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6.5249</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19,789,622.77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长期借款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bl>
    <w:p>
      <w:pPr>
        <w:jc w:val="left"/>
        <w:rPr>
          <w:rFonts w:hint="default"/>
          <w:sz w:val="18"/>
          <w:szCs w:val="24"/>
        </w:rPr>
      </w:pPr>
      <w:r>
        <w:rPr>
          <w:rFonts w:hint="eastAsia"/>
          <w:sz w:val="18"/>
          <w:szCs w:val="24"/>
        </w:rPr>
        <w:t>其他说明：</w:t>
      </w:r>
    </w:p>
    <w:p>
      <w:pPr>
        <w:autoSpaceDE w:val="0"/>
        <w:autoSpaceDN w:val="0"/>
        <w:adjustRightInd w:val="0"/>
        <w:spacing w:before="150" w:after="0"/>
        <w:ind w:firstLine="436"/>
        <w:jc w:val="left"/>
        <w:rPr>
          <w:rFonts w:hint="default" w:eastAsia="Times New Roman"/>
          <w:kern w:val="0"/>
          <w:sz w:val="21"/>
          <w:szCs w:val="24"/>
          <w:lang w:val="zh-CN"/>
        </w:rPr>
      </w:pPr>
      <w:r>
        <w:rPr>
          <w:rFonts w:hint="eastAsia" w:ascii="宋体" w:hAnsi="宋体" w:cs="宋体"/>
          <w:kern w:val="0"/>
          <w:sz w:val="21"/>
          <w:szCs w:val="24"/>
          <w:lang w:val="zh-CN"/>
        </w:rPr>
        <w:t>外币交易及境外经营实体主要报表项目的折算汇率</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本公司的外币交易及境外经营实体主要报表项目的折算汇率情况详见附注三、（九）外币业务和外币报表折算。</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）境外经营实体说明，包括对于重要的境外经营实体，应披露其境外主要经营地、记账本位币及选择依据，记账本位币发生变化的还应披露原因。</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83</w:t>
      </w:r>
      <w:r>
        <w:rPr>
          <w:rFonts w:hint="eastAsia"/>
          <w:sz w:val="21"/>
          <w:szCs w:val="24"/>
        </w:rPr>
        <w:t>、套期</w:t>
      </w:r>
    </w:p>
    <w:p>
      <w:pPr>
        <w:jc w:val="left"/>
        <w:rPr>
          <w:rFonts w:hint="default"/>
          <w:sz w:val="18"/>
          <w:szCs w:val="24"/>
        </w:rPr>
      </w:pPr>
      <w:r>
        <w:rPr>
          <w:rFonts w:hint="eastAsia"/>
          <w:sz w:val="18"/>
          <w:szCs w:val="24"/>
        </w:rPr>
        <w:t>按照套期类别披露套期项目及相关套期工具、被套期风险的定性和定量信息：</w:t>
      </w:r>
    </w:p>
    <w:p>
      <w:pPr>
        <w:pStyle w:val="8"/>
        <w:outlineLvl w:val="2"/>
        <w:rPr>
          <w:rFonts w:hint="default"/>
          <w:sz w:val="21"/>
          <w:szCs w:val="24"/>
        </w:rPr>
      </w:pPr>
      <w:r>
        <w:rPr>
          <w:rFonts w:hint="default"/>
          <w:sz w:val="21"/>
          <w:szCs w:val="24"/>
        </w:rPr>
        <w:t>84</w:t>
      </w:r>
      <w:r>
        <w:rPr>
          <w:rFonts w:hint="eastAsia"/>
          <w:sz w:val="21"/>
          <w:szCs w:val="24"/>
        </w:rPr>
        <w:t>、政府补助</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）政府补助基本情况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种类</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列报项目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计入当期损益的金额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收益性政府补助</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3,578,053.11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其他收益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3,578,053.11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资产性政府补助</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3,000,000.00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递延收益</w:t>
            </w:r>
            <w:r>
              <w:rPr>
                <w:rFonts w:hint="default"/>
                <w:sz w:val="18"/>
                <w:szCs w:val="24"/>
              </w:rPr>
              <w:t>/</w:t>
            </w:r>
            <w:r>
              <w:rPr>
                <w:rFonts w:hint="eastAsia"/>
                <w:sz w:val="18"/>
                <w:szCs w:val="24"/>
              </w:rPr>
              <w:t>其他收益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592,645.78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6,578,053.11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4,170,698.89</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）政府补助退回情况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其他说明：</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kern w:val="0"/>
          <w:sz w:val="21"/>
          <w:szCs w:val="24"/>
          <w:lang w:val="zh-CN"/>
        </w:rPr>
        <w:t>本期无退回政府补助</w:t>
      </w:r>
    </w:p>
    <w:p>
      <w:pPr>
        <w:pStyle w:val="8"/>
        <w:outlineLvl w:val="2"/>
        <w:rPr>
          <w:rFonts w:hint="default"/>
          <w:sz w:val="21"/>
          <w:szCs w:val="24"/>
        </w:rPr>
      </w:pPr>
      <w:r>
        <w:rPr>
          <w:rFonts w:hint="default"/>
          <w:sz w:val="21"/>
          <w:szCs w:val="24"/>
        </w:rPr>
        <w:t>85</w:t>
      </w:r>
      <w:r>
        <w:rPr>
          <w:rFonts w:hint="eastAsia"/>
          <w:sz w:val="21"/>
          <w:szCs w:val="24"/>
        </w:rPr>
        <w:t>、其他</w:t>
      </w:r>
    </w:p>
    <w:p>
      <w:pPr>
        <w:pStyle w:val="7"/>
        <w:outlineLvl w:val="1"/>
        <w:rPr>
          <w:rFonts w:hint="default"/>
          <w:sz w:val="24"/>
          <w:szCs w:val="24"/>
        </w:rPr>
      </w:pPr>
      <w:r>
        <w:rPr>
          <w:rFonts w:hint="eastAsia"/>
          <w:sz w:val="24"/>
          <w:szCs w:val="24"/>
        </w:rPr>
        <w:t>八、合并范围的变更</w:t>
      </w:r>
    </w:p>
    <w:p>
      <w:pPr>
        <w:pStyle w:val="8"/>
        <w:outlineLvl w:val="2"/>
        <w:rPr>
          <w:rFonts w:hint="default"/>
          <w:sz w:val="21"/>
          <w:szCs w:val="24"/>
        </w:rPr>
      </w:pPr>
      <w:r>
        <w:rPr>
          <w:rFonts w:hint="default"/>
          <w:sz w:val="21"/>
          <w:szCs w:val="24"/>
        </w:rPr>
        <w:t>1</w:t>
      </w:r>
      <w:r>
        <w:rPr>
          <w:rFonts w:hint="eastAsia"/>
          <w:sz w:val="21"/>
          <w:szCs w:val="24"/>
        </w:rPr>
        <w:t>、非同一控制下企业合并</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）本期发生的非同一控制下企业合并</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063"/>
        <w:gridCol w:w="1064"/>
        <w:gridCol w:w="1064"/>
        <w:gridCol w:w="1064"/>
        <w:gridCol w:w="1064"/>
        <w:gridCol w:w="1064"/>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被购买方名称</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股权取得时点</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股权取得成本</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股权取得比例</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股权取得方式</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购买日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购买日的确定依据</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购买日至期末被购买方的收入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购买日至期末被购买方的净利润</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）合并成本及商誉</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合并成本</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合并成本公允价值的确定方法、或有对价及其变动的说明：</w:t>
      </w:r>
    </w:p>
    <w:p>
      <w:pPr>
        <w:jc w:val="left"/>
        <w:rPr>
          <w:rFonts w:hint="default"/>
          <w:sz w:val="18"/>
          <w:szCs w:val="24"/>
        </w:rPr>
      </w:pPr>
      <w:r>
        <w:rPr>
          <w:rFonts w:hint="eastAsia"/>
          <w:sz w:val="18"/>
          <w:szCs w:val="24"/>
        </w:rPr>
        <w:t>大额商誉形成的主要原因：</w:t>
      </w:r>
    </w:p>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）被购买方于购买日可辨认资产、负债</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638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购买日公允价值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购买日账面价值</w:t>
            </w:r>
          </w:p>
        </w:tc>
      </w:tr>
    </w:tbl>
    <w:p>
      <w:pPr>
        <w:jc w:val="left"/>
        <w:rPr>
          <w:rFonts w:hint="default"/>
          <w:sz w:val="18"/>
          <w:szCs w:val="24"/>
        </w:rPr>
      </w:pPr>
      <w:r>
        <w:rPr>
          <w:rFonts w:hint="eastAsia"/>
          <w:sz w:val="18"/>
          <w:szCs w:val="24"/>
        </w:rPr>
        <w:t>可辨认资产、负债公允价值的确定方法：</w:t>
      </w:r>
    </w:p>
    <w:p>
      <w:pPr>
        <w:jc w:val="left"/>
        <w:rPr>
          <w:rFonts w:hint="default"/>
          <w:sz w:val="18"/>
          <w:szCs w:val="24"/>
        </w:rPr>
      </w:pPr>
      <w:r>
        <w:rPr>
          <w:rFonts w:hint="eastAsia"/>
          <w:sz w:val="18"/>
          <w:szCs w:val="24"/>
        </w:rPr>
        <w:t>企业合并中承担的被购买方的或有负债：</w:t>
      </w:r>
    </w:p>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）购买日之前持有的股权按照公允价值重新计量产生的利得或损失</w:t>
      </w:r>
    </w:p>
    <w:p>
      <w:pPr>
        <w:jc w:val="left"/>
        <w:rPr>
          <w:rFonts w:hint="default"/>
          <w:sz w:val="18"/>
          <w:szCs w:val="24"/>
        </w:rPr>
      </w:pPr>
      <w:r>
        <w:rPr>
          <w:rFonts w:hint="eastAsia"/>
          <w:sz w:val="18"/>
          <w:szCs w:val="24"/>
        </w:rPr>
        <w:t>是否存在通过多次交易分步实现企业合并且在报告期内取得控制权的交易</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）购买日或合并当期期末无法合理确定合并对价或被购买方可辨认资产、负债公允价值的相关说明</w:t>
      </w:r>
    </w:p>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）其他说明</w:t>
      </w:r>
    </w:p>
    <w:p>
      <w:pPr>
        <w:pStyle w:val="8"/>
        <w:outlineLvl w:val="2"/>
        <w:rPr>
          <w:rFonts w:hint="default"/>
          <w:sz w:val="21"/>
          <w:szCs w:val="24"/>
        </w:rPr>
      </w:pPr>
      <w:r>
        <w:rPr>
          <w:rFonts w:hint="default"/>
          <w:sz w:val="21"/>
          <w:szCs w:val="24"/>
        </w:rPr>
        <w:t>2</w:t>
      </w:r>
      <w:r>
        <w:rPr>
          <w:rFonts w:hint="eastAsia"/>
          <w:sz w:val="21"/>
          <w:szCs w:val="24"/>
        </w:rPr>
        <w:t>、同一控制下企业合并</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）本期发生的同一控制下企业合并</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061"/>
        <w:gridCol w:w="1061"/>
        <w:gridCol w:w="1063"/>
        <w:gridCol w:w="1064"/>
        <w:gridCol w:w="1064"/>
        <w:gridCol w:w="1064"/>
        <w:gridCol w:w="1064"/>
        <w:gridCol w:w="1064"/>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被合并方名称</w:t>
            </w:r>
          </w:p>
        </w:tc>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企业合并中取得的权益比例</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构成同一控制下企业合并的依据</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合并日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合并日的确定依据</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合并当期期初至合并日被合并方的收入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合并当期期初至合并日被合并方的净利润</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比较期间被合并方的收入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比较期间被合并方的净利润</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）合并成本</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合并成本</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或有对价及其变动的说明：</w:t>
      </w:r>
    </w:p>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）合并日被合并方资产、负债的账面价值</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638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合并日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上期期末</w:t>
            </w:r>
          </w:p>
        </w:tc>
      </w:tr>
    </w:tbl>
    <w:p>
      <w:pPr>
        <w:jc w:val="left"/>
        <w:rPr>
          <w:rFonts w:hint="default"/>
          <w:sz w:val="18"/>
          <w:szCs w:val="24"/>
        </w:rPr>
      </w:pPr>
      <w:r>
        <w:rPr>
          <w:rFonts w:hint="eastAsia"/>
          <w:sz w:val="18"/>
          <w:szCs w:val="24"/>
        </w:rPr>
        <w:t>企业合并中承担的被合并方的或有负债：</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w:t>
      </w:r>
      <w:r>
        <w:rPr>
          <w:rFonts w:hint="eastAsia"/>
          <w:sz w:val="21"/>
          <w:szCs w:val="24"/>
        </w:rPr>
        <w:t>、反向购买</w:t>
      </w:r>
    </w:p>
    <w:p>
      <w:pPr>
        <w:jc w:val="left"/>
        <w:rPr>
          <w:rFonts w:hint="default"/>
          <w:sz w:val="18"/>
          <w:szCs w:val="24"/>
        </w:rPr>
      </w:pPr>
      <w:r>
        <w:rPr>
          <w:rFonts w:hint="eastAsia"/>
          <w:sz w:val="18"/>
          <w:szCs w:val="24"/>
        </w:rPr>
        <w:t>交易基本信息、交易构成反向购买的依据、上市公司保留的资产、负债是否构成业务及其依据、合并成本的确定、按照权益性交易处理时调整权益的金额及其计算：</w:t>
      </w:r>
    </w:p>
    <w:p>
      <w:pPr>
        <w:pStyle w:val="8"/>
        <w:outlineLvl w:val="2"/>
        <w:rPr>
          <w:rFonts w:hint="default"/>
          <w:sz w:val="21"/>
          <w:szCs w:val="24"/>
        </w:rPr>
      </w:pPr>
      <w:r>
        <w:rPr>
          <w:rFonts w:hint="default"/>
          <w:sz w:val="21"/>
          <w:szCs w:val="24"/>
        </w:rPr>
        <w:t>4</w:t>
      </w:r>
      <w:r>
        <w:rPr>
          <w:rFonts w:hint="eastAsia"/>
          <w:sz w:val="21"/>
          <w:szCs w:val="24"/>
        </w:rPr>
        <w:t>、处置子公司</w:t>
      </w:r>
    </w:p>
    <w:p>
      <w:pPr>
        <w:jc w:val="left"/>
        <w:rPr>
          <w:rFonts w:hint="default"/>
          <w:sz w:val="18"/>
          <w:szCs w:val="24"/>
        </w:rPr>
      </w:pPr>
      <w:r>
        <w:rPr>
          <w:rFonts w:hint="eastAsia"/>
          <w:sz w:val="18"/>
          <w:szCs w:val="24"/>
        </w:rPr>
        <w:t>是否存在单次处置对子公司投资即丧失控制权的情形</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jc w:val="left"/>
        <w:rPr>
          <w:rFonts w:hint="default"/>
          <w:sz w:val="18"/>
          <w:szCs w:val="24"/>
        </w:rPr>
      </w:pPr>
      <w:r>
        <w:rPr>
          <w:rFonts w:hint="eastAsia"/>
          <w:sz w:val="18"/>
          <w:szCs w:val="24"/>
        </w:rPr>
        <w:t>是否存在通过多次交易分步处置对子公司投资且在本期丧失控制权的情形</w:t>
      </w:r>
    </w:p>
    <w:p>
      <w:pPr>
        <w:jc w:val="left"/>
        <w:rPr>
          <w:rFonts w:hint="default"/>
          <w:sz w:val="18"/>
          <w:szCs w:val="24"/>
        </w:rPr>
      </w:pPr>
      <w:r>
        <w:rPr>
          <w:rFonts w:hint="default"/>
          <w:sz w:val="18"/>
          <w:szCs w:val="24"/>
        </w:rPr>
        <w:t xml:space="preserve">□ </w:t>
      </w:r>
      <w:r>
        <w:rPr>
          <w:rFonts w:hint="eastAsia"/>
          <w:sz w:val="18"/>
          <w:szCs w:val="24"/>
        </w:rPr>
        <w:t>是</w:t>
      </w:r>
      <w:r>
        <w:rPr>
          <w:rFonts w:hint="default"/>
          <w:sz w:val="18"/>
          <w:szCs w:val="24"/>
        </w:rPr>
        <w:t xml:space="preserve"> √ </w:t>
      </w:r>
      <w:r>
        <w:rPr>
          <w:rFonts w:hint="eastAsia"/>
          <w:sz w:val="18"/>
          <w:szCs w:val="24"/>
        </w:rPr>
        <w:t>否</w:t>
      </w:r>
      <w:r>
        <w:rPr>
          <w:rFonts w:hint="default"/>
          <w:sz w:val="18"/>
          <w:szCs w:val="24"/>
        </w:rPr>
        <w:t xml:space="preserve"> </w:t>
      </w:r>
    </w:p>
    <w:p>
      <w:pPr>
        <w:pStyle w:val="8"/>
        <w:outlineLvl w:val="2"/>
        <w:rPr>
          <w:rFonts w:hint="default"/>
          <w:sz w:val="21"/>
          <w:szCs w:val="24"/>
        </w:rPr>
      </w:pPr>
      <w:r>
        <w:rPr>
          <w:rFonts w:hint="default"/>
          <w:sz w:val="21"/>
          <w:szCs w:val="24"/>
        </w:rPr>
        <w:t>5</w:t>
      </w:r>
      <w:r>
        <w:rPr>
          <w:rFonts w:hint="eastAsia"/>
          <w:sz w:val="21"/>
          <w:szCs w:val="24"/>
        </w:rPr>
        <w:t>、其他原因的合并范围变动</w:t>
      </w:r>
    </w:p>
    <w:p>
      <w:pPr>
        <w:jc w:val="left"/>
        <w:rPr>
          <w:rFonts w:hint="default"/>
          <w:sz w:val="18"/>
          <w:szCs w:val="24"/>
        </w:rPr>
      </w:pPr>
      <w:r>
        <w:rPr>
          <w:rFonts w:hint="eastAsia"/>
          <w:sz w:val="18"/>
          <w:szCs w:val="24"/>
        </w:rPr>
        <w:t>说明其他原因导致的合并范围变动（如，新设子公司、清算子公司等）及其相关情况：</w:t>
      </w:r>
    </w:p>
    <w:p>
      <w:pPr>
        <w:pStyle w:val="8"/>
        <w:outlineLvl w:val="2"/>
        <w:rPr>
          <w:rFonts w:hint="default"/>
          <w:sz w:val="21"/>
          <w:szCs w:val="24"/>
        </w:rPr>
      </w:pPr>
      <w:r>
        <w:rPr>
          <w:rFonts w:hint="default"/>
          <w:sz w:val="21"/>
          <w:szCs w:val="24"/>
        </w:rPr>
        <w:t>6</w:t>
      </w:r>
      <w:r>
        <w:rPr>
          <w:rFonts w:hint="eastAsia"/>
          <w:sz w:val="21"/>
          <w:szCs w:val="24"/>
        </w:rPr>
        <w:t>、其他</w:t>
      </w:r>
    </w:p>
    <w:p>
      <w:pPr>
        <w:pStyle w:val="7"/>
        <w:outlineLvl w:val="1"/>
        <w:rPr>
          <w:rFonts w:hint="default"/>
          <w:sz w:val="24"/>
          <w:szCs w:val="24"/>
        </w:rPr>
      </w:pPr>
      <w:r>
        <w:rPr>
          <w:rFonts w:hint="eastAsia"/>
          <w:sz w:val="24"/>
          <w:szCs w:val="24"/>
        </w:rPr>
        <w:t>九、在其他主体中的权益</w:t>
      </w:r>
    </w:p>
    <w:p>
      <w:pPr>
        <w:pStyle w:val="8"/>
        <w:outlineLvl w:val="2"/>
        <w:rPr>
          <w:rFonts w:hint="default"/>
          <w:sz w:val="21"/>
          <w:szCs w:val="24"/>
        </w:rPr>
      </w:pPr>
      <w:r>
        <w:rPr>
          <w:rFonts w:hint="default"/>
          <w:sz w:val="21"/>
          <w:szCs w:val="24"/>
        </w:rPr>
        <w:t>1</w:t>
      </w:r>
      <w:r>
        <w:rPr>
          <w:rFonts w:hint="eastAsia"/>
          <w:sz w:val="21"/>
          <w:szCs w:val="24"/>
        </w:rPr>
        <w:t>、在子公司中的权益</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）企业集团的构成</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71"/>
        <w:gridCol w:w="1367"/>
        <w:gridCol w:w="1367"/>
        <w:gridCol w:w="1367"/>
        <w:gridCol w:w="1367"/>
        <w:gridCol w:w="1366"/>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子公司名称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主要经营地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注册地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业务性质</w:t>
            </w:r>
          </w:p>
        </w:tc>
        <w:tc>
          <w:tcPr>
            <w:tcW w:w="273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持股比例</w:t>
            </w:r>
          </w:p>
        </w:tc>
        <w:tc>
          <w:tcPr>
            <w:tcW w:w="13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取得方式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直接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间接</w:t>
            </w:r>
          </w:p>
        </w:tc>
        <w:tc>
          <w:tcPr>
            <w:tcW w:w="13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莱州伟隆阀门有限公司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莱州市沙河镇海郑村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莱州市沙河镇海郑村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同一控制下企业合并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青岛伟隆流体设备有限公司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青岛市高新技术产业开发区春阳路以北、华东路以西、科海路以南、华贯路以东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青岛市高新技术产业开发区春阳路以北、华东路以西、科海路以南、华贯路以东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青岛伟隆五金机械有限公司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中国（山东）自由贸易试验区青岛片区前湾保税港区北京路</w:t>
            </w:r>
            <w:r>
              <w:rPr>
                <w:rFonts w:hint="default"/>
                <w:sz w:val="18"/>
                <w:szCs w:val="24"/>
              </w:rPr>
              <w:t>45</w:t>
            </w:r>
            <w:r>
              <w:rPr>
                <w:rFonts w:hint="eastAsia"/>
                <w:sz w:val="18"/>
                <w:szCs w:val="24"/>
              </w:rPr>
              <w:t>号东办公楼一楼</w:t>
            </w:r>
            <w:r>
              <w:rPr>
                <w:rFonts w:hint="default"/>
                <w:sz w:val="18"/>
                <w:szCs w:val="24"/>
              </w:rPr>
              <w:t>-2244</w:t>
            </w:r>
            <w:r>
              <w:rPr>
                <w:rFonts w:hint="eastAsia"/>
                <w:sz w:val="18"/>
                <w:szCs w:val="24"/>
              </w:rPr>
              <w:t>（商务秘书公司托管地址）（</w:t>
            </w:r>
            <w:r>
              <w:rPr>
                <w:rFonts w:hint="default"/>
                <w:sz w:val="18"/>
                <w:szCs w:val="24"/>
              </w:rPr>
              <w:t>A</w:t>
            </w:r>
            <w:r>
              <w:rPr>
                <w:rFonts w:hint="eastAsia"/>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中国（山东）自由贸易试验区青岛片区前湾保税港区北京路</w:t>
            </w:r>
            <w:r>
              <w:rPr>
                <w:rFonts w:hint="default"/>
                <w:sz w:val="18"/>
                <w:szCs w:val="24"/>
              </w:rPr>
              <w:t>45</w:t>
            </w:r>
            <w:r>
              <w:rPr>
                <w:rFonts w:hint="eastAsia"/>
                <w:sz w:val="18"/>
                <w:szCs w:val="24"/>
              </w:rPr>
              <w:t>号东办公楼一楼</w:t>
            </w:r>
            <w:r>
              <w:rPr>
                <w:rFonts w:hint="default"/>
                <w:sz w:val="18"/>
                <w:szCs w:val="24"/>
              </w:rPr>
              <w:t>-2244</w:t>
            </w:r>
            <w:r>
              <w:rPr>
                <w:rFonts w:hint="eastAsia"/>
                <w:sz w:val="18"/>
                <w:szCs w:val="24"/>
              </w:rPr>
              <w:t>（商务秘书公司托管地址）（</w:t>
            </w:r>
            <w:r>
              <w:rPr>
                <w:rFonts w:hint="default"/>
                <w:sz w:val="18"/>
                <w:szCs w:val="24"/>
              </w:rPr>
              <w:t>A</w:t>
            </w:r>
            <w:r>
              <w:rPr>
                <w:rFonts w:hint="eastAsia"/>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Weflo Valve Company Limited</w:t>
            </w:r>
            <w:r>
              <w:rPr>
                <w:rFonts w:hint="eastAsia"/>
                <w:sz w:val="18"/>
                <w:szCs w:val="24"/>
              </w:rPr>
              <w:t>（英国公司）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英国伦敦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英国伦敦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同一控制下企业合并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青岛即聚机电有限责任公司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山东省青岛市即墨区蓝村镇兴和路</w:t>
            </w:r>
            <w:r>
              <w:rPr>
                <w:rFonts w:hint="default"/>
                <w:sz w:val="18"/>
                <w:szCs w:val="24"/>
              </w:rPr>
              <w:t>45</w:t>
            </w:r>
            <w:r>
              <w:rPr>
                <w:rFonts w:hint="eastAsia"/>
                <w:sz w:val="18"/>
                <w:szCs w:val="24"/>
              </w:rPr>
              <w:t>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山东省青岛市即墨区蓝村镇兴和路</w:t>
            </w:r>
            <w:r>
              <w:rPr>
                <w:rFonts w:hint="default"/>
                <w:sz w:val="18"/>
                <w:szCs w:val="24"/>
              </w:rPr>
              <w:t>45</w:t>
            </w:r>
            <w:r>
              <w:rPr>
                <w:rFonts w:hint="eastAsia"/>
                <w:sz w:val="18"/>
                <w:szCs w:val="24"/>
              </w:rPr>
              <w:t>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青岛卓信检测技术有限责任公司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山东省青岛市高新区华贯路以东、华东路以西、科海路以南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山东省青岛市高新区华贯路以东、华东路以西、科海路以南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偉隆（香港）實業有限公司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香港九龙尖沙咀东部科学馆道</w:t>
            </w:r>
            <w:r>
              <w:rPr>
                <w:rFonts w:hint="default"/>
                <w:sz w:val="18"/>
                <w:szCs w:val="24"/>
              </w:rPr>
              <w:t>14</w:t>
            </w:r>
            <w:r>
              <w:rPr>
                <w:rFonts w:hint="eastAsia"/>
                <w:sz w:val="18"/>
                <w:szCs w:val="24"/>
              </w:rPr>
              <w:t>号新文华中心</w:t>
            </w:r>
            <w:r>
              <w:rPr>
                <w:rFonts w:hint="default"/>
                <w:sz w:val="18"/>
                <w:szCs w:val="24"/>
              </w:rPr>
              <w:t>A</w:t>
            </w:r>
            <w:r>
              <w:rPr>
                <w:rFonts w:hint="eastAsia"/>
                <w:sz w:val="18"/>
                <w:szCs w:val="24"/>
              </w:rPr>
              <w:t>座</w:t>
            </w:r>
            <w:r>
              <w:rPr>
                <w:rFonts w:hint="default"/>
                <w:sz w:val="18"/>
                <w:szCs w:val="24"/>
              </w:rPr>
              <w:t>10</w:t>
            </w:r>
            <w:r>
              <w:rPr>
                <w:rFonts w:hint="eastAsia"/>
                <w:sz w:val="18"/>
                <w:szCs w:val="24"/>
              </w:rPr>
              <w:t>楼</w:t>
            </w:r>
            <w:r>
              <w:rPr>
                <w:rFonts w:hint="default"/>
                <w:sz w:val="18"/>
                <w:szCs w:val="24"/>
              </w:rPr>
              <w:t>1015</w:t>
            </w:r>
            <w:r>
              <w:rPr>
                <w:rFonts w:hint="eastAsia"/>
                <w:sz w:val="18"/>
                <w:szCs w:val="24"/>
              </w:rPr>
              <w:t>室</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香港九龙尖沙咀东部科学馆道</w:t>
            </w:r>
            <w:r>
              <w:rPr>
                <w:rFonts w:hint="default"/>
                <w:sz w:val="18"/>
                <w:szCs w:val="24"/>
              </w:rPr>
              <w:t>14</w:t>
            </w:r>
            <w:r>
              <w:rPr>
                <w:rFonts w:hint="eastAsia"/>
                <w:sz w:val="18"/>
                <w:szCs w:val="24"/>
              </w:rPr>
              <w:t>号新文华中心</w:t>
            </w:r>
            <w:r>
              <w:rPr>
                <w:rFonts w:hint="default"/>
                <w:sz w:val="18"/>
                <w:szCs w:val="24"/>
              </w:rPr>
              <w:t>A</w:t>
            </w:r>
            <w:r>
              <w:rPr>
                <w:rFonts w:hint="eastAsia"/>
                <w:sz w:val="18"/>
                <w:szCs w:val="24"/>
              </w:rPr>
              <w:t>座</w:t>
            </w:r>
            <w:r>
              <w:rPr>
                <w:rFonts w:hint="default"/>
                <w:sz w:val="18"/>
                <w:szCs w:val="24"/>
              </w:rPr>
              <w:t>10</w:t>
            </w:r>
            <w:r>
              <w:rPr>
                <w:rFonts w:hint="eastAsia"/>
                <w:sz w:val="18"/>
                <w:szCs w:val="24"/>
              </w:rPr>
              <w:t>楼</w:t>
            </w:r>
            <w:r>
              <w:rPr>
                <w:rFonts w:hint="default"/>
                <w:sz w:val="18"/>
                <w:szCs w:val="24"/>
              </w:rPr>
              <w:t>1015</w:t>
            </w:r>
            <w:r>
              <w:rPr>
                <w:rFonts w:hint="eastAsia"/>
                <w:sz w:val="18"/>
                <w:szCs w:val="24"/>
              </w:rPr>
              <w:t>室</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WEFLO VALVE LLC</w:t>
            </w:r>
            <w:r>
              <w:rPr>
                <w:rFonts w:hint="eastAsia"/>
                <w:sz w:val="18"/>
                <w:szCs w:val="24"/>
              </w:rPr>
              <w:t>（美国公司）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16192 coastal Highway,Lewes</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16192 coastal Highway,Lewes</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设立</w:t>
            </w:r>
          </w:p>
        </w:tc>
      </w:tr>
    </w:tbl>
    <w:p>
      <w:pPr>
        <w:jc w:val="left"/>
        <w:rPr>
          <w:rFonts w:hint="default"/>
          <w:sz w:val="18"/>
          <w:szCs w:val="24"/>
        </w:rPr>
      </w:pPr>
      <w:r>
        <w:rPr>
          <w:rFonts w:hint="eastAsia"/>
          <w:sz w:val="18"/>
          <w:szCs w:val="24"/>
        </w:rPr>
        <w:t>在子公司的持股比例不同于表决权比例的说明：</w:t>
      </w:r>
    </w:p>
    <w:p>
      <w:pPr>
        <w:jc w:val="left"/>
        <w:rPr>
          <w:rFonts w:hint="default"/>
          <w:sz w:val="18"/>
          <w:szCs w:val="24"/>
        </w:rPr>
      </w:pPr>
      <w:r>
        <w:rPr>
          <w:rFonts w:hint="eastAsia"/>
          <w:sz w:val="18"/>
          <w:szCs w:val="24"/>
        </w:rPr>
        <w:t>持有半数或以下表决权但仍控制被投资单位、以及持有半数以上表决权但不控制被投资单位的依据：</w:t>
      </w:r>
    </w:p>
    <w:p>
      <w:pPr>
        <w:jc w:val="left"/>
        <w:rPr>
          <w:rFonts w:hint="default"/>
          <w:sz w:val="18"/>
          <w:szCs w:val="24"/>
        </w:rPr>
      </w:pPr>
      <w:r>
        <w:rPr>
          <w:rFonts w:hint="eastAsia"/>
          <w:sz w:val="18"/>
          <w:szCs w:val="24"/>
        </w:rPr>
        <w:t>对于纳入合并范围的重要的结构化主体，控制的依据：</w:t>
      </w:r>
    </w:p>
    <w:p>
      <w:pPr>
        <w:jc w:val="left"/>
        <w:rPr>
          <w:rFonts w:hint="default"/>
          <w:sz w:val="18"/>
          <w:szCs w:val="24"/>
        </w:rPr>
      </w:pPr>
      <w:r>
        <w:rPr>
          <w:rFonts w:hint="eastAsia"/>
          <w:sz w:val="18"/>
          <w:szCs w:val="24"/>
        </w:rPr>
        <w:t>确定公司是代理人还是委托人的依据：</w:t>
      </w:r>
    </w:p>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）重要的非全资子公司</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1914"/>
        <w:gridCol w:w="1914"/>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2" w:hRule="atLeast"/>
        </w:trPr>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子公司名称</w:t>
            </w:r>
          </w:p>
        </w:tc>
        <w:tc>
          <w:tcPr>
            <w:tcW w:w="19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少数股东持股比例</w:t>
            </w:r>
          </w:p>
        </w:tc>
        <w:tc>
          <w:tcPr>
            <w:tcW w:w="19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本期归属于少数股东的损益</w:t>
            </w:r>
          </w:p>
        </w:tc>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本期向少数股东宣告分派的股利</w:t>
            </w:r>
          </w:p>
        </w:tc>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期末少数股东权益余额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92" w:hRule="atLeast"/>
        </w:trPr>
        <w:tc>
          <w:tcPr>
            <w:tcW w:w="19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sz w:val="18"/>
                <w:szCs w:val="24"/>
              </w:rPr>
            </w:pPr>
          </w:p>
        </w:tc>
        <w:tc>
          <w:tcPr>
            <w:tcW w:w="19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sz w:val="18"/>
                <w:szCs w:val="24"/>
              </w:rPr>
            </w:pPr>
          </w:p>
        </w:tc>
        <w:tc>
          <w:tcPr>
            <w:tcW w:w="19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sz w:val="18"/>
                <w:szCs w:val="24"/>
              </w:rPr>
            </w:pPr>
          </w:p>
        </w:tc>
        <w:tc>
          <w:tcPr>
            <w:tcW w:w="19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sz w:val="18"/>
                <w:szCs w:val="24"/>
              </w:rPr>
            </w:pPr>
          </w:p>
        </w:tc>
        <w:tc>
          <w:tcPr>
            <w:tcW w:w="19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sz w:val="18"/>
                <w:szCs w:val="24"/>
              </w:rPr>
            </w:pPr>
          </w:p>
        </w:tc>
      </w:tr>
    </w:tbl>
    <w:p>
      <w:pPr>
        <w:jc w:val="left"/>
        <w:rPr>
          <w:rFonts w:hint="default"/>
          <w:sz w:val="18"/>
          <w:szCs w:val="24"/>
        </w:rPr>
      </w:pPr>
      <w:r>
        <w:rPr>
          <w:rFonts w:hint="eastAsia"/>
          <w:sz w:val="18"/>
          <w:szCs w:val="24"/>
        </w:rPr>
        <w:t>子公司少数股东的持股比例不同于表决权比例的说明：</w:t>
      </w:r>
    </w:p>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）重要非全资子公司的主要财务信息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736"/>
        <w:gridCol w:w="736"/>
        <w:gridCol w:w="736"/>
        <w:gridCol w:w="736"/>
        <w:gridCol w:w="736"/>
        <w:gridCol w:w="735"/>
        <w:gridCol w:w="735"/>
        <w:gridCol w:w="735"/>
        <w:gridCol w:w="735"/>
        <w:gridCol w:w="735"/>
        <w:gridCol w:w="737"/>
        <w:gridCol w:w="73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子公司名称</w:t>
            </w:r>
          </w:p>
        </w:tc>
        <w:tc>
          <w:tcPr>
            <w:tcW w:w="4414"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4414"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3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流动资产</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非流动资产</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资产合计</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流动负债</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非流动负债</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负债合计</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流动资产</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非流动资产</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资产合计</w:t>
            </w: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流动负债</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非流动负债</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负债合计</w:t>
            </w:r>
          </w:p>
        </w:tc>
      </w:tr>
    </w:tbl>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061"/>
        <w:gridCol w:w="1061"/>
        <w:gridCol w:w="1062"/>
        <w:gridCol w:w="1065"/>
        <w:gridCol w:w="1065"/>
        <w:gridCol w:w="1063"/>
        <w:gridCol w:w="1063"/>
        <w:gridCol w:w="1063"/>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子公司名称</w:t>
            </w:r>
          </w:p>
        </w:tc>
        <w:tc>
          <w:tcPr>
            <w:tcW w:w="4253"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4255"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06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营业收入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净利润</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综合收益总额</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经营活动现金流量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营业收入</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净利润</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综合收益总额</w:t>
            </w:r>
          </w:p>
        </w:tc>
        <w:tc>
          <w:tcPr>
            <w:tcW w:w="10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经营活动现金流量</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）使用企业集团资产和清偿企业集团债务的重大限制</w:t>
      </w:r>
    </w:p>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）向纳入合并财务报表范围的结构化主体提供的财务支持或其他支持</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w:t>
      </w:r>
      <w:r>
        <w:rPr>
          <w:rFonts w:hint="eastAsia"/>
          <w:sz w:val="21"/>
          <w:szCs w:val="24"/>
        </w:rPr>
        <w:t>、在子公司的所有者权益份额发生变化且仍控制子公司的交易</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）在子公司所有者权益份额发生变化的情况说明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）交易对于少数股东权益及归属于母公司所有者权益的影响</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w:t>
      </w:r>
      <w:r>
        <w:rPr>
          <w:rFonts w:hint="eastAsia"/>
          <w:sz w:val="21"/>
          <w:szCs w:val="24"/>
        </w:rPr>
        <w:t>、在合营安排或联营企业中的权益</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）重要的合营企业或联营企业</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71"/>
        <w:gridCol w:w="1367"/>
        <w:gridCol w:w="1367"/>
        <w:gridCol w:w="1367"/>
        <w:gridCol w:w="1367"/>
        <w:gridCol w:w="1366"/>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合营企业或联营企业名称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主要经营地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注册地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业务性质</w:t>
            </w:r>
          </w:p>
        </w:tc>
        <w:tc>
          <w:tcPr>
            <w:tcW w:w="273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持股比例</w:t>
            </w:r>
          </w:p>
        </w:tc>
        <w:tc>
          <w:tcPr>
            <w:tcW w:w="13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对合营企业或联营企业投资的会计处理方法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7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直接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间接</w:t>
            </w:r>
          </w:p>
        </w:tc>
        <w:tc>
          <w:tcPr>
            <w:tcW w:w="13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在合营企业或联营企业的持股比例不同于表决权比例的说明：</w:t>
      </w:r>
    </w:p>
    <w:p>
      <w:pPr>
        <w:jc w:val="left"/>
        <w:rPr>
          <w:rFonts w:hint="default"/>
          <w:sz w:val="18"/>
          <w:szCs w:val="24"/>
        </w:rPr>
      </w:pPr>
      <w:r>
        <w:rPr>
          <w:rFonts w:hint="eastAsia"/>
          <w:sz w:val="18"/>
          <w:szCs w:val="24"/>
        </w:rPr>
        <w:t>持有</w:t>
      </w:r>
      <w:r>
        <w:rPr>
          <w:rFonts w:hint="default"/>
          <w:sz w:val="18"/>
          <w:szCs w:val="24"/>
        </w:rPr>
        <w:t>20%</w:t>
      </w:r>
      <w:r>
        <w:rPr>
          <w:rFonts w:hint="eastAsia"/>
          <w:sz w:val="18"/>
          <w:szCs w:val="24"/>
        </w:rPr>
        <w:t>以下表决权但具有重大影响，或者持有</w:t>
      </w:r>
      <w:r>
        <w:rPr>
          <w:rFonts w:hint="default"/>
          <w:sz w:val="18"/>
          <w:szCs w:val="24"/>
        </w:rPr>
        <w:t>20%</w:t>
      </w:r>
      <w:r>
        <w:rPr>
          <w:rFonts w:hint="eastAsia"/>
          <w:sz w:val="18"/>
          <w:szCs w:val="24"/>
        </w:rPr>
        <w:t>或以上表决权但不具有重大影响的依据：</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）重要合营企业的主要财务信息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）重要联营企业的主要财务信息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）不重要的合营企业和联营企业的汇总财务信息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合营企业：</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下列各项按持股比例计算的合计数</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联营企业：</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下列各项按持股比例计算的合计数</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）合营企业或联营企业向本公司转移资金的能力存在重大限制的说明</w:t>
      </w:r>
    </w:p>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）合营企业或联营企业发生的超额亏损</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0"/>
        <w:gridCol w:w="2392"/>
        <w:gridCol w:w="2392"/>
        <w:gridCol w:w="2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合营企业或联营企业名称</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累积未确认前期累计的损失</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本期未确认的损失（或本期分享的净利润）</w:t>
            </w:r>
          </w:p>
        </w:tc>
        <w:tc>
          <w:tcPr>
            <w:tcW w:w="23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本期末累积未确认的损失</w:t>
            </w:r>
          </w:p>
        </w:tc>
      </w:tr>
    </w:tbl>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7</w:t>
      </w:r>
      <w:r>
        <w:rPr>
          <w:rFonts w:hint="eastAsia"/>
          <w:sz w:val="21"/>
          <w:szCs w:val="24"/>
        </w:rPr>
        <w:t>）与合营企业投资相关的未确认承诺</w:t>
      </w:r>
    </w:p>
    <w:p>
      <w:pPr>
        <w:pStyle w:val="8"/>
        <w:outlineLvl w:val="3"/>
        <w:rPr>
          <w:rFonts w:hint="default"/>
          <w:sz w:val="21"/>
          <w:szCs w:val="24"/>
        </w:rPr>
      </w:pPr>
      <w:r>
        <w:rPr>
          <w:rFonts w:hint="eastAsia"/>
          <w:sz w:val="21"/>
          <w:szCs w:val="24"/>
        </w:rPr>
        <w:t>（</w:t>
      </w:r>
      <w:r>
        <w:rPr>
          <w:rFonts w:hint="default"/>
          <w:sz w:val="21"/>
          <w:szCs w:val="24"/>
        </w:rPr>
        <w:t>8</w:t>
      </w:r>
      <w:r>
        <w:rPr>
          <w:rFonts w:hint="eastAsia"/>
          <w:sz w:val="21"/>
          <w:szCs w:val="24"/>
        </w:rPr>
        <w:t>）与合营企业或联营企业投资相关的或有负债</w:t>
      </w:r>
    </w:p>
    <w:p>
      <w:pPr>
        <w:pStyle w:val="8"/>
        <w:outlineLvl w:val="2"/>
        <w:rPr>
          <w:rFonts w:hint="default"/>
          <w:sz w:val="21"/>
          <w:szCs w:val="24"/>
        </w:rPr>
      </w:pPr>
      <w:r>
        <w:rPr>
          <w:rFonts w:hint="default"/>
          <w:sz w:val="21"/>
          <w:szCs w:val="24"/>
        </w:rPr>
        <w:t>4</w:t>
      </w:r>
      <w:r>
        <w:rPr>
          <w:rFonts w:hint="eastAsia"/>
          <w:sz w:val="21"/>
          <w:szCs w:val="24"/>
        </w:rPr>
        <w:t>、重要的共同经营</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7"/>
        <w:gridCol w:w="1594"/>
        <w:gridCol w:w="1594"/>
        <w:gridCol w:w="1594"/>
        <w:gridCol w:w="1594"/>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共同经营名称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主要经营地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注册地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业务性质</w:t>
            </w:r>
          </w:p>
        </w:tc>
        <w:tc>
          <w:tcPr>
            <w:tcW w:w="318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持股比例</w:t>
            </w:r>
            <w:r>
              <w:rPr>
                <w:rFonts w:hint="default"/>
                <w:sz w:val="18"/>
                <w:szCs w:val="24"/>
              </w:rPr>
              <w:t>/</w:t>
            </w:r>
            <w:r>
              <w:rPr>
                <w:rFonts w:hint="eastAsia"/>
                <w:sz w:val="18"/>
                <w:szCs w:val="24"/>
              </w:rPr>
              <w:t>享有的份额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直接</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间接</w:t>
            </w:r>
          </w:p>
        </w:tc>
      </w:tr>
    </w:tbl>
    <w:p>
      <w:pPr>
        <w:jc w:val="left"/>
        <w:rPr>
          <w:rFonts w:hint="default"/>
          <w:sz w:val="18"/>
          <w:szCs w:val="24"/>
        </w:rPr>
      </w:pPr>
      <w:r>
        <w:rPr>
          <w:rFonts w:hint="eastAsia"/>
          <w:sz w:val="18"/>
          <w:szCs w:val="24"/>
        </w:rPr>
        <w:t>在共同经营中的持股比例或享有的份额不同于表决权比例的说明：</w:t>
      </w:r>
    </w:p>
    <w:p>
      <w:pPr>
        <w:jc w:val="left"/>
        <w:rPr>
          <w:rFonts w:hint="default"/>
          <w:sz w:val="18"/>
          <w:szCs w:val="24"/>
        </w:rPr>
      </w:pPr>
      <w:r>
        <w:rPr>
          <w:rFonts w:hint="eastAsia"/>
          <w:sz w:val="18"/>
          <w:szCs w:val="24"/>
        </w:rPr>
        <w:t>共同经营为单独主体的，分类为共同经营的依据：</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5</w:t>
      </w:r>
      <w:r>
        <w:rPr>
          <w:rFonts w:hint="eastAsia"/>
          <w:sz w:val="21"/>
          <w:szCs w:val="24"/>
        </w:rPr>
        <w:t>、在未纳入合并财务报表范围的结构化主体中的权益</w:t>
      </w:r>
    </w:p>
    <w:p>
      <w:pPr>
        <w:jc w:val="left"/>
        <w:rPr>
          <w:rFonts w:hint="default"/>
          <w:sz w:val="18"/>
          <w:szCs w:val="24"/>
        </w:rPr>
      </w:pPr>
      <w:r>
        <w:rPr>
          <w:rFonts w:hint="eastAsia"/>
          <w:sz w:val="18"/>
          <w:szCs w:val="24"/>
        </w:rPr>
        <w:t>未纳入合并财务报表范围的结构化主体的相关说明：</w:t>
      </w:r>
    </w:p>
    <w:p>
      <w:pPr>
        <w:pStyle w:val="8"/>
        <w:outlineLvl w:val="2"/>
        <w:rPr>
          <w:rFonts w:hint="default"/>
          <w:sz w:val="21"/>
          <w:szCs w:val="24"/>
        </w:rPr>
      </w:pPr>
      <w:r>
        <w:rPr>
          <w:rFonts w:hint="default"/>
          <w:sz w:val="21"/>
          <w:szCs w:val="24"/>
        </w:rPr>
        <w:t>6</w:t>
      </w:r>
      <w:r>
        <w:rPr>
          <w:rFonts w:hint="eastAsia"/>
          <w:sz w:val="21"/>
          <w:szCs w:val="24"/>
        </w:rPr>
        <w:t>、其他</w:t>
      </w:r>
    </w:p>
    <w:p>
      <w:pPr>
        <w:pStyle w:val="7"/>
        <w:outlineLvl w:val="1"/>
        <w:rPr>
          <w:rFonts w:hint="default"/>
          <w:sz w:val="24"/>
          <w:szCs w:val="24"/>
        </w:rPr>
      </w:pPr>
      <w:r>
        <w:rPr>
          <w:rFonts w:hint="eastAsia"/>
          <w:sz w:val="24"/>
          <w:szCs w:val="24"/>
        </w:rPr>
        <w:t>十、与金融工具相关的风险</w:t>
      </w:r>
    </w:p>
    <w:p>
      <w:pPr>
        <w:autoSpaceDE w:val="0"/>
        <w:autoSpaceDN w:val="0"/>
        <w:adjustRightInd w:val="0"/>
        <w:spacing w:before="150" w:after="0"/>
        <w:ind w:firstLine="426"/>
        <w:rPr>
          <w:rFonts w:hint="default" w:eastAsia="Times New Roman"/>
          <w:kern w:val="0"/>
          <w:sz w:val="21"/>
          <w:szCs w:val="24"/>
          <w:lang w:val="zh-CN"/>
        </w:rPr>
      </w:pPr>
      <w:r>
        <w:rPr>
          <w:rFonts w:hint="eastAsia" w:ascii="宋体" w:hAnsi="宋体" w:cs="宋体"/>
          <w:kern w:val="0"/>
          <w:sz w:val="21"/>
          <w:szCs w:val="24"/>
          <w:lang w:val="zh-CN"/>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1</w:t>
      </w:r>
      <w:r>
        <w:rPr>
          <w:rFonts w:hint="eastAsia" w:ascii="宋体" w:hAnsi="宋体" w:cs="宋体"/>
          <w:b/>
          <w:kern w:val="0"/>
          <w:sz w:val="21"/>
          <w:szCs w:val="24"/>
          <w:lang w:val="zh-CN"/>
        </w:rPr>
        <w:t>、信用风险</w:t>
      </w:r>
    </w:p>
    <w:p>
      <w:pPr>
        <w:autoSpaceDE w:val="0"/>
        <w:autoSpaceDN w:val="0"/>
        <w:adjustRightInd w:val="0"/>
        <w:spacing w:before="0" w:after="0"/>
        <w:ind w:firstLine="426"/>
        <w:rPr>
          <w:rFonts w:hint="default" w:eastAsia="Times New Roman"/>
          <w:kern w:val="0"/>
          <w:sz w:val="21"/>
          <w:szCs w:val="24"/>
          <w:lang w:val="zh-CN"/>
        </w:rPr>
      </w:pPr>
      <w:r>
        <w:rPr>
          <w:rFonts w:hint="eastAsia" w:ascii="宋体" w:hAnsi="宋体" w:cs="宋体"/>
          <w:kern w:val="0"/>
          <w:sz w:val="21"/>
          <w:szCs w:val="24"/>
          <w:lang w:val="zh-CN"/>
        </w:rPr>
        <w:t>信用风险是指金融工具的一方不履行义务，造成另一方发生财务损失的风险。</w:t>
      </w:r>
    </w:p>
    <w:p>
      <w:pPr>
        <w:autoSpaceDE w:val="0"/>
        <w:autoSpaceDN w:val="0"/>
        <w:adjustRightInd w:val="0"/>
        <w:spacing w:before="0" w:after="0"/>
        <w:ind w:firstLine="426"/>
        <w:rPr>
          <w:rFonts w:hint="default" w:eastAsia="Times New Roman"/>
          <w:kern w:val="0"/>
          <w:sz w:val="21"/>
          <w:szCs w:val="24"/>
          <w:lang w:val="zh-CN"/>
        </w:rPr>
      </w:pPr>
      <w:r>
        <w:rPr>
          <w:rFonts w:hint="eastAsia" w:ascii="宋体" w:hAnsi="宋体" w:cs="宋体"/>
          <w:kern w:val="0"/>
          <w:sz w:val="21"/>
          <w:szCs w:val="24"/>
          <w:lang w:val="zh-CN"/>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autoSpaceDE w:val="0"/>
        <w:autoSpaceDN w:val="0"/>
        <w:adjustRightInd w:val="0"/>
        <w:spacing w:before="0" w:after="0"/>
        <w:ind w:firstLine="426"/>
        <w:rPr>
          <w:rFonts w:hint="default" w:eastAsia="Times New Roman"/>
          <w:kern w:val="0"/>
          <w:sz w:val="21"/>
          <w:szCs w:val="24"/>
          <w:lang w:val="zh-CN"/>
        </w:rPr>
      </w:pPr>
      <w:r>
        <w:rPr>
          <w:rFonts w:hint="eastAsia" w:ascii="宋体" w:hAnsi="宋体" w:cs="宋体"/>
          <w:kern w:val="0"/>
          <w:sz w:val="21"/>
          <w:szCs w:val="24"/>
          <w:lang w:val="zh-CN"/>
        </w:rPr>
        <w:t>本公司信用风险主要产生于银行存款、应收账款、其他应收款、应收票据等，这些金融资产的信用风险源自交易对手违约，最大风险敞口等于这些工具的账面金额。</w:t>
      </w:r>
    </w:p>
    <w:p>
      <w:pPr>
        <w:autoSpaceDE w:val="0"/>
        <w:autoSpaceDN w:val="0"/>
        <w:adjustRightInd w:val="0"/>
        <w:spacing w:before="0" w:after="0"/>
        <w:ind w:firstLine="436"/>
        <w:jc w:val="left"/>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）本公司的流动资金存放在信用评级较高的银行，故流动资金的信用风险较低。</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）资产负债表日，公司按会计政策计提了坏账准备。</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2</w:t>
      </w:r>
      <w:r>
        <w:rPr>
          <w:rFonts w:hint="eastAsia" w:ascii="宋体" w:hAnsi="宋体" w:cs="宋体"/>
          <w:b/>
          <w:kern w:val="0"/>
          <w:sz w:val="21"/>
          <w:szCs w:val="24"/>
          <w:lang w:val="zh-CN"/>
        </w:rPr>
        <w:t>、市场风险</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金融工具的市场风险，是指金融工具的公允价值或未来现金流量因市场价格变动而发生波动的风险，包括外汇风险、利率风险和其他价格风险。</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1</w:t>
      </w:r>
      <w:r>
        <w:rPr>
          <w:rFonts w:hint="eastAsia" w:ascii="宋体" w:hAnsi="宋体" w:cs="宋体"/>
          <w:kern w:val="0"/>
          <w:sz w:val="21"/>
          <w:szCs w:val="24"/>
          <w:lang w:val="zh-CN"/>
        </w:rPr>
        <w:t>）外汇风险</w:t>
      </w:r>
    </w:p>
    <w:p>
      <w:pPr>
        <w:autoSpaceDE w:val="0"/>
        <w:autoSpaceDN w:val="0"/>
        <w:adjustRightInd w:val="0"/>
        <w:spacing w:before="0" w:after="0"/>
        <w:ind w:firstLine="398"/>
        <w:rPr>
          <w:rFonts w:hint="default" w:eastAsia="Times New Roman"/>
          <w:kern w:val="0"/>
          <w:sz w:val="21"/>
          <w:szCs w:val="24"/>
          <w:lang w:val="zh-CN"/>
        </w:rPr>
      </w:pPr>
      <w:r>
        <w:rPr>
          <w:rFonts w:hint="eastAsia" w:ascii="宋体" w:hAnsi="宋体" w:cs="宋体"/>
          <w:kern w:val="0"/>
          <w:sz w:val="21"/>
          <w:szCs w:val="24"/>
          <w:lang w:val="zh-CN"/>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Style w:val="5"/>
        <w:tblW w:w="0" w:type="auto"/>
        <w:tblInd w:w="10" w:type="dxa"/>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Layout w:type="fixed"/>
        <w:tblCellMar>
          <w:top w:w="10" w:type="dxa"/>
          <w:left w:w="10" w:type="dxa"/>
          <w:bottom w:w="10" w:type="dxa"/>
          <w:right w:w="10" w:type="dxa"/>
        </w:tblCellMar>
      </w:tblPr>
      <w:tblGrid>
        <w:gridCol w:w="2151"/>
        <w:gridCol w:w="2260"/>
        <w:gridCol w:w="1968"/>
        <w:gridCol w:w="2552"/>
      </w:tblGrid>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项</w:t>
            </w:r>
            <w:r>
              <w:rPr>
                <w:rFonts w:hint="default" w:eastAsia="Times New Roman"/>
                <w:b/>
                <w:kern w:val="0"/>
                <w:sz w:val="18"/>
                <w:szCs w:val="24"/>
                <w:lang w:val="zh-CN"/>
              </w:rPr>
              <w:t xml:space="preserve">  </w:t>
            </w:r>
            <w:r>
              <w:rPr>
                <w:rFonts w:hint="eastAsia" w:ascii="宋体" w:hAnsi="宋体" w:cs="宋体"/>
                <w:b/>
                <w:kern w:val="0"/>
                <w:sz w:val="18"/>
                <w:szCs w:val="24"/>
                <w:lang w:val="zh-CN"/>
              </w:rPr>
              <w:t>目</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期末外币余额</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折算汇率</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center"/>
              <w:rPr>
                <w:rFonts w:hint="default" w:eastAsia="Times New Roman"/>
                <w:b/>
                <w:kern w:val="0"/>
                <w:sz w:val="18"/>
                <w:szCs w:val="24"/>
                <w:lang w:val="zh-CN"/>
              </w:rPr>
            </w:pPr>
            <w:r>
              <w:rPr>
                <w:rFonts w:hint="eastAsia" w:ascii="宋体" w:hAnsi="宋体" w:cs="宋体"/>
                <w:b/>
                <w:kern w:val="0"/>
                <w:sz w:val="18"/>
                <w:szCs w:val="24"/>
                <w:lang w:val="zh-CN"/>
              </w:rPr>
              <w:t>期末折算人民币余额</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b/>
                <w:kern w:val="0"/>
                <w:sz w:val="18"/>
                <w:szCs w:val="24"/>
                <w:lang w:val="zh-CN"/>
              </w:rPr>
            </w:pPr>
            <w:r>
              <w:rPr>
                <w:rFonts w:hint="eastAsia" w:ascii="宋体" w:hAnsi="宋体" w:cs="宋体"/>
                <w:b/>
                <w:kern w:val="0"/>
                <w:sz w:val="18"/>
                <w:szCs w:val="24"/>
                <w:lang w:val="zh-CN"/>
              </w:rPr>
              <w:t>货币资金</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b/>
                <w:kern w:val="0"/>
                <w:sz w:val="18"/>
                <w:szCs w:val="24"/>
                <w:lang w:val="zh-CN"/>
              </w:rPr>
            </w:pPr>
            <w:r>
              <w:rPr>
                <w:rFonts w:hint="eastAsia" w:ascii="宋体" w:hAnsi="宋体" w:cs="宋体"/>
                <w:b/>
                <w:kern w:val="0"/>
                <w:sz w:val="18"/>
                <w:szCs w:val="24"/>
                <w:lang w:val="zh-CN"/>
              </w:rPr>
              <w:t>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149,996.71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6.5249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978,713.53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其中：英镑</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1,000,434.39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8.8903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8,894,161.86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b/>
                <w:kern w:val="0"/>
                <w:sz w:val="18"/>
                <w:szCs w:val="24"/>
                <w:lang w:val="zh-CN"/>
              </w:rPr>
            </w:pPr>
            <w:r>
              <w:rPr>
                <w:rFonts w:hint="eastAsia" w:ascii="宋体" w:hAnsi="宋体" w:cs="宋体"/>
                <w:kern w:val="0"/>
                <w:sz w:val="18"/>
                <w:szCs w:val="24"/>
                <w:lang w:val="zh-CN"/>
              </w:rPr>
              <w:t>其中：欧元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36,483.28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8.0250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292,778.32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b/>
                <w:kern w:val="0"/>
                <w:sz w:val="18"/>
                <w:szCs w:val="24"/>
                <w:lang w:val="zh-CN"/>
              </w:rPr>
            </w:pPr>
            <w:r>
              <w:rPr>
                <w:rFonts w:hint="eastAsia" w:ascii="宋体" w:hAnsi="宋体" w:cs="宋体"/>
                <w:b/>
                <w:kern w:val="0"/>
                <w:sz w:val="18"/>
                <w:szCs w:val="24"/>
                <w:lang w:val="zh-CN"/>
              </w:rPr>
              <w:t>应收账款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4,237,560.27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6.5249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27,649,657.01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b/>
                <w:kern w:val="0"/>
                <w:sz w:val="18"/>
                <w:szCs w:val="24"/>
                <w:lang w:val="zh-CN"/>
              </w:rPr>
            </w:pPr>
            <w:r>
              <w:rPr>
                <w:rFonts w:hint="eastAsia" w:ascii="宋体" w:hAnsi="宋体" w:cs="宋体"/>
                <w:b/>
                <w:kern w:val="0"/>
                <w:sz w:val="18"/>
                <w:szCs w:val="24"/>
                <w:lang w:val="zh-CN"/>
              </w:rPr>
              <w:t>应付账款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86,044.46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6.5249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561,431.50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其中：欧元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119,796.40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8.0250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961,366.11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rPr>
                <w:rFonts w:hint="default" w:eastAsia="Times New Roman"/>
                <w:kern w:val="0"/>
                <w:sz w:val="18"/>
                <w:szCs w:val="24"/>
                <w:lang w:val="zh-CN"/>
              </w:rPr>
            </w:pPr>
            <w:r>
              <w:rPr>
                <w:rFonts w:hint="eastAsia" w:ascii="宋体" w:hAnsi="宋体" w:cs="宋体"/>
                <w:kern w:val="0"/>
                <w:sz w:val="18"/>
                <w:szCs w:val="24"/>
                <w:lang w:val="zh-CN"/>
              </w:rPr>
              <w:t>其中：澳元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3,000.00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5.0163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15,048.90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left"/>
              <w:rPr>
                <w:rFonts w:hint="default" w:eastAsia="Times New Roman"/>
                <w:b/>
                <w:kern w:val="0"/>
                <w:sz w:val="18"/>
                <w:szCs w:val="24"/>
                <w:lang w:val="zh-CN"/>
              </w:rPr>
            </w:pPr>
            <w:r>
              <w:rPr>
                <w:rFonts w:hint="eastAsia" w:ascii="宋体" w:hAnsi="宋体" w:cs="宋体"/>
                <w:b/>
                <w:kern w:val="0"/>
                <w:sz w:val="18"/>
                <w:szCs w:val="24"/>
                <w:lang w:val="zh-CN"/>
              </w:rPr>
              <w:t>短期借款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eastAsia" w:ascii="宋体" w:hAnsi="宋体" w:cs="宋体"/>
                <w:kern w:val="0"/>
                <w:sz w:val="18"/>
                <w:szCs w:val="24"/>
                <w:lang w:val="zh-CN"/>
              </w:rPr>
              <w:t>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3,032,938.86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6.5249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after="0"/>
              <w:jc w:val="right"/>
              <w:rPr>
                <w:rFonts w:hint="default" w:eastAsia="Times New Roman"/>
                <w:kern w:val="0"/>
                <w:sz w:val="18"/>
                <w:szCs w:val="24"/>
                <w:lang w:val="zh-CN"/>
              </w:rPr>
            </w:pPr>
            <w:r>
              <w:rPr>
                <w:rFonts w:hint="default" w:eastAsia="Times New Roman"/>
                <w:kern w:val="0"/>
                <w:sz w:val="18"/>
                <w:szCs w:val="24"/>
                <w:lang w:val="zh-CN"/>
              </w:rPr>
              <w:t xml:space="preserve">19,789,622.77 </w:t>
            </w:r>
          </w:p>
        </w:tc>
      </w:tr>
    </w:tbl>
    <w:p>
      <w:pPr>
        <w:autoSpaceDE w:val="0"/>
        <w:autoSpaceDN w:val="0"/>
        <w:adjustRightInd w:val="0"/>
        <w:spacing w:before="150" w:after="0"/>
        <w:ind w:firstLine="426"/>
        <w:rPr>
          <w:rFonts w:hint="default" w:eastAsia="Times New Roman"/>
          <w:kern w:val="0"/>
          <w:sz w:val="21"/>
          <w:szCs w:val="24"/>
          <w:lang w:val="zh-CN"/>
        </w:rPr>
      </w:pPr>
      <w:r>
        <w:rPr>
          <w:rFonts w:hint="eastAsia" w:ascii="宋体" w:hAnsi="宋体" w:cs="宋体"/>
          <w:kern w:val="0"/>
          <w:sz w:val="21"/>
          <w:szCs w:val="24"/>
          <w:lang w:val="zh-CN"/>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w:t>
      </w:r>
      <w:r>
        <w:rPr>
          <w:rFonts w:hint="default" w:eastAsia="Times New Roman"/>
          <w:kern w:val="0"/>
          <w:sz w:val="21"/>
          <w:szCs w:val="24"/>
          <w:lang w:val="zh-CN"/>
        </w:rPr>
        <w:t>2</w:t>
      </w:r>
      <w:r>
        <w:rPr>
          <w:rFonts w:hint="eastAsia" w:ascii="宋体" w:hAnsi="宋体" w:cs="宋体"/>
          <w:kern w:val="0"/>
          <w:sz w:val="21"/>
          <w:szCs w:val="24"/>
          <w:lang w:val="zh-CN"/>
        </w:rPr>
        <w:t>）利率风险</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利率风险，是指金融工具的公允价值或未来现金流量因市场利率变动而发生波动的风险。本公司面临的利率风险主要来源于企业与银行及其他金融机构之间的往来业务。公司主要通过美元借款融资以降低利率风险。</w:t>
      </w:r>
    </w:p>
    <w:p>
      <w:pPr>
        <w:autoSpaceDE w:val="0"/>
        <w:autoSpaceDN w:val="0"/>
        <w:adjustRightInd w:val="0"/>
        <w:spacing w:before="0" w:after="0"/>
        <w:ind w:firstLine="436"/>
        <w:rPr>
          <w:rFonts w:hint="default" w:eastAsia="Times New Roman"/>
          <w:b/>
          <w:kern w:val="0"/>
          <w:sz w:val="21"/>
          <w:szCs w:val="24"/>
          <w:lang w:val="zh-CN"/>
        </w:rPr>
      </w:pPr>
      <w:r>
        <w:rPr>
          <w:rFonts w:hint="default" w:eastAsia="Times New Roman"/>
          <w:b/>
          <w:kern w:val="0"/>
          <w:sz w:val="21"/>
          <w:szCs w:val="24"/>
          <w:lang w:val="zh-CN"/>
        </w:rPr>
        <w:t>3</w:t>
      </w:r>
      <w:r>
        <w:rPr>
          <w:rFonts w:hint="eastAsia" w:ascii="宋体" w:hAnsi="宋体" w:cs="宋体"/>
          <w:b/>
          <w:kern w:val="0"/>
          <w:sz w:val="21"/>
          <w:szCs w:val="24"/>
          <w:lang w:val="zh-CN"/>
        </w:rPr>
        <w:t>、流动性风险</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pStyle w:val="7"/>
        <w:outlineLvl w:val="1"/>
        <w:rPr>
          <w:rFonts w:hint="default"/>
          <w:sz w:val="24"/>
          <w:szCs w:val="24"/>
        </w:rPr>
      </w:pPr>
      <w:r>
        <w:rPr>
          <w:rFonts w:hint="eastAsia"/>
          <w:sz w:val="24"/>
          <w:szCs w:val="24"/>
        </w:rPr>
        <w:t>十一、公允价值的披露</w:t>
      </w:r>
    </w:p>
    <w:p>
      <w:pPr>
        <w:pStyle w:val="8"/>
        <w:outlineLvl w:val="2"/>
        <w:rPr>
          <w:rFonts w:hint="default"/>
          <w:sz w:val="21"/>
          <w:szCs w:val="24"/>
        </w:rPr>
      </w:pPr>
      <w:r>
        <w:rPr>
          <w:rFonts w:hint="default"/>
          <w:sz w:val="21"/>
          <w:szCs w:val="24"/>
        </w:rPr>
        <w:t>1</w:t>
      </w:r>
      <w:r>
        <w:rPr>
          <w:rFonts w:hint="eastAsia"/>
          <w:sz w:val="21"/>
          <w:szCs w:val="24"/>
        </w:rPr>
        <w:t>、以公允价值计量的资产和负债的期末公允价值</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94"/>
        <w:gridCol w:w="1837"/>
        <w:gridCol w:w="1913"/>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757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期末公允价值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第一层次公允价值计量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第二层次公允价值计量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第三层次公允价值计量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一、持续的公允价值计量</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（一）交易性金融资产</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持续以公允价值计量的资产总额</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（六）交易性金融负债</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衍生金融负债</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（八）交易性金融资产</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w:t>
            </w:r>
            <w:r>
              <w:rPr>
                <w:rFonts w:hint="default"/>
                <w:sz w:val="18"/>
                <w:szCs w:val="24"/>
              </w:rPr>
              <w:t>1</w:t>
            </w:r>
            <w:r>
              <w:rPr>
                <w:rFonts w:hint="eastAsia"/>
                <w:sz w:val="18"/>
                <w:szCs w:val="24"/>
              </w:rPr>
              <w:t>）债务工具投资</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w:t>
            </w:r>
            <w:r>
              <w:rPr>
                <w:rFonts w:hint="default"/>
                <w:sz w:val="18"/>
                <w:szCs w:val="24"/>
              </w:rPr>
              <w:t>2</w:t>
            </w:r>
            <w:r>
              <w:rPr>
                <w:rFonts w:hint="eastAsia"/>
                <w:sz w:val="18"/>
                <w:szCs w:val="24"/>
              </w:rPr>
              <w:t>）权益工具投资</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w:t>
            </w:r>
            <w:r>
              <w:rPr>
                <w:rFonts w:hint="default"/>
                <w:sz w:val="18"/>
                <w:szCs w:val="24"/>
              </w:rPr>
              <w:t>3</w:t>
            </w:r>
            <w:r>
              <w:rPr>
                <w:rFonts w:hint="eastAsia"/>
                <w:sz w:val="18"/>
                <w:szCs w:val="24"/>
              </w:rPr>
              <w:t>）衍生金融资产</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w:t>
            </w:r>
            <w:r>
              <w:rPr>
                <w:rFonts w:hint="default"/>
                <w:sz w:val="18"/>
                <w:szCs w:val="24"/>
              </w:rPr>
              <w:t>4</w:t>
            </w:r>
            <w:r>
              <w:rPr>
                <w:rFonts w:hint="eastAsia"/>
                <w:sz w:val="18"/>
                <w:szCs w:val="24"/>
              </w:rPr>
              <w:t>）理财类产品</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326,928,799.03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持续以公允价值计量的负债总额</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二、非持续的公允价值计量</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pStyle w:val="8"/>
        <w:outlineLvl w:val="2"/>
        <w:rPr>
          <w:rFonts w:hint="default"/>
          <w:sz w:val="21"/>
          <w:szCs w:val="24"/>
        </w:rPr>
      </w:pPr>
      <w:r>
        <w:rPr>
          <w:rFonts w:hint="default"/>
          <w:sz w:val="21"/>
          <w:szCs w:val="24"/>
        </w:rPr>
        <w:t>2</w:t>
      </w:r>
      <w:r>
        <w:rPr>
          <w:rFonts w:hint="eastAsia"/>
          <w:sz w:val="21"/>
          <w:szCs w:val="24"/>
        </w:rPr>
        <w:t>、持续和非持续第一层次公允价值计量项目市价的确定依据</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相同资产或负债在活跃市场上未经调整的报价。</w:t>
      </w:r>
    </w:p>
    <w:p>
      <w:pPr>
        <w:pStyle w:val="8"/>
        <w:outlineLvl w:val="2"/>
        <w:rPr>
          <w:rFonts w:hint="default"/>
          <w:sz w:val="21"/>
          <w:szCs w:val="24"/>
        </w:rPr>
      </w:pPr>
      <w:r>
        <w:rPr>
          <w:rFonts w:hint="default"/>
          <w:sz w:val="21"/>
          <w:szCs w:val="24"/>
        </w:rPr>
        <w:t>3</w:t>
      </w:r>
      <w:r>
        <w:rPr>
          <w:rFonts w:hint="eastAsia"/>
          <w:sz w:val="21"/>
          <w:szCs w:val="24"/>
        </w:rPr>
        <w:t>、持续和非持续第二层次公允价值计量项目，采用的估值技术和重要参数的定性及定量信息</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除第一层次输入值外相关资产或负债直接或间接可观察的输入值。</w:t>
      </w:r>
      <w:r>
        <w:rPr>
          <w:rFonts w:hint="default" w:eastAsia="Times New Roman"/>
          <w:kern w:val="0"/>
          <w:sz w:val="21"/>
          <w:szCs w:val="24"/>
          <w:lang w:val="zh-CN"/>
        </w:rPr>
        <w:t xml:space="preserve"> </w:t>
      </w:r>
    </w:p>
    <w:p>
      <w:pPr>
        <w:pStyle w:val="8"/>
        <w:outlineLvl w:val="2"/>
        <w:rPr>
          <w:rFonts w:hint="default"/>
          <w:sz w:val="21"/>
          <w:szCs w:val="24"/>
        </w:rPr>
      </w:pPr>
      <w:r>
        <w:rPr>
          <w:rFonts w:hint="default"/>
          <w:sz w:val="21"/>
          <w:szCs w:val="24"/>
        </w:rPr>
        <w:t>4</w:t>
      </w:r>
      <w:r>
        <w:rPr>
          <w:rFonts w:hint="eastAsia"/>
          <w:sz w:val="21"/>
          <w:szCs w:val="24"/>
        </w:rPr>
        <w:t>、持续和非持续第三层次公允价值计量项目，采用的估值技术和重要参数的定性及定量信息</w:t>
      </w:r>
    </w:p>
    <w:p>
      <w:pPr>
        <w:autoSpaceDE w:val="0"/>
        <w:autoSpaceDN w:val="0"/>
        <w:adjustRightInd w:val="0"/>
        <w:spacing w:before="150" w:after="0"/>
        <w:ind w:firstLine="436"/>
        <w:rPr>
          <w:rFonts w:hint="default" w:eastAsia="Times New Roman"/>
          <w:kern w:val="0"/>
          <w:sz w:val="21"/>
          <w:szCs w:val="24"/>
          <w:lang w:val="zh-CN"/>
        </w:rPr>
      </w:pPr>
      <w:r>
        <w:rPr>
          <w:rFonts w:hint="eastAsia" w:ascii="宋体" w:hAnsi="宋体" w:cs="宋体"/>
          <w:kern w:val="0"/>
          <w:sz w:val="21"/>
          <w:szCs w:val="24"/>
          <w:lang w:val="zh-CN"/>
        </w:rPr>
        <w:t>相关资产或负债的不可观察输入值。采用第三层次公允价值计量的资产系公司持有的非交易性权益工具投资，其期末公允价值以被投资单位的期末净资产作为重要依据。</w:t>
      </w:r>
    </w:p>
    <w:p>
      <w:pPr>
        <w:pStyle w:val="8"/>
        <w:outlineLvl w:val="2"/>
        <w:rPr>
          <w:rFonts w:hint="default"/>
          <w:sz w:val="21"/>
          <w:szCs w:val="24"/>
        </w:rPr>
      </w:pPr>
      <w:r>
        <w:rPr>
          <w:rFonts w:hint="default"/>
          <w:sz w:val="21"/>
          <w:szCs w:val="24"/>
        </w:rPr>
        <w:t>5</w:t>
      </w:r>
      <w:r>
        <w:rPr>
          <w:rFonts w:hint="eastAsia"/>
          <w:sz w:val="21"/>
          <w:szCs w:val="24"/>
        </w:rPr>
        <w:t>、持续的第三层次公允价值计量项目，期初与期末账面价值间的调节信息及不可观察参数敏感性分析</w:t>
      </w:r>
    </w:p>
    <w:p>
      <w:pPr>
        <w:pStyle w:val="8"/>
        <w:outlineLvl w:val="2"/>
        <w:rPr>
          <w:rFonts w:hint="default"/>
          <w:sz w:val="21"/>
          <w:szCs w:val="24"/>
        </w:rPr>
      </w:pPr>
      <w:r>
        <w:rPr>
          <w:rFonts w:hint="default"/>
          <w:sz w:val="21"/>
          <w:szCs w:val="24"/>
        </w:rPr>
        <w:t>6</w:t>
      </w:r>
      <w:r>
        <w:rPr>
          <w:rFonts w:hint="eastAsia"/>
          <w:sz w:val="21"/>
          <w:szCs w:val="24"/>
        </w:rPr>
        <w:t>、持续的公允价值计量项目，本期内发生各层级之间转换的，转换的原因及确定转换时点的政策</w:t>
      </w:r>
    </w:p>
    <w:p>
      <w:pPr>
        <w:pStyle w:val="8"/>
        <w:outlineLvl w:val="2"/>
        <w:rPr>
          <w:rFonts w:hint="default"/>
          <w:sz w:val="21"/>
          <w:szCs w:val="24"/>
        </w:rPr>
      </w:pPr>
      <w:r>
        <w:rPr>
          <w:rFonts w:hint="default"/>
          <w:sz w:val="21"/>
          <w:szCs w:val="24"/>
        </w:rPr>
        <w:t>7</w:t>
      </w:r>
      <w:r>
        <w:rPr>
          <w:rFonts w:hint="eastAsia"/>
          <w:sz w:val="21"/>
          <w:szCs w:val="24"/>
        </w:rPr>
        <w:t>、本期内发生的估值技术变更及变更原因</w:t>
      </w:r>
    </w:p>
    <w:p>
      <w:pPr>
        <w:pStyle w:val="8"/>
        <w:outlineLvl w:val="2"/>
        <w:rPr>
          <w:rFonts w:hint="default"/>
          <w:sz w:val="21"/>
          <w:szCs w:val="24"/>
        </w:rPr>
      </w:pPr>
      <w:r>
        <w:rPr>
          <w:rFonts w:hint="default"/>
          <w:sz w:val="21"/>
          <w:szCs w:val="24"/>
        </w:rPr>
        <w:t>8</w:t>
      </w:r>
      <w:r>
        <w:rPr>
          <w:rFonts w:hint="eastAsia"/>
          <w:sz w:val="21"/>
          <w:szCs w:val="24"/>
        </w:rPr>
        <w:t>、不以公允价值计量的金融资产和金融负债的公允价值情况</w:t>
      </w:r>
    </w:p>
    <w:p>
      <w:pPr>
        <w:pStyle w:val="8"/>
        <w:outlineLvl w:val="2"/>
        <w:rPr>
          <w:rFonts w:hint="default"/>
          <w:sz w:val="21"/>
          <w:szCs w:val="24"/>
        </w:rPr>
      </w:pPr>
      <w:r>
        <w:rPr>
          <w:rFonts w:hint="default"/>
          <w:sz w:val="21"/>
          <w:szCs w:val="24"/>
        </w:rPr>
        <w:t>9</w:t>
      </w:r>
      <w:r>
        <w:rPr>
          <w:rFonts w:hint="eastAsia"/>
          <w:sz w:val="21"/>
          <w:szCs w:val="24"/>
        </w:rPr>
        <w:t>、其他</w:t>
      </w:r>
    </w:p>
    <w:p>
      <w:pPr>
        <w:pStyle w:val="7"/>
        <w:outlineLvl w:val="1"/>
        <w:rPr>
          <w:rFonts w:hint="default"/>
          <w:sz w:val="24"/>
          <w:szCs w:val="24"/>
        </w:rPr>
      </w:pPr>
      <w:r>
        <w:rPr>
          <w:rFonts w:hint="eastAsia"/>
          <w:sz w:val="24"/>
          <w:szCs w:val="24"/>
        </w:rPr>
        <w:t>十二、关联方及关联交易</w:t>
      </w:r>
    </w:p>
    <w:p>
      <w:pPr>
        <w:pStyle w:val="8"/>
        <w:outlineLvl w:val="2"/>
        <w:rPr>
          <w:rFonts w:hint="default"/>
          <w:sz w:val="21"/>
          <w:szCs w:val="24"/>
        </w:rPr>
      </w:pPr>
      <w:r>
        <w:rPr>
          <w:rFonts w:hint="default"/>
          <w:sz w:val="21"/>
          <w:szCs w:val="24"/>
        </w:rPr>
        <w:t>1</w:t>
      </w:r>
      <w:r>
        <w:rPr>
          <w:rFonts w:hint="eastAsia"/>
          <w:sz w:val="21"/>
          <w:szCs w:val="24"/>
        </w:rPr>
        <w:t>、本企业的母公司情况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5"/>
        <w:gridCol w:w="1594"/>
        <w:gridCol w:w="1594"/>
        <w:gridCol w:w="1594"/>
        <w:gridCol w:w="1594"/>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母公司名称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注册地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业务性质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注册资本</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母公司对本企业的持股比例</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母公司对本企业的表决权比例</w:t>
            </w:r>
          </w:p>
        </w:tc>
      </w:tr>
    </w:tbl>
    <w:p>
      <w:pPr>
        <w:jc w:val="left"/>
        <w:rPr>
          <w:rFonts w:hint="default"/>
          <w:sz w:val="18"/>
          <w:szCs w:val="24"/>
        </w:rPr>
      </w:pPr>
      <w:r>
        <w:rPr>
          <w:rFonts w:hint="eastAsia"/>
          <w:sz w:val="18"/>
          <w:szCs w:val="24"/>
        </w:rPr>
        <w:t>本企业的母公司情况的说明</w:t>
      </w:r>
    </w:p>
    <w:p>
      <w:pPr>
        <w:jc w:val="left"/>
        <w:rPr>
          <w:rFonts w:hint="default"/>
          <w:sz w:val="18"/>
          <w:szCs w:val="24"/>
        </w:rPr>
      </w:pPr>
      <w:r>
        <w:rPr>
          <w:rFonts w:hint="eastAsia"/>
          <w:sz w:val="18"/>
          <w:szCs w:val="24"/>
        </w:rPr>
        <w:t>本企业最终控制方是。</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w:t>
      </w:r>
      <w:r>
        <w:rPr>
          <w:rFonts w:hint="eastAsia"/>
          <w:sz w:val="21"/>
          <w:szCs w:val="24"/>
        </w:rPr>
        <w:t>、本企业的子公司情况</w:t>
      </w:r>
    </w:p>
    <w:p>
      <w:pPr>
        <w:jc w:val="left"/>
        <w:rPr>
          <w:rFonts w:hint="default"/>
          <w:sz w:val="18"/>
          <w:szCs w:val="24"/>
        </w:rPr>
      </w:pPr>
      <w:r>
        <w:rPr>
          <w:rFonts w:hint="eastAsia"/>
          <w:sz w:val="18"/>
          <w:szCs w:val="24"/>
        </w:rPr>
        <w:t>本企业子公司的情况详见附注第十二节、九、</w:t>
      </w:r>
      <w:r>
        <w:rPr>
          <w:rFonts w:hint="default"/>
          <w:sz w:val="18"/>
          <w:szCs w:val="24"/>
        </w:rPr>
        <w:t>1</w:t>
      </w:r>
      <w:r>
        <w:rPr>
          <w:rFonts w:hint="eastAsia"/>
          <w:sz w:val="18"/>
          <w:szCs w:val="24"/>
        </w:rPr>
        <w:t>。</w:t>
      </w:r>
    </w:p>
    <w:p>
      <w:pPr>
        <w:pStyle w:val="8"/>
        <w:outlineLvl w:val="2"/>
        <w:rPr>
          <w:rFonts w:hint="default"/>
          <w:sz w:val="21"/>
          <w:szCs w:val="24"/>
        </w:rPr>
      </w:pPr>
      <w:r>
        <w:rPr>
          <w:rFonts w:hint="default"/>
          <w:sz w:val="21"/>
          <w:szCs w:val="24"/>
        </w:rPr>
        <w:t>3</w:t>
      </w:r>
      <w:r>
        <w:rPr>
          <w:rFonts w:hint="eastAsia"/>
          <w:sz w:val="21"/>
          <w:szCs w:val="24"/>
        </w:rPr>
        <w:t>、本企业合营和联营企业情况</w:t>
      </w:r>
    </w:p>
    <w:p>
      <w:pPr>
        <w:jc w:val="left"/>
        <w:rPr>
          <w:rFonts w:hint="default"/>
          <w:sz w:val="18"/>
          <w:szCs w:val="24"/>
        </w:rPr>
      </w:pPr>
      <w:r>
        <w:rPr>
          <w:rFonts w:hint="eastAsia"/>
          <w:sz w:val="18"/>
          <w:szCs w:val="24"/>
        </w:rPr>
        <w:t>本企业重要的合营或联营企业详见附注。</w:t>
      </w:r>
    </w:p>
    <w:p>
      <w:pPr>
        <w:jc w:val="left"/>
        <w:rPr>
          <w:rFonts w:hint="default"/>
          <w:sz w:val="18"/>
          <w:szCs w:val="24"/>
        </w:rPr>
      </w:pPr>
      <w:r>
        <w:rPr>
          <w:rFonts w:hint="eastAsia"/>
          <w:sz w:val="18"/>
          <w:szCs w:val="24"/>
        </w:rPr>
        <w:t>本期与本公司发生关联方交易，或前期与本公司发生关联方交易形成余额的其他合营或联营企业情况如下：</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合营或联营企业名称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与本企业关系</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4</w:t>
      </w:r>
      <w:r>
        <w:rPr>
          <w:rFonts w:hint="eastAsia"/>
          <w:sz w:val="21"/>
          <w:szCs w:val="24"/>
        </w:rPr>
        <w:t>、其他关联方情况</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其他关联方名称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其他关联方与本企业关系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范玉隆</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公司股东、实际控制人家族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江西惠隆企业管理有限公司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持有公司</w:t>
            </w:r>
            <w:r>
              <w:rPr>
                <w:rFonts w:hint="default"/>
                <w:sz w:val="18"/>
                <w:szCs w:val="24"/>
              </w:rPr>
              <w:t>5%</w:t>
            </w:r>
            <w:r>
              <w:rPr>
                <w:rFonts w:hint="eastAsia"/>
                <w:sz w:val="18"/>
                <w:szCs w:val="24"/>
              </w:rPr>
              <w:t>以上股份股东、实际控制人控制的公司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青岛天海峰商贸有限公司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公司高管迟娜娜配偶李侃控制的公司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兰州东林电梯设备有限公司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公司高管迟娜娜之兄迟克杰控制的公司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昌邑恒丽非织造布有限公司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董事及总经理李会君之兄李会贤担任董事的公司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兰州鑫驰商贸有限公司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董事迟娜娜之兄嫂金巧控制的公司</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5</w:t>
      </w:r>
      <w:r>
        <w:rPr>
          <w:rFonts w:hint="eastAsia"/>
          <w:sz w:val="21"/>
          <w:szCs w:val="24"/>
        </w:rPr>
        <w:t>、关联交易情况</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）购销商品、提供和接受劳务的关联交易</w:t>
      </w:r>
    </w:p>
    <w:p>
      <w:pPr>
        <w:jc w:val="left"/>
        <w:rPr>
          <w:rFonts w:hint="default"/>
          <w:sz w:val="18"/>
          <w:szCs w:val="24"/>
        </w:rPr>
      </w:pPr>
      <w:r>
        <w:rPr>
          <w:rFonts w:hint="eastAsia"/>
          <w:sz w:val="18"/>
          <w:szCs w:val="24"/>
        </w:rPr>
        <w:t>采购商品</w:t>
      </w:r>
      <w:r>
        <w:rPr>
          <w:rFonts w:hint="default"/>
          <w:sz w:val="18"/>
          <w:szCs w:val="24"/>
        </w:rPr>
        <w:t>/</w:t>
      </w:r>
      <w:r>
        <w:rPr>
          <w:rFonts w:hint="eastAsia"/>
          <w:sz w:val="18"/>
          <w:szCs w:val="24"/>
        </w:rPr>
        <w:t>接受劳务情况表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40"/>
        <w:gridCol w:w="1454"/>
        <w:gridCol w:w="1454"/>
        <w:gridCol w:w="1707"/>
        <w:gridCol w:w="1707"/>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4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关联方</w:t>
            </w:r>
          </w:p>
        </w:tc>
        <w:tc>
          <w:tcPr>
            <w:tcW w:w="1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关联交易内容</w:t>
            </w:r>
          </w:p>
        </w:tc>
        <w:tc>
          <w:tcPr>
            <w:tcW w:w="1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获批的交易额度</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是否超过交易额度</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出售商品</w:t>
      </w:r>
      <w:r>
        <w:rPr>
          <w:rFonts w:hint="default"/>
          <w:sz w:val="18"/>
          <w:szCs w:val="24"/>
        </w:rPr>
        <w:t>/</w:t>
      </w:r>
      <w:r>
        <w:rPr>
          <w:rFonts w:hint="eastAsia"/>
          <w:sz w:val="18"/>
          <w:szCs w:val="24"/>
        </w:rPr>
        <w:t>提供劳务情况表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7"/>
        <w:gridCol w:w="2259"/>
        <w:gridCol w:w="2259"/>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关联方</w:t>
            </w:r>
          </w:p>
        </w:tc>
        <w:tc>
          <w:tcPr>
            <w:tcW w:w="22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关联交易内容</w:t>
            </w:r>
          </w:p>
        </w:tc>
        <w:tc>
          <w:tcPr>
            <w:tcW w:w="22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26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jc w:val="left"/>
        <w:rPr>
          <w:rFonts w:hint="default"/>
          <w:sz w:val="18"/>
          <w:szCs w:val="24"/>
        </w:rPr>
      </w:pPr>
      <w:r>
        <w:rPr>
          <w:rFonts w:hint="eastAsia"/>
          <w:sz w:val="18"/>
          <w:szCs w:val="24"/>
        </w:rPr>
        <w:t>购销商品、提供和接受劳务的关联交易说明</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）关联受托管理</w:t>
      </w:r>
      <w:r>
        <w:rPr>
          <w:rFonts w:hint="default"/>
          <w:sz w:val="21"/>
          <w:szCs w:val="24"/>
        </w:rPr>
        <w:t>/</w:t>
      </w:r>
      <w:r>
        <w:rPr>
          <w:rFonts w:hint="eastAsia"/>
          <w:sz w:val="21"/>
          <w:szCs w:val="24"/>
        </w:rPr>
        <w:t>承包及委托管理</w:t>
      </w:r>
      <w:r>
        <w:rPr>
          <w:rFonts w:hint="default"/>
          <w:sz w:val="21"/>
          <w:szCs w:val="24"/>
        </w:rPr>
        <w:t>/</w:t>
      </w:r>
      <w:r>
        <w:rPr>
          <w:rFonts w:hint="eastAsia"/>
          <w:sz w:val="21"/>
          <w:szCs w:val="24"/>
        </w:rPr>
        <w:t>出包情况</w:t>
      </w:r>
    </w:p>
    <w:p>
      <w:pPr>
        <w:jc w:val="left"/>
        <w:rPr>
          <w:rFonts w:hint="default"/>
          <w:sz w:val="18"/>
          <w:szCs w:val="24"/>
        </w:rPr>
      </w:pPr>
      <w:r>
        <w:rPr>
          <w:rFonts w:hint="eastAsia"/>
          <w:sz w:val="18"/>
          <w:szCs w:val="24"/>
        </w:rPr>
        <w:t>本公司受托管理</w:t>
      </w:r>
      <w:r>
        <w:rPr>
          <w:rFonts w:hint="default"/>
          <w:sz w:val="18"/>
          <w:szCs w:val="24"/>
        </w:rPr>
        <w:t>/</w:t>
      </w:r>
      <w:r>
        <w:rPr>
          <w:rFonts w:hint="eastAsia"/>
          <w:sz w:val="18"/>
          <w:szCs w:val="24"/>
        </w:rPr>
        <w:t>承包情况表：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7"/>
        <w:gridCol w:w="1368"/>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委托方</w:t>
            </w:r>
            <w:r>
              <w:rPr>
                <w:rFonts w:hint="default"/>
                <w:sz w:val="18"/>
                <w:szCs w:val="24"/>
              </w:rPr>
              <w:t>/</w:t>
            </w:r>
            <w:r>
              <w:rPr>
                <w:rFonts w:hint="eastAsia"/>
                <w:sz w:val="18"/>
                <w:szCs w:val="24"/>
              </w:rPr>
              <w:t>出包方名称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受托方</w:t>
            </w:r>
            <w:r>
              <w:rPr>
                <w:rFonts w:hint="default"/>
                <w:sz w:val="18"/>
                <w:szCs w:val="24"/>
              </w:rPr>
              <w:t>/</w:t>
            </w:r>
            <w:r>
              <w:rPr>
                <w:rFonts w:hint="eastAsia"/>
                <w:sz w:val="18"/>
                <w:szCs w:val="24"/>
              </w:rPr>
              <w:t>承包方名称</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承包资产类型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承包起始日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承包终止日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托管收益</w:t>
            </w:r>
            <w:r>
              <w:rPr>
                <w:rFonts w:hint="default"/>
                <w:sz w:val="18"/>
                <w:szCs w:val="24"/>
              </w:rPr>
              <w:t>/</w:t>
            </w:r>
            <w:r>
              <w:rPr>
                <w:rFonts w:hint="eastAsia"/>
                <w:sz w:val="18"/>
                <w:szCs w:val="24"/>
              </w:rPr>
              <w:t>承包收益定价依据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本期确认的托管收益</w:t>
            </w:r>
            <w:r>
              <w:rPr>
                <w:rFonts w:hint="default"/>
                <w:sz w:val="18"/>
                <w:szCs w:val="24"/>
              </w:rPr>
              <w:t>/</w:t>
            </w:r>
            <w:r>
              <w:rPr>
                <w:rFonts w:hint="eastAsia"/>
                <w:sz w:val="18"/>
                <w:szCs w:val="24"/>
              </w:rPr>
              <w:t>承包收益</w:t>
            </w:r>
          </w:p>
        </w:tc>
      </w:tr>
    </w:tbl>
    <w:p>
      <w:pPr>
        <w:jc w:val="left"/>
        <w:rPr>
          <w:rFonts w:hint="default"/>
          <w:sz w:val="18"/>
          <w:szCs w:val="24"/>
        </w:rPr>
      </w:pPr>
      <w:r>
        <w:rPr>
          <w:rFonts w:hint="eastAsia"/>
          <w:sz w:val="18"/>
          <w:szCs w:val="24"/>
        </w:rPr>
        <w:t>关联托管</w:t>
      </w:r>
      <w:r>
        <w:rPr>
          <w:rFonts w:hint="default"/>
          <w:sz w:val="18"/>
          <w:szCs w:val="24"/>
        </w:rPr>
        <w:t>/</w:t>
      </w:r>
      <w:r>
        <w:rPr>
          <w:rFonts w:hint="eastAsia"/>
          <w:sz w:val="18"/>
          <w:szCs w:val="24"/>
        </w:rPr>
        <w:t>承包情况说明</w:t>
      </w:r>
    </w:p>
    <w:p>
      <w:pPr>
        <w:jc w:val="left"/>
        <w:rPr>
          <w:rFonts w:hint="default"/>
          <w:sz w:val="18"/>
          <w:szCs w:val="24"/>
        </w:rPr>
      </w:pPr>
      <w:r>
        <w:rPr>
          <w:rFonts w:hint="eastAsia"/>
          <w:sz w:val="18"/>
          <w:szCs w:val="24"/>
        </w:rPr>
        <w:t>本公司委托管理</w:t>
      </w:r>
      <w:r>
        <w:rPr>
          <w:rFonts w:hint="default"/>
          <w:sz w:val="18"/>
          <w:szCs w:val="24"/>
        </w:rPr>
        <w:t>/</w:t>
      </w:r>
      <w:r>
        <w:rPr>
          <w:rFonts w:hint="eastAsia"/>
          <w:sz w:val="18"/>
          <w:szCs w:val="24"/>
        </w:rPr>
        <w:t>出包情况表：</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7"/>
        <w:gridCol w:w="1368"/>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委托方</w:t>
            </w:r>
            <w:r>
              <w:rPr>
                <w:rFonts w:hint="default"/>
                <w:sz w:val="18"/>
                <w:szCs w:val="24"/>
              </w:rPr>
              <w:t>/</w:t>
            </w:r>
            <w:r>
              <w:rPr>
                <w:rFonts w:hint="eastAsia"/>
                <w:sz w:val="18"/>
                <w:szCs w:val="24"/>
              </w:rPr>
              <w:t>出包方名称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受托方</w:t>
            </w:r>
            <w:r>
              <w:rPr>
                <w:rFonts w:hint="default"/>
                <w:sz w:val="18"/>
                <w:szCs w:val="24"/>
              </w:rPr>
              <w:t>/</w:t>
            </w:r>
            <w:r>
              <w:rPr>
                <w:rFonts w:hint="eastAsia"/>
                <w:sz w:val="18"/>
                <w:szCs w:val="24"/>
              </w:rPr>
              <w:t>承包方名称</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出包资产类型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出包起始日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出包终止日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托管费</w:t>
            </w:r>
            <w:r>
              <w:rPr>
                <w:rFonts w:hint="default"/>
                <w:sz w:val="18"/>
                <w:szCs w:val="24"/>
              </w:rPr>
              <w:t>/</w:t>
            </w:r>
            <w:r>
              <w:rPr>
                <w:rFonts w:hint="eastAsia"/>
                <w:sz w:val="18"/>
                <w:szCs w:val="24"/>
              </w:rPr>
              <w:t>出包费定价依据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本期确认的托管费</w:t>
            </w:r>
            <w:r>
              <w:rPr>
                <w:rFonts w:hint="default"/>
                <w:sz w:val="18"/>
                <w:szCs w:val="24"/>
              </w:rPr>
              <w:t>/</w:t>
            </w:r>
            <w:r>
              <w:rPr>
                <w:rFonts w:hint="eastAsia"/>
                <w:sz w:val="18"/>
                <w:szCs w:val="24"/>
              </w:rPr>
              <w:t>出包费</w:t>
            </w:r>
          </w:p>
        </w:tc>
      </w:tr>
    </w:tbl>
    <w:p>
      <w:pPr>
        <w:jc w:val="left"/>
        <w:rPr>
          <w:rFonts w:hint="default"/>
          <w:sz w:val="18"/>
          <w:szCs w:val="24"/>
        </w:rPr>
      </w:pPr>
      <w:r>
        <w:rPr>
          <w:rFonts w:hint="eastAsia"/>
          <w:sz w:val="18"/>
          <w:szCs w:val="24"/>
        </w:rPr>
        <w:t>关联管理</w:t>
      </w:r>
      <w:r>
        <w:rPr>
          <w:rFonts w:hint="default"/>
          <w:sz w:val="18"/>
          <w:szCs w:val="24"/>
        </w:rPr>
        <w:t>/</w:t>
      </w:r>
      <w:r>
        <w:rPr>
          <w:rFonts w:hint="eastAsia"/>
          <w:sz w:val="18"/>
          <w:szCs w:val="24"/>
        </w:rPr>
        <w:t>出包情况说明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）关联租赁情况</w:t>
      </w:r>
    </w:p>
    <w:p>
      <w:pPr>
        <w:jc w:val="left"/>
        <w:rPr>
          <w:rFonts w:hint="default"/>
          <w:sz w:val="18"/>
          <w:szCs w:val="24"/>
        </w:rPr>
      </w:pPr>
      <w:r>
        <w:rPr>
          <w:rFonts w:hint="eastAsia"/>
          <w:sz w:val="18"/>
          <w:szCs w:val="24"/>
        </w:rPr>
        <w:t>本公司作为出租方：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88"/>
        <w:gridCol w:w="2394"/>
        <w:gridCol w:w="2393"/>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承租方名称</w:t>
            </w:r>
          </w:p>
        </w:tc>
        <w:tc>
          <w:tcPr>
            <w:tcW w:w="23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租赁资产种类</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本期确认的租赁收入</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上期确认的租赁收入</w:t>
            </w:r>
          </w:p>
        </w:tc>
      </w:tr>
    </w:tbl>
    <w:p>
      <w:pPr>
        <w:jc w:val="left"/>
        <w:rPr>
          <w:rFonts w:hint="default"/>
          <w:sz w:val="18"/>
          <w:szCs w:val="24"/>
        </w:rPr>
      </w:pPr>
      <w:r>
        <w:rPr>
          <w:rFonts w:hint="eastAsia"/>
          <w:sz w:val="18"/>
          <w:szCs w:val="24"/>
        </w:rPr>
        <w:t>本公司作为承租方：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出租方名称</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租赁资产种类</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本期确认的租赁费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上期确认的租赁费</w:t>
            </w:r>
          </w:p>
        </w:tc>
      </w:tr>
    </w:tbl>
    <w:p>
      <w:pPr>
        <w:jc w:val="left"/>
        <w:rPr>
          <w:rFonts w:hint="default"/>
          <w:sz w:val="18"/>
          <w:szCs w:val="24"/>
        </w:rPr>
      </w:pPr>
      <w:r>
        <w:rPr>
          <w:rFonts w:hint="eastAsia"/>
          <w:sz w:val="18"/>
          <w:szCs w:val="24"/>
        </w:rPr>
        <w:t>关联租赁情况说明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）关联担保情况</w:t>
      </w:r>
    </w:p>
    <w:p>
      <w:pPr>
        <w:jc w:val="left"/>
        <w:rPr>
          <w:rFonts w:hint="default"/>
          <w:sz w:val="18"/>
          <w:szCs w:val="24"/>
        </w:rPr>
      </w:pPr>
      <w:r>
        <w:rPr>
          <w:rFonts w:hint="eastAsia"/>
          <w:sz w:val="18"/>
          <w:szCs w:val="24"/>
        </w:rPr>
        <w:t>本公司作为担保方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被担保方</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担保是否已经履行完毕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1,120,692.90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07</w:t>
            </w:r>
            <w:r>
              <w:rPr>
                <w:rFonts w:hint="eastAsia"/>
                <w:sz w:val="18"/>
                <w:szCs w:val="24"/>
              </w:rPr>
              <w:t>月</w:t>
            </w:r>
            <w:r>
              <w:rPr>
                <w:rFonts w:hint="default"/>
                <w:sz w:val="18"/>
                <w:szCs w:val="24"/>
              </w:rPr>
              <w:t>05</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01</w:t>
            </w:r>
            <w:r>
              <w:rPr>
                <w:rFonts w:hint="eastAsia"/>
                <w:sz w:val="18"/>
                <w:szCs w:val="24"/>
              </w:rPr>
              <w:t>月</w:t>
            </w:r>
            <w:r>
              <w:rPr>
                <w:rFonts w:hint="default"/>
                <w:sz w:val="18"/>
                <w:szCs w:val="24"/>
              </w:rPr>
              <w:t>05</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4,008,404.51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07</w:t>
            </w:r>
            <w:r>
              <w:rPr>
                <w:rFonts w:hint="eastAsia"/>
                <w:sz w:val="18"/>
                <w:szCs w:val="24"/>
              </w:rPr>
              <w:t>月</w:t>
            </w:r>
            <w:r>
              <w:rPr>
                <w:rFonts w:hint="default"/>
                <w:sz w:val="18"/>
                <w:szCs w:val="24"/>
              </w:rPr>
              <w:t>16</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01</w:t>
            </w:r>
            <w:r>
              <w:rPr>
                <w:rFonts w:hint="eastAsia"/>
                <w:sz w:val="18"/>
                <w:szCs w:val="24"/>
              </w:rPr>
              <w:t>月</w:t>
            </w:r>
            <w:r>
              <w:rPr>
                <w:rFonts w:hint="default"/>
                <w:sz w:val="18"/>
                <w:szCs w:val="24"/>
              </w:rPr>
              <w:t>16</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722,671.13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08</w:t>
            </w:r>
            <w:r>
              <w:rPr>
                <w:rFonts w:hint="eastAsia"/>
                <w:sz w:val="18"/>
                <w:szCs w:val="24"/>
              </w:rPr>
              <w:t>月</w:t>
            </w:r>
            <w:r>
              <w:rPr>
                <w:rFonts w:hint="default"/>
                <w:sz w:val="18"/>
                <w:szCs w:val="24"/>
              </w:rPr>
              <w:t>08</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02</w:t>
            </w:r>
            <w:r>
              <w:rPr>
                <w:rFonts w:hint="eastAsia"/>
                <w:sz w:val="18"/>
                <w:szCs w:val="24"/>
              </w:rPr>
              <w:t>月</w:t>
            </w:r>
            <w:r>
              <w:rPr>
                <w:rFonts w:hint="default"/>
                <w:sz w:val="18"/>
                <w:szCs w:val="24"/>
              </w:rPr>
              <w:t>08</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2,988,361.00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08</w:t>
            </w:r>
            <w:r>
              <w:rPr>
                <w:rFonts w:hint="eastAsia"/>
                <w:sz w:val="18"/>
                <w:szCs w:val="24"/>
              </w:rPr>
              <w:t>月</w:t>
            </w:r>
            <w:r>
              <w:rPr>
                <w:rFonts w:hint="default"/>
                <w:sz w:val="18"/>
                <w:szCs w:val="24"/>
              </w:rPr>
              <w:t>22</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02</w:t>
            </w:r>
            <w:r>
              <w:rPr>
                <w:rFonts w:hint="eastAsia"/>
                <w:sz w:val="18"/>
                <w:szCs w:val="24"/>
              </w:rPr>
              <w:t>月</w:t>
            </w:r>
            <w:r>
              <w:rPr>
                <w:rFonts w:hint="default"/>
                <w:sz w:val="18"/>
                <w:szCs w:val="24"/>
              </w:rPr>
              <w:t>22</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4,597,064.68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09</w:t>
            </w:r>
            <w:r>
              <w:rPr>
                <w:rFonts w:hint="eastAsia"/>
                <w:sz w:val="18"/>
                <w:szCs w:val="24"/>
              </w:rPr>
              <w:t>月</w:t>
            </w:r>
            <w:r>
              <w:rPr>
                <w:rFonts w:hint="default"/>
                <w:sz w:val="18"/>
                <w:szCs w:val="24"/>
              </w:rPr>
              <w:t>11</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03</w:t>
            </w:r>
            <w:r>
              <w:rPr>
                <w:rFonts w:hint="eastAsia"/>
                <w:sz w:val="18"/>
                <w:szCs w:val="24"/>
              </w:rPr>
              <w:t>月</w:t>
            </w:r>
            <w:r>
              <w:rPr>
                <w:rFonts w:hint="default"/>
                <w:sz w:val="18"/>
                <w:szCs w:val="24"/>
              </w:rPr>
              <w:t>11</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982,020.50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09</w:t>
            </w:r>
            <w:r>
              <w:rPr>
                <w:rFonts w:hint="eastAsia"/>
                <w:sz w:val="18"/>
                <w:szCs w:val="24"/>
              </w:rPr>
              <w:t>月</w:t>
            </w:r>
            <w:r>
              <w:rPr>
                <w:rFonts w:hint="default"/>
                <w:sz w:val="18"/>
                <w:szCs w:val="24"/>
              </w:rPr>
              <w:t>29</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03</w:t>
            </w:r>
            <w:r>
              <w:rPr>
                <w:rFonts w:hint="eastAsia"/>
                <w:sz w:val="18"/>
                <w:szCs w:val="24"/>
              </w:rPr>
              <w:t>月</w:t>
            </w:r>
            <w:r>
              <w:rPr>
                <w:rFonts w:hint="default"/>
                <w:sz w:val="18"/>
                <w:szCs w:val="24"/>
              </w:rPr>
              <w:t>29</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1,227,300.00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10</w:t>
            </w:r>
            <w:r>
              <w:rPr>
                <w:rFonts w:hint="eastAsia"/>
                <w:sz w:val="18"/>
                <w:szCs w:val="24"/>
              </w:rPr>
              <w:t>月</w:t>
            </w:r>
            <w:r>
              <w:rPr>
                <w:rFonts w:hint="default"/>
                <w:sz w:val="18"/>
                <w:szCs w:val="24"/>
              </w:rPr>
              <w:t>12</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04</w:t>
            </w:r>
            <w:r>
              <w:rPr>
                <w:rFonts w:hint="eastAsia"/>
                <w:sz w:val="18"/>
                <w:szCs w:val="24"/>
              </w:rPr>
              <w:t>月</w:t>
            </w:r>
            <w:r>
              <w:rPr>
                <w:rFonts w:hint="default"/>
                <w:sz w:val="18"/>
                <w:szCs w:val="24"/>
              </w:rPr>
              <w:t>12</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2,450,532.48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10</w:t>
            </w:r>
            <w:r>
              <w:rPr>
                <w:rFonts w:hint="eastAsia"/>
                <w:sz w:val="18"/>
                <w:szCs w:val="24"/>
              </w:rPr>
              <w:t>月</w:t>
            </w:r>
            <w:r>
              <w:rPr>
                <w:rFonts w:hint="default"/>
                <w:sz w:val="18"/>
                <w:szCs w:val="24"/>
              </w:rPr>
              <w:t>22</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04</w:t>
            </w:r>
            <w:r>
              <w:rPr>
                <w:rFonts w:hint="eastAsia"/>
                <w:sz w:val="18"/>
                <w:szCs w:val="24"/>
              </w:rPr>
              <w:t>月</w:t>
            </w:r>
            <w:r>
              <w:rPr>
                <w:rFonts w:hint="default"/>
                <w:sz w:val="18"/>
                <w:szCs w:val="24"/>
              </w:rPr>
              <w:t>22</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3,505,766.26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11</w:t>
            </w:r>
            <w:r>
              <w:rPr>
                <w:rFonts w:hint="eastAsia"/>
                <w:sz w:val="18"/>
                <w:szCs w:val="24"/>
              </w:rPr>
              <w:t>月</w:t>
            </w:r>
            <w:r>
              <w:rPr>
                <w:rFonts w:hint="default"/>
                <w:sz w:val="18"/>
                <w:szCs w:val="24"/>
              </w:rPr>
              <w:t>11</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05</w:t>
            </w:r>
            <w:r>
              <w:rPr>
                <w:rFonts w:hint="eastAsia"/>
                <w:sz w:val="18"/>
                <w:szCs w:val="24"/>
              </w:rPr>
              <w:t>月</w:t>
            </w:r>
            <w:r>
              <w:rPr>
                <w:rFonts w:hint="default"/>
                <w:sz w:val="18"/>
                <w:szCs w:val="24"/>
              </w:rPr>
              <w:t>11</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2,999,153.00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11</w:t>
            </w:r>
            <w:r>
              <w:rPr>
                <w:rFonts w:hint="eastAsia"/>
                <w:sz w:val="18"/>
                <w:szCs w:val="24"/>
              </w:rPr>
              <w:t>月</w:t>
            </w:r>
            <w:r>
              <w:rPr>
                <w:rFonts w:hint="default"/>
                <w:sz w:val="18"/>
                <w:szCs w:val="24"/>
              </w:rPr>
              <w:t>22</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05</w:t>
            </w:r>
            <w:r>
              <w:rPr>
                <w:rFonts w:hint="eastAsia"/>
                <w:sz w:val="18"/>
                <w:szCs w:val="24"/>
              </w:rPr>
              <w:t>月</w:t>
            </w:r>
            <w:r>
              <w:rPr>
                <w:rFonts w:hint="default"/>
                <w:sz w:val="18"/>
                <w:szCs w:val="24"/>
              </w:rPr>
              <w:t>22</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范庆伟</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2,958.90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2019</w:t>
            </w:r>
            <w:r>
              <w:rPr>
                <w:rFonts w:hint="eastAsia"/>
                <w:sz w:val="18"/>
                <w:szCs w:val="24"/>
              </w:rPr>
              <w:t>年</w:t>
            </w:r>
            <w:r>
              <w:rPr>
                <w:rFonts w:hint="default"/>
                <w:sz w:val="18"/>
                <w:szCs w:val="24"/>
              </w:rPr>
              <w:t>05</w:t>
            </w:r>
            <w:r>
              <w:rPr>
                <w:rFonts w:hint="eastAsia"/>
                <w:sz w:val="18"/>
                <w:szCs w:val="24"/>
              </w:rPr>
              <w:t>月</w:t>
            </w:r>
            <w:r>
              <w:rPr>
                <w:rFonts w:hint="default"/>
                <w:sz w:val="18"/>
                <w:szCs w:val="24"/>
              </w:rPr>
              <w:t>17</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11</w:t>
            </w:r>
            <w:r>
              <w:rPr>
                <w:rFonts w:hint="eastAsia"/>
                <w:sz w:val="18"/>
                <w:szCs w:val="24"/>
              </w:rPr>
              <w:t>月</w:t>
            </w:r>
            <w:r>
              <w:rPr>
                <w:rFonts w:hint="default"/>
                <w:sz w:val="18"/>
                <w:szCs w:val="24"/>
              </w:rPr>
              <w:t>17</w:t>
            </w:r>
            <w:r>
              <w:rPr>
                <w:rFonts w:hint="eastAsia"/>
                <w:sz w:val="18"/>
                <w:szCs w:val="24"/>
              </w:rPr>
              <w:t>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是</w:t>
            </w:r>
          </w:p>
        </w:tc>
      </w:tr>
    </w:tbl>
    <w:p>
      <w:pPr>
        <w:jc w:val="left"/>
        <w:rPr>
          <w:rFonts w:hint="default"/>
          <w:sz w:val="18"/>
          <w:szCs w:val="24"/>
        </w:rPr>
      </w:pPr>
      <w:r>
        <w:rPr>
          <w:rFonts w:hint="eastAsia"/>
          <w:sz w:val="18"/>
          <w:szCs w:val="24"/>
        </w:rPr>
        <w:t>本公司作为被担保方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担保方</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担保是否已经履行完毕</w:t>
            </w:r>
          </w:p>
        </w:tc>
      </w:tr>
    </w:tbl>
    <w:p>
      <w:pPr>
        <w:jc w:val="left"/>
        <w:rPr>
          <w:rFonts w:hint="default"/>
          <w:sz w:val="18"/>
          <w:szCs w:val="24"/>
        </w:rPr>
      </w:pPr>
      <w:r>
        <w:rPr>
          <w:rFonts w:hint="eastAsia"/>
          <w:sz w:val="18"/>
          <w:szCs w:val="24"/>
        </w:rPr>
        <w:t>关联担保情况说明</w:t>
      </w:r>
    </w:p>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）关联方资金拆借</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3"/>
        <w:gridCol w:w="1914"/>
        <w:gridCol w:w="1915"/>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关联方</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拆借金额</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7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拆入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7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拆出</w:t>
            </w:r>
          </w:p>
        </w:tc>
      </w:tr>
    </w:tbl>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）关联方资产转让、债务重组情况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关联方</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关联交易内容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pStyle w:val="8"/>
        <w:outlineLvl w:val="3"/>
        <w:rPr>
          <w:rFonts w:hint="default"/>
          <w:sz w:val="21"/>
          <w:szCs w:val="24"/>
        </w:rPr>
      </w:pPr>
      <w:r>
        <w:rPr>
          <w:rFonts w:hint="eastAsia"/>
          <w:sz w:val="21"/>
          <w:szCs w:val="24"/>
        </w:rPr>
        <w:t>（</w:t>
      </w:r>
      <w:r>
        <w:rPr>
          <w:rFonts w:hint="default"/>
          <w:sz w:val="21"/>
          <w:szCs w:val="24"/>
        </w:rPr>
        <w:t>7</w:t>
      </w:r>
      <w:r>
        <w:rPr>
          <w:rFonts w:hint="eastAsia"/>
          <w:sz w:val="21"/>
          <w:szCs w:val="24"/>
        </w:rPr>
        <w:t>）关键管理人员报酬</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8"/>
        <w:gridCol w:w="3190"/>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bl>
    <w:p>
      <w:pPr>
        <w:pStyle w:val="8"/>
        <w:outlineLvl w:val="3"/>
        <w:rPr>
          <w:rFonts w:hint="default"/>
          <w:sz w:val="21"/>
          <w:szCs w:val="24"/>
        </w:rPr>
      </w:pPr>
      <w:r>
        <w:rPr>
          <w:rFonts w:hint="eastAsia"/>
          <w:sz w:val="21"/>
          <w:szCs w:val="24"/>
        </w:rPr>
        <w:t>（</w:t>
      </w:r>
      <w:r>
        <w:rPr>
          <w:rFonts w:hint="default"/>
          <w:sz w:val="21"/>
          <w:szCs w:val="24"/>
        </w:rPr>
        <w:t>8</w:t>
      </w:r>
      <w:r>
        <w:rPr>
          <w:rFonts w:hint="eastAsia"/>
          <w:sz w:val="21"/>
          <w:szCs w:val="24"/>
        </w:rPr>
        <w:t>）其他关联交易</w:t>
      </w:r>
    </w:p>
    <w:p>
      <w:pPr>
        <w:pStyle w:val="8"/>
        <w:outlineLvl w:val="2"/>
        <w:rPr>
          <w:rFonts w:hint="default"/>
          <w:sz w:val="21"/>
          <w:szCs w:val="24"/>
        </w:rPr>
      </w:pPr>
      <w:r>
        <w:rPr>
          <w:rFonts w:hint="default"/>
          <w:sz w:val="21"/>
          <w:szCs w:val="24"/>
        </w:rPr>
        <w:t>6</w:t>
      </w:r>
      <w:r>
        <w:rPr>
          <w:rFonts w:hint="eastAsia"/>
          <w:sz w:val="21"/>
          <w:szCs w:val="24"/>
        </w:rPr>
        <w:t>、关联方应收应付款项</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）应收项目</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95"/>
        <w:gridCol w:w="1595"/>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项目名称</w:t>
            </w:r>
          </w:p>
        </w:tc>
        <w:tc>
          <w:tcPr>
            <w:tcW w:w="15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关联方</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）应付项目</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项目名称</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关联方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期初账面余额</w:t>
            </w:r>
          </w:p>
        </w:tc>
      </w:tr>
    </w:tbl>
    <w:p>
      <w:pPr>
        <w:pStyle w:val="8"/>
        <w:outlineLvl w:val="2"/>
        <w:rPr>
          <w:rFonts w:hint="default"/>
          <w:sz w:val="21"/>
          <w:szCs w:val="24"/>
        </w:rPr>
      </w:pPr>
      <w:r>
        <w:rPr>
          <w:rFonts w:hint="default"/>
          <w:sz w:val="21"/>
          <w:szCs w:val="24"/>
        </w:rPr>
        <w:t>7</w:t>
      </w:r>
      <w:r>
        <w:rPr>
          <w:rFonts w:hint="eastAsia"/>
          <w:sz w:val="21"/>
          <w:szCs w:val="24"/>
        </w:rPr>
        <w:t>、关联方承诺</w:t>
      </w:r>
    </w:p>
    <w:p>
      <w:pPr>
        <w:pStyle w:val="8"/>
        <w:outlineLvl w:val="2"/>
        <w:rPr>
          <w:rFonts w:hint="default"/>
          <w:sz w:val="21"/>
          <w:szCs w:val="24"/>
        </w:rPr>
      </w:pPr>
      <w:r>
        <w:rPr>
          <w:rFonts w:hint="default"/>
          <w:sz w:val="21"/>
          <w:szCs w:val="24"/>
        </w:rPr>
        <w:t>8</w:t>
      </w:r>
      <w:r>
        <w:rPr>
          <w:rFonts w:hint="eastAsia"/>
          <w:sz w:val="21"/>
          <w:szCs w:val="24"/>
        </w:rPr>
        <w:t>、其他</w:t>
      </w:r>
    </w:p>
    <w:p>
      <w:pPr>
        <w:pStyle w:val="7"/>
        <w:outlineLvl w:val="1"/>
        <w:rPr>
          <w:rFonts w:hint="default"/>
          <w:sz w:val="24"/>
          <w:szCs w:val="24"/>
        </w:rPr>
      </w:pPr>
      <w:r>
        <w:rPr>
          <w:rFonts w:hint="eastAsia"/>
          <w:sz w:val="24"/>
          <w:szCs w:val="24"/>
        </w:rPr>
        <w:t>十三、股份支付</w:t>
      </w:r>
    </w:p>
    <w:p>
      <w:pPr>
        <w:pStyle w:val="8"/>
        <w:outlineLvl w:val="2"/>
        <w:rPr>
          <w:rFonts w:hint="default"/>
          <w:sz w:val="21"/>
          <w:szCs w:val="24"/>
        </w:rPr>
      </w:pPr>
      <w:r>
        <w:rPr>
          <w:rFonts w:hint="default"/>
          <w:sz w:val="21"/>
          <w:szCs w:val="24"/>
        </w:rPr>
        <w:t>1</w:t>
      </w:r>
      <w:r>
        <w:rPr>
          <w:rFonts w:hint="eastAsia"/>
          <w:sz w:val="21"/>
          <w:szCs w:val="24"/>
        </w:rPr>
        <w:t>、股份支付总体情况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5454"/>
        <w:gridCol w:w="4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公司本期授予的各项权益工具总额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公司本期行权的各项权益工具总额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318,600.00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公司本期失效的各项权益工具总额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公司期末发行在外的股票期权行权价格的范围和合同剩余期限</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2018</w:t>
            </w:r>
            <w:r>
              <w:rPr>
                <w:rFonts w:hint="eastAsia"/>
                <w:sz w:val="18"/>
                <w:szCs w:val="24"/>
              </w:rPr>
              <w:t>年</w:t>
            </w:r>
            <w:r>
              <w:rPr>
                <w:rFonts w:hint="default"/>
                <w:sz w:val="18"/>
                <w:szCs w:val="24"/>
              </w:rPr>
              <w:t>11</w:t>
            </w:r>
            <w:r>
              <w:rPr>
                <w:rFonts w:hint="eastAsia"/>
                <w:sz w:val="18"/>
                <w:szCs w:val="24"/>
              </w:rPr>
              <w:t>月</w:t>
            </w:r>
            <w:r>
              <w:rPr>
                <w:rFonts w:hint="default"/>
                <w:sz w:val="18"/>
                <w:szCs w:val="24"/>
              </w:rPr>
              <w:t>20</w:t>
            </w:r>
            <w:r>
              <w:rPr>
                <w:rFonts w:hint="eastAsia"/>
                <w:sz w:val="18"/>
                <w:szCs w:val="24"/>
              </w:rPr>
              <w:t>日授予的限制性股票价格为</w:t>
            </w:r>
            <w:r>
              <w:rPr>
                <w:rFonts w:hint="default"/>
                <w:sz w:val="18"/>
                <w:szCs w:val="24"/>
              </w:rPr>
              <w:t>9.03</w:t>
            </w:r>
            <w:r>
              <w:rPr>
                <w:rFonts w:hint="eastAsia"/>
                <w:sz w:val="18"/>
                <w:szCs w:val="24"/>
              </w:rPr>
              <w:t>元</w:t>
            </w:r>
            <w:r>
              <w:rPr>
                <w:rFonts w:hint="default"/>
                <w:sz w:val="18"/>
                <w:szCs w:val="24"/>
              </w:rPr>
              <w:t>/</w:t>
            </w:r>
            <w:r>
              <w:rPr>
                <w:rFonts w:hint="eastAsia"/>
                <w:sz w:val="18"/>
                <w:szCs w:val="24"/>
              </w:rPr>
              <w:t>股；限制性股票的限售期分别为自授予登记完成之日起</w:t>
            </w:r>
            <w:r>
              <w:rPr>
                <w:rFonts w:hint="default"/>
                <w:sz w:val="18"/>
                <w:szCs w:val="24"/>
              </w:rPr>
              <w:t>12</w:t>
            </w:r>
            <w:r>
              <w:rPr>
                <w:rFonts w:hint="eastAsia"/>
                <w:sz w:val="18"/>
                <w:szCs w:val="24"/>
              </w:rPr>
              <w:t>个月、</w:t>
            </w:r>
            <w:r>
              <w:rPr>
                <w:rFonts w:hint="default"/>
                <w:sz w:val="18"/>
                <w:szCs w:val="24"/>
              </w:rPr>
              <w:t>24</w:t>
            </w:r>
            <w:r>
              <w:rPr>
                <w:rFonts w:hint="eastAsia"/>
                <w:sz w:val="18"/>
                <w:szCs w:val="24"/>
              </w:rPr>
              <w:t>个月、</w:t>
            </w:r>
            <w:r>
              <w:rPr>
                <w:rFonts w:hint="default"/>
                <w:sz w:val="18"/>
                <w:szCs w:val="24"/>
              </w:rPr>
              <w:t>36</w:t>
            </w:r>
            <w:r>
              <w:rPr>
                <w:rFonts w:hint="eastAsia"/>
                <w:sz w:val="18"/>
                <w:szCs w:val="24"/>
              </w:rPr>
              <w:t>个月分别解锁</w:t>
            </w:r>
            <w:r>
              <w:rPr>
                <w:rFonts w:hint="default"/>
                <w:sz w:val="18"/>
                <w:szCs w:val="24"/>
              </w:rPr>
              <w:t>30%</w:t>
            </w:r>
            <w:r>
              <w:rPr>
                <w:rFonts w:hint="eastAsia"/>
                <w:sz w:val="18"/>
                <w:szCs w:val="24"/>
              </w:rPr>
              <w:t>，</w:t>
            </w:r>
            <w:r>
              <w:rPr>
                <w:rFonts w:hint="default"/>
                <w:sz w:val="18"/>
                <w:szCs w:val="24"/>
              </w:rPr>
              <w:t>30%</w:t>
            </w:r>
            <w:r>
              <w:rPr>
                <w:rFonts w:hint="eastAsia"/>
                <w:sz w:val="18"/>
                <w:szCs w:val="24"/>
              </w:rPr>
              <w:t>，</w:t>
            </w:r>
            <w:r>
              <w:rPr>
                <w:rFonts w:hint="default"/>
                <w:sz w:val="18"/>
                <w:szCs w:val="24"/>
              </w:rPr>
              <w:t>40%</w:t>
            </w:r>
            <w:r>
              <w:rPr>
                <w:rFonts w:hint="eastAsia"/>
                <w:sz w:val="18"/>
                <w:szCs w:val="24"/>
              </w:rPr>
              <w:t>。</w:t>
            </w:r>
          </w:p>
        </w:tc>
      </w:tr>
    </w:tbl>
    <w:p>
      <w:pPr>
        <w:jc w:val="left"/>
        <w:rPr>
          <w:rFonts w:hint="default"/>
          <w:sz w:val="18"/>
          <w:szCs w:val="24"/>
        </w:rPr>
      </w:pPr>
      <w:r>
        <w:rPr>
          <w:rFonts w:hint="eastAsia"/>
          <w:sz w:val="18"/>
          <w:szCs w:val="24"/>
        </w:rPr>
        <w:t>其他说明</w:t>
      </w:r>
    </w:p>
    <w:p>
      <w:pPr>
        <w:autoSpaceDE w:val="0"/>
        <w:autoSpaceDN w:val="0"/>
        <w:adjustRightInd w:val="0"/>
        <w:spacing w:before="150" w:after="0"/>
        <w:ind w:firstLine="436"/>
        <w:rPr>
          <w:rFonts w:hint="default" w:eastAsia="Times New Roman"/>
          <w:kern w:val="0"/>
          <w:sz w:val="21"/>
          <w:szCs w:val="24"/>
          <w:lang w:val="zh-CN"/>
        </w:rPr>
      </w:pP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8</w:t>
      </w:r>
      <w:r>
        <w:rPr>
          <w:rFonts w:hint="eastAsia" w:ascii="宋体" w:hAnsi="宋体" w:cs="宋体"/>
          <w:kern w:val="0"/>
          <w:sz w:val="21"/>
          <w:szCs w:val="24"/>
          <w:lang w:val="zh-CN"/>
        </w:rPr>
        <w:t>月</w:t>
      </w:r>
      <w:r>
        <w:rPr>
          <w:rFonts w:hint="default" w:eastAsia="Times New Roman"/>
          <w:kern w:val="0"/>
          <w:sz w:val="21"/>
          <w:szCs w:val="24"/>
          <w:lang w:val="zh-CN"/>
        </w:rPr>
        <w:t>23</w:t>
      </w:r>
      <w:r>
        <w:rPr>
          <w:rFonts w:hint="eastAsia" w:ascii="宋体" w:hAnsi="宋体" w:cs="宋体"/>
          <w:kern w:val="0"/>
          <w:sz w:val="21"/>
          <w:szCs w:val="24"/>
          <w:lang w:val="zh-CN"/>
        </w:rPr>
        <w:t>日，公司召开第三届董事会第五次会议，审议通过了《关于</w:t>
      </w:r>
      <w:r>
        <w:rPr>
          <w:rFonts w:hint="default" w:eastAsia="Times New Roman"/>
          <w:kern w:val="0"/>
          <w:sz w:val="21"/>
          <w:szCs w:val="24"/>
          <w:lang w:val="zh-CN"/>
        </w:rPr>
        <w:t>&lt;</w:t>
      </w:r>
      <w:r>
        <w:rPr>
          <w:rFonts w:hint="eastAsia" w:ascii="宋体" w:hAnsi="宋体" w:cs="宋体"/>
          <w:kern w:val="0"/>
          <w:sz w:val="21"/>
          <w:szCs w:val="24"/>
          <w:lang w:val="zh-CN"/>
        </w:rPr>
        <w:t>公司</w:t>
      </w:r>
      <w:r>
        <w:rPr>
          <w:rFonts w:hint="default" w:eastAsia="Times New Roman"/>
          <w:kern w:val="0"/>
          <w:sz w:val="21"/>
          <w:szCs w:val="24"/>
          <w:lang w:val="zh-CN"/>
        </w:rPr>
        <w:t xml:space="preserve"> 2018</w:t>
      </w:r>
      <w:r>
        <w:rPr>
          <w:rFonts w:hint="eastAsia" w:ascii="宋体" w:hAnsi="宋体" w:cs="宋体"/>
          <w:kern w:val="0"/>
          <w:sz w:val="21"/>
          <w:szCs w:val="24"/>
          <w:lang w:val="zh-CN"/>
        </w:rPr>
        <w:t>年限制性股票激励计划（草案）及其摘要</w:t>
      </w:r>
      <w:r>
        <w:rPr>
          <w:rFonts w:hint="default" w:eastAsia="Times New Roman"/>
          <w:kern w:val="0"/>
          <w:sz w:val="21"/>
          <w:szCs w:val="24"/>
          <w:lang w:val="zh-CN"/>
        </w:rPr>
        <w:t>&gt;</w:t>
      </w:r>
      <w:r>
        <w:rPr>
          <w:rFonts w:hint="eastAsia" w:ascii="宋体" w:hAnsi="宋体" w:cs="宋体"/>
          <w:kern w:val="0"/>
          <w:sz w:val="21"/>
          <w:szCs w:val="24"/>
          <w:lang w:val="zh-CN"/>
        </w:rPr>
        <w:t>的议案》，</w:t>
      </w: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w:t>
      </w:r>
      <w:r>
        <w:rPr>
          <w:rFonts w:hint="default" w:eastAsia="Times New Roman"/>
          <w:kern w:val="0"/>
          <w:sz w:val="21"/>
          <w:szCs w:val="24"/>
          <w:lang w:val="zh-CN"/>
        </w:rPr>
        <w:t>20</w:t>
      </w:r>
      <w:r>
        <w:rPr>
          <w:rFonts w:hint="eastAsia" w:ascii="宋体" w:hAnsi="宋体" w:cs="宋体"/>
          <w:kern w:val="0"/>
          <w:sz w:val="21"/>
          <w:szCs w:val="24"/>
          <w:lang w:val="zh-CN"/>
        </w:rPr>
        <w:t>日，公司召开第三届董事会第七次会议审议通过了《关于调整公司</w:t>
      </w:r>
      <w:r>
        <w:rPr>
          <w:rFonts w:hint="default" w:eastAsia="Times New Roman"/>
          <w:kern w:val="0"/>
          <w:sz w:val="21"/>
          <w:szCs w:val="24"/>
          <w:lang w:val="zh-CN"/>
        </w:rPr>
        <w:t xml:space="preserve"> 2018 </w:t>
      </w:r>
      <w:r>
        <w:rPr>
          <w:rFonts w:hint="eastAsia" w:ascii="宋体" w:hAnsi="宋体" w:cs="宋体"/>
          <w:kern w:val="0"/>
          <w:sz w:val="21"/>
          <w:szCs w:val="24"/>
          <w:lang w:val="zh-CN"/>
        </w:rPr>
        <w:t>年限制性股票激励计划相关事项的议案》及《关于向</w:t>
      </w:r>
      <w:r>
        <w:rPr>
          <w:rFonts w:hint="default" w:eastAsia="Times New Roman"/>
          <w:kern w:val="0"/>
          <w:sz w:val="21"/>
          <w:szCs w:val="24"/>
          <w:lang w:val="zh-CN"/>
        </w:rPr>
        <w:t>2018</w:t>
      </w:r>
      <w:r>
        <w:rPr>
          <w:rFonts w:hint="eastAsia" w:ascii="宋体" w:hAnsi="宋体" w:cs="宋体"/>
          <w:kern w:val="0"/>
          <w:sz w:val="21"/>
          <w:szCs w:val="24"/>
          <w:lang w:val="zh-CN"/>
        </w:rPr>
        <w:t>年限制性股票激励计划激励对象授予限制性股票的议案》确定向</w:t>
      </w:r>
      <w:r>
        <w:rPr>
          <w:rFonts w:hint="default" w:eastAsia="Times New Roman"/>
          <w:kern w:val="0"/>
          <w:sz w:val="21"/>
          <w:szCs w:val="24"/>
          <w:lang w:val="zh-CN"/>
        </w:rPr>
        <w:t xml:space="preserve">39 </w:t>
      </w:r>
      <w:r>
        <w:rPr>
          <w:rFonts w:hint="eastAsia" w:ascii="宋体" w:hAnsi="宋体" w:cs="宋体"/>
          <w:kern w:val="0"/>
          <w:sz w:val="21"/>
          <w:szCs w:val="24"/>
          <w:lang w:val="zh-CN"/>
        </w:rPr>
        <w:t>名激励对象授予</w:t>
      </w:r>
      <w:r>
        <w:rPr>
          <w:rFonts w:hint="default" w:eastAsia="Times New Roman"/>
          <w:kern w:val="0"/>
          <w:sz w:val="21"/>
          <w:szCs w:val="24"/>
          <w:lang w:val="zh-CN"/>
        </w:rPr>
        <w:t xml:space="preserve"> 114.2 </w:t>
      </w:r>
      <w:r>
        <w:rPr>
          <w:rFonts w:hint="eastAsia" w:ascii="宋体" w:hAnsi="宋体" w:cs="宋体"/>
          <w:kern w:val="0"/>
          <w:sz w:val="21"/>
          <w:szCs w:val="24"/>
          <w:lang w:val="zh-CN"/>
        </w:rPr>
        <w:t>万股限制性股票，以</w:t>
      </w:r>
      <w:r>
        <w:rPr>
          <w:rFonts w:hint="default" w:eastAsia="Times New Roman"/>
          <w:kern w:val="0"/>
          <w:sz w:val="21"/>
          <w:szCs w:val="24"/>
          <w:lang w:val="zh-CN"/>
        </w:rPr>
        <w:t>2018</w:t>
      </w:r>
      <w:r>
        <w:rPr>
          <w:rFonts w:hint="eastAsia" w:ascii="宋体" w:hAnsi="宋体" w:cs="宋体"/>
          <w:kern w:val="0"/>
          <w:sz w:val="21"/>
          <w:szCs w:val="24"/>
          <w:lang w:val="zh-CN"/>
        </w:rPr>
        <w:t>年</w:t>
      </w:r>
      <w:r>
        <w:rPr>
          <w:rFonts w:hint="default" w:eastAsia="Times New Roman"/>
          <w:kern w:val="0"/>
          <w:sz w:val="21"/>
          <w:szCs w:val="24"/>
          <w:lang w:val="zh-CN"/>
        </w:rPr>
        <w:t>11</w:t>
      </w:r>
      <w:r>
        <w:rPr>
          <w:rFonts w:hint="eastAsia" w:ascii="宋体" w:hAnsi="宋体" w:cs="宋体"/>
          <w:kern w:val="0"/>
          <w:sz w:val="21"/>
          <w:szCs w:val="24"/>
          <w:lang w:val="zh-CN"/>
        </w:rPr>
        <w:t>月</w:t>
      </w:r>
      <w:r>
        <w:rPr>
          <w:rFonts w:hint="default" w:eastAsia="Times New Roman"/>
          <w:kern w:val="0"/>
          <w:sz w:val="21"/>
          <w:szCs w:val="24"/>
          <w:lang w:val="zh-CN"/>
        </w:rPr>
        <w:t>20</w:t>
      </w:r>
      <w:r>
        <w:rPr>
          <w:rFonts w:hint="eastAsia" w:ascii="宋体" w:hAnsi="宋体" w:cs="宋体"/>
          <w:kern w:val="0"/>
          <w:sz w:val="21"/>
          <w:szCs w:val="24"/>
          <w:lang w:val="zh-CN"/>
        </w:rPr>
        <w:t>日为授予日，授予价格为</w:t>
      </w:r>
      <w:r>
        <w:rPr>
          <w:rFonts w:hint="default" w:eastAsia="Times New Roman"/>
          <w:kern w:val="0"/>
          <w:sz w:val="21"/>
          <w:szCs w:val="24"/>
          <w:lang w:val="zh-CN"/>
        </w:rPr>
        <w:t>9.03</w:t>
      </w:r>
      <w:r>
        <w:rPr>
          <w:rFonts w:hint="eastAsia" w:ascii="宋体" w:hAnsi="宋体" w:cs="宋体"/>
          <w:kern w:val="0"/>
          <w:sz w:val="21"/>
          <w:szCs w:val="24"/>
          <w:lang w:val="zh-CN"/>
        </w:rPr>
        <w:t>元</w:t>
      </w:r>
      <w:r>
        <w:rPr>
          <w:rFonts w:hint="default" w:eastAsia="Times New Roman"/>
          <w:kern w:val="0"/>
          <w:sz w:val="21"/>
          <w:szCs w:val="24"/>
          <w:lang w:val="zh-CN"/>
        </w:rPr>
        <w:t>/</w:t>
      </w:r>
      <w:r>
        <w:rPr>
          <w:rFonts w:hint="eastAsia" w:ascii="宋体" w:hAnsi="宋体" w:cs="宋体"/>
          <w:kern w:val="0"/>
          <w:sz w:val="21"/>
          <w:szCs w:val="24"/>
          <w:lang w:val="zh-CN"/>
        </w:rPr>
        <w:t>股。</w:t>
      </w:r>
    </w:p>
    <w:p>
      <w:pPr>
        <w:pStyle w:val="8"/>
        <w:outlineLvl w:val="2"/>
        <w:rPr>
          <w:rFonts w:hint="default"/>
          <w:sz w:val="21"/>
          <w:szCs w:val="24"/>
        </w:rPr>
      </w:pPr>
      <w:r>
        <w:rPr>
          <w:rFonts w:hint="default"/>
          <w:sz w:val="21"/>
          <w:szCs w:val="24"/>
        </w:rPr>
        <w:t>2</w:t>
      </w:r>
      <w:r>
        <w:rPr>
          <w:rFonts w:hint="eastAsia"/>
          <w:sz w:val="21"/>
          <w:szCs w:val="24"/>
        </w:rPr>
        <w:t>、以权益结算的股份支付情况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授予日权益工具公允价值的确定方法</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授予日股票市场价格与授予价格之差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可行权权益工具数量的确定依据</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在职激励对象对应的权益工具、</w:t>
            </w:r>
            <w:r>
              <w:rPr>
                <w:rFonts w:hint="default"/>
                <w:sz w:val="18"/>
                <w:szCs w:val="24"/>
              </w:rPr>
              <w:t>2018</w:t>
            </w:r>
            <w:r>
              <w:rPr>
                <w:rFonts w:hint="eastAsia"/>
                <w:sz w:val="18"/>
                <w:szCs w:val="24"/>
              </w:rPr>
              <w:t>年度公司业绩及未来年度公司业绩的预测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以权益结算的股份支付计入资本公积的累计金额</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13,063,960.00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本期以权益结算的股份支付确认的费用总额</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3,456,336.34</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w:t>
      </w:r>
      <w:r>
        <w:rPr>
          <w:rFonts w:hint="eastAsia"/>
          <w:sz w:val="21"/>
          <w:szCs w:val="24"/>
        </w:rPr>
        <w:t>、以现金结算的股份支付情况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4</w:t>
      </w:r>
      <w:r>
        <w:rPr>
          <w:rFonts w:hint="eastAsia"/>
          <w:sz w:val="21"/>
          <w:szCs w:val="24"/>
        </w:rPr>
        <w:t>、股份支付的修改、终止情况</w:t>
      </w:r>
    </w:p>
    <w:p>
      <w:pPr>
        <w:autoSpaceDE w:val="0"/>
        <w:autoSpaceDN w:val="0"/>
        <w:adjustRightInd w:val="0"/>
        <w:spacing w:before="0" w:after="0"/>
        <w:jc w:val="left"/>
        <w:rPr>
          <w:rFonts w:hint="default" w:eastAsia="Times New Roman"/>
          <w:kern w:val="0"/>
          <w:sz w:val="21"/>
          <w:szCs w:val="24"/>
          <w:lang w:val="zh-CN"/>
        </w:rPr>
      </w:pPr>
      <w:r>
        <w:rPr>
          <w:rFonts w:hint="eastAsia" w:ascii="宋体" w:hAnsi="宋体" w:cs="宋体"/>
          <w:b/>
          <w:kern w:val="0"/>
          <w:sz w:val="21"/>
          <w:szCs w:val="24"/>
          <w:lang w:val="zh-CN"/>
        </w:rPr>
        <w:t>本期无股份支付的修改、终止情况。</w:t>
      </w:r>
    </w:p>
    <w:p>
      <w:pPr>
        <w:pStyle w:val="8"/>
        <w:outlineLvl w:val="2"/>
        <w:rPr>
          <w:rFonts w:hint="default"/>
          <w:sz w:val="21"/>
          <w:szCs w:val="24"/>
        </w:rPr>
      </w:pPr>
      <w:r>
        <w:rPr>
          <w:rFonts w:hint="default"/>
          <w:sz w:val="21"/>
          <w:szCs w:val="24"/>
        </w:rPr>
        <w:t>5</w:t>
      </w:r>
      <w:r>
        <w:rPr>
          <w:rFonts w:hint="eastAsia"/>
          <w:sz w:val="21"/>
          <w:szCs w:val="24"/>
        </w:rPr>
        <w:t>、其他</w:t>
      </w:r>
    </w:p>
    <w:p>
      <w:pPr>
        <w:pStyle w:val="7"/>
        <w:outlineLvl w:val="1"/>
        <w:rPr>
          <w:rFonts w:hint="default"/>
          <w:sz w:val="24"/>
          <w:szCs w:val="24"/>
        </w:rPr>
      </w:pPr>
      <w:r>
        <w:rPr>
          <w:rFonts w:hint="eastAsia"/>
          <w:sz w:val="24"/>
          <w:szCs w:val="24"/>
        </w:rPr>
        <w:t>十四、承诺及或有事项</w:t>
      </w:r>
    </w:p>
    <w:p>
      <w:pPr>
        <w:pStyle w:val="8"/>
        <w:outlineLvl w:val="2"/>
        <w:rPr>
          <w:rFonts w:hint="default"/>
          <w:sz w:val="21"/>
          <w:szCs w:val="24"/>
        </w:rPr>
      </w:pPr>
      <w:r>
        <w:rPr>
          <w:rFonts w:hint="default"/>
          <w:sz w:val="21"/>
          <w:szCs w:val="24"/>
        </w:rPr>
        <w:t>1</w:t>
      </w:r>
      <w:r>
        <w:rPr>
          <w:rFonts w:hint="eastAsia"/>
          <w:sz w:val="21"/>
          <w:szCs w:val="24"/>
        </w:rPr>
        <w:t>、重要承诺事项</w:t>
      </w:r>
    </w:p>
    <w:p>
      <w:pPr>
        <w:jc w:val="left"/>
        <w:rPr>
          <w:rFonts w:hint="default"/>
          <w:sz w:val="18"/>
          <w:szCs w:val="24"/>
        </w:rPr>
      </w:pPr>
      <w:r>
        <w:rPr>
          <w:rFonts w:hint="eastAsia"/>
          <w:sz w:val="18"/>
          <w:szCs w:val="24"/>
        </w:rPr>
        <w:t>资产负债表日存在的重要承诺</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截至</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日，公司无影响本财务报表阅读和理解的重大承诺事项。</w:t>
      </w:r>
    </w:p>
    <w:p>
      <w:pPr>
        <w:autoSpaceDE w:val="0"/>
        <w:autoSpaceDN w:val="0"/>
        <w:adjustRightInd w:val="0"/>
        <w:spacing w:before="0" w:after="0"/>
        <w:ind w:firstLine="436"/>
        <w:rPr>
          <w:rFonts w:hint="default" w:eastAsia="Times New Roman"/>
          <w:kern w:val="0"/>
          <w:sz w:val="21"/>
          <w:szCs w:val="24"/>
          <w:lang w:val="zh-CN"/>
        </w:rPr>
      </w:pPr>
    </w:p>
    <w:p>
      <w:pPr>
        <w:pStyle w:val="8"/>
        <w:outlineLvl w:val="2"/>
        <w:rPr>
          <w:rFonts w:hint="default"/>
          <w:sz w:val="21"/>
          <w:szCs w:val="24"/>
        </w:rPr>
      </w:pPr>
      <w:r>
        <w:rPr>
          <w:rFonts w:hint="default"/>
          <w:sz w:val="21"/>
          <w:szCs w:val="24"/>
        </w:rPr>
        <w:t>2</w:t>
      </w:r>
      <w:r>
        <w:rPr>
          <w:rFonts w:hint="eastAsia"/>
          <w:sz w:val="21"/>
          <w:szCs w:val="24"/>
        </w:rPr>
        <w:t>、或有事项</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）资产负债表日存在的重要或有事项</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截至</w:t>
      </w:r>
      <w:r>
        <w:rPr>
          <w:rFonts w:hint="default" w:eastAsia="Times New Roman"/>
          <w:kern w:val="0"/>
          <w:sz w:val="21"/>
          <w:szCs w:val="24"/>
          <w:lang w:val="zh-CN"/>
        </w:rPr>
        <w:t>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日，公司不存在需要披露的重大或有事项。</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）公司没有需要披露的重要或有事项，也应予以说明</w:t>
      </w:r>
    </w:p>
    <w:p>
      <w:pPr>
        <w:jc w:val="left"/>
        <w:rPr>
          <w:rFonts w:hint="default"/>
          <w:sz w:val="18"/>
          <w:szCs w:val="24"/>
        </w:rPr>
      </w:pPr>
      <w:r>
        <w:rPr>
          <w:rFonts w:hint="eastAsia"/>
          <w:sz w:val="18"/>
          <w:szCs w:val="24"/>
        </w:rPr>
        <w:t>公司不存在需要披露的重要或有事项。</w:t>
      </w:r>
    </w:p>
    <w:p>
      <w:pPr>
        <w:pStyle w:val="8"/>
        <w:outlineLvl w:val="2"/>
        <w:rPr>
          <w:rFonts w:hint="default"/>
          <w:sz w:val="21"/>
          <w:szCs w:val="24"/>
        </w:rPr>
      </w:pPr>
      <w:r>
        <w:rPr>
          <w:rFonts w:hint="default"/>
          <w:sz w:val="21"/>
          <w:szCs w:val="24"/>
        </w:rPr>
        <w:t>3</w:t>
      </w:r>
      <w:r>
        <w:rPr>
          <w:rFonts w:hint="eastAsia"/>
          <w:sz w:val="21"/>
          <w:szCs w:val="24"/>
        </w:rPr>
        <w:t>、其他</w:t>
      </w:r>
    </w:p>
    <w:p>
      <w:pPr>
        <w:pStyle w:val="7"/>
        <w:outlineLvl w:val="1"/>
        <w:rPr>
          <w:rFonts w:hint="default"/>
          <w:sz w:val="24"/>
          <w:szCs w:val="24"/>
        </w:rPr>
      </w:pPr>
      <w:r>
        <w:rPr>
          <w:rFonts w:hint="eastAsia"/>
          <w:sz w:val="24"/>
          <w:szCs w:val="24"/>
        </w:rPr>
        <w:t>十五、资产负债表日后事项</w:t>
      </w:r>
    </w:p>
    <w:p>
      <w:pPr>
        <w:pStyle w:val="8"/>
        <w:outlineLvl w:val="2"/>
        <w:rPr>
          <w:rFonts w:hint="default"/>
          <w:sz w:val="21"/>
          <w:szCs w:val="24"/>
        </w:rPr>
      </w:pPr>
      <w:r>
        <w:rPr>
          <w:rFonts w:hint="default"/>
          <w:sz w:val="21"/>
          <w:szCs w:val="24"/>
        </w:rPr>
        <w:t>1</w:t>
      </w:r>
      <w:r>
        <w:rPr>
          <w:rFonts w:hint="eastAsia"/>
          <w:sz w:val="21"/>
          <w:szCs w:val="24"/>
        </w:rPr>
        <w:t>、重要的非调整事项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493"/>
        <w:gridCol w:w="2295"/>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内容</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对财务状况和经营成果的影响数</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无法估计影响数的原因</w:t>
            </w:r>
          </w:p>
        </w:tc>
      </w:tr>
    </w:tbl>
    <w:p>
      <w:pPr>
        <w:pStyle w:val="8"/>
        <w:outlineLvl w:val="2"/>
        <w:rPr>
          <w:rFonts w:hint="default"/>
          <w:sz w:val="21"/>
          <w:szCs w:val="24"/>
        </w:rPr>
      </w:pPr>
      <w:r>
        <w:rPr>
          <w:rFonts w:hint="default"/>
          <w:sz w:val="21"/>
          <w:szCs w:val="24"/>
        </w:rPr>
        <w:t>2</w:t>
      </w:r>
      <w:r>
        <w:rPr>
          <w:rFonts w:hint="eastAsia"/>
          <w:sz w:val="21"/>
          <w:szCs w:val="24"/>
        </w:rPr>
        <w:t>、利润分配情况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拟分配的利润或股利</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52,506,000.00</w:t>
            </w:r>
          </w:p>
        </w:tc>
      </w:tr>
    </w:tbl>
    <w:p>
      <w:pPr>
        <w:pStyle w:val="8"/>
        <w:outlineLvl w:val="2"/>
        <w:rPr>
          <w:rFonts w:hint="default"/>
          <w:sz w:val="21"/>
          <w:szCs w:val="24"/>
        </w:rPr>
      </w:pPr>
      <w:r>
        <w:rPr>
          <w:rFonts w:hint="default"/>
          <w:sz w:val="21"/>
          <w:szCs w:val="24"/>
        </w:rPr>
        <w:t>3</w:t>
      </w:r>
      <w:r>
        <w:rPr>
          <w:rFonts w:hint="eastAsia"/>
          <w:sz w:val="21"/>
          <w:szCs w:val="24"/>
        </w:rPr>
        <w:t>、销售退回</w:t>
      </w:r>
    </w:p>
    <w:p>
      <w:pPr>
        <w:pStyle w:val="8"/>
        <w:outlineLvl w:val="2"/>
        <w:rPr>
          <w:rFonts w:hint="default"/>
          <w:sz w:val="21"/>
          <w:szCs w:val="24"/>
        </w:rPr>
      </w:pPr>
      <w:r>
        <w:rPr>
          <w:rFonts w:hint="default"/>
          <w:sz w:val="21"/>
          <w:szCs w:val="24"/>
        </w:rPr>
        <w:t>4</w:t>
      </w:r>
      <w:r>
        <w:rPr>
          <w:rFonts w:hint="eastAsia"/>
          <w:sz w:val="21"/>
          <w:szCs w:val="24"/>
        </w:rPr>
        <w:t>、其他资产负债表日后事项说明</w:t>
      </w:r>
    </w:p>
    <w:p>
      <w:pPr>
        <w:autoSpaceDE w:val="0"/>
        <w:autoSpaceDN w:val="0"/>
        <w:adjustRightInd w:val="0"/>
        <w:spacing w:before="0" w:after="0"/>
        <w:ind w:firstLine="436"/>
        <w:rPr>
          <w:rFonts w:hint="default" w:eastAsia="Times New Roman"/>
          <w:kern w:val="0"/>
          <w:sz w:val="21"/>
          <w:szCs w:val="24"/>
          <w:lang w:val="zh-CN"/>
        </w:rPr>
      </w:pPr>
      <w:r>
        <w:rPr>
          <w:rFonts w:hint="eastAsia" w:ascii="宋体" w:hAnsi="宋体" w:cs="宋体"/>
          <w:kern w:val="0"/>
          <w:sz w:val="21"/>
          <w:szCs w:val="24"/>
          <w:lang w:val="zh-CN"/>
        </w:rPr>
        <w:t>公司</w:t>
      </w:r>
      <w:r>
        <w:rPr>
          <w:rFonts w:hint="default" w:eastAsia="Times New Roman"/>
          <w:kern w:val="0"/>
          <w:sz w:val="21"/>
          <w:szCs w:val="24"/>
          <w:lang w:val="zh-CN"/>
        </w:rPr>
        <w:t>2020</w:t>
      </w:r>
      <w:r>
        <w:rPr>
          <w:rFonts w:hint="eastAsia" w:ascii="宋体" w:hAnsi="宋体" w:cs="宋体"/>
          <w:kern w:val="0"/>
          <w:sz w:val="21"/>
          <w:szCs w:val="24"/>
          <w:lang w:val="zh-CN"/>
        </w:rPr>
        <w:t>年度利润分配预案为：以</w:t>
      </w:r>
      <w:r>
        <w:rPr>
          <w:rFonts w:hint="default" w:eastAsia="Times New Roman"/>
          <w:kern w:val="0"/>
          <w:sz w:val="21"/>
          <w:szCs w:val="24"/>
          <w:lang w:val="zh-CN"/>
        </w:rPr>
        <w:t xml:space="preserve"> 2020</w:t>
      </w:r>
      <w:r>
        <w:rPr>
          <w:rFonts w:hint="eastAsia" w:ascii="宋体" w:hAnsi="宋体" w:cs="宋体"/>
          <w:kern w:val="0"/>
          <w:sz w:val="21"/>
          <w:szCs w:val="24"/>
          <w:lang w:val="zh-CN"/>
        </w:rPr>
        <w:t>年</w:t>
      </w:r>
      <w:r>
        <w:rPr>
          <w:rFonts w:hint="default" w:eastAsia="Times New Roman"/>
          <w:kern w:val="0"/>
          <w:sz w:val="21"/>
          <w:szCs w:val="24"/>
          <w:lang w:val="zh-CN"/>
        </w:rPr>
        <w:t>12</w:t>
      </w:r>
      <w:r>
        <w:rPr>
          <w:rFonts w:hint="eastAsia" w:ascii="宋体" w:hAnsi="宋体" w:cs="宋体"/>
          <w:kern w:val="0"/>
          <w:sz w:val="21"/>
          <w:szCs w:val="24"/>
          <w:lang w:val="zh-CN"/>
        </w:rPr>
        <w:t>月</w:t>
      </w:r>
      <w:r>
        <w:rPr>
          <w:rFonts w:hint="default" w:eastAsia="Times New Roman"/>
          <w:kern w:val="0"/>
          <w:sz w:val="21"/>
          <w:szCs w:val="24"/>
          <w:lang w:val="zh-CN"/>
        </w:rPr>
        <w:t>31</w:t>
      </w:r>
      <w:r>
        <w:rPr>
          <w:rFonts w:hint="eastAsia" w:ascii="宋体" w:hAnsi="宋体" w:cs="宋体"/>
          <w:kern w:val="0"/>
          <w:sz w:val="21"/>
          <w:szCs w:val="24"/>
          <w:lang w:val="zh-CN"/>
        </w:rPr>
        <w:t>日公司总股本</w:t>
      </w:r>
      <w:r>
        <w:rPr>
          <w:rFonts w:hint="default" w:eastAsia="Times New Roman"/>
          <w:kern w:val="0"/>
          <w:sz w:val="21"/>
          <w:szCs w:val="24"/>
          <w:lang w:val="zh-CN"/>
        </w:rPr>
        <w:t>11,668.00</w:t>
      </w:r>
      <w:r>
        <w:rPr>
          <w:rFonts w:hint="eastAsia" w:ascii="宋体" w:hAnsi="宋体" w:cs="宋体"/>
          <w:kern w:val="0"/>
          <w:sz w:val="21"/>
          <w:szCs w:val="24"/>
          <w:lang w:val="zh-CN"/>
        </w:rPr>
        <w:t>万股为基数，向全体股东每</w:t>
      </w:r>
      <w:r>
        <w:rPr>
          <w:rFonts w:hint="default" w:eastAsia="Times New Roman"/>
          <w:kern w:val="0"/>
          <w:sz w:val="21"/>
          <w:szCs w:val="24"/>
          <w:lang w:val="zh-CN"/>
        </w:rPr>
        <w:t>10</w:t>
      </w:r>
      <w:r>
        <w:rPr>
          <w:rFonts w:hint="eastAsia" w:ascii="宋体" w:hAnsi="宋体" w:cs="宋体"/>
          <w:kern w:val="0"/>
          <w:sz w:val="21"/>
          <w:szCs w:val="24"/>
          <w:lang w:val="zh-CN"/>
        </w:rPr>
        <w:t>股派息</w:t>
      </w:r>
      <w:r>
        <w:rPr>
          <w:rFonts w:hint="default" w:eastAsia="Times New Roman"/>
          <w:kern w:val="0"/>
          <w:sz w:val="21"/>
          <w:szCs w:val="24"/>
          <w:lang w:val="zh-CN"/>
        </w:rPr>
        <w:t>4.50</w:t>
      </w:r>
      <w:r>
        <w:rPr>
          <w:rFonts w:hint="eastAsia" w:ascii="宋体" w:hAnsi="宋体" w:cs="宋体"/>
          <w:kern w:val="0"/>
          <w:sz w:val="21"/>
          <w:szCs w:val="24"/>
          <w:lang w:val="zh-CN"/>
        </w:rPr>
        <w:t>元（含税）</w:t>
      </w:r>
      <w:r>
        <w:rPr>
          <w:rFonts w:hint="default" w:eastAsia="Times New Roman"/>
          <w:kern w:val="0"/>
          <w:sz w:val="21"/>
          <w:szCs w:val="24"/>
          <w:lang w:val="zh-CN"/>
        </w:rPr>
        <w:t>,</w:t>
      </w:r>
      <w:r>
        <w:rPr>
          <w:rFonts w:hint="eastAsia" w:ascii="宋体" w:hAnsi="宋体" w:cs="宋体"/>
          <w:kern w:val="0"/>
          <w:sz w:val="21"/>
          <w:szCs w:val="24"/>
          <w:lang w:val="zh-CN"/>
        </w:rPr>
        <w:t>共派发现金红利</w:t>
      </w:r>
      <w:r>
        <w:rPr>
          <w:rFonts w:hint="default" w:eastAsia="Times New Roman"/>
          <w:kern w:val="0"/>
          <w:sz w:val="21"/>
          <w:szCs w:val="24"/>
          <w:lang w:val="zh-CN"/>
        </w:rPr>
        <w:t>5,250.60</w:t>
      </w:r>
      <w:r>
        <w:rPr>
          <w:rFonts w:hint="eastAsia" w:ascii="宋体" w:hAnsi="宋体" w:cs="宋体"/>
          <w:kern w:val="0"/>
          <w:sz w:val="21"/>
          <w:szCs w:val="24"/>
          <w:lang w:val="zh-CN"/>
        </w:rPr>
        <w:t>万元，同时以资本公积向全体股东每</w:t>
      </w:r>
      <w:r>
        <w:rPr>
          <w:rFonts w:hint="default" w:eastAsia="Times New Roman"/>
          <w:kern w:val="0"/>
          <w:sz w:val="21"/>
          <w:szCs w:val="24"/>
          <w:lang w:val="zh-CN"/>
        </w:rPr>
        <w:t>10</w:t>
      </w:r>
      <w:r>
        <w:rPr>
          <w:rFonts w:hint="eastAsia" w:ascii="宋体" w:hAnsi="宋体" w:cs="宋体"/>
          <w:kern w:val="0"/>
          <w:sz w:val="21"/>
          <w:szCs w:val="24"/>
          <w:lang w:val="zh-CN"/>
        </w:rPr>
        <w:t>股转增</w:t>
      </w:r>
      <w:r>
        <w:rPr>
          <w:rFonts w:hint="default" w:eastAsia="Times New Roman"/>
          <w:kern w:val="0"/>
          <w:sz w:val="21"/>
          <w:szCs w:val="24"/>
          <w:lang w:val="zh-CN"/>
        </w:rPr>
        <w:t>4.50</w:t>
      </w:r>
      <w:r>
        <w:rPr>
          <w:rFonts w:hint="eastAsia" w:ascii="宋体" w:hAnsi="宋体" w:cs="宋体"/>
          <w:kern w:val="0"/>
          <w:sz w:val="21"/>
          <w:szCs w:val="24"/>
          <w:lang w:val="zh-CN"/>
        </w:rPr>
        <w:t>股，共计转增</w:t>
      </w:r>
      <w:r>
        <w:rPr>
          <w:rFonts w:hint="default" w:eastAsia="Times New Roman"/>
          <w:kern w:val="0"/>
          <w:sz w:val="21"/>
          <w:szCs w:val="24"/>
          <w:lang w:val="zh-CN"/>
        </w:rPr>
        <w:t>5,250.60</w:t>
      </w:r>
      <w:r>
        <w:rPr>
          <w:rFonts w:hint="eastAsia" w:ascii="宋体" w:hAnsi="宋体" w:cs="宋体"/>
          <w:kern w:val="0"/>
          <w:sz w:val="21"/>
          <w:szCs w:val="24"/>
          <w:lang w:val="zh-CN"/>
        </w:rPr>
        <w:t>万股。本次利润分配预案尚需公司</w:t>
      </w:r>
      <w:r>
        <w:rPr>
          <w:rFonts w:hint="default" w:eastAsia="Times New Roman"/>
          <w:kern w:val="0"/>
          <w:sz w:val="21"/>
          <w:szCs w:val="24"/>
          <w:lang w:val="zh-CN"/>
        </w:rPr>
        <w:t>2020</w:t>
      </w:r>
      <w:r>
        <w:rPr>
          <w:rFonts w:hint="eastAsia" w:ascii="宋体" w:hAnsi="宋体" w:cs="宋体"/>
          <w:kern w:val="0"/>
          <w:sz w:val="21"/>
          <w:szCs w:val="24"/>
          <w:lang w:val="zh-CN"/>
        </w:rPr>
        <w:t>年度股东大会审议。</w:t>
      </w:r>
    </w:p>
    <w:p>
      <w:pPr>
        <w:pStyle w:val="7"/>
        <w:outlineLvl w:val="1"/>
        <w:rPr>
          <w:rFonts w:hint="default"/>
          <w:sz w:val="24"/>
          <w:szCs w:val="24"/>
        </w:rPr>
      </w:pPr>
      <w:r>
        <w:rPr>
          <w:rFonts w:hint="eastAsia"/>
          <w:sz w:val="24"/>
          <w:szCs w:val="24"/>
        </w:rPr>
        <w:t>十六、其他重要事项</w:t>
      </w:r>
    </w:p>
    <w:p>
      <w:pPr>
        <w:pStyle w:val="8"/>
        <w:outlineLvl w:val="2"/>
        <w:rPr>
          <w:rFonts w:hint="default"/>
          <w:sz w:val="21"/>
          <w:szCs w:val="24"/>
        </w:rPr>
      </w:pPr>
      <w:r>
        <w:rPr>
          <w:rFonts w:hint="default"/>
          <w:sz w:val="21"/>
          <w:szCs w:val="24"/>
        </w:rPr>
        <w:t>1</w:t>
      </w:r>
      <w:r>
        <w:rPr>
          <w:rFonts w:hint="eastAsia"/>
          <w:sz w:val="21"/>
          <w:szCs w:val="24"/>
        </w:rPr>
        <w:t>、前期会计差错更正</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）追溯重述法</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493"/>
        <w:gridCol w:w="2295"/>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4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会计差错更正的内容</w:t>
            </w:r>
          </w:p>
        </w:tc>
        <w:tc>
          <w:tcPr>
            <w:tcW w:w="2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处理程序</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受影响的各个比较期间报表项目名称</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累积影响数</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）未来适用法</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会计差错更正的内容</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批准程序</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采用未来适用法的原因</w:t>
            </w:r>
          </w:p>
        </w:tc>
      </w:tr>
    </w:tbl>
    <w:p>
      <w:pPr>
        <w:pStyle w:val="8"/>
        <w:outlineLvl w:val="2"/>
        <w:rPr>
          <w:rFonts w:hint="default"/>
          <w:sz w:val="21"/>
          <w:szCs w:val="24"/>
        </w:rPr>
      </w:pPr>
      <w:r>
        <w:rPr>
          <w:rFonts w:hint="default"/>
          <w:sz w:val="21"/>
          <w:szCs w:val="24"/>
        </w:rPr>
        <w:t>2</w:t>
      </w:r>
      <w:r>
        <w:rPr>
          <w:rFonts w:hint="eastAsia"/>
          <w:sz w:val="21"/>
          <w:szCs w:val="24"/>
        </w:rPr>
        <w:t>、债务重组</w:t>
      </w:r>
    </w:p>
    <w:p>
      <w:pPr>
        <w:pStyle w:val="8"/>
        <w:outlineLvl w:val="2"/>
        <w:rPr>
          <w:rFonts w:hint="default"/>
          <w:sz w:val="21"/>
          <w:szCs w:val="24"/>
        </w:rPr>
      </w:pPr>
      <w:r>
        <w:rPr>
          <w:rFonts w:hint="default"/>
          <w:sz w:val="21"/>
          <w:szCs w:val="24"/>
        </w:rPr>
        <w:t>3</w:t>
      </w:r>
      <w:r>
        <w:rPr>
          <w:rFonts w:hint="eastAsia"/>
          <w:sz w:val="21"/>
          <w:szCs w:val="24"/>
        </w:rPr>
        <w:t>、资产置换</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）非货币性资产交换</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）其他资产置换</w:t>
      </w:r>
    </w:p>
    <w:p>
      <w:pPr>
        <w:pStyle w:val="8"/>
        <w:outlineLvl w:val="2"/>
        <w:rPr>
          <w:rFonts w:hint="default"/>
          <w:sz w:val="21"/>
          <w:szCs w:val="24"/>
        </w:rPr>
      </w:pPr>
      <w:r>
        <w:rPr>
          <w:rFonts w:hint="default"/>
          <w:sz w:val="21"/>
          <w:szCs w:val="24"/>
        </w:rPr>
        <w:t>4</w:t>
      </w:r>
      <w:r>
        <w:rPr>
          <w:rFonts w:hint="eastAsia"/>
          <w:sz w:val="21"/>
          <w:szCs w:val="24"/>
        </w:rPr>
        <w:t>、年金计划</w:t>
      </w:r>
    </w:p>
    <w:p>
      <w:pPr>
        <w:pStyle w:val="8"/>
        <w:outlineLvl w:val="2"/>
        <w:rPr>
          <w:rFonts w:hint="default"/>
          <w:sz w:val="21"/>
          <w:szCs w:val="24"/>
        </w:rPr>
      </w:pPr>
      <w:r>
        <w:rPr>
          <w:rFonts w:hint="default"/>
          <w:sz w:val="21"/>
          <w:szCs w:val="24"/>
        </w:rPr>
        <w:t>5</w:t>
      </w:r>
      <w:r>
        <w:rPr>
          <w:rFonts w:hint="eastAsia"/>
          <w:sz w:val="21"/>
          <w:szCs w:val="24"/>
        </w:rPr>
        <w:t>、终止经营</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费用</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利润总额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所得税费用</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净利润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归属于母公司所有者的终止经营利润</w:t>
            </w:r>
          </w:p>
        </w:tc>
      </w:tr>
    </w:tbl>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6</w:t>
      </w:r>
      <w:r>
        <w:rPr>
          <w:rFonts w:hint="eastAsia"/>
          <w:sz w:val="21"/>
          <w:szCs w:val="24"/>
        </w:rPr>
        <w:t>、分部信息</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）报告分部的确定依据与会计政策</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）报告分部的财务信息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分部间抵销</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）公司无报告分部的，或者不能披露各报告分部的资产总额和负债总额的，应说明原因</w:t>
      </w:r>
    </w:p>
    <w:p>
      <w:pPr>
        <w:autoSpaceDE w:val="0"/>
        <w:autoSpaceDN w:val="0"/>
        <w:adjustRightInd w:val="0"/>
        <w:spacing w:before="150" w:after="150"/>
        <w:ind w:firstLine="496"/>
        <w:rPr>
          <w:rFonts w:hint="default" w:eastAsia="Times New Roman"/>
          <w:kern w:val="0"/>
          <w:sz w:val="21"/>
          <w:szCs w:val="24"/>
          <w:lang w:val="zh-CN"/>
        </w:rPr>
      </w:pPr>
      <w:r>
        <w:rPr>
          <w:rFonts w:hint="eastAsia" w:ascii="宋体" w:hAnsi="宋体" w:cs="宋体"/>
          <w:kern w:val="0"/>
          <w:sz w:val="21"/>
          <w:szCs w:val="24"/>
          <w:lang w:val="zh-CN"/>
        </w:rPr>
        <w:t>公司为阀门及相关产品制造企业，主要产品为阀门、过滤器、毛坯铸件等，生产经营主体主要在国内，无分部报告。</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）其他说明</w:t>
      </w:r>
    </w:p>
    <w:p>
      <w:pPr>
        <w:pStyle w:val="8"/>
        <w:outlineLvl w:val="2"/>
        <w:rPr>
          <w:rFonts w:hint="default"/>
          <w:sz w:val="21"/>
          <w:szCs w:val="24"/>
        </w:rPr>
      </w:pPr>
      <w:r>
        <w:rPr>
          <w:rFonts w:hint="default"/>
          <w:sz w:val="21"/>
          <w:szCs w:val="24"/>
        </w:rPr>
        <w:t>7</w:t>
      </w:r>
      <w:r>
        <w:rPr>
          <w:rFonts w:hint="eastAsia"/>
          <w:sz w:val="21"/>
          <w:szCs w:val="24"/>
        </w:rPr>
        <w:t>、其他对投资者决策有影响的重要交易和事项</w:t>
      </w:r>
    </w:p>
    <w:p>
      <w:pPr>
        <w:pStyle w:val="8"/>
        <w:outlineLvl w:val="2"/>
        <w:rPr>
          <w:rFonts w:hint="default"/>
          <w:sz w:val="21"/>
          <w:szCs w:val="24"/>
        </w:rPr>
      </w:pPr>
      <w:r>
        <w:rPr>
          <w:rFonts w:hint="default"/>
          <w:sz w:val="21"/>
          <w:szCs w:val="24"/>
        </w:rPr>
        <w:t>8</w:t>
      </w:r>
      <w:r>
        <w:rPr>
          <w:rFonts w:hint="eastAsia"/>
          <w:sz w:val="21"/>
          <w:szCs w:val="24"/>
        </w:rPr>
        <w:t>、其他</w:t>
      </w:r>
    </w:p>
    <w:p>
      <w:pPr>
        <w:autoSpaceDE w:val="0"/>
        <w:autoSpaceDN w:val="0"/>
        <w:adjustRightInd w:val="0"/>
        <w:spacing w:before="0" w:after="0"/>
        <w:jc w:val="left"/>
        <w:rPr>
          <w:rFonts w:hint="default" w:eastAsia="Times New Roman"/>
          <w:kern w:val="0"/>
          <w:sz w:val="18"/>
          <w:szCs w:val="24"/>
          <w:lang w:val="zh-CN"/>
        </w:rPr>
      </w:pPr>
      <w:r>
        <w:rPr>
          <w:rFonts w:hint="eastAsia" w:ascii="宋体" w:hAnsi="宋体" w:cs="宋体"/>
          <w:kern w:val="0"/>
          <w:sz w:val="18"/>
          <w:szCs w:val="24"/>
          <w:lang w:val="zh-CN"/>
        </w:rPr>
        <w:t>公司无其他对投资者决策有重大影响的重要交易和事项。</w:t>
      </w:r>
    </w:p>
    <w:p>
      <w:pPr>
        <w:pStyle w:val="7"/>
        <w:outlineLvl w:val="1"/>
        <w:rPr>
          <w:rFonts w:hint="default"/>
          <w:sz w:val="24"/>
          <w:szCs w:val="24"/>
        </w:rPr>
      </w:pPr>
      <w:r>
        <w:rPr>
          <w:rFonts w:hint="eastAsia"/>
          <w:sz w:val="24"/>
          <w:szCs w:val="24"/>
        </w:rPr>
        <w:t>十七、母公司财务报表主要项目注释</w:t>
      </w:r>
    </w:p>
    <w:p>
      <w:pPr>
        <w:pStyle w:val="8"/>
        <w:outlineLvl w:val="2"/>
        <w:rPr>
          <w:rFonts w:hint="default"/>
          <w:sz w:val="21"/>
          <w:szCs w:val="24"/>
        </w:rPr>
      </w:pPr>
      <w:r>
        <w:rPr>
          <w:rFonts w:hint="default"/>
          <w:sz w:val="21"/>
          <w:szCs w:val="24"/>
        </w:rPr>
        <w:t>1</w:t>
      </w:r>
      <w:r>
        <w:rPr>
          <w:rFonts w:hint="eastAsia"/>
          <w:sz w:val="21"/>
          <w:szCs w:val="24"/>
        </w:rPr>
        <w:t>、应收账款</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）应收账款分类披露</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35"/>
        <w:gridCol w:w="763"/>
        <w:gridCol w:w="762"/>
        <w:gridCol w:w="762"/>
        <w:gridCol w:w="763"/>
        <w:gridCol w:w="789"/>
        <w:gridCol w:w="776"/>
        <w:gridCol w:w="797"/>
        <w:gridCol w:w="798"/>
        <w:gridCol w:w="790"/>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9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比例</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9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按组合计提坏账准备的应收账款</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44,128,372.70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5,418,657.39</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12.28%</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38,709,715.31</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71,644,151.76</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6,091,220.41</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8.50%</w:t>
            </w: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65,552,931.35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44,128,372.70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5,418,657.39</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12.28%</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38,709,715.31</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71,644,151.76</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6,091,220.41</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8.50%</w:t>
            </w:r>
          </w:p>
        </w:tc>
        <w:tc>
          <w:tcPr>
            <w:tcW w:w="93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65,552,931.35</w:t>
            </w:r>
          </w:p>
        </w:tc>
      </w:tr>
    </w:tbl>
    <w:p>
      <w:pPr>
        <w:jc w:val="left"/>
        <w:rPr>
          <w:rFonts w:hint="default"/>
          <w:sz w:val="18"/>
          <w:szCs w:val="24"/>
        </w:rPr>
      </w:pPr>
      <w:r>
        <w:rPr>
          <w:rFonts w:hint="eastAsia"/>
          <w:sz w:val="18"/>
          <w:szCs w:val="24"/>
        </w:rPr>
        <w:t>按单项计提坏账准备：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计提理由</w:t>
            </w:r>
          </w:p>
        </w:tc>
      </w:tr>
    </w:tbl>
    <w:p>
      <w:pPr>
        <w:jc w:val="left"/>
        <w:rPr>
          <w:rFonts w:hint="default"/>
          <w:sz w:val="18"/>
          <w:szCs w:val="24"/>
        </w:rPr>
      </w:pPr>
      <w:r>
        <w:rPr>
          <w:rFonts w:hint="eastAsia"/>
          <w:sz w:val="18"/>
          <w:szCs w:val="24"/>
        </w:rPr>
        <w:t>按组合计提坏账准备：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34,611,249.90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1,730,562.50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年（含</w:t>
            </w:r>
            <w:r>
              <w:rPr>
                <w:rFonts w:hint="default"/>
                <w:sz w:val="18"/>
                <w:szCs w:val="24"/>
              </w:rPr>
              <w:t>2</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3,416,709.57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341,670.96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年（含</w:t>
            </w:r>
            <w:r>
              <w:rPr>
                <w:rFonts w:hint="default"/>
                <w:sz w:val="18"/>
                <w:szCs w:val="24"/>
              </w:rPr>
              <w:t>3</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2,578,417.05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773,525.12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3</w:t>
            </w:r>
            <w:r>
              <w:rPr>
                <w:rFonts w:hint="eastAsia"/>
                <w:sz w:val="18"/>
                <w:szCs w:val="24"/>
              </w:rPr>
              <w:t>至</w:t>
            </w:r>
            <w:r>
              <w:rPr>
                <w:rFonts w:hint="default"/>
                <w:sz w:val="18"/>
                <w:szCs w:val="24"/>
              </w:rPr>
              <w:t>4</w:t>
            </w:r>
            <w:r>
              <w:rPr>
                <w:rFonts w:hint="eastAsia"/>
                <w:sz w:val="18"/>
                <w:szCs w:val="24"/>
              </w:rPr>
              <w:t>年（含</w:t>
            </w:r>
            <w:r>
              <w:rPr>
                <w:rFonts w:hint="default"/>
                <w:sz w:val="18"/>
                <w:szCs w:val="24"/>
              </w:rPr>
              <w:t>4</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1,080,527.75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540,263.88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4</w:t>
            </w:r>
            <w:r>
              <w:rPr>
                <w:rFonts w:hint="eastAsia"/>
                <w:sz w:val="18"/>
                <w:szCs w:val="24"/>
              </w:rPr>
              <w:t>至</w:t>
            </w:r>
            <w:r>
              <w:rPr>
                <w:rFonts w:hint="default"/>
                <w:sz w:val="18"/>
                <w:szCs w:val="24"/>
              </w:rPr>
              <w:t>5</w:t>
            </w:r>
            <w:r>
              <w:rPr>
                <w:rFonts w:hint="eastAsia"/>
                <w:sz w:val="18"/>
                <w:szCs w:val="24"/>
              </w:rPr>
              <w:t>年（含</w:t>
            </w:r>
            <w:r>
              <w:rPr>
                <w:rFonts w:hint="default"/>
                <w:sz w:val="18"/>
                <w:szCs w:val="24"/>
              </w:rPr>
              <w:t>5</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2,044,167.48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1,635,333.98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5</w:t>
            </w:r>
            <w:r>
              <w:rPr>
                <w:rFonts w:hint="eastAsia"/>
                <w:sz w:val="18"/>
                <w:szCs w:val="24"/>
              </w:rPr>
              <w:t>年以上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397,300.95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397,300.95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44,128,372.70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5,418,657.39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确定该组合依据的说明：</w:t>
      </w:r>
    </w:p>
    <w:p>
      <w:pPr>
        <w:jc w:val="left"/>
        <w:rPr>
          <w:rFonts w:hint="default"/>
          <w:sz w:val="18"/>
          <w:szCs w:val="24"/>
        </w:rPr>
      </w:pPr>
      <w:r>
        <w:rPr>
          <w:rFonts w:hint="eastAsia"/>
          <w:sz w:val="18"/>
          <w:szCs w:val="24"/>
        </w:rPr>
        <w:t>按组合计提坏账准备：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r>
    </w:tbl>
    <w:p>
      <w:pPr>
        <w:jc w:val="left"/>
        <w:rPr>
          <w:rFonts w:hint="default"/>
          <w:sz w:val="18"/>
          <w:szCs w:val="24"/>
        </w:rPr>
      </w:pPr>
      <w:r>
        <w:rPr>
          <w:rFonts w:hint="eastAsia"/>
          <w:sz w:val="18"/>
          <w:szCs w:val="24"/>
        </w:rPr>
        <w:t>确定该组合依据的说明：</w:t>
      </w:r>
    </w:p>
    <w:p>
      <w:pPr>
        <w:jc w:val="left"/>
        <w:rPr>
          <w:rFonts w:hint="default"/>
          <w:sz w:val="18"/>
          <w:szCs w:val="24"/>
        </w:rPr>
      </w:pPr>
      <w:r>
        <w:rPr>
          <w:rFonts w:hint="eastAsia"/>
          <w:sz w:val="18"/>
          <w:szCs w:val="24"/>
        </w:rPr>
        <w:t>按组合计提坏账准备：</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计提比例</w:t>
            </w:r>
          </w:p>
        </w:tc>
      </w:tr>
    </w:tbl>
    <w:p>
      <w:pPr>
        <w:jc w:val="left"/>
        <w:rPr>
          <w:rFonts w:hint="default"/>
          <w:sz w:val="18"/>
          <w:szCs w:val="24"/>
        </w:rPr>
      </w:pPr>
      <w:r>
        <w:rPr>
          <w:rFonts w:hint="eastAsia"/>
          <w:sz w:val="18"/>
          <w:szCs w:val="24"/>
        </w:rPr>
        <w:t>确定该组合依据的说明：</w:t>
      </w:r>
    </w:p>
    <w:p>
      <w:pPr>
        <w:jc w:val="left"/>
        <w:rPr>
          <w:rFonts w:hint="default"/>
          <w:sz w:val="18"/>
          <w:szCs w:val="24"/>
        </w:rPr>
      </w:pPr>
      <w:r>
        <w:rPr>
          <w:rFonts w:hint="eastAsia"/>
          <w:sz w:val="18"/>
          <w:szCs w:val="24"/>
        </w:rPr>
        <w:t>如是按照预期信用损失一般模型计提应收账款坏账准备，请参照其他应收款的披露方式披露坏账准备的相关信息：</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按账龄披露</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34,611,249.90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3,416,709.57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2,578,417.05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3,521,996.18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至</w:t>
            </w:r>
            <w:r>
              <w:rPr>
                <w:rFonts w:hint="default"/>
                <w:sz w:val="18"/>
                <w:szCs w:val="24"/>
              </w:rPr>
              <w:t>4</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1,080,527.75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2,044,167.48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397,300.95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44,128,372.70</w:t>
            </w: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jc w:val="left"/>
        <w:rPr>
          <w:rFonts w:hint="default"/>
          <w:sz w:val="18"/>
          <w:szCs w:val="24"/>
        </w:rPr>
      </w:pPr>
      <w:r>
        <w:rPr>
          <w:rFonts w:hint="eastAsia"/>
          <w:sz w:val="18"/>
          <w:szCs w:val="24"/>
        </w:rPr>
        <w:t>本期计提坏账准备情况：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按组合计提坏账准备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6,091,220.41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672,563.02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5,418,657.39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6,091,220.41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672,563.02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5,418,657.39</w:t>
            </w:r>
          </w:p>
        </w:tc>
      </w:tr>
    </w:tbl>
    <w:p>
      <w:pPr>
        <w:jc w:val="left"/>
        <w:rPr>
          <w:rFonts w:hint="default"/>
          <w:sz w:val="18"/>
          <w:szCs w:val="24"/>
        </w:rPr>
      </w:pPr>
      <w:r>
        <w:rPr>
          <w:rFonts w:hint="eastAsia"/>
          <w:sz w:val="18"/>
          <w:szCs w:val="24"/>
        </w:rPr>
        <w:t>其中本期坏账准备收回或转回金额重要的：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368"/>
        <w:gridCol w:w="3100"/>
        <w:gridCol w:w="3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收回或转回金额</w:t>
            </w:r>
          </w:p>
        </w:tc>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收回方式</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）本期实际核销的应收账款情况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r>
    </w:tbl>
    <w:p>
      <w:pPr>
        <w:jc w:val="left"/>
        <w:rPr>
          <w:rFonts w:hint="default"/>
          <w:sz w:val="18"/>
          <w:szCs w:val="24"/>
        </w:rPr>
      </w:pPr>
      <w:r>
        <w:rPr>
          <w:rFonts w:hint="eastAsia"/>
          <w:sz w:val="18"/>
          <w:szCs w:val="24"/>
        </w:rPr>
        <w:t>其中重要的应收账款核销情况：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应收账款性质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核销原因</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履行的核销程序</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款项是否由关联交易产生</w:t>
            </w:r>
          </w:p>
        </w:tc>
      </w:tr>
    </w:tbl>
    <w:p>
      <w:pPr>
        <w:jc w:val="left"/>
        <w:rPr>
          <w:rFonts w:hint="default"/>
          <w:sz w:val="18"/>
          <w:szCs w:val="24"/>
        </w:rPr>
      </w:pPr>
      <w:r>
        <w:rPr>
          <w:rFonts w:hint="eastAsia"/>
          <w:sz w:val="18"/>
          <w:szCs w:val="24"/>
        </w:rPr>
        <w:t>应收账款核销说明：</w:t>
      </w:r>
    </w:p>
    <w:p>
      <w:pPr>
        <w:pStyle w:val="8"/>
        <w:outlineLvl w:val="3"/>
        <w:rPr>
          <w:rFonts w:hint="default"/>
          <w:sz w:val="21"/>
          <w:szCs w:val="24"/>
        </w:rPr>
      </w:pPr>
      <w:r>
        <w:rPr>
          <w:rFonts w:hint="eastAsia"/>
          <w:sz w:val="21"/>
          <w:szCs w:val="24"/>
        </w:rPr>
        <w:t>（</w:t>
      </w:r>
      <w:r>
        <w:rPr>
          <w:rFonts w:hint="default"/>
          <w:sz w:val="21"/>
          <w:szCs w:val="24"/>
        </w:rPr>
        <w:t>4</w:t>
      </w:r>
      <w:r>
        <w:rPr>
          <w:rFonts w:hint="eastAsia"/>
          <w:sz w:val="21"/>
          <w:szCs w:val="24"/>
        </w:rPr>
        <w:t>）按欠款方归集的期末余额前五名的应收账款情况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应收账款期末余额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占应收账款期末余额合计数的比例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客户一</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2,913,664.86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145,683.24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客户二</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2,659,459.54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132,972.98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客户三</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2,382,930.87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119,146.54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客户四</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1,945,498.12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97,274.91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客户五</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1,895,786.40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94,789.32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11,797,339.79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26.74%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p>
        </w:tc>
      </w:tr>
    </w:tbl>
    <w:p>
      <w:pPr>
        <w:pStyle w:val="8"/>
        <w:outlineLvl w:val="3"/>
        <w:rPr>
          <w:rFonts w:hint="default"/>
          <w:sz w:val="21"/>
          <w:szCs w:val="24"/>
        </w:rPr>
      </w:pPr>
      <w:r>
        <w:rPr>
          <w:rFonts w:hint="eastAsia"/>
          <w:sz w:val="21"/>
          <w:szCs w:val="24"/>
        </w:rPr>
        <w:t>（</w:t>
      </w:r>
      <w:r>
        <w:rPr>
          <w:rFonts w:hint="default"/>
          <w:sz w:val="21"/>
          <w:szCs w:val="24"/>
        </w:rPr>
        <w:t>5</w:t>
      </w:r>
      <w:r>
        <w:rPr>
          <w:rFonts w:hint="eastAsia"/>
          <w:sz w:val="21"/>
          <w:szCs w:val="24"/>
        </w:rPr>
        <w:t>）因金融资产转移而终止确认的应收账款</w:t>
      </w:r>
    </w:p>
    <w:p>
      <w:pPr>
        <w:pStyle w:val="8"/>
        <w:outlineLvl w:val="3"/>
        <w:rPr>
          <w:rFonts w:hint="default"/>
          <w:sz w:val="21"/>
          <w:szCs w:val="24"/>
        </w:rPr>
      </w:pPr>
      <w:r>
        <w:rPr>
          <w:rFonts w:hint="eastAsia"/>
          <w:sz w:val="21"/>
          <w:szCs w:val="24"/>
        </w:rPr>
        <w:t>（</w:t>
      </w:r>
      <w:r>
        <w:rPr>
          <w:rFonts w:hint="default"/>
          <w:sz w:val="21"/>
          <w:szCs w:val="24"/>
        </w:rPr>
        <w:t>6</w:t>
      </w:r>
      <w:r>
        <w:rPr>
          <w:rFonts w:hint="eastAsia"/>
          <w:sz w:val="21"/>
          <w:szCs w:val="24"/>
        </w:rPr>
        <w:t>）转移应收账款且继续涉入形成的资产、负债金额</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2</w:t>
      </w:r>
      <w:r>
        <w:rPr>
          <w:rFonts w:hint="eastAsia"/>
          <w:sz w:val="21"/>
          <w:szCs w:val="24"/>
        </w:rPr>
        <w:t>、其他应收款</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其他应收款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23,008,321.95</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26,863,455.81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23,008,321.95</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26,863,455.81</w:t>
            </w:r>
          </w:p>
        </w:tc>
      </w:tr>
    </w:tbl>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）应收利息</w:t>
      </w:r>
    </w:p>
    <w:p>
      <w:pPr>
        <w:pStyle w:val="8"/>
        <w:outlineLvl w:val="4"/>
        <w:rPr>
          <w:rFonts w:hint="default"/>
          <w:sz w:val="21"/>
          <w:szCs w:val="24"/>
        </w:rPr>
      </w:pPr>
      <w:r>
        <w:rPr>
          <w:rFonts w:hint="default"/>
          <w:sz w:val="21"/>
          <w:szCs w:val="24"/>
        </w:rPr>
        <w:t>1</w:t>
      </w:r>
      <w:r>
        <w:rPr>
          <w:rFonts w:hint="eastAsia"/>
          <w:sz w:val="21"/>
          <w:szCs w:val="24"/>
        </w:rPr>
        <w:t>）应收利息分类</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pStyle w:val="8"/>
        <w:outlineLvl w:val="4"/>
        <w:rPr>
          <w:rFonts w:hint="default"/>
          <w:sz w:val="21"/>
          <w:szCs w:val="24"/>
        </w:rPr>
      </w:pPr>
      <w:r>
        <w:rPr>
          <w:rFonts w:hint="default"/>
          <w:sz w:val="21"/>
          <w:szCs w:val="24"/>
        </w:rPr>
        <w:t>2</w:t>
      </w:r>
      <w:r>
        <w:rPr>
          <w:rFonts w:hint="eastAsia"/>
          <w:sz w:val="21"/>
          <w:szCs w:val="24"/>
        </w:rPr>
        <w:t>）重要逾期利息</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借款单位</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逾期原因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是否发生减值及其判断依据</w:t>
            </w:r>
          </w:p>
        </w:tc>
      </w:tr>
    </w:tbl>
    <w:p>
      <w:pPr>
        <w:jc w:val="left"/>
        <w:rPr>
          <w:rFonts w:hint="default"/>
          <w:sz w:val="18"/>
          <w:szCs w:val="24"/>
        </w:rPr>
      </w:pPr>
      <w:r>
        <w:rPr>
          <w:rFonts w:hint="eastAsia"/>
          <w:sz w:val="18"/>
          <w:szCs w:val="24"/>
        </w:rPr>
        <w:t>其他说明：</w:t>
      </w:r>
    </w:p>
    <w:p>
      <w:pPr>
        <w:pStyle w:val="8"/>
        <w:outlineLvl w:val="4"/>
        <w:rPr>
          <w:rFonts w:hint="default"/>
          <w:sz w:val="21"/>
          <w:szCs w:val="24"/>
        </w:rPr>
      </w:pPr>
      <w:r>
        <w:rPr>
          <w:rFonts w:hint="default"/>
          <w:sz w:val="21"/>
          <w:szCs w:val="24"/>
        </w:rPr>
        <w:t>3</w:t>
      </w:r>
      <w:r>
        <w:rPr>
          <w:rFonts w:hint="eastAsia"/>
          <w:sz w:val="21"/>
          <w:szCs w:val="24"/>
        </w:rPr>
        <w:t>）坏账准备计提情况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）应收股利</w:t>
      </w:r>
    </w:p>
    <w:p>
      <w:pPr>
        <w:pStyle w:val="8"/>
        <w:outlineLvl w:val="4"/>
        <w:rPr>
          <w:rFonts w:hint="default"/>
          <w:sz w:val="21"/>
          <w:szCs w:val="24"/>
        </w:rPr>
      </w:pPr>
      <w:r>
        <w:rPr>
          <w:rFonts w:hint="default"/>
          <w:sz w:val="21"/>
          <w:szCs w:val="24"/>
        </w:rPr>
        <w:t>1</w:t>
      </w:r>
      <w:r>
        <w:rPr>
          <w:rFonts w:hint="eastAsia"/>
          <w:sz w:val="21"/>
          <w:szCs w:val="24"/>
        </w:rPr>
        <w:t>）应收股利分类</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bl>
    <w:p>
      <w:pPr>
        <w:pStyle w:val="8"/>
        <w:outlineLvl w:val="4"/>
        <w:rPr>
          <w:rFonts w:hint="default"/>
          <w:sz w:val="21"/>
          <w:szCs w:val="24"/>
        </w:rPr>
      </w:pPr>
      <w:r>
        <w:rPr>
          <w:rFonts w:hint="default"/>
          <w:sz w:val="21"/>
          <w:szCs w:val="24"/>
        </w:rPr>
        <w:t>2</w:t>
      </w:r>
      <w:r>
        <w:rPr>
          <w:rFonts w:hint="eastAsia"/>
          <w:sz w:val="21"/>
          <w:szCs w:val="24"/>
        </w:rPr>
        <w:t>）重要的账龄超过</w:t>
      </w:r>
      <w:r>
        <w:rPr>
          <w:rFonts w:hint="default"/>
          <w:sz w:val="21"/>
          <w:szCs w:val="24"/>
        </w:rPr>
        <w:t>1</w:t>
      </w:r>
      <w:r>
        <w:rPr>
          <w:rFonts w:hint="eastAsia"/>
          <w:sz w:val="21"/>
          <w:szCs w:val="24"/>
        </w:rPr>
        <w:t>年的应收股利</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未收回的原因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是否发生减值及其判断依据</w:t>
            </w:r>
          </w:p>
        </w:tc>
      </w:tr>
    </w:tbl>
    <w:p>
      <w:pPr>
        <w:pStyle w:val="8"/>
        <w:outlineLvl w:val="4"/>
        <w:rPr>
          <w:rFonts w:hint="default"/>
          <w:sz w:val="21"/>
          <w:szCs w:val="24"/>
        </w:rPr>
      </w:pPr>
      <w:r>
        <w:rPr>
          <w:rFonts w:hint="default"/>
          <w:sz w:val="21"/>
          <w:szCs w:val="24"/>
        </w:rPr>
        <w:t>3</w:t>
      </w:r>
      <w:r>
        <w:rPr>
          <w:rFonts w:hint="eastAsia"/>
          <w:sz w:val="21"/>
          <w:szCs w:val="24"/>
        </w:rPr>
        <w:t>）坏账准备计提情况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其他说明：</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）其他应收款</w:t>
      </w:r>
    </w:p>
    <w:p>
      <w:pPr>
        <w:pStyle w:val="8"/>
        <w:outlineLvl w:val="4"/>
        <w:rPr>
          <w:rFonts w:hint="default"/>
          <w:sz w:val="21"/>
          <w:szCs w:val="24"/>
        </w:rPr>
      </w:pPr>
      <w:r>
        <w:rPr>
          <w:rFonts w:hint="default"/>
          <w:sz w:val="21"/>
          <w:szCs w:val="24"/>
        </w:rPr>
        <w:t>1</w:t>
      </w:r>
      <w:r>
        <w:rPr>
          <w:rFonts w:hint="eastAsia"/>
          <w:sz w:val="21"/>
          <w:szCs w:val="24"/>
        </w:rPr>
        <w:t>）其他应收款按款项性质分类情况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款项性质</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期末账面余额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出口退税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2,741,506.92</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3,637,084.49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保证金</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730,230.53</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443,680.54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单位间往来款</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22,892,176.53</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29,310,476.58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26,363,913.98</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33,391,241.61</w:t>
            </w:r>
          </w:p>
        </w:tc>
      </w:tr>
    </w:tbl>
    <w:p>
      <w:pPr>
        <w:pStyle w:val="8"/>
        <w:outlineLvl w:val="4"/>
        <w:rPr>
          <w:rFonts w:hint="default"/>
          <w:sz w:val="21"/>
          <w:szCs w:val="24"/>
        </w:rPr>
      </w:pPr>
      <w:r>
        <w:rPr>
          <w:rFonts w:hint="default"/>
          <w:sz w:val="21"/>
          <w:szCs w:val="24"/>
        </w:rPr>
        <w:t>2</w:t>
      </w:r>
      <w:r>
        <w:rPr>
          <w:rFonts w:hint="eastAsia"/>
          <w:sz w:val="21"/>
          <w:szCs w:val="24"/>
        </w:rPr>
        <w:t>）坏账准备计提情况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6,527,785.80</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6,527,785.80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本期转回</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3,172,193.77</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3,172,193.77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3,355,592.03</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3,355,592.03</w:t>
            </w:r>
          </w:p>
        </w:tc>
      </w:tr>
    </w:tbl>
    <w:p>
      <w:pPr>
        <w:jc w:val="left"/>
        <w:rPr>
          <w:rFonts w:hint="default"/>
          <w:sz w:val="18"/>
          <w:szCs w:val="24"/>
        </w:rPr>
      </w:pPr>
      <w:r>
        <w:rPr>
          <w:rFonts w:hint="eastAsia"/>
          <w:sz w:val="18"/>
          <w:szCs w:val="24"/>
        </w:rPr>
        <w:t>损失准备本期变动金额重大的账面余额变动情况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left"/>
        <w:rPr>
          <w:rFonts w:hint="default"/>
          <w:sz w:val="18"/>
          <w:szCs w:val="24"/>
        </w:rPr>
      </w:pPr>
      <w:r>
        <w:rPr>
          <w:rFonts w:hint="eastAsia"/>
          <w:sz w:val="18"/>
          <w:szCs w:val="24"/>
        </w:rPr>
        <w:t>按账龄披露</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12,082,479.57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7,770,000.00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6,428,997.37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82,437.04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3</w:t>
            </w:r>
            <w:r>
              <w:rPr>
                <w:rFonts w:hint="eastAsia"/>
                <w:sz w:val="18"/>
                <w:szCs w:val="24"/>
              </w:rPr>
              <w:t>至</w:t>
            </w:r>
            <w:r>
              <w:rPr>
                <w:rFonts w:hint="default"/>
                <w:sz w:val="18"/>
                <w:szCs w:val="24"/>
              </w:rPr>
              <w:t>4</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70,669.31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6,667.73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26,363,913.98</w:t>
            </w:r>
          </w:p>
        </w:tc>
      </w:tr>
    </w:tbl>
    <w:p>
      <w:pPr>
        <w:pStyle w:val="8"/>
        <w:outlineLvl w:val="4"/>
        <w:rPr>
          <w:rFonts w:hint="default"/>
          <w:sz w:val="21"/>
          <w:szCs w:val="24"/>
        </w:rPr>
      </w:pPr>
      <w:r>
        <w:rPr>
          <w:rFonts w:hint="default"/>
          <w:sz w:val="21"/>
          <w:szCs w:val="24"/>
        </w:rPr>
        <w:t>3</w:t>
      </w:r>
      <w:r>
        <w:rPr>
          <w:rFonts w:hint="eastAsia"/>
          <w:sz w:val="21"/>
          <w:szCs w:val="24"/>
        </w:rPr>
        <w:t>）本期计提、收回或转回的坏账准备情况</w:t>
      </w:r>
    </w:p>
    <w:p>
      <w:pPr>
        <w:jc w:val="left"/>
        <w:rPr>
          <w:rFonts w:hint="default"/>
          <w:sz w:val="18"/>
          <w:szCs w:val="24"/>
        </w:rPr>
      </w:pPr>
      <w:r>
        <w:rPr>
          <w:rFonts w:hint="eastAsia"/>
          <w:sz w:val="18"/>
          <w:szCs w:val="24"/>
        </w:rPr>
        <w:t>本期计提坏账准备情况：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579"/>
        <w:gridCol w:w="1087"/>
        <w:gridCol w:w="1332"/>
        <w:gridCol w:w="1330"/>
        <w:gridCol w:w="1089"/>
        <w:gridCol w:w="1577"/>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7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类别</w:t>
            </w:r>
          </w:p>
        </w:tc>
        <w:tc>
          <w:tcPr>
            <w:tcW w:w="108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c>
          <w:tcPr>
            <w:tcW w:w="53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本期变动金额</w:t>
            </w:r>
          </w:p>
        </w:tc>
        <w:tc>
          <w:tcPr>
            <w:tcW w:w="157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08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收回或转回</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w:t>
            </w: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5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bl>
    <w:p>
      <w:pPr>
        <w:jc w:val="left"/>
        <w:rPr>
          <w:rFonts w:hint="default"/>
          <w:sz w:val="18"/>
          <w:szCs w:val="24"/>
        </w:rPr>
      </w:pPr>
      <w:r>
        <w:rPr>
          <w:rFonts w:hint="eastAsia"/>
          <w:sz w:val="18"/>
          <w:szCs w:val="24"/>
        </w:rPr>
        <w:t>其中本期坏账准备转回或收回金额重要的：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转回或收回金额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收回方式</w:t>
            </w:r>
          </w:p>
        </w:tc>
      </w:tr>
    </w:tbl>
    <w:p>
      <w:pPr>
        <w:pStyle w:val="8"/>
        <w:outlineLvl w:val="4"/>
        <w:rPr>
          <w:rFonts w:hint="default"/>
          <w:sz w:val="21"/>
          <w:szCs w:val="24"/>
        </w:rPr>
      </w:pPr>
      <w:r>
        <w:rPr>
          <w:rFonts w:hint="default"/>
          <w:sz w:val="21"/>
          <w:szCs w:val="24"/>
        </w:rPr>
        <w:t>4</w:t>
      </w:r>
      <w:r>
        <w:rPr>
          <w:rFonts w:hint="eastAsia"/>
          <w:sz w:val="21"/>
          <w:szCs w:val="24"/>
        </w:rPr>
        <w:t>）本期实际核销的其他应收款情况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r>
    </w:tbl>
    <w:p>
      <w:pPr>
        <w:jc w:val="left"/>
        <w:rPr>
          <w:rFonts w:hint="default"/>
          <w:sz w:val="18"/>
          <w:szCs w:val="24"/>
        </w:rPr>
      </w:pPr>
      <w:r>
        <w:rPr>
          <w:rFonts w:hint="eastAsia"/>
          <w:sz w:val="18"/>
          <w:szCs w:val="24"/>
        </w:rPr>
        <w:t>其中重要的其他应收款核销情况：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其他应收款性质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核销金额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核销原因</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履行的核销程序</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款项是否由关联交易产生</w:t>
            </w:r>
          </w:p>
        </w:tc>
      </w:tr>
    </w:tbl>
    <w:p>
      <w:pPr>
        <w:jc w:val="left"/>
        <w:rPr>
          <w:rFonts w:hint="default"/>
          <w:sz w:val="18"/>
          <w:szCs w:val="24"/>
        </w:rPr>
      </w:pPr>
      <w:r>
        <w:rPr>
          <w:rFonts w:hint="eastAsia"/>
          <w:sz w:val="18"/>
          <w:szCs w:val="24"/>
        </w:rPr>
        <w:t>其他应收款核销说明：</w:t>
      </w:r>
    </w:p>
    <w:p>
      <w:pPr>
        <w:pStyle w:val="8"/>
        <w:outlineLvl w:val="4"/>
        <w:rPr>
          <w:rFonts w:hint="default"/>
          <w:sz w:val="21"/>
          <w:szCs w:val="24"/>
        </w:rPr>
      </w:pPr>
      <w:r>
        <w:rPr>
          <w:rFonts w:hint="default"/>
          <w:sz w:val="21"/>
          <w:szCs w:val="24"/>
        </w:rPr>
        <w:t>5</w:t>
      </w:r>
      <w:r>
        <w:rPr>
          <w:rFonts w:hint="eastAsia"/>
          <w:sz w:val="21"/>
          <w:szCs w:val="24"/>
        </w:rPr>
        <w:t>）按欠款方归集的期末余额前五名的其他应收款情况</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款项的性质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账龄</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占其他应收款期末余额合计数的比例</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客户一</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往来款</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22,858,997.37</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r>
              <w:rPr>
                <w:rFonts w:hint="default"/>
                <w:sz w:val="18"/>
                <w:szCs w:val="24"/>
              </w:rPr>
              <w:t>2-3</w:t>
            </w:r>
            <w:r>
              <w:rPr>
                <w:rFonts w:hint="eastAsia"/>
                <w:sz w:val="18"/>
                <w:szCs w:val="24"/>
              </w:rPr>
              <w:t>年</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86.71%</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3,137,699.21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客户二</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出口退税款</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2,741,506.92</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10.40%</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137,075.35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客户三</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240,000.00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0.91%</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客户四</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160,000.00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0.61%</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客户五</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121,130.53</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0.46%</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6,056.53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26,121,634.82</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99.09%</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3,300,831.09</w:t>
            </w:r>
          </w:p>
        </w:tc>
      </w:tr>
    </w:tbl>
    <w:p>
      <w:pPr>
        <w:pStyle w:val="8"/>
        <w:outlineLvl w:val="4"/>
        <w:rPr>
          <w:rFonts w:hint="default"/>
          <w:sz w:val="21"/>
          <w:szCs w:val="24"/>
        </w:rPr>
      </w:pPr>
      <w:r>
        <w:rPr>
          <w:rFonts w:hint="default"/>
          <w:sz w:val="21"/>
          <w:szCs w:val="24"/>
        </w:rPr>
        <w:t>6</w:t>
      </w:r>
      <w:r>
        <w:rPr>
          <w:rFonts w:hint="eastAsia"/>
          <w:sz w:val="21"/>
          <w:szCs w:val="24"/>
        </w:rPr>
        <w:t>）涉及政府补助的应收款项</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025"/>
        <w:gridCol w:w="1866"/>
        <w:gridCol w:w="1867"/>
        <w:gridCol w:w="1867"/>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单位名称</w:t>
            </w:r>
          </w:p>
        </w:tc>
        <w:tc>
          <w:tcPr>
            <w:tcW w:w="18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政府补助项目名称</w:t>
            </w:r>
          </w:p>
        </w:tc>
        <w:tc>
          <w:tcPr>
            <w:tcW w:w="18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18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期末账龄</w:t>
            </w:r>
          </w:p>
        </w:tc>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预计收取的时间、金额及依据</w:t>
            </w:r>
          </w:p>
        </w:tc>
      </w:tr>
    </w:tbl>
    <w:p>
      <w:pPr>
        <w:pStyle w:val="8"/>
        <w:outlineLvl w:val="4"/>
        <w:rPr>
          <w:rFonts w:hint="default"/>
          <w:sz w:val="21"/>
          <w:szCs w:val="24"/>
        </w:rPr>
      </w:pPr>
      <w:r>
        <w:rPr>
          <w:rFonts w:hint="default"/>
          <w:sz w:val="21"/>
          <w:szCs w:val="24"/>
        </w:rPr>
        <w:t>7</w:t>
      </w:r>
      <w:r>
        <w:rPr>
          <w:rFonts w:hint="eastAsia"/>
          <w:sz w:val="21"/>
          <w:szCs w:val="24"/>
        </w:rPr>
        <w:t>）因金融资产转移而终止确认的其他应收款</w:t>
      </w:r>
    </w:p>
    <w:p>
      <w:pPr>
        <w:pStyle w:val="8"/>
        <w:outlineLvl w:val="4"/>
        <w:rPr>
          <w:rFonts w:hint="default"/>
          <w:sz w:val="21"/>
          <w:szCs w:val="24"/>
        </w:rPr>
      </w:pPr>
      <w:r>
        <w:rPr>
          <w:rFonts w:hint="default"/>
          <w:sz w:val="21"/>
          <w:szCs w:val="24"/>
        </w:rPr>
        <w:t>8</w:t>
      </w:r>
      <w:r>
        <w:rPr>
          <w:rFonts w:hint="eastAsia"/>
          <w:sz w:val="21"/>
          <w:szCs w:val="24"/>
        </w:rPr>
        <w:t>）转移其他应收款且继续涉入形成的资产、负债金额</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3</w:t>
      </w:r>
      <w:r>
        <w:rPr>
          <w:rFonts w:hint="eastAsia"/>
          <w:sz w:val="21"/>
          <w:szCs w:val="24"/>
        </w:rPr>
        <w:t>、长期股权投资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对子公司投资</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242,044,261.25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242,044,261.25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228,796,424.38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228,796,424.38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242,044,261.25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242,044,261.25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228,796,424.38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228,796,424.38</w:t>
            </w:r>
          </w:p>
        </w:tc>
      </w:tr>
    </w:tbl>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）对子公司投资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67"/>
        <w:gridCol w:w="1166"/>
        <w:gridCol w:w="1166"/>
        <w:gridCol w:w="1166"/>
        <w:gridCol w:w="1166"/>
        <w:gridCol w:w="1213"/>
        <w:gridCol w:w="121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被投资单位</w:t>
            </w:r>
          </w:p>
        </w:tc>
        <w:tc>
          <w:tcPr>
            <w:tcW w:w="11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471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本期增减变动</w:t>
            </w:r>
          </w:p>
        </w:tc>
        <w:tc>
          <w:tcPr>
            <w:tcW w:w="12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12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16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追加投资</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减少投资</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计提减值准备</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青岛伟隆五金机械有限公司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青岛伟隆流体设备有限公司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60,000,000.00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莱州伟隆阀门有限公司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167,988,288.38</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167,988,288.38</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青岛即聚机电有限责任公司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8,247,836.87</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8,247,836.87</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青岛卓信检测技术有限责任公司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5,000,000.00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偉隆（香港）實業有限公司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Weflo Valve Company  Limited</w:t>
            </w:r>
            <w:r>
              <w:rPr>
                <w:rFonts w:hint="eastAsia"/>
                <w:sz w:val="18"/>
                <w:szCs w:val="24"/>
              </w:rPr>
              <w:t>（英国公司）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default"/>
                <w:sz w:val="18"/>
                <w:szCs w:val="24"/>
              </w:rPr>
              <w:t>Weflo Valve LLC</w:t>
            </w:r>
            <w:r>
              <w:rPr>
                <w:rFonts w:hint="eastAsia"/>
                <w:sz w:val="18"/>
                <w:szCs w:val="24"/>
              </w:rPr>
              <w:t>（美国公司）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308,136.00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308,136.00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default"/>
                <w:sz w:val="18"/>
                <w:szCs w:val="24"/>
              </w:rPr>
            </w:pPr>
            <w:r>
              <w:rPr>
                <w:rFonts w:hint="default"/>
                <w:sz w:val="18"/>
                <w:szCs w:val="24"/>
              </w:rPr>
              <w:t>228,796,424.38</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13,247,836.87</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242,044,261.25</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p>
        </w:tc>
      </w:tr>
    </w:tbl>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）对联营、合营企业投资</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796"/>
        <w:gridCol w:w="797"/>
        <w:gridCol w:w="797"/>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投资单位</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6383"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本期增减变动</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7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追加投资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减少投资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权益法下确认的投资损益</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其他综合收益调整</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其他权益变动</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宣告发放现金股利或利润</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计提减值准备</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其他</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一、合营企业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二、联营企业</w:t>
            </w:r>
          </w:p>
        </w:tc>
      </w:tr>
    </w:tbl>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）其他说明</w:t>
      </w:r>
    </w:p>
    <w:p>
      <w:pPr>
        <w:pStyle w:val="8"/>
        <w:outlineLvl w:val="2"/>
        <w:rPr>
          <w:rFonts w:hint="default"/>
          <w:sz w:val="21"/>
          <w:szCs w:val="24"/>
        </w:rPr>
      </w:pPr>
      <w:r>
        <w:rPr>
          <w:rFonts w:hint="default"/>
          <w:sz w:val="21"/>
          <w:szCs w:val="24"/>
        </w:rPr>
        <w:t>4</w:t>
      </w:r>
      <w:r>
        <w:rPr>
          <w:rFonts w:hint="eastAsia"/>
          <w:sz w:val="21"/>
          <w:szCs w:val="24"/>
        </w:rPr>
        <w:t>、营业收入和营业成本</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94"/>
        <w:gridCol w:w="1837"/>
        <w:gridCol w:w="1913"/>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75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8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收入</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成本</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收入</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主营业务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318,515,971.20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207,675,822.50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352,640,066.03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226,763,946.13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其他业务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817,576.39</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461,227.15</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419,769.00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348,445.57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319,333,547.59</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208,137,049.65</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353,059,835.03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227,112,391.70</w:t>
            </w:r>
          </w:p>
        </w:tc>
      </w:tr>
    </w:tbl>
    <w:p>
      <w:pPr>
        <w:jc w:val="left"/>
        <w:rPr>
          <w:rFonts w:hint="default"/>
          <w:sz w:val="18"/>
          <w:szCs w:val="24"/>
        </w:rPr>
      </w:pPr>
      <w:r>
        <w:rPr>
          <w:rFonts w:hint="eastAsia"/>
          <w:sz w:val="18"/>
          <w:szCs w:val="24"/>
        </w:rPr>
        <w:t>收入相关信息：</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合同分类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分部</w:t>
            </w:r>
            <w:r>
              <w:rPr>
                <w:rFonts w:hint="default"/>
                <w:sz w:val="18"/>
                <w:szCs w:val="24"/>
              </w:rPr>
              <w:t>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分部</w:t>
            </w:r>
            <w:r>
              <w:rPr>
                <w:rFonts w:hint="default"/>
                <w:sz w:val="18"/>
                <w:szCs w:val="24"/>
              </w:rPr>
              <w:t>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p>
        </w:tc>
      </w:tr>
    </w:tbl>
    <w:p>
      <w:pPr>
        <w:jc w:val="left"/>
        <w:rPr>
          <w:rFonts w:hint="eastAsia"/>
          <w:sz w:val="18"/>
          <w:szCs w:val="24"/>
        </w:rPr>
      </w:pPr>
      <w:r>
        <w:rPr>
          <w:rFonts w:hint="eastAsia"/>
          <w:sz w:val="18"/>
          <w:szCs w:val="24"/>
        </w:rPr>
        <w:t>与履约义务相关的信息：</w:t>
      </w:r>
    </w:p>
    <w:p>
      <w:pPr>
        <w:jc w:val="left"/>
        <w:rPr>
          <w:rFonts w:hint="eastAsia"/>
          <w:sz w:val="18"/>
          <w:szCs w:val="24"/>
        </w:rPr>
      </w:pPr>
      <w:r>
        <w:rPr>
          <w:rFonts w:hint="eastAsia"/>
          <w:sz w:val="18"/>
          <w:szCs w:val="24"/>
        </w:rPr>
        <w:t>无</w:t>
      </w:r>
    </w:p>
    <w:p>
      <w:pPr>
        <w:jc w:val="left"/>
        <w:rPr>
          <w:rFonts w:hint="default"/>
          <w:sz w:val="18"/>
          <w:szCs w:val="24"/>
        </w:rPr>
      </w:pPr>
      <w:r>
        <w:rPr>
          <w:rFonts w:hint="eastAsia"/>
          <w:sz w:val="18"/>
          <w:szCs w:val="24"/>
        </w:rPr>
        <w:t>与分摊至剩余履约义务的交易价格相关的信息：</w:t>
      </w:r>
    </w:p>
    <w:p>
      <w:pPr>
        <w:jc w:val="left"/>
        <w:rPr>
          <w:rFonts w:hint="eastAsia"/>
          <w:sz w:val="18"/>
          <w:szCs w:val="24"/>
        </w:rPr>
      </w:pPr>
      <w:r>
        <w:rPr>
          <w:rFonts w:hint="eastAsia"/>
          <w:sz w:val="18"/>
          <w:szCs w:val="24"/>
        </w:rPr>
        <w:t>本报告期末已签订合同、但尚未履行或尚未履行完毕的履约义务所对应的收入金额为41,895,065.25元，其中，41,895,065.25元预计将于2021年度确认收入。</w:t>
      </w:r>
    </w:p>
    <w:p>
      <w:pPr>
        <w:jc w:val="left"/>
        <w:rPr>
          <w:rFonts w:hint="default"/>
          <w:sz w:val="18"/>
          <w:szCs w:val="24"/>
        </w:rPr>
      </w:pPr>
      <w:r>
        <w:rPr>
          <w:rFonts w:hint="eastAsia"/>
          <w:sz w:val="18"/>
          <w:szCs w:val="24"/>
        </w:rPr>
        <w:t>其他说明：</w:t>
      </w:r>
    </w:p>
    <w:p>
      <w:pPr>
        <w:pStyle w:val="8"/>
        <w:outlineLvl w:val="2"/>
        <w:rPr>
          <w:rFonts w:hint="default"/>
          <w:sz w:val="21"/>
          <w:szCs w:val="24"/>
        </w:rPr>
      </w:pPr>
      <w:r>
        <w:rPr>
          <w:rFonts w:hint="default"/>
          <w:sz w:val="21"/>
          <w:szCs w:val="24"/>
        </w:rPr>
        <w:t>5</w:t>
      </w:r>
      <w:r>
        <w:rPr>
          <w:rFonts w:hint="eastAsia"/>
          <w:sz w:val="21"/>
          <w:szCs w:val="24"/>
        </w:rPr>
        <w:t>、投资收益</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本期发生额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理财产品收益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8,818,730.00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9,891,391.49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外汇期权收益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430,900.00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r>
              <w:rPr>
                <w:rFonts w:hint="eastAsia"/>
                <w:sz w:val="18"/>
                <w:szCs w:val="24"/>
              </w:rPr>
              <w:t>远期结售汇损失</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-129,550.00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05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9,120,080.00</w:t>
            </w:r>
          </w:p>
        </w:tc>
        <w:tc>
          <w:tcPr>
            <w:tcW w:w="318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9,891,391.49</w:t>
            </w:r>
          </w:p>
        </w:tc>
      </w:tr>
    </w:tbl>
    <w:p>
      <w:pPr>
        <w:pStyle w:val="8"/>
        <w:outlineLvl w:val="2"/>
        <w:rPr>
          <w:rFonts w:hint="default"/>
          <w:sz w:val="21"/>
          <w:szCs w:val="24"/>
        </w:rPr>
      </w:pPr>
      <w:r>
        <w:rPr>
          <w:rFonts w:hint="default"/>
          <w:sz w:val="21"/>
          <w:szCs w:val="24"/>
        </w:rPr>
        <w:t>6</w:t>
      </w:r>
      <w:r>
        <w:rPr>
          <w:rFonts w:hint="eastAsia"/>
          <w:sz w:val="21"/>
          <w:szCs w:val="24"/>
        </w:rPr>
        <w:t>、其他</w:t>
      </w:r>
    </w:p>
    <w:p>
      <w:pPr>
        <w:pStyle w:val="7"/>
        <w:outlineLvl w:val="1"/>
        <w:rPr>
          <w:rFonts w:hint="default"/>
          <w:sz w:val="24"/>
          <w:szCs w:val="24"/>
        </w:rPr>
      </w:pPr>
      <w:r>
        <w:rPr>
          <w:rFonts w:hint="eastAsia"/>
          <w:sz w:val="24"/>
          <w:szCs w:val="24"/>
        </w:rPr>
        <w:t>十八、补充资料</w:t>
      </w:r>
    </w:p>
    <w:p>
      <w:pPr>
        <w:pStyle w:val="8"/>
        <w:outlineLvl w:val="2"/>
        <w:rPr>
          <w:rFonts w:hint="default"/>
          <w:sz w:val="21"/>
          <w:szCs w:val="24"/>
        </w:rPr>
      </w:pPr>
      <w:r>
        <w:rPr>
          <w:rFonts w:hint="default"/>
          <w:sz w:val="21"/>
          <w:szCs w:val="24"/>
        </w:rPr>
        <w:t>1</w:t>
      </w:r>
      <w:r>
        <w:rPr>
          <w:rFonts w:hint="eastAsia"/>
          <w:sz w:val="21"/>
          <w:szCs w:val="24"/>
        </w:rPr>
        <w:t>、当期非经常性损益明细表</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jc w:val="right"/>
        <w:rPr>
          <w:rFonts w:hint="default"/>
          <w:sz w:val="18"/>
          <w:szCs w:val="24"/>
        </w:rPr>
      </w:pPr>
      <w:r>
        <w:rPr>
          <w:rFonts w:hint="eastAsia"/>
          <w:sz w:val="18"/>
          <w:szCs w:val="24"/>
        </w:rPr>
        <w:t>单位：元</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项目</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金额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非流动资产处置损益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-284,825.81</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计入当期损益的政府补助（与企业业务密切相关，按照国家统一标准定额或定量享受的政府补助除外）</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4,170,698.89</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委托他人投资或管理资产的损益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9,186,397.81</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4,601,612.87</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除上述各项之外的其他营业外收入和支出</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714,787.71</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减：所得税影响额</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2,854,287.52</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合计</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15,534,383.95</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default"/>
                <w:sz w:val="18"/>
                <w:szCs w:val="24"/>
              </w:rPr>
              <w:t>--</w:t>
            </w:r>
          </w:p>
        </w:tc>
      </w:tr>
    </w:tbl>
    <w:p>
      <w:pPr>
        <w:jc w:val="left"/>
        <w:rPr>
          <w:rFonts w:hint="default"/>
          <w:sz w:val="18"/>
          <w:szCs w:val="24"/>
        </w:rPr>
      </w:pPr>
      <w:r>
        <w:rPr>
          <w:rFonts w:hint="eastAsia"/>
          <w:sz w:val="18"/>
          <w:szCs w:val="24"/>
        </w:rPr>
        <w:t>对公司根据《公开发行证券的公司信息披露解释性公告第</w:t>
      </w:r>
      <w:r>
        <w:rPr>
          <w:rFonts w:hint="default"/>
          <w:sz w:val="18"/>
          <w:szCs w:val="24"/>
        </w:rPr>
        <w:t>1</w:t>
      </w:r>
      <w:r>
        <w:rPr>
          <w:rFonts w:hint="eastAsia"/>
          <w:sz w:val="18"/>
          <w:szCs w:val="24"/>
        </w:rPr>
        <w:t>号</w:t>
      </w:r>
      <w:r>
        <w:rPr>
          <w:rFonts w:hint="default"/>
          <w:sz w:val="18"/>
          <w:szCs w:val="24"/>
        </w:rPr>
        <w:t>——</w:t>
      </w:r>
      <w:r>
        <w:rPr>
          <w:rFonts w:hint="eastAsia"/>
          <w:sz w:val="18"/>
          <w:szCs w:val="24"/>
        </w:rPr>
        <w:t>非经常性损益》定义界定的非经常性损益项目，以及把《公开发行证券的公司信息披露解释性公告第</w:t>
      </w:r>
      <w:r>
        <w:rPr>
          <w:rFonts w:hint="default"/>
          <w:sz w:val="18"/>
          <w:szCs w:val="24"/>
        </w:rPr>
        <w:t>1</w:t>
      </w:r>
      <w:r>
        <w:rPr>
          <w:rFonts w:hint="eastAsia"/>
          <w:sz w:val="18"/>
          <w:szCs w:val="24"/>
        </w:rPr>
        <w:t>号</w:t>
      </w:r>
      <w:r>
        <w:rPr>
          <w:rFonts w:hint="default"/>
          <w:sz w:val="18"/>
          <w:szCs w:val="24"/>
        </w:rPr>
        <w:t>——</w:t>
      </w:r>
      <w:r>
        <w:rPr>
          <w:rFonts w:hint="eastAsia"/>
          <w:sz w:val="18"/>
          <w:szCs w:val="24"/>
        </w:rPr>
        <w:t>非经常性损益》中列举的非经常性损益项目界定为经常性损益的项目，应说明原因。</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2"/>
        <w:rPr>
          <w:rFonts w:hint="default"/>
          <w:sz w:val="21"/>
          <w:szCs w:val="24"/>
        </w:rPr>
      </w:pPr>
      <w:r>
        <w:rPr>
          <w:rFonts w:hint="default"/>
          <w:sz w:val="21"/>
          <w:szCs w:val="24"/>
        </w:rPr>
        <w:t>2</w:t>
      </w:r>
      <w:r>
        <w:rPr>
          <w:rFonts w:hint="eastAsia"/>
          <w:sz w:val="21"/>
          <w:szCs w:val="24"/>
        </w:rPr>
        <w:t>、净资产收益率及每股收益</w:t>
      </w:r>
    </w:p>
    <w:tbl>
      <w:tblPr>
        <w:tblStyle w:val="5"/>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662"/>
        <w:gridCol w:w="3080"/>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6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报告期利润</w:t>
            </w:r>
          </w:p>
        </w:tc>
        <w:tc>
          <w:tcPr>
            <w:tcW w:w="3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加权平均净资产收益率</w:t>
            </w:r>
          </w:p>
        </w:tc>
        <w:tc>
          <w:tcPr>
            <w:tcW w:w="38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每股收益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30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基本每股收益（元</w:t>
            </w:r>
            <w:r>
              <w:rPr>
                <w:rFonts w:hint="default"/>
                <w:sz w:val="18"/>
                <w:szCs w:val="24"/>
              </w:rPr>
              <w:t>/</w:t>
            </w:r>
            <w:r>
              <w:rPr>
                <w:rFonts w:hint="eastAsia"/>
                <w:sz w:val="18"/>
                <w:szCs w:val="24"/>
              </w:rPr>
              <w:t>股）</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sz w:val="18"/>
                <w:szCs w:val="24"/>
              </w:rPr>
            </w:pPr>
            <w:r>
              <w:rPr>
                <w:rFonts w:hint="eastAsia"/>
                <w:sz w:val="18"/>
                <w:szCs w:val="24"/>
              </w:rPr>
              <w:t>稀释每股收益（元</w:t>
            </w:r>
            <w:r>
              <w:rPr>
                <w:rFonts w:hint="default"/>
                <w:sz w:val="18"/>
                <w:szCs w:val="24"/>
              </w:rPr>
              <w:t>/</w:t>
            </w:r>
            <w:r>
              <w:rPr>
                <w:rFonts w:hint="eastAsia"/>
                <w:sz w:val="18"/>
                <w:szCs w:val="24"/>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归属于公司普通股股东的净利润</w:t>
            </w:r>
          </w:p>
        </w:tc>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24"/>
              </w:rPr>
            </w:pPr>
            <w:r>
              <w:rPr>
                <w:rFonts w:hint="default" w:ascii="Tahoma" w:hAnsi="Tahoma" w:eastAsia="Tahoma" w:cs="Tahoma"/>
                <w:b/>
                <w:bCs/>
                <w:i w:val="0"/>
                <w:iCs w:val="0"/>
                <w:color w:val="000000"/>
                <w:kern w:val="0"/>
                <w:sz w:val="18"/>
                <w:szCs w:val="18"/>
                <w:u w:val="none"/>
                <w:lang w:val="en-US" w:eastAsia="zh-CN" w:bidi="ar"/>
              </w:rPr>
              <w:t>8.89%</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0.50</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default"/>
                <w:sz w:val="18"/>
                <w:szCs w:val="24"/>
              </w:rPr>
            </w:pPr>
            <w:r>
              <w:rPr>
                <w:rFonts w:hint="default"/>
                <w:sz w:val="18"/>
                <w:szCs w:val="24"/>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default"/>
                <w:sz w:val="18"/>
                <w:szCs w:val="24"/>
              </w:rPr>
            </w:pPr>
            <w:r>
              <w:rPr>
                <w:rFonts w:hint="eastAsia"/>
                <w:sz w:val="18"/>
                <w:szCs w:val="24"/>
              </w:rPr>
              <w:t>扣除非经常性损益后归属于公司普通股股东的净利润</w:t>
            </w:r>
          </w:p>
        </w:tc>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default"/>
                <w:sz w:val="18"/>
                <w:szCs w:val="24"/>
              </w:rPr>
            </w:pPr>
            <w:bookmarkStart w:id="13" w:name="_GoBack"/>
            <w:bookmarkEnd w:id="13"/>
            <w:r>
              <w:rPr>
                <w:rFonts w:hint="default" w:ascii="Tahoma" w:hAnsi="Tahoma" w:eastAsia="Tahoma" w:cs="Tahoma"/>
                <w:b/>
                <w:bCs/>
                <w:i w:val="0"/>
                <w:iCs w:val="0"/>
                <w:color w:val="000000"/>
                <w:kern w:val="0"/>
                <w:sz w:val="18"/>
                <w:szCs w:val="18"/>
                <w:u w:val="none"/>
                <w:lang w:val="en-US" w:eastAsia="zh-CN" w:bidi="ar"/>
              </w:rPr>
              <w:t>6.51%</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0.36</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default"/>
                <w:sz w:val="18"/>
                <w:szCs w:val="24"/>
              </w:rPr>
            </w:pPr>
            <w:r>
              <w:rPr>
                <w:rFonts w:hint="default"/>
                <w:sz w:val="18"/>
                <w:szCs w:val="24"/>
              </w:rPr>
              <w:t>0.36</w:t>
            </w:r>
          </w:p>
        </w:tc>
      </w:tr>
    </w:tbl>
    <w:p>
      <w:pPr>
        <w:pStyle w:val="8"/>
        <w:outlineLvl w:val="2"/>
        <w:rPr>
          <w:rFonts w:hint="default"/>
          <w:sz w:val="21"/>
          <w:szCs w:val="24"/>
        </w:rPr>
      </w:pPr>
      <w:r>
        <w:rPr>
          <w:rFonts w:hint="default"/>
          <w:sz w:val="21"/>
          <w:szCs w:val="24"/>
        </w:rPr>
        <w:t>3</w:t>
      </w:r>
      <w:r>
        <w:rPr>
          <w:rFonts w:hint="eastAsia"/>
          <w:sz w:val="21"/>
          <w:szCs w:val="24"/>
        </w:rPr>
        <w:t>、境内外会计准则下会计数据差异</w:t>
      </w:r>
    </w:p>
    <w:p>
      <w:pPr>
        <w:pStyle w:val="8"/>
        <w:outlineLvl w:val="3"/>
        <w:rPr>
          <w:rFonts w:hint="default"/>
          <w:sz w:val="21"/>
          <w:szCs w:val="24"/>
        </w:rPr>
      </w:pPr>
      <w:r>
        <w:rPr>
          <w:rFonts w:hint="eastAsia"/>
          <w:sz w:val="21"/>
          <w:szCs w:val="24"/>
        </w:rPr>
        <w:t>（</w:t>
      </w:r>
      <w:r>
        <w:rPr>
          <w:rFonts w:hint="default"/>
          <w:sz w:val="21"/>
          <w:szCs w:val="24"/>
        </w:rPr>
        <w:t>1</w:t>
      </w:r>
      <w:r>
        <w:rPr>
          <w:rFonts w:hint="eastAsia"/>
          <w:sz w:val="21"/>
          <w:szCs w:val="24"/>
        </w:rPr>
        <w:t>）同时按照国际会计准则与按中国会计准则披露的财务报告中净利润和净资产差异情况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2</w:t>
      </w:r>
      <w:r>
        <w:rPr>
          <w:rFonts w:hint="eastAsia"/>
          <w:sz w:val="21"/>
          <w:szCs w:val="24"/>
        </w:rPr>
        <w:t>）同时按照境外会计准则与按中国会计准则披露的财务报告中净利润和净资产差异情况</w:t>
      </w:r>
    </w:p>
    <w:p>
      <w:pPr>
        <w:jc w:val="left"/>
        <w:rPr>
          <w:rFonts w:hint="default"/>
          <w:sz w:val="18"/>
          <w:szCs w:val="24"/>
        </w:rPr>
      </w:pPr>
      <w:r>
        <w:rPr>
          <w:rFonts w:hint="default"/>
          <w:sz w:val="18"/>
          <w:szCs w:val="24"/>
        </w:rPr>
        <w:t xml:space="preserve">□ </w:t>
      </w:r>
      <w:r>
        <w:rPr>
          <w:rFonts w:hint="eastAsia"/>
          <w:sz w:val="18"/>
          <w:szCs w:val="24"/>
        </w:rPr>
        <w:t>适用</w:t>
      </w:r>
      <w:r>
        <w:rPr>
          <w:rFonts w:hint="default"/>
          <w:sz w:val="18"/>
          <w:szCs w:val="24"/>
        </w:rPr>
        <w:t xml:space="preserve"> √ </w:t>
      </w:r>
      <w:r>
        <w:rPr>
          <w:rFonts w:hint="eastAsia"/>
          <w:sz w:val="18"/>
          <w:szCs w:val="24"/>
        </w:rPr>
        <w:t>不适用</w:t>
      </w:r>
      <w:r>
        <w:rPr>
          <w:rFonts w:hint="default"/>
          <w:sz w:val="18"/>
          <w:szCs w:val="24"/>
        </w:rPr>
        <w:t xml:space="preserve"> </w:t>
      </w:r>
    </w:p>
    <w:p>
      <w:pPr>
        <w:pStyle w:val="8"/>
        <w:outlineLvl w:val="3"/>
        <w:rPr>
          <w:rFonts w:hint="default"/>
          <w:sz w:val="21"/>
          <w:szCs w:val="24"/>
        </w:rPr>
      </w:pPr>
      <w:r>
        <w:rPr>
          <w:rFonts w:hint="eastAsia"/>
          <w:sz w:val="21"/>
          <w:szCs w:val="24"/>
        </w:rPr>
        <w:t>（</w:t>
      </w:r>
      <w:r>
        <w:rPr>
          <w:rFonts w:hint="default"/>
          <w:sz w:val="21"/>
          <w:szCs w:val="24"/>
        </w:rPr>
        <w:t>3</w:t>
      </w:r>
      <w:r>
        <w:rPr>
          <w:rFonts w:hint="eastAsia"/>
          <w:sz w:val="21"/>
          <w:szCs w:val="24"/>
        </w:rPr>
        <w:t>）境内外会计准则下会计数据差异原因说明，对已经境外审计机构审计的数据进行差异调节的，应注明该境外机构的名称</w:t>
      </w:r>
    </w:p>
    <w:p>
      <w:pPr>
        <w:pStyle w:val="8"/>
        <w:outlineLvl w:val="2"/>
        <w:rPr>
          <w:rFonts w:hint="default"/>
          <w:sz w:val="21"/>
          <w:szCs w:val="24"/>
        </w:rPr>
      </w:pPr>
      <w:r>
        <w:rPr>
          <w:rFonts w:hint="default"/>
          <w:sz w:val="21"/>
          <w:szCs w:val="24"/>
        </w:rPr>
        <w:t>4</w:t>
      </w:r>
      <w:r>
        <w:rPr>
          <w:rFonts w:hint="eastAsia"/>
          <w:sz w:val="21"/>
          <w:szCs w:val="24"/>
        </w:rPr>
        <w:t>、其他</w:t>
      </w:r>
    </w:p>
    <w:p>
      <w:pPr>
        <w:pStyle w:val="8"/>
        <w:outlineLvl w:val="2"/>
        <w:rPr>
          <w:rFonts w:hint="default"/>
          <w:sz w:val="21"/>
          <w:szCs w:val="24"/>
        </w:rPr>
        <w:sectPr>
          <w:pgSz w:w="11906" w:h="16838"/>
          <w:pgMar w:top="1440" w:right="1134" w:bottom="1440" w:left="1134" w:header="851" w:footer="992" w:gutter="0"/>
          <w:lnNumType w:countBy="0" w:distance="360"/>
          <w:cols w:space="720" w:num="1"/>
          <w:docGrid w:type="lines" w:linePitch="312" w:charSpace="0"/>
        </w:sectPr>
      </w:pPr>
    </w:p>
    <w:p>
      <w:pPr>
        <w:keepNext/>
        <w:keepLines/>
        <w:numPr>
          <w:ilvl w:val="0"/>
          <w:numId w:val="1"/>
        </w:numPr>
        <w:spacing w:before="340" w:after="330" w:line="578" w:lineRule="auto"/>
        <w:jc w:val="center"/>
        <w:outlineLvl w:val="0"/>
        <w:rPr>
          <w:rFonts w:hint="eastAsia"/>
          <w:b/>
          <w:kern w:val="32"/>
          <w:sz w:val="32"/>
          <w:szCs w:val="24"/>
        </w:rPr>
      </w:pPr>
      <w:bookmarkStart w:id="12" w:name="_Toc300000096"/>
      <w:r>
        <w:rPr>
          <w:rFonts w:hint="eastAsia"/>
          <w:b/>
          <w:kern w:val="32"/>
          <w:sz w:val="32"/>
          <w:szCs w:val="24"/>
        </w:rPr>
        <w:t>备查文件目录</w:t>
      </w:r>
      <w:bookmarkEnd w:id="12"/>
    </w:p>
    <w:p>
      <w:pPr>
        <w:autoSpaceDE w:val="0"/>
        <w:autoSpaceDN w:val="0"/>
        <w:adjustRightInd w:val="0"/>
        <w:spacing w:before="0" w:after="0"/>
        <w:jc w:val="left"/>
        <w:rPr>
          <w:rFonts w:hint="eastAsia" w:ascii="宋体"/>
          <w:color w:val="auto"/>
          <w:sz w:val="18"/>
          <w:szCs w:val="24"/>
          <w:lang w:val="zh-CN"/>
        </w:rPr>
      </w:pPr>
      <w:r>
        <w:rPr>
          <w:rFonts w:hint="eastAsia" w:ascii="宋体"/>
          <w:color w:val="auto"/>
          <w:sz w:val="18"/>
          <w:szCs w:val="24"/>
          <w:lang w:val="zh-CN"/>
        </w:rPr>
        <w:t>一、载有法定代表人、主管会计工作负责人、会计机构负责人（会计主管人员）签名并盖章的会计报表。</w:t>
      </w:r>
    </w:p>
    <w:p>
      <w:pPr>
        <w:autoSpaceDE w:val="0"/>
        <w:autoSpaceDN w:val="0"/>
        <w:adjustRightInd w:val="0"/>
        <w:spacing w:before="0" w:after="0"/>
        <w:jc w:val="left"/>
        <w:rPr>
          <w:rFonts w:hint="eastAsia" w:ascii="宋体"/>
          <w:color w:val="auto"/>
          <w:sz w:val="18"/>
          <w:szCs w:val="24"/>
          <w:lang w:val="zh-CN"/>
        </w:rPr>
      </w:pPr>
      <w:r>
        <w:rPr>
          <w:rFonts w:hint="eastAsia" w:ascii="宋体"/>
          <w:color w:val="auto"/>
          <w:sz w:val="18"/>
          <w:szCs w:val="24"/>
          <w:lang w:val="zh-CN"/>
        </w:rPr>
        <w:t>二、载有会计师事务所盖章、注册会计师签名并盖章的审计报告原件。</w:t>
      </w:r>
    </w:p>
    <w:p>
      <w:pPr>
        <w:autoSpaceDE w:val="0"/>
        <w:autoSpaceDN w:val="0"/>
        <w:adjustRightInd w:val="0"/>
        <w:spacing w:before="0" w:after="0"/>
        <w:jc w:val="left"/>
        <w:rPr>
          <w:rFonts w:hint="eastAsia" w:ascii="宋体"/>
          <w:color w:val="auto"/>
          <w:sz w:val="18"/>
          <w:szCs w:val="24"/>
          <w:lang w:val="zh-CN"/>
        </w:rPr>
      </w:pPr>
      <w:r>
        <w:rPr>
          <w:rFonts w:hint="eastAsia" w:ascii="宋体"/>
          <w:color w:val="auto"/>
          <w:sz w:val="18"/>
          <w:szCs w:val="24"/>
          <w:lang w:val="zh-CN"/>
        </w:rPr>
        <w:t>三、报告期内在中国证监会指定报纸上公开披露过的所有公司文件的正本及公告的原稿。</w:t>
      </w:r>
    </w:p>
    <w:p>
      <w:pPr>
        <w:autoSpaceDE w:val="0"/>
        <w:autoSpaceDN w:val="0"/>
        <w:adjustRightInd w:val="0"/>
        <w:spacing w:before="0" w:after="0"/>
        <w:jc w:val="left"/>
        <w:rPr>
          <w:rFonts w:hint="eastAsia" w:ascii="宋体"/>
          <w:color w:val="auto"/>
          <w:sz w:val="18"/>
          <w:szCs w:val="24"/>
          <w:lang w:val="zh-CN"/>
        </w:rPr>
      </w:pPr>
      <w:r>
        <w:rPr>
          <w:rFonts w:hint="eastAsia" w:ascii="宋体"/>
          <w:color w:val="auto"/>
          <w:sz w:val="18"/>
          <w:szCs w:val="24"/>
          <w:lang w:val="zh-CN"/>
        </w:rPr>
        <w:t>四、以上备查文件的备置地点：公司董事会办公室。</w:t>
      </w:r>
    </w:p>
    <w:p>
      <w:pPr>
        <w:autoSpaceDE w:val="0"/>
        <w:autoSpaceDN w:val="0"/>
        <w:adjustRightInd w:val="0"/>
        <w:spacing w:before="150" w:after="150"/>
        <w:rPr>
          <w:rFonts w:hint="eastAsia" w:ascii="宋体"/>
          <w:color w:val="auto"/>
          <w:sz w:val="21"/>
          <w:szCs w:val="24"/>
          <w:lang w:val="zh-CN"/>
        </w:rPr>
      </w:pPr>
    </w:p>
    <w:p>
      <w:pPr>
        <w:autoSpaceDE w:val="0"/>
        <w:autoSpaceDN w:val="0"/>
        <w:adjustRightInd w:val="0"/>
        <w:spacing w:before="150" w:after="150"/>
        <w:rPr>
          <w:rFonts w:hint="eastAsia" w:ascii="宋体"/>
          <w:color w:val="auto"/>
          <w:sz w:val="21"/>
          <w:szCs w:val="24"/>
          <w:lang w:val="zh-CN"/>
        </w:rPr>
      </w:pPr>
    </w:p>
    <w:p>
      <w:pPr>
        <w:autoSpaceDE w:val="0"/>
        <w:autoSpaceDN w:val="0"/>
        <w:adjustRightInd w:val="0"/>
        <w:spacing w:before="150" w:after="150"/>
        <w:rPr>
          <w:rFonts w:hint="eastAsia" w:ascii="宋体"/>
          <w:color w:val="auto"/>
          <w:sz w:val="21"/>
          <w:szCs w:val="24"/>
          <w:lang w:val="zh-CN"/>
        </w:rPr>
      </w:pPr>
    </w:p>
    <w:p>
      <w:pPr>
        <w:autoSpaceDE w:val="0"/>
        <w:autoSpaceDN w:val="0"/>
        <w:adjustRightInd w:val="0"/>
        <w:spacing w:before="0" w:after="0"/>
        <w:jc w:val="right"/>
        <w:rPr>
          <w:rFonts w:hint="eastAsia" w:ascii="宋体"/>
          <w:color w:val="auto"/>
          <w:sz w:val="18"/>
          <w:szCs w:val="24"/>
        </w:rPr>
      </w:pPr>
      <w:r>
        <w:rPr>
          <w:rFonts w:hint="eastAsia" w:ascii="宋体"/>
          <w:color w:val="auto"/>
          <w:sz w:val="18"/>
          <w:szCs w:val="24"/>
        </w:rPr>
        <w:t>青岛伟隆阀门股份有限公司董事会</w:t>
      </w:r>
    </w:p>
    <w:p>
      <w:pPr>
        <w:autoSpaceDE w:val="0"/>
        <w:autoSpaceDN w:val="0"/>
        <w:adjustRightInd w:val="0"/>
        <w:spacing w:before="0" w:after="0"/>
        <w:ind w:firstLine="7560" w:firstLineChars="4200"/>
        <w:jc w:val="left"/>
        <w:rPr>
          <w:rFonts w:hint="eastAsia" w:ascii="宋体"/>
          <w:color w:val="auto"/>
          <w:sz w:val="18"/>
          <w:szCs w:val="24"/>
        </w:rPr>
      </w:pPr>
    </w:p>
    <w:p>
      <w:pPr>
        <w:autoSpaceDE w:val="0"/>
        <w:autoSpaceDN w:val="0"/>
        <w:adjustRightInd w:val="0"/>
        <w:spacing w:before="0" w:after="0"/>
        <w:ind w:firstLine="7560" w:firstLineChars="4200"/>
        <w:jc w:val="left"/>
        <w:rPr>
          <w:rFonts w:hint="eastAsia" w:ascii="宋体"/>
          <w:color w:val="auto"/>
          <w:sz w:val="18"/>
          <w:szCs w:val="24"/>
        </w:rPr>
      </w:pPr>
    </w:p>
    <w:p>
      <w:pPr>
        <w:autoSpaceDE w:val="0"/>
        <w:autoSpaceDN w:val="0"/>
        <w:adjustRightInd w:val="0"/>
        <w:spacing w:before="0" w:after="0"/>
        <w:ind w:firstLine="7560" w:firstLineChars="4200"/>
        <w:jc w:val="left"/>
        <w:rPr>
          <w:rFonts w:hint="eastAsia" w:ascii="宋体"/>
          <w:color w:val="auto"/>
          <w:sz w:val="18"/>
          <w:szCs w:val="24"/>
        </w:rPr>
      </w:pPr>
    </w:p>
    <w:p>
      <w:pPr>
        <w:autoSpaceDE w:val="0"/>
        <w:autoSpaceDN w:val="0"/>
        <w:adjustRightInd w:val="0"/>
        <w:spacing w:before="0" w:after="0"/>
        <w:ind w:firstLine="7560" w:firstLineChars="4200"/>
        <w:jc w:val="left"/>
        <w:rPr>
          <w:rFonts w:hint="eastAsia" w:ascii="宋体"/>
          <w:color w:val="auto"/>
          <w:sz w:val="18"/>
          <w:szCs w:val="24"/>
          <w:u w:val="single"/>
        </w:rPr>
      </w:pPr>
      <w:r>
        <w:rPr>
          <w:rFonts w:hint="eastAsia" w:ascii="宋体"/>
          <w:color w:val="auto"/>
          <w:sz w:val="18"/>
          <w:szCs w:val="24"/>
        </w:rPr>
        <w:t>董事长：</w:t>
      </w:r>
      <w:r>
        <w:rPr>
          <w:rFonts w:hint="eastAsia" w:ascii="宋体"/>
          <w:color w:val="auto"/>
          <w:sz w:val="18"/>
          <w:szCs w:val="24"/>
          <w:u w:val="single"/>
        </w:rPr>
        <w:t xml:space="preserve">             </w:t>
      </w:r>
    </w:p>
    <w:p>
      <w:pPr>
        <w:autoSpaceDE w:val="0"/>
        <w:autoSpaceDN w:val="0"/>
        <w:adjustRightInd w:val="0"/>
        <w:spacing w:before="0" w:after="0"/>
        <w:ind w:firstLine="8640" w:firstLineChars="4800"/>
        <w:jc w:val="left"/>
        <w:rPr>
          <w:rFonts w:hint="eastAsia" w:ascii="宋体"/>
          <w:color w:val="auto"/>
          <w:sz w:val="18"/>
          <w:szCs w:val="24"/>
        </w:rPr>
      </w:pPr>
      <w:r>
        <w:rPr>
          <w:rFonts w:hint="eastAsia" w:ascii="宋体"/>
          <w:color w:val="auto"/>
          <w:sz w:val="18"/>
          <w:szCs w:val="24"/>
        </w:rPr>
        <w:t>范庆伟</w:t>
      </w:r>
    </w:p>
    <w:p>
      <w:pPr>
        <w:jc w:val="left"/>
        <w:rPr>
          <w:rFonts w:hint="eastAsia"/>
          <w:sz w:val="18"/>
          <w:szCs w:val="24"/>
        </w:rPr>
      </w:pPr>
    </w:p>
    <w:p>
      <w:pPr>
        <w:autoSpaceDE w:val="0"/>
        <w:autoSpaceDN w:val="0"/>
        <w:adjustRightInd w:val="0"/>
        <w:spacing w:before="150" w:after="150"/>
        <w:rPr>
          <w:rFonts w:hint="eastAsia" w:ascii="宋体"/>
          <w:color w:val="auto"/>
          <w:sz w:val="21"/>
          <w:szCs w:val="24"/>
          <w:lang w:val="zh-CN"/>
        </w:rPr>
      </w:pPr>
    </w:p>
    <w:p>
      <w:pPr>
        <w:keepNext/>
        <w:keepLines/>
        <w:numPr>
          <w:ilvl w:val="0"/>
          <w:numId w:val="0"/>
        </w:numPr>
        <w:spacing w:before="340" w:after="330" w:line="578" w:lineRule="auto"/>
        <w:outlineLvl w:val="0"/>
        <w:rPr>
          <w:rFonts w:hint="default"/>
          <w:b/>
          <w:kern w:val="32"/>
          <w:sz w:val="32"/>
          <w:szCs w:val="24"/>
        </w:rPr>
      </w:pPr>
    </w:p>
    <w:p/>
    <w:sectPr>
      <w:pgSz w:w="11906" w:h="16838"/>
      <w:pgMar w:top="1440" w:right="1134" w:bottom="1440" w:left="1134"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sz w:val="18"/>
        <w:szCs w:val="18"/>
      </w:rPr>
    </w:pPr>
    <w:r>
      <w:rPr>
        <w:rFonts w:hint="default"/>
        <w:sz w:val="18"/>
        <w:szCs w:val="18"/>
      </w:rPr>
      <w:fldChar w:fldCharType="begin"/>
    </w:r>
    <w:r>
      <w:rPr>
        <w:rFonts w:hint="default"/>
        <w:sz w:val="18"/>
        <w:szCs w:val="18"/>
      </w:rPr>
      <w:instrText xml:space="preserve"> PAGE </w:instrText>
    </w:r>
    <w:r>
      <w:rPr>
        <w:rFonts w:hint="default"/>
        <w:sz w:val="18"/>
        <w:szCs w:val="18"/>
      </w:rPr>
      <w:fldChar w:fldCharType="separate"/>
    </w:r>
    <w:r>
      <w:rPr>
        <w:rFonts w:hint="default"/>
        <w:sz w:val="18"/>
        <w:szCs w:val="18"/>
      </w:rPr>
      <w:t>12</w:t>
    </w:r>
    <w:r>
      <w:rPr>
        <w:rFonts w:hint="default"/>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18"/>
        <w:szCs w:val="18"/>
      </w:rPr>
    </w:pPr>
    <w:r>
      <w:rPr>
        <w:rFonts w:hint="eastAsia"/>
        <w:sz w:val="18"/>
        <w:szCs w:val="18"/>
      </w:rPr>
      <w:t>青岛伟隆阀门股份有限公司</w:t>
    </w:r>
    <w:r>
      <w:rPr>
        <w:rFonts w:hint="default"/>
        <w:sz w:val="18"/>
        <w:szCs w:val="18"/>
      </w:rPr>
      <w:t>2020</w:t>
    </w:r>
    <w:r>
      <w:rPr>
        <w:rFonts w:hint="eastAsia"/>
        <w:sz w:val="18"/>
        <w:szCs w:val="18"/>
      </w:rPr>
      <w:t>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CA7C0"/>
    <w:multiLevelType w:val="multilevel"/>
    <w:tmpl w:val="97CCA7C0"/>
    <w:lvl w:ilvl="0" w:tentative="0">
      <w:start w:val="13"/>
      <w:numFmt w:val="chineseCounting"/>
      <w:suff w:val="space"/>
      <w:lvlText w:val="第%1节"/>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000000"/>
    <w:rsid w:val="35D13BA4"/>
    <w:rsid w:val="4E2C05C8"/>
    <w:rsid w:val="680E4659"/>
    <w:rsid w:val="7963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40" w:after="40"/>
      <w:jc w:val="both"/>
    </w:pPr>
    <w:rPr>
      <w:rFonts w:hint="eastAsia" w:ascii="Times New Roman" w:hAnsi="Times New Roman" w:eastAsia="宋体" w:cs="Times New Roman"/>
      <w:kern w:val="2"/>
      <w:sz w:val="18"/>
      <w:szCs w:val="1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before="0" w:after="0"/>
      <w:jc w:val="right"/>
    </w:pPr>
    <w:rPr>
      <w:rFonts w:hint="eastAsia"/>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before="0" w:after="0"/>
      <w:jc w:val="right"/>
    </w:pPr>
    <w:rPr>
      <w:rFonts w:hint="eastAsia"/>
      <w:sz w:val="18"/>
      <w:szCs w:val="18"/>
    </w:rPr>
  </w:style>
  <w:style w:type="paragraph" w:styleId="4">
    <w:name w:val="Title"/>
    <w:basedOn w:val="1"/>
    <w:next w:val="1"/>
    <w:unhideWhenUsed/>
    <w:qFormat/>
    <w:uiPriority w:val="99"/>
    <w:pPr>
      <w:keepNext/>
      <w:keepLines/>
      <w:spacing w:before="340" w:after="330" w:line="578" w:lineRule="auto"/>
      <w:jc w:val="center"/>
    </w:pPr>
    <w:rPr>
      <w:rFonts w:hint="eastAsia"/>
      <w:b/>
      <w:kern w:val="32"/>
      <w:sz w:val="32"/>
      <w:szCs w:val="32"/>
    </w:rPr>
  </w:style>
  <w:style w:type="paragraph" w:customStyle="1" w:styleId="7">
    <w:name w:val="Chapter"/>
    <w:next w:val="1"/>
    <w:unhideWhenUsed/>
    <w:qFormat/>
    <w:uiPriority w:val="99"/>
    <w:pPr>
      <w:keepNext/>
      <w:keepLines/>
      <w:widowControl w:val="0"/>
      <w:spacing w:before="300" w:after="300" w:line="241" w:lineRule="auto"/>
      <w:jc w:val="both"/>
    </w:pPr>
    <w:rPr>
      <w:rFonts w:hint="eastAsia" w:ascii="Times New Roman" w:hAnsi="Times New Roman" w:eastAsia="宋体" w:cs="Times New Roman"/>
      <w:b/>
      <w:kern w:val="28"/>
      <w:sz w:val="24"/>
      <w:szCs w:val="24"/>
      <w:lang w:val="en-US" w:eastAsia="zh-CN" w:bidi="ar-SA"/>
    </w:rPr>
  </w:style>
  <w:style w:type="paragraph" w:customStyle="1" w:styleId="8">
    <w:name w:val="Section"/>
    <w:next w:val="1"/>
    <w:unhideWhenUsed/>
    <w:qFormat/>
    <w:uiPriority w:val="99"/>
    <w:pPr>
      <w:keepNext/>
      <w:keepLines/>
      <w:widowControl w:val="0"/>
      <w:spacing w:before="300" w:after="300" w:line="241" w:lineRule="auto"/>
      <w:jc w:val="both"/>
    </w:pPr>
    <w:rPr>
      <w:rFonts w:hint="eastAsia" w:ascii="Times New Roman" w:hAnsi="Times New Roman" w:eastAsia="宋体" w:cs="Times New Roman"/>
      <w:b/>
      <w:kern w:val="28"/>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185</Pages>
  <Words>101809</Words>
  <Characters>131059</Characters>
  <Lines>0</Lines>
  <Paragraphs>0</Paragraphs>
  <TotalTime>0</TotalTime>
  <ScaleCrop>false</ScaleCrop>
  <LinksUpToDate>false</LinksUpToDate>
  <CharactersWithSpaces>133919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2021-04-28T08:23:00Z</dcterms:created>
  <dc:creator>zhaoxiang</dc:creator>
  <cp:lastModifiedBy>Mr.翔</cp:lastModifiedBy>
  <dcterms:modified xsi:type="dcterms:W3CDTF">2023-01-11T09:08:43Z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8D5658E43CAA417E8B3975404BE078AB</vt:lpwstr>
  </property>
</Properties>
</file>