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0"/>
        <w:rPr>
          <w:rFonts w:hint="default"/>
          <w:sz w:val="18"/>
          <w:szCs w:val="24"/>
        </w:rPr>
      </w:pPr>
      <w:r>
        <w:rPr>
          <w:rFonts w:hint="eastAsia"/>
          <w:sz w:val="18"/>
          <w:szCs w:val="24"/>
        </w:rPr>
        <w:t>证券代码：002871                             证券简称：伟隆股份                             公告编号：2021-029</w:t>
      </w:r>
    </w:p>
    <w:p>
      <w:pPr>
        <w:spacing w:before="700" w:after="700"/>
        <w:jc w:val="center"/>
        <w:rPr>
          <w:rFonts w:hint="eastAsia"/>
          <w:b/>
          <w:sz w:val="36"/>
          <w:szCs w:val="24"/>
        </w:rPr>
      </w:pPr>
      <w:r>
        <w:rPr>
          <w:rFonts w:hint="eastAsia"/>
          <w:b/>
          <w:sz w:val="36"/>
          <w:szCs w:val="24"/>
        </w:rPr>
        <w:t>青岛伟隆阀门股份有限公司</w:t>
      </w:r>
    </w:p>
    <w:p>
      <w:pPr>
        <w:spacing w:before="700" w:after="700"/>
        <w:jc w:val="center"/>
        <w:rPr>
          <w:rFonts w:hint="eastAsia"/>
          <w:b/>
          <w:sz w:val="36"/>
          <w:szCs w:val="24"/>
        </w:rPr>
      </w:pPr>
      <w:r>
        <w:rPr>
          <w:rFonts w:hint="eastAsia"/>
          <w:b/>
          <w:sz w:val="36"/>
          <w:szCs w:val="24"/>
        </w:rPr>
        <w:t>2020年年度报告摘要</w:t>
      </w:r>
    </w:p>
    <w:p>
      <w:pPr>
        <w:pStyle w:val="4"/>
        <w:outlineLvl w:val="1"/>
        <w:rPr>
          <w:rFonts w:hint="eastAsia"/>
          <w:sz w:val="24"/>
          <w:szCs w:val="24"/>
        </w:rPr>
      </w:pPr>
      <w:r>
        <w:rPr>
          <w:rFonts w:hint="eastAsia"/>
          <w:sz w:val="24"/>
          <w:szCs w:val="24"/>
        </w:rPr>
        <w:t>一、重要提示</w:t>
      </w:r>
    </w:p>
    <w:p>
      <w:pPr>
        <w:jc w:val="left"/>
        <w:rPr>
          <w:rFonts w:hint="eastAsia"/>
          <w:sz w:val="18"/>
          <w:szCs w:val="24"/>
        </w:rPr>
      </w:pPr>
      <w:r>
        <w:rPr>
          <w:rFonts w:hint="eastAsia"/>
          <w:sz w:val="18"/>
          <w:szCs w:val="24"/>
        </w:rPr>
        <w:t>本年度报告摘要来自年度报告全文，为全面了解本公司的经营成果、财务状况及未来发展规划，投资者应当到证监会指定媒体仔细阅读年度报告全文。</w:t>
      </w:r>
    </w:p>
    <w:p>
      <w:pPr>
        <w:jc w:val="left"/>
        <w:rPr>
          <w:rFonts w:hint="eastAsia"/>
          <w:sz w:val="18"/>
          <w:szCs w:val="24"/>
        </w:rPr>
      </w:pPr>
      <w:r>
        <w:rPr>
          <w:rFonts w:hint="eastAsia"/>
          <w:sz w:val="18"/>
          <w:szCs w:val="24"/>
        </w:rPr>
        <w:t>除下列董事外，其他董事亲自出席了审议本次年报的董事会会议</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未亲自出席董事姓名</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未亲自出席董事职务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未亲自出席会议原因</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被委托人姓名</w:t>
            </w:r>
          </w:p>
        </w:tc>
      </w:tr>
    </w:tbl>
    <w:p>
      <w:pPr>
        <w:jc w:val="left"/>
        <w:rPr>
          <w:rFonts w:hint="eastAsia"/>
          <w:sz w:val="18"/>
          <w:szCs w:val="24"/>
        </w:rPr>
      </w:pPr>
      <w:r>
        <w:rPr>
          <w:rFonts w:hint="eastAsia"/>
          <w:sz w:val="18"/>
          <w:szCs w:val="24"/>
        </w:rPr>
        <w:t>非标准审计意见提示</w:t>
      </w:r>
    </w:p>
    <w:p>
      <w:pPr>
        <w:jc w:val="left"/>
        <w:rPr>
          <w:rFonts w:hint="eastAsia"/>
          <w:sz w:val="18"/>
          <w:szCs w:val="24"/>
        </w:rPr>
      </w:pPr>
      <w:r>
        <w:rPr>
          <w:rFonts w:hint="eastAsia"/>
          <w:sz w:val="18"/>
          <w:szCs w:val="24"/>
        </w:rPr>
        <w:t xml:space="preserve">□ 适用 √ 不适用 </w:t>
      </w:r>
    </w:p>
    <w:p>
      <w:pPr>
        <w:jc w:val="left"/>
        <w:rPr>
          <w:rFonts w:hint="eastAsia"/>
          <w:sz w:val="18"/>
          <w:szCs w:val="24"/>
        </w:rPr>
      </w:pPr>
      <w:r>
        <w:rPr>
          <w:rFonts w:hint="eastAsia"/>
          <w:sz w:val="18"/>
          <w:szCs w:val="24"/>
        </w:rPr>
        <w:t>董事会审议的报告期普通股利润分配预案或公积金转增股本预案</w:t>
      </w:r>
    </w:p>
    <w:p>
      <w:pPr>
        <w:jc w:val="left"/>
        <w:rPr>
          <w:rFonts w:hint="eastAsia"/>
          <w:sz w:val="18"/>
          <w:szCs w:val="24"/>
        </w:rPr>
      </w:pPr>
      <w:r>
        <w:rPr>
          <w:rFonts w:hint="eastAsia"/>
          <w:sz w:val="18"/>
          <w:szCs w:val="24"/>
        </w:rPr>
        <w:t xml:space="preserve">√ 适用 □ 不适用 </w:t>
      </w:r>
    </w:p>
    <w:p>
      <w:pPr>
        <w:jc w:val="left"/>
        <w:rPr>
          <w:rFonts w:hint="eastAsia"/>
          <w:sz w:val="18"/>
          <w:szCs w:val="24"/>
        </w:rPr>
      </w:pPr>
      <w:r>
        <w:rPr>
          <w:rFonts w:hint="eastAsia"/>
          <w:sz w:val="18"/>
          <w:szCs w:val="24"/>
        </w:rPr>
        <w:t>是否以公积金转增股本</w:t>
      </w:r>
    </w:p>
    <w:p>
      <w:pPr>
        <w:jc w:val="left"/>
        <w:rPr>
          <w:rFonts w:hint="eastAsia"/>
          <w:sz w:val="18"/>
          <w:szCs w:val="24"/>
        </w:rPr>
      </w:pPr>
      <w:r>
        <w:rPr>
          <w:rFonts w:hint="eastAsia"/>
          <w:sz w:val="18"/>
          <w:szCs w:val="24"/>
        </w:rPr>
        <w:t xml:space="preserve">√ 是 □ 否 </w:t>
      </w:r>
    </w:p>
    <w:p>
      <w:pPr>
        <w:jc w:val="left"/>
        <w:rPr>
          <w:rFonts w:hint="eastAsia"/>
          <w:sz w:val="18"/>
          <w:szCs w:val="24"/>
        </w:rPr>
      </w:pPr>
      <w:r>
        <w:rPr>
          <w:rFonts w:hint="eastAsia"/>
          <w:sz w:val="18"/>
          <w:szCs w:val="24"/>
        </w:rPr>
        <w:t>公司经本次董事会审议通过的普通股利润分配预案为：以公司2020年12月31日总股本116680000股为基数，向全体股东每10股派发现金红利4.5元（含税），送红股0股（含税），以资本公积金向全体股东每10股转增4.5股，转增股本后公司总股本增至</w:t>
      </w:r>
      <w:r>
        <w:rPr>
          <w:rFonts w:hint="default"/>
          <w:sz w:val="18"/>
          <w:szCs w:val="24"/>
        </w:rPr>
        <w:t>16,918.60</w:t>
      </w:r>
      <w:r>
        <w:rPr>
          <w:rFonts w:hint="eastAsia"/>
          <w:sz w:val="18"/>
          <w:szCs w:val="24"/>
        </w:rPr>
        <w:t>万股。</w:t>
      </w:r>
    </w:p>
    <w:p>
      <w:pPr>
        <w:jc w:val="left"/>
        <w:rPr>
          <w:rFonts w:hint="eastAsia"/>
          <w:sz w:val="18"/>
          <w:szCs w:val="24"/>
        </w:rPr>
      </w:pPr>
      <w:r>
        <w:rPr>
          <w:rFonts w:hint="eastAsia"/>
          <w:sz w:val="18"/>
          <w:szCs w:val="24"/>
        </w:rPr>
        <w:t>董事会决议通过的本报告期优先股利润分配预案</w:t>
      </w:r>
    </w:p>
    <w:p>
      <w:pPr>
        <w:jc w:val="left"/>
        <w:rPr>
          <w:rFonts w:hint="eastAsia"/>
          <w:sz w:val="18"/>
          <w:szCs w:val="24"/>
        </w:rPr>
      </w:pPr>
      <w:r>
        <w:rPr>
          <w:rFonts w:hint="eastAsia"/>
          <w:sz w:val="18"/>
          <w:szCs w:val="24"/>
        </w:rPr>
        <w:t xml:space="preserve">□ 适用 √ 不适用 </w:t>
      </w:r>
    </w:p>
    <w:p>
      <w:pPr>
        <w:pStyle w:val="4"/>
        <w:outlineLvl w:val="1"/>
        <w:rPr>
          <w:rFonts w:hint="eastAsia"/>
          <w:sz w:val="24"/>
          <w:szCs w:val="24"/>
        </w:rPr>
      </w:pPr>
      <w:r>
        <w:rPr>
          <w:rFonts w:hint="eastAsia"/>
          <w:sz w:val="24"/>
          <w:szCs w:val="24"/>
        </w:rPr>
        <w:t>二、公司基本情况</w:t>
      </w:r>
    </w:p>
    <w:p>
      <w:pPr>
        <w:pStyle w:val="5"/>
        <w:outlineLvl w:val="2"/>
        <w:rPr>
          <w:rFonts w:hint="eastAsia"/>
          <w:sz w:val="21"/>
          <w:szCs w:val="24"/>
        </w:rPr>
      </w:pPr>
      <w:r>
        <w:rPr>
          <w:rFonts w:hint="eastAsia"/>
          <w:sz w:val="21"/>
          <w:szCs w:val="24"/>
        </w:rPr>
        <w:t>1、公司简介</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96"/>
        <w:gridCol w:w="2195"/>
        <w:gridCol w:w="1135"/>
        <w:gridCol w:w="1042"/>
        <w:gridCol w:w="2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股票简称</w:t>
            </w:r>
          </w:p>
        </w:tc>
        <w:tc>
          <w:tcPr>
            <w:tcW w:w="2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伟隆股份</w:t>
            </w:r>
          </w:p>
        </w:tc>
        <w:tc>
          <w:tcPr>
            <w:tcW w:w="217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股票代码</w:t>
            </w:r>
          </w:p>
        </w:tc>
        <w:tc>
          <w:tcPr>
            <w:tcW w:w="229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sz w:val="18"/>
                <w:szCs w:val="24"/>
              </w:rPr>
            </w:pPr>
            <w:r>
              <w:rPr>
                <w:rFonts w:hint="eastAsia"/>
                <w:sz w:val="18"/>
                <w:szCs w:val="24"/>
              </w:rPr>
              <w:t>002871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股票上市交易所</w:t>
            </w:r>
          </w:p>
        </w:tc>
        <w:tc>
          <w:tcPr>
            <w:tcW w:w="667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sz w:val="18"/>
                <w:szCs w:val="24"/>
              </w:rPr>
            </w:pPr>
            <w:r>
              <w:rPr>
                <w:rFonts w:hint="eastAsia"/>
                <w:sz w:val="18"/>
                <w:szCs w:val="24"/>
              </w:rPr>
              <w:t>深圳证券交易所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联系人和联系方式</w:t>
            </w:r>
          </w:p>
        </w:tc>
        <w:tc>
          <w:tcPr>
            <w:tcW w:w="33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董事会秘书</w:t>
            </w:r>
          </w:p>
        </w:tc>
        <w:tc>
          <w:tcPr>
            <w:tcW w:w="3341"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证券事务代表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姓名</w:t>
            </w:r>
          </w:p>
        </w:tc>
        <w:tc>
          <w:tcPr>
            <w:tcW w:w="33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sz w:val="18"/>
                <w:szCs w:val="24"/>
              </w:rPr>
            </w:pPr>
            <w:r>
              <w:rPr>
                <w:rFonts w:hint="eastAsia"/>
                <w:sz w:val="18"/>
                <w:szCs w:val="24"/>
              </w:rPr>
              <w:t>刘克平</w:t>
            </w:r>
          </w:p>
        </w:tc>
        <w:tc>
          <w:tcPr>
            <w:tcW w:w="33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sz w:val="18"/>
                <w:szCs w:val="24"/>
              </w:rPr>
            </w:pPr>
            <w:r>
              <w:rPr>
                <w:rFonts w:hint="eastAsia"/>
                <w:sz w:val="18"/>
                <w:szCs w:val="24"/>
              </w:rPr>
              <w:t>赵翔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办公地址</w:t>
            </w:r>
          </w:p>
        </w:tc>
        <w:tc>
          <w:tcPr>
            <w:tcW w:w="33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sz w:val="18"/>
                <w:szCs w:val="24"/>
              </w:rPr>
            </w:pPr>
            <w:r>
              <w:rPr>
                <w:rFonts w:hint="eastAsia"/>
                <w:sz w:val="18"/>
                <w:szCs w:val="24"/>
              </w:rPr>
              <w:t>青岛市高新区宝源路北首伟隆股份</w:t>
            </w:r>
          </w:p>
        </w:tc>
        <w:tc>
          <w:tcPr>
            <w:tcW w:w="33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sz w:val="18"/>
                <w:szCs w:val="24"/>
              </w:rPr>
            </w:pPr>
            <w:r>
              <w:rPr>
                <w:rFonts w:hint="eastAsia"/>
                <w:sz w:val="18"/>
                <w:szCs w:val="24"/>
              </w:rPr>
              <w:t>青岛市高新区宝源路北首伟隆股份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电话</w:t>
            </w:r>
          </w:p>
        </w:tc>
        <w:tc>
          <w:tcPr>
            <w:tcW w:w="33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sz w:val="18"/>
                <w:szCs w:val="24"/>
              </w:rPr>
            </w:pPr>
            <w:r>
              <w:rPr>
                <w:rFonts w:hint="eastAsia"/>
                <w:sz w:val="18"/>
                <w:szCs w:val="24"/>
              </w:rPr>
              <w:t>0532-87901466</w:t>
            </w:r>
          </w:p>
        </w:tc>
        <w:tc>
          <w:tcPr>
            <w:tcW w:w="33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sz w:val="18"/>
                <w:szCs w:val="24"/>
              </w:rPr>
            </w:pPr>
            <w:r>
              <w:rPr>
                <w:rFonts w:hint="eastAsia"/>
                <w:sz w:val="18"/>
                <w:szCs w:val="24"/>
              </w:rPr>
              <w:t>0532-87901466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电子信箱</w:t>
            </w:r>
          </w:p>
        </w:tc>
        <w:tc>
          <w:tcPr>
            <w:tcW w:w="33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sz w:val="18"/>
                <w:szCs w:val="24"/>
              </w:rPr>
            </w:pPr>
            <w:r>
              <w:rPr>
                <w:rFonts w:hint="eastAsia"/>
                <w:sz w:val="18"/>
                <w:szCs w:val="24"/>
              </w:rPr>
              <w:t>Liu.k.p@weflovalve.com</w:t>
            </w:r>
          </w:p>
        </w:tc>
        <w:tc>
          <w:tcPr>
            <w:tcW w:w="33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sz w:val="18"/>
                <w:szCs w:val="24"/>
              </w:rPr>
            </w:pPr>
            <w:r>
              <w:rPr>
                <w:rFonts w:hint="eastAsia"/>
                <w:sz w:val="18"/>
                <w:szCs w:val="24"/>
              </w:rPr>
              <w:t>Zhao.xiang@weflovalve.com</w:t>
            </w:r>
          </w:p>
        </w:tc>
      </w:tr>
    </w:tbl>
    <w:p>
      <w:pPr>
        <w:pStyle w:val="5"/>
        <w:outlineLvl w:val="2"/>
        <w:rPr>
          <w:rFonts w:hint="eastAsia"/>
          <w:sz w:val="21"/>
          <w:szCs w:val="24"/>
        </w:rPr>
      </w:pPr>
      <w:r>
        <w:rPr>
          <w:rFonts w:hint="eastAsia"/>
          <w:sz w:val="21"/>
          <w:szCs w:val="24"/>
        </w:rPr>
        <w:t>2、报告期主要业务或产品简介</w:t>
      </w:r>
    </w:p>
    <w:p>
      <w:pPr>
        <w:autoSpaceDE w:val="0"/>
        <w:autoSpaceDN w:val="0"/>
        <w:adjustRightInd w:val="0"/>
        <w:spacing w:before="0" w:after="0"/>
        <w:ind w:firstLine="300"/>
        <w:rPr>
          <w:rFonts w:hint="default" w:eastAsia="Times New Roman"/>
          <w:color w:val="auto"/>
          <w:sz w:val="18"/>
          <w:szCs w:val="24"/>
          <w:lang w:val="zh-CN"/>
        </w:rPr>
      </w:pPr>
      <w:r>
        <w:rPr>
          <w:rFonts w:hint="eastAsia" w:ascii="宋体"/>
          <w:color w:val="auto"/>
          <w:sz w:val="18"/>
          <w:szCs w:val="24"/>
          <w:lang w:val="zh-CN"/>
        </w:rPr>
        <w:t>公司是专业从事给排水阀门产品的设计研发、生产制造和销售服务的高新技术企业，为城镇给排水系统、消防给水系统、空调暖通系统以及污水处理系统等下游应用领域提供产品及解决方案。目前公司已形成以闸阀、蝶阀、截止阀、调节阀、旋塞阀、止回阀、减压阀、报警阀、雨淋阀等为主的多个系列产品，共有</w:t>
      </w:r>
      <w:r>
        <w:rPr>
          <w:rFonts w:hint="default" w:eastAsia="Times New Roman"/>
          <w:color w:val="auto"/>
          <w:sz w:val="18"/>
          <w:szCs w:val="24"/>
          <w:lang w:val="zh-CN"/>
        </w:rPr>
        <w:t>2,000</w:t>
      </w:r>
      <w:r>
        <w:rPr>
          <w:rFonts w:hint="eastAsia" w:ascii="宋体"/>
          <w:color w:val="auto"/>
          <w:sz w:val="18"/>
          <w:szCs w:val="24"/>
          <w:lang w:val="zh-CN"/>
        </w:rPr>
        <w:t>多个规格，能够满足客户一站式采购需求。公司产品取得了欧盟</w:t>
      </w:r>
      <w:r>
        <w:rPr>
          <w:rFonts w:hint="default" w:eastAsia="Times New Roman"/>
          <w:color w:val="auto"/>
          <w:sz w:val="18"/>
          <w:szCs w:val="24"/>
          <w:lang w:val="zh-CN"/>
        </w:rPr>
        <w:t>CE</w:t>
      </w:r>
      <w:r>
        <w:rPr>
          <w:rFonts w:hint="eastAsia" w:ascii="宋体"/>
          <w:color w:val="auto"/>
          <w:sz w:val="18"/>
          <w:szCs w:val="24"/>
          <w:lang w:val="zh-CN"/>
        </w:rPr>
        <w:t>产品安全认证、英国</w:t>
      </w:r>
      <w:r>
        <w:rPr>
          <w:rFonts w:hint="default" w:eastAsia="Times New Roman"/>
          <w:color w:val="auto"/>
          <w:sz w:val="18"/>
          <w:szCs w:val="24"/>
          <w:lang w:val="zh-CN"/>
        </w:rPr>
        <w:t>WRAS</w:t>
      </w:r>
      <w:r>
        <w:rPr>
          <w:rFonts w:hint="eastAsia" w:ascii="宋体"/>
          <w:color w:val="auto"/>
          <w:sz w:val="18"/>
          <w:szCs w:val="24"/>
          <w:lang w:val="zh-CN"/>
        </w:rPr>
        <w:t>饮用水认证、美国</w:t>
      </w:r>
      <w:r>
        <w:rPr>
          <w:rFonts w:hint="default" w:eastAsia="Times New Roman"/>
          <w:color w:val="auto"/>
          <w:sz w:val="18"/>
          <w:szCs w:val="24"/>
          <w:lang w:val="zh-CN"/>
        </w:rPr>
        <w:t>UL</w:t>
      </w:r>
      <w:r>
        <w:rPr>
          <w:rFonts w:hint="eastAsia" w:ascii="宋体"/>
          <w:color w:val="auto"/>
          <w:sz w:val="18"/>
          <w:szCs w:val="24"/>
          <w:lang w:val="zh-CN"/>
        </w:rPr>
        <w:t>饮用水认证、美国</w:t>
      </w:r>
      <w:r>
        <w:rPr>
          <w:rFonts w:hint="default" w:eastAsia="Times New Roman"/>
          <w:color w:val="auto"/>
          <w:sz w:val="18"/>
          <w:szCs w:val="24"/>
          <w:lang w:val="zh-CN"/>
        </w:rPr>
        <w:t>UL</w:t>
      </w:r>
      <w:r>
        <w:rPr>
          <w:rFonts w:hint="eastAsia" w:ascii="宋体"/>
          <w:color w:val="auto"/>
          <w:sz w:val="18"/>
          <w:szCs w:val="24"/>
          <w:lang w:val="zh-CN"/>
        </w:rPr>
        <w:t>认证、美国</w:t>
      </w:r>
      <w:r>
        <w:rPr>
          <w:rFonts w:hint="default" w:eastAsia="Times New Roman"/>
          <w:color w:val="auto"/>
          <w:sz w:val="18"/>
          <w:szCs w:val="24"/>
          <w:lang w:val="zh-CN"/>
        </w:rPr>
        <w:t>FM</w:t>
      </w:r>
      <w:r>
        <w:rPr>
          <w:rFonts w:hint="eastAsia" w:ascii="宋体"/>
          <w:color w:val="auto"/>
          <w:sz w:val="18"/>
          <w:szCs w:val="24"/>
          <w:lang w:val="zh-CN"/>
        </w:rPr>
        <w:t>认证、美国</w:t>
      </w:r>
      <w:r>
        <w:rPr>
          <w:rFonts w:hint="default" w:eastAsia="Times New Roman"/>
          <w:color w:val="auto"/>
          <w:sz w:val="18"/>
          <w:szCs w:val="24"/>
          <w:lang w:val="zh-CN"/>
        </w:rPr>
        <w:t>NSF</w:t>
      </w:r>
      <w:r>
        <w:rPr>
          <w:rFonts w:hint="eastAsia" w:ascii="宋体"/>
          <w:color w:val="auto"/>
          <w:sz w:val="18"/>
          <w:szCs w:val="24"/>
          <w:lang w:val="zh-CN"/>
        </w:rPr>
        <w:t>认证、加拿大</w:t>
      </w:r>
      <w:r>
        <w:rPr>
          <w:rFonts w:hint="default" w:eastAsia="Times New Roman"/>
          <w:color w:val="auto"/>
          <w:sz w:val="18"/>
          <w:szCs w:val="24"/>
          <w:lang w:val="zh-CN"/>
        </w:rPr>
        <w:t>UL</w:t>
      </w:r>
      <w:r>
        <w:rPr>
          <w:rFonts w:hint="eastAsia" w:ascii="宋体"/>
          <w:color w:val="auto"/>
          <w:sz w:val="18"/>
          <w:szCs w:val="24"/>
          <w:lang w:val="zh-CN"/>
        </w:rPr>
        <w:t>认证、澳大利亚</w:t>
      </w:r>
      <w:r>
        <w:rPr>
          <w:rFonts w:hint="default" w:eastAsia="Times New Roman"/>
          <w:color w:val="auto"/>
          <w:sz w:val="18"/>
          <w:szCs w:val="24"/>
          <w:lang w:val="zh-CN"/>
        </w:rPr>
        <w:t>IAPMO</w:t>
      </w:r>
      <w:r>
        <w:rPr>
          <w:rFonts w:hint="eastAsia" w:ascii="宋体"/>
          <w:color w:val="auto"/>
          <w:sz w:val="18"/>
          <w:szCs w:val="24"/>
          <w:lang w:val="zh-CN"/>
        </w:rPr>
        <w:t>审核</w:t>
      </w:r>
      <w:r>
        <w:rPr>
          <w:rFonts w:hint="default" w:eastAsia="Times New Roman"/>
          <w:color w:val="auto"/>
          <w:sz w:val="18"/>
          <w:szCs w:val="24"/>
          <w:lang w:val="zh-CN"/>
        </w:rPr>
        <w:t>WaterMark</w:t>
      </w:r>
      <w:r>
        <w:rPr>
          <w:rFonts w:hint="eastAsia" w:ascii="宋体"/>
          <w:color w:val="auto"/>
          <w:sz w:val="18"/>
          <w:szCs w:val="24"/>
          <w:lang w:val="zh-CN"/>
        </w:rPr>
        <w:t>认证和</w:t>
      </w:r>
      <w:r>
        <w:rPr>
          <w:rFonts w:hint="default" w:eastAsia="Times New Roman"/>
          <w:color w:val="auto"/>
          <w:sz w:val="18"/>
          <w:szCs w:val="24"/>
          <w:lang w:val="zh-CN"/>
        </w:rPr>
        <w:t>AGA\OceanMark.</w:t>
      </w:r>
      <w:r>
        <w:rPr>
          <w:rFonts w:hint="eastAsia" w:ascii="宋体"/>
          <w:color w:val="auto"/>
          <w:sz w:val="18"/>
          <w:szCs w:val="24"/>
          <w:lang w:val="zh-CN"/>
        </w:rPr>
        <w:t>认证、中国船级社型式认可证书、武器装备质量管理体系认证证书、俄罗斯</w:t>
      </w:r>
      <w:r>
        <w:rPr>
          <w:rFonts w:hint="default" w:eastAsia="Times New Roman"/>
          <w:color w:val="auto"/>
          <w:sz w:val="18"/>
          <w:szCs w:val="24"/>
          <w:lang w:val="zh-CN"/>
        </w:rPr>
        <w:t>GOST</w:t>
      </w:r>
      <w:r>
        <w:rPr>
          <w:rFonts w:hint="eastAsia" w:ascii="宋体"/>
          <w:color w:val="auto"/>
          <w:sz w:val="18"/>
          <w:szCs w:val="24"/>
          <w:lang w:val="zh-CN"/>
        </w:rPr>
        <w:t>认证、阿联酋</w:t>
      </w:r>
      <w:r>
        <w:rPr>
          <w:rFonts w:hint="default" w:eastAsia="Times New Roman"/>
          <w:color w:val="auto"/>
          <w:sz w:val="18"/>
          <w:szCs w:val="24"/>
          <w:lang w:val="zh-CN"/>
        </w:rPr>
        <w:t>Civil Denfense</w:t>
      </w:r>
      <w:r>
        <w:rPr>
          <w:rFonts w:hint="eastAsia" w:ascii="宋体"/>
          <w:color w:val="auto"/>
          <w:sz w:val="18"/>
          <w:szCs w:val="24"/>
          <w:lang w:val="zh-CN"/>
        </w:rPr>
        <w:t>民防认证、</w:t>
      </w:r>
      <w:r>
        <w:rPr>
          <w:rFonts w:hint="default" w:eastAsia="Times New Roman"/>
          <w:color w:val="auto"/>
          <w:sz w:val="18"/>
          <w:szCs w:val="24"/>
          <w:lang w:val="zh-CN"/>
        </w:rPr>
        <w:t>CCC</w:t>
      </w:r>
      <w:r>
        <w:rPr>
          <w:rFonts w:hint="eastAsia" w:ascii="宋体"/>
          <w:color w:val="auto"/>
          <w:sz w:val="18"/>
          <w:szCs w:val="24"/>
          <w:lang w:val="zh-CN"/>
        </w:rPr>
        <w:t>中国国家强制性产品认证证书、香港水务署认证、德国</w:t>
      </w:r>
      <w:r>
        <w:rPr>
          <w:rFonts w:hint="default" w:eastAsia="Times New Roman"/>
          <w:color w:val="auto"/>
          <w:sz w:val="18"/>
          <w:szCs w:val="24"/>
          <w:lang w:val="zh-CN"/>
        </w:rPr>
        <w:t>VDS</w:t>
      </w:r>
      <w:r>
        <w:rPr>
          <w:rFonts w:hint="eastAsia" w:ascii="宋体"/>
          <w:color w:val="auto"/>
          <w:sz w:val="18"/>
          <w:szCs w:val="24"/>
          <w:lang w:val="zh-CN"/>
        </w:rPr>
        <w:t>认证等多项产品质量认证，获得</w:t>
      </w:r>
      <w:r>
        <w:rPr>
          <w:rFonts w:hint="default" w:eastAsia="Times New Roman"/>
          <w:color w:val="auto"/>
          <w:sz w:val="18"/>
          <w:szCs w:val="24"/>
          <w:lang w:val="zh-CN"/>
        </w:rPr>
        <w:t>“GB/T 29490-2013</w:t>
      </w:r>
      <w:r>
        <w:rPr>
          <w:rFonts w:hint="eastAsia" w:ascii="宋体"/>
          <w:color w:val="auto"/>
          <w:sz w:val="18"/>
          <w:szCs w:val="24"/>
          <w:lang w:val="zh-CN"/>
        </w:rPr>
        <w:t>知识产权管理体系认证</w:t>
      </w:r>
      <w:r>
        <w:rPr>
          <w:rFonts w:hint="default" w:eastAsia="Times New Roman"/>
          <w:color w:val="auto"/>
          <w:sz w:val="18"/>
          <w:szCs w:val="24"/>
          <w:lang w:val="zh-CN"/>
        </w:rPr>
        <w:t>”</w:t>
      </w:r>
      <w:r>
        <w:rPr>
          <w:rFonts w:hint="eastAsia" w:ascii="宋体"/>
          <w:color w:val="auto"/>
          <w:sz w:val="18"/>
          <w:szCs w:val="24"/>
          <w:lang w:val="zh-CN"/>
        </w:rPr>
        <w:t>，成为国内给排水阀门行业取得认证较多的企业之一。</w:t>
      </w:r>
      <w:r>
        <w:rPr>
          <w:rFonts w:hint="default" w:eastAsia="Times New Roman"/>
          <w:color w:val="auto"/>
          <w:sz w:val="18"/>
          <w:szCs w:val="24"/>
          <w:lang w:val="zh-CN"/>
        </w:rPr>
        <w:t>2016</w:t>
      </w:r>
      <w:r>
        <w:rPr>
          <w:rFonts w:hint="eastAsia" w:ascii="宋体"/>
          <w:color w:val="auto"/>
          <w:sz w:val="18"/>
          <w:szCs w:val="24"/>
          <w:lang w:val="zh-CN"/>
        </w:rPr>
        <w:t>年</w:t>
      </w:r>
      <w:r>
        <w:rPr>
          <w:rFonts w:hint="default" w:eastAsia="Times New Roman"/>
          <w:color w:val="auto"/>
          <w:sz w:val="18"/>
          <w:szCs w:val="24"/>
          <w:lang w:val="zh-CN"/>
        </w:rPr>
        <w:t>7</w:t>
      </w:r>
      <w:r>
        <w:rPr>
          <w:rFonts w:hint="eastAsia" w:ascii="宋体"/>
          <w:color w:val="auto"/>
          <w:sz w:val="18"/>
          <w:szCs w:val="24"/>
          <w:lang w:val="zh-CN"/>
        </w:rPr>
        <w:t>月</w:t>
      </w:r>
      <w:r>
        <w:rPr>
          <w:rFonts w:hint="default" w:eastAsia="Times New Roman"/>
          <w:color w:val="auto"/>
          <w:sz w:val="18"/>
          <w:szCs w:val="24"/>
          <w:lang w:val="zh-CN"/>
        </w:rPr>
        <w:t>26</w:t>
      </w:r>
      <w:r>
        <w:rPr>
          <w:rFonts w:hint="eastAsia" w:ascii="宋体"/>
          <w:color w:val="auto"/>
          <w:sz w:val="18"/>
          <w:szCs w:val="24"/>
          <w:lang w:val="zh-CN"/>
        </w:rPr>
        <w:t>日，公司阀门检测中心获得</w:t>
      </w:r>
      <w:r>
        <w:rPr>
          <w:rFonts w:hint="default" w:eastAsia="Times New Roman"/>
          <w:color w:val="auto"/>
          <w:sz w:val="18"/>
          <w:szCs w:val="24"/>
          <w:lang w:val="zh-CN"/>
        </w:rPr>
        <w:t>“</w:t>
      </w:r>
      <w:r>
        <w:rPr>
          <w:rFonts w:hint="eastAsia" w:ascii="宋体"/>
          <w:color w:val="auto"/>
          <w:sz w:val="18"/>
          <w:szCs w:val="24"/>
          <w:lang w:val="zh-CN"/>
        </w:rPr>
        <w:t>中国合格评定国家认可委员会、中国国防科技工业实验室认可委员会</w:t>
      </w:r>
      <w:r>
        <w:rPr>
          <w:rFonts w:hint="default" w:eastAsia="Times New Roman"/>
          <w:color w:val="auto"/>
          <w:sz w:val="18"/>
          <w:szCs w:val="24"/>
          <w:lang w:val="zh-CN"/>
        </w:rPr>
        <w:t>”</w:t>
      </w:r>
      <w:r>
        <w:rPr>
          <w:rFonts w:hint="eastAsia" w:ascii="宋体"/>
          <w:color w:val="auto"/>
          <w:sz w:val="18"/>
          <w:szCs w:val="24"/>
          <w:lang w:val="zh-CN"/>
        </w:rPr>
        <w:t>颁发的</w:t>
      </w:r>
      <w:r>
        <w:rPr>
          <w:rFonts w:hint="default" w:eastAsia="Times New Roman"/>
          <w:color w:val="auto"/>
          <w:sz w:val="18"/>
          <w:szCs w:val="24"/>
          <w:lang w:val="zh-CN"/>
        </w:rPr>
        <w:t>CNAS/DILAC</w:t>
      </w:r>
      <w:r>
        <w:rPr>
          <w:rFonts w:hint="eastAsia" w:ascii="宋体"/>
          <w:color w:val="auto"/>
          <w:sz w:val="18"/>
          <w:szCs w:val="24"/>
          <w:lang w:val="zh-CN"/>
        </w:rPr>
        <w:t>实验室认可证书。</w:t>
      </w:r>
      <w:r>
        <w:rPr>
          <w:rFonts w:hint="default" w:eastAsia="Times New Roman"/>
          <w:color w:val="auto"/>
          <w:sz w:val="18"/>
          <w:szCs w:val="24"/>
          <w:lang w:val="zh-CN"/>
        </w:rPr>
        <w:t>2016</w:t>
      </w:r>
      <w:r>
        <w:rPr>
          <w:rFonts w:hint="eastAsia" w:ascii="宋体"/>
          <w:color w:val="auto"/>
          <w:sz w:val="18"/>
          <w:szCs w:val="24"/>
          <w:lang w:val="zh-CN"/>
        </w:rPr>
        <w:t>年</w:t>
      </w:r>
      <w:r>
        <w:rPr>
          <w:rFonts w:hint="default" w:eastAsia="Times New Roman"/>
          <w:color w:val="auto"/>
          <w:sz w:val="18"/>
          <w:szCs w:val="24"/>
          <w:lang w:val="zh-CN"/>
        </w:rPr>
        <w:t>11</w:t>
      </w:r>
      <w:r>
        <w:rPr>
          <w:rFonts w:hint="eastAsia" w:ascii="宋体"/>
          <w:color w:val="auto"/>
          <w:sz w:val="18"/>
          <w:szCs w:val="24"/>
          <w:lang w:val="zh-CN"/>
        </w:rPr>
        <w:t>月</w:t>
      </w:r>
      <w:r>
        <w:rPr>
          <w:rFonts w:hint="default" w:eastAsia="Times New Roman"/>
          <w:color w:val="auto"/>
          <w:sz w:val="18"/>
          <w:szCs w:val="24"/>
          <w:lang w:val="zh-CN"/>
        </w:rPr>
        <w:t>1</w:t>
      </w:r>
      <w:r>
        <w:rPr>
          <w:rFonts w:hint="eastAsia" w:ascii="宋体"/>
          <w:color w:val="auto"/>
          <w:sz w:val="18"/>
          <w:szCs w:val="24"/>
          <w:lang w:val="zh-CN"/>
        </w:rPr>
        <w:t>日，公司阀门检测中心实验室被美国保险商试验所产品公共安全试验权威机构认定为国内阀门行业首家</w:t>
      </w:r>
      <w:r>
        <w:rPr>
          <w:rFonts w:hint="default" w:eastAsia="Times New Roman"/>
          <w:color w:val="auto"/>
          <w:sz w:val="18"/>
          <w:szCs w:val="24"/>
          <w:lang w:val="zh-CN"/>
        </w:rPr>
        <w:t>“UL</w:t>
      </w:r>
      <w:r>
        <w:rPr>
          <w:rFonts w:hint="eastAsia" w:ascii="宋体"/>
          <w:color w:val="auto"/>
          <w:sz w:val="18"/>
          <w:szCs w:val="24"/>
          <w:lang w:val="zh-CN"/>
        </w:rPr>
        <w:t>认可目击测试实验室</w:t>
      </w:r>
      <w:r>
        <w:rPr>
          <w:rFonts w:hint="default" w:eastAsia="Times New Roman"/>
          <w:color w:val="auto"/>
          <w:sz w:val="18"/>
          <w:szCs w:val="24"/>
          <w:lang w:val="zh-CN"/>
        </w:rPr>
        <w:t>”</w:t>
      </w:r>
      <w:r>
        <w:rPr>
          <w:rFonts w:hint="eastAsia" w:ascii="宋体"/>
          <w:color w:val="auto"/>
          <w:sz w:val="18"/>
          <w:szCs w:val="24"/>
          <w:lang w:val="zh-CN"/>
        </w:rPr>
        <w:t>，标志着公司阀门产品的检测能力已达到国内领先水平。</w:t>
      </w:r>
    </w:p>
    <w:p>
      <w:pPr>
        <w:autoSpaceDE w:val="0"/>
        <w:autoSpaceDN w:val="0"/>
        <w:adjustRightInd w:val="0"/>
        <w:spacing w:before="0" w:after="0"/>
        <w:ind w:firstLine="480"/>
        <w:rPr>
          <w:rFonts w:hint="default" w:eastAsia="Times New Roman"/>
          <w:color w:val="auto"/>
          <w:sz w:val="18"/>
          <w:szCs w:val="24"/>
          <w:lang w:val="zh-CN"/>
        </w:rPr>
      </w:pPr>
      <w:r>
        <w:rPr>
          <w:rFonts w:hint="eastAsia" w:ascii="宋体"/>
          <w:color w:val="auto"/>
          <w:sz w:val="18"/>
          <w:szCs w:val="24"/>
          <w:lang w:val="zh-CN"/>
        </w:rPr>
        <w:t>公司于</w:t>
      </w:r>
      <w:r>
        <w:rPr>
          <w:rFonts w:hint="default" w:eastAsia="Times New Roman"/>
          <w:color w:val="auto"/>
          <w:sz w:val="18"/>
          <w:szCs w:val="24"/>
          <w:lang w:val="zh-CN"/>
        </w:rPr>
        <w:t>2019</w:t>
      </w:r>
      <w:r>
        <w:rPr>
          <w:rFonts w:hint="eastAsia" w:ascii="宋体"/>
          <w:color w:val="auto"/>
          <w:sz w:val="18"/>
          <w:szCs w:val="24"/>
          <w:lang w:val="zh-CN"/>
        </w:rPr>
        <w:t>年</w:t>
      </w:r>
      <w:r>
        <w:rPr>
          <w:rFonts w:hint="default" w:eastAsia="Times New Roman"/>
          <w:color w:val="auto"/>
          <w:sz w:val="18"/>
          <w:szCs w:val="24"/>
          <w:lang w:val="zh-CN"/>
        </w:rPr>
        <w:t>5</w:t>
      </w:r>
      <w:r>
        <w:rPr>
          <w:rFonts w:hint="eastAsia" w:ascii="宋体"/>
          <w:color w:val="auto"/>
          <w:sz w:val="18"/>
          <w:szCs w:val="24"/>
          <w:lang w:val="zh-CN"/>
        </w:rPr>
        <w:t>月建设完成的新型阀门建设项目全面投产，不断提高自动化铸造生产线的铸造产能和产品品种，开始逐步为汽车、农机行业提供配件铸造产品，营业收入已从2019年的无收入增至2020年的</w:t>
      </w:r>
      <w:r>
        <w:rPr>
          <w:rFonts w:hint="default" w:eastAsia="Times New Roman"/>
          <w:color w:val="auto"/>
          <w:sz w:val="18"/>
          <w:szCs w:val="24"/>
          <w:lang w:val="zh-CN"/>
        </w:rPr>
        <w:t>19,097,638.60</w:t>
      </w:r>
      <w:r>
        <w:rPr>
          <w:rFonts w:hint="eastAsia" w:ascii="宋体"/>
          <w:color w:val="auto"/>
          <w:sz w:val="18"/>
          <w:szCs w:val="24"/>
          <w:lang w:val="zh-CN"/>
        </w:rPr>
        <w:t>元，并在不断开拓客户资源，提升产品质量、技术工艺水平，创造新的利润增长点和竞争力。</w:t>
      </w:r>
    </w:p>
    <w:p>
      <w:pPr>
        <w:autoSpaceDE w:val="0"/>
        <w:autoSpaceDN w:val="0"/>
        <w:adjustRightInd w:val="0"/>
        <w:spacing w:before="0" w:after="0"/>
        <w:ind w:firstLine="300"/>
        <w:rPr>
          <w:rFonts w:hint="eastAsia" w:ascii="宋体"/>
          <w:color w:val="auto"/>
          <w:sz w:val="18"/>
          <w:szCs w:val="24"/>
          <w:lang w:val="zh-CN"/>
        </w:rPr>
      </w:pPr>
      <w:r>
        <w:rPr>
          <w:rFonts w:hint="eastAsia" w:ascii="宋体"/>
          <w:color w:val="auto"/>
          <w:sz w:val="18"/>
          <w:szCs w:val="24"/>
          <w:lang w:val="zh-CN"/>
        </w:rPr>
        <w:t>公司已取得中央军委装备发展部颁发的从事军品制造资格的《装备承制单位注册证书》和国军标质量管理体系认证。公司为开拓军工市场所需产品，设立了军品销售部配置了专业的销售、技术和服务人员，已为部分军事基地、造船厂等单位，提供生产装备、生活设施配套所需的闸阀、防浪阀、截止阀、快速接头等产品。报告期内军品阀门销售额尚未对公司业绩产生重大影响，但对公司未来业绩的提升和核心竞争力的增强将有促进作用，公司将抓住军民融合产业发展机遇实现高质量发展，为国防建设提供优质阀门产品和服务。</w:t>
      </w:r>
    </w:p>
    <w:p>
      <w:pPr>
        <w:autoSpaceDE w:val="0"/>
        <w:autoSpaceDN w:val="0"/>
        <w:adjustRightInd w:val="0"/>
        <w:spacing w:before="0" w:after="0"/>
        <w:ind w:firstLine="300"/>
        <w:rPr>
          <w:rFonts w:hint="eastAsia" w:ascii="宋体"/>
          <w:color w:val="auto"/>
          <w:sz w:val="18"/>
          <w:szCs w:val="24"/>
          <w:lang w:val="zh-CN"/>
        </w:rPr>
      </w:pPr>
      <w:r>
        <w:rPr>
          <w:rFonts w:hint="eastAsia" w:ascii="宋体"/>
          <w:color w:val="auto"/>
          <w:sz w:val="18"/>
          <w:szCs w:val="24"/>
          <w:lang w:val="zh-CN"/>
        </w:rPr>
        <w:t>公司为拓展国际市场业务，在香港设立了“偉隆（香港）實業有限公司”；为开拓检测业务成立了“卓信检测技术公司”；为整合公司内部资源，提高公司运营效率，设立了“即聚机电有限公司”，完成了不动产资产划转业务。</w:t>
      </w:r>
    </w:p>
    <w:p>
      <w:pPr>
        <w:autoSpaceDE w:val="0"/>
        <w:autoSpaceDN w:val="0"/>
        <w:adjustRightInd w:val="0"/>
        <w:spacing w:before="0" w:after="0"/>
        <w:ind w:firstLine="300"/>
        <w:rPr>
          <w:rFonts w:hint="eastAsia" w:ascii="宋体"/>
          <w:color w:val="auto"/>
          <w:sz w:val="18"/>
          <w:szCs w:val="24"/>
          <w:lang w:val="zh-CN"/>
        </w:rPr>
      </w:pPr>
      <w:r>
        <w:rPr>
          <w:rFonts w:hint="eastAsia" w:ascii="宋体"/>
          <w:color w:val="auto"/>
          <w:sz w:val="18"/>
          <w:szCs w:val="24"/>
          <w:lang w:val="zh-CN"/>
        </w:rPr>
        <w:t>公司产品以出口为主导，2018年度、2019年度及2020年度公司产品出口收入占营业收入比例分别为85.83%、85.20%和80.11%，销往欧洲、北美、中东、南美、亚洲、大洋洲等50多个国家和地区。</w:t>
      </w:r>
    </w:p>
    <w:p>
      <w:pPr>
        <w:autoSpaceDE w:val="0"/>
        <w:autoSpaceDN w:val="0"/>
        <w:adjustRightInd w:val="0"/>
        <w:spacing w:before="0" w:after="0"/>
        <w:ind w:firstLine="480"/>
        <w:rPr>
          <w:rFonts w:hint="eastAsia" w:ascii="宋体"/>
          <w:color w:val="auto"/>
          <w:sz w:val="18"/>
          <w:szCs w:val="24"/>
          <w:lang w:val="zh-CN"/>
        </w:rPr>
      </w:pPr>
      <w:r>
        <w:rPr>
          <w:rFonts w:hint="eastAsia" w:ascii="宋体"/>
          <w:color w:val="auto"/>
          <w:sz w:val="18"/>
          <w:szCs w:val="24"/>
          <w:lang w:val="zh-CN"/>
        </w:rPr>
        <w:t>报告期内，公司主营经营模式、主营业务及主要产品未发生重大变化。</w:t>
      </w:r>
    </w:p>
    <w:p>
      <w:pPr>
        <w:pStyle w:val="5"/>
        <w:outlineLvl w:val="2"/>
        <w:rPr>
          <w:rFonts w:hint="eastAsia"/>
          <w:sz w:val="21"/>
          <w:szCs w:val="24"/>
        </w:rPr>
      </w:pPr>
      <w:r>
        <w:rPr>
          <w:rFonts w:hint="eastAsia"/>
          <w:sz w:val="21"/>
          <w:szCs w:val="24"/>
        </w:rPr>
        <w:t>3、主要会计数据和财务指标</w:t>
      </w:r>
    </w:p>
    <w:p>
      <w:pPr>
        <w:pStyle w:val="5"/>
        <w:outlineLvl w:val="3"/>
        <w:rPr>
          <w:rFonts w:hint="eastAsia"/>
          <w:sz w:val="21"/>
          <w:szCs w:val="24"/>
        </w:rPr>
      </w:pPr>
      <w:r>
        <w:rPr>
          <w:rFonts w:hint="eastAsia"/>
          <w:sz w:val="21"/>
          <w:szCs w:val="24"/>
        </w:rPr>
        <w:t>（1）近三年主要会计数据和财务指标</w:t>
      </w:r>
    </w:p>
    <w:p>
      <w:pPr>
        <w:jc w:val="left"/>
        <w:rPr>
          <w:rFonts w:hint="eastAsia"/>
          <w:sz w:val="18"/>
          <w:szCs w:val="24"/>
        </w:rPr>
      </w:pPr>
      <w:r>
        <w:rPr>
          <w:rFonts w:hint="eastAsia"/>
          <w:sz w:val="18"/>
          <w:szCs w:val="24"/>
        </w:rPr>
        <w:t>公司是否需追溯调整或重述以前年度会计数据</w:t>
      </w:r>
    </w:p>
    <w:p>
      <w:pPr>
        <w:jc w:val="left"/>
        <w:rPr>
          <w:rFonts w:hint="eastAsia"/>
          <w:sz w:val="18"/>
          <w:szCs w:val="24"/>
        </w:rPr>
      </w:pPr>
      <w:r>
        <w:rPr>
          <w:rFonts w:hint="eastAsia"/>
          <w:sz w:val="18"/>
          <w:szCs w:val="24"/>
        </w:rPr>
        <w:t xml:space="preserve">□ 是 √ 否 </w:t>
      </w:r>
    </w:p>
    <w:p>
      <w:pPr>
        <w:jc w:val="right"/>
        <w:rPr>
          <w:rFonts w:hint="eastAsia"/>
          <w:sz w:val="18"/>
          <w:szCs w:val="24"/>
        </w:rPr>
      </w:pPr>
      <w:r>
        <w:rPr>
          <w:rFonts w:hint="eastAsia"/>
          <w:sz w:val="18"/>
          <w:szCs w:val="24"/>
        </w:rPr>
        <w:t>单位：元</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1"/>
        <w:gridCol w:w="1738"/>
        <w:gridCol w:w="1737"/>
        <w:gridCol w:w="1737"/>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2020年</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2019年</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本年比上年增减</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2018年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营业收入</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344,590,024.63</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355,225,906.74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-2.99%</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346,704,773.62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归属于上市公司股东的净利润</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57,968,093.00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52,983,867.54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9.41%</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77,680,421.96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归属于上市公司股东的扣除非经常性损益的净利润</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42,433,709.05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42,611,653.26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-0.42%</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62,400,470.01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经营活动产生的现金流量净额</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89,946,129.75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132,922,717.03</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-32.33%</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29,872,088.47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基本每股收益（元/股）</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0.50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0.45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11.11%</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稀释每股收益（元/股）</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0.50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0.45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11.11%</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加权平均净资产收益率</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eastAsia"/>
                <w:sz w:val="18"/>
                <w:szCs w:val="24"/>
              </w:rPr>
            </w:pPr>
            <w:r>
              <w:rPr>
                <w:rFonts w:hint="default" w:ascii="Tahoma" w:hAnsi="Tahoma" w:eastAsia="Tahoma" w:cs="Tahoma"/>
                <w:b/>
                <w:bCs/>
                <w:i w:val="0"/>
                <w:iCs w:val="0"/>
                <w:color w:val="000000"/>
                <w:kern w:val="0"/>
                <w:sz w:val="18"/>
                <w:szCs w:val="18"/>
                <w:u w:val="none"/>
                <w:lang w:val="en-US" w:eastAsia="zh-CN" w:bidi="ar"/>
              </w:rPr>
              <w:t>8.89%</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eastAsia"/>
                <w:sz w:val="18"/>
                <w:szCs w:val="24"/>
              </w:rPr>
            </w:pPr>
            <w:r>
              <w:rPr>
                <w:rFonts w:hint="default" w:ascii="Tahoma" w:hAnsi="Tahoma" w:eastAsia="Tahoma" w:cs="Tahoma"/>
                <w:b/>
                <w:bCs/>
                <w:i w:val="0"/>
                <w:iCs w:val="0"/>
                <w:color w:val="000000"/>
                <w:kern w:val="0"/>
                <w:sz w:val="18"/>
                <w:szCs w:val="18"/>
                <w:u w:val="none"/>
                <w:lang w:val="en-US" w:eastAsia="zh-CN" w:bidi="ar"/>
              </w:rPr>
              <w:t>8.44%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bottom"/>
          </w:tcPr>
          <w:p>
            <w:pPr>
              <w:keepNext w:val="0"/>
              <w:keepLines w:val="0"/>
              <w:widowControl/>
              <w:suppressLineNumbers w:val="0"/>
              <w:jc w:val="right"/>
              <w:textAlignment w:val="bottom"/>
              <w:rPr>
                <w:rFonts w:hint="eastAsia"/>
                <w:sz w:val="18"/>
                <w:szCs w:val="24"/>
              </w:rPr>
            </w:pPr>
            <w:r>
              <w:rPr>
                <w:rFonts w:hint="default" w:ascii="Tahoma" w:hAnsi="Tahoma" w:eastAsia="Tahoma" w:cs="Tahoma"/>
                <w:b/>
                <w:bCs/>
                <w:i w:val="0"/>
                <w:iCs w:val="0"/>
                <w:color w:val="000000"/>
                <w:kern w:val="0"/>
                <w:sz w:val="18"/>
                <w:szCs w:val="18"/>
                <w:u w:val="none"/>
                <w:lang w:val="en-US" w:eastAsia="zh-CN" w:bidi="ar"/>
              </w:rPr>
              <w:t>0.45%</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2020年末</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2019年末</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本年末比上年末增减</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2018年末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资产总额</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869,664,922.77</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799,909,010.24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8.72%</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785,086,524.19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归属于上市公司股东的净资产</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663,232,732.54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651,310,430.22</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1.83%</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610,558,766.49</w:t>
            </w:r>
          </w:p>
        </w:tc>
      </w:tr>
    </w:tbl>
    <w:p>
      <w:pPr>
        <w:pStyle w:val="5"/>
        <w:outlineLvl w:val="3"/>
        <w:rPr>
          <w:rFonts w:hint="eastAsia"/>
          <w:sz w:val="21"/>
          <w:szCs w:val="24"/>
        </w:rPr>
      </w:pPr>
      <w:r>
        <w:rPr>
          <w:rFonts w:hint="eastAsia"/>
          <w:sz w:val="21"/>
          <w:szCs w:val="24"/>
        </w:rPr>
        <w:t>（2）分季度主要会计数据</w:t>
      </w:r>
    </w:p>
    <w:p>
      <w:pPr>
        <w:jc w:val="right"/>
        <w:rPr>
          <w:rFonts w:hint="eastAsia"/>
          <w:sz w:val="18"/>
          <w:szCs w:val="24"/>
        </w:rPr>
      </w:pPr>
      <w:bookmarkStart w:id="0" w:name="_GoBack"/>
      <w:bookmarkEnd w:id="0"/>
      <w:r>
        <w:rPr>
          <w:rFonts w:hint="eastAsia"/>
          <w:sz w:val="18"/>
          <w:szCs w:val="24"/>
        </w:rPr>
        <w:t>单位：元</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9"/>
        <w:gridCol w:w="1860"/>
        <w:gridCol w:w="1751"/>
        <w:gridCol w:w="1715"/>
        <w:gridCol w:w="1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p>
        </w:tc>
        <w:tc>
          <w:tcPr>
            <w:tcW w:w="18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第一季度</w:t>
            </w:r>
          </w:p>
        </w:tc>
        <w:tc>
          <w:tcPr>
            <w:tcW w:w="17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第二季度</w:t>
            </w:r>
          </w:p>
        </w:tc>
        <w:tc>
          <w:tcPr>
            <w:tcW w:w="17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第三季度</w:t>
            </w:r>
          </w:p>
        </w:tc>
        <w:tc>
          <w:tcPr>
            <w:tcW w:w="17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第四季度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营业收入</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57,741,197.23</w:t>
            </w:r>
          </w:p>
        </w:tc>
        <w:tc>
          <w:tcPr>
            <w:tcW w:w="175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94,087,046.23</w:t>
            </w:r>
          </w:p>
        </w:tc>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95,713,065.10</w:t>
            </w:r>
          </w:p>
        </w:tc>
        <w:tc>
          <w:tcPr>
            <w:tcW w:w="17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97,048,716.07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归属于上市公司股东的净利润</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10,090,368.77</w:t>
            </w:r>
          </w:p>
        </w:tc>
        <w:tc>
          <w:tcPr>
            <w:tcW w:w="175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17,449,660.82</w:t>
            </w:r>
          </w:p>
        </w:tc>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18,646,574.39</w:t>
            </w:r>
          </w:p>
        </w:tc>
        <w:tc>
          <w:tcPr>
            <w:tcW w:w="17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11,781,489.02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归属于上市公司股东的扣除非经常性损益的净利润</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5,095,211.09</w:t>
            </w:r>
          </w:p>
        </w:tc>
        <w:tc>
          <w:tcPr>
            <w:tcW w:w="175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14,284,799.31</w:t>
            </w:r>
          </w:p>
        </w:tc>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14,714,637.33</w:t>
            </w:r>
          </w:p>
        </w:tc>
        <w:tc>
          <w:tcPr>
            <w:tcW w:w="17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8,339,061.32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经营活动产生的现金流量净额</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17,617,297.44</w:t>
            </w:r>
          </w:p>
        </w:tc>
        <w:tc>
          <w:tcPr>
            <w:tcW w:w="175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14,477,713.05</w:t>
            </w:r>
          </w:p>
        </w:tc>
        <w:tc>
          <w:tcPr>
            <w:tcW w:w="171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36,008,688.73</w:t>
            </w:r>
          </w:p>
        </w:tc>
        <w:tc>
          <w:tcPr>
            <w:tcW w:w="17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right"/>
              <w:rPr>
                <w:rFonts w:hint="eastAsia"/>
                <w:sz w:val="18"/>
                <w:szCs w:val="24"/>
              </w:rPr>
            </w:pPr>
            <w:r>
              <w:rPr>
                <w:rFonts w:hint="eastAsia"/>
                <w:sz w:val="18"/>
                <w:szCs w:val="24"/>
              </w:rPr>
              <w:t>21,842,430.53</w:t>
            </w:r>
          </w:p>
        </w:tc>
      </w:tr>
    </w:tbl>
    <w:p>
      <w:pPr>
        <w:jc w:val="left"/>
        <w:rPr>
          <w:rFonts w:hint="eastAsia"/>
          <w:sz w:val="18"/>
          <w:szCs w:val="24"/>
        </w:rPr>
      </w:pPr>
      <w:r>
        <w:rPr>
          <w:rFonts w:hint="eastAsia"/>
          <w:sz w:val="18"/>
          <w:szCs w:val="24"/>
        </w:rPr>
        <w:t>上述财务指标或其加总数是否与公司已披露季度报告、半年度报告相关财务指标存在重大差异</w:t>
      </w:r>
    </w:p>
    <w:p>
      <w:pPr>
        <w:jc w:val="left"/>
        <w:rPr>
          <w:rFonts w:hint="eastAsia"/>
          <w:sz w:val="18"/>
          <w:szCs w:val="24"/>
        </w:rPr>
      </w:pPr>
      <w:r>
        <w:rPr>
          <w:rFonts w:hint="eastAsia"/>
          <w:sz w:val="18"/>
          <w:szCs w:val="24"/>
        </w:rPr>
        <w:t xml:space="preserve">□ 是 √ 否 </w:t>
      </w:r>
    </w:p>
    <w:p>
      <w:pPr>
        <w:pStyle w:val="5"/>
        <w:outlineLvl w:val="2"/>
        <w:rPr>
          <w:rFonts w:hint="eastAsia"/>
          <w:sz w:val="21"/>
          <w:szCs w:val="24"/>
        </w:rPr>
      </w:pPr>
      <w:r>
        <w:rPr>
          <w:rFonts w:hint="eastAsia"/>
          <w:sz w:val="21"/>
          <w:szCs w:val="24"/>
        </w:rPr>
        <w:t>4、股本及股东情况</w:t>
      </w:r>
    </w:p>
    <w:p>
      <w:pPr>
        <w:pStyle w:val="5"/>
        <w:outlineLvl w:val="3"/>
        <w:rPr>
          <w:rFonts w:hint="eastAsia"/>
          <w:sz w:val="21"/>
          <w:szCs w:val="24"/>
        </w:rPr>
      </w:pPr>
      <w:r>
        <w:rPr>
          <w:rFonts w:hint="eastAsia"/>
          <w:sz w:val="21"/>
          <w:szCs w:val="24"/>
        </w:rPr>
        <w:t>（1）普通股股东和表决权恢复的优先股股东数量及前10名股东持股情况表</w:t>
      </w:r>
    </w:p>
    <w:p>
      <w:pPr>
        <w:jc w:val="right"/>
        <w:rPr>
          <w:rFonts w:hint="eastAsia"/>
          <w:sz w:val="18"/>
          <w:szCs w:val="24"/>
        </w:rPr>
      </w:pPr>
      <w:r>
        <w:rPr>
          <w:rFonts w:hint="eastAsia"/>
          <w:sz w:val="18"/>
          <w:szCs w:val="24"/>
        </w:rPr>
        <w:t>单位：股</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2"/>
        <w:gridCol w:w="54"/>
        <w:gridCol w:w="876"/>
        <w:gridCol w:w="124"/>
        <w:gridCol w:w="1205"/>
        <w:gridCol w:w="206"/>
        <w:gridCol w:w="990"/>
        <w:gridCol w:w="1328"/>
        <w:gridCol w:w="930"/>
        <w:gridCol w:w="399"/>
        <w:gridCol w:w="1126"/>
        <w:gridCol w:w="69"/>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报告期末普通股股东总数</w:t>
            </w:r>
          </w:p>
        </w:tc>
        <w:tc>
          <w:tcPr>
            <w:tcW w:w="93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8,056</w:t>
            </w:r>
          </w:p>
        </w:tc>
        <w:tc>
          <w:tcPr>
            <w:tcW w:w="132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年度报告披露日前一个月末普通股股东总数</w:t>
            </w:r>
          </w:p>
        </w:tc>
        <w:tc>
          <w:tcPr>
            <w:tcW w:w="119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8,864</w:t>
            </w:r>
          </w:p>
        </w:tc>
        <w:tc>
          <w:tcPr>
            <w:tcW w:w="13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报告期末表决权恢复的优先股股东总数</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w:t>
            </w:r>
          </w:p>
        </w:tc>
        <w:tc>
          <w:tcPr>
            <w:tcW w:w="1594"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年度报告披露日前一个月末表决权恢复的优先股股东总数</w:t>
            </w:r>
          </w:p>
        </w:tc>
        <w:tc>
          <w:tcPr>
            <w:tcW w:w="1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1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前10名股东持股情况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股东名称</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股东性质</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持股比例</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持股数量</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持有有限售条件的股份数量</w:t>
            </w:r>
          </w:p>
        </w:tc>
        <w:tc>
          <w:tcPr>
            <w:tcW w:w="2254"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质押或冻结情况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6"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eastAsia"/>
                <w:sz w:val="18"/>
                <w:szCs w:val="24"/>
              </w:rPr>
            </w:pPr>
          </w:p>
        </w:tc>
        <w:tc>
          <w:tcPr>
            <w:tcW w:w="100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eastAsia"/>
                <w:sz w:val="18"/>
                <w:szCs w:val="24"/>
              </w:rPr>
            </w:pPr>
          </w:p>
        </w:tc>
        <w:tc>
          <w:tcPr>
            <w:tcW w:w="1411"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eastAsia"/>
                <w:sz w:val="18"/>
                <w:szCs w:val="24"/>
              </w:rPr>
            </w:pPr>
          </w:p>
        </w:tc>
        <w:tc>
          <w:tcPr>
            <w:tcW w:w="9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eastAsia"/>
                <w:sz w:val="18"/>
                <w:szCs w:val="24"/>
              </w:rPr>
            </w:pPr>
          </w:p>
        </w:tc>
        <w:tc>
          <w:tcPr>
            <w:tcW w:w="2657"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center"/>
              <w:rPr>
                <w:rFonts w:hint="eastAsia"/>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股份状态</w:t>
            </w: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范庆伟</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境内自然人</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59.45%</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69,389,900</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56,571,750</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江西惠隆企业管理有限公司</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境内非国有法人</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5.71%</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6,660,000</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范玉隆</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境内自然人</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3.71%</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4,335,000</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3,251,250</w:t>
            </w: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中国银河证券股份有限公司</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国有法人</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2.90%</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3,390,000</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北京益安资本管理有限公司－益安允升私募证券投资基金</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境内非国有法人</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0.94%</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1,100,000</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吴治华</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其他</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0.38%</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441,400</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曹小毛</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境内自然人</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0.38%</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438,090</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林景秋</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境内自然人</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0.27%</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316,000</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李平</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境内自然人</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0.26%</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304,200</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雷伟平</w:t>
            </w:r>
          </w:p>
        </w:tc>
        <w:tc>
          <w:tcPr>
            <w:tcW w:w="100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left"/>
              <w:rPr>
                <w:rFonts w:hint="eastAsia"/>
                <w:sz w:val="18"/>
                <w:szCs w:val="24"/>
              </w:rPr>
            </w:pPr>
            <w:r>
              <w:rPr>
                <w:rFonts w:hint="eastAsia"/>
                <w:sz w:val="18"/>
                <w:szCs w:val="24"/>
              </w:rPr>
              <w:t>境内自然人</w:t>
            </w:r>
          </w:p>
        </w:tc>
        <w:tc>
          <w:tcPr>
            <w:tcW w:w="14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0.26%</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r>
              <w:rPr>
                <w:rFonts w:hint="eastAsia"/>
                <w:sz w:val="18"/>
                <w:szCs w:val="24"/>
              </w:rPr>
              <w:t>297,700</w:t>
            </w:r>
          </w:p>
        </w:tc>
        <w:tc>
          <w:tcPr>
            <w:tcW w:w="265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jc w:val="right"/>
              <w:rPr>
                <w:rFonts w:hint="eastAsia"/>
                <w:sz w:val="18"/>
                <w:szCs w:val="24"/>
              </w:rPr>
            </w:pPr>
          </w:p>
        </w:tc>
        <w:tc>
          <w:tcPr>
            <w:tcW w:w="11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c>
          <w:tcPr>
            <w:tcW w:w="112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上述股东关联关系或一致行动的说明</w:t>
            </w:r>
          </w:p>
        </w:tc>
        <w:tc>
          <w:tcPr>
            <w:tcW w:w="731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5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left"/>
              <w:rPr>
                <w:rFonts w:hint="eastAsia"/>
                <w:sz w:val="18"/>
                <w:szCs w:val="24"/>
              </w:rPr>
            </w:pPr>
            <w:r>
              <w:rPr>
                <w:rFonts w:hint="eastAsia"/>
                <w:sz w:val="18"/>
                <w:szCs w:val="24"/>
              </w:rPr>
              <w:t>参与融资融券业务股东情况说明（如有）</w:t>
            </w:r>
          </w:p>
        </w:tc>
        <w:tc>
          <w:tcPr>
            <w:tcW w:w="731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无</w:t>
            </w:r>
          </w:p>
        </w:tc>
      </w:tr>
    </w:tbl>
    <w:p>
      <w:pPr>
        <w:pStyle w:val="5"/>
        <w:outlineLvl w:val="3"/>
        <w:rPr>
          <w:rFonts w:hint="eastAsia"/>
          <w:sz w:val="21"/>
          <w:szCs w:val="24"/>
        </w:rPr>
      </w:pPr>
      <w:r>
        <w:rPr>
          <w:rFonts w:hint="eastAsia"/>
          <w:sz w:val="21"/>
          <w:szCs w:val="24"/>
        </w:rPr>
        <w:t>（2）公司优先股股东总数及前10名优先股股东持股情况表</w:t>
      </w:r>
    </w:p>
    <w:p>
      <w:pPr>
        <w:jc w:val="left"/>
        <w:rPr>
          <w:rFonts w:hint="eastAsia"/>
          <w:sz w:val="18"/>
          <w:szCs w:val="24"/>
        </w:rPr>
      </w:pPr>
      <w:r>
        <w:rPr>
          <w:rFonts w:hint="eastAsia"/>
          <w:sz w:val="18"/>
          <w:szCs w:val="24"/>
        </w:rPr>
        <w:t xml:space="preserve">□ 适用 √ 不适用 </w:t>
      </w:r>
    </w:p>
    <w:p>
      <w:pPr>
        <w:jc w:val="left"/>
        <w:rPr>
          <w:rFonts w:hint="eastAsia"/>
          <w:sz w:val="18"/>
          <w:szCs w:val="24"/>
        </w:rPr>
      </w:pPr>
      <w:r>
        <w:rPr>
          <w:rFonts w:hint="eastAsia"/>
          <w:sz w:val="18"/>
          <w:szCs w:val="24"/>
        </w:rPr>
        <w:t>公司报告期无优先股股东持股情况。</w:t>
      </w:r>
    </w:p>
    <w:p>
      <w:pPr>
        <w:pStyle w:val="5"/>
        <w:outlineLvl w:val="3"/>
        <w:rPr>
          <w:rFonts w:hint="eastAsia"/>
          <w:sz w:val="21"/>
          <w:szCs w:val="24"/>
        </w:rPr>
      </w:pPr>
      <w:r>
        <w:rPr>
          <w:rFonts w:hint="eastAsia"/>
          <w:sz w:val="21"/>
          <w:szCs w:val="24"/>
        </w:rPr>
        <w:t>（3）以方框图形式披露公司与实际控制人之间的产权及控制关系</w:t>
      </w:r>
    </w:p>
    <w:p>
      <w:pPr>
        <w:autoSpaceDE w:val="0"/>
        <w:autoSpaceDN w:val="0"/>
        <w:adjustRightInd w:val="0"/>
        <w:spacing w:before="200" w:after="200"/>
        <w:jc w:val="center"/>
        <w:rPr>
          <w:rFonts w:hint="default"/>
          <w:sz w:val="24"/>
          <w:szCs w:val="24"/>
        </w:rPr>
      </w:pPr>
      <w:r>
        <w:rPr>
          <w:rFonts w:hint="default"/>
          <w:sz w:val="24"/>
          <w:szCs w:val="24"/>
        </w:rPr>
        <w:drawing>
          <wp:inline distT="0" distB="0" distL="114300" distR="114300">
            <wp:extent cx="4591050" cy="1771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591050" cy="1771650"/>
                    </a:xfrm>
                    <a:prstGeom prst="rect">
                      <a:avLst/>
                    </a:prstGeom>
                    <a:noFill/>
                    <a:ln>
                      <a:noFill/>
                    </a:ln>
                  </pic:spPr>
                </pic:pic>
              </a:graphicData>
            </a:graphic>
          </wp:inline>
        </w:drawing>
      </w:r>
    </w:p>
    <w:p>
      <w:pPr>
        <w:pStyle w:val="5"/>
        <w:outlineLvl w:val="2"/>
        <w:rPr>
          <w:rFonts w:hint="eastAsia"/>
          <w:sz w:val="21"/>
          <w:szCs w:val="24"/>
        </w:rPr>
      </w:pPr>
      <w:r>
        <w:rPr>
          <w:rFonts w:hint="eastAsia"/>
          <w:sz w:val="21"/>
          <w:szCs w:val="24"/>
        </w:rPr>
        <w:t>5、公司债券情况</w:t>
      </w:r>
    </w:p>
    <w:p>
      <w:pPr>
        <w:jc w:val="left"/>
        <w:rPr>
          <w:rFonts w:hint="eastAsia"/>
          <w:sz w:val="18"/>
          <w:szCs w:val="24"/>
        </w:rPr>
      </w:pPr>
      <w:r>
        <w:rPr>
          <w:rFonts w:hint="eastAsia"/>
          <w:sz w:val="18"/>
          <w:szCs w:val="24"/>
        </w:rPr>
        <w:t>公司是否存在公开发行并在证券交易所上市，且在年度报告批准报出日未到期或到期未能全额兑付的公司债券</w:t>
      </w:r>
    </w:p>
    <w:p>
      <w:pPr>
        <w:jc w:val="left"/>
        <w:rPr>
          <w:rFonts w:hint="eastAsia"/>
          <w:sz w:val="18"/>
          <w:szCs w:val="24"/>
        </w:rPr>
      </w:pPr>
      <w:r>
        <w:rPr>
          <w:rFonts w:hint="eastAsia"/>
          <w:sz w:val="18"/>
          <w:szCs w:val="24"/>
        </w:rPr>
        <w:t>否</w:t>
      </w:r>
    </w:p>
    <w:p>
      <w:pPr>
        <w:pStyle w:val="4"/>
        <w:outlineLvl w:val="1"/>
        <w:rPr>
          <w:rFonts w:hint="eastAsia"/>
          <w:sz w:val="24"/>
          <w:szCs w:val="24"/>
        </w:rPr>
      </w:pPr>
      <w:r>
        <w:rPr>
          <w:rFonts w:hint="eastAsia"/>
          <w:sz w:val="24"/>
          <w:szCs w:val="24"/>
        </w:rPr>
        <w:t>三、经营情况讨论与分析</w:t>
      </w:r>
    </w:p>
    <w:p>
      <w:pPr>
        <w:pStyle w:val="5"/>
        <w:outlineLvl w:val="2"/>
        <w:rPr>
          <w:rFonts w:hint="eastAsia"/>
          <w:sz w:val="21"/>
          <w:szCs w:val="24"/>
        </w:rPr>
      </w:pPr>
      <w:r>
        <w:rPr>
          <w:rFonts w:hint="eastAsia"/>
          <w:sz w:val="21"/>
          <w:szCs w:val="24"/>
        </w:rPr>
        <w:t>1、报告期经营情况简介</w:t>
      </w:r>
    </w:p>
    <w:p>
      <w:pPr>
        <w:autoSpaceDE w:val="0"/>
        <w:autoSpaceDN w:val="0"/>
        <w:adjustRightInd w:val="0"/>
        <w:spacing w:beforeLines="0" w:afterLines="0"/>
        <w:ind w:firstLine="360"/>
        <w:jc w:val="left"/>
        <w:rPr>
          <w:rFonts w:hint="default" w:eastAsia="Times New Roman"/>
          <w:sz w:val="18"/>
          <w:szCs w:val="24"/>
          <w:lang w:val="zh-CN"/>
        </w:rPr>
      </w:pPr>
      <w:r>
        <w:rPr>
          <w:rFonts w:hint="default" w:eastAsia="Times New Roman"/>
          <w:sz w:val="18"/>
          <w:szCs w:val="24"/>
          <w:lang w:val="zh-CN"/>
        </w:rPr>
        <w:t>2020</w:t>
      </w:r>
      <w:r>
        <w:rPr>
          <w:rFonts w:hint="eastAsia" w:ascii="宋体"/>
          <w:sz w:val="18"/>
          <w:szCs w:val="24"/>
          <w:lang w:val="zh-CN"/>
        </w:rPr>
        <w:t>年度，受突如其来的新冠疫情在全球范围内爆发后产生的连锁反应，以及国内宏观经济形势变化、环保政策的影响，叠加中美贸易争端压力升级，对世界经济和供应链造成持续的影响，公司经营面临多重压力和挑战。作为传统制造型企业，公司始终坚持加大市场开拓力度，深化产品结构调整，提升生产交付能力。同时加强内部管理，严格控制成</w:t>
      </w:r>
      <w:r>
        <w:rPr>
          <w:rFonts w:hint="eastAsia" w:ascii="MS Mincho" w:hAnsi="MS Mincho" w:eastAsia="MS Mincho" w:cs="MS Mincho"/>
          <w:sz w:val="18"/>
          <w:szCs w:val="24"/>
          <w:lang w:val="zh-CN"/>
        </w:rPr>
        <w:t>本</w:t>
      </w:r>
      <w:r>
        <w:rPr>
          <w:rFonts w:hint="eastAsia" w:ascii="宋体"/>
          <w:sz w:val="18"/>
          <w:szCs w:val="24"/>
          <w:lang w:val="zh-CN"/>
        </w:rPr>
        <w:t>费用，紧紧围绕年度经营发展计划，落实</w:t>
      </w:r>
      <w:r>
        <w:rPr>
          <w:rFonts w:hint="default" w:eastAsia="Times New Roman"/>
          <w:sz w:val="18"/>
          <w:szCs w:val="24"/>
          <w:lang w:val="zh-CN"/>
        </w:rPr>
        <w:t>“</w:t>
      </w:r>
      <w:r>
        <w:rPr>
          <w:rFonts w:hint="eastAsia" w:ascii="宋体"/>
          <w:sz w:val="18"/>
          <w:szCs w:val="24"/>
          <w:lang w:val="zh-CN"/>
        </w:rPr>
        <w:t>开拓市场、满足需求为导向；研发产品、加速认证为基础；调整产品、优化结构为保障；提升质量、创建品牌为战略；精益管理、提高效益为目标</w:t>
      </w:r>
      <w:r>
        <w:rPr>
          <w:rFonts w:hint="default" w:eastAsia="Times New Roman"/>
          <w:sz w:val="18"/>
          <w:szCs w:val="24"/>
          <w:lang w:val="zh-CN"/>
        </w:rPr>
        <w:t>”</w:t>
      </w:r>
      <w:r>
        <w:rPr>
          <w:rFonts w:hint="eastAsia" w:ascii="宋体"/>
          <w:sz w:val="18"/>
          <w:szCs w:val="24"/>
          <w:lang w:val="zh-CN"/>
        </w:rPr>
        <w:t>的经营方针，克服重重困难，使公司主营业务保持了稳定发展的态势。</w:t>
      </w:r>
    </w:p>
    <w:p>
      <w:pPr>
        <w:autoSpaceDE w:val="0"/>
        <w:autoSpaceDN w:val="0"/>
        <w:adjustRightInd w:val="0"/>
        <w:spacing w:beforeLines="0" w:afterLines="0"/>
        <w:ind w:firstLine="360"/>
        <w:jc w:val="left"/>
        <w:rPr>
          <w:rFonts w:hint="default" w:eastAsia="Times New Roman"/>
          <w:sz w:val="18"/>
          <w:szCs w:val="24"/>
          <w:lang w:val="zh-CN"/>
        </w:rPr>
      </w:pPr>
      <w:r>
        <w:rPr>
          <w:rFonts w:hint="eastAsia" w:ascii="宋体"/>
          <w:sz w:val="18"/>
          <w:szCs w:val="24"/>
          <w:lang w:val="zh-CN"/>
        </w:rPr>
        <w:t>经和信会计师事务所</w:t>
      </w:r>
      <w:r>
        <w:rPr>
          <w:rFonts w:hint="default" w:eastAsia="Times New Roman"/>
          <w:sz w:val="18"/>
          <w:szCs w:val="24"/>
          <w:lang w:val="zh-CN"/>
        </w:rPr>
        <w:t>(</w:t>
      </w:r>
      <w:r>
        <w:rPr>
          <w:rFonts w:hint="eastAsia" w:ascii="宋体"/>
          <w:sz w:val="18"/>
          <w:szCs w:val="24"/>
          <w:lang w:val="zh-CN"/>
        </w:rPr>
        <w:t>特殊普通合伙</w:t>
      </w:r>
      <w:r>
        <w:rPr>
          <w:rFonts w:hint="default" w:eastAsia="Times New Roman"/>
          <w:sz w:val="18"/>
          <w:szCs w:val="24"/>
          <w:lang w:val="zh-CN"/>
        </w:rPr>
        <w:t>)</w:t>
      </w:r>
      <w:r>
        <w:rPr>
          <w:rFonts w:hint="eastAsia" w:ascii="宋体"/>
          <w:sz w:val="18"/>
          <w:szCs w:val="24"/>
          <w:lang w:val="zh-CN"/>
        </w:rPr>
        <w:t>审计，公司</w:t>
      </w:r>
      <w:r>
        <w:rPr>
          <w:rFonts w:hint="default" w:eastAsia="Times New Roman"/>
          <w:sz w:val="18"/>
          <w:szCs w:val="24"/>
          <w:lang w:val="zh-CN"/>
        </w:rPr>
        <w:t xml:space="preserve"> 2020</w:t>
      </w:r>
      <w:r>
        <w:rPr>
          <w:rFonts w:hint="eastAsia" w:ascii="宋体"/>
          <w:sz w:val="18"/>
          <w:szCs w:val="24"/>
          <w:lang w:val="zh-CN"/>
        </w:rPr>
        <w:t>年度实现营业收入</w:t>
      </w:r>
      <w:r>
        <w:rPr>
          <w:rFonts w:hint="default" w:eastAsia="Times New Roman"/>
          <w:sz w:val="18"/>
          <w:szCs w:val="24"/>
          <w:lang w:val="zh-CN"/>
        </w:rPr>
        <w:t>344,590,024.63</w:t>
      </w:r>
      <w:r>
        <w:rPr>
          <w:rFonts w:hint="eastAsia" w:ascii="宋体"/>
          <w:sz w:val="18"/>
          <w:szCs w:val="24"/>
          <w:lang w:val="zh-CN"/>
        </w:rPr>
        <w:t>元，较上年降低</w:t>
      </w:r>
      <w:r>
        <w:rPr>
          <w:rFonts w:hint="default" w:eastAsia="Times New Roman"/>
          <w:sz w:val="18"/>
          <w:szCs w:val="24"/>
          <w:lang w:val="zh-CN"/>
        </w:rPr>
        <w:t>2.99%</w:t>
      </w:r>
      <w:r>
        <w:rPr>
          <w:rFonts w:hint="eastAsia" w:ascii="宋体"/>
          <w:sz w:val="18"/>
          <w:szCs w:val="24"/>
          <w:lang w:val="zh-CN"/>
        </w:rPr>
        <w:t>，实现归属于上市公司股东的净利润</w:t>
      </w:r>
      <w:r>
        <w:rPr>
          <w:rFonts w:hint="default" w:eastAsia="Times New Roman"/>
          <w:sz w:val="18"/>
          <w:szCs w:val="24"/>
          <w:lang w:val="zh-CN"/>
        </w:rPr>
        <w:t>57,968,093.00</w:t>
      </w:r>
      <w:r>
        <w:rPr>
          <w:rFonts w:hint="eastAsia" w:ascii="宋体"/>
          <w:sz w:val="18"/>
          <w:szCs w:val="24"/>
          <w:lang w:val="zh-CN"/>
        </w:rPr>
        <w:t>元，比上年增加</w:t>
      </w:r>
      <w:r>
        <w:rPr>
          <w:rFonts w:hint="default" w:eastAsia="Times New Roman"/>
          <w:sz w:val="18"/>
          <w:szCs w:val="24"/>
          <w:lang w:val="zh-CN"/>
        </w:rPr>
        <w:t>9.41%</w:t>
      </w:r>
      <w:r>
        <w:rPr>
          <w:rFonts w:hint="eastAsia" w:ascii="宋体"/>
          <w:sz w:val="18"/>
          <w:szCs w:val="24"/>
          <w:lang w:val="zh-CN"/>
        </w:rPr>
        <w:t>，实现主要经营目标销售收入、净利润、回款率等基本达到预期目标。截至</w:t>
      </w:r>
      <w:r>
        <w:rPr>
          <w:rFonts w:hint="default" w:eastAsia="Times New Roman"/>
          <w:sz w:val="18"/>
          <w:szCs w:val="24"/>
          <w:lang w:val="zh-CN"/>
        </w:rPr>
        <w:t>2020</w:t>
      </w:r>
      <w:r>
        <w:rPr>
          <w:rFonts w:hint="eastAsia" w:ascii="宋体"/>
          <w:sz w:val="18"/>
          <w:szCs w:val="24"/>
          <w:lang w:val="zh-CN"/>
        </w:rPr>
        <w:t>年</w:t>
      </w:r>
      <w:r>
        <w:rPr>
          <w:rFonts w:hint="default" w:eastAsia="Times New Roman"/>
          <w:sz w:val="18"/>
          <w:szCs w:val="24"/>
          <w:lang w:val="zh-CN"/>
        </w:rPr>
        <w:t>12</w:t>
      </w:r>
      <w:r>
        <w:rPr>
          <w:rFonts w:hint="eastAsia" w:ascii="宋体"/>
          <w:sz w:val="18"/>
          <w:szCs w:val="24"/>
          <w:lang w:val="zh-CN"/>
        </w:rPr>
        <w:t>月</w:t>
      </w:r>
      <w:r>
        <w:rPr>
          <w:rFonts w:hint="default" w:eastAsia="Times New Roman"/>
          <w:sz w:val="18"/>
          <w:szCs w:val="24"/>
          <w:lang w:val="zh-CN"/>
        </w:rPr>
        <w:t>31</w:t>
      </w:r>
      <w:r>
        <w:rPr>
          <w:rFonts w:hint="eastAsia" w:ascii="宋体"/>
          <w:sz w:val="18"/>
          <w:szCs w:val="24"/>
          <w:lang w:val="zh-CN"/>
        </w:rPr>
        <w:t>日，公司资产总额</w:t>
      </w:r>
      <w:r>
        <w:rPr>
          <w:rFonts w:hint="default" w:eastAsia="Times New Roman"/>
          <w:sz w:val="18"/>
          <w:szCs w:val="24"/>
          <w:lang w:val="zh-CN"/>
        </w:rPr>
        <w:t>869,664,922.77</w:t>
      </w:r>
      <w:r>
        <w:rPr>
          <w:rFonts w:hint="eastAsia" w:ascii="宋体"/>
          <w:sz w:val="18"/>
          <w:szCs w:val="24"/>
          <w:lang w:val="zh-CN"/>
        </w:rPr>
        <w:t>元，归属于母公司所有者权益</w:t>
      </w:r>
      <w:r>
        <w:rPr>
          <w:rFonts w:hint="default" w:eastAsia="Times New Roman"/>
          <w:sz w:val="18"/>
          <w:szCs w:val="24"/>
          <w:lang w:val="zh-CN"/>
        </w:rPr>
        <w:t>663,232,732.54</w:t>
      </w:r>
      <w:r>
        <w:rPr>
          <w:rFonts w:hint="eastAsia" w:ascii="宋体"/>
          <w:sz w:val="18"/>
          <w:szCs w:val="24"/>
          <w:lang w:val="zh-CN"/>
        </w:rPr>
        <w:t>元。</w:t>
      </w:r>
    </w:p>
    <w:p>
      <w:pPr>
        <w:autoSpaceDE w:val="0"/>
        <w:autoSpaceDN w:val="0"/>
        <w:adjustRightInd w:val="0"/>
        <w:spacing w:beforeLines="0" w:afterLines="0"/>
        <w:ind w:firstLine="360"/>
        <w:jc w:val="left"/>
        <w:rPr>
          <w:rFonts w:hint="default" w:eastAsia="Times New Roman"/>
          <w:sz w:val="18"/>
          <w:szCs w:val="24"/>
          <w:lang w:val="zh-CN"/>
        </w:rPr>
      </w:pPr>
      <w:r>
        <w:rPr>
          <w:rFonts w:hint="default" w:eastAsia="Times New Roman"/>
          <w:sz w:val="18"/>
          <w:szCs w:val="24"/>
          <w:lang w:val="zh-CN"/>
        </w:rPr>
        <w:t>2020</w:t>
      </w:r>
      <w:r>
        <w:rPr>
          <w:rFonts w:hint="eastAsia" w:ascii="宋体"/>
          <w:sz w:val="18"/>
          <w:szCs w:val="24"/>
          <w:lang w:val="zh-CN"/>
        </w:rPr>
        <w:t>年，公司完成的重点工作如下：</w:t>
      </w:r>
    </w:p>
    <w:p>
      <w:pPr>
        <w:autoSpaceDE w:val="0"/>
        <w:autoSpaceDN w:val="0"/>
        <w:adjustRightInd w:val="0"/>
        <w:spacing w:beforeLines="0" w:afterLines="0"/>
        <w:ind w:firstLine="360"/>
        <w:jc w:val="left"/>
        <w:rPr>
          <w:rFonts w:hint="default" w:ascii="宋体"/>
          <w:sz w:val="18"/>
          <w:szCs w:val="24"/>
          <w:lang w:val="zh-CN"/>
        </w:rPr>
      </w:pPr>
      <w:r>
        <w:rPr>
          <w:rFonts w:hint="eastAsia" w:ascii="宋体"/>
          <w:sz w:val="18"/>
          <w:szCs w:val="24"/>
          <w:lang w:val="zh-CN"/>
        </w:rPr>
        <w:t>（一）加大市场拓展力度，扩大自主品牌市场</w:t>
      </w:r>
    </w:p>
    <w:p>
      <w:pPr>
        <w:autoSpaceDE w:val="0"/>
        <w:autoSpaceDN w:val="0"/>
        <w:adjustRightInd w:val="0"/>
        <w:spacing w:beforeLines="0" w:afterLines="0"/>
        <w:ind w:firstLine="360"/>
        <w:jc w:val="left"/>
        <w:rPr>
          <w:rFonts w:hint="default" w:eastAsia="Times New Roman"/>
          <w:sz w:val="18"/>
          <w:szCs w:val="24"/>
          <w:lang w:val="zh-CN"/>
        </w:rPr>
      </w:pPr>
      <w:r>
        <w:rPr>
          <w:rFonts w:hint="eastAsia" w:ascii="宋体" w:hAnsi="宋体" w:cs="宋体"/>
          <w:sz w:val="18"/>
          <w:szCs w:val="24"/>
          <w:lang w:val="zh-CN"/>
        </w:rPr>
        <w:t>在国际、国内参展及客户洽谈受阻的情况下，采取网络业务交流开拓新客户、代理商</w:t>
      </w:r>
      <w:r>
        <w:rPr>
          <w:rFonts w:hint="default" w:eastAsia="Times New Roman"/>
          <w:sz w:val="18"/>
          <w:szCs w:val="24"/>
          <w:lang w:val="zh-CN"/>
        </w:rPr>
        <w:t>83</w:t>
      </w:r>
      <w:r>
        <w:rPr>
          <w:rFonts w:hint="eastAsia" w:ascii="宋体" w:hAnsi="宋体" w:cs="宋体"/>
          <w:sz w:val="18"/>
          <w:szCs w:val="24"/>
          <w:lang w:val="zh-CN"/>
        </w:rPr>
        <w:t>家；调研了国内外数家企业，并在同有合作意向企业洽谈并购产品项目；为拓展国际市场业务，在香港设立了</w:t>
      </w:r>
      <w:r>
        <w:rPr>
          <w:rFonts w:hint="default" w:eastAsia="Times New Roman"/>
          <w:sz w:val="18"/>
          <w:szCs w:val="24"/>
          <w:lang w:val="zh-CN"/>
        </w:rPr>
        <w:t>“</w:t>
      </w:r>
      <w:r>
        <w:rPr>
          <w:rFonts w:hint="eastAsia" w:ascii="宋体" w:hAnsi="宋体" w:cs="宋体"/>
          <w:sz w:val="18"/>
          <w:szCs w:val="24"/>
          <w:lang w:val="zh-CN"/>
        </w:rPr>
        <w:t>偉隆（香港）實業有限公司</w:t>
      </w:r>
      <w:r>
        <w:rPr>
          <w:rFonts w:hint="default" w:eastAsia="Times New Roman"/>
          <w:sz w:val="18"/>
          <w:szCs w:val="24"/>
          <w:lang w:val="zh-CN"/>
        </w:rPr>
        <w:t>”</w:t>
      </w:r>
      <w:r>
        <w:rPr>
          <w:rFonts w:hint="eastAsia" w:ascii="宋体" w:hAnsi="宋体" w:cs="宋体"/>
          <w:sz w:val="18"/>
          <w:szCs w:val="24"/>
          <w:lang w:val="zh-CN"/>
        </w:rPr>
        <w:t>；为开拓检测业务成立了</w:t>
      </w:r>
      <w:r>
        <w:rPr>
          <w:rFonts w:hint="default" w:eastAsia="Times New Roman"/>
          <w:sz w:val="18"/>
          <w:szCs w:val="24"/>
          <w:lang w:val="zh-CN"/>
        </w:rPr>
        <w:t>“</w:t>
      </w:r>
      <w:r>
        <w:rPr>
          <w:rFonts w:hint="eastAsia" w:ascii="宋体" w:hAnsi="宋体" w:cs="宋体"/>
          <w:sz w:val="18"/>
          <w:szCs w:val="24"/>
          <w:lang w:val="zh-CN"/>
        </w:rPr>
        <w:t>卓信检测技术公司</w:t>
      </w:r>
      <w:r>
        <w:rPr>
          <w:rFonts w:hint="default" w:eastAsia="Times New Roman"/>
          <w:sz w:val="18"/>
          <w:szCs w:val="24"/>
          <w:lang w:val="zh-CN"/>
        </w:rPr>
        <w:t>”</w:t>
      </w:r>
      <w:r>
        <w:rPr>
          <w:rFonts w:hint="eastAsia" w:ascii="宋体" w:hAnsi="宋体" w:cs="宋体"/>
          <w:sz w:val="18"/>
          <w:szCs w:val="24"/>
          <w:lang w:val="zh-CN"/>
        </w:rPr>
        <w:t>；为整合公司内部资源，提高公司运营效率，设立了</w:t>
      </w:r>
      <w:r>
        <w:rPr>
          <w:rFonts w:hint="default" w:eastAsia="Times New Roman"/>
          <w:sz w:val="18"/>
          <w:szCs w:val="24"/>
          <w:lang w:val="zh-CN"/>
        </w:rPr>
        <w:t>“</w:t>
      </w:r>
      <w:r>
        <w:rPr>
          <w:rFonts w:hint="eastAsia" w:ascii="宋体" w:hAnsi="宋体" w:cs="宋体"/>
          <w:sz w:val="18"/>
          <w:szCs w:val="24"/>
          <w:lang w:val="zh-CN"/>
        </w:rPr>
        <w:t>即聚机电有限公司</w:t>
      </w:r>
      <w:r>
        <w:rPr>
          <w:rFonts w:hint="default" w:eastAsia="Times New Roman"/>
          <w:sz w:val="18"/>
          <w:szCs w:val="24"/>
          <w:lang w:val="zh-CN"/>
        </w:rPr>
        <w:t>”</w:t>
      </w:r>
      <w:r>
        <w:rPr>
          <w:rFonts w:hint="eastAsia" w:ascii="宋体" w:hAnsi="宋体" w:cs="宋体"/>
          <w:sz w:val="18"/>
          <w:szCs w:val="24"/>
          <w:lang w:val="zh-CN"/>
        </w:rPr>
        <w:t>，完成了不动产资产划转业务。</w:t>
      </w:r>
    </w:p>
    <w:p>
      <w:pPr>
        <w:autoSpaceDE w:val="0"/>
        <w:autoSpaceDN w:val="0"/>
        <w:adjustRightInd w:val="0"/>
        <w:spacing w:beforeLines="0" w:afterLines="0"/>
        <w:ind w:firstLine="360"/>
        <w:jc w:val="left"/>
        <w:rPr>
          <w:rFonts w:hint="default" w:eastAsia="Times New Roman"/>
          <w:sz w:val="18"/>
          <w:szCs w:val="24"/>
          <w:lang w:val="zh-CN"/>
        </w:rPr>
      </w:pPr>
      <w:r>
        <w:rPr>
          <w:rFonts w:hint="eastAsia" w:ascii="宋体" w:hAnsi="宋体" w:cs="宋体"/>
          <w:sz w:val="18"/>
          <w:szCs w:val="24"/>
          <w:lang w:val="zh-CN"/>
        </w:rPr>
        <w:t>（二）新产品研发取得新进展，质量管理体系不断完善</w:t>
      </w:r>
    </w:p>
    <w:p>
      <w:pPr>
        <w:autoSpaceDE w:val="0"/>
        <w:autoSpaceDN w:val="0"/>
        <w:adjustRightInd w:val="0"/>
        <w:spacing w:beforeLines="0" w:afterLines="0"/>
        <w:ind w:firstLine="360"/>
        <w:jc w:val="left"/>
        <w:rPr>
          <w:rFonts w:hint="default" w:eastAsia="Times New Roman"/>
          <w:sz w:val="18"/>
          <w:szCs w:val="24"/>
          <w:lang w:val="zh-CN"/>
        </w:rPr>
      </w:pPr>
      <w:r>
        <w:rPr>
          <w:rFonts w:hint="eastAsia" w:ascii="宋体" w:hAnsi="宋体" w:cs="宋体"/>
          <w:sz w:val="18"/>
          <w:szCs w:val="24"/>
          <w:lang w:val="zh-CN"/>
        </w:rPr>
        <w:t>新产品偏心半球阀、弹性逆止阀等通过了</w:t>
      </w:r>
      <w:r>
        <w:rPr>
          <w:rFonts w:hint="default" w:eastAsia="Times New Roman"/>
          <w:sz w:val="18"/>
          <w:szCs w:val="24"/>
          <w:lang w:val="zh-CN"/>
        </w:rPr>
        <w:t>FM/ UL/WRAS</w:t>
      </w:r>
      <w:r>
        <w:rPr>
          <w:rFonts w:hint="eastAsia" w:ascii="宋体" w:hAnsi="宋体" w:cs="宋体"/>
          <w:sz w:val="18"/>
          <w:szCs w:val="24"/>
          <w:lang w:val="zh-CN"/>
        </w:rPr>
        <w:t>认证</w:t>
      </w:r>
      <w:r>
        <w:rPr>
          <w:rFonts w:hint="default" w:eastAsia="Times New Roman"/>
          <w:sz w:val="18"/>
          <w:szCs w:val="24"/>
          <w:lang w:val="zh-CN"/>
        </w:rPr>
        <w:t>42</w:t>
      </w:r>
      <w:r>
        <w:rPr>
          <w:rFonts w:hint="eastAsia" w:ascii="宋体" w:hAnsi="宋体" w:cs="宋体"/>
          <w:sz w:val="18"/>
          <w:szCs w:val="24"/>
          <w:lang w:val="zh-CN"/>
        </w:rPr>
        <w:t>个规格投产；申报了</w:t>
      </w:r>
      <w:r>
        <w:rPr>
          <w:rFonts w:hint="default" w:eastAsia="Times New Roman"/>
          <w:sz w:val="18"/>
          <w:szCs w:val="24"/>
          <w:lang w:val="zh-CN"/>
        </w:rPr>
        <w:t>9</w:t>
      </w:r>
      <w:r>
        <w:rPr>
          <w:rFonts w:hint="eastAsia" w:ascii="宋体" w:hAnsi="宋体" w:cs="宋体"/>
          <w:sz w:val="18"/>
          <w:szCs w:val="24"/>
          <w:lang w:val="zh-CN"/>
        </w:rPr>
        <w:t>项实用新型专利；为提升研发技术</w:t>
      </w:r>
      <w:r>
        <w:rPr>
          <w:rFonts w:hint="eastAsia" w:ascii="宋体"/>
          <w:sz w:val="18"/>
          <w:szCs w:val="24"/>
          <w:lang w:val="zh-CN"/>
        </w:rPr>
        <w:t>和订单交付能力引入</w:t>
      </w:r>
      <w:r>
        <w:rPr>
          <w:rFonts w:hint="default" w:eastAsia="Times New Roman"/>
          <w:sz w:val="18"/>
          <w:szCs w:val="24"/>
          <w:lang w:val="zh-CN"/>
        </w:rPr>
        <w:t>“</w:t>
      </w:r>
      <w:r>
        <w:rPr>
          <w:rFonts w:hint="eastAsia" w:ascii="宋体"/>
          <w:sz w:val="18"/>
          <w:szCs w:val="24"/>
          <w:lang w:val="zh-CN"/>
        </w:rPr>
        <w:t>产品创新能力提升</w:t>
      </w:r>
      <w:r>
        <w:rPr>
          <w:rFonts w:hint="default" w:eastAsia="Times New Roman"/>
          <w:sz w:val="18"/>
          <w:szCs w:val="24"/>
          <w:lang w:val="zh-CN"/>
        </w:rPr>
        <w:t>”</w:t>
      </w:r>
      <w:r>
        <w:rPr>
          <w:rFonts w:hint="eastAsia" w:ascii="宋体"/>
          <w:sz w:val="18"/>
          <w:szCs w:val="24"/>
          <w:lang w:val="zh-CN"/>
        </w:rPr>
        <w:t>咨询项目提高效率。通过了</w:t>
      </w:r>
      <w:r>
        <w:rPr>
          <w:rFonts w:hint="default" w:eastAsia="Times New Roman"/>
          <w:sz w:val="18"/>
          <w:szCs w:val="24"/>
          <w:lang w:val="zh-CN"/>
        </w:rPr>
        <w:t>ISO9001\ISO14001\OHSAS18001</w:t>
      </w:r>
      <w:r>
        <w:rPr>
          <w:rFonts w:hint="eastAsia" w:ascii="宋体"/>
          <w:sz w:val="18"/>
          <w:szCs w:val="24"/>
          <w:lang w:val="zh-CN"/>
        </w:rPr>
        <w:t>及</w:t>
      </w:r>
      <w:r>
        <w:rPr>
          <w:rFonts w:hint="default" w:eastAsia="Times New Roman"/>
          <w:sz w:val="18"/>
          <w:szCs w:val="24"/>
          <w:lang w:val="zh-CN"/>
        </w:rPr>
        <w:t>IATF16949</w:t>
      </w:r>
      <w:r>
        <w:rPr>
          <w:rFonts w:hint="eastAsia" w:ascii="宋体"/>
          <w:sz w:val="18"/>
          <w:szCs w:val="24"/>
          <w:lang w:val="zh-CN"/>
        </w:rPr>
        <w:t>等管理体系的现场、网络审核</w:t>
      </w:r>
      <w:r>
        <w:rPr>
          <w:rFonts w:hint="default" w:eastAsia="Times New Roman"/>
          <w:sz w:val="18"/>
          <w:szCs w:val="24"/>
          <w:lang w:val="zh-CN"/>
        </w:rPr>
        <w:t>43</w:t>
      </w:r>
      <w:r>
        <w:rPr>
          <w:rFonts w:hint="eastAsia" w:ascii="宋体"/>
          <w:sz w:val="18"/>
          <w:szCs w:val="24"/>
          <w:lang w:val="zh-CN"/>
        </w:rPr>
        <w:t>次。</w:t>
      </w:r>
    </w:p>
    <w:p>
      <w:pPr>
        <w:autoSpaceDE w:val="0"/>
        <w:autoSpaceDN w:val="0"/>
        <w:adjustRightInd w:val="0"/>
        <w:spacing w:beforeLines="0" w:afterLines="0"/>
        <w:ind w:firstLine="360"/>
        <w:jc w:val="left"/>
        <w:rPr>
          <w:rFonts w:hint="default" w:ascii="宋体"/>
          <w:sz w:val="18"/>
          <w:szCs w:val="24"/>
          <w:lang w:val="zh-CN"/>
        </w:rPr>
      </w:pPr>
      <w:r>
        <w:rPr>
          <w:rFonts w:hint="eastAsia" w:ascii="宋体"/>
          <w:sz w:val="18"/>
          <w:szCs w:val="24"/>
          <w:lang w:val="zh-CN"/>
        </w:rPr>
        <w:t>（三）优化组织结构，引进管理、研发技术人才</w:t>
      </w:r>
    </w:p>
    <w:p>
      <w:pPr>
        <w:autoSpaceDE w:val="0"/>
        <w:autoSpaceDN w:val="0"/>
        <w:adjustRightInd w:val="0"/>
        <w:spacing w:beforeLines="0" w:afterLines="0"/>
        <w:ind w:firstLine="360"/>
        <w:jc w:val="left"/>
        <w:rPr>
          <w:rFonts w:hint="default" w:eastAsia="Times New Roman"/>
          <w:sz w:val="18"/>
          <w:szCs w:val="24"/>
          <w:lang w:val="zh-CN"/>
        </w:rPr>
      </w:pPr>
      <w:r>
        <w:rPr>
          <w:rFonts w:hint="eastAsia" w:ascii="宋体"/>
          <w:sz w:val="18"/>
          <w:szCs w:val="24"/>
          <w:lang w:val="zh-CN"/>
        </w:rPr>
        <w:t>公司结合经营管理需要，实行了公司与子公司主要职能部门业务工作指导、监督的一体化运行机制，调整优化了采购、仓储、厂办部门的管理结构，引进管理、研发技术人才</w:t>
      </w:r>
      <w:r>
        <w:rPr>
          <w:rFonts w:hint="default" w:eastAsia="Times New Roman"/>
          <w:sz w:val="18"/>
          <w:szCs w:val="24"/>
          <w:lang w:val="zh-CN"/>
        </w:rPr>
        <w:t>32</w:t>
      </w:r>
      <w:r>
        <w:rPr>
          <w:rFonts w:hint="eastAsia" w:ascii="宋体"/>
          <w:sz w:val="18"/>
          <w:szCs w:val="24"/>
          <w:lang w:val="zh-CN"/>
        </w:rPr>
        <w:t>名，提拔了</w:t>
      </w:r>
      <w:r>
        <w:rPr>
          <w:rFonts w:hint="default" w:eastAsia="Times New Roman"/>
          <w:sz w:val="18"/>
          <w:szCs w:val="24"/>
          <w:lang w:val="zh-CN"/>
        </w:rPr>
        <w:t>6</w:t>
      </w:r>
      <w:r>
        <w:rPr>
          <w:rFonts w:hint="eastAsia" w:ascii="宋体"/>
          <w:sz w:val="18"/>
          <w:szCs w:val="24"/>
          <w:lang w:val="zh-CN"/>
        </w:rPr>
        <w:t>名具有组织管理能力的优秀员工，对不称职的中层管理人员予以降职、解聘；对年度做出突出贡献的优秀员工、优秀班组、优秀管理团体、重大项目工作组予以了表彰奖励。</w:t>
      </w:r>
    </w:p>
    <w:p>
      <w:pPr>
        <w:autoSpaceDE w:val="0"/>
        <w:autoSpaceDN w:val="0"/>
        <w:adjustRightInd w:val="0"/>
        <w:spacing w:beforeLines="0" w:afterLines="0"/>
        <w:ind w:firstLine="360"/>
        <w:jc w:val="left"/>
        <w:rPr>
          <w:rFonts w:hint="default" w:ascii="宋体"/>
          <w:sz w:val="18"/>
          <w:szCs w:val="24"/>
          <w:lang w:val="zh-CN"/>
        </w:rPr>
      </w:pPr>
      <w:r>
        <w:rPr>
          <w:rFonts w:hint="eastAsia" w:ascii="宋体"/>
          <w:sz w:val="18"/>
          <w:szCs w:val="24"/>
          <w:lang w:val="zh-CN"/>
        </w:rPr>
        <w:t>（四）不断规范经营运作，落实员工激励措施</w:t>
      </w:r>
    </w:p>
    <w:p>
      <w:pPr>
        <w:autoSpaceDE w:val="0"/>
        <w:autoSpaceDN w:val="0"/>
        <w:adjustRightInd w:val="0"/>
        <w:spacing w:beforeLines="0" w:afterLines="0"/>
        <w:ind w:firstLine="360"/>
        <w:jc w:val="left"/>
        <w:rPr>
          <w:rFonts w:hint="default" w:eastAsia="Times New Roman"/>
          <w:sz w:val="18"/>
          <w:szCs w:val="24"/>
          <w:lang w:val="zh-CN"/>
        </w:rPr>
      </w:pPr>
      <w:r>
        <w:rPr>
          <w:rFonts w:hint="eastAsia" w:ascii="宋体"/>
          <w:sz w:val="18"/>
          <w:szCs w:val="24"/>
          <w:lang w:val="zh-CN"/>
        </w:rPr>
        <w:t>公司董事会严格履行中国证监会、深交所对上市公司的管理要求，规范</w:t>
      </w:r>
      <w:r>
        <w:rPr>
          <w:rFonts w:hint="default" w:eastAsia="Times New Roman"/>
          <w:sz w:val="18"/>
          <w:szCs w:val="24"/>
          <w:lang w:val="zh-CN"/>
        </w:rPr>
        <w:t>“</w:t>
      </w:r>
      <w:r>
        <w:rPr>
          <w:rFonts w:hint="eastAsia" w:ascii="宋体"/>
          <w:sz w:val="18"/>
          <w:szCs w:val="24"/>
          <w:lang w:val="zh-CN"/>
        </w:rPr>
        <w:t>三会</w:t>
      </w:r>
      <w:r>
        <w:rPr>
          <w:rFonts w:hint="default" w:eastAsia="Times New Roman"/>
          <w:sz w:val="18"/>
          <w:szCs w:val="24"/>
          <w:lang w:val="zh-CN"/>
        </w:rPr>
        <w:t>”</w:t>
      </w:r>
      <w:r>
        <w:rPr>
          <w:rFonts w:hint="eastAsia" w:ascii="宋体"/>
          <w:sz w:val="18"/>
          <w:szCs w:val="24"/>
          <w:lang w:val="zh-CN"/>
        </w:rPr>
        <w:t>和内控管理，召开各类会议</w:t>
      </w:r>
      <w:r>
        <w:rPr>
          <w:rFonts w:hint="default" w:eastAsia="Times New Roman"/>
          <w:sz w:val="18"/>
          <w:szCs w:val="24"/>
          <w:lang w:val="zh-CN"/>
        </w:rPr>
        <w:t>25</w:t>
      </w:r>
      <w:r>
        <w:rPr>
          <w:rFonts w:hint="eastAsia" w:ascii="宋体"/>
          <w:sz w:val="18"/>
          <w:szCs w:val="24"/>
          <w:lang w:val="zh-CN"/>
        </w:rPr>
        <w:t>次，信息公告披露</w:t>
      </w:r>
      <w:r>
        <w:rPr>
          <w:rFonts w:hint="default" w:eastAsia="Times New Roman"/>
          <w:sz w:val="18"/>
          <w:szCs w:val="24"/>
          <w:lang w:val="zh-CN"/>
        </w:rPr>
        <w:t>100</w:t>
      </w:r>
      <w:r>
        <w:rPr>
          <w:rFonts w:hint="eastAsia" w:ascii="宋体"/>
          <w:sz w:val="18"/>
          <w:szCs w:val="24"/>
          <w:lang w:val="zh-CN"/>
        </w:rPr>
        <w:t>次</w:t>
      </w:r>
      <w:r>
        <w:rPr>
          <w:rFonts w:hint="default" w:eastAsia="Times New Roman"/>
          <w:sz w:val="18"/>
          <w:szCs w:val="24"/>
          <w:lang w:val="zh-CN"/>
        </w:rPr>
        <w:t>,</w:t>
      </w:r>
      <w:r>
        <w:rPr>
          <w:rFonts w:hint="eastAsia" w:ascii="宋体"/>
          <w:sz w:val="18"/>
          <w:szCs w:val="24"/>
          <w:lang w:val="zh-CN"/>
        </w:rPr>
        <w:t>并被深交所连续两年评为信息披露质量</w:t>
      </w:r>
      <w:r>
        <w:rPr>
          <w:rFonts w:hint="default" w:eastAsia="Times New Roman"/>
          <w:sz w:val="18"/>
          <w:szCs w:val="24"/>
          <w:lang w:val="zh-CN"/>
        </w:rPr>
        <w:t>“A”</w:t>
      </w:r>
      <w:r>
        <w:rPr>
          <w:rFonts w:hint="eastAsia" w:ascii="宋体"/>
          <w:sz w:val="18"/>
          <w:szCs w:val="24"/>
          <w:lang w:val="zh-CN"/>
        </w:rPr>
        <w:t>级企业，接待投资者来访及回复咨询交流</w:t>
      </w:r>
      <w:r>
        <w:rPr>
          <w:rFonts w:hint="default" w:eastAsia="Times New Roman"/>
          <w:sz w:val="18"/>
          <w:szCs w:val="24"/>
          <w:lang w:val="zh-CN"/>
        </w:rPr>
        <w:t>100</w:t>
      </w:r>
      <w:r>
        <w:rPr>
          <w:rFonts w:hint="eastAsia" w:ascii="宋体"/>
          <w:sz w:val="18"/>
          <w:szCs w:val="24"/>
          <w:lang w:val="zh-CN"/>
        </w:rPr>
        <w:t>余次。向股东、投资者实施了</w:t>
      </w:r>
      <w:r>
        <w:rPr>
          <w:rFonts w:hint="default" w:eastAsia="Times New Roman"/>
          <w:sz w:val="18"/>
          <w:szCs w:val="24"/>
          <w:lang w:val="zh-CN"/>
        </w:rPr>
        <w:t>2019</w:t>
      </w:r>
      <w:r>
        <w:rPr>
          <w:rFonts w:hint="eastAsia" w:ascii="宋体"/>
          <w:sz w:val="18"/>
          <w:szCs w:val="24"/>
          <w:lang w:val="zh-CN"/>
        </w:rPr>
        <w:t>年度利润分红派息</w:t>
      </w:r>
      <w:r>
        <w:rPr>
          <w:rFonts w:hint="default" w:eastAsia="Times New Roman"/>
          <w:sz w:val="18"/>
          <w:szCs w:val="24"/>
          <w:lang w:val="zh-CN"/>
        </w:rPr>
        <w:t>5200</w:t>
      </w:r>
      <w:r>
        <w:rPr>
          <w:rFonts w:hint="eastAsia" w:ascii="宋体"/>
          <w:sz w:val="18"/>
          <w:szCs w:val="24"/>
          <w:lang w:val="zh-CN"/>
        </w:rPr>
        <w:t>万元；完成了首次限制性股票激励第二期解除限售工作，为</w:t>
      </w:r>
      <w:r>
        <w:rPr>
          <w:rFonts w:hint="default" w:eastAsia="Times New Roman"/>
          <w:sz w:val="18"/>
          <w:szCs w:val="24"/>
          <w:lang w:val="zh-CN"/>
        </w:rPr>
        <w:t>36</w:t>
      </w:r>
      <w:r>
        <w:rPr>
          <w:rFonts w:hint="eastAsia" w:ascii="宋体"/>
          <w:sz w:val="18"/>
          <w:szCs w:val="24"/>
          <w:lang w:val="zh-CN"/>
        </w:rPr>
        <w:t>名骨干人员解除限售股票；调整了</w:t>
      </w:r>
      <w:r>
        <w:rPr>
          <w:rFonts w:hint="default" w:eastAsia="Times New Roman"/>
          <w:sz w:val="18"/>
          <w:szCs w:val="24"/>
          <w:lang w:val="zh-CN"/>
        </w:rPr>
        <w:t>2020</w:t>
      </w:r>
      <w:r>
        <w:rPr>
          <w:rFonts w:hint="eastAsia" w:ascii="宋体"/>
          <w:sz w:val="18"/>
          <w:szCs w:val="24"/>
          <w:lang w:val="zh-CN"/>
        </w:rPr>
        <w:t>年股权激励公司层面考核指标。</w:t>
      </w:r>
    </w:p>
    <w:p>
      <w:pPr>
        <w:autoSpaceDE w:val="0"/>
        <w:autoSpaceDN w:val="0"/>
        <w:adjustRightInd w:val="0"/>
        <w:spacing w:beforeLines="0" w:afterLines="0"/>
        <w:ind w:firstLine="360"/>
        <w:jc w:val="left"/>
        <w:rPr>
          <w:rFonts w:hint="default" w:ascii="宋体"/>
          <w:sz w:val="18"/>
          <w:szCs w:val="24"/>
          <w:lang w:val="zh-CN"/>
        </w:rPr>
      </w:pPr>
      <w:r>
        <w:rPr>
          <w:rFonts w:hint="eastAsia" w:ascii="宋体"/>
          <w:sz w:val="18"/>
          <w:szCs w:val="24"/>
          <w:lang w:val="zh-CN"/>
        </w:rPr>
        <w:t>（五）加快更新换代智能化装备，募投项目达到预期使用状态</w:t>
      </w:r>
    </w:p>
    <w:p>
      <w:pPr>
        <w:autoSpaceDE w:val="0"/>
        <w:autoSpaceDN w:val="0"/>
        <w:adjustRightInd w:val="0"/>
        <w:spacing w:before="0" w:beforeLines="0" w:after="0" w:afterLines="0"/>
        <w:ind w:firstLine="480"/>
        <w:rPr>
          <w:rFonts w:hint="default" w:eastAsia="Times New Roman"/>
          <w:sz w:val="18"/>
          <w:szCs w:val="24"/>
          <w:lang w:val="zh-CN"/>
        </w:rPr>
      </w:pPr>
      <w:r>
        <w:rPr>
          <w:rFonts w:hint="default"/>
          <w:sz w:val="18"/>
          <w:szCs w:val="24"/>
          <w:lang w:val="zh-CN"/>
        </w:rPr>
        <w:t>2020</w:t>
      </w:r>
      <w:r>
        <w:rPr>
          <w:rFonts w:hint="eastAsia" w:ascii="宋体"/>
          <w:sz w:val="18"/>
          <w:szCs w:val="24"/>
          <w:lang w:val="zh-CN"/>
        </w:rPr>
        <w:t>年公司投资1165万元，购置了各类生产加工自动化、智能化设备</w:t>
      </w:r>
      <w:r>
        <w:rPr>
          <w:rFonts w:hint="default"/>
          <w:sz w:val="18"/>
          <w:szCs w:val="24"/>
          <w:lang w:val="zh-CN"/>
        </w:rPr>
        <w:t>55</w:t>
      </w:r>
      <w:r>
        <w:rPr>
          <w:rFonts w:hint="eastAsia" w:ascii="宋体"/>
          <w:sz w:val="18"/>
          <w:szCs w:val="24"/>
          <w:lang w:val="zh-CN"/>
        </w:rPr>
        <w:t>台套，更新改造了落后的生产线及老旧加工设备；结合公司经营实际需要及时对首次公开发行股票募集资金投资项目结项并将节余募集资金永久补充流动资金，三个募投项目均已验收投产，符合各项环保要求，达到预期使用状态。公司于</w:t>
      </w:r>
      <w:r>
        <w:rPr>
          <w:rFonts w:hint="default" w:eastAsia="Times New Roman"/>
          <w:sz w:val="18"/>
          <w:szCs w:val="24"/>
          <w:lang w:val="zh-CN"/>
        </w:rPr>
        <w:t>2019</w:t>
      </w:r>
      <w:r>
        <w:rPr>
          <w:rFonts w:hint="eastAsia" w:ascii="宋体"/>
          <w:sz w:val="18"/>
          <w:szCs w:val="24"/>
          <w:lang w:val="zh-CN"/>
        </w:rPr>
        <w:t>年</w:t>
      </w:r>
      <w:r>
        <w:rPr>
          <w:rFonts w:hint="default" w:eastAsia="Times New Roman"/>
          <w:sz w:val="18"/>
          <w:szCs w:val="24"/>
          <w:lang w:val="zh-CN"/>
        </w:rPr>
        <w:t>5</w:t>
      </w:r>
      <w:r>
        <w:rPr>
          <w:rFonts w:hint="eastAsia" w:ascii="宋体"/>
          <w:sz w:val="18"/>
          <w:szCs w:val="24"/>
          <w:lang w:val="zh-CN"/>
        </w:rPr>
        <w:t>月建设完成的新型阀门建设项目全面投产，开始为汽车、农机行业提供配件铸造产品，营业收入已从2019年的无收入增至2020年的</w:t>
      </w:r>
      <w:r>
        <w:rPr>
          <w:rFonts w:hint="default" w:eastAsia="Times New Roman"/>
          <w:sz w:val="18"/>
          <w:szCs w:val="24"/>
          <w:lang w:val="zh-CN"/>
        </w:rPr>
        <w:t>19,097,638.60</w:t>
      </w:r>
      <w:r>
        <w:rPr>
          <w:rFonts w:hint="eastAsia" w:ascii="宋体"/>
          <w:sz w:val="18"/>
          <w:szCs w:val="24"/>
          <w:lang w:val="zh-CN"/>
        </w:rPr>
        <w:t>元，并在不断开拓客户资源，提升产品质量、技术工艺水平，创造新的利润增长点和竞争力。</w:t>
      </w:r>
    </w:p>
    <w:p>
      <w:pPr>
        <w:tabs>
          <w:tab w:val="left" w:pos="5657"/>
        </w:tabs>
        <w:autoSpaceDE w:val="0"/>
        <w:autoSpaceDN w:val="0"/>
        <w:adjustRightInd w:val="0"/>
        <w:spacing w:beforeLines="0" w:afterLines="0"/>
        <w:ind w:firstLine="360"/>
        <w:jc w:val="left"/>
        <w:rPr>
          <w:rFonts w:hint="default" w:eastAsia="Times New Roman"/>
          <w:sz w:val="18"/>
          <w:szCs w:val="24"/>
          <w:lang w:val="zh-CN"/>
        </w:rPr>
      </w:pPr>
      <w:r>
        <w:rPr>
          <w:rFonts w:hint="eastAsia" w:ascii="宋体"/>
          <w:sz w:val="18"/>
          <w:szCs w:val="24"/>
          <w:lang w:val="zh-CN"/>
        </w:rPr>
        <w:t>（六）</w:t>
      </w:r>
      <w:r>
        <w:rPr>
          <w:rFonts w:hint="default" w:eastAsia="Times New Roman"/>
          <w:sz w:val="18"/>
          <w:szCs w:val="24"/>
          <w:lang w:val="zh-CN"/>
        </w:rPr>
        <w:t xml:space="preserve"> </w:t>
      </w:r>
      <w:r>
        <w:rPr>
          <w:rFonts w:hint="eastAsia" w:ascii="宋体"/>
          <w:sz w:val="18"/>
          <w:szCs w:val="24"/>
          <w:lang w:val="zh-CN"/>
        </w:rPr>
        <w:t>落实安全生产责任，查处违规违纪行为</w:t>
      </w:r>
      <w:r>
        <w:rPr>
          <w:rFonts w:hint="default" w:ascii="宋体"/>
          <w:sz w:val="18"/>
          <w:szCs w:val="24"/>
          <w:lang w:val="zh-CN"/>
        </w:rPr>
        <w:tab/>
      </w:r>
    </w:p>
    <w:p>
      <w:pPr>
        <w:autoSpaceDE w:val="0"/>
        <w:autoSpaceDN w:val="0"/>
        <w:adjustRightInd w:val="0"/>
        <w:spacing w:beforeLines="0" w:afterLines="0"/>
        <w:ind w:firstLine="360"/>
        <w:jc w:val="left"/>
        <w:rPr>
          <w:rFonts w:hint="default" w:eastAsia="Times New Roman"/>
          <w:sz w:val="18"/>
          <w:szCs w:val="24"/>
          <w:lang w:val="zh-CN"/>
        </w:rPr>
      </w:pPr>
      <w:r>
        <w:rPr>
          <w:rFonts w:hint="eastAsia" w:ascii="宋体"/>
          <w:sz w:val="18"/>
          <w:szCs w:val="24"/>
          <w:lang w:val="zh-CN"/>
        </w:rPr>
        <w:t>公司组织落实了安全生产、职业健康、劳动防护及环境治理的三级管理责任状和考核激励机制，每周现场安全生产及</w:t>
      </w:r>
      <w:r>
        <w:rPr>
          <w:rFonts w:hint="default" w:eastAsia="Times New Roman"/>
          <w:sz w:val="18"/>
          <w:szCs w:val="24"/>
          <w:lang w:val="zh-CN"/>
        </w:rPr>
        <w:t>5S</w:t>
      </w:r>
      <w:r>
        <w:rPr>
          <w:rFonts w:hint="eastAsia" w:ascii="宋体"/>
          <w:sz w:val="18"/>
          <w:szCs w:val="24"/>
          <w:lang w:val="zh-CN"/>
        </w:rPr>
        <w:t>管理监督检查，及时发现问题，排除安全隐患。审计监督调查了涉及管理、质量、安全、违规违纪等给公司造成经济损失的责任事故，通报处罚责任人员，表彰奖励工作业绩优秀的员工。</w:t>
      </w:r>
    </w:p>
    <w:p>
      <w:pPr>
        <w:pStyle w:val="5"/>
        <w:outlineLvl w:val="2"/>
        <w:rPr>
          <w:rFonts w:hint="eastAsia"/>
          <w:sz w:val="21"/>
          <w:szCs w:val="24"/>
        </w:rPr>
      </w:pPr>
      <w:r>
        <w:rPr>
          <w:rFonts w:hint="eastAsia"/>
          <w:sz w:val="21"/>
          <w:szCs w:val="24"/>
        </w:rPr>
        <w:t>2、报告期内主营业务是否存在重大变化</w:t>
      </w:r>
    </w:p>
    <w:p>
      <w:pPr>
        <w:jc w:val="left"/>
        <w:rPr>
          <w:rFonts w:hint="eastAsia"/>
          <w:sz w:val="18"/>
          <w:szCs w:val="24"/>
        </w:rPr>
      </w:pPr>
      <w:r>
        <w:rPr>
          <w:rFonts w:hint="eastAsia"/>
          <w:sz w:val="18"/>
          <w:szCs w:val="24"/>
        </w:rPr>
        <w:t xml:space="preserve">□ 是 √ 否 </w:t>
      </w:r>
    </w:p>
    <w:p>
      <w:pPr>
        <w:pStyle w:val="5"/>
        <w:outlineLvl w:val="2"/>
        <w:rPr>
          <w:rFonts w:hint="eastAsia"/>
          <w:sz w:val="21"/>
          <w:szCs w:val="24"/>
        </w:rPr>
      </w:pPr>
      <w:r>
        <w:rPr>
          <w:rFonts w:hint="eastAsia"/>
          <w:sz w:val="21"/>
          <w:szCs w:val="24"/>
        </w:rPr>
        <w:t>3、占公司主营业务收入或主营业务利润10%以上的产品情况</w:t>
      </w:r>
    </w:p>
    <w:p>
      <w:pPr>
        <w:jc w:val="left"/>
        <w:rPr>
          <w:rFonts w:hint="eastAsia"/>
          <w:sz w:val="18"/>
          <w:szCs w:val="24"/>
        </w:rPr>
      </w:pPr>
      <w:r>
        <w:rPr>
          <w:rFonts w:hint="eastAsia"/>
          <w:sz w:val="18"/>
          <w:szCs w:val="24"/>
        </w:rPr>
        <w:t xml:space="preserve">√ 适用 □ 不适用 </w:t>
      </w:r>
    </w:p>
    <w:p>
      <w:pPr>
        <w:jc w:val="right"/>
        <w:rPr>
          <w:rFonts w:hint="eastAsia"/>
          <w:sz w:val="18"/>
          <w:szCs w:val="24"/>
        </w:rPr>
      </w:pPr>
      <w:r>
        <w:rPr>
          <w:rFonts w:hint="eastAsia"/>
          <w:sz w:val="18"/>
          <w:szCs w:val="24"/>
        </w:rPr>
        <w:t>单位：元</w:t>
      </w:r>
    </w:p>
    <w:tbl>
      <w:tblPr>
        <w:tblStyle w:val="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7"/>
        <w:gridCol w:w="1366"/>
        <w:gridCol w:w="1366"/>
        <w:gridCol w:w="1367"/>
        <w:gridCol w:w="1367"/>
        <w:gridCol w:w="1367"/>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产品名称</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营业收入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营业利润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毛利率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营业收入比上年同期增减</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营业利润比上年同期增减</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jc w:val="center"/>
              <w:rPr>
                <w:rFonts w:hint="eastAsia"/>
                <w:sz w:val="18"/>
                <w:szCs w:val="24"/>
              </w:rPr>
            </w:pPr>
            <w:r>
              <w:rPr>
                <w:rFonts w:hint="eastAsia"/>
                <w:sz w:val="18"/>
                <w:szCs w:val="24"/>
              </w:rPr>
              <w:t>毛利率比上年同期增减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闸阀</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115,275,842.50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40,633,168.36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35.25%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-13.59%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-6.42%</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止回阀</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37,552,293.79</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11,596,899.71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30.88%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6.32%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20.85%</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13.54%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蝶阀</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58,514,889.88</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22,770,448.70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38.91%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-7.33%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-7.61%</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left"/>
              <w:rPr>
                <w:rFonts w:hint="eastAsia"/>
                <w:sz w:val="18"/>
                <w:szCs w:val="24"/>
              </w:rPr>
            </w:pPr>
            <w:r>
              <w:rPr>
                <w:rFonts w:hint="eastAsia"/>
                <w:sz w:val="18"/>
                <w:szCs w:val="24"/>
              </w:rPr>
              <w:t>其他阀门</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61,717,225.61</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28,084,564.07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45.51%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-3.05%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-9.63%</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right"/>
              <w:rPr>
                <w:rFonts w:hint="eastAsia"/>
                <w:sz w:val="18"/>
                <w:szCs w:val="24"/>
              </w:rPr>
            </w:pPr>
            <w:r>
              <w:rPr>
                <w:rFonts w:hint="eastAsia"/>
                <w:sz w:val="18"/>
                <w:szCs w:val="24"/>
              </w:rPr>
              <w:t>-6.75%</w:t>
            </w:r>
          </w:p>
        </w:tc>
      </w:tr>
    </w:tbl>
    <w:p>
      <w:pPr>
        <w:pStyle w:val="5"/>
        <w:outlineLvl w:val="2"/>
        <w:rPr>
          <w:rFonts w:hint="eastAsia"/>
          <w:sz w:val="21"/>
          <w:szCs w:val="24"/>
        </w:rPr>
      </w:pPr>
      <w:r>
        <w:rPr>
          <w:rFonts w:hint="eastAsia"/>
          <w:sz w:val="21"/>
          <w:szCs w:val="24"/>
        </w:rPr>
        <w:t>4、是否存在需要特别关注的经营季节性或周期性特征</w:t>
      </w:r>
    </w:p>
    <w:p>
      <w:pPr>
        <w:jc w:val="left"/>
        <w:rPr>
          <w:rFonts w:hint="eastAsia"/>
          <w:sz w:val="18"/>
          <w:szCs w:val="24"/>
        </w:rPr>
      </w:pPr>
      <w:r>
        <w:rPr>
          <w:rFonts w:hint="eastAsia"/>
          <w:sz w:val="18"/>
          <w:szCs w:val="24"/>
        </w:rPr>
        <w:t xml:space="preserve">□ 是 √ 否 </w:t>
      </w:r>
    </w:p>
    <w:p>
      <w:pPr>
        <w:pStyle w:val="5"/>
        <w:outlineLvl w:val="2"/>
        <w:rPr>
          <w:rFonts w:hint="eastAsia"/>
          <w:sz w:val="21"/>
          <w:szCs w:val="24"/>
        </w:rPr>
      </w:pPr>
      <w:r>
        <w:rPr>
          <w:rFonts w:hint="eastAsia"/>
          <w:sz w:val="21"/>
          <w:szCs w:val="24"/>
        </w:rPr>
        <w:t>5、报告期内营业收入、营业成本、归属于上市公司普通股股东的净利润总额或者构成较前一报告期发生重大变化的说明</w:t>
      </w:r>
    </w:p>
    <w:p>
      <w:pPr>
        <w:jc w:val="left"/>
        <w:rPr>
          <w:rFonts w:hint="eastAsia"/>
          <w:sz w:val="18"/>
          <w:szCs w:val="24"/>
        </w:rPr>
      </w:pPr>
      <w:r>
        <w:rPr>
          <w:rFonts w:hint="eastAsia"/>
          <w:sz w:val="18"/>
          <w:szCs w:val="24"/>
        </w:rPr>
        <w:t xml:space="preserve">□ 适用 √ 不适用 </w:t>
      </w:r>
    </w:p>
    <w:p>
      <w:pPr>
        <w:pStyle w:val="5"/>
        <w:outlineLvl w:val="2"/>
        <w:rPr>
          <w:rFonts w:hint="eastAsia"/>
          <w:sz w:val="21"/>
          <w:szCs w:val="24"/>
        </w:rPr>
      </w:pPr>
      <w:r>
        <w:rPr>
          <w:rFonts w:hint="eastAsia"/>
          <w:sz w:val="21"/>
          <w:szCs w:val="24"/>
        </w:rPr>
        <w:t>6、面临退市情况</w:t>
      </w:r>
    </w:p>
    <w:p>
      <w:pPr>
        <w:jc w:val="left"/>
        <w:rPr>
          <w:rFonts w:hint="eastAsia"/>
          <w:sz w:val="18"/>
          <w:szCs w:val="24"/>
        </w:rPr>
      </w:pPr>
      <w:r>
        <w:rPr>
          <w:rFonts w:hint="eastAsia"/>
          <w:sz w:val="18"/>
          <w:szCs w:val="24"/>
        </w:rPr>
        <w:t xml:space="preserve">□ 适用 √ 不适用 </w:t>
      </w:r>
    </w:p>
    <w:p>
      <w:pPr>
        <w:pStyle w:val="5"/>
        <w:outlineLvl w:val="2"/>
        <w:rPr>
          <w:rFonts w:hint="eastAsia"/>
          <w:sz w:val="21"/>
          <w:szCs w:val="24"/>
        </w:rPr>
      </w:pPr>
      <w:r>
        <w:rPr>
          <w:rFonts w:hint="eastAsia"/>
          <w:sz w:val="21"/>
          <w:szCs w:val="24"/>
        </w:rPr>
        <w:t>7、涉及财务报告的相关事项</w:t>
      </w:r>
    </w:p>
    <w:p>
      <w:pPr>
        <w:pStyle w:val="5"/>
        <w:outlineLvl w:val="3"/>
        <w:rPr>
          <w:rFonts w:hint="eastAsia"/>
          <w:sz w:val="21"/>
          <w:szCs w:val="24"/>
        </w:rPr>
      </w:pPr>
      <w:r>
        <w:rPr>
          <w:rFonts w:hint="eastAsia"/>
          <w:sz w:val="21"/>
          <w:szCs w:val="24"/>
        </w:rPr>
        <w:t>（1）与上年度财务报告相比，会计政策、会计估计和核算方法发生变化的情况说明</w:t>
      </w:r>
    </w:p>
    <w:p>
      <w:pPr>
        <w:jc w:val="left"/>
        <w:rPr>
          <w:rFonts w:hint="eastAsia"/>
          <w:sz w:val="18"/>
          <w:szCs w:val="24"/>
        </w:rPr>
      </w:pPr>
      <w:r>
        <w:rPr>
          <w:rFonts w:hint="eastAsia"/>
          <w:sz w:val="18"/>
          <w:szCs w:val="24"/>
        </w:rPr>
        <w:t xml:space="preserve">√ 适用 □ 不适用 </w:t>
      </w:r>
    </w:p>
    <w:p>
      <w:pPr>
        <w:autoSpaceDE w:val="0"/>
        <w:autoSpaceDN w:val="0"/>
        <w:adjustRightInd w:val="0"/>
        <w:spacing w:before="0" w:after="0"/>
        <w:jc w:val="left"/>
        <w:rPr>
          <w:rFonts w:hint="eastAsia" w:ascii="宋体"/>
          <w:color w:val="auto"/>
          <w:sz w:val="18"/>
          <w:szCs w:val="24"/>
          <w:lang w:val="zh-CN"/>
        </w:rPr>
      </w:pPr>
      <w:r>
        <w:rPr>
          <w:rFonts w:hint="eastAsia" w:ascii="宋体"/>
          <w:color w:val="auto"/>
          <w:sz w:val="18"/>
          <w:szCs w:val="24"/>
          <w:lang w:val="zh-CN"/>
        </w:rPr>
        <w:t>见2020年年度报告全文中“第十二节财务报告—五、重要会计政策及会计估计—27、重要会计政策及会计估计变更”内容。</w:t>
      </w:r>
    </w:p>
    <w:p>
      <w:pPr>
        <w:pStyle w:val="5"/>
        <w:outlineLvl w:val="3"/>
        <w:rPr>
          <w:rFonts w:hint="eastAsia"/>
          <w:sz w:val="21"/>
          <w:szCs w:val="24"/>
        </w:rPr>
      </w:pPr>
      <w:r>
        <w:rPr>
          <w:rFonts w:hint="eastAsia"/>
          <w:sz w:val="21"/>
          <w:szCs w:val="24"/>
        </w:rPr>
        <w:t>（2）报告期内发生重大会计差错更正需追溯重述的情况说明</w:t>
      </w:r>
    </w:p>
    <w:p>
      <w:pPr>
        <w:jc w:val="left"/>
        <w:rPr>
          <w:rFonts w:hint="eastAsia"/>
          <w:sz w:val="18"/>
          <w:szCs w:val="24"/>
        </w:rPr>
      </w:pPr>
      <w:r>
        <w:rPr>
          <w:rFonts w:hint="eastAsia"/>
          <w:sz w:val="18"/>
          <w:szCs w:val="24"/>
        </w:rPr>
        <w:t xml:space="preserve">□ 适用 √ 不适用 </w:t>
      </w:r>
    </w:p>
    <w:p>
      <w:pPr>
        <w:jc w:val="left"/>
        <w:rPr>
          <w:rFonts w:hint="eastAsia"/>
          <w:sz w:val="18"/>
          <w:szCs w:val="24"/>
        </w:rPr>
      </w:pPr>
      <w:r>
        <w:rPr>
          <w:rFonts w:hint="eastAsia"/>
          <w:sz w:val="18"/>
          <w:szCs w:val="24"/>
        </w:rPr>
        <w:t>公司报告期无重大会计差错更正需追溯重述的情况。</w:t>
      </w:r>
    </w:p>
    <w:p>
      <w:pPr>
        <w:pStyle w:val="5"/>
        <w:outlineLvl w:val="3"/>
        <w:rPr>
          <w:rFonts w:hint="eastAsia"/>
          <w:sz w:val="21"/>
          <w:szCs w:val="24"/>
        </w:rPr>
      </w:pPr>
      <w:r>
        <w:rPr>
          <w:rFonts w:hint="eastAsia"/>
          <w:sz w:val="21"/>
          <w:szCs w:val="24"/>
        </w:rPr>
        <w:t>（3）与上年度财务报告相比，合并报表范围发生变化的情况说明</w:t>
      </w:r>
    </w:p>
    <w:p>
      <w:pPr>
        <w:jc w:val="left"/>
        <w:rPr>
          <w:rFonts w:hint="eastAsia"/>
          <w:sz w:val="18"/>
          <w:szCs w:val="24"/>
        </w:rPr>
      </w:pPr>
      <w:r>
        <w:rPr>
          <w:rFonts w:hint="eastAsia"/>
          <w:sz w:val="18"/>
          <w:szCs w:val="24"/>
        </w:rPr>
        <w:t xml:space="preserve">√ 适用 □ 不适用 </w:t>
      </w:r>
    </w:p>
    <w:p>
      <w:pPr>
        <w:autoSpaceDE w:val="0"/>
        <w:autoSpaceDN w:val="0"/>
        <w:adjustRightInd w:val="0"/>
        <w:spacing w:before="150" w:after="150"/>
        <w:rPr>
          <w:rFonts w:hint="eastAsia" w:ascii="宋体"/>
          <w:color w:val="auto"/>
          <w:sz w:val="21"/>
          <w:szCs w:val="24"/>
          <w:lang w:val="zh-CN"/>
        </w:rPr>
      </w:pPr>
      <w:r>
        <w:rPr>
          <w:rFonts w:hint="eastAsia" w:ascii="宋体"/>
          <w:color w:val="auto"/>
          <w:sz w:val="21"/>
          <w:szCs w:val="24"/>
          <w:lang w:val="zh-CN"/>
        </w:rPr>
        <w:t>合并范围的变更见附注一、（三）本期合并财务报表范围发生变更的情况。</w:t>
      </w:r>
    </w:p>
    <w:p>
      <w:pPr>
        <w:autoSpaceDE w:val="0"/>
        <w:autoSpaceDN w:val="0"/>
        <w:adjustRightInd w:val="0"/>
        <w:spacing w:before="150" w:after="150"/>
        <w:rPr>
          <w:rFonts w:hint="eastAsia" w:ascii="宋体"/>
          <w:color w:val="auto"/>
          <w:sz w:val="21"/>
          <w:szCs w:val="24"/>
          <w:lang w:val="zh-CN"/>
        </w:rPr>
      </w:pPr>
    </w:p>
    <w:p>
      <w:pPr>
        <w:autoSpaceDE w:val="0"/>
        <w:autoSpaceDN w:val="0"/>
        <w:adjustRightInd w:val="0"/>
        <w:spacing w:before="150" w:after="150"/>
        <w:rPr>
          <w:rFonts w:hint="eastAsia" w:ascii="宋体"/>
          <w:color w:val="auto"/>
          <w:sz w:val="21"/>
          <w:szCs w:val="24"/>
          <w:lang w:val="zh-CN"/>
        </w:rPr>
      </w:pPr>
    </w:p>
    <w:p>
      <w:pPr>
        <w:autoSpaceDE w:val="0"/>
        <w:autoSpaceDN w:val="0"/>
        <w:adjustRightInd w:val="0"/>
        <w:spacing w:before="150" w:after="150"/>
        <w:rPr>
          <w:rFonts w:hint="eastAsia" w:ascii="宋体"/>
          <w:color w:val="auto"/>
          <w:sz w:val="21"/>
          <w:szCs w:val="24"/>
          <w:lang w:val="zh-CN"/>
        </w:rPr>
      </w:pPr>
    </w:p>
    <w:p>
      <w:pPr>
        <w:autoSpaceDE w:val="0"/>
        <w:autoSpaceDN w:val="0"/>
        <w:adjustRightInd w:val="0"/>
        <w:spacing w:before="0" w:after="0"/>
        <w:jc w:val="right"/>
        <w:rPr>
          <w:rFonts w:hint="eastAsia" w:ascii="宋体"/>
          <w:color w:val="auto"/>
          <w:sz w:val="18"/>
          <w:szCs w:val="24"/>
        </w:rPr>
      </w:pPr>
      <w:r>
        <w:rPr>
          <w:rFonts w:hint="eastAsia" w:ascii="宋体"/>
          <w:color w:val="auto"/>
          <w:sz w:val="18"/>
          <w:szCs w:val="24"/>
        </w:rPr>
        <w:t>青岛伟隆阀门股份有限公司董事会</w:t>
      </w:r>
    </w:p>
    <w:p>
      <w:pPr>
        <w:autoSpaceDE w:val="0"/>
        <w:autoSpaceDN w:val="0"/>
        <w:adjustRightInd w:val="0"/>
        <w:spacing w:before="0" w:after="0"/>
        <w:ind w:firstLine="7560" w:firstLineChars="4200"/>
        <w:jc w:val="left"/>
        <w:rPr>
          <w:rFonts w:hint="eastAsia" w:ascii="宋体"/>
          <w:color w:val="auto"/>
          <w:sz w:val="18"/>
          <w:szCs w:val="24"/>
        </w:rPr>
      </w:pPr>
    </w:p>
    <w:p>
      <w:pPr>
        <w:autoSpaceDE w:val="0"/>
        <w:autoSpaceDN w:val="0"/>
        <w:adjustRightInd w:val="0"/>
        <w:spacing w:before="0" w:after="0"/>
        <w:ind w:firstLine="7560" w:firstLineChars="4200"/>
        <w:jc w:val="left"/>
        <w:rPr>
          <w:rFonts w:hint="eastAsia" w:ascii="宋体"/>
          <w:color w:val="auto"/>
          <w:sz w:val="18"/>
          <w:szCs w:val="24"/>
        </w:rPr>
      </w:pPr>
    </w:p>
    <w:p>
      <w:pPr>
        <w:autoSpaceDE w:val="0"/>
        <w:autoSpaceDN w:val="0"/>
        <w:adjustRightInd w:val="0"/>
        <w:spacing w:before="0" w:after="0"/>
        <w:ind w:firstLine="7560" w:firstLineChars="4200"/>
        <w:jc w:val="left"/>
        <w:rPr>
          <w:rFonts w:hint="eastAsia" w:ascii="宋体"/>
          <w:color w:val="auto"/>
          <w:sz w:val="18"/>
          <w:szCs w:val="24"/>
        </w:rPr>
      </w:pPr>
    </w:p>
    <w:p>
      <w:pPr>
        <w:autoSpaceDE w:val="0"/>
        <w:autoSpaceDN w:val="0"/>
        <w:adjustRightInd w:val="0"/>
        <w:spacing w:before="0" w:after="0"/>
        <w:ind w:firstLine="7560" w:firstLineChars="4200"/>
        <w:jc w:val="left"/>
        <w:rPr>
          <w:rFonts w:hint="eastAsia" w:ascii="宋体"/>
          <w:color w:val="auto"/>
          <w:sz w:val="18"/>
          <w:szCs w:val="24"/>
          <w:u w:val="single"/>
        </w:rPr>
      </w:pPr>
      <w:r>
        <w:rPr>
          <w:rFonts w:hint="eastAsia" w:ascii="宋体"/>
          <w:color w:val="auto"/>
          <w:sz w:val="18"/>
          <w:szCs w:val="24"/>
        </w:rPr>
        <w:t>董事长：</w:t>
      </w:r>
      <w:r>
        <w:rPr>
          <w:rFonts w:hint="eastAsia" w:ascii="宋体"/>
          <w:color w:val="auto"/>
          <w:sz w:val="18"/>
          <w:szCs w:val="24"/>
          <w:u w:val="single"/>
        </w:rPr>
        <w:t xml:space="preserve">             </w:t>
      </w:r>
    </w:p>
    <w:p>
      <w:pPr>
        <w:autoSpaceDE w:val="0"/>
        <w:autoSpaceDN w:val="0"/>
        <w:adjustRightInd w:val="0"/>
        <w:spacing w:before="0" w:after="0"/>
        <w:ind w:firstLine="8640" w:firstLineChars="4800"/>
        <w:jc w:val="left"/>
        <w:rPr>
          <w:rFonts w:hint="eastAsia" w:ascii="宋体"/>
          <w:color w:val="auto"/>
          <w:sz w:val="18"/>
          <w:szCs w:val="24"/>
        </w:rPr>
      </w:pPr>
      <w:r>
        <w:rPr>
          <w:rFonts w:hint="eastAsia" w:ascii="宋体"/>
          <w:color w:val="auto"/>
          <w:sz w:val="18"/>
          <w:szCs w:val="24"/>
        </w:rPr>
        <w:t>范庆伟</w:t>
      </w:r>
    </w:p>
    <w:p>
      <w:pPr>
        <w:jc w:val="left"/>
        <w:rPr>
          <w:rFonts w:hint="eastAsia"/>
          <w:sz w:val="18"/>
          <w:szCs w:val="24"/>
        </w:rPr>
      </w:pPr>
    </w:p>
    <w:p>
      <w:pPr>
        <w:autoSpaceDE w:val="0"/>
        <w:autoSpaceDN w:val="0"/>
        <w:adjustRightInd w:val="0"/>
        <w:spacing w:before="150" w:after="150"/>
        <w:rPr>
          <w:rFonts w:hint="eastAsia" w:ascii="宋体"/>
          <w:color w:val="auto"/>
          <w:sz w:val="21"/>
          <w:szCs w:val="24"/>
          <w:lang w:val="zh-CN"/>
        </w:rPr>
      </w:pPr>
    </w:p>
    <w:p/>
    <w:sectPr>
      <w:headerReference r:id="rId4" w:type="default"/>
      <w:footerReference r:id="rId5" w:type="default"/>
      <w:pgSz w:w="11906" w:h="16838"/>
      <w:pgMar w:top="1440" w:right="1134" w:bottom="1440" w:left="1134"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sz w:val="18"/>
        <w:szCs w:val="24"/>
      </w:rPr>
    </w:pPr>
    <w:r>
      <w:rPr>
        <w:rFonts w:hint="default"/>
        <w:sz w:val="18"/>
        <w:szCs w:val="24"/>
      </w:rPr>
      <w:fldChar w:fldCharType="begin"/>
    </w:r>
    <w:r>
      <w:rPr>
        <w:rFonts w:hint="default"/>
        <w:sz w:val="18"/>
        <w:szCs w:val="24"/>
      </w:rPr>
      <w:instrText xml:space="preserve"> PAGE </w:instrText>
    </w:r>
    <w:r>
      <w:rPr>
        <w:rFonts w:hint="default"/>
        <w:sz w:val="18"/>
        <w:szCs w:val="24"/>
      </w:rPr>
      <w:fldChar w:fldCharType="separate"/>
    </w:r>
    <w:r>
      <w:rPr>
        <w:rFonts w:hint="default"/>
        <w:sz w:val="18"/>
        <w:szCs w:val="24"/>
      </w:rPr>
      <w:t>1</w:t>
    </w:r>
    <w:r>
      <w:rPr>
        <w:rFonts w:hint="default"/>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 w:val="18"/>
        <w:szCs w:val="24"/>
      </w:rPr>
    </w:pPr>
    <w:r>
      <w:rPr>
        <w:rFonts w:hint="eastAsia"/>
        <w:sz w:val="18"/>
        <w:szCs w:val="24"/>
      </w:rPr>
      <w:t>青岛伟隆阀门股份有限公司2020年年度报告摘要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000000"/>
    <w:rsid w:val="006347AB"/>
    <w:rsid w:val="3594383B"/>
    <w:rsid w:val="49A400E4"/>
    <w:rsid w:val="610763D0"/>
    <w:rsid w:val="67C06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spacing w:before="40" w:after="40"/>
      <w:jc w:val="both"/>
    </w:pPr>
    <w:rPr>
      <w:rFonts w:hint="eastAsia" w:ascii="Times New Roman" w:hAnsi="Times New Roman" w:eastAsia="宋体" w:cs="Times New Roman"/>
      <w:kern w:val="2"/>
      <w:sz w:val="18"/>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hapter"/>
    <w:next w:val="1"/>
    <w:unhideWhenUsed/>
    <w:qFormat/>
    <w:uiPriority w:val="99"/>
    <w:pPr>
      <w:keepNext/>
      <w:keepLines/>
      <w:widowControl w:val="0"/>
      <w:spacing w:before="300" w:after="300" w:line="241" w:lineRule="auto"/>
      <w:jc w:val="both"/>
    </w:pPr>
    <w:rPr>
      <w:rFonts w:hint="eastAsia" w:ascii="Times New Roman" w:hAnsi="Times New Roman" w:eastAsia="宋体" w:cs="Times New Roman"/>
      <w:b/>
      <w:kern w:val="28"/>
      <w:sz w:val="24"/>
      <w:szCs w:val="24"/>
      <w:lang w:val="en-US" w:eastAsia="zh-CN"/>
    </w:rPr>
  </w:style>
  <w:style w:type="paragraph" w:customStyle="1" w:styleId="5">
    <w:name w:val="Section"/>
    <w:next w:val="1"/>
    <w:unhideWhenUsed/>
    <w:qFormat/>
    <w:uiPriority w:val="99"/>
    <w:pPr>
      <w:keepNext/>
      <w:keepLines/>
      <w:widowControl w:val="0"/>
      <w:spacing w:before="300" w:after="300" w:line="241" w:lineRule="auto"/>
      <w:jc w:val="both"/>
    </w:pPr>
    <w:rPr>
      <w:rFonts w:hint="eastAsia" w:ascii="Times New Roman" w:hAnsi="Times New Roman" w:eastAsia="宋体" w:cs="Times New Roman"/>
      <w:b/>
      <w:kern w:val="28"/>
      <w:sz w:val="21"/>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4557</Words>
  <Characters>5802</Characters>
  <Lines>0</Lines>
  <Paragraphs>0</Paragraphs>
  <TotalTime>0</TotalTime>
  <ScaleCrop>false</ScaleCrop>
  <LinksUpToDate>false</LinksUpToDate>
  <CharactersWithSpaces>5939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2021-04-28T08:25:00Z</dcterms:created>
  <dc:creator>zhaoxiang</dc:creator>
  <cp:lastModifiedBy>Mr.翔</cp:lastModifiedBy>
  <dcterms:modified xsi:type="dcterms:W3CDTF">2023-01-11T09:10:13Z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A9FB8203C438431B9EF4DC848FDB51AC</vt:lpwstr>
  </property>
</Properties>
</file>