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beforeLines="50" w:afterLines="50" w:line="360" w:lineRule="auto"/>
        <w:jc w:val="center"/>
        <w:rPr>
          <w:rFonts w:ascii="宋体" w:hAnsi="宋体" w:eastAsia="宋体" w:cs="Times New Roman"/>
          <w:color w:val="auto"/>
          <w:szCs w:val="21"/>
        </w:rPr>
      </w:pPr>
      <w:r>
        <w:rPr>
          <w:rFonts w:hint="eastAsia" w:ascii="宋体" w:hAnsi="宋体" w:eastAsia="宋体" w:cs="Times New Roman"/>
          <w:color w:val="auto"/>
          <w:szCs w:val="21"/>
        </w:rPr>
        <w:t xml:space="preserve">证券代码：002871      </w:t>
      </w:r>
      <w:r>
        <w:rPr>
          <w:rFonts w:ascii="宋体" w:hAnsi="宋体" w:eastAsia="宋体" w:cs="Times New Roman"/>
          <w:color w:val="auto"/>
          <w:szCs w:val="21"/>
        </w:rPr>
        <w:t xml:space="preserve"> </w:t>
      </w:r>
      <w:r>
        <w:rPr>
          <w:rFonts w:hint="eastAsia" w:ascii="宋体" w:hAnsi="宋体" w:eastAsia="宋体" w:cs="Times New Roman"/>
          <w:color w:val="auto"/>
          <w:szCs w:val="21"/>
        </w:rPr>
        <w:t xml:space="preserve">       证券简称：伟隆股份 </w:t>
      </w:r>
      <w:r>
        <w:rPr>
          <w:rFonts w:ascii="宋体" w:hAnsi="宋体" w:eastAsia="宋体" w:cs="Times New Roman"/>
          <w:color w:val="auto"/>
          <w:szCs w:val="21"/>
        </w:rPr>
        <w:t xml:space="preserve"> </w:t>
      </w:r>
      <w:r>
        <w:rPr>
          <w:rFonts w:hint="eastAsia" w:ascii="宋体" w:hAnsi="宋体" w:eastAsia="宋体" w:cs="Times New Roman"/>
          <w:color w:val="auto"/>
          <w:szCs w:val="21"/>
        </w:rPr>
        <w:t xml:space="preserve">            公告编号：2023-0</w:t>
      </w:r>
      <w:r>
        <w:rPr>
          <w:rFonts w:ascii="宋体" w:hAnsi="宋体" w:eastAsia="宋体" w:cs="Times New Roman"/>
          <w:color w:val="auto"/>
          <w:szCs w:val="21"/>
        </w:rPr>
        <w:t>1</w:t>
      </w:r>
      <w:r>
        <w:rPr>
          <w:rFonts w:hint="eastAsia" w:ascii="宋体" w:hAnsi="宋体" w:eastAsia="宋体" w:cs="Times New Roman"/>
          <w:color w:val="auto"/>
          <w:szCs w:val="21"/>
        </w:rPr>
        <w:t>6</w:t>
      </w:r>
    </w:p>
    <w:p>
      <w:pPr>
        <w:adjustRightInd w:val="0"/>
        <w:spacing w:beforeLines="50" w:afterLines="50" w:line="360" w:lineRule="auto"/>
        <w:jc w:val="center"/>
        <w:rPr>
          <w:rFonts w:ascii="宋体" w:hAnsi="宋体" w:eastAsia="宋体"/>
          <w:b/>
          <w:bCs/>
          <w:color w:val="auto"/>
          <w:kern w:val="0"/>
          <w:sz w:val="28"/>
        </w:rPr>
      </w:pPr>
      <w:r>
        <w:rPr>
          <w:rFonts w:hint="eastAsia" w:ascii="宋体" w:hAnsi="宋体" w:eastAsia="宋体"/>
          <w:b/>
          <w:bCs/>
          <w:color w:val="auto"/>
          <w:kern w:val="0"/>
          <w:sz w:val="28"/>
        </w:rPr>
        <w:t>青岛伟隆阀门股份有限公司</w:t>
      </w:r>
    </w:p>
    <w:p>
      <w:pPr>
        <w:adjustRightInd w:val="0"/>
        <w:spacing w:beforeLines="50" w:afterLines="50" w:line="360" w:lineRule="auto"/>
        <w:jc w:val="center"/>
        <w:rPr>
          <w:rFonts w:ascii="宋体" w:hAnsi="宋体" w:eastAsia="宋体"/>
          <w:b/>
          <w:bCs/>
          <w:color w:val="auto"/>
          <w:kern w:val="0"/>
          <w:sz w:val="28"/>
        </w:rPr>
      </w:pPr>
      <w:r>
        <w:rPr>
          <w:rFonts w:hint="eastAsia" w:ascii="宋体" w:hAnsi="宋体" w:eastAsia="宋体"/>
          <w:b/>
          <w:bCs/>
          <w:color w:val="auto"/>
          <w:kern w:val="0"/>
          <w:sz w:val="28"/>
        </w:rPr>
        <w:t>关于更正2019年、2020年加权平均净资产收益率事项的说明</w:t>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trPr>
        <w:tc>
          <w:tcPr>
            <w:tcW w:w="8522" w:type="dxa"/>
            <w:tcBorders>
              <w:top w:val="single" w:color="auto" w:sz="4" w:space="0"/>
              <w:left w:val="single" w:color="auto" w:sz="4" w:space="0"/>
              <w:bottom w:val="single" w:color="auto" w:sz="4" w:space="0"/>
              <w:right w:val="single" w:color="auto" w:sz="4" w:space="0"/>
            </w:tcBorders>
          </w:tcPr>
          <w:p>
            <w:pPr>
              <w:autoSpaceDE w:val="0"/>
              <w:autoSpaceDN w:val="0"/>
              <w:spacing w:beforeLines="50" w:afterLines="50" w:line="360" w:lineRule="auto"/>
              <w:ind w:firstLine="420" w:firstLineChars="200"/>
              <w:rPr>
                <w:rFonts w:ascii="宋体" w:hAnsi="宋体" w:eastAsia="宋体"/>
                <w:color w:val="auto"/>
                <w:sz w:val="24"/>
                <w:szCs w:val="24"/>
              </w:rPr>
            </w:pPr>
            <w:r>
              <w:rPr>
                <w:rFonts w:hint="eastAsia" w:ascii="宋体" w:hAnsi="宋体" w:eastAsia="宋体"/>
                <w:color w:val="auto"/>
              </w:rPr>
              <w:t>本公司及董事会全体成员保证信息披露内容的真实、准确和完整，没有虚假记载、误导性陈述或重大遗漏。</w:t>
            </w:r>
          </w:p>
        </w:tc>
      </w:tr>
    </w:tbl>
    <w:p>
      <w:pPr>
        <w:spacing w:beforeLines="50" w:afterLines="50"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青岛伟隆阀门股份有限公司（以下简称“公司”）于近日对2019年、2020年、2021年年度报告及其摘要披露中涉及2019年、2020年的加权平均净资产收益率进行了更正（详见公司2023年1月17日在《中国证券报》《证券时报》《证券日报》、巨潮资讯网（http://www.cninfo.com.cn）披露的更正公告：2023-015）。具体更正情况说明如下：</w:t>
      </w:r>
    </w:p>
    <w:p>
      <w:pPr>
        <w:spacing w:before="156" w:beforeLines="50" w:after="156" w:afterLines="50"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公司在拟公开发行可转换公司债券预案过程中，自查发现已披露的《2019年年度报告》《2020年年度报告》《2021年年度报告》及其摘要中涉及2019年、2020年加权平均净资产收益率与实际情况不一致。在计算归属于公司普通股股东的净资产加权平均数时，由于工作人员计算疏忽，未考虑2019年、2020年现金分红影响减少净资产下一月份起至报告期期末的月份数（下列公式中Mj 为减少净资产下一月份起至报告期期末的月份数应为</w:t>
      </w:r>
      <w:r>
        <w:rPr>
          <w:rFonts w:hint="eastAsia" w:ascii="宋体" w:hAnsi="宋体" w:eastAsia="宋体" w:cs="宋体"/>
          <w:b/>
          <w:bCs/>
          <w:color w:val="auto"/>
          <w:sz w:val="24"/>
        </w:rPr>
        <w:t>7个月</w:t>
      </w:r>
      <w:r>
        <w:rPr>
          <w:rFonts w:hint="eastAsia" w:ascii="宋体" w:hAnsi="宋体" w:eastAsia="宋体" w:cs="宋体"/>
          <w:color w:val="auto"/>
          <w:sz w:val="24"/>
        </w:rPr>
        <w:t>，更正前为</w:t>
      </w:r>
      <w:r>
        <w:rPr>
          <w:rFonts w:hint="eastAsia" w:ascii="宋体" w:hAnsi="宋体" w:eastAsia="宋体" w:cs="宋体"/>
          <w:b/>
          <w:bCs/>
          <w:color w:val="auto"/>
          <w:sz w:val="24"/>
        </w:rPr>
        <w:t>0个月</w:t>
      </w:r>
      <w:r>
        <w:rPr>
          <w:rFonts w:hint="eastAsia" w:ascii="宋体" w:hAnsi="宋体" w:eastAsia="宋体" w:cs="宋体"/>
          <w:color w:val="auto"/>
          <w:sz w:val="24"/>
        </w:rPr>
        <w:t>），导致计算的加权平均净资产收益率低于实际应计算的加权平均净资产收益率。具体计算过程如下：</w:t>
      </w:r>
    </w:p>
    <w:p>
      <w:pPr>
        <w:spacing w:before="156" w:beforeLines="50" w:after="156" w:afterLines="50"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根据《公开发行证券的公司信息披露编报规则第9号——净资产收益率和每股收益的计算及披露》（2010年修订）规定：</w:t>
      </w:r>
    </w:p>
    <w:p>
      <w:pPr>
        <w:spacing w:before="156" w:beforeLines="50" w:after="156" w:afterLines="50"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加权平均净资产收益率＝P/（E0＋NP÷2 ＋Ei×Mi÷M0 －Ej×Mj÷M0±Ek×Mk÷M0 ）其中：P 分别对应归属于公司普通股股东的净利润、扣除非经常性损益后归属于公司普通股股东的净利润；NP 为归属于公司普通股股东的净利润；E0 为归属于公司普通股股东的期初净资产；Ei 为报告期发行新股或债转股等新增的、归属于公司普通股股东的净资产；Ej 为报告期回购或现金分红等减少的、归属于公司普通股股东的净资产；M0 为报告期月份数；Mi 为新增净资产下一月份起至报告期期末的月份数；Mj 为减少净资产下一月份起至报告期期末的月份数；Ek 为因其他交易或事项引起的净资产增减变动；Mk 为发生其他净资产增减变动下一月份起至报告期期末的月份数。</w:t>
      </w:r>
    </w:p>
    <w:p>
      <w:pPr>
        <w:spacing w:beforeLines="50" w:afterLines="50"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1、更正前计算过程:</w:t>
      </w:r>
    </w:p>
    <w:p>
      <w:pPr>
        <w:spacing w:before="156" w:beforeLines="50" w:after="156" w:afterLines="50" w:line="360" w:lineRule="auto"/>
        <w:ind w:firstLine="480" w:firstLineChars="200"/>
        <w:rPr>
          <w:rFonts w:hint="eastAsia" w:ascii="宋体" w:hAnsi="宋体" w:eastAsia="宋体" w:cs="宋体"/>
          <w:sz w:val="24"/>
        </w:rPr>
      </w:pPr>
      <w:r>
        <w:rPr>
          <w:rFonts w:hint="eastAsia" w:ascii="宋体" w:hAnsi="宋体" w:eastAsia="宋体" w:cs="宋体"/>
          <w:sz w:val="24"/>
        </w:rPr>
        <w:t>（1）扣非前2019年加权平均净资产收益率=52,983,867.54/（610,558,766.49+52,983,867.54÷2+0-23,344,400.00</w:t>
      </w:r>
      <w:r>
        <w:rPr>
          <w:rFonts w:hint="eastAsia" w:ascii="宋体" w:hAnsi="宋体" w:eastAsia="宋体" w:cs="宋体"/>
          <w:b/>
          <w:bCs/>
          <w:color w:val="FF0000"/>
          <w:sz w:val="24"/>
        </w:rPr>
        <w:t>×0</w:t>
      </w:r>
      <w:r>
        <w:rPr>
          <w:rFonts w:hint="eastAsia" w:ascii="宋体" w:hAnsi="宋体" w:eastAsia="宋体" w:cs="宋体"/>
          <w:sz w:val="24"/>
        </w:rPr>
        <w:t>÷12+8,017,962.44×6÷12+3,094,233.75×1÷12）=8.26%</w:t>
      </w:r>
    </w:p>
    <w:p>
      <w:pPr>
        <w:spacing w:before="156" w:beforeLines="50" w:after="156" w:afterLines="50" w:line="360" w:lineRule="auto"/>
        <w:ind w:firstLine="480" w:firstLineChars="200"/>
        <w:rPr>
          <w:rFonts w:hint="eastAsia" w:ascii="宋体" w:hAnsi="宋体" w:eastAsia="宋体" w:cs="宋体"/>
          <w:sz w:val="24"/>
        </w:rPr>
      </w:pPr>
      <w:r>
        <w:rPr>
          <w:rFonts w:hint="eastAsia" w:ascii="宋体" w:hAnsi="宋体" w:eastAsia="宋体" w:cs="宋体"/>
          <w:sz w:val="24"/>
        </w:rPr>
        <w:t>（2）扣非后2019年加权平均净资产收益率=42,611,653.26/（610,558,766.49+52,983,867.54÷2+0-23,344,400.00</w:t>
      </w:r>
      <w:r>
        <w:rPr>
          <w:rFonts w:hint="eastAsia" w:ascii="宋体" w:hAnsi="宋体" w:eastAsia="宋体" w:cs="宋体"/>
          <w:b/>
          <w:bCs/>
          <w:color w:val="FF0000"/>
          <w:sz w:val="24"/>
        </w:rPr>
        <w:t>×0</w:t>
      </w:r>
      <w:r>
        <w:rPr>
          <w:rFonts w:hint="eastAsia" w:ascii="宋体" w:hAnsi="宋体" w:eastAsia="宋体" w:cs="宋体"/>
          <w:sz w:val="24"/>
        </w:rPr>
        <w:t>÷12+8,017,962.44×6÷12+3,094,233.75×1÷12）=6.64%</w:t>
      </w:r>
    </w:p>
    <w:p>
      <w:pPr>
        <w:spacing w:before="156" w:beforeLines="50" w:after="156" w:afterLines="50" w:line="360" w:lineRule="auto"/>
        <w:ind w:firstLine="480" w:firstLineChars="200"/>
        <w:rPr>
          <w:rFonts w:hint="eastAsia" w:ascii="宋体" w:hAnsi="宋体" w:eastAsia="宋体" w:cs="宋体"/>
          <w:sz w:val="24"/>
        </w:rPr>
      </w:pPr>
      <w:r>
        <w:rPr>
          <w:rFonts w:hint="eastAsia" w:ascii="宋体" w:hAnsi="宋体" w:eastAsia="宋体" w:cs="宋体"/>
          <w:sz w:val="24"/>
        </w:rPr>
        <w:t>（3）扣非前2020年加权平均净资产收益率=57,968,093.00/（651,310,430.22+57,968,093.00÷2+0-52,506,000.00</w:t>
      </w:r>
      <w:r>
        <w:rPr>
          <w:rFonts w:hint="eastAsia" w:ascii="宋体" w:hAnsi="宋体" w:eastAsia="宋体" w:cs="宋体"/>
          <w:b/>
          <w:bCs/>
          <w:color w:val="FF0000"/>
          <w:sz w:val="24"/>
        </w:rPr>
        <w:t>×0</w:t>
      </w:r>
      <w:r>
        <w:rPr>
          <w:rFonts w:hint="eastAsia" w:ascii="宋体" w:hAnsi="宋体" w:eastAsia="宋体" w:cs="宋体"/>
          <w:sz w:val="24"/>
        </w:rPr>
        <w:t>÷12+3,574,851.32×6÷12+2,885,358.00×1÷12）=8.50%</w:t>
      </w:r>
    </w:p>
    <w:p>
      <w:pPr>
        <w:spacing w:before="156" w:beforeLines="50" w:after="156" w:afterLines="50" w:line="360" w:lineRule="auto"/>
        <w:ind w:firstLine="480" w:firstLineChars="200"/>
        <w:rPr>
          <w:rFonts w:hint="eastAsia" w:ascii="宋体" w:hAnsi="宋体" w:eastAsia="宋体" w:cs="宋体"/>
          <w:sz w:val="24"/>
        </w:rPr>
      </w:pPr>
      <w:r>
        <w:rPr>
          <w:rFonts w:hint="eastAsia" w:ascii="宋体" w:hAnsi="宋体" w:eastAsia="宋体" w:cs="宋体"/>
          <w:sz w:val="24"/>
        </w:rPr>
        <w:t>（4）扣非后2020年加权平均净资产收益率=42,433,709.05/（651,310,430.22+57,968,093.00÷2+0-52,506,000.00</w:t>
      </w:r>
      <w:r>
        <w:rPr>
          <w:rFonts w:hint="eastAsia" w:ascii="宋体" w:hAnsi="宋体" w:eastAsia="宋体" w:cs="宋体"/>
          <w:b/>
          <w:bCs/>
          <w:color w:val="FF0000"/>
          <w:sz w:val="24"/>
        </w:rPr>
        <w:t>×0</w:t>
      </w:r>
      <w:r>
        <w:rPr>
          <w:rFonts w:hint="eastAsia" w:ascii="宋体" w:hAnsi="宋体" w:eastAsia="宋体" w:cs="宋体"/>
          <w:sz w:val="24"/>
        </w:rPr>
        <w:t>÷12+3,574,851.32×6÷12+2,885,358.00×1÷12）=6.22%</w:t>
      </w:r>
    </w:p>
    <w:p>
      <w:pPr>
        <w:spacing w:beforeLines="50" w:afterLines="50"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2、更正后计算过程:</w:t>
      </w:r>
    </w:p>
    <w:p>
      <w:pPr>
        <w:spacing w:before="156" w:beforeLines="50" w:after="156" w:afterLines="50" w:line="360" w:lineRule="auto"/>
        <w:ind w:firstLine="480" w:firstLineChars="200"/>
        <w:rPr>
          <w:rFonts w:hint="eastAsia" w:ascii="宋体" w:hAnsi="宋体" w:eastAsia="宋体" w:cs="宋体"/>
          <w:sz w:val="24"/>
        </w:rPr>
      </w:pPr>
      <w:r>
        <w:rPr>
          <w:rFonts w:hint="eastAsia" w:ascii="宋体" w:hAnsi="宋体" w:eastAsia="宋体" w:cs="宋体"/>
          <w:sz w:val="24"/>
        </w:rPr>
        <w:t>（1）扣非前2019年加权平均净资产收益率=52,983,867.54/（610,558,766.49+52,983,867.54÷2+0-23,344,400.00</w:t>
      </w:r>
      <w:r>
        <w:rPr>
          <w:rFonts w:hint="eastAsia" w:ascii="宋体" w:hAnsi="宋体" w:eastAsia="宋体" w:cs="宋体"/>
          <w:b/>
          <w:bCs/>
          <w:color w:val="FF0000"/>
          <w:sz w:val="24"/>
        </w:rPr>
        <w:t>×7</w:t>
      </w:r>
      <w:r>
        <w:rPr>
          <w:rFonts w:hint="eastAsia" w:ascii="宋体" w:hAnsi="宋体" w:eastAsia="宋体" w:cs="宋体"/>
          <w:sz w:val="24"/>
        </w:rPr>
        <w:t>÷12+8,017,962.44×6÷12+3,094,233.75×1÷12）=8.44%</w:t>
      </w:r>
    </w:p>
    <w:p>
      <w:pPr>
        <w:spacing w:before="156" w:beforeLines="50" w:after="156" w:afterLines="50" w:line="360" w:lineRule="auto"/>
        <w:ind w:firstLine="480" w:firstLineChars="200"/>
        <w:rPr>
          <w:rFonts w:hint="eastAsia" w:ascii="宋体" w:hAnsi="宋体" w:eastAsia="宋体" w:cs="宋体"/>
          <w:sz w:val="24"/>
        </w:rPr>
      </w:pPr>
      <w:r>
        <w:rPr>
          <w:rFonts w:hint="eastAsia" w:ascii="宋体" w:hAnsi="宋体" w:eastAsia="宋体" w:cs="宋体"/>
          <w:sz w:val="24"/>
        </w:rPr>
        <w:t>（2）扣非后2019年加权平均净资产收益率=42,611,653.26/（610,558,766.49+52,983,867.54÷2+0-23,344,400.00</w:t>
      </w:r>
      <w:r>
        <w:rPr>
          <w:rFonts w:hint="eastAsia" w:ascii="宋体" w:hAnsi="宋体" w:eastAsia="宋体" w:cs="宋体"/>
          <w:b/>
          <w:bCs/>
          <w:color w:val="FF0000"/>
          <w:sz w:val="24"/>
        </w:rPr>
        <w:t>×7</w:t>
      </w:r>
      <w:r>
        <w:rPr>
          <w:rFonts w:hint="eastAsia" w:ascii="宋体" w:hAnsi="宋体" w:eastAsia="宋体" w:cs="宋体"/>
          <w:sz w:val="24"/>
        </w:rPr>
        <w:t>÷12+8,017,962.44×6÷12+3,094,233.75×1÷12）=6.79%</w:t>
      </w:r>
    </w:p>
    <w:p>
      <w:pPr>
        <w:spacing w:before="156" w:beforeLines="50" w:after="156" w:afterLines="50" w:line="360" w:lineRule="auto"/>
        <w:ind w:firstLine="480" w:firstLineChars="200"/>
        <w:rPr>
          <w:rFonts w:hint="eastAsia" w:ascii="宋体" w:hAnsi="宋体" w:eastAsia="宋体" w:cs="宋体"/>
          <w:sz w:val="24"/>
        </w:rPr>
      </w:pPr>
      <w:r>
        <w:rPr>
          <w:rFonts w:hint="eastAsia" w:ascii="宋体" w:hAnsi="宋体" w:eastAsia="宋体" w:cs="宋体"/>
          <w:sz w:val="24"/>
        </w:rPr>
        <w:t>（3）扣非前2020年加权平均净资产收益率=57,968,093.00/（651,310,430.22+57,968,093.00÷2+0-52,506,000.00</w:t>
      </w:r>
      <w:r>
        <w:rPr>
          <w:rFonts w:hint="eastAsia" w:ascii="宋体" w:hAnsi="宋体" w:eastAsia="宋体" w:cs="宋体"/>
          <w:b/>
          <w:bCs/>
          <w:color w:val="FF0000"/>
          <w:sz w:val="24"/>
        </w:rPr>
        <w:t>×7</w:t>
      </w:r>
      <w:r>
        <w:rPr>
          <w:rFonts w:hint="eastAsia" w:ascii="宋体" w:hAnsi="宋体" w:eastAsia="宋体" w:cs="宋体"/>
          <w:sz w:val="24"/>
        </w:rPr>
        <w:t>÷12+3,574,851.32×6÷12+2,885,358.00×1÷12）=8.89%</w:t>
      </w:r>
    </w:p>
    <w:p>
      <w:pPr>
        <w:spacing w:before="156" w:beforeLines="50" w:after="156" w:afterLines="50" w:line="360" w:lineRule="auto"/>
        <w:ind w:firstLine="480" w:firstLineChars="200"/>
        <w:rPr>
          <w:rFonts w:hint="eastAsia" w:ascii="宋体" w:hAnsi="宋体" w:eastAsia="宋体" w:cs="宋体"/>
          <w:sz w:val="24"/>
        </w:rPr>
      </w:pPr>
      <w:r>
        <w:rPr>
          <w:rFonts w:hint="eastAsia" w:ascii="宋体" w:hAnsi="宋体" w:eastAsia="宋体" w:cs="宋体"/>
          <w:sz w:val="24"/>
        </w:rPr>
        <w:t>（4）扣非后2020年加权平均净资产收益率=42,433,709.05/（651,310,430.22+57,968,093.00÷2+0-52,506,000.00</w:t>
      </w:r>
      <w:r>
        <w:rPr>
          <w:rFonts w:hint="eastAsia" w:ascii="宋体" w:hAnsi="宋体" w:eastAsia="宋体" w:cs="宋体"/>
          <w:b/>
          <w:bCs/>
          <w:color w:val="FF0000"/>
          <w:sz w:val="24"/>
        </w:rPr>
        <w:t>×7</w:t>
      </w:r>
      <w:r>
        <w:rPr>
          <w:rFonts w:hint="eastAsia" w:ascii="宋体" w:hAnsi="宋体" w:eastAsia="宋体" w:cs="宋体"/>
          <w:sz w:val="24"/>
        </w:rPr>
        <w:t>÷12+3,574,851.32×6÷12+2,885,358.00×1÷12）=6.51%</w:t>
      </w:r>
    </w:p>
    <w:p>
      <w:pPr>
        <w:spacing w:beforeLines="50" w:afterLines="50"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3、更正前后对照表：</w:t>
      </w:r>
    </w:p>
    <w:tbl>
      <w:tblPr>
        <w:tblStyle w:val="8"/>
        <w:tblW w:w="855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36"/>
        <w:gridCol w:w="4320"/>
        <w:gridCol w:w="1140"/>
        <w:gridCol w:w="1020"/>
        <w:gridCol w:w="8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1236" w:type="dxa"/>
            <w:tcBorders>
              <w:top w:val="single" w:color="000000" w:sz="4" w:space="0"/>
              <w:left w:val="single" w:color="000000" w:sz="4" w:space="0"/>
              <w:bottom w:val="single" w:color="000000" w:sz="4" w:space="0"/>
              <w:right w:val="single" w:color="000000" w:sz="4" w:space="0"/>
            </w:tcBorders>
            <w:shd w:val="pct10"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时</w:t>
            </w:r>
            <w:r>
              <w:rPr>
                <w:rFonts w:hint="default" w:ascii="宋体" w:hAnsi="宋体" w:eastAsia="宋体" w:cs="宋体"/>
                <w:b/>
                <w:bCs/>
                <w:i w:val="0"/>
                <w:iCs w:val="0"/>
                <w:color w:val="auto"/>
                <w:kern w:val="0"/>
                <w:sz w:val="24"/>
                <w:szCs w:val="24"/>
                <w:u w:val="none"/>
                <w:lang w:val="en-US" w:eastAsia="zh-CN" w:bidi="ar"/>
              </w:rPr>
              <w:t xml:space="preserve">  </w:t>
            </w:r>
            <w:r>
              <w:rPr>
                <w:rFonts w:hint="eastAsia" w:ascii="宋体" w:hAnsi="宋体" w:eastAsia="宋体" w:cs="宋体"/>
                <w:b/>
                <w:bCs/>
                <w:i w:val="0"/>
                <w:iCs w:val="0"/>
                <w:color w:val="auto"/>
                <w:kern w:val="0"/>
                <w:sz w:val="24"/>
                <w:szCs w:val="24"/>
                <w:u w:val="none"/>
                <w:lang w:val="en-US" w:eastAsia="zh-CN" w:bidi="ar"/>
              </w:rPr>
              <w:t>间</w:t>
            </w:r>
          </w:p>
        </w:tc>
        <w:tc>
          <w:tcPr>
            <w:tcW w:w="4320" w:type="dxa"/>
            <w:tcBorders>
              <w:top w:val="single" w:color="000000" w:sz="4" w:space="0"/>
              <w:left w:val="single" w:color="000000" w:sz="4" w:space="0"/>
              <w:bottom w:val="single" w:color="000000" w:sz="4" w:space="0"/>
              <w:right w:val="single" w:color="000000" w:sz="4" w:space="0"/>
            </w:tcBorders>
            <w:shd w:val="pct10"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项目名称</w:t>
            </w:r>
          </w:p>
        </w:tc>
        <w:tc>
          <w:tcPr>
            <w:tcW w:w="1140" w:type="dxa"/>
            <w:tcBorders>
              <w:top w:val="single" w:color="000000" w:sz="4" w:space="0"/>
              <w:left w:val="single" w:color="000000" w:sz="4" w:space="0"/>
              <w:bottom w:val="single" w:color="000000" w:sz="4" w:space="0"/>
              <w:right w:val="single" w:color="000000" w:sz="4" w:space="0"/>
            </w:tcBorders>
            <w:shd w:val="pct10"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更正前</w:t>
            </w:r>
          </w:p>
        </w:tc>
        <w:tc>
          <w:tcPr>
            <w:tcW w:w="1020" w:type="dxa"/>
            <w:tcBorders>
              <w:top w:val="single" w:color="000000" w:sz="4" w:space="0"/>
              <w:left w:val="single" w:color="000000" w:sz="4" w:space="0"/>
              <w:bottom w:val="single" w:color="000000" w:sz="4" w:space="0"/>
              <w:right w:val="single" w:color="000000" w:sz="4" w:space="0"/>
            </w:tcBorders>
            <w:shd w:val="pct10"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更正后</w:t>
            </w:r>
          </w:p>
        </w:tc>
        <w:tc>
          <w:tcPr>
            <w:tcW w:w="840" w:type="dxa"/>
            <w:tcBorders>
              <w:top w:val="single" w:color="000000" w:sz="4" w:space="0"/>
              <w:left w:val="single" w:color="000000" w:sz="4" w:space="0"/>
              <w:bottom w:val="single" w:color="000000" w:sz="4" w:space="0"/>
              <w:right w:val="single" w:color="000000" w:sz="4" w:space="0"/>
            </w:tcBorders>
            <w:shd w:val="pct10"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差额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23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2019年度</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加权平均净资产收益率扣非前</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8.26%</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8.44%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u w:val="none"/>
              </w:rPr>
            </w:pP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加权平均净资产收益率扣非后</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6.64%</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6.79%</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23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2020年度</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加权平均净资产收益率扣非前</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8.50%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8.89%</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u w:val="none"/>
              </w:rPr>
            </w:pP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加权平均净资产收益率扣非后</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6.22%</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6.51%</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0.29%</w:t>
            </w:r>
          </w:p>
        </w:tc>
      </w:tr>
    </w:tbl>
    <w:p>
      <w:pPr>
        <w:spacing w:before="156" w:beforeLines="50" w:after="156" w:afterLines="50" w:line="360" w:lineRule="auto"/>
        <w:ind w:firstLine="480" w:firstLineChars="200"/>
        <w:rPr>
          <w:rFonts w:hint="eastAsia" w:ascii="宋体" w:hAnsi="宋体" w:eastAsia="宋体" w:cs="宋体"/>
          <w:sz w:val="24"/>
        </w:rPr>
      </w:pPr>
      <w:r>
        <w:rPr>
          <w:rFonts w:hint="eastAsia" w:ascii="宋体" w:hAnsi="宋体" w:eastAsia="宋体" w:cs="宋体"/>
          <w:sz w:val="24"/>
        </w:rPr>
        <w:t>根据《中华人民共和国公司法》《中华人</w:t>
      </w:r>
      <w:bookmarkStart w:id="0" w:name="_GoBack"/>
      <w:bookmarkEnd w:id="0"/>
      <w:r>
        <w:rPr>
          <w:rFonts w:hint="eastAsia" w:ascii="宋体" w:hAnsi="宋体" w:eastAsia="宋体" w:cs="宋体"/>
          <w:sz w:val="24"/>
        </w:rPr>
        <w:t>民共和国证券法》和《上市公司证券发行管理办法》等有关法律法规及规范性文件的规定和要求，净利润以扣除非经常性损益前后孰低者为计算依据，更正前2019年、2020年、2021年年度报告及其摘要披露的加权平均净资产收益率分别为</w:t>
      </w:r>
      <w:r>
        <w:rPr>
          <w:rFonts w:hint="eastAsia" w:ascii="宋体" w:hAnsi="宋体" w:eastAsia="宋体" w:cs="宋体"/>
          <w:b/>
          <w:bCs/>
          <w:sz w:val="24"/>
        </w:rPr>
        <w:t>6.64%、6.22%</w:t>
      </w:r>
      <w:r>
        <w:rPr>
          <w:rFonts w:hint="eastAsia" w:ascii="宋体" w:hAnsi="宋体" w:eastAsia="宋体" w:cs="宋体"/>
          <w:sz w:val="24"/>
        </w:rPr>
        <w:t>、7.19%</w:t>
      </w:r>
      <w:r>
        <w:rPr>
          <w:rFonts w:hint="eastAsia" w:ascii="宋体" w:hAnsi="宋体" w:eastAsia="宋体" w:cs="宋体"/>
          <w:sz w:val="24"/>
          <w:lang w:eastAsia="zh-CN"/>
        </w:rPr>
        <w:t>，</w:t>
      </w:r>
      <w:r>
        <w:rPr>
          <w:rFonts w:hint="eastAsia" w:ascii="宋体" w:hAnsi="宋体" w:eastAsia="宋体" w:cs="宋体"/>
          <w:sz w:val="24"/>
        </w:rPr>
        <w:t>符合公开发行可转换公司债券的条件；净利润以扣除非经常性损益前后孰低者为计算依据，更正后2019年、2020年、2021年年度报告及其摘要披露的加权平均净资产收益率分别为</w:t>
      </w:r>
      <w:r>
        <w:rPr>
          <w:rFonts w:hint="eastAsia" w:ascii="宋体" w:hAnsi="宋体" w:eastAsia="宋体" w:cs="宋体"/>
          <w:b/>
          <w:bCs/>
          <w:sz w:val="24"/>
        </w:rPr>
        <w:t>6.79%、6.51%</w:t>
      </w:r>
      <w:r>
        <w:rPr>
          <w:rFonts w:hint="eastAsia" w:ascii="宋体" w:hAnsi="宋体" w:eastAsia="宋体" w:cs="宋体"/>
          <w:sz w:val="24"/>
        </w:rPr>
        <w:t>、7.19%</w:t>
      </w:r>
      <w:r>
        <w:rPr>
          <w:rFonts w:hint="eastAsia" w:ascii="宋体" w:hAnsi="宋体" w:eastAsia="宋体" w:cs="宋体"/>
          <w:sz w:val="24"/>
          <w:lang w:eastAsia="zh-CN"/>
        </w:rPr>
        <w:t>，</w:t>
      </w:r>
      <w:r>
        <w:rPr>
          <w:rFonts w:hint="eastAsia" w:ascii="宋体" w:hAnsi="宋体" w:eastAsia="宋体" w:cs="宋体"/>
          <w:sz w:val="24"/>
        </w:rPr>
        <w:t>符合公开发行可转换公司债券的条件（即最近三个会计年度加权平均净资产收益率平均不低于百分之六。扣除非经常性损益后的净利润与扣除前的净利润相比，以低者作为加权平均净资产收益率的计算依据）。</w:t>
      </w:r>
    </w:p>
    <w:p>
      <w:pPr>
        <w:spacing w:beforeLines="50" w:afterLines="50" w:line="360" w:lineRule="auto"/>
        <w:ind w:firstLine="480" w:firstLineChars="200"/>
        <w:rPr>
          <w:rFonts w:hint="eastAsia" w:ascii="宋体" w:hAnsi="宋体" w:eastAsia="宋体" w:cs="宋体"/>
          <w:color w:val="auto"/>
          <w:sz w:val="24"/>
        </w:rPr>
      </w:pPr>
      <w:r>
        <w:rPr>
          <w:rFonts w:hint="eastAsia" w:ascii="宋体" w:hAnsi="宋体" w:eastAsia="宋体" w:cs="宋体"/>
          <w:sz w:val="24"/>
        </w:rPr>
        <w:t>公司因此对上述年度报告及其摘要进行更正</w:t>
      </w:r>
      <w:r>
        <w:rPr>
          <w:rFonts w:hint="eastAsia" w:ascii="宋体" w:hAnsi="宋体" w:eastAsia="宋体" w:cs="宋体"/>
          <w:sz w:val="24"/>
          <w:lang w:eastAsia="zh-CN"/>
        </w:rPr>
        <w:t>，</w:t>
      </w:r>
      <w:r>
        <w:rPr>
          <w:rFonts w:hint="eastAsia" w:ascii="宋体" w:hAnsi="宋体" w:eastAsia="宋体" w:cs="宋体"/>
          <w:sz w:val="24"/>
        </w:rPr>
        <w:t>给广大投资者带来的不便深表歉意，敬请投资者谅解。公司将进一步加强定期报告编制的审核工作，提高定期报告信息披露质量。</w:t>
      </w:r>
    </w:p>
    <w:p>
      <w:pPr>
        <w:spacing w:line="360" w:lineRule="auto"/>
        <w:ind w:firstLine="240" w:firstLineChars="100"/>
        <w:rPr>
          <w:rFonts w:hint="eastAsia" w:ascii="宋体" w:hAnsi="宋体" w:eastAsia="宋体" w:cs="宋体"/>
          <w:color w:val="auto"/>
          <w:sz w:val="24"/>
        </w:rPr>
      </w:pPr>
    </w:p>
    <w:p>
      <w:pPr>
        <w:spacing w:line="360" w:lineRule="auto"/>
        <w:ind w:firstLine="240" w:firstLineChars="100"/>
        <w:jc w:val="right"/>
        <w:rPr>
          <w:rFonts w:hint="eastAsia" w:ascii="宋体" w:hAnsi="宋体" w:eastAsia="宋体" w:cs="宋体"/>
          <w:color w:val="auto"/>
          <w:sz w:val="24"/>
        </w:rPr>
      </w:pPr>
      <w:r>
        <w:rPr>
          <w:rFonts w:hint="eastAsia" w:ascii="宋体" w:hAnsi="宋体" w:eastAsia="宋体" w:cs="宋体"/>
          <w:color w:val="auto"/>
          <w:sz w:val="24"/>
        </w:rPr>
        <w:t>青岛伟隆阀门股份有限公司董事会</w:t>
      </w:r>
    </w:p>
    <w:p>
      <w:pPr>
        <w:spacing w:line="360" w:lineRule="auto"/>
        <w:ind w:firstLine="240" w:firstLineChars="100"/>
        <w:jc w:val="right"/>
        <w:rPr>
          <w:rFonts w:hint="eastAsia" w:ascii="宋体" w:hAnsi="宋体" w:eastAsia="宋体" w:cs="宋体"/>
          <w:color w:val="auto"/>
          <w:sz w:val="24"/>
        </w:rPr>
      </w:pPr>
      <w:r>
        <w:rPr>
          <w:rFonts w:hint="eastAsia" w:ascii="宋体" w:hAnsi="宋体" w:eastAsia="宋体" w:cs="宋体"/>
          <w:color w:val="auto"/>
          <w:sz w:val="24"/>
        </w:rPr>
        <w:t>2023年1月19日</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RiYWIwNzkzYTg0MzhhYmIxYTgwNmNhNDYxODQzNjMifQ=="/>
  </w:docVars>
  <w:rsids>
    <w:rsidRoot w:val="00F36B3D"/>
    <w:rsid w:val="000B39C0"/>
    <w:rsid w:val="000C3AB9"/>
    <w:rsid w:val="000C6F6A"/>
    <w:rsid w:val="001011C6"/>
    <w:rsid w:val="00155AE1"/>
    <w:rsid w:val="00331AE3"/>
    <w:rsid w:val="0037511E"/>
    <w:rsid w:val="003D6FC6"/>
    <w:rsid w:val="004320D9"/>
    <w:rsid w:val="005C744A"/>
    <w:rsid w:val="00633FE5"/>
    <w:rsid w:val="00700837"/>
    <w:rsid w:val="00702069"/>
    <w:rsid w:val="00751955"/>
    <w:rsid w:val="00803F05"/>
    <w:rsid w:val="00806258"/>
    <w:rsid w:val="009F7A26"/>
    <w:rsid w:val="00A20DCF"/>
    <w:rsid w:val="00A224C2"/>
    <w:rsid w:val="00A471FB"/>
    <w:rsid w:val="00B4137D"/>
    <w:rsid w:val="00B558F2"/>
    <w:rsid w:val="00BB049D"/>
    <w:rsid w:val="00BE035D"/>
    <w:rsid w:val="00BF7432"/>
    <w:rsid w:val="00C04B5A"/>
    <w:rsid w:val="00C53C4E"/>
    <w:rsid w:val="00C6021D"/>
    <w:rsid w:val="00C84419"/>
    <w:rsid w:val="00CB3D0B"/>
    <w:rsid w:val="00E1054A"/>
    <w:rsid w:val="00EA0598"/>
    <w:rsid w:val="00F36B3D"/>
    <w:rsid w:val="00FD66F0"/>
    <w:rsid w:val="027905A2"/>
    <w:rsid w:val="05973FD4"/>
    <w:rsid w:val="0AED5E9C"/>
    <w:rsid w:val="0DA601C5"/>
    <w:rsid w:val="116817E7"/>
    <w:rsid w:val="122C217C"/>
    <w:rsid w:val="1C5B320E"/>
    <w:rsid w:val="1F947BE9"/>
    <w:rsid w:val="21D06A21"/>
    <w:rsid w:val="252E1F46"/>
    <w:rsid w:val="290D28E8"/>
    <w:rsid w:val="2CFC0B7C"/>
    <w:rsid w:val="375B56DA"/>
    <w:rsid w:val="39113C01"/>
    <w:rsid w:val="39785A2E"/>
    <w:rsid w:val="3B381919"/>
    <w:rsid w:val="3EBB0897"/>
    <w:rsid w:val="3FF1653A"/>
    <w:rsid w:val="4067184C"/>
    <w:rsid w:val="42FF4311"/>
    <w:rsid w:val="43747E3B"/>
    <w:rsid w:val="446A7F20"/>
    <w:rsid w:val="449A0AD8"/>
    <w:rsid w:val="4B2E0159"/>
    <w:rsid w:val="4D235A42"/>
    <w:rsid w:val="510A120A"/>
    <w:rsid w:val="529E60AD"/>
    <w:rsid w:val="58FE63E2"/>
    <w:rsid w:val="59625054"/>
    <w:rsid w:val="5A472740"/>
    <w:rsid w:val="5C844408"/>
    <w:rsid w:val="5EAE5605"/>
    <w:rsid w:val="5F6D4912"/>
    <w:rsid w:val="601B4DC9"/>
    <w:rsid w:val="64FB0740"/>
    <w:rsid w:val="675656A1"/>
    <w:rsid w:val="68350332"/>
    <w:rsid w:val="683B601D"/>
    <w:rsid w:val="68EE4CE6"/>
    <w:rsid w:val="6C5B4A60"/>
    <w:rsid w:val="6F620750"/>
    <w:rsid w:val="6F963B26"/>
    <w:rsid w:val="74024E60"/>
    <w:rsid w:val="755328D0"/>
    <w:rsid w:val="795577B3"/>
    <w:rsid w:val="7A747570"/>
    <w:rsid w:val="7B5116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7"/>
    <w:semiHidden/>
    <w:unhideWhenUsed/>
    <w:qFormat/>
    <w:uiPriority w:val="99"/>
    <w:pPr>
      <w:tabs>
        <w:tab w:val="center" w:pos="4153"/>
        <w:tab w:val="right" w:pos="8306"/>
      </w:tabs>
      <w:snapToGrid w:val="0"/>
      <w:jc w:val="left"/>
    </w:pPr>
    <w:rPr>
      <w:sz w:val="18"/>
      <w:szCs w:val="18"/>
    </w:rPr>
  </w:style>
  <w:style w:type="paragraph" w:styleId="5">
    <w:name w:val="header"/>
    <w:basedOn w:val="1"/>
    <w:link w:val="16"/>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itle"/>
    <w:basedOn w:val="1"/>
    <w:next w:val="1"/>
    <w:link w:val="11"/>
    <w:qFormat/>
    <w:uiPriority w:val="10"/>
    <w:pPr>
      <w:spacing w:before="240" w:after="60"/>
      <w:jc w:val="center"/>
      <w:outlineLvl w:val="0"/>
    </w:pPr>
    <w:rPr>
      <w:rFonts w:eastAsia="宋体" w:asciiTheme="majorHAnsi" w:hAnsiTheme="majorHAnsi" w:cstheme="majorBidi"/>
      <w:b/>
      <w:bCs/>
      <w:sz w:val="32"/>
      <w:szCs w:val="32"/>
    </w:rPr>
  </w:style>
  <w:style w:type="paragraph" w:styleId="7">
    <w:name w:val="annotation subject"/>
    <w:basedOn w:val="2"/>
    <w:next w:val="2"/>
    <w:link w:val="13"/>
    <w:semiHidden/>
    <w:unhideWhenUsed/>
    <w:qFormat/>
    <w:uiPriority w:val="99"/>
    <w:rPr>
      <w:b/>
      <w:bCs/>
    </w:rPr>
  </w:style>
  <w:style w:type="character" w:styleId="10">
    <w:name w:val="annotation reference"/>
    <w:basedOn w:val="9"/>
    <w:semiHidden/>
    <w:unhideWhenUsed/>
    <w:qFormat/>
    <w:uiPriority w:val="99"/>
    <w:rPr>
      <w:sz w:val="21"/>
      <w:szCs w:val="21"/>
    </w:rPr>
  </w:style>
  <w:style w:type="character" w:customStyle="1" w:styleId="11">
    <w:name w:val="标题 Char"/>
    <w:basedOn w:val="9"/>
    <w:link w:val="6"/>
    <w:qFormat/>
    <w:uiPriority w:val="10"/>
    <w:rPr>
      <w:rFonts w:eastAsia="宋体" w:asciiTheme="majorHAnsi" w:hAnsiTheme="majorHAnsi" w:cstheme="majorBidi"/>
      <w:b/>
      <w:bCs/>
      <w:sz w:val="32"/>
      <w:szCs w:val="32"/>
    </w:rPr>
  </w:style>
  <w:style w:type="character" w:customStyle="1" w:styleId="12">
    <w:name w:val="批注文字 Char"/>
    <w:basedOn w:val="9"/>
    <w:link w:val="2"/>
    <w:semiHidden/>
    <w:qFormat/>
    <w:uiPriority w:val="99"/>
    <w:rPr>
      <w:kern w:val="2"/>
      <w:sz w:val="21"/>
      <w:szCs w:val="22"/>
    </w:rPr>
  </w:style>
  <w:style w:type="character" w:customStyle="1" w:styleId="13">
    <w:name w:val="批注主题 Char"/>
    <w:basedOn w:val="12"/>
    <w:link w:val="7"/>
    <w:semiHidden/>
    <w:qFormat/>
    <w:uiPriority w:val="99"/>
    <w:rPr>
      <w:b/>
      <w:bCs/>
      <w:kern w:val="2"/>
      <w:sz w:val="21"/>
      <w:szCs w:val="22"/>
    </w:rPr>
  </w:style>
  <w:style w:type="character" w:customStyle="1" w:styleId="14">
    <w:name w:val="批注框文本 Char"/>
    <w:basedOn w:val="9"/>
    <w:link w:val="3"/>
    <w:semiHidden/>
    <w:qFormat/>
    <w:uiPriority w:val="99"/>
    <w:rPr>
      <w:kern w:val="2"/>
      <w:sz w:val="18"/>
      <w:szCs w:val="18"/>
    </w:rPr>
  </w:style>
  <w:style w:type="character" w:customStyle="1" w:styleId="15">
    <w:name w:val="swhkey"/>
    <w:basedOn w:val="9"/>
    <w:qFormat/>
    <w:uiPriority w:val="0"/>
  </w:style>
  <w:style w:type="character" w:customStyle="1" w:styleId="16">
    <w:name w:val="页眉 Char"/>
    <w:basedOn w:val="9"/>
    <w:link w:val="5"/>
    <w:semiHidden/>
    <w:qFormat/>
    <w:uiPriority w:val="99"/>
    <w:rPr>
      <w:kern w:val="2"/>
      <w:sz w:val="18"/>
      <w:szCs w:val="18"/>
    </w:rPr>
  </w:style>
  <w:style w:type="character" w:customStyle="1" w:styleId="17">
    <w:name w:val="页脚 Char"/>
    <w:basedOn w:val="9"/>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3</Pages>
  <Words>1633</Words>
  <Characters>2598</Characters>
  <Lines>16</Lines>
  <Paragraphs>4</Paragraphs>
  <TotalTime>21</TotalTime>
  <ScaleCrop>false</ScaleCrop>
  <LinksUpToDate>false</LinksUpToDate>
  <CharactersWithSpaces>2642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2023-01-17T06:16:00Z</dcterms:created>
  <dc:creator>lisheng</dc:creator>
  <cp:lastModifiedBy>Mr.翔</cp:lastModifiedBy>
  <dcterms:modified xsi:type="dcterms:W3CDTF">2023-01-18T06:55:30Z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9996A69B48954A6D958352107A22A7E0</vt:lpwstr>
  </property>
</Properties>
</file>