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Lines="50" w:afterLines="50" w:line="360" w:lineRule="auto"/>
        <w:jc w:val="center"/>
        <w:rPr>
          <w:rFonts w:ascii="宋体" w:hAnsi="宋体" w:eastAsia="宋体" w:cs="Times New Roman"/>
          <w:color w:val="auto"/>
          <w:szCs w:val="21"/>
        </w:rPr>
      </w:pPr>
      <w:r>
        <w:rPr>
          <w:rFonts w:hint="eastAsia" w:ascii="宋体" w:hAnsi="宋体" w:eastAsia="宋体" w:cs="Times New Roman"/>
          <w:color w:val="auto"/>
          <w:szCs w:val="21"/>
        </w:rPr>
        <w:t xml:space="preserve">证券代码：002871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证券简称：伟隆股份 </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公告编号：202</w:t>
      </w:r>
      <w:r>
        <w:rPr>
          <w:rFonts w:hint="eastAsia" w:ascii="宋体" w:hAnsi="宋体" w:eastAsia="宋体" w:cs="Times New Roman"/>
          <w:color w:val="auto"/>
          <w:szCs w:val="21"/>
          <w:highlight w:val="none"/>
        </w:rPr>
        <w:t>3-0</w:t>
      </w:r>
      <w:r>
        <w:rPr>
          <w:rFonts w:ascii="宋体" w:hAnsi="宋体" w:eastAsia="宋体" w:cs="Times New Roman"/>
          <w:color w:val="auto"/>
          <w:szCs w:val="21"/>
          <w:highlight w:val="none"/>
        </w:rPr>
        <w:t>1</w:t>
      </w:r>
      <w:r>
        <w:rPr>
          <w:rFonts w:hint="default" w:ascii="宋体" w:hAnsi="宋体" w:eastAsia="宋体" w:cs="Times New Roman"/>
          <w:color w:val="auto"/>
          <w:szCs w:val="21"/>
          <w:highlight w:val="none"/>
          <w:lang w:val="en-US"/>
        </w:rPr>
        <w:t>8</w:t>
      </w:r>
    </w:p>
    <w:p>
      <w:pPr>
        <w:widowControl/>
        <w:spacing w:before="120" w:beforeLines="50" w:after="120" w:afterLines="50" w:line="360" w:lineRule="auto"/>
        <w:jc w:val="center"/>
        <w:rPr>
          <w:rFonts w:hint="eastAsia" w:ascii="宋体" w:hAnsi="宋体" w:eastAsia="宋体" w:cs="宋体"/>
          <w:b/>
          <w:bCs/>
          <w:kern w:val="0"/>
          <w:sz w:val="28"/>
          <w:szCs w:val="24"/>
        </w:rPr>
      </w:pPr>
      <w:r>
        <w:rPr>
          <w:rFonts w:hint="eastAsia" w:ascii="宋体" w:hAnsi="宋体" w:eastAsia="宋体" w:cs="宋体"/>
          <w:b/>
          <w:bCs/>
          <w:kern w:val="0"/>
          <w:sz w:val="28"/>
          <w:szCs w:val="24"/>
        </w:rPr>
        <w:t>青岛伟隆阀门股份有限公司</w:t>
      </w:r>
    </w:p>
    <w:p>
      <w:pPr>
        <w:widowControl/>
        <w:spacing w:before="120" w:beforeLines="50" w:after="120" w:afterLines="50" w:line="360" w:lineRule="auto"/>
        <w:jc w:val="center"/>
        <w:rPr>
          <w:rFonts w:hint="eastAsia" w:ascii="宋体" w:hAnsi="宋体" w:eastAsia="宋体" w:cs="宋体"/>
          <w:b/>
          <w:bCs/>
          <w:kern w:val="0"/>
          <w:sz w:val="28"/>
          <w:szCs w:val="24"/>
          <w:lang w:val="en-US" w:eastAsia="zh-CN"/>
        </w:rPr>
      </w:pPr>
      <w:r>
        <w:rPr>
          <w:rFonts w:hint="eastAsia" w:ascii="宋体" w:hAnsi="宋体" w:eastAsia="宋体" w:cs="宋体"/>
          <w:b/>
          <w:bCs/>
          <w:kern w:val="0"/>
          <w:sz w:val="28"/>
          <w:szCs w:val="24"/>
        </w:rPr>
        <w:t>2022年度业绩</w:t>
      </w:r>
      <w:r>
        <w:rPr>
          <w:rFonts w:hint="eastAsia" w:ascii="宋体" w:hAnsi="宋体" w:eastAsia="宋体" w:cs="宋体"/>
          <w:b/>
          <w:bCs/>
          <w:kern w:val="0"/>
          <w:sz w:val="28"/>
          <w:szCs w:val="24"/>
          <w:lang w:eastAsia="zh-CN"/>
        </w:rPr>
        <w:t>预增公告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line="360" w:lineRule="auto"/>
              <w:ind w:firstLine="480" w:firstLineChars="200"/>
              <w:jc w:val="both"/>
              <w:rPr>
                <w:rFonts w:hint="eastAsia" w:ascii="宋体" w:hAnsi="宋体" w:eastAsia="宋体" w:cs="宋体"/>
                <w:kern w:val="2"/>
                <w:sz w:val="24"/>
                <w:szCs w:val="22"/>
              </w:rPr>
            </w:pPr>
            <w:r>
              <w:rPr>
                <w:rFonts w:hint="eastAsia" w:ascii="宋体" w:hAnsi="宋体" w:eastAsia="宋体" w:cs="宋体"/>
                <w:kern w:val="2"/>
                <w:sz w:val="24"/>
                <w:szCs w:val="22"/>
              </w:rPr>
              <w:t>本公司及董事会全体成员保证信息披露内容的真实、准确和完整，没有虚假记载、误导性陈述或重大遗漏。</w:t>
            </w:r>
          </w:p>
        </w:tc>
      </w:tr>
    </w:tbl>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一、本期业绩预计情况</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（一）业绩预告期间</w:t>
      </w:r>
    </w:p>
    <w:p>
      <w:pPr>
        <w:spacing w:before="156" w:beforeLines="50" w:after="156" w:afterLines="50"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rPr>
        <w:t>2022</w:t>
      </w:r>
      <w:r>
        <w:rPr>
          <w:rFonts w:hint="eastAsia" w:ascii="宋体" w:hAnsi="宋体" w:eastAsia="宋体" w:cs="宋体"/>
          <w:color w:val="auto"/>
          <w:sz w:val="24"/>
          <w:lang w:val="en-US" w:eastAsia="zh-CN"/>
        </w:rPr>
        <w:t>年1月1日-2022年12月31日</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（二）业绩预告情况</w:t>
      </w:r>
    </w:p>
    <w:p>
      <w:pPr>
        <w:spacing w:before="156" w:beforeLines="50" w:after="156" w:afterLines="50"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lang w:val="en-US"/>
        </w:rPr>
        <w:t>□扭亏为盈</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同向上升□同向下降</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6"/>
        <w:gridCol w:w="3805"/>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tcPr>
          <w:p>
            <w:pPr>
              <w:pStyle w:val="20"/>
              <w:spacing w:before="119" w:line="360" w:lineRule="auto"/>
              <w:ind w:left="621"/>
              <w:rPr>
                <w:rFonts w:hint="eastAsia" w:ascii="宋体" w:hAnsi="宋体" w:eastAsia="宋体" w:cs="宋体"/>
                <w:b/>
                <w:sz w:val="24"/>
                <w:szCs w:val="24"/>
              </w:rPr>
            </w:pPr>
            <w:r>
              <w:rPr>
                <w:rFonts w:hint="eastAsia" w:ascii="宋体" w:hAnsi="宋体" w:eastAsia="宋体" w:cs="宋体"/>
                <w:b/>
                <w:sz w:val="24"/>
                <w:szCs w:val="24"/>
              </w:rPr>
              <w:t>项目</w:t>
            </w:r>
          </w:p>
        </w:tc>
        <w:tc>
          <w:tcPr>
            <w:tcW w:w="3805" w:type="dxa"/>
          </w:tcPr>
          <w:p>
            <w:pPr>
              <w:pStyle w:val="20"/>
              <w:spacing w:before="119" w:line="360" w:lineRule="auto"/>
              <w:ind w:left="1312" w:right="1307"/>
              <w:jc w:val="center"/>
              <w:rPr>
                <w:rFonts w:hint="eastAsia" w:ascii="宋体" w:hAnsi="宋体" w:eastAsia="宋体" w:cs="宋体"/>
                <w:b/>
                <w:sz w:val="24"/>
                <w:szCs w:val="24"/>
              </w:rPr>
            </w:pPr>
            <w:r>
              <w:rPr>
                <w:rFonts w:hint="eastAsia" w:ascii="宋体" w:hAnsi="宋体" w:eastAsia="宋体" w:cs="宋体"/>
                <w:b/>
                <w:sz w:val="24"/>
                <w:szCs w:val="24"/>
              </w:rPr>
              <w:t>本报告期</w:t>
            </w:r>
          </w:p>
        </w:tc>
        <w:tc>
          <w:tcPr>
            <w:tcW w:w="2753" w:type="dxa"/>
          </w:tcPr>
          <w:p>
            <w:pPr>
              <w:pStyle w:val="20"/>
              <w:spacing w:before="119" w:line="360" w:lineRule="auto"/>
              <w:ind w:left="892"/>
              <w:rPr>
                <w:rFonts w:hint="eastAsia" w:ascii="宋体" w:hAnsi="宋体" w:eastAsia="宋体" w:cs="宋体"/>
                <w:b/>
                <w:sz w:val="24"/>
                <w:szCs w:val="24"/>
              </w:rPr>
            </w:pPr>
            <w:r>
              <w:rPr>
                <w:rFonts w:hint="eastAsia" w:ascii="宋体" w:hAnsi="宋体" w:eastAsia="宋体" w:cs="宋体"/>
                <w:b/>
                <w:sz w:val="24"/>
                <w:szCs w:val="24"/>
              </w:rPr>
              <w:t>上年同期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6" w:type="dxa"/>
            <w:vMerge w:val="restart"/>
          </w:tcPr>
          <w:p>
            <w:pPr>
              <w:pStyle w:val="20"/>
              <w:spacing w:before="11" w:line="360" w:lineRule="auto"/>
              <w:rPr>
                <w:rFonts w:hint="eastAsia" w:ascii="宋体" w:hAnsi="宋体" w:eastAsia="宋体" w:cs="宋体"/>
                <w:sz w:val="24"/>
                <w:szCs w:val="24"/>
              </w:rPr>
            </w:pPr>
          </w:p>
          <w:p>
            <w:pPr>
              <w:pStyle w:val="20"/>
              <w:spacing w:line="360" w:lineRule="auto"/>
              <w:ind w:left="107" w:right="166"/>
              <w:rPr>
                <w:rFonts w:hint="eastAsia" w:ascii="宋体" w:hAnsi="宋体" w:eastAsia="宋体" w:cs="宋体"/>
                <w:sz w:val="24"/>
                <w:szCs w:val="24"/>
              </w:rPr>
            </w:pPr>
            <w:r>
              <w:rPr>
                <w:rFonts w:hint="eastAsia" w:ascii="宋体" w:hAnsi="宋体" w:eastAsia="宋体" w:cs="宋体"/>
                <w:sz w:val="24"/>
                <w:szCs w:val="24"/>
              </w:rPr>
              <w:t>归属于上市公司股东的净利润</w:t>
            </w:r>
          </w:p>
        </w:tc>
        <w:tc>
          <w:tcPr>
            <w:tcW w:w="3805" w:type="dxa"/>
          </w:tcPr>
          <w:p>
            <w:pPr>
              <w:pStyle w:val="20"/>
              <w:spacing w:before="117"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12,500</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u w:val="single"/>
                <w:lang w:val="en-US" w:eastAsia="zh-CN"/>
              </w:rPr>
              <w:t xml:space="preserve"> 1</w:t>
            </w:r>
            <w:r>
              <w:rPr>
                <w:rFonts w:hint="default" w:ascii="宋体" w:hAnsi="宋体" w:eastAsia="宋体" w:cs="宋体"/>
                <w:sz w:val="24"/>
                <w:szCs w:val="24"/>
                <w:u w:val="single"/>
                <w:lang w:val="en-US" w:eastAsia="zh-CN"/>
              </w:rPr>
              <w:t>5</w:t>
            </w:r>
            <w:r>
              <w:rPr>
                <w:rFonts w:hint="eastAsia" w:ascii="宋体" w:hAnsi="宋体" w:eastAsia="宋体" w:cs="宋体"/>
                <w:sz w:val="24"/>
                <w:szCs w:val="24"/>
                <w:u w:val="single"/>
                <w:lang w:val="en-US" w:eastAsia="zh-CN"/>
              </w:rPr>
              <w:t>,</w:t>
            </w:r>
            <w:r>
              <w:rPr>
                <w:rFonts w:hint="default" w:ascii="宋体" w:hAnsi="宋体" w:eastAsia="宋体" w:cs="宋体"/>
                <w:sz w:val="24"/>
                <w:szCs w:val="24"/>
                <w:u w:val="single"/>
                <w:lang w:val="en-US" w:eastAsia="zh-CN"/>
              </w:rPr>
              <w:t>0</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万元</w:t>
            </w:r>
          </w:p>
        </w:tc>
        <w:tc>
          <w:tcPr>
            <w:tcW w:w="2753" w:type="dxa"/>
            <w:vMerge w:val="restart"/>
          </w:tcPr>
          <w:p>
            <w:pPr>
              <w:pStyle w:val="20"/>
              <w:spacing w:before="1" w:line="360" w:lineRule="auto"/>
              <w:rPr>
                <w:rFonts w:hint="eastAsia" w:ascii="宋体" w:hAnsi="宋体" w:eastAsia="宋体" w:cs="宋体"/>
                <w:sz w:val="24"/>
                <w:szCs w:val="24"/>
              </w:rPr>
            </w:pPr>
          </w:p>
          <w:p>
            <w:pPr>
              <w:pStyle w:val="20"/>
              <w:spacing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lang w:val="en-US" w:eastAsia="zh-CN"/>
              </w:rPr>
              <w:t xml:space="preserve"> 6</w:t>
            </w:r>
            <w:r>
              <w:rPr>
                <w:rFonts w:hint="default" w:ascii="宋体" w:hAnsi="宋体" w:eastAsia="宋体" w:cs="宋体"/>
                <w:sz w:val="24"/>
                <w:szCs w:val="24"/>
                <w:u w:val="single"/>
                <w:lang w:val="en-US" w:eastAsia="zh-CN"/>
              </w:rPr>
              <w:t>,</w:t>
            </w:r>
            <w:r>
              <w:rPr>
                <w:rFonts w:hint="eastAsia" w:ascii="宋体" w:hAnsi="宋体" w:eastAsia="宋体" w:cs="宋体"/>
                <w:sz w:val="24"/>
                <w:szCs w:val="24"/>
                <w:u w:val="single"/>
                <w:lang w:val="en-US" w:eastAsia="zh-CN"/>
              </w:rPr>
              <w:t>099.35</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6" w:type="dxa"/>
            <w:vMerge w:val="continue"/>
            <w:tcBorders>
              <w:top w:val="nil"/>
            </w:tcBorders>
          </w:tcPr>
          <w:p>
            <w:pPr>
              <w:spacing w:line="360" w:lineRule="auto"/>
              <w:rPr>
                <w:rFonts w:hint="eastAsia" w:ascii="宋体" w:hAnsi="宋体" w:eastAsia="宋体" w:cs="宋体"/>
                <w:sz w:val="24"/>
                <w:szCs w:val="24"/>
              </w:rPr>
            </w:pPr>
          </w:p>
        </w:tc>
        <w:tc>
          <w:tcPr>
            <w:tcW w:w="3805" w:type="dxa"/>
          </w:tcPr>
          <w:p>
            <w:pPr>
              <w:pStyle w:val="20"/>
              <w:spacing w:before="120" w:line="360" w:lineRule="auto"/>
              <w:ind w:left="107"/>
              <w:rPr>
                <w:rFonts w:hint="eastAsia" w:ascii="宋体" w:hAnsi="宋体" w:eastAsia="宋体" w:cs="宋体"/>
                <w:sz w:val="24"/>
                <w:szCs w:val="24"/>
                <w:highlight w:val="none"/>
              </w:rPr>
            </w:pPr>
            <w:r>
              <w:rPr>
                <w:rFonts w:hint="eastAsia" w:ascii="宋体" w:hAnsi="宋体" w:eastAsia="宋体" w:cs="宋体"/>
                <w:sz w:val="24"/>
                <w:szCs w:val="24"/>
                <w:highlight w:val="none"/>
              </w:rPr>
              <w:t>比上年同期增长：</w:t>
            </w:r>
            <w:r>
              <w:rPr>
                <w:rFonts w:hint="eastAsia" w:ascii="宋体" w:hAnsi="宋体" w:eastAsia="宋体" w:cs="宋体"/>
                <w:sz w:val="24"/>
                <w:szCs w:val="24"/>
                <w:u w:val="single"/>
                <w:lang w:val="en-US" w:eastAsia="zh-CN"/>
              </w:rPr>
              <w:t>104.94</w:t>
            </w:r>
            <w:r>
              <w:rPr>
                <w:rFonts w:hint="eastAsia" w:ascii="宋体" w:hAnsi="宋体" w:eastAsia="宋体" w:cs="宋体"/>
                <w:sz w:val="24"/>
                <w:szCs w:val="24"/>
                <w:highlight w:val="none"/>
              </w:rPr>
              <w:t xml:space="preserve">% - </w:t>
            </w:r>
            <w:r>
              <w:rPr>
                <w:rFonts w:hint="eastAsia" w:ascii="宋体" w:hAnsi="宋体" w:eastAsia="宋体" w:cs="宋体"/>
                <w:sz w:val="24"/>
                <w:szCs w:val="24"/>
                <w:highlight w:val="none"/>
                <w:u w:val="single"/>
                <w:lang w:val="en-US" w:eastAsia="zh-CN"/>
              </w:rPr>
              <w:t>1</w:t>
            </w:r>
            <w:r>
              <w:rPr>
                <w:rFonts w:hint="default" w:ascii="宋体" w:hAnsi="宋体" w:eastAsia="宋体" w:cs="宋体"/>
                <w:sz w:val="24"/>
                <w:szCs w:val="24"/>
                <w:highlight w:val="none"/>
                <w:u w:val="single"/>
                <w:lang w:val="en-US" w:eastAsia="zh-CN"/>
              </w:rPr>
              <w:t>45</w:t>
            </w:r>
            <w:r>
              <w:rPr>
                <w:rFonts w:hint="eastAsia" w:ascii="宋体" w:hAnsi="宋体" w:eastAsia="宋体" w:cs="宋体"/>
                <w:sz w:val="24"/>
                <w:szCs w:val="24"/>
                <w:highlight w:val="none"/>
                <w:u w:val="single"/>
                <w:lang w:val="en-US" w:eastAsia="zh-CN"/>
              </w:rPr>
              <w:t>.</w:t>
            </w:r>
            <w:r>
              <w:rPr>
                <w:rFonts w:hint="default"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w:t>
            </w:r>
          </w:p>
        </w:tc>
        <w:tc>
          <w:tcPr>
            <w:tcW w:w="2753" w:type="dxa"/>
            <w:vMerge w:val="continue"/>
            <w:tcBorders>
              <w:top w:val="nil"/>
            </w:tcBorders>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vMerge w:val="restart"/>
          </w:tcPr>
          <w:p>
            <w:pPr>
              <w:pStyle w:val="20"/>
              <w:spacing w:before="1" w:line="360" w:lineRule="auto"/>
              <w:rPr>
                <w:rFonts w:hint="eastAsia" w:ascii="宋体" w:hAnsi="宋体" w:eastAsia="宋体" w:cs="宋体"/>
                <w:sz w:val="24"/>
                <w:szCs w:val="24"/>
              </w:rPr>
            </w:pPr>
          </w:p>
          <w:p>
            <w:pPr>
              <w:pStyle w:val="20"/>
              <w:spacing w:line="360" w:lineRule="auto"/>
              <w:ind w:left="107" w:right="166"/>
              <w:rPr>
                <w:rFonts w:hint="eastAsia" w:ascii="宋体" w:hAnsi="宋体" w:eastAsia="宋体" w:cs="宋体"/>
                <w:sz w:val="24"/>
                <w:szCs w:val="24"/>
              </w:rPr>
            </w:pPr>
            <w:r>
              <w:rPr>
                <w:rFonts w:hint="eastAsia" w:ascii="宋体" w:hAnsi="宋体" w:eastAsia="宋体" w:cs="宋体"/>
                <w:sz w:val="24"/>
                <w:szCs w:val="24"/>
              </w:rPr>
              <w:t>扣除非经常性损益后的净利润</w:t>
            </w:r>
          </w:p>
        </w:tc>
        <w:tc>
          <w:tcPr>
            <w:tcW w:w="3805" w:type="dxa"/>
          </w:tcPr>
          <w:p>
            <w:pPr>
              <w:pStyle w:val="20"/>
              <w:spacing w:before="119"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9,500</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11,000</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tc>
        <w:tc>
          <w:tcPr>
            <w:tcW w:w="2753" w:type="dxa"/>
            <w:vMerge w:val="restart"/>
          </w:tcPr>
          <w:p>
            <w:pPr>
              <w:pStyle w:val="20"/>
              <w:spacing w:before="3" w:line="360" w:lineRule="auto"/>
              <w:rPr>
                <w:rFonts w:hint="eastAsia" w:ascii="宋体" w:hAnsi="宋体" w:eastAsia="宋体" w:cs="宋体"/>
                <w:sz w:val="24"/>
                <w:szCs w:val="24"/>
              </w:rPr>
            </w:pPr>
          </w:p>
          <w:p>
            <w:pPr>
              <w:pStyle w:val="20"/>
              <w:spacing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default" w:ascii="宋体" w:hAnsi="宋体" w:eastAsia="宋体" w:cs="宋体"/>
                <w:sz w:val="24"/>
                <w:szCs w:val="24"/>
                <w:u w:val="single"/>
                <w:lang w:val="en-US" w:eastAsia="zh-CN"/>
              </w:rPr>
              <w:t>,</w:t>
            </w:r>
            <w:r>
              <w:rPr>
                <w:rFonts w:hint="eastAsia" w:ascii="宋体" w:hAnsi="宋体" w:eastAsia="宋体" w:cs="宋体"/>
                <w:sz w:val="24"/>
                <w:szCs w:val="24"/>
                <w:u w:val="single"/>
                <w:lang w:val="en-US" w:eastAsia="zh-CN"/>
              </w:rPr>
              <w:t>684.77</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966" w:type="dxa"/>
            <w:vMerge w:val="continue"/>
            <w:tcBorders>
              <w:top w:val="nil"/>
            </w:tcBorders>
          </w:tcPr>
          <w:p>
            <w:pPr>
              <w:spacing w:line="360" w:lineRule="auto"/>
              <w:rPr>
                <w:rFonts w:hint="eastAsia" w:ascii="宋体" w:hAnsi="宋体" w:eastAsia="宋体" w:cs="宋体"/>
                <w:sz w:val="24"/>
                <w:szCs w:val="24"/>
              </w:rPr>
            </w:pPr>
          </w:p>
        </w:tc>
        <w:tc>
          <w:tcPr>
            <w:tcW w:w="3805" w:type="dxa"/>
          </w:tcPr>
          <w:p>
            <w:pPr>
              <w:pStyle w:val="20"/>
              <w:spacing w:before="117" w:line="360" w:lineRule="auto"/>
              <w:ind w:left="107"/>
              <w:rPr>
                <w:rFonts w:hint="eastAsia" w:ascii="宋体" w:hAnsi="宋体" w:eastAsia="宋体" w:cs="宋体"/>
                <w:sz w:val="24"/>
                <w:szCs w:val="24"/>
                <w:highlight w:val="none"/>
              </w:rPr>
            </w:pPr>
            <w:r>
              <w:rPr>
                <w:rFonts w:hint="eastAsia" w:ascii="宋体" w:hAnsi="宋体" w:eastAsia="宋体" w:cs="宋体"/>
                <w:sz w:val="24"/>
                <w:szCs w:val="24"/>
                <w:highlight w:val="none"/>
              </w:rPr>
              <w:t>比上年同期增长：</w:t>
            </w:r>
            <w:r>
              <w:rPr>
                <w:rFonts w:hint="eastAsia" w:ascii="宋体" w:hAnsi="宋体" w:eastAsia="宋体" w:cs="宋体"/>
                <w:sz w:val="24"/>
                <w:szCs w:val="24"/>
                <w:u w:val="single"/>
                <w:lang w:val="en-US" w:eastAsia="zh-CN"/>
              </w:rPr>
              <w:t>102.78</w:t>
            </w:r>
            <w:r>
              <w:rPr>
                <w:rFonts w:hint="eastAsia" w:ascii="宋体" w:hAnsi="宋体" w:eastAsia="宋体" w:cs="宋体"/>
                <w:sz w:val="24"/>
                <w:szCs w:val="24"/>
                <w:highlight w:val="none"/>
              </w:rPr>
              <w:t xml:space="preserve">% - </w:t>
            </w:r>
            <w:r>
              <w:rPr>
                <w:rFonts w:hint="eastAsia" w:ascii="宋体" w:hAnsi="宋体" w:eastAsia="宋体" w:cs="宋体"/>
                <w:sz w:val="24"/>
                <w:szCs w:val="24"/>
                <w:u w:val="single"/>
                <w:lang w:val="en-US" w:eastAsia="zh-CN"/>
              </w:rPr>
              <w:t>134.80</w:t>
            </w:r>
            <w:r>
              <w:rPr>
                <w:rFonts w:hint="eastAsia" w:ascii="宋体" w:hAnsi="宋体" w:eastAsia="宋体" w:cs="宋体"/>
                <w:sz w:val="24"/>
                <w:szCs w:val="24"/>
                <w:highlight w:val="none"/>
              </w:rPr>
              <w:t>%</w:t>
            </w:r>
          </w:p>
        </w:tc>
        <w:tc>
          <w:tcPr>
            <w:tcW w:w="2753" w:type="dxa"/>
            <w:vMerge w:val="continue"/>
            <w:tcBorders>
              <w:top w:val="nil"/>
            </w:tcBorders>
          </w:tcPr>
          <w:p>
            <w:pPr>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966" w:type="dxa"/>
          </w:tcPr>
          <w:p>
            <w:pPr>
              <w:pStyle w:val="20"/>
              <w:spacing w:before="120" w:line="360" w:lineRule="auto"/>
              <w:ind w:left="107"/>
              <w:rPr>
                <w:rFonts w:hint="eastAsia" w:ascii="宋体" w:hAnsi="宋体" w:eastAsia="宋体" w:cs="宋体"/>
                <w:sz w:val="24"/>
                <w:szCs w:val="24"/>
              </w:rPr>
            </w:pPr>
            <w:r>
              <w:rPr>
                <w:rFonts w:hint="eastAsia" w:ascii="宋体" w:hAnsi="宋体" w:eastAsia="宋体" w:cs="宋体"/>
                <w:sz w:val="24"/>
                <w:szCs w:val="24"/>
              </w:rPr>
              <w:t>基本每股收益</w:t>
            </w:r>
          </w:p>
        </w:tc>
        <w:tc>
          <w:tcPr>
            <w:tcW w:w="3805" w:type="dxa"/>
          </w:tcPr>
          <w:p>
            <w:pPr>
              <w:pStyle w:val="20"/>
              <w:spacing w:before="120"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0.7</w:t>
            </w:r>
            <w:r>
              <w:rPr>
                <w:rFonts w:hint="default" w:ascii="宋体" w:hAnsi="宋体" w:eastAsia="宋体" w:cs="宋体"/>
                <w:sz w:val="24"/>
                <w:szCs w:val="24"/>
                <w:u w:val="single"/>
                <w:lang w:val="en-US" w:eastAsia="zh-CN"/>
              </w:rPr>
              <w:t>4</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sz w:val="24"/>
                <w:szCs w:val="24"/>
              </w:rPr>
              <w:t>元/股–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sz w:val="24"/>
                <w:szCs w:val="24"/>
                <w:u w:val="single"/>
                <w:lang w:val="en-US" w:eastAsia="zh-CN"/>
              </w:rPr>
              <w:t>0.8</w:t>
            </w:r>
            <w:r>
              <w:rPr>
                <w:rFonts w:hint="default" w:ascii="宋体" w:hAnsi="宋体" w:eastAsia="宋体" w:cs="宋体"/>
                <w:sz w:val="24"/>
                <w:szCs w:val="24"/>
                <w:u w:val="single"/>
                <w:lang w:val="en-US" w:eastAsia="zh-CN"/>
              </w:rPr>
              <w:t>9</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sz w:val="24"/>
                <w:szCs w:val="24"/>
              </w:rPr>
              <w:t>元/股</w:t>
            </w:r>
          </w:p>
        </w:tc>
        <w:tc>
          <w:tcPr>
            <w:tcW w:w="2753" w:type="dxa"/>
          </w:tcPr>
          <w:p>
            <w:pPr>
              <w:pStyle w:val="20"/>
              <w:spacing w:before="120" w:line="360" w:lineRule="auto"/>
              <w:ind w:left="107"/>
              <w:rPr>
                <w:rFonts w:hint="eastAsia" w:ascii="宋体" w:hAnsi="宋体" w:eastAsia="宋体" w:cs="宋体"/>
                <w:sz w:val="24"/>
                <w:szCs w:val="24"/>
              </w:rPr>
            </w:pPr>
            <w:r>
              <w:rPr>
                <w:rFonts w:hint="eastAsia" w:ascii="宋体" w:hAnsi="宋体" w:eastAsia="宋体" w:cs="宋体"/>
                <w:sz w:val="24"/>
                <w:szCs w:val="24"/>
              </w:rPr>
              <w:t>盈利：</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0.36 </w:t>
            </w:r>
            <w:r>
              <w:rPr>
                <w:rFonts w:hint="eastAsia" w:ascii="宋体" w:hAnsi="宋体" w:eastAsia="宋体" w:cs="宋体"/>
                <w:sz w:val="24"/>
                <w:szCs w:val="24"/>
                <w:u w:val="single"/>
              </w:rPr>
              <w:t xml:space="preserve"> </w:t>
            </w:r>
            <w:r>
              <w:rPr>
                <w:rFonts w:hint="eastAsia" w:ascii="宋体" w:hAnsi="宋体" w:eastAsia="宋体" w:cs="宋体"/>
                <w:sz w:val="24"/>
                <w:szCs w:val="24"/>
              </w:rPr>
              <w:t>元/股</w:t>
            </w:r>
          </w:p>
        </w:tc>
      </w:tr>
    </w:tbl>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二、与会计师事务所沟通情况</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本次业绩预告的相关财务数据未经注册会计师审计。公司与会计</w:t>
      </w:r>
      <w:r>
        <w:rPr>
          <w:rFonts w:hint="default" w:ascii="宋体" w:hAnsi="宋体" w:eastAsia="宋体" w:cs="宋体"/>
          <w:color w:val="auto"/>
          <w:sz w:val="24"/>
        </w:rPr>
        <w:t>师事务所就本次业绩预告有关事项进行了初步沟通，双方不存在重大分歧。</w:t>
      </w:r>
    </w:p>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三、业绩变动原因说明</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归属于上市公司股东的净利润</w:t>
      </w:r>
      <w:r>
        <w:rPr>
          <w:rFonts w:ascii="宋体" w:hAnsi="宋体" w:cs="宋体"/>
          <w:color w:val="auto"/>
          <w:kern w:val="0"/>
          <w:sz w:val="24"/>
          <w:highlight w:val="none"/>
        </w:rPr>
        <w:t>较上年同期增长的原因主要是转让</w:t>
      </w:r>
      <w:r>
        <w:rPr>
          <w:rFonts w:hint="eastAsia" w:ascii="宋体" w:hAnsi="宋体" w:cs="宋体"/>
          <w:color w:val="auto"/>
          <w:kern w:val="0"/>
          <w:sz w:val="24"/>
          <w:highlight w:val="none"/>
        </w:rPr>
        <w:t>全资子公司</w:t>
      </w:r>
      <w:r>
        <w:rPr>
          <w:rFonts w:ascii="宋体" w:hAnsi="宋体" w:cs="宋体"/>
          <w:color w:val="auto"/>
          <w:kern w:val="0"/>
          <w:sz w:val="24"/>
          <w:highlight w:val="none"/>
        </w:rPr>
        <w:t>股权事项导致。</w:t>
      </w:r>
      <w:r>
        <w:rPr>
          <w:rFonts w:hint="eastAsia" w:ascii="宋体" w:hAnsi="宋体" w:cs="宋体"/>
          <w:color w:val="auto"/>
          <w:kern w:val="0"/>
          <w:sz w:val="24"/>
          <w:highlight w:val="none"/>
        </w:rPr>
        <w:t>公司将全资子公司即聚机电有限公司股权全部转让后</w:t>
      </w:r>
      <w:r>
        <w:rPr>
          <w:rFonts w:ascii="宋体" w:hAnsi="宋体" w:cs="宋体"/>
          <w:color w:val="auto"/>
          <w:kern w:val="0"/>
          <w:sz w:val="24"/>
          <w:highlight w:val="none"/>
        </w:rPr>
        <w:t>确认非经常性损益约</w:t>
      </w:r>
      <w:r>
        <w:rPr>
          <w:rFonts w:hint="eastAsia" w:ascii="宋体" w:hAnsi="宋体" w:cs="宋体"/>
          <w:color w:val="auto"/>
          <w:kern w:val="0"/>
          <w:sz w:val="24"/>
          <w:highlight w:val="none"/>
        </w:rPr>
        <w:t>3,548万元</w:t>
      </w:r>
      <w:r>
        <w:rPr>
          <w:rFonts w:ascii="宋体" w:hAnsi="宋体" w:cs="宋体"/>
          <w:color w:val="auto"/>
          <w:kern w:val="0"/>
          <w:sz w:val="24"/>
          <w:highlight w:val="none"/>
        </w:rPr>
        <w:t>，</w:t>
      </w:r>
      <w:r>
        <w:rPr>
          <w:rFonts w:hint="eastAsia" w:ascii="宋体" w:hAnsi="宋体" w:cs="宋体"/>
          <w:color w:val="auto"/>
          <w:kern w:val="0"/>
          <w:sz w:val="24"/>
          <w:highlight w:val="none"/>
        </w:rPr>
        <w:t>致使归属于母公司股东的净利润大幅增长。</w:t>
      </w:r>
    </w:p>
    <w:p>
      <w:pPr>
        <w:autoSpaceDE w:val="0"/>
        <w:autoSpaceDN w:val="0"/>
        <w:adjustRightInd w:val="0"/>
        <w:spacing w:afterLines="50"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扣除非经常性损益后的净利润较上年同期增长的原因主要是</w:t>
      </w:r>
      <w:r>
        <w:rPr>
          <w:rFonts w:hint="eastAsia" w:ascii="宋体" w:hAnsi="宋体" w:cs="宋体"/>
          <w:color w:val="auto"/>
          <w:kern w:val="0"/>
          <w:sz w:val="24"/>
          <w:highlight w:val="none"/>
        </w:rPr>
        <w:t>报告期内，随着新冠疫情的有效控制，公司签订订单量和销售发货量较上年同期呈大幅增长以及人民币兑美元汇率结算收益增加，公司落实外拓市场，内抓精益改善措施，促进了</w:t>
      </w:r>
      <w:r>
        <w:rPr>
          <w:rFonts w:ascii="宋体" w:hAnsi="宋体" w:cs="宋体"/>
          <w:color w:val="auto"/>
          <w:kern w:val="0"/>
          <w:sz w:val="24"/>
          <w:highlight w:val="none"/>
        </w:rPr>
        <w:t>规模效应逐渐凸显，公司盈利能力提升</w:t>
      </w:r>
      <w:r>
        <w:rPr>
          <w:rFonts w:hint="eastAsia" w:ascii="宋体" w:hAnsi="宋体" w:cs="宋体"/>
          <w:color w:val="auto"/>
          <w:kern w:val="0"/>
          <w:sz w:val="24"/>
          <w:highlight w:val="none"/>
        </w:rPr>
        <w:t>。</w:t>
      </w:r>
    </w:p>
    <w:p>
      <w:pPr>
        <w:spacing w:before="156" w:beforeLines="50" w:after="156" w:afterLines="5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四、风险提示</w:t>
      </w:r>
    </w:p>
    <w:p>
      <w:pPr>
        <w:spacing w:before="156" w:beforeLines="50" w:after="156" w:after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本次业绩预告的财务数据是公司初步测算的结果，未经会计师事务所审计，最终数据请以公司披露的2022年年度报告为准，敬请广大投资者谨慎决策，注意投资风险。</w:t>
      </w:r>
    </w:p>
    <w:p>
      <w:pPr>
        <w:spacing w:before="156" w:beforeLines="50" w:after="156" w:afterLines="5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特此公告。</w:t>
      </w:r>
    </w:p>
    <w:p>
      <w:pPr>
        <w:spacing w:line="360" w:lineRule="auto"/>
        <w:ind w:firstLine="240" w:firstLineChars="100"/>
        <w:jc w:val="right"/>
        <w:rPr>
          <w:rFonts w:hint="eastAsia" w:ascii="宋体" w:hAnsi="宋体" w:eastAsia="宋体" w:cs="宋体"/>
          <w:color w:val="auto"/>
          <w:sz w:val="24"/>
        </w:rPr>
      </w:pPr>
      <w:r>
        <w:rPr>
          <w:rFonts w:hint="eastAsia" w:ascii="宋体" w:hAnsi="宋体" w:eastAsia="宋体" w:cs="宋体"/>
          <w:color w:val="auto"/>
          <w:sz w:val="24"/>
        </w:rPr>
        <w:t>青岛伟隆阀门股份有限公司董事会</w:t>
      </w:r>
    </w:p>
    <w:p>
      <w:pPr>
        <w:wordWrap w:val="0"/>
        <w:spacing w:line="360" w:lineRule="auto"/>
        <w:ind w:firstLine="240" w:firstLineChars="100"/>
        <w:jc w:val="right"/>
        <w:rPr>
          <w:rFonts w:hint="default" w:ascii="宋体" w:hAnsi="宋体" w:eastAsia="宋体" w:cs="宋体"/>
          <w:color w:val="auto"/>
          <w:sz w:val="24"/>
          <w:highlight w:val="yellow"/>
          <w:lang w:val="en-US" w:eastAsia="zh-CN"/>
        </w:rPr>
      </w:pPr>
      <w:r>
        <w:rPr>
          <w:rFonts w:hint="eastAsia" w:ascii="宋体" w:hAnsi="宋体" w:eastAsia="宋体" w:cs="宋体"/>
          <w:color w:val="auto"/>
          <w:sz w:val="24"/>
        </w:rPr>
        <w:t>2023年</w:t>
      </w:r>
      <w:r>
        <w:rPr>
          <w:rFonts w:hint="eastAsia" w:ascii="宋体" w:hAnsi="宋体" w:eastAsia="宋体" w:cs="宋体"/>
          <w:color w:val="auto"/>
          <w:sz w:val="24"/>
          <w:highlight w:val="none"/>
        </w:rPr>
        <w:t>1月</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1</w:t>
      </w:r>
      <w:bookmarkStart w:id="0" w:name="_GoBack"/>
      <w:bookmarkEnd w:id="0"/>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F36B3D"/>
    <w:rsid w:val="000B39C0"/>
    <w:rsid w:val="000C3AB9"/>
    <w:rsid w:val="000C6F6A"/>
    <w:rsid w:val="001011C6"/>
    <w:rsid w:val="00155AE1"/>
    <w:rsid w:val="00331AE3"/>
    <w:rsid w:val="0037511E"/>
    <w:rsid w:val="003D6FC6"/>
    <w:rsid w:val="004320D9"/>
    <w:rsid w:val="005C744A"/>
    <w:rsid w:val="00633FE5"/>
    <w:rsid w:val="00700837"/>
    <w:rsid w:val="00702069"/>
    <w:rsid w:val="00751955"/>
    <w:rsid w:val="00803F05"/>
    <w:rsid w:val="00806258"/>
    <w:rsid w:val="009F7A26"/>
    <w:rsid w:val="00A20DCF"/>
    <w:rsid w:val="00A224C2"/>
    <w:rsid w:val="00A471FB"/>
    <w:rsid w:val="00B4137D"/>
    <w:rsid w:val="00B558F2"/>
    <w:rsid w:val="00BB049D"/>
    <w:rsid w:val="00BE035D"/>
    <w:rsid w:val="00BF7432"/>
    <w:rsid w:val="00C04B5A"/>
    <w:rsid w:val="00C53C4E"/>
    <w:rsid w:val="00C6021D"/>
    <w:rsid w:val="00C84419"/>
    <w:rsid w:val="00CB3D0B"/>
    <w:rsid w:val="00E1054A"/>
    <w:rsid w:val="00EA0598"/>
    <w:rsid w:val="00F36B3D"/>
    <w:rsid w:val="00FD66F0"/>
    <w:rsid w:val="027905A2"/>
    <w:rsid w:val="04334F75"/>
    <w:rsid w:val="05973FD4"/>
    <w:rsid w:val="0AED5E9C"/>
    <w:rsid w:val="0DA601C5"/>
    <w:rsid w:val="116817E7"/>
    <w:rsid w:val="122C217C"/>
    <w:rsid w:val="12E4180D"/>
    <w:rsid w:val="1BEF7AC8"/>
    <w:rsid w:val="1C5B320E"/>
    <w:rsid w:val="1C777E80"/>
    <w:rsid w:val="1F947BE9"/>
    <w:rsid w:val="21D06A21"/>
    <w:rsid w:val="220F3C25"/>
    <w:rsid w:val="242267FA"/>
    <w:rsid w:val="252E1F46"/>
    <w:rsid w:val="287E31E4"/>
    <w:rsid w:val="290D28E8"/>
    <w:rsid w:val="2CA376BD"/>
    <w:rsid w:val="2CFC0B7C"/>
    <w:rsid w:val="331952DA"/>
    <w:rsid w:val="375B56DA"/>
    <w:rsid w:val="39113C01"/>
    <w:rsid w:val="39785A2E"/>
    <w:rsid w:val="3B381919"/>
    <w:rsid w:val="3DE96EFA"/>
    <w:rsid w:val="3EBB0897"/>
    <w:rsid w:val="3FF1653A"/>
    <w:rsid w:val="4067184C"/>
    <w:rsid w:val="40BE01CA"/>
    <w:rsid w:val="42735461"/>
    <w:rsid w:val="42FF4311"/>
    <w:rsid w:val="434150E2"/>
    <w:rsid w:val="43747E3B"/>
    <w:rsid w:val="446A7F20"/>
    <w:rsid w:val="449A0AD8"/>
    <w:rsid w:val="4B2E0159"/>
    <w:rsid w:val="4D235A42"/>
    <w:rsid w:val="510A120A"/>
    <w:rsid w:val="529E60AD"/>
    <w:rsid w:val="58FE63E2"/>
    <w:rsid w:val="59625054"/>
    <w:rsid w:val="5A472740"/>
    <w:rsid w:val="5C844408"/>
    <w:rsid w:val="5EAE5605"/>
    <w:rsid w:val="5F6D4912"/>
    <w:rsid w:val="601B4DC9"/>
    <w:rsid w:val="64FB0740"/>
    <w:rsid w:val="66E856F1"/>
    <w:rsid w:val="675656A1"/>
    <w:rsid w:val="68350332"/>
    <w:rsid w:val="683B601D"/>
    <w:rsid w:val="68EE4CE6"/>
    <w:rsid w:val="6AD3375C"/>
    <w:rsid w:val="6C5B4A60"/>
    <w:rsid w:val="6F620750"/>
    <w:rsid w:val="6F963B26"/>
    <w:rsid w:val="718D617B"/>
    <w:rsid w:val="74024E60"/>
    <w:rsid w:val="748C2685"/>
    <w:rsid w:val="755328D0"/>
    <w:rsid w:val="75A837E8"/>
    <w:rsid w:val="795577B3"/>
    <w:rsid w:val="7A747570"/>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1283"/>
      <w:outlineLvl w:val="1"/>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ody Text"/>
    <w:basedOn w:val="1"/>
    <w:qFormat/>
    <w:uiPriority w:val="1"/>
    <w:pPr>
      <w:ind w:left="640"/>
    </w:pPr>
    <w:rPr>
      <w:sz w:val="32"/>
      <w:szCs w:val="32"/>
    </w:rPr>
  </w:style>
  <w:style w:type="paragraph" w:styleId="5">
    <w:name w:val="Balloon Text"/>
    <w:basedOn w:val="1"/>
    <w:link w:val="16"/>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9">
    <w:name w:val="annotation subject"/>
    <w:basedOn w:val="3"/>
    <w:next w:val="3"/>
    <w:link w:val="15"/>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Char"/>
    <w:basedOn w:val="11"/>
    <w:link w:val="8"/>
    <w:qFormat/>
    <w:uiPriority w:val="10"/>
    <w:rPr>
      <w:rFonts w:eastAsia="宋体" w:asciiTheme="majorHAnsi" w:hAnsiTheme="majorHAnsi" w:cstheme="majorBidi"/>
      <w:b/>
      <w:bCs/>
      <w:sz w:val="32"/>
      <w:szCs w:val="32"/>
    </w:rPr>
  </w:style>
  <w:style w:type="character" w:customStyle="1" w:styleId="14">
    <w:name w:val="批注文字 Char"/>
    <w:basedOn w:val="11"/>
    <w:link w:val="3"/>
    <w:semiHidden/>
    <w:qFormat/>
    <w:uiPriority w:val="99"/>
    <w:rPr>
      <w:kern w:val="2"/>
      <w:sz w:val="21"/>
      <w:szCs w:val="22"/>
    </w:rPr>
  </w:style>
  <w:style w:type="character" w:customStyle="1" w:styleId="15">
    <w:name w:val="批注主题 Char"/>
    <w:basedOn w:val="14"/>
    <w:link w:val="9"/>
    <w:semiHidden/>
    <w:qFormat/>
    <w:uiPriority w:val="99"/>
    <w:rPr>
      <w:b/>
      <w:bCs/>
      <w:kern w:val="2"/>
      <w:sz w:val="21"/>
      <w:szCs w:val="22"/>
    </w:rPr>
  </w:style>
  <w:style w:type="character" w:customStyle="1" w:styleId="16">
    <w:name w:val="批注框文本 Char"/>
    <w:basedOn w:val="11"/>
    <w:link w:val="5"/>
    <w:semiHidden/>
    <w:qFormat/>
    <w:uiPriority w:val="99"/>
    <w:rPr>
      <w:kern w:val="2"/>
      <w:sz w:val="18"/>
      <w:szCs w:val="18"/>
    </w:rPr>
  </w:style>
  <w:style w:type="character" w:customStyle="1" w:styleId="17">
    <w:name w:val="swhkey"/>
    <w:basedOn w:val="11"/>
    <w:qFormat/>
    <w:uiPriority w:val="0"/>
  </w:style>
  <w:style w:type="character" w:customStyle="1" w:styleId="18">
    <w:name w:val="页眉 Char"/>
    <w:basedOn w:val="11"/>
    <w:link w:val="7"/>
    <w:semiHidden/>
    <w:qFormat/>
    <w:uiPriority w:val="99"/>
    <w:rPr>
      <w:kern w:val="2"/>
      <w:sz w:val="18"/>
      <w:szCs w:val="18"/>
    </w:rPr>
  </w:style>
  <w:style w:type="character" w:customStyle="1" w:styleId="19">
    <w:name w:val="页脚 Char"/>
    <w:basedOn w:val="11"/>
    <w:link w:val="6"/>
    <w:semiHidden/>
    <w:qFormat/>
    <w:uiPriority w:val="99"/>
    <w:rPr>
      <w:kern w:val="2"/>
      <w:sz w:val="18"/>
      <w:szCs w:val="18"/>
    </w:r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666</Words>
  <Characters>767</Characters>
  <Lines>16</Lines>
  <Paragraphs>4</Paragraphs>
  <TotalTime>23</TotalTime>
  <ScaleCrop>false</ScaleCrop>
  <LinksUpToDate>false</LinksUpToDate>
  <CharactersWithSpaces>822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2023-01-17T06:16:00Z</dcterms:created>
  <dc:creator>lisheng</dc:creator>
  <cp:lastModifiedBy>Mr.翔</cp:lastModifiedBy>
  <dcterms:modified xsi:type="dcterms:W3CDTF">2023-01-30T03:17:31Z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9996A69B48954A6D958352107A22A7E0</vt:lpwstr>
  </property>
</Properties>
</file>