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6CE7B" w14:textId="77777777" w:rsidR="00795497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Hlk122957932"/>
      <w:r>
        <w:rPr>
          <w:rFonts w:ascii="宋体" w:eastAsia="宋体" w:hAnsi="宋体" w:hint="eastAsia"/>
          <w:b/>
          <w:bCs/>
          <w:sz w:val="28"/>
          <w:szCs w:val="28"/>
        </w:rPr>
        <w:t>青岛伟隆阀门股份有限公司</w:t>
      </w:r>
    </w:p>
    <w:p w14:paraId="1CFC092C" w14:textId="77777777" w:rsidR="00795497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独立董事关于第四届董事会第十七次会议相关事项的</w:t>
      </w:r>
    </w:p>
    <w:p w14:paraId="0BF89137" w14:textId="77777777" w:rsidR="00795497" w:rsidRDefault="00000000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事前认可独立意见</w:t>
      </w:r>
    </w:p>
    <w:bookmarkEnd w:id="0"/>
    <w:p w14:paraId="59E7A63F" w14:textId="329A38D1" w:rsidR="00795497" w:rsidRPr="001F4334" w:rsidRDefault="00000000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F4334">
        <w:rPr>
          <w:rFonts w:ascii="Times New Roman" w:eastAsia="宋体" w:hAnsi="Times New Roman"/>
          <w:sz w:val="24"/>
          <w:szCs w:val="24"/>
        </w:rPr>
        <w:t>根据《深圳证券交易所股票上市规则》《上市公司独立董事规则》《深圳证券交易所上市公司自律监管指引第</w:t>
      </w:r>
      <w:r w:rsidRPr="001F4334">
        <w:rPr>
          <w:rFonts w:ascii="Times New Roman" w:eastAsia="宋体" w:hAnsi="Times New Roman"/>
          <w:sz w:val="24"/>
          <w:szCs w:val="24"/>
        </w:rPr>
        <w:t>1</w:t>
      </w:r>
      <w:r w:rsidRPr="001F4334">
        <w:rPr>
          <w:rFonts w:ascii="Times New Roman" w:eastAsia="宋体" w:hAnsi="Times New Roman"/>
          <w:sz w:val="24"/>
          <w:szCs w:val="24"/>
        </w:rPr>
        <w:t>号</w:t>
      </w:r>
      <w:r w:rsidRPr="001F4334">
        <w:rPr>
          <w:rFonts w:ascii="Times New Roman" w:eastAsia="宋体" w:hAnsi="Times New Roman"/>
          <w:sz w:val="24"/>
          <w:szCs w:val="24"/>
        </w:rPr>
        <w:t>——</w:t>
      </w:r>
      <w:r w:rsidRPr="001F4334">
        <w:rPr>
          <w:rFonts w:ascii="Times New Roman" w:eastAsia="宋体" w:hAnsi="Times New Roman"/>
          <w:sz w:val="24"/>
          <w:szCs w:val="24"/>
        </w:rPr>
        <w:t>主板上市公司规范运作》及《</w:t>
      </w:r>
      <w:r w:rsidR="00FC4910" w:rsidRPr="001F4334">
        <w:rPr>
          <w:rFonts w:ascii="Times New Roman" w:eastAsia="宋体" w:hAnsi="Times New Roman" w:hint="eastAsia"/>
          <w:sz w:val="24"/>
          <w:szCs w:val="24"/>
        </w:rPr>
        <w:t>青岛伟隆阀门股份有限公司</w:t>
      </w:r>
      <w:r w:rsidRPr="001F4334">
        <w:rPr>
          <w:rFonts w:ascii="Times New Roman" w:eastAsia="宋体" w:hAnsi="Times New Roman"/>
          <w:sz w:val="24"/>
          <w:szCs w:val="24"/>
        </w:rPr>
        <w:t>公司章程》《</w:t>
      </w:r>
      <w:r w:rsidRPr="001F4334">
        <w:rPr>
          <w:rFonts w:ascii="Times New Roman" w:eastAsia="宋体" w:hAnsi="Times New Roman" w:hint="eastAsia"/>
          <w:sz w:val="24"/>
          <w:szCs w:val="24"/>
        </w:rPr>
        <w:t>青岛伟隆阀门股份有限公司</w:t>
      </w:r>
      <w:r w:rsidRPr="001F4334">
        <w:rPr>
          <w:rFonts w:ascii="Times New Roman" w:eastAsia="宋体" w:hAnsi="Times New Roman"/>
          <w:sz w:val="24"/>
          <w:szCs w:val="24"/>
        </w:rPr>
        <w:t>独立董事</w:t>
      </w:r>
      <w:r w:rsidRPr="001F4334">
        <w:rPr>
          <w:rFonts w:ascii="Times New Roman" w:eastAsia="宋体" w:hAnsi="Times New Roman" w:hint="eastAsia"/>
          <w:sz w:val="24"/>
          <w:szCs w:val="24"/>
        </w:rPr>
        <w:t>工作细则</w:t>
      </w:r>
      <w:r w:rsidRPr="001F4334">
        <w:rPr>
          <w:rFonts w:ascii="Times New Roman" w:eastAsia="宋体" w:hAnsi="Times New Roman"/>
          <w:sz w:val="24"/>
          <w:szCs w:val="24"/>
        </w:rPr>
        <w:t>》等法律规范、规章制度、规范性文件的相关规定，我们作为</w:t>
      </w:r>
      <w:r w:rsidRPr="001F4334">
        <w:rPr>
          <w:rFonts w:ascii="Times New Roman" w:eastAsia="宋体" w:hAnsi="Times New Roman" w:hint="eastAsia"/>
          <w:sz w:val="24"/>
          <w:szCs w:val="24"/>
        </w:rPr>
        <w:t>青岛伟隆阀门</w:t>
      </w:r>
      <w:r w:rsidRPr="001F4334">
        <w:rPr>
          <w:rFonts w:ascii="Times New Roman" w:eastAsia="宋体" w:hAnsi="Times New Roman"/>
          <w:sz w:val="24"/>
          <w:szCs w:val="24"/>
        </w:rPr>
        <w:t>股份有限公司（以下简称</w:t>
      </w:r>
      <w:r w:rsidRPr="001F4334">
        <w:rPr>
          <w:rFonts w:ascii="Times New Roman" w:eastAsia="宋体" w:hAnsi="Times New Roman"/>
          <w:sz w:val="24"/>
          <w:szCs w:val="24"/>
        </w:rPr>
        <w:t>“</w:t>
      </w:r>
      <w:r w:rsidRPr="001F4334">
        <w:rPr>
          <w:rFonts w:ascii="Times New Roman" w:eastAsia="宋体" w:hAnsi="Times New Roman"/>
          <w:sz w:val="24"/>
          <w:szCs w:val="24"/>
        </w:rPr>
        <w:t>公司</w:t>
      </w:r>
      <w:r w:rsidRPr="001F4334">
        <w:rPr>
          <w:rFonts w:ascii="Times New Roman" w:eastAsia="宋体" w:hAnsi="Times New Roman"/>
          <w:sz w:val="24"/>
          <w:szCs w:val="24"/>
        </w:rPr>
        <w:t>”</w:t>
      </w:r>
      <w:r w:rsidRPr="001F4334">
        <w:rPr>
          <w:rFonts w:ascii="Times New Roman" w:eastAsia="宋体" w:hAnsi="Times New Roman"/>
          <w:sz w:val="24"/>
          <w:szCs w:val="24"/>
        </w:rPr>
        <w:t>）的独立董事，本着认真负责的态度，基于独立判断立场，经过审慎讨论，就公司第</w:t>
      </w:r>
      <w:r w:rsidRPr="001F4334">
        <w:rPr>
          <w:rFonts w:ascii="Times New Roman" w:eastAsia="宋体" w:hAnsi="Times New Roman" w:hint="eastAsia"/>
          <w:sz w:val="24"/>
          <w:szCs w:val="24"/>
        </w:rPr>
        <w:t>四</w:t>
      </w:r>
      <w:r w:rsidRPr="001F4334">
        <w:rPr>
          <w:rFonts w:ascii="Times New Roman" w:eastAsia="宋体" w:hAnsi="Times New Roman"/>
          <w:sz w:val="24"/>
          <w:szCs w:val="24"/>
        </w:rPr>
        <w:t>届董事会第十</w:t>
      </w:r>
      <w:r w:rsidRPr="001F4334">
        <w:rPr>
          <w:rFonts w:ascii="Times New Roman" w:eastAsia="宋体" w:hAnsi="Times New Roman" w:hint="eastAsia"/>
          <w:sz w:val="24"/>
          <w:szCs w:val="24"/>
        </w:rPr>
        <w:t>七</w:t>
      </w:r>
      <w:r w:rsidRPr="001F4334">
        <w:rPr>
          <w:rFonts w:ascii="Times New Roman" w:eastAsia="宋体" w:hAnsi="Times New Roman"/>
          <w:sz w:val="24"/>
          <w:szCs w:val="24"/>
        </w:rPr>
        <w:t>次会议相关审议事项</w:t>
      </w:r>
      <w:r w:rsidRPr="001F4334">
        <w:rPr>
          <w:rFonts w:ascii="Times New Roman" w:eastAsia="宋体" w:hAnsi="Times New Roman" w:hint="eastAsia"/>
          <w:sz w:val="24"/>
          <w:szCs w:val="24"/>
        </w:rPr>
        <w:t>，</w:t>
      </w:r>
      <w:r w:rsidRPr="001F4334">
        <w:rPr>
          <w:rFonts w:ascii="Times New Roman" w:eastAsia="宋体" w:hAnsi="Times New Roman"/>
          <w:sz w:val="24"/>
          <w:szCs w:val="24"/>
        </w:rPr>
        <w:t>发表如下</w:t>
      </w:r>
      <w:r w:rsidRPr="001F4334">
        <w:rPr>
          <w:rFonts w:ascii="Times New Roman" w:eastAsia="宋体" w:hAnsi="Times New Roman" w:hint="eastAsia"/>
          <w:sz w:val="24"/>
          <w:szCs w:val="24"/>
        </w:rPr>
        <w:t>事前认可</w:t>
      </w:r>
      <w:r w:rsidRPr="001F4334">
        <w:rPr>
          <w:rFonts w:ascii="Times New Roman" w:eastAsia="宋体" w:hAnsi="Times New Roman"/>
          <w:sz w:val="24"/>
          <w:szCs w:val="24"/>
        </w:rPr>
        <w:t>独立意见</w:t>
      </w:r>
      <w:r w:rsidRPr="001F4334">
        <w:rPr>
          <w:rFonts w:ascii="Times New Roman" w:eastAsia="宋体" w:hAnsi="Times New Roman" w:hint="eastAsia"/>
          <w:sz w:val="24"/>
          <w:szCs w:val="24"/>
        </w:rPr>
        <w:t>：</w:t>
      </w:r>
    </w:p>
    <w:p w14:paraId="26E1B2BA" w14:textId="6429674E" w:rsidR="00795497" w:rsidRPr="001F4334" w:rsidRDefault="006A3839" w:rsidP="001F4334">
      <w:pPr>
        <w:pStyle w:val="a7"/>
        <w:spacing w:beforeLines="50" w:before="156" w:afterLines="50" w:after="156" w:line="360" w:lineRule="auto"/>
        <w:ind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一、关于公司符合公开发行可转换公司债</w:t>
      </w:r>
      <w:proofErr w:type="gramStart"/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条件的独立意见</w:t>
      </w:r>
    </w:p>
    <w:p w14:paraId="3B925C5E" w14:textId="77777777" w:rsidR="00795497" w:rsidRPr="001F4334" w:rsidRDefault="00000000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1F4334">
        <w:rPr>
          <w:rFonts w:ascii="Times New Roman" w:eastAsia="宋体" w:hAnsi="Times New Roman" w:hint="eastAsia"/>
          <w:sz w:val="24"/>
          <w:szCs w:val="24"/>
        </w:rPr>
        <w:t>根据《中华人民共和国公司法》《中华人民共和国证券法》《上市公司证券发行管理办法》等法律、法规及规范性文件规定，公司经对照关于上市公司公开发行可转换公司债</w:t>
      </w:r>
      <w:proofErr w:type="gramStart"/>
      <w:r w:rsidRPr="001F4334">
        <w:rPr>
          <w:rFonts w:ascii="Times New Roman" w:eastAsia="宋体" w:hAnsi="Times New Roman" w:hint="eastAsia"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sz w:val="24"/>
          <w:szCs w:val="24"/>
        </w:rPr>
        <w:t>的资格和条件的规定，对公司的实际情况逐项自查，公司满足现行法律法规和规范性文件中关于公开发行可转换公司债</w:t>
      </w:r>
      <w:proofErr w:type="gramStart"/>
      <w:r w:rsidRPr="001F4334">
        <w:rPr>
          <w:rFonts w:ascii="Times New Roman" w:eastAsia="宋体" w:hAnsi="Times New Roman" w:hint="eastAsia"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sz w:val="24"/>
          <w:szCs w:val="24"/>
        </w:rPr>
        <w:t>的有关规定。</w:t>
      </w:r>
    </w:p>
    <w:p w14:paraId="78EE50F8" w14:textId="2F0EF03F" w:rsidR="00795497" w:rsidRPr="001F4334" w:rsidRDefault="006A3839" w:rsidP="001F4334">
      <w:pPr>
        <w:pStyle w:val="a7"/>
        <w:spacing w:beforeLines="50" w:before="156" w:afterLines="50" w:after="156" w:line="360" w:lineRule="auto"/>
        <w:ind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二、关于公司公开发行可转换公司债</w:t>
      </w:r>
      <w:proofErr w:type="gramStart"/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方案的独立意见</w:t>
      </w:r>
    </w:p>
    <w:p w14:paraId="69A53D97" w14:textId="77777777" w:rsidR="00795497" w:rsidRPr="001F4334" w:rsidRDefault="00000000">
      <w:pPr>
        <w:pStyle w:val="a7"/>
        <w:spacing w:beforeLines="50" w:before="156" w:afterLines="50" w:after="156"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1F4334">
        <w:rPr>
          <w:rFonts w:ascii="Times New Roman" w:eastAsia="宋体" w:hAnsi="Times New Roman" w:hint="eastAsia"/>
          <w:sz w:val="24"/>
          <w:szCs w:val="24"/>
        </w:rPr>
        <w:t>公司本次公开发行可转换公司债</w:t>
      </w:r>
      <w:proofErr w:type="gramStart"/>
      <w:r w:rsidRPr="001F4334">
        <w:rPr>
          <w:rFonts w:ascii="Times New Roman" w:eastAsia="宋体" w:hAnsi="Times New Roman" w:hint="eastAsia"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sz w:val="24"/>
          <w:szCs w:val="24"/>
        </w:rPr>
        <w:t>方案合理，符合相关法律法规、规章及其他规范性文件中关于公开发行可转换公司债</w:t>
      </w:r>
      <w:proofErr w:type="gramStart"/>
      <w:r w:rsidRPr="001F4334">
        <w:rPr>
          <w:rFonts w:ascii="Times New Roman" w:eastAsia="宋体" w:hAnsi="Times New Roman" w:hint="eastAsia"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sz w:val="24"/>
          <w:szCs w:val="24"/>
        </w:rPr>
        <w:t>的规定，有利于增强公司的长期可持续竞争力，有利于公司提升持续盈利能力，符合公司及全体股东的共同利益。</w:t>
      </w:r>
    </w:p>
    <w:p w14:paraId="0338C1AB" w14:textId="77777777" w:rsidR="00795497" w:rsidRPr="001F4334" w:rsidRDefault="00000000">
      <w:pPr>
        <w:pStyle w:val="a7"/>
        <w:spacing w:beforeLines="50" w:before="156" w:afterLines="50" w:after="156" w:line="360" w:lineRule="auto"/>
        <w:ind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三、</w:t>
      </w:r>
      <w:r w:rsidRPr="001F4334">
        <w:rPr>
          <w:rFonts w:ascii="Times New Roman" w:eastAsia="宋体" w:hAnsi="Times New Roman"/>
          <w:b/>
          <w:bCs/>
          <w:sz w:val="24"/>
          <w:szCs w:val="24"/>
        </w:rPr>
        <w:t>关于公司公开发行可转换公司债</w:t>
      </w:r>
      <w:proofErr w:type="gramStart"/>
      <w:r w:rsidRPr="001F4334">
        <w:rPr>
          <w:rFonts w:ascii="Times New Roman" w:eastAsia="宋体" w:hAnsi="Times New Roman"/>
          <w:b/>
          <w:bCs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/>
          <w:b/>
          <w:bCs/>
          <w:sz w:val="24"/>
          <w:szCs w:val="24"/>
        </w:rPr>
        <w:t>预案的独立意见</w:t>
      </w:r>
    </w:p>
    <w:p w14:paraId="336A819B" w14:textId="77777777" w:rsidR="00795497" w:rsidRPr="001F4334" w:rsidRDefault="00000000">
      <w:pPr>
        <w:pStyle w:val="a7"/>
        <w:spacing w:beforeLines="50" w:before="156" w:afterLines="50" w:after="156"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1F4334">
        <w:rPr>
          <w:rFonts w:ascii="Times New Roman" w:eastAsia="宋体" w:hAnsi="Times New Roman" w:hint="eastAsia"/>
          <w:sz w:val="24"/>
          <w:szCs w:val="24"/>
        </w:rPr>
        <w:t>公司本次公开发行可转换公司债</w:t>
      </w:r>
      <w:proofErr w:type="gramStart"/>
      <w:r w:rsidRPr="001F4334">
        <w:rPr>
          <w:rFonts w:ascii="Times New Roman" w:eastAsia="宋体" w:hAnsi="Times New Roman" w:hint="eastAsia"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sz w:val="24"/>
          <w:szCs w:val="24"/>
        </w:rPr>
        <w:t>预案的内容符合有关发行可转换公司债</w:t>
      </w:r>
      <w:proofErr w:type="gramStart"/>
      <w:r w:rsidRPr="001F4334">
        <w:rPr>
          <w:rFonts w:ascii="Times New Roman" w:eastAsia="宋体" w:hAnsi="Times New Roman" w:hint="eastAsia"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sz w:val="24"/>
          <w:szCs w:val="24"/>
        </w:rPr>
        <w:t>的各项规定，且符合公司的实际情况；真实、准确、完整，不存在虚假记载、误导性陈述或重大遗漏。</w:t>
      </w:r>
    </w:p>
    <w:p w14:paraId="17FAF1E7" w14:textId="77777777" w:rsidR="00795497" w:rsidRPr="001F4334" w:rsidRDefault="00000000">
      <w:pPr>
        <w:pStyle w:val="a7"/>
        <w:spacing w:beforeLines="50" w:before="156" w:afterLines="50" w:after="156" w:line="360" w:lineRule="auto"/>
        <w:ind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四、关于公开发行可转换公司债</w:t>
      </w:r>
      <w:proofErr w:type="gramStart"/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券</w:t>
      </w:r>
      <w:proofErr w:type="gramEnd"/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有关担保事项暨关联交易的事项的独立意见</w:t>
      </w:r>
    </w:p>
    <w:p w14:paraId="111EE630" w14:textId="610B8070" w:rsidR="00795497" w:rsidRPr="001F4334" w:rsidRDefault="00BB186E" w:rsidP="00BB186E">
      <w:pPr>
        <w:pStyle w:val="a7"/>
        <w:spacing w:beforeLines="50" w:before="156" w:afterLines="50" w:after="156"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bookmarkStart w:id="1" w:name="_Hlk123809719"/>
      <w:r w:rsidRPr="001F4334">
        <w:rPr>
          <w:rFonts w:ascii="Times New Roman" w:eastAsia="宋体" w:hAnsi="Times New Roman" w:hint="eastAsia"/>
          <w:sz w:val="24"/>
          <w:szCs w:val="24"/>
        </w:rPr>
        <w:lastRenderedPageBreak/>
        <w:t>公司董事长、控股股东、实际控制人范庆伟为公司本次发行可转</w:t>
      </w:r>
      <w:proofErr w:type="gramStart"/>
      <w:r w:rsidRPr="001F4334">
        <w:rPr>
          <w:rFonts w:ascii="Times New Roman" w:eastAsia="宋体" w:hAnsi="Times New Roman" w:hint="eastAsia"/>
          <w:sz w:val="24"/>
          <w:szCs w:val="24"/>
        </w:rPr>
        <w:t>债提供</w:t>
      </w:r>
      <w:proofErr w:type="gramEnd"/>
      <w:r w:rsidRPr="001F4334">
        <w:rPr>
          <w:rFonts w:ascii="Times New Roman" w:eastAsia="宋体" w:hAnsi="Times New Roman" w:hint="eastAsia"/>
          <w:sz w:val="24"/>
          <w:szCs w:val="24"/>
        </w:rPr>
        <w:t>连带责任担保</w:t>
      </w:r>
      <w:r w:rsidR="00E53AF7" w:rsidRPr="001F4334">
        <w:rPr>
          <w:rFonts w:ascii="Times New Roman" w:eastAsia="宋体" w:hAnsi="Times New Roman" w:hint="eastAsia"/>
          <w:sz w:val="24"/>
          <w:szCs w:val="24"/>
        </w:rPr>
        <w:t>事项形成关联交易</w:t>
      </w:r>
      <w:r w:rsidR="00702600" w:rsidRPr="001F4334">
        <w:rPr>
          <w:rFonts w:ascii="Times New Roman" w:eastAsia="宋体" w:hAnsi="Times New Roman"/>
          <w:sz w:val="24"/>
          <w:szCs w:val="24"/>
        </w:rPr>
        <w:t>，我们认为</w:t>
      </w:r>
      <w:r w:rsidR="00916E78" w:rsidRPr="001F4334">
        <w:rPr>
          <w:rFonts w:ascii="Times New Roman" w:eastAsia="宋体" w:hAnsi="Times New Roman" w:hint="eastAsia"/>
          <w:sz w:val="24"/>
          <w:szCs w:val="24"/>
        </w:rPr>
        <w:t>公司董事长、控股股东、实际控制人</w:t>
      </w:r>
      <w:r w:rsidR="00702600" w:rsidRPr="001F4334">
        <w:rPr>
          <w:rFonts w:ascii="Times New Roman" w:eastAsia="宋体" w:hAnsi="Times New Roman" w:hint="eastAsia"/>
          <w:sz w:val="24"/>
          <w:szCs w:val="24"/>
        </w:rPr>
        <w:t>范庆伟为</w:t>
      </w:r>
      <w:r w:rsidR="00702600" w:rsidRPr="001F4334">
        <w:rPr>
          <w:rFonts w:ascii="Times New Roman" w:eastAsia="宋体" w:hAnsi="Times New Roman"/>
          <w:sz w:val="24"/>
          <w:szCs w:val="24"/>
        </w:rPr>
        <w:t>公司本次发行的可转换公司债</w:t>
      </w:r>
      <w:proofErr w:type="gramStart"/>
      <w:r w:rsidR="00702600" w:rsidRPr="001F4334">
        <w:rPr>
          <w:rFonts w:ascii="Times New Roman" w:eastAsia="宋体" w:hAnsi="Times New Roman"/>
          <w:sz w:val="24"/>
          <w:szCs w:val="24"/>
        </w:rPr>
        <w:t>券</w:t>
      </w:r>
      <w:proofErr w:type="gramEnd"/>
      <w:r w:rsidR="00702600" w:rsidRPr="001F4334">
        <w:rPr>
          <w:rFonts w:ascii="Times New Roman" w:eastAsia="宋体" w:hAnsi="Times New Roman"/>
          <w:sz w:val="24"/>
          <w:szCs w:val="24"/>
        </w:rPr>
        <w:t>提供担保符合</w:t>
      </w:r>
      <w:r w:rsidR="008738CD" w:rsidRPr="001F4334">
        <w:rPr>
          <w:rFonts w:ascii="Times New Roman" w:eastAsia="宋体" w:hAnsi="Times New Roman" w:hint="eastAsia"/>
          <w:sz w:val="24"/>
          <w:szCs w:val="24"/>
        </w:rPr>
        <w:t>《中华人民共和国公司法》</w:t>
      </w:r>
      <w:r w:rsidR="00E87CF2" w:rsidRPr="001F4334">
        <w:rPr>
          <w:rFonts w:ascii="Times New Roman" w:eastAsia="宋体" w:hAnsi="Times New Roman" w:hint="eastAsia"/>
          <w:sz w:val="24"/>
          <w:szCs w:val="24"/>
        </w:rPr>
        <w:t>《中华人民共和国证券法》</w:t>
      </w:r>
      <w:r w:rsidR="00702600" w:rsidRPr="001F4334">
        <w:rPr>
          <w:rFonts w:ascii="Times New Roman" w:eastAsia="宋体" w:hAnsi="Times New Roman"/>
          <w:sz w:val="24"/>
          <w:szCs w:val="24"/>
        </w:rPr>
        <w:t>《上市公司治理准则》及《</w:t>
      </w:r>
      <w:r w:rsidR="00F406D3" w:rsidRPr="001F4334">
        <w:rPr>
          <w:rFonts w:ascii="Times New Roman" w:eastAsia="宋体" w:hAnsi="Times New Roman" w:hint="eastAsia"/>
          <w:sz w:val="24"/>
          <w:szCs w:val="24"/>
        </w:rPr>
        <w:t>青岛伟隆阀门股份有限</w:t>
      </w:r>
      <w:r w:rsidR="00702600" w:rsidRPr="001F4334">
        <w:rPr>
          <w:rFonts w:ascii="Times New Roman" w:eastAsia="宋体" w:hAnsi="Times New Roman"/>
          <w:sz w:val="24"/>
          <w:szCs w:val="24"/>
        </w:rPr>
        <w:t>公司章程》的相关规定，有利于公司本次公开发行可转换公司债</w:t>
      </w:r>
      <w:proofErr w:type="gramStart"/>
      <w:r w:rsidR="00702600" w:rsidRPr="001F4334">
        <w:rPr>
          <w:rFonts w:ascii="Times New Roman" w:eastAsia="宋体" w:hAnsi="Times New Roman"/>
          <w:sz w:val="24"/>
          <w:szCs w:val="24"/>
        </w:rPr>
        <w:t>券</w:t>
      </w:r>
      <w:proofErr w:type="gramEnd"/>
      <w:r w:rsidR="00702600" w:rsidRPr="001F4334">
        <w:rPr>
          <w:rFonts w:ascii="Times New Roman" w:eastAsia="宋体" w:hAnsi="Times New Roman"/>
          <w:sz w:val="24"/>
          <w:szCs w:val="24"/>
        </w:rPr>
        <w:t>相关事宜的高效推进，不存在损害公司及股东利益特别是中小股东利益的行为</w:t>
      </w:r>
      <w:r w:rsidR="00702600" w:rsidRPr="001F4334">
        <w:rPr>
          <w:rFonts w:ascii="Times New Roman" w:eastAsia="宋体" w:hAnsi="Times New Roman" w:hint="eastAsia"/>
          <w:sz w:val="24"/>
          <w:szCs w:val="24"/>
        </w:rPr>
        <w:t>。</w:t>
      </w:r>
    </w:p>
    <w:bookmarkEnd w:id="1"/>
    <w:p w14:paraId="69718CE9" w14:textId="6832BA50" w:rsidR="00795497" w:rsidRPr="001F4334" w:rsidRDefault="00000000">
      <w:pPr>
        <w:pStyle w:val="a7"/>
        <w:spacing w:beforeLines="50" w:before="156" w:afterLines="50" w:after="156" w:line="360" w:lineRule="auto"/>
        <w:ind w:firstLine="482"/>
        <w:rPr>
          <w:rFonts w:ascii="Times New Roman" w:eastAsia="宋体" w:hAnsi="Times New Roman"/>
          <w:b/>
          <w:bCs/>
          <w:sz w:val="24"/>
          <w:szCs w:val="24"/>
        </w:rPr>
      </w:pPr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五、关于公司继续持有</w:t>
      </w:r>
      <w:r w:rsidR="00A72D06" w:rsidRPr="001F4334">
        <w:rPr>
          <w:rFonts w:ascii="Times New Roman" w:eastAsia="宋体" w:hAnsi="Times New Roman" w:hint="eastAsia"/>
          <w:b/>
          <w:bCs/>
          <w:sz w:val="24"/>
          <w:szCs w:val="24"/>
        </w:rPr>
        <w:t>且不再增加</w:t>
      </w:r>
      <w:r w:rsidRPr="001F4334">
        <w:rPr>
          <w:rFonts w:ascii="Times New Roman" w:eastAsia="宋体" w:hAnsi="Times New Roman" w:hint="eastAsia"/>
          <w:b/>
          <w:bCs/>
          <w:sz w:val="24"/>
          <w:szCs w:val="24"/>
        </w:rPr>
        <w:t>风险投资产品的独立意见</w:t>
      </w:r>
    </w:p>
    <w:p w14:paraId="2B01C0E3" w14:textId="77777777" w:rsidR="00A72D06" w:rsidRPr="001F4334" w:rsidRDefault="00A72D06" w:rsidP="00A72D06">
      <w:pPr>
        <w:spacing w:beforeLines="50" w:before="156" w:afterLines="50" w:after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1F4334">
        <w:rPr>
          <w:rFonts w:ascii="Times New Roman" w:eastAsia="宋体" w:hAnsi="Times New Roman" w:cs="Times New Roman" w:hint="eastAsia"/>
          <w:sz w:val="24"/>
          <w:szCs w:val="24"/>
        </w:rPr>
        <w:t>我们认为公司为保证投资收益和公司股东利益，对于投资期限到期的风险投资产品继续持有、同时不再新增其他风险投资的事项符合公司经营实际情况，有利于保护投资者合法权益，符合有关法律、法规、规范性文件的规定，不存在损害公司或中小股东利益的情形。</w:t>
      </w:r>
    </w:p>
    <w:p w14:paraId="29C610AA" w14:textId="0E9DE8A7" w:rsidR="00795497" w:rsidRDefault="00000000">
      <w:pPr>
        <w:pStyle w:val="a7"/>
        <w:spacing w:beforeLines="50" w:before="156" w:afterLines="50" w:after="156"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 w:rsidRPr="001F4334">
        <w:rPr>
          <w:rFonts w:ascii="Times New Roman" w:eastAsia="宋体" w:hAnsi="Times New Roman" w:hint="eastAsia"/>
          <w:sz w:val="24"/>
          <w:szCs w:val="24"/>
        </w:rPr>
        <w:t>综上所述，我们认为上述事项</w:t>
      </w:r>
      <w:r w:rsidRPr="001F4334">
        <w:rPr>
          <w:rFonts w:ascii="Times New Roman" w:eastAsia="宋体" w:hAnsi="Times New Roman"/>
          <w:sz w:val="24"/>
          <w:szCs w:val="24"/>
        </w:rPr>
        <w:t>有利于公司长远发展，符合公司和全体股东的利益，不存在损害中小股东利益的情况，我们同意</w:t>
      </w:r>
      <w:r w:rsidRPr="001F4334">
        <w:rPr>
          <w:rFonts w:ascii="Times New Roman" w:eastAsia="宋体" w:hAnsi="Times New Roman" w:hint="eastAsia"/>
          <w:sz w:val="24"/>
          <w:szCs w:val="24"/>
        </w:rPr>
        <w:t>上述相关事项</w:t>
      </w:r>
      <w:r w:rsidRPr="001F4334">
        <w:rPr>
          <w:rFonts w:ascii="Times New Roman" w:eastAsia="宋体" w:hAnsi="Times New Roman"/>
          <w:sz w:val="24"/>
          <w:szCs w:val="24"/>
        </w:rPr>
        <w:t>，并同意将该事项提交公司</w:t>
      </w:r>
      <w:r w:rsidRPr="001F4334">
        <w:rPr>
          <w:rFonts w:ascii="Times New Roman" w:eastAsia="宋体" w:hAnsi="Times New Roman" w:hint="eastAsia"/>
          <w:sz w:val="24"/>
          <w:szCs w:val="24"/>
        </w:rPr>
        <w:t>第四届董事会第十七次会议</w:t>
      </w:r>
      <w:r w:rsidRPr="001F4334">
        <w:rPr>
          <w:rFonts w:ascii="Times New Roman" w:eastAsia="宋体" w:hAnsi="Times New Roman"/>
          <w:sz w:val="24"/>
          <w:szCs w:val="24"/>
        </w:rPr>
        <w:t>审议。</w:t>
      </w:r>
    </w:p>
    <w:p w14:paraId="5AF312B4" w14:textId="661879A7" w:rsidR="004C654B" w:rsidRDefault="00902A16">
      <w:pPr>
        <w:pStyle w:val="a7"/>
        <w:spacing w:beforeLines="50" w:before="156" w:afterLines="50" w:after="156"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                                  </w:t>
      </w:r>
      <w:r>
        <w:rPr>
          <w:rFonts w:ascii="Times New Roman" w:eastAsia="宋体" w:hAnsi="Times New Roman" w:hint="eastAsia"/>
          <w:sz w:val="24"/>
          <w:szCs w:val="24"/>
        </w:rPr>
        <w:t>青岛伟隆阀门股份有限公司</w:t>
      </w:r>
    </w:p>
    <w:p w14:paraId="53FFF92C" w14:textId="588C0D45" w:rsidR="00902A16" w:rsidRDefault="00902A16">
      <w:pPr>
        <w:pStyle w:val="a7"/>
        <w:spacing w:beforeLines="50" w:before="156" w:afterLines="50" w:after="156" w:line="360" w:lineRule="auto"/>
        <w:ind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宋体" w:hAnsi="Times New Roman" w:hint="eastAsia"/>
          <w:sz w:val="24"/>
          <w:szCs w:val="24"/>
        </w:rPr>
        <w:t>董事会</w:t>
      </w:r>
    </w:p>
    <w:p w14:paraId="0FE5EE7B" w14:textId="77F7A828" w:rsidR="00902A16" w:rsidRPr="00902A16" w:rsidRDefault="00902A16">
      <w:pPr>
        <w:pStyle w:val="a7"/>
        <w:spacing w:beforeLines="50" w:before="156" w:afterLines="50" w:after="156" w:line="360" w:lineRule="auto"/>
        <w:ind w:firstLine="480"/>
        <w:rPr>
          <w:rFonts w:ascii="Times New Roman" w:eastAsia="宋体" w:hAnsi="Times New Roman" w:hint="eastAsia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                                      2023</w:t>
      </w:r>
      <w:r>
        <w:rPr>
          <w:rFonts w:ascii="Times New Roman" w:eastAsia="宋体" w:hAnsi="Times New Roman" w:hint="eastAsia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月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7</w:t>
      </w:r>
      <w:r>
        <w:rPr>
          <w:rFonts w:ascii="Times New Roman" w:eastAsia="宋体" w:hAnsi="Times New Roman" w:hint="eastAsia"/>
          <w:sz w:val="24"/>
          <w:szCs w:val="24"/>
        </w:rPr>
        <w:t>日</w:t>
      </w:r>
    </w:p>
    <w:p w14:paraId="2E7A0088" w14:textId="116231A4" w:rsidR="00795497" w:rsidRDefault="00795497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79549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71F0" w14:textId="77777777" w:rsidR="009809D2" w:rsidRDefault="009809D2" w:rsidP="008738CD">
      <w:r>
        <w:separator/>
      </w:r>
    </w:p>
  </w:endnote>
  <w:endnote w:type="continuationSeparator" w:id="0">
    <w:p w14:paraId="6A14D60F" w14:textId="77777777" w:rsidR="009809D2" w:rsidRDefault="009809D2" w:rsidP="0087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8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519CE27" w14:textId="77777777" w:rsidR="00355E34" w:rsidRPr="00355E34" w:rsidRDefault="00355E34">
        <w:pPr>
          <w:pStyle w:val="a3"/>
          <w:jc w:val="center"/>
          <w:rPr>
            <w:rFonts w:ascii="Times New Roman" w:hAnsi="Times New Roman"/>
          </w:rPr>
        </w:pPr>
        <w:r w:rsidRPr="00355E34">
          <w:rPr>
            <w:rFonts w:ascii="Times New Roman" w:hAnsi="Times New Roman"/>
          </w:rPr>
          <w:fldChar w:fldCharType="begin"/>
        </w:r>
        <w:r w:rsidRPr="00355E34">
          <w:rPr>
            <w:rFonts w:ascii="Times New Roman" w:hAnsi="Times New Roman"/>
          </w:rPr>
          <w:instrText>PAGE   \* MERGEFORMAT</w:instrText>
        </w:r>
        <w:r w:rsidRPr="00355E34">
          <w:rPr>
            <w:rFonts w:ascii="Times New Roman" w:hAnsi="Times New Roman"/>
          </w:rPr>
          <w:fldChar w:fldCharType="separate"/>
        </w:r>
        <w:r w:rsidRPr="00355E34">
          <w:rPr>
            <w:rFonts w:ascii="Times New Roman" w:hAnsi="Times New Roman"/>
            <w:lang w:val="zh-CN"/>
          </w:rPr>
          <w:t>2</w:t>
        </w:r>
        <w:r w:rsidRPr="00355E3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5B3B" w14:textId="77777777" w:rsidR="009809D2" w:rsidRDefault="009809D2" w:rsidP="008738CD">
      <w:r>
        <w:separator/>
      </w:r>
    </w:p>
  </w:footnote>
  <w:footnote w:type="continuationSeparator" w:id="0">
    <w:p w14:paraId="3472696A" w14:textId="77777777" w:rsidR="009809D2" w:rsidRDefault="009809D2" w:rsidP="0087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B732" w14:textId="40C5F30E" w:rsidR="003A7BB5" w:rsidRDefault="003A7BB5" w:rsidP="003A7BB5">
    <w:pPr>
      <w:pStyle w:val="a5"/>
      <w:jc w:val="left"/>
    </w:pPr>
    <w:r>
      <w:rPr>
        <w:rFonts w:eastAsia="Times New Roman"/>
        <w:noProof/>
        <w:sz w:val="24"/>
      </w:rPr>
      <w:drawing>
        <wp:inline distT="0" distB="0" distL="114300" distR="114300" wp14:anchorId="5CE89112" wp14:editId="611244B1">
          <wp:extent cx="1037590" cy="300990"/>
          <wp:effectExtent l="0" t="0" r="10160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7590" cy="300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0767A"/>
    <w:multiLevelType w:val="multilevel"/>
    <w:tmpl w:val="7B00767A"/>
    <w:lvl w:ilvl="0">
      <w:start w:val="1"/>
      <w:numFmt w:val="japaneseCounting"/>
      <w:suff w:val="space"/>
      <w:lvlText w:val="%1、"/>
      <w:lvlJc w:val="left"/>
      <w:pPr>
        <w:ind w:left="0" w:firstLine="48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 w16cid:durableId="25953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kMGUxMTc4ODQ5MzI3Yzg3Y2ZlNjlkMTEzZjc1NGUifQ=="/>
  </w:docVars>
  <w:rsids>
    <w:rsidRoot w:val="00E449B5"/>
    <w:rsid w:val="00036AE7"/>
    <w:rsid w:val="000C55DA"/>
    <w:rsid w:val="000F2F98"/>
    <w:rsid w:val="00107C21"/>
    <w:rsid w:val="0011338F"/>
    <w:rsid w:val="00151B71"/>
    <w:rsid w:val="00175394"/>
    <w:rsid w:val="00177B42"/>
    <w:rsid w:val="001F16CE"/>
    <w:rsid w:val="001F4334"/>
    <w:rsid w:val="002036FB"/>
    <w:rsid w:val="00285A70"/>
    <w:rsid w:val="002C0C6D"/>
    <w:rsid w:val="00355E34"/>
    <w:rsid w:val="00360893"/>
    <w:rsid w:val="003A7BB5"/>
    <w:rsid w:val="00480785"/>
    <w:rsid w:val="004C654B"/>
    <w:rsid w:val="00517070"/>
    <w:rsid w:val="00531F82"/>
    <w:rsid w:val="00535A7B"/>
    <w:rsid w:val="005465F0"/>
    <w:rsid w:val="00643970"/>
    <w:rsid w:val="006A3839"/>
    <w:rsid w:val="006C1CC2"/>
    <w:rsid w:val="00702600"/>
    <w:rsid w:val="00705129"/>
    <w:rsid w:val="00745764"/>
    <w:rsid w:val="00762151"/>
    <w:rsid w:val="00773049"/>
    <w:rsid w:val="00795497"/>
    <w:rsid w:val="008249FD"/>
    <w:rsid w:val="008326CF"/>
    <w:rsid w:val="008738CD"/>
    <w:rsid w:val="008962AE"/>
    <w:rsid w:val="008D31B9"/>
    <w:rsid w:val="00902A16"/>
    <w:rsid w:val="00916E78"/>
    <w:rsid w:val="00954D1F"/>
    <w:rsid w:val="009809D2"/>
    <w:rsid w:val="009A7037"/>
    <w:rsid w:val="009B11B0"/>
    <w:rsid w:val="009D73D6"/>
    <w:rsid w:val="00A72D06"/>
    <w:rsid w:val="00AA1BD0"/>
    <w:rsid w:val="00AB566A"/>
    <w:rsid w:val="00B22AA9"/>
    <w:rsid w:val="00B613D8"/>
    <w:rsid w:val="00B73513"/>
    <w:rsid w:val="00B8077E"/>
    <w:rsid w:val="00BA4CB4"/>
    <w:rsid w:val="00BB186E"/>
    <w:rsid w:val="00BC354A"/>
    <w:rsid w:val="00C26958"/>
    <w:rsid w:val="00CF2A5B"/>
    <w:rsid w:val="00D21A1D"/>
    <w:rsid w:val="00D56BB1"/>
    <w:rsid w:val="00D870B7"/>
    <w:rsid w:val="00D946B8"/>
    <w:rsid w:val="00E449B5"/>
    <w:rsid w:val="00E531B4"/>
    <w:rsid w:val="00E53AF7"/>
    <w:rsid w:val="00E76C5A"/>
    <w:rsid w:val="00E87CF2"/>
    <w:rsid w:val="00EA3DF2"/>
    <w:rsid w:val="00EE37EA"/>
    <w:rsid w:val="00EF3583"/>
    <w:rsid w:val="00F36D91"/>
    <w:rsid w:val="00F406D3"/>
    <w:rsid w:val="00FC4910"/>
    <w:rsid w:val="00FE072A"/>
    <w:rsid w:val="00FF0DF0"/>
    <w:rsid w:val="4964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BEB9B"/>
  <w15:docId w15:val="{79243B06-9F0E-4416-A913-FF871CDE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8">
    <w:name w:val="Revision"/>
    <w:hidden/>
    <w:uiPriority w:val="99"/>
    <w:semiHidden/>
    <w:rsid w:val="004807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C901-CD40-4143-B8B0-BDBC6FED0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 龙飞</dc:creator>
  <cp:lastModifiedBy>马 龙飞</cp:lastModifiedBy>
  <cp:revision>63</cp:revision>
  <dcterms:created xsi:type="dcterms:W3CDTF">2022-12-26T05:56:00Z</dcterms:created>
  <dcterms:modified xsi:type="dcterms:W3CDTF">2023-01-16T09:33:00Z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1119D3344B694820886DB77F3F484E49</vt:lpwstr>
  </property>
</Properties>
</file>