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20" w:beforeLines="50" w:after="120" w:afterLines="50" w:line="360" w:lineRule="auto"/>
        <w:jc w:val="center"/>
        <w:rPr>
          <w:rFonts w:hint="default" w:cs="Times New Roman" w:asciiTheme="minorEastAsia" w:hAnsiTheme="minorEastAsia" w:eastAsiaTheme="minorEastAsia"/>
          <w:szCs w:val="23"/>
          <w:lang w:val="en-US"/>
        </w:rPr>
      </w:pPr>
      <w:r>
        <w:rPr>
          <w:rFonts w:hint="eastAsia" w:cs="Times New Roman" w:asciiTheme="minorEastAsia" w:hAnsiTheme="minorEastAsia" w:eastAsiaTheme="minorEastAsia"/>
          <w:szCs w:val="23"/>
        </w:rPr>
        <w:t xml:space="preserve">证券代码：002871           证券简称：伟隆股份 </w:t>
      </w:r>
      <w:r>
        <w:rPr>
          <w:rFonts w:hint="default" w:cs="Times New Roman" w:asciiTheme="minorEastAsia" w:hAnsiTheme="minorEastAsia" w:eastAsiaTheme="minorEastAsia"/>
          <w:szCs w:val="23"/>
          <w:lang w:val="en-US"/>
        </w:rPr>
        <w:t xml:space="preserve"> </w:t>
      </w:r>
      <w:r>
        <w:rPr>
          <w:rFonts w:hint="eastAsia" w:cs="Times New Roman" w:asciiTheme="minorEastAsia" w:hAnsiTheme="minorEastAsia" w:eastAsiaTheme="minorEastAsia"/>
          <w:szCs w:val="23"/>
        </w:rPr>
        <w:t xml:space="preserve">    公告编号：202</w:t>
      </w:r>
      <w:r>
        <w:rPr>
          <w:rFonts w:cs="Times New Roman" w:asciiTheme="minorEastAsia" w:hAnsiTheme="minorEastAsia" w:eastAsiaTheme="minorEastAsia"/>
          <w:szCs w:val="23"/>
        </w:rPr>
        <w:t>3</w:t>
      </w:r>
      <w:r>
        <w:rPr>
          <w:rFonts w:hint="eastAsia" w:cs="Times New Roman" w:asciiTheme="minorEastAsia" w:hAnsiTheme="minorEastAsia" w:eastAsiaTheme="minorEastAsia"/>
          <w:szCs w:val="23"/>
        </w:rPr>
        <w:t>-</w:t>
      </w:r>
      <w:r>
        <w:rPr>
          <w:rFonts w:hint="default" w:cs="Times New Roman" w:asciiTheme="minorEastAsia" w:hAnsiTheme="minorEastAsia" w:eastAsiaTheme="minorEastAsia"/>
          <w:szCs w:val="23"/>
          <w:lang w:val="en-US"/>
        </w:rPr>
        <w:t>003</w:t>
      </w:r>
    </w:p>
    <w:p>
      <w:pPr>
        <w:adjustRightInd/>
        <w:snapToGrid/>
        <w:spacing w:before="120" w:beforeLines="50" w:after="120" w:afterLines="50" w:line="360" w:lineRule="auto"/>
        <w:jc w:val="center"/>
        <w:rPr>
          <w:rFonts w:hint="eastAsia" w:cs="宋体" w:asciiTheme="minorEastAsia" w:hAnsiTheme="minorEastAsia" w:eastAsiaTheme="minorEastAsia"/>
          <w:b/>
          <w:bCs/>
          <w:sz w:val="28"/>
          <w:szCs w:val="24"/>
        </w:rPr>
      </w:pPr>
      <w:r>
        <w:rPr>
          <w:rFonts w:hint="eastAsia" w:cs="宋体" w:asciiTheme="minorEastAsia" w:hAnsiTheme="minorEastAsia" w:eastAsiaTheme="minorEastAsia"/>
          <w:b/>
          <w:bCs/>
          <w:sz w:val="28"/>
          <w:szCs w:val="24"/>
        </w:rPr>
        <w:t>青岛伟隆阀门股份有限公司</w:t>
      </w:r>
    </w:p>
    <w:p>
      <w:pPr>
        <w:adjustRightInd/>
        <w:snapToGrid/>
        <w:spacing w:before="120" w:beforeLines="50" w:after="120" w:afterLines="50" w:line="360" w:lineRule="auto"/>
        <w:jc w:val="center"/>
        <w:rPr>
          <w:rFonts w:hint="eastAsia" w:cs="宋体" w:asciiTheme="minorEastAsia" w:hAnsiTheme="minorEastAsia" w:eastAsiaTheme="minorEastAsia"/>
          <w:b/>
          <w:bCs/>
          <w:sz w:val="28"/>
          <w:szCs w:val="24"/>
        </w:rPr>
      </w:pPr>
      <w:r>
        <w:rPr>
          <w:rFonts w:hint="eastAsia" w:cs="宋体" w:asciiTheme="minorEastAsia" w:hAnsiTheme="minorEastAsia" w:eastAsiaTheme="minorEastAsia"/>
          <w:b/>
          <w:bCs/>
          <w:sz w:val="28"/>
          <w:szCs w:val="24"/>
        </w:rPr>
        <w:t>关于完成工商变更登记的公告</w:t>
      </w:r>
    </w:p>
    <w:tbl>
      <w:tblPr>
        <w:tblStyle w:val="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364" w:type="dxa"/>
          </w:tcPr>
          <w:p>
            <w:pPr>
              <w:spacing w:after="0" w:line="360" w:lineRule="exact"/>
              <w:ind w:firstLine="463" w:firstLineChars="193"/>
              <w:rPr>
                <w:b/>
              </w:rPr>
            </w:pPr>
            <w:r>
              <w:rPr>
                <w:rFonts w:hint="eastAsia" w:cs="宋体" w:asciiTheme="minorEastAsia" w:hAnsiTheme="minorEastAsia" w:eastAsiaTheme="minorEastAsia"/>
                <w:sz w:val="24"/>
                <w:szCs w:val="24"/>
              </w:rPr>
              <w:t>本公司及董事会全体成员保证信息披露的内容真实、准确、完整，没有虚假记载、误导性陈述或重大遗漏。</w:t>
            </w:r>
          </w:p>
        </w:tc>
      </w:tr>
    </w:tbl>
    <w:p>
      <w:pPr>
        <w:spacing w:after="0" w:line="360" w:lineRule="exact"/>
        <w:ind w:firstLine="424" w:firstLineChars="193"/>
      </w:pPr>
    </w:p>
    <w:p>
      <w:pPr>
        <w:adjustRightInd/>
        <w:snapToGrid/>
        <w:spacing w:before="120" w:beforeLines="50" w:after="120" w:afterLines="50" w:line="360" w:lineRule="auto"/>
        <w:ind w:firstLine="480" w:firstLineChars="200"/>
        <w:jc w:val="both"/>
        <w:rPr>
          <w:rFonts w:hint="eastAsia" w:cs="宋体" w:asciiTheme="minorEastAsia" w:hAnsiTheme="minorEastAsia" w:eastAsiaTheme="minorEastAsia"/>
          <w:sz w:val="24"/>
          <w:szCs w:val="23"/>
        </w:rPr>
      </w:pPr>
      <w:r>
        <w:rPr>
          <w:rFonts w:hint="eastAsia" w:cs="宋体" w:asciiTheme="minorEastAsia" w:hAnsiTheme="minorEastAsia" w:eastAsiaTheme="minorEastAsia"/>
          <w:sz w:val="24"/>
          <w:szCs w:val="23"/>
        </w:rPr>
        <w:t>青岛伟隆阀门股份有限公司（以下简称“公司”）2021年限制性股票激励计划的激励对象3名因个人原因离职，其所持有的未解禁部分股票全部回购；3名激励对象绩效考核为合格，可以申请解除当期80%限售股份；1名激励对象绩效考核为良好，可以申请解除当期90%限售股份；前述4名激励对象其所持有的本期未解禁部分股票全部回购，经2022年10月27日召开的第四届董事会第十</w:t>
      </w:r>
      <w:r>
        <w:rPr>
          <w:rFonts w:hint="eastAsia" w:cs="宋体" w:asciiTheme="minorEastAsia" w:hAnsiTheme="minorEastAsia" w:eastAsiaTheme="minorEastAsia"/>
          <w:sz w:val="24"/>
          <w:szCs w:val="23"/>
          <w:lang w:eastAsia="zh-CN"/>
        </w:rPr>
        <w:t>五</w:t>
      </w:r>
      <w:bookmarkStart w:id="0" w:name="_GoBack"/>
      <w:bookmarkEnd w:id="0"/>
      <w:r>
        <w:rPr>
          <w:rFonts w:hint="eastAsia" w:cs="宋体" w:asciiTheme="minorEastAsia" w:hAnsiTheme="minorEastAsia" w:eastAsiaTheme="minorEastAsia"/>
          <w:sz w:val="24"/>
          <w:szCs w:val="23"/>
        </w:rPr>
        <w:t>次会议和2022年11月14日召开的2022年第四次临时股东大会审议，同意对该部分已授予但尚未解除限售的限制性股票155,5</w:t>
      </w:r>
      <w:r>
        <w:rPr>
          <w:rFonts w:hint="default" w:cs="宋体" w:asciiTheme="minorEastAsia" w:hAnsiTheme="minorEastAsia" w:eastAsiaTheme="minorEastAsia"/>
          <w:sz w:val="24"/>
          <w:szCs w:val="23"/>
          <w:lang w:val="en-US"/>
        </w:rPr>
        <w:t>0</w:t>
      </w:r>
      <w:r>
        <w:rPr>
          <w:rFonts w:hint="eastAsia" w:cs="宋体" w:asciiTheme="minorEastAsia" w:hAnsiTheme="minorEastAsia" w:eastAsiaTheme="minorEastAsia"/>
          <w:sz w:val="24"/>
          <w:szCs w:val="23"/>
        </w:rPr>
        <w:t>0股进行回购注销。2022年12月22日，公司已在中国证券登记结算有限责任公司深圳分公司完成上述限制性股票的回购注销手续。注销完成后，公司注册资本由169,032,648股变为168,877,148股。 具体内容分别详见2022年10月28日、2022年11月15日公司刊登于指定信息披露媒体《中国证券报》、《证券时报》、《证券日报》和巨潮资讯网（http://www.cninfo.com.cn ）上的《青岛伟隆阀门股份有限公司第四届董事会第十三次会议决议的公告》、《青岛伟隆阀门股份有限公司2022年第四次临时股东大会会议决议的公告》。</w:t>
      </w:r>
    </w:p>
    <w:p>
      <w:pPr>
        <w:adjustRightInd/>
        <w:snapToGrid/>
        <w:spacing w:before="120" w:beforeLines="50" w:after="120" w:afterLines="50" w:line="360" w:lineRule="auto"/>
        <w:ind w:firstLine="480" w:firstLineChars="200"/>
        <w:jc w:val="both"/>
        <w:rPr>
          <w:rFonts w:hint="eastAsia" w:cs="宋体" w:asciiTheme="minorEastAsia" w:hAnsiTheme="minorEastAsia" w:eastAsiaTheme="minorEastAsia"/>
          <w:sz w:val="24"/>
          <w:szCs w:val="23"/>
        </w:rPr>
      </w:pPr>
      <w:r>
        <w:rPr>
          <w:rFonts w:hint="eastAsia" w:cs="宋体" w:asciiTheme="minorEastAsia" w:hAnsiTheme="minorEastAsia" w:eastAsiaTheme="minorEastAsia"/>
          <w:sz w:val="24"/>
          <w:szCs w:val="23"/>
        </w:rPr>
        <w:t>针对上述事项公司现已办理完成相关的工商变更登记及修改《公司章程》备案手续，并于2023年1月12日取得了变更后的《营业执照》。具体情况如下：</w:t>
      </w:r>
    </w:p>
    <w:p>
      <w:pPr>
        <w:adjustRightInd/>
        <w:snapToGrid/>
        <w:spacing w:before="120" w:beforeLines="50" w:after="120" w:afterLines="50" w:line="360" w:lineRule="auto"/>
        <w:ind w:firstLine="482" w:firstLineChars="200"/>
        <w:rPr>
          <w:rFonts w:hint="eastAsia" w:cs="宋体" w:asciiTheme="minorEastAsia" w:hAnsiTheme="minorEastAsia" w:eastAsiaTheme="minorEastAsia"/>
          <w:b/>
          <w:sz w:val="24"/>
          <w:szCs w:val="23"/>
        </w:rPr>
      </w:pPr>
      <w:r>
        <w:rPr>
          <w:rFonts w:hint="eastAsia" w:cs="宋体" w:asciiTheme="minorEastAsia" w:hAnsiTheme="minorEastAsia" w:eastAsiaTheme="minorEastAsia"/>
          <w:b/>
          <w:sz w:val="24"/>
          <w:szCs w:val="23"/>
        </w:rPr>
        <w:t>一、 本次工商变更主要事项</w:t>
      </w:r>
    </w:p>
    <w:tbl>
      <w:tblPr>
        <w:tblStyle w:val="7"/>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40"/>
        <w:gridCol w:w="3440"/>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2240" w:type="dxa"/>
            <w:vAlign w:val="center"/>
          </w:tcPr>
          <w:p>
            <w:pPr>
              <w:pStyle w:val="13"/>
              <w:spacing w:after="240" w:line="360" w:lineRule="auto"/>
              <w:ind w:firstLine="465" w:firstLineChars="193"/>
              <w:jc w:val="both"/>
              <w:rPr>
                <w:rFonts w:asciiTheme="minorEastAsia" w:hAnsiTheme="minorEastAsia" w:eastAsiaTheme="minorEastAsia"/>
                <w:b/>
                <w:bCs/>
              </w:rPr>
            </w:pPr>
            <w:r>
              <w:rPr>
                <w:rFonts w:hint="eastAsia" w:asciiTheme="minorEastAsia" w:hAnsiTheme="minorEastAsia" w:eastAsiaTheme="minorEastAsia"/>
                <w:b/>
                <w:bCs/>
              </w:rPr>
              <w:t>变更项目</w:t>
            </w:r>
          </w:p>
        </w:tc>
        <w:tc>
          <w:tcPr>
            <w:tcW w:w="3440" w:type="dxa"/>
            <w:vAlign w:val="center"/>
          </w:tcPr>
          <w:p>
            <w:pPr>
              <w:pStyle w:val="13"/>
              <w:spacing w:after="240" w:line="360" w:lineRule="auto"/>
              <w:ind w:firstLine="465" w:firstLineChars="193"/>
              <w:jc w:val="both"/>
              <w:rPr>
                <w:rFonts w:asciiTheme="minorEastAsia" w:hAnsiTheme="minorEastAsia" w:eastAsiaTheme="minorEastAsia"/>
                <w:b/>
                <w:bCs/>
              </w:rPr>
            </w:pPr>
            <w:r>
              <w:rPr>
                <w:rFonts w:hint="eastAsia" w:asciiTheme="minorEastAsia" w:hAnsiTheme="minorEastAsia" w:eastAsiaTheme="minorEastAsia"/>
                <w:b/>
                <w:bCs/>
              </w:rPr>
              <w:t>原登记内容</w:t>
            </w:r>
          </w:p>
        </w:tc>
        <w:tc>
          <w:tcPr>
            <w:tcW w:w="3200" w:type="dxa"/>
            <w:vAlign w:val="center"/>
          </w:tcPr>
          <w:p>
            <w:pPr>
              <w:pStyle w:val="13"/>
              <w:spacing w:after="240" w:line="360" w:lineRule="auto"/>
              <w:ind w:firstLine="465" w:firstLineChars="193"/>
              <w:jc w:val="both"/>
              <w:rPr>
                <w:rFonts w:asciiTheme="minorEastAsia" w:hAnsiTheme="minorEastAsia" w:eastAsiaTheme="minorEastAsia"/>
                <w:b/>
                <w:bCs/>
              </w:rPr>
            </w:pPr>
            <w:r>
              <w:rPr>
                <w:rFonts w:hint="eastAsia" w:asciiTheme="minorEastAsia" w:hAnsiTheme="minorEastAsia" w:eastAsiaTheme="minorEastAsia"/>
                <w:b/>
                <w:bCs/>
              </w:rPr>
              <w:t>变更后登记内容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trPr>
        <w:tc>
          <w:tcPr>
            <w:tcW w:w="2240" w:type="dxa"/>
            <w:vAlign w:val="center"/>
          </w:tcPr>
          <w:p>
            <w:pPr>
              <w:pStyle w:val="13"/>
              <w:spacing w:after="240" w:line="360" w:lineRule="auto"/>
              <w:ind w:firstLine="463" w:firstLineChars="193"/>
              <w:jc w:val="both"/>
              <w:rPr>
                <w:rFonts w:asciiTheme="minorEastAsia" w:hAnsiTheme="minorEastAsia" w:eastAsiaTheme="minorEastAsia"/>
              </w:rPr>
            </w:pPr>
            <w:r>
              <w:rPr>
                <w:rFonts w:hint="eastAsia" w:asciiTheme="minorEastAsia" w:hAnsiTheme="minorEastAsia" w:eastAsiaTheme="minorEastAsia"/>
              </w:rPr>
              <w:t>注册资本</w:t>
            </w:r>
          </w:p>
        </w:tc>
        <w:tc>
          <w:tcPr>
            <w:tcW w:w="3440" w:type="dxa"/>
            <w:vAlign w:val="center"/>
          </w:tcPr>
          <w:p>
            <w:pPr>
              <w:pStyle w:val="13"/>
              <w:spacing w:after="240" w:line="360" w:lineRule="auto"/>
              <w:ind w:firstLine="463" w:firstLineChars="193"/>
              <w:jc w:val="both"/>
              <w:rPr>
                <w:rFonts w:asciiTheme="minorEastAsia" w:hAnsiTheme="minorEastAsia" w:eastAsiaTheme="minorEastAsia"/>
              </w:rPr>
            </w:pPr>
            <w:r>
              <w:rPr>
                <w:rFonts w:hint="eastAsia" w:asciiTheme="minorEastAsia" w:hAnsiTheme="minorEastAsia" w:eastAsiaTheme="minorEastAsia"/>
              </w:rPr>
              <w:t>16,903.2648万元</w:t>
            </w:r>
          </w:p>
        </w:tc>
        <w:tc>
          <w:tcPr>
            <w:tcW w:w="3200" w:type="dxa"/>
            <w:vAlign w:val="center"/>
          </w:tcPr>
          <w:p>
            <w:pPr>
              <w:pStyle w:val="13"/>
              <w:spacing w:after="240" w:line="360" w:lineRule="auto"/>
              <w:ind w:firstLine="463" w:firstLineChars="193"/>
              <w:jc w:val="both"/>
              <w:rPr>
                <w:rFonts w:asciiTheme="minorEastAsia" w:hAnsiTheme="minorEastAsia" w:eastAsiaTheme="minorEastAsia"/>
              </w:rPr>
            </w:pPr>
            <w:r>
              <w:rPr>
                <w:rFonts w:hint="eastAsia" w:asciiTheme="minorEastAsia" w:hAnsiTheme="minorEastAsia" w:eastAsiaTheme="minorEastAsia"/>
              </w:rPr>
              <w:t>16,887.7148万元</w:t>
            </w:r>
          </w:p>
        </w:tc>
      </w:tr>
    </w:tbl>
    <w:p>
      <w:pPr>
        <w:adjustRightInd/>
        <w:snapToGrid/>
        <w:spacing w:before="120" w:beforeLines="50" w:after="120" w:afterLines="50" w:line="360" w:lineRule="auto"/>
        <w:ind w:firstLine="482" w:firstLineChars="200"/>
        <w:rPr>
          <w:rFonts w:hint="eastAsia" w:cs="宋体" w:asciiTheme="minorEastAsia" w:hAnsiTheme="minorEastAsia" w:eastAsiaTheme="minorEastAsia"/>
          <w:b/>
          <w:sz w:val="24"/>
          <w:szCs w:val="23"/>
        </w:rPr>
      </w:pPr>
      <w:r>
        <w:rPr>
          <w:rFonts w:hint="eastAsia" w:cs="宋体" w:asciiTheme="minorEastAsia" w:hAnsiTheme="minorEastAsia" w:eastAsiaTheme="minorEastAsia"/>
          <w:b/>
          <w:sz w:val="24"/>
          <w:szCs w:val="23"/>
        </w:rPr>
        <w:t>二、 新取得营业执照的基本信息</w:t>
      </w:r>
    </w:p>
    <w:p>
      <w:pPr>
        <w:adjustRightInd/>
        <w:snapToGrid/>
        <w:spacing w:before="120" w:beforeLines="50" w:after="120" w:afterLines="50" w:line="360" w:lineRule="auto"/>
        <w:ind w:firstLine="480" w:firstLineChars="200"/>
        <w:jc w:val="both"/>
        <w:rPr>
          <w:rFonts w:hint="eastAsia" w:cs="宋体" w:asciiTheme="minorEastAsia" w:hAnsiTheme="minorEastAsia" w:eastAsiaTheme="minorEastAsia"/>
          <w:sz w:val="24"/>
          <w:szCs w:val="23"/>
        </w:rPr>
      </w:pPr>
      <w:r>
        <w:rPr>
          <w:rFonts w:hint="eastAsia" w:cs="宋体" w:asciiTheme="minorEastAsia" w:hAnsiTheme="minorEastAsia" w:eastAsiaTheme="minorEastAsia"/>
          <w:sz w:val="24"/>
          <w:szCs w:val="23"/>
        </w:rPr>
        <w:t>（一）统一社会信用代码：91370200614257783M</w:t>
      </w:r>
    </w:p>
    <w:p>
      <w:pPr>
        <w:adjustRightInd/>
        <w:snapToGrid/>
        <w:spacing w:before="120" w:beforeLines="50" w:after="120" w:afterLines="50" w:line="360" w:lineRule="auto"/>
        <w:ind w:firstLine="480" w:firstLineChars="200"/>
        <w:jc w:val="both"/>
        <w:rPr>
          <w:rFonts w:hint="eastAsia" w:cs="宋体" w:asciiTheme="minorEastAsia" w:hAnsiTheme="minorEastAsia" w:eastAsiaTheme="minorEastAsia"/>
          <w:sz w:val="24"/>
          <w:szCs w:val="23"/>
        </w:rPr>
      </w:pPr>
      <w:r>
        <w:rPr>
          <w:rFonts w:hint="eastAsia" w:cs="宋体" w:asciiTheme="minorEastAsia" w:hAnsiTheme="minorEastAsia" w:eastAsiaTheme="minorEastAsia"/>
          <w:sz w:val="24"/>
          <w:szCs w:val="23"/>
        </w:rPr>
        <w:t>（二）名    称：青岛伟隆阀门股份有限公司</w:t>
      </w:r>
    </w:p>
    <w:p>
      <w:pPr>
        <w:adjustRightInd/>
        <w:snapToGrid/>
        <w:spacing w:before="120" w:beforeLines="50" w:after="120" w:afterLines="50" w:line="360" w:lineRule="auto"/>
        <w:ind w:firstLine="480" w:firstLineChars="200"/>
        <w:jc w:val="both"/>
        <w:rPr>
          <w:rFonts w:hint="eastAsia" w:cs="宋体" w:asciiTheme="minorEastAsia" w:hAnsiTheme="minorEastAsia" w:eastAsiaTheme="minorEastAsia"/>
          <w:sz w:val="24"/>
          <w:szCs w:val="23"/>
        </w:rPr>
      </w:pPr>
      <w:r>
        <w:rPr>
          <w:rFonts w:hint="eastAsia" w:cs="宋体" w:asciiTheme="minorEastAsia" w:hAnsiTheme="minorEastAsia" w:eastAsiaTheme="minorEastAsia"/>
          <w:sz w:val="24"/>
          <w:szCs w:val="23"/>
        </w:rPr>
        <w:t>（三）类    型：股份有限公司（上市、自然人投资或控股）</w:t>
      </w:r>
    </w:p>
    <w:p>
      <w:pPr>
        <w:adjustRightInd/>
        <w:snapToGrid/>
        <w:spacing w:before="120" w:beforeLines="50" w:after="120" w:afterLines="50" w:line="360" w:lineRule="auto"/>
        <w:ind w:firstLine="480" w:firstLineChars="200"/>
        <w:jc w:val="both"/>
        <w:rPr>
          <w:rFonts w:hint="eastAsia" w:cs="宋体" w:asciiTheme="minorEastAsia" w:hAnsiTheme="minorEastAsia" w:eastAsiaTheme="minorEastAsia"/>
          <w:sz w:val="24"/>
          <w:szCs w:val="23"/>
        </w:rPr>
      </w:pPr>
      <w:r>
        <w:rPr>
          <w:rFonts w:hint="eastAsia" w:cs="宋体" w:asciiTheme="minorEastAsia" w:hAnsiTheme="minorEastAsia" w:eastAsiaTheme="minorEastAsia"/>
          <w:sz w:val="24"/>
          <w:szCs w:val="23"/>
        </w:rPr>
        <w:t>（四）住    所：山东省青岛市高新区春阳路789号</w:t>
      </w:r>
    </w:p>
    <w:p>
      <w:pPr>
        <w:adjustRightInd/>
        <w:snapToGrid/>
        <w:spacing w:before="120" w:beforeLines="50" w:after="120" w:afterLines="50" w:line="360" w:lineRule="auto"/>
        <w:ind w:firstLine="480" w:firstLineChars="200"/>
        <w:jc w:val="both"/>
        <w:rPr>
          <w:rFonts w:hint="eastAsia" w:cs="宋体" w:asciiTheme="minorEastAsia" w:hAnsiTheme="minorEastAsia" w:eastAsiaTheme="minorEastAsia"/>
          <w:sz w:val="24"/>
          <w:szCs w:val="23"/>
        </w:rPr>
      </w:pPr>
      <w:r>
        <w:rPr>
          <w:rFonts w:hint="eastAsia" w:cs="宋体" w:asciiTheme="minorEastAsia" w:hAnsiTheme="minorEastAsia" w:eastAsiaTheme="minorEastAsia"/>
          <w:sz w:val="24"/>
          <w:szCs w:val="23"/>
        </w:rPr>
        <w:t>（五）法定代表人：范庆伟</w:t>
      </w:r>
    </w:p>
    <w:p>
      <w:pPr>
        <w:adjustRightInd/>
        <w:snapToGrid/>
        <w:spacing w:before="120" w:beforeLines="50" w:after="120" w:afterLines="50" w:line="360" w:lineRule="auto"/>
        <w:ind w:firstLine="480" w:firstLineChars="200"/>
        <w:jc w:val="both"/>
        <w:rPr>
          <w:rFonts w:hint="eastAsia" w:cs="宋体" w:asciiTheme="minorEastAsia" w:hAnsiTheme="minorEastAsia" w:eastAsiaTheme="minorEastAsia"/>
          <w:sz w:val="24"/>
          <w:szCs w:val="23"/>
        </w:rPr>
      </w:pPr>
      <w:r>
        <w:rPr>
          <w:rFonts w:hint="eastAsia" w:cs="宋体" w:asciiTheme="minorEastAsia" w:hAnsiTheme="minorEastAsia" w:eastAsiaTheme="minorEastAsia"/>
          <w:sz w:val="24"/>
          <w:szCs w:val="23"/>
        </w:rPr>
        <w:t>（六）注册资本：壹亿陆仟捌佰捌拾柒万柒仟壹佰肆拾捌元整</w:t>
      </w:r>
    </w:p>
    <w:p>
      <w:pPr>
        <w:adjustRightInd/>
        <w:snapToGrid/>
        <w:spacing w:before="120" w:beforeLines="50" w:after="120" w:afterLines="50" w:line="360" w:lineRule="auto"/>
        <w:ind w:firstLine="480" w:firstLineChars="200"/>
        <w:jc w:val="both"/>
        <w:rPr>
          <w:rFonts w:hint="eastAsia" w:cs="宋体" w:asciiTheme="minorEastAsia" w:hAnsiTheme="minorEastAsia" w:eastAsiaTheme="minorEastAsia"/>
          <w:sz w:val="24"/>
          <w:szCs w:val="23"/>
        </w:rPr>
      </w:pPr>
      <w:r>
        <w:rPr>
          <w:rFonts w:hint="eastAsia" w:cs="宋体" w:asciiTheme="minorEastAsia" w:hAnsiTheme="minorEastAsia" w:eastAsiaTheme="minorEastAsia"/>
          <w:sz w:val="24"/>
          <w:szCs w:val="23"/>
        </w:rPr>
        <w:t>（七）成立日期：1995年06月08日</w:t>
      </w:r>
    </w:p>
    <w:p>
      <w:pPr>
        <w:adjustRightInd/>
        <w:snapToGrid/>
        <w:spacing w:before="120" w:beforeLines="50" w:after="120" w:afterLines="50" w:line="360" w:lineRule="auto"/>
        <w:ind w:firstLine="480" w:firstLineChars="200"/>
        <w:jc w:val="both"/>
        <w:rPr>
          <w:rFonts w:hint="eastAsia" w:cs="宋体" w:asciiTheme="minorEastAsia" w:hAnsiTheme="minorEastAsia" w:eastAsiaTheme="minorEastAsia"/>
          <w:sz w:val="24"/>
          <w:szCs w:val="23"/>
        </w:rPr>
      </w:pPr>
      <w:r>
        <w:rPr>
          <w:rFonts w:hint="eastAsia" w:cs="宋体" w:asciiTheme="minorEastAsia" w:hAnsiTheme="minorEastAsia" w:eastAsiaTheme="minorEastAsia"/>
          <w:sz w:val="24"/>
          <w:szCs w:val="23"/>
        </w:rPr>
        <w:t>（八）营业期限：1995年06月08日 至 长期</w:t>
      </w:r>
    </w:p>
    <w:p>
      <w:pPr>
        <w:adjustRightInd/>
        <w:snapToGrid/>
        <w:spacing w:before="120" w:beforeLines="50" w:after="120" w:afterLines="50" w:line="360" w:lineRule="auto"/>
        <w:ind w:firstLine="480" w:firstLineChars="200"/>
        <w:jc w:val="both"/>
        <w:rPr>
          <w:rFonts w:hint="eastAsia" w:cs="宋体" w:asciiTheme="minorEastAsia" w:hAnsiTheme="minorEastAsia" w:eastAsiaTheme="minorEastAsia"/>
          <w:sz w:val="24"/>
          <w:szCs w:val="23"/>
        </w:rPr>
      </w:pPr>
      <w:r>
        <w:rPr>
          <w:rFonts w:hint="eastAsia" w:cs="宋体" w:asciiTheme="minorEastAsia" w:hAnsiTheme="minorEastAsia" w:eastAsiaTheme="minorEastAsia"/>
          <w:sz w:val="24"/>
          <w:szCs w:val="23"/>
        </w:rPr>
        <w:t>（九）经营范围：制造销售消防阀门、消防栓、消防设备配件 （不含国家限制品种）、阀门及其配件、管件、机械配件，批发、零售工艺品、服装鞋帽、 五金、化工产品（不含危险化学品）、普通机械、建筑材料、计算机及其配件，货物进出口、 技术进出口；海洋水质与生态环境监测仪器设备销售；海洋环境监测与探测装备销售；导航、测绘、气象及海洋专用仪器销售；海洋环境服务；海洋工程关键配套系统开发；海洋工程装备销售；制造、销售汽车农机零部件；制造、销售机床床身及零部件；制造销售密封件、橡胶制品；（法律、行政法规禁止的项目除外；法律、行政法规限制的项目取得许可后方可经营。 （依法须经批准的项目，经相关部门批准后方可开展经营活动）。</w:t>
      </w:r>
    </w:p>
    <w:p>
      <w:pPr>
        <w:adjustRightInd/>
        <w:snapToGrid/>
        <w:spacing w:before="120" w:beforeLines="50" w:after="120" w:afterLines="50" w:line="360" w:lineRule="auto"/>
        <w:ind w:firstLine="480" w:firstLineChars="200"/>
        <w:jc w:val="both"/>
        <w:rPr>
          <w:rFonts w:hint="eastAsia" w:cs="宋体" w:asciiTheme="minorEastAsia" w:hAnsiTheme="minorEastAsia" w:eastAsiaTheme="minorEastAsia"/>
          <w:sz w:val="24"/>
          <w:szCs w:val="23"/>
        </w:rPr>
      </w:pPr>
      <w:r>
        <w:rPr>
          <w:rFonts w:hint="eastAsia" w:cs="宋体" w:asciiTheme="minorEastAsia" w:hAnsiTheme="minorEastAsia" w:eastAsiaTheme="minorEastAsia"/>
          <w:sz w:val="24"/>
          <w:szCs w:val="23"/>
        </w:rPr>
        <w:t xml:space="preserve">特此公告。  </w:t>
      </w:r>
    </w:p>
    <w:p>
      <w:pPr>
        <w:pStyle w:val="13"/>
        <w:ind w:left="4840" w:leftChars="2200" w:firstLine="456" w:firstLineChars="190"/>
        <w:rPr>
          <w:rFonts w:asciiTheme="minorEastAsia" w:hAnsiTheme="minorEastAsia" w:eastAsiaTheme="minorEastAsia"/>
        </w:rPr>
      </w:pPr>
      <w:r>
        <w:rPr>
          <w:rFonts w:hint="eastAsia" w:asciiTheme="minorEastAsia" w:hAnsiTheme="minorEastAsia" w:eastAsiaTheme="minorEastAsia"/>
        </w:rPr>
        <w:t>青岛伟隆阀门股份有限公司</w:t>
      </w:r>
    </w:p>
    <w:p>
      <w:pPr>
        <w:pStyle w:val="13"/>
        <w:ind w:left="4840" w:leftChars="2200" w:firstLine="1538" w:firstLineChars="641"/>
        <w:rPr>
          <w:rFonts w:asciiTheme="minorEastAsia" w:hAnsiTheme="minorEastAsia" w:eastAsiaTheme="minorEastAsia"/>
        </w:rPr>
      </w:pPr>
      <w:r>
        <w:rPr>
          <w:rFonts w:hint="eastAsia" w:asciiTheme="minorEastAsia" w:hAnsiTheme="minorEastAsia" w:eastAsiaTheme="minorEastAsia"/>
        </w:rPr>
        <w:t>董事会</w:t>
      </w:r>
    </w:p>
    <w:p>
      <w:pPr>
        <w:pStyle w:val="13"/>
        <w:ind w:left="4840" w:leftChars="2200" w:firstLine="1099" w:firstLineChars="458"/>
        <w:rPr>
          <w:rFonts w:asciiTheme="minorEastAsia" w:hAnsiTheme="minorEastAsia" w:eastAsiaTheme="minorEastAsia"/>
        </w:rPr>
      </w:pPr>
      <w:r>
        <w:rPr>
          <w:rFonts w:hint="eastAsia" w:asciiTheme="minorEastAsia" w:hAnsiTheme="minorEastAsia" w:eastAsiaTheme="minorEastAsia"/>
        </w:rPr>
        <w:t>2023年1月1</w:t>
      </w:r>
      <w:r>
        <w:rPr>
          <w:rFonts w:hint="default" w:asciiTheme="minorEastAsia" w:hAnsiTheme="minorEastAsia" w:eastAsiaTheme="minorEastAsia"/>
          <w:lang w:val="en-US"/>
        </w:rPr>
        <w:t>4</w:t>
      </w:r>
      <w:r>
        <w:rPr>
          <w:rFonts w:hint="eastAsia" w:asciiTheme="minorEastAsia" w:hAnsiTheme="minorEastAsia" w:eastAsiaTheme="minorEastAsia"/>
        </w:rPr>
        <w:t>日</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WIwNzkzYTg0MzhhYmIxYTgwNmNhNDYxODQzNjMifQ=="/>
  </w:docVars>
  <w:rsids>
    <w:rsidRoot w:val="00172A27"/>
    <w:rsid w:val="0001374E"/>
    <w:rsid w:val="00023001"/>
    <w:rsid w:val="00024841"/>
    <w:rsid w:val="00030346"/>
    <w:rsid w:val="000325AD"/>
    <w:rsid w:val="000345B8"/>
    <w:rsid w:val="00056785"/>
    <w:rsid w:val="0006570E"/>
    <w:rsid w:val="000855A3"/>
    <w:rsid w:val="000A66E4"/>
    <w:rsid w:val="000B4C07"/>
    <w:rsid w:val="000C0F29"/>
    <w:rsid w:val="000C49C0"/>
    <w:rsid w:val="000C577A"/>
    <w:rsid w:val="000D23EF"/>
    <w:rsid w:val="000D42E7"/>
    <w:rsid w:val="000E492D"/>
    <w:rsid w:val="000E63D2"/>
    <w:rsid w:val="0010106E"/>
    <w:rsid w:val="00102917"/>
    <w:rsid w:val="0011020E"/>
    <w:rsid w:val="001129D6"/>
    <w:rsid w:val="00114E6B"/>
    <w:rsid w:val="0011719B"/>
    <w:rsid w:val="00142710"/>
    <w:rsid w:val="00152CB5"/>
    <w:rsid w:val="00153EFE"/>
    <w:rsid w:val="0015634D"/>
    <w:rsid w:val="00172A27"/>
    <w:rsid w:val="00184A4C"/>
    <w:rsid w:val="0018787F"/>
    <w:rsid w:val="001A71BB"/>
    <w:rsid w:val="001A7464"/>
    <w:rsid w:val="001B6E10"/>
    <w:rsid w:val="001D5038"/>
    <w:rsid w:val="001E339B"/>
    <w:rsid w:val="001E3C94"/>
    <w:rsid w:val="001F5D12"/>
    <w:rsid w:val="00204F5D"/>
    <w:rsid w:val="00211AC7"/>
    <w:rsid w:val="00232046"/>
    <w:rsid w:val="002342CA"/>
    <w:rsid w:val="00234CEA"/>
    <w:rsid w:val="00253991"/>
    <w:rsid w:val="002820AD"/>
    <w:rsid w:val="0029589D"/>
    <w:rsid w:val="002B0EC0"/>
    <w:rsid w:val="002C652A"/>
    <w:rsid w:val="002C6CC6"/>
    <w:rsid w:val="002D4223"/>
    <w:rsid w:val="002D450F"/>
    <w:rsid w:val="002F448C"/>
    <w:rsid w:val="00302183"/>
    <w:rsid w:val="00303D7E"/>
    <w:rsid w:val="00316798"/>
    <w:rsid w:val="003211A6"/>
    <w:rsid w:val="00321C78"/>
    <w:rsid w:val="00323B43"/>
    <w:rsid w:val="00334C1D"/>
    <w:rsid w:val="00342D94"/>
    <w:rsid w:val="00363F91"/>
    <w:rsid w:val="00374BE3"/>
    <w:rsid w:val="003866DB"/>
    <w:rsid w:val="0039021B"/>
    <w:rsid w:val="003917EB"/>
    <w:rsid w:val="003D2CF5"/>
    <w:rsid w:val="003D37D8"/>
    <w:rsid w:val="003D4922"/>
    <w:rsid w:val="003D5916"/>
    <w:rsid w:val="003E0A95"/>
    <w:rsid w:val="003E1DD7"/>
    <w:rsid w:val="004012A1"/>
    <w:rsid w:val="004030F1"/>
    <w:rsid w:val="00404E78"/>
    <w:rsid w:val="0040569B"/>
    <w:rsid w:val="0040795B"/>
    <w:rsid w:val="004126A9"/>
    <w:rsid w:val="00423843"/>
    <w:rsid w:val="00426133"/>
    <w:rsid w:val="00426C7A"/>
    <w:rsid w:val="00430EA5"/>
    <w:rsid w:val="004358AB"/>
    <w:rsid w:val="00436CDD"/>
    <w:rsid w:val="004445B7"/>
    <w:rsid w:val="00444795"/>
    <w:rsid w:val="00454800"/>
    <w:rsid w:val="00455AE8"/>
    <w:rsid w:val="00482ABF"/>
    <w:rsid w:val="004B6726"/>
    <w:rsid w:val="004C2B00"/>
    <w:rsid w:val="004D2B38"/>
    <w:rsid w:val="004D6E5B"/>
    <w:rsid w:val="004E7ECC"/>
    <w:rsid w:val="005148F9"/>
    <w:rsid w:val="00517615"/>
    <w:rsid w:val="0053078F"/>
    <w:rsid w:val="00530C86"/>
    <w:rsid w:val="00531165"/>
    <w:rsid w:val="0053243B"/>
    <w:rsid w:val="00547BF7"/>
    <w:rsid w:val="005503AF"/>
    <w:rsid w:val="00576E21"/>
    <w:rsid w:val="00577E4F"/>
    <w:rsid w:val="0058033D"/>
    <w:rsid w:val="00582C72"/>
    <w:rsid w:val="00584226"/>
    <w:rsid w:val="0058453E"/>
    <w:rsid w:val="005B10A7"/>
    <w:rsid w:val="005B7387"/>
    <w:rsid w:val="005D1FD2"/>
    <w:rsid w:val="005D29C8"/>
    <w:rsid w:val="005D3CEC"/>
    <w:rsid w:val="005E5324"/>
    <w:rsid w:val="00611B5E"/>
    <w:rsid w:val="00634BDC"/>
    <w:rsid w:val="00642D42"/>
    <w:rsid w:val="00644029"/>
    <w:rsid w:val="006467C7"/>
    <w:rsid w:val="00651C3A"/>
    <w:rsid w:val="0065616F"/>
    <w:rsid w:val="00690A00"/>
    <w:rsid w:val="006D35A1"/>
    <w:rsid w:val="006D56F5"/>
    <w:rsid w:val="006E1D66"/>
    <w:rsid w:val="006E6341"/>
    <w:rsid w:val="006F05CC"/>
    <w:rsid w:val="006F5D50"/>
    <w:rsid w:val="007351AF"/>
    <w:rsid w:val="00743B16"/>
    <w:rsid w:val="00744EC2"/>
    <w:rsid w:val="00746EDE"/>
    <w:rsid w:val="00747AEB"/>
    <w:rsid w:val="00762D1D"/>
    <w:rsid w:val="00776991"/>
    <w:rsid w:val="00791A4F"/>
    <w:rsid w:val="007A0946"/>
    <w:rsid w:val="007C57C3"/>
    <w:rsid w:val="007F0E0D"/>
    <w:rsid w:val="007F5D2E"/>
    <w:rsid w:val="007F6CCD"/>
    <w:rsid w:val="008031EF"/>
    <w:rsid w:val="00822D4B"/>
    <w:rsid w:val="00824ED1"/>
    <w:rsid w:val="00827F74"/>
    <w:rsid w:val="0083118E"/>
    <w:rsid w:val="00853533"/>
    <w:rsid w:val="00866CF2"/>
    <w:rsid w:val="0088651E"/>
    <w:rsid w:val="00895A53"/>
    <w:rsid w:val="008A340D"/>
    <w:rsid w:val="008A60E2"/>
    <w:rsid w:val="008B58EF"/>
    <w:rsid w:val="008B61FE"/>
    <w:rsid w:val="008B7726"/>
    <w:rsid w:val="008B7C6E"/>
    <w:rsid w:val="008C2F8C"/>
    <w:rsid w:val="008C78A1"/>
    <w:rsid w:val="008E00ED"/>
    <w:rsid w:val="00916495"/>
    <w:rsid w:val="00921361"/>
    <w:rsid w:val="00923BAD"/>
    <w:rsid w:val="009244E4"/>
    <w:rsid w:val="009246F2"/>
    <w:rsid w:val="00927045"/>
    <w:rsid w:val="00946976"/>
    <w:rsid w:val="00950516"/>
    <w:rsid w:val="00960D47"/>
    <w:rsid w:val="0096134A"/>
    <w:rsid w:val="00961786"/>
    <w:rsid w:val="00970759"/>
    <w:rsid w:val="00981FEC"/>
    <w:rsid w:val="00995529"/>
    <w:rsid w:val="00995645"/>
    <w:rsid w:val="0099578A"/>
    <w:rsid w:val="009A1FC7"/>
    <w:rsid w:val="009A2B2B"/>
    <w:rsid w:val="009C01B8"/>
    <w:rsid w:val="009C3EA0"/>
    <w:rsid w:val="009C4BE0"/>
    <w:rsid w:val="009C56F2"/>
    <w:rsid w:val="009D1D85"/>
    <w:rsid w:val="009D5B81"/>
    <w:rsid w:val="009E1445"/>
    <w:rsid w:val="009F6037"/>
    <w:rsid w:val="00A033AA"/>
    <w:rsid w:val="00A21D12"/>
    <w:rsid w:val="00A23E68"/>
    <w:rsid w:val="00A2692C"/>
    <w:rsid w:val="00A31156"/>
    <w:rsid w:val="00A343C3"/>
    <w:rsid w:val="00A37C95"/>
    <w:rsid w:val="00A45E25"/>
    <w:rsid w:val="00A64A60"/>
    <w:rsid w:val="00A84082"/>
    <w:rsid w:val="00A930C3"/>
    <w:rsid w:val="00A97FB0"/>
    <w:rsid w:val="00AA2C25"/>
    <w:rsid w:val="00AF083B"/>
    <w:rsid w:val="00B02433"/>
    <w:rsid w:val="00B127D4"/>
    <w:rsid w:val="00B1332F"/>
    <w:rsid w:val="00B13B76"/>
    <w:rsid w:val="00B44468"/>
    <w:rsid w:val="00B63233"/>
    <w:rsid w:val="00B73BE4"/>
    <w:rsid w:val="00BA2546"/>
    <w:rsid w:val="00BB22AF"/>
    <w:rsid w:val="00BB7F4A"/>
    <w:rsid w:val="00BC5DFF"/>
    <w:rsid w:val="00C12B04"/>
    <w:rsid w:val="00C2271F"/>
    <w:rsid w:val="00C2305B"/>
    <w:rsid w:val="00C24664"/>
    <w:rsid w:val="00C2752F"/>
    <w:rsid w:val="00C43614"/>
    <w:rsid w:val="00C5033A"/>
    <w:rsid w:val="00C826C6"/>
    <w:rsid w:val="00C84390"/>
    <w:rsid w:val="00C85029"/>
    <w:rsid w:val="00C90853"/>
    <w:rsid w:val="00CA4CC1"/>
    <w:rsid w:val="00CB41F4"/>
    <w:rsid w:val="00CC0FBE"/>
    <w:rsid w:val="00CC3BEA"/>
    <w:rsid w:val="00CE3CBD"/>
    <w:rsid w:val="00D00FF5"/>
    <w:rsid w:val="00D02DB8"/>
    <w:rsid w:val="00D03DB3"/>
    <w:rsid w:val="00D0744A"/>
    <w:rsid w:val="00D133C9"/>
    <w:rsid w:val="00D1424E"/>
    <w:rsid w:val="00D178DF"/>
    <w:rsid w:val="00D26EED"/>
    <w:rsid w:val="00D31D50"/>
    <w:rsid w:val="00D40BFE"/>
    <w:rsid w:val="00D415DC"/>
    <w:rsid w:val="00D52EEE"/>
    <w:rsid w:val="00D57BDA"/>
    <w:rsid w:val="00D601A0"/>
    <w:rsid w:val="00D92D23"/>
    <w:rsid w:val="00DA2CF5"/>
    <w:rsid w:val="00DA5F11"/>
    <w:rsid w:val="00DA70E8"/>
    <w:rsid w:val="00DA7534"/>
    <w:rsid w:val="00DB17AF"/>
    <w:rsid w:val="00DB7546"/>
    <w:rsid w:val="00DC5837"/>
    <w:rsid w:val="00DD0EA8"/>
    <w:rsid w:val="00DD3B30"/>
    <w:rsid w:val="00DD52F3"/>
    <w:rsid w:val="00DE7F69"/>
    <w:rsid w:val="00E15B4D"/>
    <w:rsid w:val="00E346A8"/>
    <w:rsid w:val="00E64E7E"/>
    <w:rsid w:val="00E93014"/>
    <w:rsid w:val="00E9315B"/>
    <w:rsid w:val="00EC5BB1"/>
    <w:rsid w:val="00ED33F0"/>
    <w:rsid w:val="00ED6873"/>
    <w:rsid w:val="00F0116A"/>
    <w:rsid w:val="00F04D02"/>
    <w:rsid w:val="00F11446"/>
    <w:rsid w:val="00F13789"/>
    <w:rsid w:val="00F14C6D"/>
    <w:rsid w:val="00F22F58"/>
    <w:rsid w:val="00F23AB8"/>
    <w:rsid w:val="00F302C9"/>
    <w:rsid w:val="00F370F4"/>
    <w:rsid w:val="00F6125A"/>
    <w:rsid w:val="00F714C0"/>
    <w:rsid w:val="00F75A91"/>
    <w:rsid w:val="00F82EEB"/>
    <w:rsid w:val="00F91281"/>
    <w:rsid w:val="00F91B98"/>
    <w:rsid w:val="00F94363"/>
    <w:rsid w:val="00F96CC4"/>
    <w:rsid w:val="00FC2256"/>
    <w:rsid w:val="00FE44C3"/>
    <w:rsid w:val="00FE58A9"/>
    <w:rsid w:val="00FF58DD"/>
    <w:rsid w:val="015C7D37"/>
    <w:rsid w:val="0173501A"/>
    <w:rsid w:val="02511D22"/>
    <w:rsid w:val="033A28AF"/>
    <w:rsid w:val="051D649D"/>
    <w:rsid w:val="059A78AB"/>
    <w:rsid w:val="09F6780B"/>
    <w:rsid w:val="0A6F6DCD"/>
    <w:rsid w:val="0B6821E9"/>
    <w:rsid w:val="0BF84BED"/>
    <w:rsid w:val="0FA81FA2"/>
    <w:rsid w:val="10450FFC"/>
    <w:rsid w:val="10487DC7"/>
    <w:rsid w:val="129B417F"/>
    <w:rsid w:val="13376603"/>
    <w:rsid w:val="13593AE2"/>
    <w:rsid w:val="15041741"/>
    <w:rsid w:val="169E4D2E"/>
    <w:rsid w:val="16D954CD"/>
    <w:rsid w:val="18B8286A"/>
    <w:rsid w:val="18DC0EBA"/>
    <w:rsid w:val="19E86BBA"/>
    <w:rsid w:val="1A744CC0"/>
    <w:rsid w:val="1C376F39"/>
    <w:rsid w:val="1D644E95"/>
    <w:rsid w:val="1E8966D9"/>
    <w:rsid w:val="21300D54"/>
    <w:rsid w:val="243A341F"/>
    <w:rsid w:val="24B76222"/>
    <w:rsid w:val="24CB0E2A"/>
    <w:rsid w:val="268F12EA"/>
    <w:rsid w:val="26C67F58"/>
    <w:rsid w:val="29C210BE"/>
    <w:rsid w:val="2B2E0C21"/>
    <w:rsid w:val="2D544042"/>
    <w:rsid w:val="2EBC29C3"/>
    <w:rsid w:val="30510126"/>
    <w:rsid w:val="30C74B59"/>
    <w:rsid w:val="31B112F9"/>
    <w:rsid w:val="31F90C8B"/>
    <w:rsid w:val="36E57D08"/>
    <w:rsid w:val="3A275BAB"/>
    <w:rsid w:val="3BD11BB8"/>
    <w:rsid w:val="3CB232E5"/>
    <w:rsid w:val="3EB11B72"/>
    <w:rsid w:val="3FA41FE9"/>
    <w:rsid w:val="400919CF"/>
    <w:rsid w:val="416C6F6D"/>
    <w:rsid w:val="42FA77D6"/>
    <w:rsid w:val="434B4313"/>
    <w:rsid w:val="45CC2E99"/>
    <w:rsid w:val="479B28A8"/>
    <w:rsid w:val="47DF1CD5"/>
    <w:rsid w:val="48FD7BDF"/>
    <w:rsid w:val="4AD14BF0"/>
    <w:rsid w:val="50636D72"/>
    <w:rsid w:val="52A81679"/>
    <w:rsid w:val="566907ED"/>
    <w:rsid w:val="57BB309D"/>
    <w:rsid w:val="59974B23"/>
    <w:rsid w:val="5AFE1DDF"/>
    <w:rsid w:val="5B833D34"/>
    <w:rsid w:val="5C3060E1"/>
    <w:rsid w:val="5C8A07D4"/>
    <w:rsid w:val="5DFB1DA6"/>
    <w:rsid w:val="60850862"/>
    <w:rsid w:val="6208657B"/>
    <w:rsid w:val="635B7A2E"/>
    <w:rsid w:val="650F6C5A"/>
    <w:rsid w:val="65CF229A"/>
    <w:rsid w:val="65D522E9"/>
    <w:rsid w:val="66693E2F"/>
    <w:rsid w:val="669A2D5B"/>
    <w:rsid w:val="67345DD9"/>
    <w:rsid w:val="67433677"/>
    <w:rsid w:val="683925BF"/>
    <w:rsid w:val="6B0312EE"/>
    <w:rsid w:val="6B864526"/>
    <w:rsid w:val="6CC87A15"/>
    <w:rsid w:val="6D25577C"/>
    <w:rsid w:val="6E03002B"/>
    <w:rsid w:val="6E850357"/>
    <w:rsid w:val="72885630"/>
    <w:rsid w:val="72C53F02"/>
    <w:rsid w:val="731842FC"/>
    <w:rsid w:val="74E92D18"/>
    <w:rsid w:val="75294BC5"/>
    <w:rsid w:val="761B2A57"/>
    <w:rsid w:val="79951E9B"/>
    <w:rsid w:val="79977767"/>
    <w:rsid w:val="7A0060E5"/>
    <w:rsid w:val="7A2735CA"/>
    <w:rsid w:val="7A507B69"/>
    <w:rsid w:val="7A6807BD"/>
    <w:rsid w:val="7BE25280"/>
    <w:rsid w:val="7E1D046B"/>
    <w:rsid w:val="7E335ECE"/>
    <w:rsid w:val="7EF07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style>
  <w:style w:type="paragraph" w:styleId="3">
    <w:name w:val="Balloon Text"/>
    <w:basedOn w:val="1"/>
    <w:link w:val="16"/>
    <w:semiHidden/>
    <w:unhideWhenUsed/>
    <w:qFormat/>
    <w:uiPriority w:val="99"/>
    <w:pPr>
      <w:spacing w:after="0"/>
    </w:pPr>
    <w:rPr>
      <w:sz w:val="18"/>
      <w:szCs w:val="18"/>
    </w:rPr>
  </w:style>
  <w:style w:type="paragraph" w:styleId="4">
    <w:name w:val="footer"/>
    <w:basedOn w:val="1"/>
    <w:link w:val="12"/>
    <w:semiHidden/>
    <w:unhideWhenUsed/>
    <w:qFormat/>
    <w:uiPriority w:val="99"/>
    <w:pPr>
      <w:tabs>
        <w:tab w:val="center" w:pos="4153"/>
        <w:tab w:val="right" w:pos="8306"/>
      </w:tabs>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semiHidden/>
    <w:qFormat/>
    <w:uiPriority w:val="99"/>
    <w:rPr>
      <w:rFonts w:ascii="Tahoma" w:hAnsi="Tahoma"/>
      <w:sz w:val="18"/>
      <w:szCs w:val="18"/>
    </w:rPr>
  </w:style>
  <w:style w:type="character" w:customStyle="1" w:styleId="12">
    <w:name w:val="页脚 Char"/>
    <w:basedOn w:val="9"/>
    <w:link w:val="4"/>
    <w:semiHidden/>
    <w:qFormat/>
    <w:uiPriority w:val="99"/>
    <w:rPr>
      <w:rFonts w:ascii="Tahoma" w:hAnsi="Tahoma"/>
      <w:sz w:val="18"/>
      <w:szCs w:val="18"/>
    </w:rPr>
  </w:style>
  <w:style w:type="paragraph" w:customStyle="1" w:styleId="1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4">
    <w:name w:val="批注文字 Char"/>
    <w:basedOn w:val="9"/>
    <w:link w:val="2"/>
    <w:semiHidden/>
    <w:qFormat/>
    <w:uiPriority w:val="99"/>
    <w:rPr>
      <w:rFonts w:ascii="Tahoma" w:hAnsi="Tahoma"/>
    </w:rPr>
  </w:style>
  <w:style w:type="character" w:customStyle="1" w:styleId="15">
    <w:name w:val="批注主题 Char"/>
    <w:basedOn w:val="14"/>
    <w:link w:val="6"/>
    <w:semiHidden/>
    <w:qFormat/>
    <w:uiPriority w:val="99"/>
    <w:rPr>
      <w:b/>
      <w:bCs/>
    </w:rPr>
  </w:style>
  <w:style w:type="character" w:customStyle="1" w:styleId="16">
    <w:name w:val="批注框文本 Char"/>
    <w:basedOn w:val="9"/>
    <w:link w:val="3"/>
    <w:semiHidden/>
    <w:qFormat/>
    <w:uiPriority w:val="99"/>
    <w:rPr>
      <w:rFonts w:ascii="Tahoma" w:hAnsi="Tahoma"/>
      <w:sz w:val="18"/>
      <w:szCs w:val="18"/>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1106</Words>
  <Characters>1262</Characters>
  <Lines>9</Lines>
  <Paragraphs>2</Paragraphs>
  <TotalTime>1</TotalTime>
  <ScaleCrop>false</ScaleCrop>
  <LinksUpToDate>false</LinksUpToDate>
  <CharactersWithSpaces>1303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2018-03-01T05:10:00Z</dcterms:created>
  <dc:creator>Administrator</dc:creator>
  <cp:lastModifiedBy>Mr.翔</cp:lastModifiedBy>
  <dcterms:modified xsi:type="dcterms:W3CDTF">2023-01-16T11:37:34Z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E875EB41A29D467886CF1D32B9B6CC94</vt:lpwstr>
  </property>
</Properties>
</file>