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before="120" w:after="120"/>
        <w:ind w:firstLine="0" w:firstLineChars="0"/>
        <w:rPr>
          <w:rFonts w:cs="Times New Roman" w:asciiTheme="minorEastAsia" w:hAnsiTheme="minorEastAsia" w:eastAsiaTheme="minorEastAsia"/>
          <w:sz w:val="21"/>
          <w:szCs w:val="21"/>
        </w:rPr>
      </w:pPr>
      <w:r>
        <w:rPr>
          <w:rFonts w:hint="eastAsia" w:cs="Times New Roman" w:asciiTheme="minorEastAsia" w:hAnsiTheme="minorEastAsia" w:eastAsiaTheme="minorEastAsia"/>
          <w:sz w:val="21"/>
          <w:szCs w:val="21"/>
        </w:rPr>
        <w:t xml:space="preserve">证券代码：002871     </w:t>
      </w:r>
      <w:r>
        <w:rPr>
          <w:rFonts w:cs="Times New Roman" w:asciiTheme="minorEastAsia" w:hAnsiTheme="minorEastAsia" w:eastAsiaTheme="minorEastAsia"/>
          <w:sz w:val="21"/>
          <w:szCs w:val="21"/>
        </w:rPr>
        <w:t xml:space="preserve">  </w:t>
      </w:r>
      <w:r>
        <w:rPr>
          <w:rFonts w:hint="eastAsia" w:cs="Times New Roman" w:asciiTheme="minorEastAsia" w:hAnsiTheme="minorEastAsia" w:eastAsiaTheme="minorEastAsia"/>
          <w:sz w:val="21"/>
          <w:szCs w:val="21"/>
        </w:rPr>
        <w:t xml:space="preserve"> </w:t>
      </w:r>
      <w:r>
        <w:rPr>
          <w:rFonts w:cs="Times New Roman" w:asciiTheme="minorEastAsia" w:hAnsiTheme="minorEastAsia" w:eastAsiaTheme="minorEastAsia"/>
          <w:sz w:val="21"/>
          <w:szCs w:val="21"/>
        </w:rPr>
        <w:t xml:space="preserve">   </w:t>
      </w:r>
      <w:r>
        <w:rPr>
          <w:rFonts w:hint="eastAsia" w:cs="Times New Roman" w:asciiTheme="minorEastAsia" w:hAnsiTheme="minorEastAsia" w:eastAsiaTheme="minorEastAsia"/>
          <w:sz w:val="21"/>
          <w:szCs w:val="21"/>
        </w:rPr>
        <w:t xml:space="preserve">  证券简称：伟隆股份  </w:t>
      </w:r>
      <w:r>
        <w:rPr>
          <w:rFonts w:cs="Times New Roman" w:asciiTheme="minorEastAsia" w:hAnsiTheme="minorEastAsia" w:eastAsiaTheme="minorEastAsia"/>
          <w:sz w:val="21"/>
          <w:szCs w:val="21"/>
        </w:rPr>
        <w:t xml:space="preserve">   </w:t>
      </w:r>
      <w:r>
        <w:rPr>
          <w:rFonts w:hint="eastAsia" w:cs="Times New Roman" w:asciiTheme="minorEastAsia" w:hAnsiTheme="minorEastAsia" w:eastAsiaTheme="minorEastAsia"/>
          <w:sz w:val="21"/>
          <w:szCs w:val="21"/>
        </w:rPr>
        <w:t xml:space="preserve"> </w:t>
      </w:r>
      <w:r>
        <w:rPr>
          <w:rFonts w:cs="Times New Roman" w:asciiTheme="minorEastAsia" w:hAnsiTheme="minorEastAsia" w:eastAsiaTheme="minorEastAsia"/>
          <w:sz w:val="21"/>
          <w:szCs w:val="21"/>
        </w:rPr>
        <w:t xml:space="preserve">  </w:t>
      </w:r>
      <w:r>
        <w:rPr>
          <w:rFonts w:hint="eastAsia" w:cs="Times New Roman" w:asciiTheme="minorEastAsia" w:hAnsiTheme="minorEastAsia" w:eastAsiaTheme="minorEastAsia"/>
          <w:sz w:val="21"/>
          <w:szCs w:val="21"/>
        </w:rPr>
        <w:t xml:space="preserve">     公告编号：202</w:t>
      </w:r>
      <w:r>
        <w:rPr>
          <w:rFonts w:cs="Times New Roman" w:asciiTheme="minorEastAsia" w:hAnsiTheme="minorEastAsia" w:eastAsiaTheme="minorEastAsia"/>
          <w:sz w:val="21"/>
          <w:szCs w:val="21"/>
        </w:rPr>
        <w:t>3</w:t>
      </w:r>
      <w:r>
        <w:rPr>
          <w:rFonts w:hint="eastAsia" w:cs="Times New Roman" w:asciiTheme="minorEastAsia" w:hAnsiTheme="minorEastAsia" w:eastAsiaTheme="minorEastAsia"/>
          <w:sz w:val="21"/>
          <w:szCs w:val="21"/>
        </w:rPr>
        <w:t>-024</w:t>
      </w:r>
    </w:p>
    <w:p>
      <w:pPr>
        <w:spacing w:before="120" w:after="120"/>
        <w:ind w:firstLine="562"/>
        <w:jc w:val="center"/>
        <w:rPr>
          <w:rFonts w:asciiTheme="minorEastAsia" w:hAnsiTheme="minorEastAsia" w:eastAsiaTheme="minorEastAsia"/>
          <w:b/>
          <w:sz w:val="28"/>
        </w:rPr>
      </w:pPr>
      <w:r>
        <w:rPr>
          <w:rFonts w:hint="eastAsia" w:asciiTheme="minorEastAsia" w:hAnsiTheme="minorEastAsia" w:eastAsiaTheme="minorEastAsia"/>
          <w:b/>
          <w:sz w:val="28"/>
        </w:rPr>
        <w:t>青岛伟隆阀门股份有限公司</w:t>
      </w:r>
    </w:p>
    <w:p>
      <w:pPr>
        <w:spacing w:before="120" w:after="120"/>
        <w:ind w:firstLine="562"/>
        <w:jc w:val="center"/>
        <w:rPr>
          <w:rFonts w:asciiTheme="minorEastAsia" w:hAnsiTheme="minorEastAsia" w:eastAsiaTheme="minorEastAsia"/>
          <w:b/>
          <w:sz w:val="28"/>
        </w:rPr>
      </w:pPr>
      <w:r>
        <w:rPr>
          <w:rFonts w:hint="eastAsia" w:asciiTheme="minorEastAsia" w:hAnsiTheme="minorEastAsia" w:eastAsiaTheme="minorEastAsia"/>
          <w:b/>
          <w:sz w:val="28"/>
        </w:rPr>
        <w:t>关于增资并控股青岛伟隆海洋科技有限公司的公告</w:t>
      </w:r>
    </w:p>
    <w:tbl>
      <w:tblPr>
        <w:tblStyle w:val="1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8" w:hRule="atLeast"/>
          <w:jc w:val="center"/>
        </w:trPr>
        <w:tc>
          <w:tcPr>
            <w:tcW w:w="8522" w:type="dxa"/>
            <w:tcBorders>
              <w:top w:val="single" w:color="auto" w:sz="4" w:space="0"/>
              <w:left w:val="single" w:color="auto" w:sz="4" w:space="0"/>
              <w:bottom w:val="single" w:color="auto" w:sz="4" w:space="0"/>
              <w:right w:val="single" w:color="auto" w:sz="4" w:space="0"/>
            </w:tcBorders>
          </w:tcPr>
          <w:p>
            <w:pPr>
              <w:widowControl w:val="0"/>
              <w:autoSpaceDE w:val="0"/>
              <w:autoSpaceDN w:val="0"/>
              <w:spacing w:beforeLines="0" w:afterLines="0"/>
              <w:ind w:firstLine="480"/>
              <w:rPr>
                <w:kern w:val="2"/>
                <w:szCs w:val="22"/>
              </w:rPr>
            </w:pPr>
            <w:r>
              <w:rPr>
                <w:rFonts w:hint="eastAsia"/>
                <w:kern w:val="2"/>
                <w:szCs w:val="22"/>
              </w:rPr>
              <w:t>本公司及董事会全体成员保证信息披露内容的真实、准确和完整，没有虚假记载、误导性陈述或重大遗漏。</w:t>
            </w:r>
          </w:p>
        </w:tc>
      </w:tr>
    </w:tbl>
    <w:p>
      <w:pPr>
        <w:spacing w:before="120" w:after="120"/>
        <w:ind w:firstLine="480"/>
        <w:rPr>
          <w:rFonts w:ascii="Times New Roman" w:hAnsi="Times New Roman"/>
          <w:szCs w:val="23"/>
        </w:rPr>
      </w:pPr>
      <w:r>
        <w:rPr>
          <w:rFonts w:hint="eastAsia" w:ascii="Times New Roman" w:hAnsi="Times New Roman"/>
          <w:szCs w:val="23"/>
        </w:rPr>
        <w:t>特别提示：</w:t>
      </w:r>
    </w:p>
    <w:p>
      <w:pPr>
        <w:pStyle w:val="2"/>
        <w:numPr>
          <w:ilvl w:val="0"/>
          <w:numId w:val="2"/>
        </w:numPr>
        <w:spacing w:before="120" w:after="120"/>
        <w:ind w:firstLine="480"/>
      </w:pPr>
      <w:r>
        <w:rPr>
          <w:rFonts w:hint="eastAsia"/>
        </w:rPr>
        <w:t>青岛伟隆阀门股份有限公司（以下简称“公司”）通过现金方式，向青岛伟隆海洋科技有限公司（以下简称“海洋科技”）增资299.8万元人民币，增资后公司持有海洋科技59.96%的股权，海洋科技成为公司控股子公司，纳入公司合并报表范围内。</w:t>
      </w:r>
    </w:p>
    <w:p>
      <w:pPr>
        <w:pStyle w:val="2"/>
        <w:numPr>
          <w:ilvl w:val="0"/>
          <w:numId w:val="2"/>
        </w:numPr>
        <w:spacing w:before="120" w:after="120"/>
        <w:ind w:firstLine="480"/>
      </w:pPr>
      <w:r>
        <w:rPr>
          <w:rFonts w:hAnsi="宋体"/>
        </w:rPr>
        <w:t>本次交易不构成关联交易，亦不构成《上市公司重大资产重组管理办法》 规定的重大资产重组</w:t>
      </w:r>
      <w:r>
        <w:rPr>
          <w:rFonts w:hint="eastAsia" w:hAnsi="宋体"/>
        </w:rPr>
        <w:t>。</w:t>
      </w:r>
    </w:p>
    <w:p>
      <w:pPr>
        <w:pStyle w:val="2"/>
        <w:numPr>
          <w:ilvl w:val="0"/>
          <w:numId w:val="2"/>
        </w:numPr>
        <w:spacing w:before="120" w:after="120"/>
        <w:ind w:firstLine="480"/>
      </w:pPr>
      <w:r>
        <w:rPr>
          <w:rFonts w:hAnsi="宋体"/>
        </w:rPr>
        <w:t>根据《深圳证券交易所股票上市规则》和《公司章程》相关规定，本次 交易在董事会的权限范围内，无需提交股东大会审议。</w:t>
      </w:r>
    </w:p>
    <w:p>
      <w:pPr>
        <w:spacing w:before="120" w:after="120"/>
        <w:ind w:firstLine="480"/>
        <w:rPr>
          <w:rFonts w:ascii="Times New Roman" w:hAnsi="Times New Roman"/>
          <w:szCs w:val="23"/>
        </w:rPr>
      </w:pPr>
    </w:p>
    <w:p>
      <w:pPr>
        <w:numPr>
          <w:ilvl w:val="0"/>
          <w:numId w:val="3"/>
        </w:numPr>
        <w:spacing w:before="120" w:after="120"/>
        <w:ind w:firstLine="482"/>
        <w:rPr>
          <w:rFonts w:ascii="Times New Roman" w:hAnsi="Times New Roman"/>
          <w:b/>
          <w:szCs w:val="23"/>
        </w:rPr>
      </w:pPr>
      <w:r>
        <w:rPr>
          <w:rFonts w:hint="eastAsia" w:ascii="Times New Roman" w:hAnsi="Times New Roman"/>
          <w:b/>
          <w:szCs w:val="23"/>
        </w:rPr>
        <w:t>对外投资交易概述</w:t>
      </w:r>
    </w:p>
    <w:p>
      <w:pPr>
        <w:pStyle w:val="2"/>
        <w:spacing w:before="120" w:after="120"/>
        <w:ind w:firstLine="360" w:firstLineChars="150"/>
        <w:rPr>
          <w:rFonts w:hAnsi="宋体"/>
        </w:rPr>
      </w:pPr>
      <w:r>
        <w:rPr>
          <w:rFonts w:hint="eastAsia" w:hAnsi="宋体"/>
        </w:rPr>
        <w:t>根据</w:t>
      </w:r>
      <w:r>
        <w:rPr>
          <w:rFonts w:hAnsi="宋体"/>
        </w:rPr>
        <w:t>公司</w:t>
      </w:r>
      <w:r>
        <w:rPr>
          <w:rFonts w:hint="eastAsia" w:hAnsi="宋体"/>
        </w:rPr>
        <w:t>经营</w:t>
      </w:r>
      <w:r>
        <w:rPr>
          <w:rFonts w:hAnsi="宋体"/>
        </w:rPr>
        <w:t>发展战略规划的需要，</w:t>
      </w:r>
      <w:r>
        <w:rPr>
          <w:rFonts w:hint="eastAsia"/>
        </w:rPr>
        <w:t>为</w:t>
      </w:r>
      <w:r>
        <w:rPr>
          <w:rFonts w:hint="eastAsia" w:hAnsi="宋体"/>
        </w:rPr>
        <w:t>充分发挥各方的资源优势，加快</w:t>
      </w:r>
      <w:r>
        <w:rPr>
          <w:rFonts w:hint="eastAsia"/>
        </w:rPr>
        <w:t>公司</w:t>
      </w:r>
      <w:r>
        <w:rPr>
          <w:rFonts w:hint="eastAsia" w:hAnsi="宋体"/>
        </w:rPr>
        <w:t>参与新能源风力发电智能装备设施以及智慧节能阀门系统的业务布局，</w:t>
      </w:r>
      <w:r>
        <w:rPr>
          <w:rFonts w:hAnsi="宋体"/>
        </w:rPr>
        <w:t>提升公司的综合</w:t>
      </w:r>
      <w:r>
        <w:rPr>
          <w:rFonts w:hint="eastAsia" w:hAnsi="宋体"/>
        </w:rPr>
        <w:t>竞争</w:t>
      </w:r>
      <w:r>
        <w:rPr>
          <w:rFonts w:hAnsi="宋体"/>
        </w:rPr>
        <w:t>力。公司于202</w:t>
      </w:r>
      <w:r>
        <w:rPr>
          <w:rFonts w:hint="eastAsia" w:hAnsi="宋体"/>
        </w:rPr>
        <w:t>3</w:t>
      </w:r>
      <w:r>
        <w:rPr>
          <w:rFonts w:hAnsi="宋体"/>
        </w:rPr>
        <w:t>年</w:t>
      </w:r>
      <w:r>
        <w:rPr>
          <w:rFonts w:hint="eastAsia" w:hAnsi="宋体"/>
        </w:rPr>
        <w:t>2</w:t>
      </w:r>
      <w:r>
        <w:rPr>
          <w:rFonts w:hAnsi="宋体"/>
        </w:rPr>
        <w:t>月1</w:t>
      </w:r>
      <w:r>
        <w:rPr>
          <w:rFonts w:hint="eastAsia" w:hAnsi="宋体"/>
        </w:rPr>
        <w:t>6</w:t>
      </w:r>
      <w:r>
        <w:rPr>
          <w:rFonts w:hAnsi="宋体"/>
        </w:rPr>
        <w:t>日召开第四届董事会第</w:t>
      </w:r>
      <w:r>
        <w:rPr>
          <w:rFonts w:hint="eastAsia" w:hAnsi="宋体"/>
        </w:rPr>
        <w:t>十八</w:t>
      </w:r>
      <w:r>
        <w:rPr>
          <w:rFonts w:hAnsi="宋体"/>
        </w:rPr>
        <w:t>次会议，审议通过了《</w:t>
      </w:r>
      <w:r>
        <w:rPr>
          <w:rFonts w:hint="eastAsia" w:hAnsi="宋体"/>
        </w:rPr>
        <w:t>关于公司增资并控股青岛伟隆海洋科技有限公司的</w:t>
      </w:r>
      <w:r>
        <w:rPr>
          <w:rFonts w:hAnsi="宋体"/>
        </w:rPr>
        <w:t>议案》，</w:t>
      </w:r>
      <w:r>
        <w:rPr>
          <w:rFonts w:hint="eastAsia" w:hAnsi="宋体"/>
        </w:rPr>
        <w:t>同意公司</w:t>
      </w:r>
      <w:r>
        <w:rPr>
          <w:rFonts w:hAnsi="宋体"/>
        </w:rPr>
        <w:t>通过现金方式向</w:t>
      </w:r>
      <w:r>
        <w:rPr>
          <w:rFonts w:hint="eastAsia" w:hAnsi="宋体"/>
        </w:rPr>
        <w:t>海洋科技</w:t>
      </w:r>
      <w:r>
        <w:rPr>
          <w:rFonts w:hAnsi="宋体"/>
        </w:rPr>
        <w:t>增资2</w:t>
      </w:r>
      <w:r>
        <w:rPr>
          <w:rFonts w:hint="eastAsia" w:hAnsi="宋体"/>
        </w:rPr>
        <w:t>99.8</w:t>
      </w:r>
      <w:r>
        <w:rPr>
          <w:rFonts w:hAnsi="宋体"/>
        </w:rPr>
        <w:t>万元人民币</w:t>
      </w:r>
      <w:r>
        <w:rPr>
          <w:rFonts w:hint="eastAsia" w:hAnsi="宋体"/>
        </w:rPr>
        <w:t>。本次</w:t>
      </w:r>
      <w:r>
        <w:rPr>
          <w:rFonts w:hAnsi="宋体"/>
        </w:rPr>
        <w:t>增资</w:t>
      </w:r>
      <w:r>
        <w:rPr>
          <w:rFonts w:hint="eastAsia" w:hAnsi="宋体"/>
        </w:rPr>
        <w:t>完成后，</w:t>
      </w:r>
      <w:r>
        <w:rPr>
          <w:rFonts w:hAnsi="宋体"/>
        </w:rPr>
        <w:t>公司持有</w:t>
      </w:r>
      <w:r>
        <w:rPr>
          <w:rFonts w:hint="eastAsia" w:hAnsi="宋体"/>
        </w:rPr>
        <w:t>海洋科技</w:t>
      </w:r>
      <w:r>
        <w:rPr>
          <w:rFonts w:hAnsi="宋体"/>
        </w:rPr>
        <w:t>5</w:t>
      </w:r>
      <w:r>
        <w:rPr>
          <w:rFonts w:hint="eastAsia" w:hAnsi="宋体"/>
        </w:rPr>
        <w:t>9.96</w:t>
      </w:r>
      <w:r>
        <w:rPr>
          <w:rFonts w:hAnsi="宋体"/>
        </w:rPr>
        <w:t>%的股权，</w:t>
      </w:r>
      <w:r>
        <w:rPr>
          <w:rFonts w:hint="eastAsia" w:hAnsi="宋体"/>
        </w:rPr>
        <w:t>海洋科技</w:t>
      </w:r>
      <w:r>
        <w:rPr>
          <w:rFonts w:hAnsi="宋体"/>
        </w:rPr>
        <w:t>成为公司的控股子公司，纳入公司合并报表范围</w:t>
      </w:r>
      <w:r>
        <w:rPr>
          <w:rFonts w:hint="eastAsia" w:hAnsi="宋体"/>
        </w:rPr>
        <w:t>内。</w:t>
      </w:r>
    </w:p>
    <w:p>
      <w:pPr>
        <w:pStyle w:val="2"/>
        <w:spacing w:before="120" w:after="120"/>
        <w:ind w:firstLine="480"/>
        <w:rPr>
          <w:rFonts w:hAnsi="宋体"/>
        </w:rPr>
      </w:pPr>
      <w:r>
        <w:rPr>
          <w:rFonts w:hAnsi="宋体"/>
        </w:rPr>
        <w:t>本次交易</w:t>
      </w:r>
      <w:r>
        <w:rPr>
          <w:rFonts w:hint="eastAsia" w:hAnsi="宋体"/>
        </w:rPr>
        <w:t>在</w:t>
      </w:r>
      <w:r>
        <w:rPr>
          <w:rFonts w:hAnsi="宋体"/>
        </w:rPr>
        <w:t>公司董事会决策权限范围内，不属于关联交易</w:t>
      </w:r>
      <w:r>
        <w:rPr>
          <w:rFonts w:hint="eastAsia" w:hAnsi="宋体"/>
        </w:rPr>
        <w:t>，也不构成《上市公司重大资产重组管理办法》规定的</w:t>
      </w:r>
      <w:r>
        <w:rPr>
          <w:rFonts w:hAnsi="宋体"/>
        </w:rPr>
        <w:t>重大资产重组事项，无需提交股东大会审议批准。</w:t>
      </w:r>
    </w:p>
    <w:p>
      <w:pPr>
        <w:pStyle w:val="2"/>
        <w:numPr>
          <w:ilvl w:val="0"/>
          <w:numId w:val="3"/>
        </w:numPr>
        <w:spacing w:before="120" w:after="120"/>
        <w:ind w:firstLine="482"/>
        <w:rPr>
          <w:rFonts w:hAnsi="宋体"/>
          <w:b/>
        </w:rPr>
      </w:pPr>
      <w:r>
        <w:rPr>
          <w:rFonts w:hint="eastAsia" w:hAnsi="宋体"/>
          <w:b/>
        </w:rPr>
        <w:t>交易对方基本情况</w:t>
      </w:r>
    </w:p>
    <w:p>
      <w:pPr>
        <w:pStyle w:val="2"/>
        <w:numPr>
          <w:ilvl w:val="0"/>
          <w:numId w:val="4"/>
        </w:numPr>
        <w:spacing w:before="120" w:after="120"/>
        <w:ind w:firstLine="480"/>
        <w:rPr>
          <w:rFonts w:hAnsi="宋体"/>
        </w:rPr>
      </w:pPr>
      <w:r>
        <w:rPr>
          <w:rFonts w:hint="eastAsia" w:hAnsi="宋体"/>
        </w:rPr>
        <w:t>交易对方：青岛禹航新能源有限公司</w:t>
      </w:r>
    </w:p>
    <w:p>
      <w:pPr>
        <w:pStyle w:val="6"/>
        <w:spacing w:before="120" w:after="120" w:line="360" w:lineRule="auto"/>
        <w:ind w:firstLine="480"/>
        <w:rPr>
          <w:rFonts w:asciiTheme="minorEastAsia" w:hAnsiTheme="minorEastAsia" w:eastAsiaTheme="minorEastAsia"/>
        </w:rPr>
      </w:pPr>
      <w:r>
        <w:rPr>
          <w:rFonts w:hint="eastAsia" w:asciiTheme="minorEastAsia" w:hAnsiTheme="minorEastAsia" w:eastAsiaTheme="minorEastAsia"/>
        </w:rPr>
        <w:t>2.统一社会信用代码：</w:t>
      </w:r>
      <w:r>
        <w:rPr>
          <w:rFonts w:asciiTheme="minorEastAsia" w:hAnsiTheme="minorEastAsia" w:eastAsiaTheme="minorEastAsia"/>
        </w:rPr>
        <w:t>91370202MAC6NMXF25</w:t>
      </w:r>
    </w:p>
    <w:p>
      <w:pPr>
        <w:pStyle w:val="2"/>
        <w:spacing w:before="120" w:after="120"/>
        <w:ind w:firstLine="480"/>
        <w:rPr>
          <w:rFonts w:hint="eastAsia" w:asciiTheme="minorEastAsia" w:hAnsiTheme="minorEastAsia" w:eastAsiaTheme="minorEastAsia"/>
        </w:rPr>
      </w:pPr>
      <w:r>
        <w:rPr>
          <w:rFonts w:hint="eastAsia" w:asciiTheme="minorEastAsia" w:hAnsiTheme="minorEastAsia" w:eastAsiaTheme="minorEastAsia"/>
        </w:rPr>
        <w:t>3. 法定代表人：张军</w:t>
      </w:r>
    </w:p>
    <w:p>
      <w:pPr>
        <w:pStyle w:val="2"/>
        <w:spacing w:before="120" w:after="120"/>
        <w:ind w:firstLine="480"/>
        <w:rPr>
          <w:rFonts w:hint="eastAsia" w:asciiTheme="minorEastAsia" w:hAnsiTheme="minorEastAsia" w:eastAsiaTheme="minorEastAsia"/>
        </w:rPr>
      </w:pPr>
      <w:r>
        <w:rPr>
          <w:rFonts w:hint="eastAsia" w:asciiTheme="minorEastAsia" w:hAnsiTheme="minorEastAsia" w:eastAsiaTheme="minorEastAsia"/>
        </w:rPr>
        <w:t>4.</w:t>
      </w:r>
      <w:r>
        <w:rPr>
          <w:rFonts w:asciiTheme="minorEastAsia" w:hAnsiTheme="minorEastAsia" w:eastAsiaTheme="minorEastAsia"/>
        </w:rPr>
        <w:t>住所</w:t>
      </w:r>
      <w:r>
        <w:rPr>
          <w:rFonts w:hint="eastAsia" w:asciiTheme="minorEastAsia" w:hAnsiTheme="minorEastAsia" w:eastAsiaTheme="minorEastAsia"/>
        </w:rPr>
        <w:t>：青岛市市南区香港中路</w:t>
      </w:r>
      <w:r>
        <w:rPr>
          <w:rFonts w:asciiTheme="minorEastAsia" w:hAnsiTheme="minorEastAsia" w:eastAsiaTheme="minorEastAsia"/>
        </w:rPr>
        <w:t>73号12E户</w:t>
      </w:r>
    </w:p>
    <w:p>
      <w:pPr>
        <w:pStyle w:val="6"/>
        <w:spacing w:before="120" w:after="120" w:line="360" w:lineRule="auto"/>
        <w:ind w:firstLine="480"/>
        <w:rPr>
          <w:rFonts w:asciiTheme="minorEastAsia" w:hAnsiTheme="minorEastAsia" w:eastAsiaTheme="minorEastAsia"/>
        </w:rPr>
      </w:pPr>
      <w:r>
        <w:rPr>
          <w:rFonts w:hint="eastAsia" w:asciiTheme="minorEastAsia" w:hAnsiTheme="minorEastAsia" w:eastAsiaTheme="minorEastAsia"/>
        </w:rPr>
        <w:t>5.注册资本：2</w:t>
      </w:r>
      <w:r>
        <w:rPr>
          <w:rFonts w:asciiTheme="minorEastAsia" w:hAnsiTheme="minorEastAsia" w:eastAsiaTheme="minorEastAsia"/>
        </w:rPr>
        <w:t>00</w:t>
      </w:r>
      <w:r>
        <w:rPr>
          <w:rFonts w:hint="eastAsia" w:asciiTheme="minorEastAsia" w:hAnsiTheme="minorEastAsia" w:eastAsiaTheme="minorEastAsia"/>
        </w:rPr>
        <w:t>万元</w:t>
      </w:r>
    </w:p>
    <w:p>
      <w:pPr>
        <w:pStyle w:val="6"/>
        <w:spacing w:before="120" w:after="120" w:line="360" w:lineRule="auto"/>
        <w:ind w:firstLine="480"/>
        <w:rPr>
          <w:rFonts w:asciiTheme="minorEastAsia" w:hAnsiTheme="minorEastAsia" w:eastAsiaTheme="minorEastAsia"/>
        </w:rPr>
      </w:pPr>
      <w:r>
        <w:rPr>
          <w:rFonts w:hint="eastAsia" w:asciiTheme="minorEastAsia" w:hAnsiTheme="minorEastAsia" w:eastAsiaTheme="minorEastAsia"/>
        </w:rPr>
        <w:t>6.成立日期：2</w:t>
      </w:r>
      <w:r>
        <w:rPr>
          <w:rFonts w:asciiTheme="minorEastAsia" w:hAnsiTheme="minorEastAsia" w:eastAsiaTheme="minorEastAsia"/>
        </w:rPr>
        <w:t>022</w:t>
      </w:r>
      <w:r>
        <w:rPr>
          <w:rFonts w:hint="eastAsia" w:asciiTheme="minorEastAsia" w:hAnsiTheme="minorEastAsia" w:eastAsiaTheme="minorEastAsia"/>
        </w:rPr>
        <w:t>年1</w:t>
      </w:r>
      <w:r>
        <w:rPr>
          <w:rFonts w:asciiTheme="minorEastAsia" w:hAnsiTheme="minorEastAsia" w:eastAsiaTheme="minorEastAsia"/>
        </w:rPr>
        <w:t>2</w:t>
      </w:r>
      <w:r>
        <w:rPr>
          <w:rFonts w:hint="eastAsia" w:asciiTheme="minorEastAsia" w:hAnsiTheme="minorEastAsia" w:eastAsiaTheme="minorEastAsia"/>
        </w:rPr>
        <w:t>月2</w:t>
      </w:r>
      <w:r>
        <w:rPr>
          <w:rFonts w:asciiTheme="minorEastAsia" w:hAnsiTheme="minorEastAsia" w:eastAsiaTheme="minorEastAsia"/>
        </w:rPr>
        <w:t>8</w:t>
      </w:r>
      <w:r>
        <w:rPr>
          <w:rFonts w:hint="eastAsia" w:asciiTheme="minorEastAsia" w:hAnsiTheme="minorEastAsia" w:eastAsiaTheme="minorEastAsia"/>
        </w:rPr>
        <w:t>日</w:t>
      </w:r>
    </w:p>
    <w:p>
      <w:pPr>
        <w:pStyle w:val="6"/>
        <w:spacing w:before="120" w:after="120" w:line="360" w:lineRule="auto"/>
        <w:ind w:firstLine="480"/>
        <w:rPr>
          <w:rFonts w:hint="eastAsia"/>
        </w:rPr>
      </w:pPr>
      <w:r>
        <w:rPr>
          <w:rFonts w:hint="eastAsia" w:asciiTheme="minorEastAsia" w:hAnsiTheme="minorEastAsia" w:eastAsiaTheme="minorEastAsia"/>
        </w:rPr>
        <w:t>7.经营范围：一</w:t>
      </w:r>
      <w:r>
        <w:t>般项目:技术服务、技术开发、技术咨询、技术交流、技术转让、技术推广;工程和技术研 究和试验发展;新兴能源技术研发;自然科学研究和试验发展;智能车载设备销售;工业自动控制 系统装置销售;5G 通信技术服务;电子产品销售;雷达、无线电导航设备专业修理;雷达及配套 设备制造【分支机构经营】;通讯设备销售;导航、测绘、气象及海洋专用仪器销售;信息系统 集成服务;卫星遥感应用系统集成;导航终端销售;卫星导航服务;卫星遥感数据处理;卫星通信服 务;卫星导航多模增强应用服务系统集成;卫星技术综合应用系统集成;卫星移动通信终端销售; 海洋工程关键配套系统开发;海洋环境服务;海洋工程装备销售;海洋工程装备研发;海洋服务;机 械设备租赁;租赁服务(不含许可类租赁服务);劳务服务(不含劳务派遣);机械设备研发;海上风 电相关装备销售;海上风电相关系统研发;海洋环境监测与探测装备销售;海上风力发电机组销 售;深海石油钻探设备销售;电子测量仪器销售;人工智能基础软件开发;人工智能应用软件开发; 人工智能基础资源与技术平台;人工智能硬件销售;人工智能公共服务平台技术咨询服务;人工 智能公共数据平台;人工智能行业应用系统集成服务;人工智能通用应用系统;人工智能理论与 算法软件开发;软件开发;工程技术服务(规划管理、勘察、设计、监理除外);技术进出口;货物 进出口;风电场相关系统研发;工程管理服务;风电场相关装备销售;智能机器人销售;智能机器人 的研发;工业设计服务。(除依法须经批准的项目外,凭营业执照依法自主开展经营活动)许可项 目:微小卫星测运控服务;微小卫星科研试验;通用航空服务。(依法须经批准的项目,经相关部 门批准后方可开展经营活动,具体经营项目以相关部门批准文件或许可证件为准)</w:t>
      </w:r>
      <w:r>
        <w:rPr>
          <w:rFonts w:hint="eastAsia"/>
        </w:rPr>
        <w:t>。</w:t>
      </w:r>
    </w:p>
    <w:p>
      <w:pPr>
        <w:pStyle w:val="6"/>
        <w:spacing w:before="120" w:after="120" w:line="360" w:lineRule="auto"/>
        <w:ind w:firstLine="480"/>
        <w:rPr>
          <w:rFonts w:asciiTheme="minorEastAsia" w:hAnsiTheme="minorEastAsia"/>
        </w:rPr>
      </w:pPr>
      <w:r>
        <w:rPr>
          <w:rFonts w:hint="eastAsia"/>
        </w:rPr>
        <w:t>8.</w:t>
      </w:r>
      <w:r>
        <w:rPr>
          <w:rFonts w:hint="eastAsia" w:asciiTheme="minorEastAsia" w:hAnsiTheme="minorEastAsia"/>
        </w:rPr>
        <w:t xml:space="preserve"> 股权结构：自然人股东刘洋持有7</w:t>
      </w:r>
      <w:r>
        <w:rPr>
          <w:rFonts w:asciiTheme="minorEastAsia" w:hAnsiTheme="minorEastAsia"/>
        </w:rPr>
        <w:t>5</w:t>
      </w:r>
      <w:r>
        <w:rPr>
          <w:rFonts w:hint="eastAsia" w:asciiTheme="minorEastAsia" w:hAnsiTheme="minorEastAsia"/>
        </w:rPr>
        <w:t>%的股权，自然人股东张军持有2</w:t>
      </w:r>
      <w:r>
        <w:rPr>
          <w:rFonts w:asciiTheme="minorEastAsia" w:hAnsiTheme="minorEastAsia"/>
        </w:rPr>
        <w:t>5</w:t>
      </w:r>
      <w:r>
        <w:rPr>
          <w:rFonts w:hint="eastAsia" w:asciiTheme="minorEastAsia" w:hAnsiTheme="minorEastAsia"/>
        </w:rPr>
        <w:t>%的股权。</w:t>
      </w:r>
    </w:p>
    <w:p>
      <w:pPr>
        <w:pStyle w:val="2"/>
        <w:spacing w:before="120" w:after="120"/>
        <w:ind w:firstLine="480"/>
        <w:rPr>
          <w:rFonts w:hAnsi="宋体"/>
        </w:rPr>
      </w:pPr>
      <w:r>
        <w:rPr>
          <w:rFonts w:hint="eastAsia" w:hAnsi="宋体"/>
        </w:rPr>
        <w:t>经核查，自然人股东刘洋、</w:t>
      </w:r>
      <w:r>
        <w:rPr>
          <w:rFonts w:hint="eastAsia" w:asciiTheme="minorEastAsia" w:hAnsiTheme="minorEastAsia"/>
        </w:rPr>
        <w:t>张军及</w:t>
      </w:r>
      <w:r>
        <w:rPr>
          <w:rFonts w:hint="eastAsia" w:hAnsi="宋体"/>
        </w:rPr>
        <w:t>青岛禹航新能源有限公司不属于失信被执行人。</w:t>
      </w:r>
    </w:p>
    <w:p>
      <w:pPr>
        <w:pStyle w:val="2"/>
        <w:numPr>
          <w:ilvl w:val="0"/>
          <w:numId w:val="3"/>
        </w:numPr>
        <w:spacing w:before="120" w:after="120"/>
        <w:ind w:firstLine="482"/>
        <w:rPr>
          <w:rFonts w:asciiTheme="minorEastAsia" w:hAnsiTheme="minorEastAsia" w:eastAsiaTheme="minorEastAsia"/>
          <w:b/>
        </w:rPr>
      </w:pPr>
      <w:r>
        <w:rPr>
          <w:rFonts w:hint="eastAsia" w:asciiTheme="minorEastAsia" w:hAnsiTheme="minorEastAsia" w:eastAsiaTheme="minorEastAsia"/>
          <w:b/>
        </w:rPr>
        <w:t>标的公司基本情况</w:t>
      </w:r>
    </w:p>
    <w:p>
      <w:pPr>
        <w:pStyle w:val="2"/>
        <w:numPr>
          <w:ilvl w:val="0"/>
          <w:numId w:val="5"/>
        </w:numPr>
        <w:spacing w:before="120" w:after="120"/>
        <w:ind w:left="480" w:leftChars="200" w:firstLine="0" w:firstLineChars="0"/>
        <w:rPr>
          <w:rFonts w:asciiTheme="minorEastAsia" w:hAnsiTheme="minorEastAsia" w:eastAsiaTheme="minorEastAsia"/>
        </w:rPr>
      </w:pPr>
      <w:r>
        <w:rPr>
          <w:rFonts w:hint="eastAsia" w:asciiTheme="minorEastAsia" w:hAnsiTheme="minorEastAsia" w:eastAsiaTheme="minorEastAsia"/>
        </w:rPr>
        <w:t>基本情况</w:t>
      </w:r>
    </w:p>
    <w:p>
      <w:pPr>
        <w:pStyle w:val="2"/>
        <w:numPr>
          <w:ilvl w:val="0"/>
          <w:numId w:val="6"/>
        </w:numPr>
        <w:spacing w:before="120" w:after="120"/>
        <w:ind w:leftChars="200" w:hanging="600" w:hangingChars="250"/>
        <w:rPr>
          <w:rFonts w:asciiTheme="minorEastAsia" w:hAnsiTheme="minorEastAsia" w:eastAsiaTheme="minorEastAsia"/>
        </w:rPr>
      </w:pPr>
      <w:r>
        <w:rPr>
          <w:rFonts w:hint="eastAsia" w:asciiTheme="minorEastAsia" w:hAnsiTheme="minorEastAsia" w:eastAsiaTheme="minorEastAsia"/>
        </w:rPr>
        <w:t>企业名称：青岛伟隆海洋科技有限公司</w:t>
      </w:r>
    </w:p>
    <w:p>
      <w:pPr>
        <w:pStyle w:val="6"/>
        <w:numPr>
          <w:ilvl w:val="0"/>
          <w:numId w:val="6"/>
        </w:numPr>
        <w:spacing w:before="120" w:after="120" w:line="360" w:lineRule="auto"/>
        <w:ind w:leftChars="200" w:hanging="600" w:hangingChars="250"/>
        <w:rPr>
          <w:rFonts w:asciiTheme="minorEastAsia" w:hAnsiTheme="minorEastAsia" w:eastAsiaTheme="minorEastAsia"/>
        </w:rPr>
      </w:pPr>
      <w:r>
        <w:rPr>
          <w:rFonts w:hint="eastAsia" w:asciiTheme="minorEastAsia" w:hAnsiTheme="minorEastAsia" w:eastAsiaTheme="minorEastAsia"/>
        </w:rPr>
        <w:t>统一社会信用代码：</w:t>
      </w:r>
      <w:r>
        <w:rPr>
          <w:rFonts w:asciiTheme="minorEastAsia" w:hAnsiTheme="minorEastAsia" w:eastAsiaTheme="minorEastAsia"/>
        </w:rPr>
        <w:t>913702033214726901</w:t>
      </w:r>
    </w:p>
    <w:p>
      <w:pPr>
        <w:pStyle w:val="2"/>
        <w:numPr>
          <w:ilvl w:val="0"/>
          <w:numId w:val="6"/>
        </w:numPr>
        <w:spacing w:before="120" w:after="120"/>
        <w:ind w:leftChars="200" w:hanging="600" w:hangingChars="250"/>
        <w:rPr>
          <w:rFonts w:asciiTheme="minorEastAsia" w:hAnsiTheme="minorEastAsia" w:eastAsiaTheme="minorEastAsia"/>
        </w:rPr>
      </w:pPr>
      <w:r>
        <w:rPr>
          <w:rFonts w:hint="eastAsia" w:asciiTheme="minorEastAsia" w:hAnsiTheme="minorEastAsia" w:eastAsiaTheme="minorEastAsia"/>
        </w:rPr>
        <w:t>法定代表人：张军</w:t>
      </w:r>
    </w:p>
    <w:p>
      <w:pPr>
        <w:pStyle w:val="2"/>
        <w:numPr>
          <w:ilvl w:val="0"/>
          <w:numId w:val="6"/>
        </w:numPr>
        <w:tabs>
          <w:tab w:val="left" w:pos="0"/>
        </w:tabs>
        <w:spacing w:before="120" w:after="120"/>
        <w:ind w:left="0" w:firstLine="480"/>
        <w:rPr>
          <w:rFonts w:hint="eastAsia" w:asciiTheme="minorEastAsia" w:hAnsiTheme="minorEastAsia" w:eastAsiaTheme="minorEastAsia"/>
        </w:rPr>
      </w:pPr>
      <w:r>
        <w:rPr>
          <w:rFonts w:hint="eastAsia" w:asciiTheme="minorEastAsia" w:hAnsiTheme="minorEastAsia" w:eastAsiaTheme="minorEastAsia"/>
        </w:rPr>
        <w:t>注册地址：山东省青岛市高新区华贯路以东、华东路以西、科海路以南</w:t>
      </w:r>
    </w:p>
    <w:p>
      <w:pPr>
        <w:pStyle w:val="2"/>
        <w:numPr>
          <w:ilvl w:val="0"/>
          <w:numId w:val="6"/>
        </w:numPr>
        <w:spacing w:before="120" w:after="120"/>
        <w:ind w:leftChars="200" w:hanging="600" w:hangingChars="250"/>
        <w:rPr>
          <w:rFonts w:asciiTheme="minorEastAsia" w:hAnsiTheme="minorEastAsia" w:eastAsiaTheme="minorEastAsia"/>
        </w:rPr>
      </w:pPr>
      <w:r>
        <w:rPr>
          <w:rFonts w:hint="eastAsia" w:asciiTheme="minorEastAsia" w:hAnsiTheme="minorEastAsia" w:eastAsiaTheme="minorEastAsia"/>
        </w:rPr>
        <w:t>注册资本：</w:t>
      </w:r>
      <w:r>
        <w:rPr>
          <w:rFonts w:asciiTheme="minorEastAsia" w:hAnsiTheme="minorEastAsia" w:eastAsiaTheme="minorEastAsia"/>
        </w:rPr>
        <w:t>200.2万元</w:t>
      </w:r>
    </w:p>
    <w:p>
      <w:pPr>
        <w:pStyle w:val="2"/>
        <w:numPr>
          <w:ilvl w:val="0"/>
          <w:numId w:val="6"/>
        </w:numPr>
        <w:spacing w:before="120" w:after="120"/>
        <w:ind w:leftChars="200" w:hanging="600" w:hangingChars="250"/>
        <w:rPr>
          <w:rFonts w:asciiTheme="minorEastAsia" w:hAnsiTheme="minorEastAsia" w:eastAsiaTheme="minorEastAsia"/>
        </w:rPr>
      </w:pPr>
      <w:r>
        <w:rPr>
          <w:rFonts w:hint="eastAsia" w:asciiTheme="minorEastAsia" w:hAnsiTheme="minorEastAsia" w:eastAsiaTheme="minorEastAsia"/>
        </w:rPr>
        <w:t>成立日期：2</w:t>
      </w:r>
      <w:r>
        <w:rPr>
          <w:rFonts w:asciiTheme="minorEastAsia" w:hAnsiTheme="minorEastAsia" w:eastAsiaTheme="minorEastAsia"/>
        </w:rPr>
        <w:t>014</w:t>
      </w:r>
      <w:r>
        <w:rPr>
          <w:rFonts w:hint="eastAsia" w:asciiTheme="minorEastAsia" w:hAnsiTheme="minorEastAsia" w:eastAsiaTheme="minorEastAsia"/>
        </w:rPr>
        <w:t>年1</w:t>
      </w:r>
      <w:r>
        <w:rPr>
          <w:rFonts w:asciiTheme="minorEastAsia" w:hAnsiTheme="minorEastAsia" w:eastAsiaTheme="minorEastAsia"/>
        </w:rPr>
        <w:t>1</w:t>
      </w:r>
      <w:r>
        <w:rPr>
          <w:rFonts w:hint="eastAsia" w:asciiTheme="minorEastAsia" w:hAnsiTheme="minorEastAsia" w:eastAsiaTheme="minorEastAsia"/>
        </w:rPr>
        <w:t>月2</w:t>
      </w:r>
      <w:r>
        <w:rPr>
          <w:rFonts w:asciiTheme="minorEastAsia" w:hAnsiTheme="minorEastAsia" w:eastAsiaTheme="minorEastAsia"/>
        </w:rPr>
        <w:t>5</w:t>
      </w:r>
      <w:r>
        <w:rPr>
          <w:rFonts w:hint="eastAsia" w:asciiTheme="minorEastAsia" w:hAnsiTheme="minorEastAsia" w:eastAsiaTheme="minorEastAsia"/>
        </w:rPr>
        <w:t>日</w:t>
      </w:r>
    </w:p>
    <w:p>
      <w:pPr>
        <w:pStyle w:val="2"/>
        <w:numPr>
          <w:ilvl w:val="0"/>
          <w:numId w:val="6"/>
        </w:numPr>
        <w:tabs>
          <w:tab w:val="left" w:pos="0"/>
        </w:tabs>
        <w:spacing w:before="120" w:after="120"/>
        <w:ind w:left="0" w:firstLine="480"/>
        <w:rPr>
          <w:rFonts w:asciiTheme="minorEastAsia" w:hAnsiTheme="minorEastAsia" w:eastAsiaTheme="minorEastAsia"/>
        </w:rPr>
      </w:pPr>
      <w:r>
        <w:rPr>
          <w:rFonts w:hint="eastAsia" w:asciiTheme="minorEastAsia" w:hAnsiTheme="minorEastAsia" w:eastAsiaTheme="minorEastAsia"/>
        </w:rPr>
        <w:t>经营范围：</w:t>
      </w:r>
      <w:r>
        <w:rPr>
          <w:rFonts w:hAnsi="宋体"/>
        </w:rPr>
        <w:t>一般项目:技术服务、技术开发、技术咨询、技术交流、技术转让、技术推广;海洋水质与生 态环境监测仪器设备销售;卫星通信服务;铁路运输设备销售;卫星导航服务;卫星技术综合应用 系统集成;卫星导航多模增强应用服务系统集成;卫星移动通信终端销售;气象观测服务;海洋气 象服务;海洋环境监测与探测装备销售;导航、测绘、气象及海洋专用仪器销售;海洋服务;海洋 环境服务;海洋工程关键配套系统开发;海洋工程装备销售;深海石油钻探设备销售;阀门和旋塞 研发;阀门和旋塞销售;特种设备销售;机械设备销售;仪器仪表销售;五金产品批发;五金产品研 发;集成电路销售;计算机软硬件及辅助设备批发;信息系统集成服务。(除依法须经批准的项目 外,凭营业执照依法自主开展经营活动)许可项目:通用航空服务;货物进出口;技术进出口。(依 法须经批准的项目,经相关部门批准后方可开展经营活动,具体经营项目以相关部门批准文件 或许可证件为准)</w:t>
      </w:r>
      <w:r>
        <w:rPr>
          <w:rFonts w:hint="eastAsia" w:hAnsi="宋体"/>
        </w:rPr>
        <w:t>。</w:t>
      </w:r>
    </w:p>
    <w:p>
      <w:pPr>
        <w:pStyle w:val="2"/>
        <w:numPr>
          <w:ilvl w:val="0"/>
          <w:numId w:val="5"/>
        </w:numPr>
        <w:spacing w:before="120" w:after="120"/>
        <w:ind w:left="1080" w:leftChars="200" w:hanging="600" w:hangingChars="250"/>
        <w:rPr>
          <w:rFonts w:asciiTheme="minorEastAsia" w:hAnsiTheme="minorEastAsia" w:eastAsiaTheme="minorEastAsia"/>
        </w:rPr>
      </w:pPr>
      <w:r>
        <w:rPr>
          <w:rFonts w:hint="eastAsia" w:asciiTheme="minorEastAsia" w:hAnsiTheme="minorEastAsia" w:eastAsiaTheme="minorEastAsia"/>
        </w:rPr>
        <w:t>标的公司增资前后的股权结构</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1276"/>
        <w:gridCol w:w="1134"/>
        <w:gridCol w:w="1134"/>
        <w:gridCol w:w="1275"/>
        <w:gridCol w:w="1134"/>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restart"/>
          </w:tcPr>
          <w:p>
            <w:pPr>
              <w:pStyle w:val="2"/>
              <w:spacing w:before="120" w:after="120"/>
              <w:ind w:firstLine="0"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股东名称</w:t>
            </w:r>
          </w:p>
        </w:tc>
        <w:tc>
          <w:tcPr>
            <w:tcW w:w="3544" w:type="dxa"/>
            <w:gridSpan w:val="3"/>
          </w:tcPr>
          <w:p>
            <w:pPr>
              <w:pStyle w:val="2"/>
              <w:spacing w:before="120" w:after="120"/>
              <w:ind w:firstLine="420"/>
              <w:rPr>
                <w:rFonts w:asciiTheme="minorEastAsia" w:hAnsiTheme="minorEastAsia" w:eastAsiaTheme="minorEastAsia"/>
                <w:sz w:val="21"/>
                <w:szCs w:val="21"/>
              </w:rPr>
            </w:pPr>
            <w:r>
              <w:rPr>
                <w:rFonts w:hint="eastAsia" w:asciiTheme="minorEastAsia" w:hAnsiTheme="minorEastAsia" w:eastAsiaTheme="minorEastAsia"/>
                <w:sz w:val="21"/>
                <w:szCs w:val="21"/>
              </w:rPr>
              <w:t>本次增资前</w:t>
            </w:r>
          </w:p>
        </w:tc>
        <w:tc>
          <w:tcPr>
            <w:tcW w:w="3452" w:type="dxa"/>
            <w:gridSpan w:val="3"/>
          </w:tcPr>
          <w:p>
            <w:pPr>
              <w:pStyle w:val="2"/>
              <w:spacing w:before="120" w:after="120"/>
              <w:ind w:firstLine="630" w:firstLineChars="300"/>
              <w:rPr>
                <w:rFonts w:asciiTheme="minorEastAsia" w:hAnsiTheme="minorEastAsia" w:eastAsiaTheme="minorEastAsia"/>
                <w:sz w:val="21"/>
                <w:szCs w:val="21"/>
              </w:rPr>
            </w:pPr>
            <w:r>
              <w:rPr>
                <w:rFonts w:hint="eastAsia" w:asciiTheme="minorEastAsia" w:hAnsiTheme="minorEastAsia" w:eastAsiaTheme="minorEastAsia"/>
                <w:sz w:val="21"/>
                <w:szCs w:val="21"/>
              </w:rPr>
              <w:t>本次增资后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tcPr>
          <w:p>
            <w:pPr>
              <w:pStyle w:val="2"/>
              <w:spacing w:before="120" w:after="120"/>
              <w:ind w:firstLine="0" w:firstLineChars="0"/>
              <w:rPr>
                <w:rFonts w:asciiTheme="minorEastAsia" w:hAnsiTheme="minorEastAsia" w:eastAsiaTheme="minorEastAsia"/>
                <w:sz w:val="21"/>
                <w:szCs w:val="21"/>
              </w:rPr>
            </w:pPr>
          </w:p>
        </w:tc>
        <w:tc>
          <w:tcPr>
            <w:tcW w:w="1276" w:type="dxa"/>
          </w:tcPr>
          <w:p>
            <w:pPr>
              <w:pStyle w:val="2"/>
              <w:spacing w:before="120" w:after="120"/>
              <w:ind w:firstLine="0"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认缴出资额(万元)</w:t>
            </w:r>
          </w:p>
        </w:tc>
        <w:tc>
          <w:tcPr>
            <w:tcW w:w="1134" w:type="dxa"/>
          </w:tcPr>
          <w:p>
            <w:pPr>
              <w:pStyle w:val="2"/>
              <w:spacing w:before="120" w:after="120"/>
              <w:ind w:firstLine="0"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实缴出资额(万元)</w:t>
            </w:r>
          </w:p>
        </w:tc>
        <w:tc>
          <w:tcPr>
            <w:tcW w:w="1134" w:type="dxa"/>
          </w:tcPr>
          <w:p>
            <w:pPr>
              <w:pStyle w:val="2"/>
              <w:spacing w:before="120" w:after="120"/>
              <w:ind w:firstLine="0"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持股比例(%)</w:t>
            </w:r>
          </w:p>
        </w:tc>
        <w:tc>
          <w:tcPr>
            <w:tcW w:w="1275" w:type="dxa"/>
          </w:tcPr>
          <w:p>
            <w:pPr>
              <w:pStyle w:val="2"/>
              <w:spacing w:before="120" w:after="120"/>
              <w:ind w:firstLine="0"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认缴出资额(万元)</w:t>
            </w:r>
          </w:p>
        </w:tc>
        <w:tc>
          <w:tcPr>
            <w:tcW w:w="1134" w:type="dxa"/>
          </w:tcPr>
          <w:p>
            <w:pPr>
              <w:pStyle w:val="2"/>
              <w:spacing w:before="120" w:after="120"/>
              <w:ind w:firstLine="0"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实缴出资额(万元)</w:t>
            </w:r>
          </w:p>
        </w:tc>
        <w:tc>
          <w:tcPr>
            <w:tcW w:w="1043" w:type="dxa"/>
          </w:tcPr>
          <w:p>
            <w:pPr>
              <w:pStyle w:val="2"/>
              <w:spacing w:before="120" w:after="120"/>
              <w:ind w:firstLine="0"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持股比例(%)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pStyle w:val="2"/>
              <w:spacing w:before="120" w:after="120"/>
              <w:ind w:firstLine="0" w:firstLineChars="0"/>
              <w:rPr>
                <w:rFonts w:asciiTheme="minorEastAsia" w:hAnsiTheme="minorEastAsia" w:eastAsiaTheme="minorEastAsia"/>
                <w:sz w:val="21"/>
                <w:szCs w:val="21"/>
              </w:rPr>
            </w:pPr>
            <w:r>
              <w:rPr>
                <w:rFonts w:hint="eastAsia" w:hAnsi="宋体"/>
                <w:sz w:val="21"/>
                <w:szCs w:val="21"/>
              </w:rPr>
              <w:t>青岛禹航新能源有限公司</w:t>
            </w:r>
          </w:p>
        </w:tc>
        <w:tc>
          <w:tcPr>
            <w:tcW w:w="1276" w:type="dxa"/>
          </w:tcPr>
          <w:p>
            <w:pPr>
              <w:pStyle w:val="2"/>
              <w:spacing w:before="120" w:after="120"/>
              <w:ind w:firstLine="0"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200.2</w:t>
            </w:r>
          </w:p>
        </w:tc>
        <w:tc>
          <w:tcPr>
            <w:tcW w:w="1134" w:type="dxa"/>
          </w:tcPr>
          <w:p>
            <w:pPr>
              <w:pStyle w:val="2"/>
              <w:spacing w:before="120" w:after="120"/>
              <w:ind w:firstLine="0"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0</w:t>
            </w:r>
          </w:p>
        </w:tc>
        <w:tc>
          <w:tcPr>
            <w:tcW w:w="1134" w:type="dxa"/>
          </w:tcPr>
          <w:p>
            <w:pPr>
              <w:pStyle w:val="2"/>
              <w:spacing w:before="120" w:after="120"/>
              <w:ind w:firstLine="0"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100</w:t>
            </w:r>
          </w:p>
        </w:tc>
        <w:tc>
          <w:tcPr>
            <w:tcW w:w="1275" w:type="dxa"/>
          </w:tcPr>
          <w:p>
            <w:pPr>
              <w:pStyle w:val="2"/>
              <w:spacing w:before="120" w:after="120"/>
              <w:ind w:firstLine="0"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200.2</w:t>
            </w:r>
          </w:p>
        </w:tc>
        <w:tc>
          <w:tcPr>
            <w:tcW w:w="1134" w:type="dxa"/>
          </w:tcPr>
          <w:p>
            <w:pPr>
              <w:pStyle w:val="2"/>
              <w:spacing w:before="120" w:after="120"/>
              <w:ind w:firstLine="0"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0</w:t>
            </w:r>
          </w:p>
        </w:tc>
        <w:tc>
          <w:tcPr>
            <w:tcW w:w="1043" w:type="dxa"/>
          </w:tcPr>
          <w:p>
            <w:pPr>
              <w:pStyle w:val="2"/>
              <w:spacing w:before="120" w:after="120"/>
              <w:ind w:firstLine="0"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40.04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pStyle w:val="2"/>
              <w:spacing w:before="120" w:after="120"/>
              <w:ind w:firstLine="0"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青岛伟隆阀门股份有限公司</w:t>
            </w:r>
          </w:p>
        </w:tc>
        <w:tc>
          <w:tcPr>
            <w:tcW w:w="1276" w:type="dxa"/>
          </w:tcPr>
          <w:p>
            <w:pPr>
              <w:pStyle w:val="2"/>
              <w:spacing w:before="120" w:after="120"/>
              <w:ind w:firstLine="0"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0</w:t>
            </w:r>
          </w:p>
        </w:tc>
        <w:tc>
          <w:tcPr>
            <w:tcW w:w="1134" w:type="dxa"/>
          </w:tcPr>
          <w:p>
            <w:pPr>
              <w:pStyle w:val="2"/>
              <w:spacing w:before="120" w:after="120"/>
              <w:ind w:firstLine="0"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0</w:t>
            </w:r>
          </w:p>
        </w:tc>
        <w:tc>
          <w:tcPr>
            <w:tcW w:w="1134" w:type="dxa"/>
          </w:tcPr>
          <w:p>
            <w:pPr>
              <w:pStyle w:val="2"/>
              <w:spacing w:before="120" w:after="120"/>
              <w:ind w:firstLine="0"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0</w:t>
            </w:r>
          </w:p>
        </w:tc>
        <w:tc>
          <w:tcPr>
            <w:tcW w:w="1275" w:type="dxa"/>
          </w:tcPr>
          <w:p>
            <w:pPr>
              <w:pStyle w:val="2"/>
              <w:spacing w:before="120" w:after="120"/>
              <w:ind w:firstLine="0"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299.8</w:t>
            </w:r>
          </w:p>
        </w:tc>
        <w:tc>
          <w:tcPr>
            <w:tcW w:w="1134" w:type="dxa"/>
          </w:tcPr>
          <w:p>
            <w:pPr>
              <w:pStyle w:val="2"/>
              <w:spacing w:before="120" w:after="120"/>
              <w:ind w:firstLine="0"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0</w:t>
            </w:r>
          </w:p>
        </w:tc>
        <w:tc>
          <w:tcPr>
            <w:tcW w:w="1043" w:type="dxa"/>
          </w:tcPr>
          <w:p>
            <w:pPr>
              <w:pStyle w:val="2"/>
              <w:spacing w:before="120" w:after="120"/>
              <w:ind w:firstLine="0"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59.96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pStyle w:val="2"/>
              <w:spacing w:before="120" w:after="120"/>
              <w:ind w:firstLine="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合计</w:t>
            </w:r>
          </w:p>
        </w:tc>
        <w:tc>
          <w:tcPr>
            <w:tcW w:w="1276" w:type="dxa"/>
          </w:tcPr>
          <w:p>
            <w:pPr>
              <w:pStyle w:val="2"/>
              <w:spacing w:before="120" w:after="120"/>
              <w:ind w:firstLine="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200.2</w:t>
            </w:r>
          </w:p>
        </w:tc>
        <w:tc>
          <w:tcPr>
            <w:tcW w:w="1134" w:type="dxa"/>
          </w:tcPr>
          <w:p>
            <w:pPr>
              <w:pStyle w:val="2"/>
              <w:spacing w:before="120" w:after="120"/>
              <w:ind w:firstLine="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0</w:t>
            </w:r>
          </w:p>
        </w:tc>
        <w:tc>
          <w:tcPr>
            <w:tcW w:w="1134" w:type="dxa"/>
          </w:tcPr>
          <w:p>
            <w:pPr>
              <w:pStyle w:val="2"/>
              <w:spacing w:before="120" w:after="120"/>
              <w:ind w:firstLine="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100</w:t>
            </w:r>
          </w:p>
        </w:tc>
        <w:tc>
          <w:tcPr>
            <w:tcW w:w="1275" w:type="dxa"/>
          </w:tcPr>
          <w:p>
            <w:pPr>
              <w:pStyle w:val="2"/>
              <w:spacing w:before="120" w:after="120"/>
              <w:ind w:firstLine="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500</w:t>
            </w:r>
          </w:p>
        </w:tc>
        <w:tc>
          <w:tcPr>
            <w:tcW w:w="1134" w:type="dxa"/>
          </w:tcPr>
          <w:p>
            <w:pPr>
              <w:pStyle w:val="2"/>
              <w:spacing w:before="120" w:after="120"/>
              <w:ind w:firstLine="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0</w:t>
            </w:r>
          </w:p>
        </w:tc>
        <w:tc>
          <w:tcPr>
            <w:tcW w:w="1043" w:type="dxa"/>
          </w:tcPr>
          <w:p>
            <w:pPr>
              <w:pStyle w:val="2"/>
              <w:spacing w:before="120" w:after="120"/>
              <w:ind w:firstLine="0" w:firstLineChars="0"/>
              <w:rPr>
                <w:rFonts w:hint="eastAsia" w:asciiTheme="minorEastAsia" w:hAnsiTheme="minorEastAsia" w:eastAsiaTheme="minorEastAsia"/>
                <w:sz w:val="21"/>
                <w:szCs w:val="21"/>
              </w:rPr>
            </w:pPr>
            <w:r>
              <w:rPr>
                <w:rFonts w:hint="eastAsia" w:asciiTheme="minorEastAsia" w:hAnsiTheme="minorEastAsia" w:eastAsiaTheme="minorEastAsia"/>
                <w:sz w:val="21"/>
                <w:szCs w:val="21"/>
              </w:rPr>
              <w:t>100</w:t>
            </w:r>
          </w:p>
        </w:tc>
      </w:tr>
    </w:tbl>
    <w:p>
      <w:pPr>
        <w:pStyle w:val="2"/>
        <w:spacing w:before="120" w:after="120"/>
        <w:ind w:left="1080" w:leftChars="200" w:hanging="600" w:hangingChars="250"/>
        <w:rPr>
          <w:rFonts w:asciiTheme="minorEastAsia" w:hAnsiTheme="minorEastAsia" w:eastAsiaTheme="minorEastAsia"/>
        </w:rPr>
      </w:pPr>
    </w:p>
    <w:p>
      <w:pPr>
        <w:pStyle w:val="11"/>
        <w:numPr>
          <w:ilvl w:val="0"/>
          <w:numId w:val="5"/>
        </w:numPr>
        <w:shd w:val="clear" w:color="auto" w:fill="FFFFFF"/>
        <w:spacing w:before="120" w:beforeAutospacing="0" w:after="120" w:afterAutospacing="0" w:line="330" w:lineRule="atLeast"/>
        <w:ind w:firstLine="480" w:firstLineChars="0"/>
      </w:pPr>
      <w:r>
        <w:rPr>
          <w:rFonts w:hint="eastAsia"/>
        </w:rPr>
        <w:t>主要财务数据</w:t>
      </w:r>
    </w:p>
    <w:p>
      <w:pPr>
        <w:pStyle w:val="2"/>
        <w:spacing w:before="120" w:after="120"/>
        <w:ind w:left="1080" w:firstLine="0" w:firstLineChars="0"/>
        <w:rPr>
          <w:rFonts w:asciiTheme="minorEastAsia" w:hAnsiTheme="minorEastAsia" w:eastAsiaTheme="minorEastAsia"/>
        </w:rPr>
      </w:pPr>
      <w:r>
        <w:rPr>
          <w:rFonts w:hint="eastAsia" w:asciiTheme="minorEastAsia" w:hAnsiTheme="minorEastAsia" w:eastAsiaTheme="minorEastAsia"/>
        </w:rPr>
        <w:t>海洋科技自设立以来尚未实缴股本，亦未实际开展经营。</w:t>
      </w:r>
    </w:p>
    <w:p>
      <w:pPr>
        <w:pStyle w:val="2"/>
        <w:numPr>
          <w:ilvl w:val="0"/>
          <w:numId w:val="5"/>
        </w:numPr>
        <w:spacing w:before="120" w:after="120"/>
        <w:ind w:left="1080" w:leftChars="200" w:hanging="600" w:hangingChars="250"/>
        <w:rPr>
          <w:rFonts w:asciiTheme="minorEastAsia" w:hAnsiTheme="minorEastAsia" w:eastAsiaTheme="minorEastAsia"/>
        </w:rPr>
      </w:pPr>
      <w:r>
        <w:rPr>
          <w:rFonts w:hint="eastAsia" w:asciiTheme="minorEastAsia" w:hAnsiTheme="minorEastAsia" w:eastAsiaTheme="minorEastAsia"/>
        </w:rPr>
        <w:t>其他</w:t>
      </w:r>
    </w:p>
    <w:p>
      <w:pPr>
        <w:pStyle w:val="2"/>
        <w:numPr>
          <w:ilvl w:val="0"/>
          <w:numId w:val="7"/>
        </w:numPr>
        <w:spacing w:before="120" w:after="120"/>
        <w:ind w:firstLineChars="0"/>
        <w:rPr>
          <w:rFonts w:hAnsi="宋体"/>
        </w:rPr>
      </w:pPr>
      <w:r>
        <w:rPr>
          <w:rFonts w:hint="eastAsia" w:asciiTheme="minorEastAsia" w:hAnsiTheme="minorEastAsia" w:eastAsiaTheme="minorEastAsia"/>
        </w:rPr>
        <w:t>海洋科技的产权清晰，不存在涉及有关资产的重大争议、诉讼或仲裁事项、查封或冻结等司法措施；</w:t>
      </w:r>
      <w:r>
        <w:rPr>
          <w:rFonts w:hAnsi="宋体"/>
        </w:rPr>
        <w:t>不存在为他人担保、财务资助等情况。</w:t>
      </w:r>
    </w:p>
    <w:p>
      <w:pPr>
        <w:pStyle w:val="2"/>
        <w:numPr>
          <w:ilvl w:val="0"/>
          <w:numId w:val="7"/>
        </w:numPr>
        <w:spacing w:before="120" w:after="120"/>
        <w:ind w:firstLineChars="0"/>
        <w:rPr>
          <w:rFonts w:asciiTheme="minorEastAsia" w:hAnsiTheme="minorEastAsia" w:eastAsiaTheme="minorEastAsia"/>
        </w:rPr>
      </w:pPr>
      <w:r>
        <w:rPr>
          <w:rFonts w:hint="eastAsia" w:asciiTheme="minorEastAsia" w:hAnsiTheme="minorEastAsia" w:eastAsiaTheme="minorEastAsia"/>
        </w:rPr>
        <w:t>交易标的公司不属于失信被执行人。</w:t>
      </w:r>
    </w:p>
    <w:p>
      <w:pPr>
        <w:pStyle w:val="2"/>
        <w:spacing w:before="120" w:after="120"/>
        <w:ind w:left="840" w:firstLine="0" w:firstLineChars="0"/>
        <w:rPr>
          <w:rFonts w:asciiTheme="minorEastAsia" w:hAnsiTheme="minorEastAsia" w:eastAsiaTheme="minorEastAsia"/>
        </w:rPr>
      </w:pPr>
    </w:p>
    <w:p>
      <w:pPr>
        <w:pStyle w:val="2"/>
        <w:numPr>
          <w:ilvl w:val="0"/>
          <w:numId w:val="3"/>
        </w:numPr>
        <w:spacing w:before="120" w:after="120"/>
        <w:ind w:firstLine="482"/>
        <w:rPr>
          <w:rFonts w:asciiTheme="minorEastAsia" w:hAnsiTheme="minorEastAsia" w:eastAsiaTheme="minorEastAsia"/>
          <w:b/>
        </w:rPr>
      </w:pPr>
      <w:r>
        <w:rPr>
          <w:rFonts w:hint="eastAsia" w:asciiTheme="minorEastAsia" w:hAnsiTheme="minorEastAsia" w:eastAsiaTheme="minorEastAsia"/>
          <w:b/>
        </w:rPr>
        <w:t>协议的主要内容</w:t>
      </w:r>
    </w:p>
    <w:p>
      <w:pPr>
        <w:pStyle w:val="2"/>
        <w:spacing w:before="120" w:after="120"/>
        <w:ind w:left="480" w:leftChars="200" w:firstLine="0" w:firstLineChars="0"/>
        <w:rPr>
          <w:rFonts w:hAnsi="宋体"/>
        </w:rPr>
      </w:pPr>
      <w:r>
        <w:rPr>
          <w:rFonts w:hint="eastAsia" w:hAnsi="宋体"/>
        </w:rPr>
        <w:t>本次交易各方签署的《增资协议》主要内容如下：</w:t>
      </w:r>
    </w:p>
    <w:p>
      <w:pPr>
        <w:pStyle w:val="2"/>
        <w:spacing w:before="120" w:after="120"/>
        <w:ind w:left="480" w:leftChars="200" w:firstLine="0" w:firstLineChars="0"/>
        <w:rPr>
          <w:rFonts w:hAnsi="宋体"/>
        </w:rPr>
      </w:pPr>
      <w:r>
        <w:rPr>
          <w:rFonts w:hint="eastAsia" w:hAnsi="宋体"/>
        </w:rPr>
        <w:t>甲方：青岛伟隆阀门股份有限公司</w:t>
      </w:r>
    </w:p>
    <w:p>
      <w:pPr>
        <w:pStyle w:val="2"/>
        <w:spacing w:before="120" w:after="120"/>
        <w:ind w:left="480" w:leftChars="200" w:firstLine="0" w:firstLineChars="0"/>
        <w:rPr>
          <w:rFonts w:hAnsi="宋体"/>
        </w:rPr>
      </w:pPr>
      <w:r>
        <w:rPr>
          <w:rFonts w:hint="eastAsia" w:hAnsi="宋体"/>
        </w:rPr>
        <w:t>乙方：青岛禹航新能源有限公司</w:t>
      </w:r>
    </w:p>
    <w:p>
      <w:pPr>
        <w:pStyle w:val="2"/>
        <w:spacing w:before="120" w:after="120"/>
        <w:ind w:left="480" w:leftChars="200" w:firstLine="0" w:firstLineChars="0"/>
        <w:rPr>
          <w:rFonts w:hAnsi="宋体"/>
        </w:rPr>
      </w:pPr>
      <w:r>
        <w:rPr>
          <w:rFonts w:hint="eastAsia" w:hAnsi="宋体"/>
        </w:rPr>
        <w:t>丙方：青岛伟隆海洋科技有限公司</w:t>
      </w:r>
    </w:p>
    <w:p>
      <w:pPr>
        <w:spacing w:before="120" w:after="120"/>
        <w:ind w:firstLine="480"/>
        <w:rPr>
          <w:rFonts w:asciiTheme="minorEastAsia" w:hAnsiTheme="minorEastAsia" w:eastAsiaTheme="minorEastAsia"/>
          <w:kern w:val="2"/>
        </w:rPr>
      </w:pPr>
      <w:r>
        <w:rPr>
          <w:rFonts w:asciiTheme="minorEastAsia" w:hAnsiTheme="minorEastAsia" w:eastAsiaTheme="minorEastAsia"/>
          <w:kern w:val="2"/>
        </w:rPr>
        <w:t>1</w:t>
      </w:r>
      <w:r>
        <w:rPr>
          <w:rFonts w:hint="eastAsia" w:asciiTheme="minorEastAsia" w:hAnsiTheme="minorEastAsia" w:eastAsiaTheme="minorEastAsia"/>
          <w:kern w:val="2"/>
        </w:rPr>
        <w:t>、</w:t>
      </w:r>
      <w:r>
        <w:rPr>
          <w:rFonts w:asciiTheme="minorEastAsia" w:hAnsiTheme="minorEastAsia" w:eastAsiaTheme="minorEastAsia"/>
          <w:kern w:val="2"/>
        </w:rPr>
        <w:t>增资扩股</w:t>
      </w:r>
    </w:p>
    <w:p>
      <w:pPr>
        <w:spacing w:before="120" w:after="120"/>
        <w:ind w:firstLine="480"/>
        <w:rPr>
          <w:rFonts w:asciiTheme="minorEastAsia" w:hAnsiTheme="minorEastAsia" w:eastAsiaTheme="minorEastAsia"/>
          <w:kern w:val="2"/>
        </w:rPr>
      </w:pPr>
      <w:r>
        <w:rPr>
          <w:rFonts w:hint="eastAsia" w:asciiTheme="minorEastAsia" w:hAnsiTheme="minorEastAsia" w:eastAsiaTheme="minorEastAsia"/>
          <w:kern w:val="2"/>
        </w:rPr>
        <w:t>1.1 丙方（</w:t>
      </w:r>
      <w:r>
        <w:rPr>
          <w:rFonts w:hint="eastAsia" w:asciiTheme="minorEastAsia" w:hAnsiTheme="minorEastAsia" w:eastAsiaTheme="minorEastAsia"/>
        </w:rPr>
        <w:t>海洋科技或公司</w:t>
      </w:r>
      <w:r>
        <w:rPr>
          <w:rFonts w:hint="eastAsia" w:asciiTheme="minorEastAsia" w:hAnsiTheme="minorEastAsia" w:eastAsiaTheme="minorEastAsia"/>
          <w:kern w:val="2"/>
        </w:rPr>
        <w:t>）为依据国家法律、法规正式设立并有效存续的主体，总注册股本</w:t>
      </w:r>
      <w:r>
        <w:rPr>
          <w:rFonts w:asciiTheme="minorEastAsia" w:hAnsiTheme="minorEastAsia" w:eastAsiaTheme="minorEastAsia"/>
          <w:kern w:val="2"/>
        </w:rPr>
        <w:t>200.20</w:t>
      </w:r>
      <w:r>
        <w:rPr>
          <w:rFonts w:hint="eastAsia" w:asciiTheme="minorEastAsia" w:hAnsiTheme="minorEastAsia" w:eastAsiaTheme="minorEastAsia"/>
          <w:kern w:val="2"/>
        </w:rPr>
        <w:t>万元</w:t>
      </w:r>
      <w:r>
        <w:rPr>
          <w:rFonts w:asciiTheme="minorEastAsia" w:hAnsiTheme="minorEastAsia" w:eastAsiaTheme="minorEastAsia"/>
          <w:kern w:val="2"/>
        </w:rPr>
        <w:t>。</w:t>
      </w:r>
      <w:r>
        <w:rPr>
          <w:rFonts w:hint="eastAsia" w:asciiTheme="minorEastAsia" w:hAnsiTheme="minorEastAsia" w:eastAsiaTheme="minorEastAsia"/>
          <w:kern w:val="2"/>
        </w:rPr>
        <w:t>乙方（</w:t>
      </w:r>
      <w:r>
        <w:rPr>
          <w:rFonts w:hint="eastAsia" w:asciiTheme="minorEastAsia" w:hAnsiTheme="minorEastAsia" w:eastAsiaTheme="minorEastAsia"/>
        </w:rPr>
        <w:t>禹航新能源</w:t>
      </w:r>
      <w:r>
        <w:rPr>
          <w:rFonts w:hint="eastAsia" w:asciiTheme="minorEastAsia" w:hAnsiTheme="minorEastAsia" w:eastAsiaTheme="minorEastAsia"/>
          <w:kern w:val="2"/>
        </w:rPr>
        <w:t>）现持有丙方</w:t>
      </w:r>
      <w:r>
        <w:rPr>
          <w:rFonts w:asciiTheme="minorEastAsia" w:hAnsiTheme="minorEastAsia" w:eastAsiaTheme="minorEastAsia"/>
          <w:kern w:val="2"/>
        </w:rPr>
        <w:t>100%</w:t>
      </w:r>
      <w:r>
        <w:rPr>
          <w:rFonts w:hint="eastAsia" w:asciiTheme="minorEastAsia" w:hAnsiTheme="minorEastAsia" w:eastAsiaTheme="minorEastAsia"/>
          <w:kern w:val="2"/>
        </w:rPr>
        <w:t>的股权。甲方（伟隆股份）拟</w:t>
      </w:r>
      <w:r>
        <w:rPr>
          <w:rFonts w:hint="eastAsia" w:asciiTheme="minorEastAsia" w:hAnsiTheme="minorEastAsia" w:eastAsiaTheme="minorEastAsia"/>
          <w:smallCaps/>
        </w:rPr>
        <w:t>以</w:t>
      </w:r>
      <w:r>
        <w:rPr>
          <w:rFonts w:asciiTheme="minorEastAsia" w:hAnsiTheme="minorEastAsia" w:eastAsiaTheme="minorEastAsia"/>
          <w:smallCaps/>
        </w:rPr>
        <w:t>1</w:t>
      </w:r>
      <w:r>
        <w:rPr>
          <w:rFonts w:hint="eastAsia" w:asciiTheme="minorEastAsia" w:hAnsiTheme="minorEastAsia" w:eastAsiaTheme="minorEastAsia"/>
          <w:smallCaps/>
        </w:rPr>
        <w:t>.0元/注册资本的价格</w:t>
      </w:r>
      <w:r>
        <w:rPr>
          <w:rFonts w:hint="eastAsia" w:asciiTheme="minorEastAsia" w:hAnsiTheme="minorEastAsia" w:eastAsiaTheme="minorEastAsia"/>
          <w:kern w:val="2"/>
        </w:rPr>
        <w:t>对丙方增资</w:t>
      </w:r>
      <w:r>
        <w:rPr>
          <w:rFonts w:asciiTheme="minorEastAsia" w:hAnsiTheme="minorEastAsia" w:eastAsiaTheme="minorEastAsia"/>
          <w:kern w:val="2"/>
        </w:rPr>
        <w:t>299.80万元</w:t>
      </w:r>
      <w:r>
        <w:rPr>
          <w:rFonts w:hint="eastAsia" w:asciiTheme="minorEastAsia" w:hAnsiTheme="minorEastAsia" w:eastAsiaTheme="minorEastAsia"/>
          <w:kern w:val="2"/>
        </w:rPr>
        <w:t>。</w:t>
      </w:r>
    </w:p>
    <w:p>
      <w:pPr>
        <w:pStyle w:val="4"/>
        <w:numPr>
          <w:ilvl w:val="0"/>
          <w:numId w:val="0"/>
        </w:numPr>
        <w:spacing w:before="120" w:after="120" w:line="360" w:lineRule="auto"/>
        <w:ind w:firstLine="360" w:firstLineChars="150"/>
        <w:jc w:val="left"/>
        <w:rPr>
          <w:rFonts w:asciiTheme="minorEastAsia" w:hAnsiTheme="minorEastAsia" w:eastAsiaTheme="minorEastAsia"/>
          <w:smallCaps/>
        </w:rPr>
      </w:pPr>
      <w:r>
        <w:rPr>
          <w:rFonts w:hint="eastAsia" w:asciiTheme="minorEastAsia" w:hAnsiTheme="minorEastAsia" w:eastAsiaTheme="minorEastAsia"/>
          <w:smallCaps/>
        </w:rPr>
        <w:t>1.</w:t>
      </w:r>
      <w:r>
        <w:rPr>
          <w:rFonts w:asciiTheme="minorEastAsia" w:hAnsiTheme="minorEastAsia" w:eastAsiaTheme="minorEastAsia"/>
          <w:smallCaps/>
        </w:rPr>
        <w:t>2</w:t>
      </w:r>
      <w:r>
        <w:rPr>
          <w:rFonts w:hint="eastAsia" w:asciiTheme="minorEastAsia" w:hAnsiTheme="minorEastAsia" w:eastAsiaTheme="minorEastAsia"/>
          <w:smallCaps/>
        </w:rPr>
        <w:t xml:space="preserve"> 本次增资完成后，公司</w:t>
      </w:r>
      <w:r>
        <w:rPr>
          <w:rFonts w:hint="eastAsia" w:asciiTheme="minorEastAsia" w:hAnsiTheme="minorEastAsia" w:eastAsiaTheme="minorEastAsia"/>
        </w:rPr>
        <w:t>的总注册股本变更为500万元，股权结构如下：</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2997"/>
        <w:gridCol w:w="2266"/>
        <w:gridCol w:w="2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470" w:type="pct"/>
            <w:vAlign w:val="center"/>
          </w:tcPr>
          <w:p>
            <w:pPr>
              <w:spacing w:before="120" w:after="120"/>
              <w:ind w:firstLine="0"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序号</w:t>
            </w:r>
          </w:p>
        </w:tc>
        <w:tc>
          <w:tcPr>
            <w:tcW w:w="1758" w:type="pct"/>
            <w:vAlign w:val="center"/>
          </w:tcPr>
          <w:p>
            <w:pPr>
              <w:spacing w:before="120" w:after="120"/>
              <w:ind w:firstLine="420"/>
              <w:rPr>
                <w:rFonts w:asciiTheme="minorEastAsia" w:hAnsiTheme="minorEastAsia" w:eastAsiaTheme="minorEastAsia"/>
                <w:sz w:val="21"/>
                <w:szCs w:val="21"/>
              </w:rPr>
            </w:pPr>
            <w:r>
              <w:rPr>
                <w:rFonts w:hint="eastAsia" w:asciiTheme="minorEastAsia" w:hAnsiTheme="minorEastAsia" w:eastAsiaTheme="minorEastAsia"/>
                <w:sz w:val="21"/>
                <w:szCs w:val="21"/>
              </w:rPr>
              <w:t>股东名称</w:t>
            </w:r>
          </w:p>
        </w:tc>
        <w:tc>
          <w:tcPr>
            <w:tcW w:w="1329" w:type="pct"/>
            <w:vAlign w:val="center"/>
          </w:tcPr>
          <w:p>
            <w:pPr>
              <w:spacing w:before="120" w:after="120"/>
              <w:ind w:firstLine="0"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认缴出资额（万元）</w:t>
            </w:r>
          </w:p>
        </w:tc>
        <w:tc>
          <w:tcPr>
            <w:tcW w:w="1441" w:type="pct"/>
            <w:vAlign w:val="center"/>
          </w:tcPr>
          <w:p>
            <w:pPr>
              <w:spacing w:before="120" w:after="120"/>
              <w:ind w:firstLine="4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持股比例（</w:t>
            </w:r>
            <w:r>
              <w:rPr>
                <w:rFonts w:asciiTheme="minorEastAsia" w:hAnsiTheme="minorEastAsia" w:eastAsiaTheme="minorEastAsia"/>
                <w:sz w:val="21"/>
                <w:szCs w:val="21"/>
              </w:rPr>
              <w:t>%</w:t>
            </w:r>
            <w:r>
              <w:rPr>
                <w:rFonts w:hint="eastAsia" w:asciiTheme="minorEastAsia" w:hAnsiTheme="minorEastAsia" w:eastAsiaTheme="minor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470" w:type="pct"/>
            <w:vAlign w:val="center"/>
          </w:tcPr>
          <w:p>
            <w:pPr>
              <w:spacing w:before="120" w:after="120"/>
              <w:ind w:firstLine="420"/>
              <w:jc w:val="center"/>
              <w:rPr>
                <w:rFonts w:asciiTheme="minorEastAsia" w:hAnsiTheme="minorEastAsia" w:eastAsiaTheme="minorEastAsia"/>
                <w:sz w:val="21"/>
                <w:szCs w:val="21"/>
              </w:rPr>
            </w:pPr>
            <w:r>
              <w:rPr>
                <w:rFonts w:asciiTheme="minorEastAsia" w:hAnsiTheme="minorEastAsia" w:eastAsiaTheme="minorEastAsia"/>
                <w:sz w:val="21"/>
                <w:szCs w:val="21"/>
              </w:rPr>
              <w:t>1</w:t>
            </w:r>
          </w:p>
        </w:tc>
        <w:tc>
          <w:tcPr>
            <w:tcW w:w="1758" w:type="pct"/>
            <w:vAlign w:val="center"/>
          </w:tcPr>
          <w:p>
            <w:pPr>
              <w:spacing w:before="120" w:after="120"/>
              <w:ind w:firstLine="0"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青岛伟隆阀门股份有限公司</w:t>
            </w:r>
          </w:p>
        </w:tc>
        <w:tc>
          <w:tcPr>
            <w:tcW w:w="1329" w:type="pct"/>
            <w:vAlign w:val="center"/>
          </w:tcPr>
          <w:p>
            <w:pPr>
              <w:spacing w:before="120" w:after="120"/>
              <w:ind w:firstLine="420"/>
              <w:jc w:val="center"/>
              <w:rPr>
                <w:rFonts w:asciiTheme="minorEastAsia" w:hAnsiTheme="minorEastAsia" w:eastAsiaTheme="minorEastAsia"/>
                <w:sz w:val="21"/>
                <w:szCs w:val="21"/>
              </w:rPr>
            </w:pPr>
            <w:r>
              <w:rPr>
                <w:rFonts w:asciiTheme="minorEastAsia" w:hAnsiTheme="minorEastAsia" w:eastAsiaTheme="minorEastAsia"/>
                <w:sz w:val="21"/>
                <w:szCs w:val="21"/>
              </w:rPr>
              <w:t>299.80</w:t>
            </w:r>
          </w:p>
        </w:tc>
        <w:tc>
          <w:tcPr>
            <w:tcW w:w="1441" w:type="pct"/>
            <w:vAlign w:val="center"/>
          </w:tcPr>
          <w:p>
            <w:pPr>
              <w:spacing w:before="120" w:after="120"/>
              <w:ind w:firstLine="420"/>
              <w:jc w:val="center"/>
              <w:rPr>
                <w:rFonts w:asciiTheme="minorEastAsia" w:hAnsiTheme="minorEastAsia" w:eastAsiaTheme="minorEastAsia"/>
                <w:sz w:val="21"/>
                <w:szCs w:val="21"/>
              </w:rPr>
            </w:pPr>
            <w:r>
              <w:rPr>
                <w:rFonts w:asciiTheme="minorEastAsia" w:hAnsiTheme="minorEastAsia" w:eastAsiaTheme="minorEastAsia"/>
                <w:sz w:val="21"/>
                <w:szCs w:val="21"/>
              </w:rPr>
              <w:t>59.96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470" w:type="pct"/>
            <w:vAlign w:val="center"/>
          </w:tcPr>
          <w:p>
            <w:pPr>
              <w:spacing w:before="120" w:after="120"/>
              <w:ind w:firstLine="420"/>
              <w:jc w:val="center"/>
              <w:rPr>
                <w:rFonts w:asciiTheme="minorEastAsia" w:hAnsiTheme="minorEastAsia" w:eastAsiaTheme="minorEastAsia"/>
                <w:sz w:val="21"/>
                <w:szCs w:val="21"/>
              </w:rPr>
            </w:pPr>
            <w:r>
              <w:rPr>
                <w:rFonts w:asciiTheme="minorEastAsia" w:hAnsiTheme="minorEastAsia" w:eastAsiaTheme="minorEastAsia"/>
                <w:sz w:val="21"/>
                <w:szCs w:val="21"/>
              </w:rPr>
              <w:t>2</w:t>
            </w:r>
          </w:p>
        </w:tc>
        <w:tc>
          <w:tcPr>
            <w:tcW w:w="1758" w:type="pct"/>
            <w:vAlign w:val="center"/>
          </w:tcPr>
          <w:p>
            <w:pPr>
              <w:spacing w:before="120" w:after="120"/>
              <w:ind w:firstLine="0"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青岛禹航新能源有限公司</w:t>
            </w:r>
          </w:p>
        </w:tc>
        <w:tc>
          <w:tcPr>
            <w:tcW w:w="1329" w:type="pct"/>
            <w:vAlign w:val="center"/>
          </w:tcPr>
          <w:p>
            <w:pPr>
              <w:spacing w:before="120" w:after="120"/>
              <w:ind w:firstLine="420"/>
              <w:jc w:val="center"/>
              <w:rPr>
                <w:rFonts w:asciiTheme="minorEastAsia" w:hAnsiTheme="minorEastAsia" w:eastAsiaTheme="minorEastAsia"/>
                <w:sz w:val="21"/>
                <w:szCs w:val="21"/>
              </w:rPr>
            </w:pPr>
            <w:r>
              <w:rPr>
                <w:rFonts w:asciiTheme="minorEastAsia" w:hAnsiTheme="minorEastAsia" w:eastAsiaTheme="minorEastAsia"/>
                <w:sz w:val="21"/>
                <w:szCs w:val="21"/>
              </w:rPr>
              <w:t>200.20</w:t>
            </w:r>
          </w:p>
        </w:tc>
        <w:tc>
          <w:tcPr>
            <w:tcW w:w="1441" w:type="pct"/>
            <w:vAlign w:val="center"/>
          </w:tcPr>
          <w:p>
            <w:pPr>
              <w:spacing w:before="120" w:after="120"/>
              <w:ind w:firstLine="420"/>
              <w:jc w:val="center"/>
              <w:rPr>
                <w:rFonts w:asciiTheme="minorEastAsia" w:hAnsiTheme="minorEastAsia" w:eastAsiaTheme="minorEastAsia"/>
                <w:sz w:val="21"/>
                <w:szCs w:val="21"/>
              </w:rPr>
            </w:pPr>
            <w:r>
              <w:rPr>
                <w:rFonts w:asciiTheme="minorEastAsia" w:hAnsiTheme="minorEastAsia" w:eastAsiaTheme="minorEastAsia"/>
                <w:sz w:val="21"/>
                <w:szCs w:val="21"/>
              </w:rPr>
              <w:t>40.04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228" w:type="pct"/>
            <w:gridSpan w:val="2"/>
            <w:vAlign w:val="center"/>
          </w:tcPr>
          <w:p>
            <w:pPr>
              <w:spacing w:before="120" w:after="120"/>
              <w:ind w:firstLine="420"/>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合计</w:t>
            </w:r>
          </w:p>
        </w:tc>
        <w:tc>
          <w:tcPr>
            <w:tcW w:w="1329" w:type="pct"/>
            <w:vAlign w:val="center"/>
          </w:tcPr>
          <w:p>
            <w:pPr>
              <w:spacing w:before="120" w:after="120"/>
              <w:ind w:firstLine="420"/>
              <w:jc w:val="center"/>
              <w:rPr>
                <w:rFonts w:asciiTheme="minorEastAsia" w:hAnsiTheme="minorEastAsia" w:eastAsiaTheme="minorEastAsia"/>
                <w:sz w:val="21"/>
                <w:szCs w:val="21"/>
              </w:rPr>
            </w:pPr>
            <w:r>
              <w:rPr>
                <w:rFonts w:asciiTheme="minorEastAsia" w:hAnsiTheme="minorEastAsia" w:eastAsiaTheme="minorEastAsia"/>
                <w:sz w:val="21"/>
                <w:szCs w:val="21"/>
              </w:rPr>
              <w:t>500.00</w:t>
            </w:r>
          </w:p>
        </w:tc>
        <w:tc>
          <w:tcPr>
            <w:tcW w:w="1441" w:type="pct"/>
            <w:vAlign w:val="center"/>
          </w:tcPr>
          <w:p>
            <w:pPr>
              <w:spacing w:before="120" w:after="120"/>
              <w:ind w:firstLine="420"/>
              <w:jc w:val="center"/>
              <w:rPr>
                <w:rFonts w:asciiTheme="minorEastAsia" w:hAnsiTheme="minorEastAsia" w:eastAsiaTheme="minorEastAsia"/>
                <w:sz w:val="21"/>
                <w:szCs w:val="21"/>
              </w:rPr>
            </w:pPr>
            <w:r>
              <w:rPr>
                <w:rFonts w:asciiTheme="minorEastAsia" w:hAnsiTheme="minorEastAsia" w:eastAsiaTheme="minorEastAsia"/>
                <w:sz w:val="21"/>
                <w:szCs w:val="21"/>
              </w:rPr>
              <w:t>100.00</w:t>
            </w:r>
          </w:p>
        </w:tc>
      </w:tr>
    </w:tbl>
    <w:p>
      <w:pPr>
        <w:pStyle w:val="3"/>
        <w:numPr>
          <w:ilvl w:val="0"/>
          <w:numId w:val="0"/>
        </w:numPr>
        <w:tabs>
          <w:tab w:val="clear" w:pos="2160"/>
        </w:tabs>
        <w:spacing w:before="120" w:after="120"/>
        <w:rPr>
          <w:rFonts w:asciiTheme="minorEastAsia" w:hAnsiTheme="minorEastAsia" w:eastAsiaTheme="minorEastAsia"/>
          <w:b w:val="0"/>
          <w:caps w:val="0"/>
          <w:smallCaps/>
          <w:kern w:val="0"/>
        </w:rPr>
      </w:pPr>
      <w:r>
        <w:rPr>
          <w:rFonts w:hint="eastAsia" w:asciiTheme="minorEastAsia" w:hAnsiTheme="minorEastAsia" w:eastAsiaTheme="minorEastAsia"/>
          <w:b w:val="0"/>
          <w:caps w:val="0"/>
          <w:smallCaps/>
          <w:kern w:val="0"/>
        </w:rPr>
        <w:t>2、增资方式和出资期限</w:t>
      </w:r>
    </w:p>
    <w:p>
      <w:pPr>
        <w:pStyle w:val="4"/>
        <w:numPr>
          <w:ilvl w:val="0"/>
          <w:numId w:val="0"/>
        </w:numPr>
        <w:spacing w:before="120" w:after="120" w:line="360" w:lineRule="auto"/>
        <w:jc w:val="left"/>
        <w:rPr>
          <w:rFonts w:asciiTheme="minorEastAsia" w:hAnsiTheme="minorEastAsia" w:eastAsiaTheme="minorEastAsia"/>
          <w:smallCaps/>
        </w:rPr>
      </w:pPr>
      <w:r>
        <w:rPr>
          <w:rFonts w:hint="eastAsia" w:asciiTheme="minorEastAsia" w:hAnsiTheme="minorEastAsia" w:eastAsiaTheme="minorEastAsia"/>
          <w:smallCaps/>
        </w:rPr>
        <w:t>2.1 自本协议签订生效之日起7日内，丙方向甲乙双方发出支付增资款项的通知（应明确应支付的增资额及公司专用账户的信息）至指定邮箱。</w:t>
      </w:r>
    </w:p>
    <w:p>
      <w:pPr>
        <w:pStyle w:val="4"/>
        <w:numPr>
          <w:ilvl w:val="0"/>
          <w:numId w:val="0"/>
        </w:numPr>
        <w:spacing w:before="120" w:after="120" w:line="360" w:lineRule="auto"/>
        <w:jc w:val="left"/>
        <w:rPr>
          <w:rFonts w:asciiTheme="minorEastAsia" w:hAnsiTheme="minorEastAsia" w:eastAsiaTheme="minorEastAsia"/>
          <w:smallCaps/>
        </w:rPr>
      </w:pPr>
      <w:r>
        <w:rPr>
          <w:rFonts w:hint="eastAsia" w:asciiTheme="minorEastAsia" w:hAnsiTheme="minorEastAsia" w:eastAsiaTheme="minorEastAsia"/>
          <w:smallCaps/>
        </w:rPr>
        <w:t>2.2 甲乙双方收到公司第2</w:t>
      </w:r>
      <w:r>
        <w:rPr>
          <w:rFonts w:asciiTheme="minorEastAsia" w:hAnsiTheme="minorEastAsia" w:eastAsiaTheme="minorEastAsia"/>
          <w:smallCaps/>
        </w:rPr>
        <w:t>.1</w:t>
      </w:r>
      <w:r>
        <w:rPr>
          <w:rFonts w:hint="eastAsia" w:asciiTheme="minorEastAsia" w:hAnsiTheme="minorEastAsia" w:eastAsiaTheme="minorEastAsia"/>
          <w:smallCaps/>
        </w:rPr>
        <w:t>条约定的通知后，应于2023年6月30日之前将增资款项支付至公司指定的专用账户。</w:t>
      </w:r>
    </w:p>
    <w:p>
      <w:pPr>
        <w:pStyle w:val="4"/>
        <w:numPr>
          <w:ilvl w:val="0"/>
          <w:numId w:val="0"/>
        </w:numPr>
        <w:spacing w:before="120" w:after="120" w:line="360" w:lineRule="auto"/>
        <w:jc w:val="left"/>
        <w:rPr>
          <w:rFonts w:asciiTheme="minorEastAsia" w:hAnsiTheme="minorEastAsia" w:eastAsiaTheme="minorEastAsia"/>
          <w:smallCaps/>
        </w:rPr>
      </w:pPr>
      <w:r>
        <w:rPr>
          <w:rFonts w:hint="eastAsia" w:asciiTheme="minorEastAsia" w:hAnsiTheme="minorEastAsia" w:eastAsiaTheme="minorEastAsia"/>
          <w:smallCaps/>
        </w:rPr>
        <w:t>2.3 本协议签署后30日内，乙方、丙方就甲方本次增资事项办理工商、税务变更登记及公司章程修订等手续。</w:t>
      </w:r>
    </w:p>
    <w:p>
      <w:pPr>
        <w:spacing w:before="120" w:after="120"/>
        <w:ind w:firstLine="0" w:firstLineChars="0"/>
        <w:rPr>
          <w:rFonts w:asciiTheme="minorEastAsia" w:hAnsiTheme="minorEastAsia" w:eastAsiaTheme="minorEastAsia"/>
          <w:kern w:val="2"/>
        </w:rPr>
      </w:pPr>
      <w:r>
        <w:rPr>
          <w:rFonts w:hint="eastAsia" w:asciiTheme="minorEastAsia" w:hAnsiTheme="minorEastAsia" w:eastAsiaTheme="minorEastAsia"/>
          <w:kern w:val="2"/>
        </w:rPr>
        <w:t>3.</w:t>
      </w:r>
      <w:r>
        <w:rPr>
          <w:rFonts w:asciiTheme="minorEastAsia" w:hAnsiTheme="minorEastAsia" w:eastAsiaTheme="minorEastAsia"/>
          <w:kern w:val="2"/>
        </w:rPr>
        <w:t xml:space="preserve"> 承诺与保证</w:t>
      </w:r>
    </w:p>
    <w:p>
      <w:pPr>
        <w:spacing w:before="120" w:after="120"/>
        <w:ind w:firstLine="0" w:firstLineChars="0"/>
        <w:rPr>
          <w:rFonts w:asciiTheme="minorEastAsia" w:hAnsiTheme="minorEastAsia" w:eastAsiaTheme="minorEastAsia"/>
        </w:rPr>
      </w:pPr>
      <w:r>
        <w:rPr>
          <w:rFonts w:hint="eastAsia" w:asciiTheme="minorEastAsia" w:hAnsiTheme="minorEastAsia" w:eastAsiaTheme="minorEastAsia"/>
          <w:kern w:val="2"/>
        </w:rPr>
        <w:t>3</w:t>
      </w:r>
      <w:r>
        <w:rPr>
          <w:rFonts w:asciiTheme="minorEastAsia" w:hAnsiTheme="minorEastAsia" w:eastAsiaTheme="minorEastAsia"/>
          <w:kern w:val="2"/>
        </w:rPr>
        <w:t xml:space="preserve">.1 </w:t>
      </w:r>
      <w:r>
        <w:rPr>
          <w:rFonts w:hint="eastAsia" w:asciiTheme="minorEastAsia" w:hAnsiTheme="minorEastAsia" w:eastAsiaTheme="minorEastAsia"/>
        </w:rPr>
        <w:t>乙方、丙方是根据国家法律正式成立和有效存续的具有完全民事行为能力的主体，</w:t>
      </w:r>
      <w:r>
        <w:rPr>
          <w:rFonts w:asciiTheme="minorEastAsia" w:hAnsiTheme="minorEastAsia" w:eastAsiaTheme="minorEastAsia"/>
          <w:kern w:val="2"/>
        </w:rPr>
        <w:t>且从事目前正在经营的业务</w:t>
      </w:r>
      <w:r>
        <w:rPr>
          <w:rFonts w:hint="eastAsia" w:asciiTheme="minorEastAsia" w:hAnsiTheme="minorEastAsia" w:eastAsiaTheme="minorEastAsia"/>
          <w:kern w:val="2"/>
        </w:rPr>
        <w:t>，已取得所有必要且实质的批准、核准、许可、证照、登记、备案。</w:t>
      </w:r>
    </w:p>
    <w:p>
      <w:pPr>
        <w:pStyle w:val="4"/>
        <w:numPr>
          <w:ilvl w:val="0"/>
          <w:numId w:val="0"/>
        </w:numPr>
        <w:spacing w:before="120" w:after="120" w:line="360" w:lineRule="auto"/>
        <w:jc w:val="left"/>
        <w:rPr>
          <w:rFonts w:asciiTheme="minorEastAsia" w:hAnsiTheme="minorEastAsia" w:eastAsiaTheme="minorEastAsia"/>
          <w:kern w:val="2"/>
        </w:rPr>
      </w:pPr>
      <w:r>
        <w:rPr>
          <w:rFonts w:hint="eastAsia" w:asciiTheme="minorEastAsia" w:hAnsiTheme="minorEastAsia" w:eastAsiaTheme="minorEastAsia"/>
          <w:smallCaps/>
        </w:rPr>
        <w:t>3.2 乙方、丙方已经获得所有必要的内部批准或授权，并且拥有全部合法权利、权力和授权签订本协议并履行其在本协议项下的义务。</w:t>
      </w:r>
    </w:p>
    <w:p>
      <w:pPr>
        <w:spacing w:before="120" w:after="120"/>
        <w:ind w:firstLine="0" w:firstLineChars="0"/>
        <w:rPr>
          <w:rFonts w:asciiTheme="minorEastAsia" w:hAnsiTheme="minorEastAsia" w:eastAsiaTheme="minorEastAsia"/>
          <w:kern w:val="2"/>
        </w:rPr>
      </w:pPr>
      <w:r>
        <w:rPr>
          <w:rFonts w:hint="eastAsia" w:asciiTheme="minorEastAsia" w:hAnsiTheme="minorEastAsia" w:eastAsiaTheme="minorEastAsia"/>
          <w:kern w:val="2"/>
        </w:rPr>
        <w:t>3</w:t>
      </w:r>
      <w:r>
        <w:rPr>
          <w:rFonts w:asciiTheme="minorEastAsia" w:hAnsiTheme="minorEastAsia" w:eastAsiaTheme="minorEastAsia"/>
          <w:kern w:val="2"/>
        </w:rPr>
        <w:t>.</w:t>
      </w:r>
      <w:r>
        <w:rPr>
          <w:rFonts w:hint="eastAsia" w:asciiTheme="minorEastAsia" w:hAnsiTheme="minorEastAsia" w:eastAsiaTheme="minorEastAsia"/>
          <w:kern w:val="2"/>
        </w:rPr>
        <w:t>3</w:t>
      </w:r>
      <w:r>
        <w:rPr>
          <w:rFonts w:asciiTheme="minorEastAsia" w:hAnsiTheme="minorEastAsia" w:eastAsiaTheme="minorEastAsia"/>
          <w:kern w:val="2"/>
        </w:rPr>
        <w:t xml:space="preserve"> 丙方在</w:t>
      </w:r>
      <w:r>
        <w:rPr>
          <w:rFonts w:hint="eastAsia" w:asciiTheme="minorEastAsia" w:hAnsiTheme="minorEastAsia" w:eastAsiaTheme="minorEastAsia"/>
          <w:kern w:val="2"/>
        </w:rPr>
        <w:t>本协议签定前的</w:t>
      </w:r>
      <w:r>
        <w:rPr>
          <w:rFonts w:asciiTheme="minorEastAsia" w:hAnsiTheme="minorEastAsia" w:eastAsiaTheme="minorEastAsia"/>
          <w:kern w:val="2"/>
        </w:rPr>
        <w:t>经营中不存在任何诉讼、仲裁，亦不存在任何形式的担保、</w:t>
      </w:r>
      <w:r>
        <w:rPr>
          <w:rFonts w:hint="eastAsia" w:asciiTheme="minorEastAsia" w:hAnsiTheme="minorEastAsia" w:eastAsiaTheme="minorEastAsia"/>
          <w:kern w:val="2"/>
        </w:rPr>
        <w:t>抵押；</w:t>
      </w:r>
      <w:r>
        <w:rPr>
          <w:rFonts w:asciiTheme="minorEastAsia" w:hAnsiTheme="minorEastAsia" w:eastAsiaTheme="minorEastAsia"/>
          <w:kern w:val="2"/>
        </w:rPr>
        <w:t>不存在因侵犯任何第三</w:t>
      </w:r>
      <w:r>
        <w:rPr>
          <w:rFonts w:hint="eastAsia" w:asciiTheme="minorEastAsia" w:hAnsiTheme="minorEastAsia" w:eastAsiaTheme="minorEastAsia"/>
          <w:kern w:val="2"/>
        </w:rPr>
        <w:t>方</w:t>
      </w:r>
      <w:r>
        <w:rPr>
          <w:rFonts w:asciiTheme="minorEastAsia" w:hAnsiTheme="minorEastAsia" w:eastAsiaTheme="minorEastAsia"/>
          <w:kern w:val="2"/>
        </w:rPr>
        <w:t>的专利、设计、</w:t>
      </w:r>
      <w:r>
        <w:rPr>
          <w:rFonts w:hint="eastAsia" w:asciiTheme="minorEastAsia" w:hAnsiTheme="minorEastAsia" w:eastAsiaTheme="minorEastAsia"/>
          <w:kern w:val="2"/>
        </w:rPr>
        <w:t>版权、商标或类似的知识产权，而导致第三方提出与经营有重大关系的权利要求或者诉讼。</w:t>
      </w:r>
    </w:p>
    <w:p>
      <w:pPr>
        <w:spacing w:before="120" w:after="120"/>
        <w:ind w:firstLine="0" w:firstLineChars="0"/>
        <w:rPr>
          <w:rFonts w:asciiTheme="minorEastAsia" w:hAnsiTheme="minorEastAsia" w:eastAsiaTheme="minorEastAsia"/>
          <w:kern w:val="2"/>
        </w:rPr>
      </w:pPr>
      <w:r>
        <w:rPr>
          <w:rFonts w:hint="eastAsia" w:asciiTheme="minorEastAsia" w:hAnsiTheme="minorEastAsia" w:eastAsiaTheme="minorEastAsia"/>
          <w:kern w:val="2"/>
        </w:rPr>
        <w:t>3</w:t>
      </w:r>
      <w:r>
        <w:rPr>
          <w:rFonts w:asciiTheme="minorEastAsia" w:hAnsiTheme="minorEastAsia" w:eastAsiaTheme="minorEastAsia"/>
          <w:kern w:val="2"/>
        </w:rPr>
        <w:t>.</w:t>
      </w:r>
      <w:r>
        <w:rPr>
          <w:rFonts w:hint="eastAsia" w:asciiTheme="minorEastAsia" w:hAnsiTheme="minorEastAsia" w:eastAsiaTheme="minorEastAsia"/>
          <w:kern w:val="2"/>
        </w:rPr>
        <w:t xml:space="preserve">4 </w:t>
      </w:r>
      <w:r>
        <w:rPr>
          <w:rFonts w:asciiTheme="minorEastAsia" w:hAnsiTheme="minorEastAsia" w:eastAsiaTheme="minorEastAsia"/>
          <w:kern w:val="2"/>
        </w:rPr>
        <w:t>丙方</w:t>
      </w:r>
      <w:r>
        <w:rPr>
          <w:rFonts w:hint="eastAsia" w:asciiTheme="minorEastAsia" w:hAnsiTheme="minorEastAsia" w:eastAsiaTheme="minorEastAsia"/>
          <w:kern w:val="2"/>
        </w:rPr>
        <w:t>在本协议签定前不存在任何未偿还的借款、或有事项和其他形式的负债；</w:t>
      </w:r>
      <w:r>
        <w:rPr>
          <w:rFonts w:asciiTheme="minorEastAsia" w:hAnsiTheme="minorEastAsia" w:eastAsiaTheme="minorEastAsia"/>
          <w:kern w:val="2"/>
        </w:rPr>
        <w:t>已按税法要求缴足其所有到期应缴的税费，无需加</w:t>
      </w:r>
      <w:r>
        <w:rPr>
          <w:rFonts w:hint="eastAsia" w:asciiTheme="minorEastAsia" w:hAnsiTheme="minorEastAsia" w:eastAsiaTheme="minorEastAsia"/>
          <w:kern w:val="2"/>
        </w:rPr>
        <w:t>缴或补缴，亦无发生任何因违反有关税务法规被处罚的事件。</w:t>
      </w:r>
    </w:p>
    <w:p>
      <w:pPr>
        <w:spacing w:before="120" w:after="120"/>
        <w:ind w:firstLine="0" w:firstLineChars="0"/>
        <w:rPr>
          <w:rFonts w:asciiTheme="minorEastAsia" w:hAnsiTheme="minorEastAsia" w:eastAsiaTheme="minorEastAsia"/>
          <w:kern w:val="2"/>
        </w:rPr>
      </w:pPr>
      <w:r>
        <w:rPr>
          <w:rFonts w:hint="eastAsia" w:asciiTheme="minorEastAsia" w:hAnsiTheme="minorEastAsia" w:eastAsiaTheme="minorEastAsia"/>
          <w:kern w:val="2"/>
        </w:rPr>
        <w:t>3</w:t>
      </w:r>
      <w:r>
        <w:rPr>
          <w:rFonts w:asciiTheme="minorEastAsia" w:hAnsiTheme="minorEastAsia" w:eastAsiaTheme="minorEastAsia"/>
          <w:kern w:val="2"/>
        </w:rPr>
        <w:t>.</w:t>
      </w:r>
      <w:r>
        <w:rPr>
          <w:rFonts w:hint="eastAsia" w:asciiTheme="minorEastAsia" w:hAnsiTheme="minorEastAsia" w:eastAsiaTheme="minorEastAsia"/>
          <w:kern w:val="2"/>
        </w:rPr>
        <w:t>5</w:t>
      </w:r>
      <w:r>
        <w:rPr>
          <w:rFonts w:asciiTheme="minorEastAsia" w:hAnsiTheme="minorEastAsia" w:eastAsiaTheme="minorEastAsia"/>
          <w:kern w:val="2"/>
        </w:rPr>
        <w:t xml:space="preserve"> 在</w:t>
      </w:r>
      <w:r>
        <w:rPr>
          <w:rFonts w:hint="eastAsia" w:asciiTheme="minorEastAsia" w:hAnsiTheme="minorEastAsia" w:eastAsiaTheme="minorEastAsia"/>
          <w:kern w:val="2"/>
        </w:rPr>
        <w:t>本</w:t>
      </w:r>
      <w:r>
        <w:rPr>
          <w:rFonts w:asciiTheme="minorEastAsia" w:hAnsiTheme="minorEastAsia" w:eastAsiaTheme="minorEastAsia"/>
          <w:kern w:val="2"/>
        </w:rPr>
        <w:t>协议签订后任何时间，若因协议签订之前既存的事实或状态导致丙</w:t>
      </w:r>
      <w:r>
        <w:rPr>
          <w:rFonts w:hint="eastAsia" w:asciiTheme="minorEastAsia" w:hAnsiTheme="minorEastAsia" w:eastAsiaTheme="minorEastAsia"/>
          <w:kern w:val="2"/>
        </w:rPr>
        <w:t>方出现诉讼、任何债务、或有债务、应付税款、行政处罚、违约责任、侵权责任及其他责任或损失，乙方有义务在接到甲方书面通知之日起</w:t>
      </w:r>
      <w:r>
        <w:rPr>
          <w:rFonts w:asciiTheme="minorEastAsia" w:hAnsiTheme="minorEastAsia" w:eastAsiaTheme="minorEastAsia"/>
          <w:kern w:val="2"/>
        </w:rPr>
        <w:t xml:space="preserve"> 1</w:t>
      </w:r>
      <w:r>
        <w:rPr>
          <w:rFonts w:hint="eastAsia" w:asciiTheme="minorEastAsia" w:hAnsiTheme="minorEastAsia" w:eastAsiaTheme="minorEastAsia"/>
          <w:kern w:val="2"/>
        </w:rPr>
        <w:t>5</w:t>
      </w:r>
      <w:r>
        <w:rPr>
          <w:rFonts w:asciiTheme="minorEastAsia" w:hAnsiTheme="minorEastAsia" w:eastAsiaTheme="minorEastAsia"/>
          <w:kern w:val="2"/>
        </w:rPr>
        <w:t xml:space="preserve"> 日内负责处理。由此造成的损失，乙方</w:t>
      </w:r>
      <w:r>
        <w:rPr>
          <w:rFonts w:hint="eastAsia" w:asciiTheme="minorEastAsia" w:hAnsiTheme="minorEastAsia" w:eastAsiaTheme="minorEastAsia"/>
          <w:kern w:val="2"/>
        </w:rPr>
        <w:t>应</w:t>
      </w:r>
      <w:r>
        <w:rPr>
          <w:rFonts w:asciiTheme="minorEastAsia" w:hAnsiTheme="minorEastAsia" w:eastAsiaTheme="minorEastAsia"/>
          <w:kern w:val="2"/>
        </w:rPr>
        <w:t>向</w:t>
      </w:r>
      <w:r>
        <w:rPr>
          <w:rFonts w:hint="eastAsia" w:asciiTheme="minorEastAsia" w:hAnsiTheme="minorEastAsia" w:eastAsiaTheme="minorEastAsia"/>
          <w:kern w:val="2"/>
        </w:rPr>
        <w:t>甲方依法作出补偿。</w:t>
      </w:r>
    </w:p>
    <w:p>
      <w:pPr>
        <w:pStyle w:val="3"/>
        <w:numPr>
          <w:ilvl w:val="0"/>
          <w:numId w:val="0"/>
        </w:numPr>
        <w:tabs>
          <w:tab w:val="clear" w:pos="2160"/>
        </w:tabs>
        <w:spacing w:before="120" w:after="120"/>
        <w:ind w:left="120" w:leftChars="50"/>
        <w:rPr>
          <w:rFonts w:asciiTheme="minorEastAsia" w:hAnsiTheme="minorEastAsia" w:eastAsiaTheme="minorEastAsia"/>
          <w:b w:val="0"/>
          <w:caps w:val="0"/>
          <w:smallCaps/>
          <w:kern w:val="0"/>
        </w:rPr>
      </w:pPr>
      <w:r>
        <w:rPr>
          <w:rFonts w:hint="eastAsia" w:asciiTheme="minorEastAsia" w:hAnsiTheme="minorEastAsia" w:eastAsiaTheme="minorEastAsia"/>
          <w:b w:val="0"/>
          <w:caps w:val="0"/>
          <w:smallCaps/>
          <w:kern w:val="0"/>
        </w:rPr>
        <w:t>4.权利和义务</w:t>
      </w:r>
    </w:p>
    <w:p>
      <w:pPr>
        <w:spacing w:before="120" w:after="120"/>
        <w:ind w:firstLine="0" w:firstLineChars="0"/>
        <w:rPr>
          <w:rFonts w:asciiTheme="minorEastAsia" w:hAnsiTheme="minorEastAsia" w:eastAsiaTheme="minorEastAsia"/>
        </w:rPr>
      </w:pPr>
      <w:r>
        <w:rPr>
          <w:rFonts w:hint="eastAsia" w:asciiTheme="minorEastAsia" w:hAnsiTheme="minorEastAsia" w:eastAsiaTheme="minorEastAsia"/>
          <w:smallCaps/>
        </w:rPr>
        <w:t>4.</w:t>
      </w:r>
      <w:r>
        <w:rPr>
          <w:rFonts w:asciiTheme="minorEastAsia" w:hAnsiTheme="minorEastAsia" w:eastAsiaTheme="minorEastAsia"/>
          <w:smallCaps/>
        </w:rPr>
        <w:t>1</w:t>
      </w:r>
      <w:r>
        <w:rPr>
          <w:rFonts w:hint="eastAsia" w:asciiTheme="minorEastAsia" w:hAnsiTheme="minorEastAsia" w:eastAsiaTheme="minorEastAsia"/>
          <w:smallCaps/>
        </w:rPr>
        <w:t xml:space="preserve"> </w:t>
      </w:r>
      <w:r>
        <w:rPr>
          <w:rFonts w:hint="eastAsia" w:asciiTheme="minorEastAsia" w:hAnsiTheme="minorEastAsia" w:eastAsiaTheme="minorEastAsia"/>
        </w:rPr>
        <w:t>公司每年以甲方聘请的会计师事务所出具审计报告实现的净利润为基准，如前期有亏损应先弥补前期亏损后，按《公司章程》的规定分配利润。</w:t>
      </w:r>
    </w:p>
    <w:p>
      <w:pPr>
        <w:spacing w:before="120" w:after="120"/>
        <w:ind w:firstLine="0" w:firstLineChars="0"/>
        <w:rPr>
          <w:rFonts w:asciiTheme="minorEastAsia" w:hAnsiTheme="minorEastAsia" w:eastAsiaTheme="minorEastAsia"/>
        </w:rPr>
      </w:pPr>
      <w:r>
        <w:rPr>
          <w:rFonts w:hint="eastAsia" w:asciiTheme="minorEastAsia" w:hAnsiTheme="minorEastAsia" w:eastAsiaTheme="minorEastAsia"/>
        </w:rPr>
        <w:t>4.</w:t>
      </w:r>
      <w:r>
        <w:rPr>
          <w:rFonts w:asciiTheme="minorEastAsia" w:hAnsiTheme="minorEastAsia" w:eastAsiaTheme="minorEastAsia"/>
        </w:rPr>
        <w:t>2</w:t>
      </w:r>
      <w:r>
        <w:rPr>
          <w:rFonts w:hint="eastAsia" w:asciiTheme="minorEastAsia" w:hAnsiTheme="minorEastAsia" w:eastAsiaTheme="minorEastAsia"/>
        </w:rPr>
        <w:t xml:space="preserve"> 甲乙双方出资资金系合法自有资金。</w:t>
      </w:r>
    </w:p>
    <w:p>
      <w:pPr>
        <w:spacing w:before="120" w:after="120"/>
        <w:ind w:firstLine="0" w:firstLineChars="0"/>
        <w:rPr>
          <w:rFonts w:asciiTheme="minorEastAsia" w:hAnsiTheme="minorEastAsia" w:eastAsiaTheme="minorEastAsia"/>
          <w:kern w:val="2"/>
        </w:rPr>
      </w:pPr>
      <w:r>
        <w:rPr>
          <w:rFonts w:hint="eastAsia" w:asciiTheme="minorEastAsia" w:hAnsiTheme="minorEastAsia" w:eastAsiaTheme="minorEastAsia"/>
        </w:rPr>
        <w:t>4.</w:t>
      </w:r>
      <w:r>
        <w:rPr>
          <w:rFonts w:asciiTheme="minorEastAsia" w:hAnsiTheme="minorEastAsia" w:eastAsiaTheme="minorEastAsia"/>
        </w:rPr>
        <w:t>3</w:t>
      </w:r>
      <w:r>
        <w:rPr>
          <w:rFonts w:hint="eastAsia" w:asciiTheme="minorEastAsia" w:hAnsiTheme="minorEastAsia" w:eastAsiaTheme="minorEastAsia"/>
        </w:rPr>
        <w:t xml:space="preserve"> 甲乙双方承诺自成为公司股东之日，未经公司股东会同意不得转让公司股权，不得将公司股权对外担保、质押、冻结或实施其他任何权利负担。</w:t>
      </w:r>
    </w:p>
    <w:p>
      <w:pPr>
        <w:spacing w:before="120" w:after="120"/>
        <w:ind w:firstLine="0" w:firstLineChars="0"/>
        <w:rPr>
          <w:rFonts w:asciiTheme="minorEastAsia" w:hAnsiTheme="minorEastAsia" w:eastAsiaTheme="minorEastAsia"/>
          <w:kern w:val="2"/>
        </w:rPr>
      </w:pPr>
      <w:r>
        <w:rPr>
          <w:rFonts w:asciiTheme="minorEastAsia" w:hAnsiTheme="minorEastAsia" w:eastAsiaTheme="minorEastAsia"/>
          <w:kern w:val="2"/>
        </w:rPr>
        <w:t>5</w:t>
      </w:r>
      <w:r>
        <w:rPr>
          <w:rFonts w:hint="eastAsia" w:asciiTheme="minorEastAsia" w:hAnsiTheme="minorEastAsia" w:eastAsiaTheme="minorEastAsia"/>
          <w:kern w:val="2"/>
        </w:rPr>
        <w:t>.公司治理结构</w:t>
      </w:r>
    </w:p>
    <w:p>
      <w:pPr>
        <w:spacing w:before="120" w:after="120"/>
        <w:ind w:firstLine="0" w:firstLineChars="0"/>
        <w:rPr>
          <w:rFonts w:asciiTheme="minorEastAsia" w:hAnsiTheme="minorEastAsia" w:eastAsiaTheme="minorEastAsia"/>
        </w:rPr>
      </w:pPr>
      <w:r>
        <w:rPr>
          <w:rFonts w:asciiTheme="minorEastAsia" w:hAnsiTheme="minorEastAsia" w:eastAsiaTheme="minorEastAsia"/>
          <w:kern w:val="2"/>
        </w:rPr>
        <w:t>5</w:t>
      </w:r>
      <w:r>
        <w:rPr>
          <w:rFonts w:hint="eastAsia" w:asciiTheme="minorEastAsia" w:hAnsiTheme="minorEastAsia" w:eastAsiaTheme="minorEastAsia"/>
          <w:kern w:val="2"/>
        </w:rPr>
        <w:t>.</w:t>
      </w:r>
      <w:r>
        <w:rPr>
          <w:rFonts w:asciiTheme="minorEastAsia" w:hAnsiTheme="minorEastAsia" w:eastAsiaTheme="minorEastAsia"/>
          <w:kern w:val="2"/>
        </w:rPr>
        <w:t>1</w:t>
      </w:r>
      <w:r>
        <w:rPr>
          <w:rFonts w:hint="eastAsia" w:asciiTheme="minorEastAsia" w:hAnsiTheme="minorEastAsia" w:eastAsiaTheme="minorEastAsia"/>
          <w:kern w:val="2"/>
        </w:rPr>
        <w:t xml:space="preserve"> </w:t>
      </w:r>
      <w:r>
        <w:rPr>
          <w:rFonts w:hint="eastAsia" w:asciiTheme="minorEastAsia" w:hAnsiTheme="minorEastAsia" w:eastAsiaTheme="minorEastAsia"/>
        </w:rPr>
        <w:t>公司设执行董事一名，兼法定代表人，由甲方委派人员；公司设监事一名，由甲乙双方协商推荐；执行董事、监事履行《公司章程》规定的职责。</w:t>
      </w:r>
    </w:p>
    <w:p>
      <w:pPr>
        <w:spacing w:before="120" w:after="120"/>
        <w:ind w:firstLine="0" w:firstLineChars="0"/>
        <w:rPr>
          <w:rFonts w:asciiTheme="minorEastAsia" w:hAnsiTheme="minorEastAsia" w:eastAsiaTheme="minorEastAsia"/>
          <w:kern w:val="2"/>
        </w:rPr>
      </w:pPr>
      <w:r>
        <w:rPr>
          <w:rFonts w:asciiTheme="minorEastAsia" w:hAnsiTheme="minorEastAsia" w:eastAsiaTheme="minorEastAsia"/>
          <w:kern w:val="2"/>
        </w:rPr>
        <w:t>5</w:t>
      </w:r>
      <w:r>
        <w:rPr>
          <w:rFonts w:hint="eastAsia" w:asciiTheme="minorEastAsia" w:hAnsiTheme="minorEastAsia" w:eastAsiaTheme="minorEastAsia"/>
          <w:kern w:val="2"/>
        </w:rPr>
        <w:t>.</w:t>
      </w:r>
      <w:r>
        <w:rPr>
          <w:rFonts w:asciiTheme="minorEastAsia" w:hAnsiTheme="minorEastAsia" w:eastAsiaTheme="minorEastAsia"/>
          <w:kern w:val="2"/>
        </w:rPr>
        <w:t>2</w:t>
      </w:r>
      <w:r>
        <w:rPr>
          <w:rFonts w:hint="eastAsia" w:asciiTheme="minorEastAsia" w:hAnsiTheme="minorEastAsia" w:eastAsiaTheme="minorEastAsia"/>
          <w:kern w:val="2"/>
        </w:rPr>
        <w:t xml:space="preserve"> </w:t>
      </w:r>
      <w:r>
        <w:rPr>
          <w:rFonts w:asciiTheme="minorEastAsia" w:hAnsiTheme="minorEastAsia" w:eastAsiaTheme="minorEastAsia"/>
          <w:kern w:val="2"/>
        </w:rPr>
        <w:t>公司设</w:t>
      </w:r>
      <w:r>
        <w:rPr>
          <w:rFonts w:hint="eastAsia" w:asciiTheme="minorEastAsia" w:hAnsiTheme="minorEastAsia" w:eastAsiaTheme="minorEastAsia"/>
          <w:kern w:val="2"/>
        </w:rPr>
        <w:t>经理一</w:t>
      </w:r>
      <w:r>
        <w:rPr>
          <w:rFonts w:asciiTheme="minorEastAsia" w:hAnsiTheme="minorEastAsia" w:eastAsiaTheme="minorEastAsia"/>
          <w:kern w:val="2"/>
        </w:rPr>
        <w:t>名，由乙方</w:t>
      </w:r>
      <w:r>
        <w:rPr>
          <w:rFonts w:hint="eastAsia" w:asciiTheme="minorEastAsia" w:hAnsiTheme="minorEastAsia" w:eastAsiaTheme="minorEastAsia"/>
          <w:kern w:val="2"/>
        </w:rPr>
        <w:t>委派人员</w:t>
      </w:r>
      <w:r>
        <w:rPr>
          <w:rFonts w:asciiTheme="minorEastAsia" w:hAnsiTheme="minorEastAsia" w:eastAsiaTheme="minorEastAsia"/>
          <w:kern w:val="2"/>
        </w:rPr>
        <w:t>；设财务负责人</w:t>
      </w:r>
      <w:r>
        <w:rPr>
          <w:rFonts w:hint="eastAsia" w:asciiTheme="minorEastAsia" w:hAnsiTheme="minorEastAsia" w:eastAsiaTheme="minorEastAsia"/>
          <w:kern w:val="2"/>
        </w:rPr>
        <w:t>一</w:t>
      </w:r>
      <w:r>
        <w:rPr>
          <w:rFonts w:asciiTheme="minorEastAsia" w:hAnsiTheme="minorEastAsia" w:eastAsiaTheme="minorEastAsia"/>
          <w:kern w:val="2"/>
        </w:rPr>
        <w:t>名，由甲方委</w:t>
      </w:r>
      <w:r>
        <w:rPr>
          <w:rFonts w:hint="eastAsia" w:asciiTheme="minorEastAsia" w:hAnsiTheme="minorEastAsia" w:eastAsiaTheme="minorEastAsia"/>
          <w:kern w:val="2"/>
        </w:rPr>
        <w:t>派人员。公司的日常生产经营由经理负责，</w:t>
      </w:r>
      <w:r>
        <w:rPr>
          <w:rFonts w:hint="eastAsia" w:asciiTheme="minorEastAsia" w:hAnsiTheme="minorEastAsia" w:eastAsiaTheme="minorEastAsia"/>
        </w:rPr>
        <w:t>履行《公司章程》规定的职责,涉及重要事项应征得执行董事同意。</w:t>
      </w:r>
    </w:p>
    <w:p>
      <w:pPr>
        <w:spacing w:before="120" w:after="120"/>
        <w:ind w:firstLine="0" w:firstLineChars="0"/>
        <w:rPr>
          <w:rFonts w:asciiTheme="minorEastAsia" w:hAnsiTheme="minorEastAsia" w:eastAsiaTheme="minorEastAsia"/>
          <w:kern w:val="2"/>
        </w:rPr>
      </w:pPr>
      <w:r>
        <w:rPr>
          <w:rFonts w:asciiTheme="minorEastAsia" w:hAnsiTheme="minorEastAsia" w:eastAsiaTheme="minorEastAsia"/>
          <w:kern w:val="2"/>
        </w:rPr>
        <w:t>5</w:t>
      </w:r>
      <w:r>
        <w:rPr>
          <w:rFonts w:hint="eastAsia" w:asciiTheme="minorEastAsia" w:hAnsiTheme="minorEastAsia" w:eastAsiaTheme="minorEastAsia"/>
          <w:kern w:val="2"/>
        </w:rPr>
        <w:t xml:space="preserve">.3 </w:t>
      </w:r>
      <w:r>
        <w:rPr>
          <w:rFonts w:asciiTheme="minorEastAsia" w:hAnsiTheme="minorEastAsia" w:eastAsiaTheme="minorEastAsia"/>
          <w:kern w:val="2"/>
        </w:rPr>
        <w:t>公司设立股东会</w:t>
      </w:r>
      <w:r>
        <w:rPr>
          <w:rFonts w:hint="eastAsia" w:asciiTheme="minorEastAsia" w:hAnsiTheme="minorEastAsia" w:eastAsiaTheme="minorEastAsia"/>
          <w:kern w:val="2"/>
        </w:rPr>
        <w:t>，履行《公司法》及《公司章程》规定的职权。执行董事和</w:t>
      </w:r>
      <w:r>
        <w:rPr>
          <w:rFonts w:asciiTheme="minorEastAsia" w:hAnsiTheme="minorEastAsia" w:eastAsiaTheme="minorEastAsia"/>
          <w:kern w:val="2"/>
        </w:rPr>
        <w:t>经</w:t>
      </w:r>
      <w:r>
        <w:rPr>
          <w:rFonts w:hint="eastAsia" w:asciiTheme="minorEastAsia" w:hAnsiTheme="minorEastAsia" w:eastAsiaTheme="minorEastAsia"/>
          <w:kern w:val="2"/>
        </w:rPr>
        <w:t>理负责按照股东会审批的经营目标开展公司日常经营。</w:t>
      </w:r>
    </w:p>
    <w:p>
      <w:pPr>
        <w:spacing w:before="120" w:after="120"/>
        <w:ind w:firstLine="0" w:firstLineChars="0"/>
        <w:rPr>
          <w:rFonts w:asciiTheme="minorEastAsia" w:hAnsiTheme="minorEastAsia" w:eastAsiaTheme="minorEastAsia"/>
          <w:spacing w:val="20"/>
        </w:rPr>
      </w:pPr>
      <w:r>
        <w:rPr>
          <w:rFonts w:asciiTheme="minorEastAsia" w:hAnsiTheme="minorEastAsia" w:eastAsiaTheme="minorEastAsia"/>
        </w:rPr>
        <w:t>5</w:t>
      </w:r>
      <w:r>
        <w:rPr>
          <w:rFonts w:hint="eastAsia" w:asciiTheme="minorEastAsia" w:hAnsiTheme="minorEastAsia" w:eastAsiaTheme="minorEastAsia"/>
        </w:rPr>
        <w:t>.4 公司独立经营、独立核算，具有决策权、经营权。</w:t>
      </w:r>
    </w:p>
    <w:p>
      <w:pPr>
        <w:spacing w:before="120" w:after="120"/>
        <w:ind w:firstLine="0" w:firstLineChars="0"/>
        <w:rPr>
          <w:rFonts w:asciiTheme="minorEastAsia" w:hAnsiTheme="minorEastAsia" w:eastAsiaTheme="minorEastAsia"/>
          <w:spacing w:val="20"/>
        </w:rPr>
      </w:pPr>
      <w:r>
        <w:rPr>
          <w:rFonts w:asciiTheme="minorEastAsia" w:hAnsiTheme="minorEastAsia" w:eastAsiaTheme="minorEastAsia"/>
        </w:rPr>
        <w:t>5</w:t>
      </w:r>
      <w:r>
        <w:rPr>
          <w:rFonts w:hint="eastAsia" w:asciiTheme="minorEastAsia" w:hAnsiTheme="minorEastAsia" w:eastAsiaTheme="minorEastAsia"/>
        </w:rPr>
        <w:t>.5 公司根据经营需要设立必要的管理部门，员工薪酬待遇参照当地同行业水平商定。</w:t>
      </w:r>
    </w:p>
    <w:p>
      <w:pPr>
        <w:tabs>
          <w:tab w:val="left" w:pos="714"/>
        </w:tabs>
        <w:spacing w:before="120" w:after="120"/>
        <w:ind w:firstLine="0" w:firstLineChars="0"/>
        <w:textAlignment w:val="baseline"/>
        <w:rPr>
          <w:rFonts w:asciiTheme="minorEastAsia" w:hAnsiTheme="minorEastAsia" w:eastAsiaTheme="minorEastAsia"/>
          <w:kern w:val="2"/>
        </w:rPr>
      </w:pPr>
      <w:r>
        <w:rPr>
          <w:rFonts w:asciiTheme="minorEastAsia" w:hAnsiTheme="minorEastAsia" w:eastAsiaTheme="minorEastAsia"/>
        </w:rPr>
        <w:t>5</w:t>
      </w:r>
      <w:r>
        <w:rPr>
          <w:rFonts w:hint="eastAsia" w:asciiTheme="minorEastAsia" w:hAnsiTheme="minorEastAsia" w:eastAsiaTheme="minorEastAsia"/>
        </w:rPr>
        <w:t>.6 公司建立有关业务管理制度、OA办公系统审批流程，履行甲方上市公司对控股子公司规范管理的各项要求。</w:t>
      </w:r>
    </w:p>
    <w:p>
      <w:pPr>
        <w:pStyle w:val="2"/>
        <w:spacing w:before="120" w:after="120"/>
        <w:ind w:firstLine="0" w:firstLineChars="0"/>
        <w:jc w:val="left"/>
        <w:textAlignment w:val="baseline"/>
        <w:rPr>
          <w:rFonts w:asciiTheme="minorEastAsia" w:hAnsiTheme="minorEastAsia" w:eastAsiaTheme="minorEastAsia"/>
        </w:rPr>
      </w:pPr>
      <w:r>
        <w:rPr>
          <w:rFonts w:asciiTheme="minorEastAsia" w:hAnsiTheme="minorEastAsia" w:eastAsiaTheme="minorEastAsia"/>
        </w:rPr>
        <w:t>6</w:t>
      </w:r>
      <w:bookmarkStart w:id="0" w:name="_Toc200336130"/>
      <w:bookmarkStart w:id="1" w:name="_Toc407182771"/>
      <w:bookmarkStart w:id="2" w:name="_Toc213041942"/>
      <w:bookmarkStart w:id="3" w:name="_Toc407191287"/>
      <w:bookmarkStart w:id="4" w:name="_Toc204633171"/>
      <w:bookmarkStart w:id="5" w:name="_Toc34985826"/>
      <w:r>
        <w:rPr>
          <w:rFonts w:hint="eastAsia" w:asciiTheme="minorEastAsia" w:hAnsiTheme="minorEastAsia" w:eastAsiaTheme="minorEastAsia"/>
        </w:rPr>
        <w:t>.</w:t>
      </w:r>
      <w:r>
        <w:rPr>
          <w:rFonts w:asciiTheme="minorEastAsia" w:hAnsiTheme="minorEastAsia" w:eastAsiaTheme="minorEastAsia"/>
        </w:rPr>
        <w:t>其他事项</w:t>
      </w:r>
      <w:bookmarkEnd w:id="0"/>
      <w:bookmarkEnd w:id="1"/>
      <w:bookmarkEnd w:id="2"/>
      <w:bookmarkEnd w:id="3"/>
      <w:bookmarkEnd w:id="4"/>
      <w:bookmarkEnd w:id="5"/>
    </w:p>
    <w:p>
      <w:pPr>
        <w:pStyle w:val="2"/>
        <w:spacing w:before="120" w:after="120"/>
        <w:ind w:firstLine="0" w:firstLineChars="0"/>
        <w:jc w:val="left"/>
        <w:textAlignment w:val="baseline"/>
        <w:rPr>
          <w:rFonts w:asciiTheme="minorEastAsia" w:hAnsiTheme="minorEastAsia" w:eastAsiaTheme="minorEastAsia"/>
        </w:rPr>
      </w:pPr>
      <w:r>
        <w:rPr>
          <w:rFonts w:asciiTheme="minorEastAsia" w:hAnsiTheme="minorEastAsia" w:eastAsiaTheme="minorEastAsia"/>
        </w:rPr>
        <w:t>6.1</w:t>
      </w:r>
      <w:r>
        <w:rPr>
          <w:rFonts w:hint="eastAsia" w:asciiTheme="minorEastAsia" w:hAnsiTheme="minorEastAsia" w:eastAsiaTheme="minorEastAsia"/>
        </w:rPr>
        <w:t>本协议签署前以及乙方作为丙方唯一股东期间，乙方承诺不存在同其他第三方签订合作协议或从事合作的事项；本协议内容及公司经营的商业秘密信息，各方知悉人员应严格保密，非必要不准向任何第三方泄露。</w:t>
      </w:r>
    </w:p>
    <w:p>
      <w:pPr>
        <w:pStyle w:val="4"/>
        <w:numPr>
          <w:ilvl w:val="0"/>
          <w:numId w:val="0"/>
        </w:numPr>
        <w:spacing w:before="120" w:after="120" w:line="360" w:lineRule="auto"/>
        <w:jc w:val="left"/>
        <w:rPr>
          <w:rFonts w:asciiTheme="minorEastAsia" w:hAnsiTheme="minorEastAsia" w:eastAsiaTheme="minorEastAsia"/>
        </w:rPr>
      </w:pPr>
      <w:r>
        <w:rPr>
          <w:rFonts w:asciiTheme="minorEastAsia" w:hAnsiTheme="minorEastAsia" w:eastAsiaTheme="minorEastAsia"/>
          <w:smallCaps/>
        </w:rPr>
        <w:t>6</w:t>
      </w:r>
      <w:r>
        <w:rPr>
          <w:rFonts w:hint="eastAsia" w:asciiTheme="minorEastAsia" w:hAnsiTheme="minorEastAsia" w:eastAsiaTheme="minorEastAsia"/>
          <w:smallCaps/>
        </w:rPr>
        <w:t>.2 一方因法律法规规定或政府管理部门要求披露相关信息的，上述禁止不适用。但如在法律允许的情形下，被要求披露信息的一方应提前告知另一方。</w:t>
      </w:r>
    </w:p>
    <w:p>
      <w:pPr>
        <w:pStyle w:val="2"/>
        <w:spacing w:before="120" w:after="120"/>
        <w:ind w:firstLine="0" w:firstLineChars="0"/>
        <w:jc w:val="left"/>
        <w:textAlignment w:val="baseline"/>
        <w:rPr>
          <w:rFonts w:asciiTheme="minorEastAsia" w:hAnsiTheme="minorEastAsia" w:eastAsiaTheme="minorEastAsia"/>
        </w:rPr>
      </w:pPr>
      <w:r>
        <w:rPr>
          <w:rFonts w:asciiTheme="minorEastAsia" w:hAnsiTheme="minorEastAsia" w:eastAsiaTheme="minorEastAsia"/>
        </w:rPr>
        <w:t>6</w:t>
      </w:r>
      <w:r>
        <w:rPr>
          <w:rFonts w:hint="eastAsia" w:asciiTheme="minorEastAsia" w:hAnsiTheme="minorEastAsia" w:eastAsiaTheme="minorEastAsia"/>
        </w:rPr>
        <w:t>.3 乙方提供的市场销售、研发技术、专有知识及人员等资源不存在对第三方的侵权或签订同业禁止协议，如给甲方造成损失的，由乙方承担赔偿责任。</w:t>
      </w:r>
    </w:p>
    <w:p>
      <w:pPr>
        <w:spacing w:before="120" w:after="120"/>
        <w:ind w:firstLine="0" w:firstLineChars="0"/>
        <w:rPr>
          <w:rFonts w:asciiTheme="minorEastAsia" w:hAnsiTheme="minorEastAsia" w:eastAsiaTheme="minorEastAsia"/>
          <w:kern w:val="2"/>
        </w:rPr>
      </w:pPr>
      <w:r>
        <w:rPr>
          <w:rFonts w:asciiTheme="minorEastAsia" w:hAnsiTheme="minorEastAsia" w:eastAsiaTheme="minorEastAsia"/>
          <w:kern w:val="2"/>
        </w:rPr>
        <w:t xml:space="preserve">7 </w:t>
      </w:r>
      <w:r>
        <w:rPr>
          <w:rFonts w:hint="eastAsia" w:asciiTheme="minorEastAsia" w:hAnsiTheme="minorEastAsia" w:eastAsiaTheme="minorEastAsia"/>
          <w:kern w:val="2"/>
        </w:rPr>
        <w:t>.</w:t>
      </w:r>
      <w:r>
        <w:rPr>
          <w:rFonts w:asciiTheme="minorEastAsia" w:hAnsiTheme="minorEastAsia" w:eastAsiaTheme="minorEastAsia"/>
          <w:kern w:val="2"/>
        </w:rPr>
        <w:t>违约责任</w:t>
      </w:r>
    </w:p>
    <w:p>
      <w:pPr>
        <w:spacing w:before="120" w:after="120"/>
        <w:ind w:firstLine="0" w:firstLineChars="0"/>
        <w:rPr>
          <w:rFonts w:asciiTheme="minorEastAsia" w:hAnsiTheme="minorEastAsia" w:eastAsiaTheme="minorEastAsia"/>
          <w:kern w:val="2"/>
        </w:rPr>
      </w:pPr>
      <w:r>
        <w:rPr>
          <w:rFonts w:asciiTheme="minorEastAsia" w:hAnsiTheme="minorEastAsia" w:eastAsiaTheme="minorEastAsia"/>
          <w:kern w:val="2"/>
        </w:rPr>
        <w:t>7</w:t>
      </w:r>
      <w:r>
        <w:rPr>
          <w:rFonts w:hint="eastAsia" w:asciiTheme="minorEastAsia" w:hAnsiTheme="minorEastAsia" w:eastAsiaTheme="minorEastAsia"/>
          <w:kern w:val="2"/>
        </w:rPr>
        <w:t>.</w:t>
      </w:r>
      <w:r>
        <w:rPr>
          <w:rFonts w:asciiTheme="minorEastAsia" w:hAnsiTheme="minorEastAsia" w:eastAsiaTheme="minorEastAsia"/>
          <w:kern w:val="2"/>
        </w:rPr>
        <w:t>1</w:t>
      </w:r>
      <w:r>
        <w:rPr>
          <w:rFonts w:hint="eastAsia" w:asciiTheme="minorEastAsia" w:hAnsiTheme="minorEastAsia" w:eastAsiaTheme="minorEastAsia"/>
          <w:kern w:val="2"/>
        </w:rPr>
        <w:t xml:space="preserve"> 甲乙</w:t>
      </w:r>
      <w:r>
        <w:rPr>
          <w:rFonts w:asciiTheme="minorEastAsia" w:hAnsiTheme="minorEastAsia" w:eastAsiaTheme="minorEastAsia"/>
          <w:kern w:val="2"/>
        </w:rPr>
        <w:t>双方违反本协议的任一约定，均为违约。</w:t>
      </w:r>
      <w:r>
        <w:rPr>
          <w:rFonts w:hint="eastAsia" w:asciiTheme="minorEastAsia" w:hAnsiTheme="minorEastAsia" w:eastAsiaTheme="minorEastAsia"/>
          <w:kern w:val="2"/>
        </w:rPr>
        <w:t>除另有约定外，</w:t>
      </w:r>
      <w:r>
        <w:rPr>
          <w:rFonts w:asciiTheme="minorEastAsia" w:hAnsiTheme="minorEastAsia" w:eastAsiaTheme="minorEastAsia"/>
          <w:kern w:val="2"/>
        </w:rPr>
        <w:t>守约方向违约方发出书面</w:t>
      </w:r>
      <w:r>
        <w:rPr>
          <w:rFonts w:hint="eastAsia" w:asciiTheme="minorEastAsia" w:hAnsiTheme="minorEastAsia" w:eastAsiaTheme="minorEastAsia"/>
          <w:kern w:val="2"/>
        </w:rPr>
        <w:t>通知后，违约方未按期改正的，每逾期一日，违约方应按本协议约定按增资额的万分之二向守约方支付违约金，直至违约方改正之日止。</w:t>
      </w:r>
    </w:p>
    <w:p>
      <w:pPr>
        <w:spacing w:before="120" w:after="120"/>
        <w:ind w:firstLine="0" w:firstLineChars="0"/>
        <w:rPr>
          <w:rFonts w:asciiTheme="minorEastAsia" w:hAnsiTheme="minorEastAsia" w:eastAsiaTheme="minorEastAsia"/>
          <w:kern w:val="2"/>
        </w:rPr>
      </w:pPr>
      <w:r>
        <w:rPr>
          <w:rFonts w:asciiTheme="minorEastAsia" w:hAnsiTheme="minorEastAsia" w:eastAsiaTheme="minorEastAsia"/>
          <w:kern w:val="2"/>
        </w:rPr>
        <w:t>7</w:t>
      </w:r>
      <w:r>
        <w:rPr>
          <w:rFonts w:hint="eastAsia" w:asciiTheme="minorEastAsia" w:hAnsiTheme="minorEastAsia" w:eastAsiaTheme="minorEastAsia"/>
          <w:kern w:val="2"/>
        </w:rPr>
        <w:t>.</w:t>
      </w:r>
      <w:r>
        <w:rPr>
          <w:rFonts w:asciiTheme="minorEastAsia" w:hAnsiTheme="minorEastAsia" w:eastAsiaTheme="minorEastAsia"/>
          <w:kern w:val="2"/>
        </w:rPr>
        <w:t>2</w:t>
      </w:r>
      <w:r>
        <w:rPr>
          <w:rFonts w:hint="eastAsia" w:asciiTheme="minorEastAsia" w:hAnsiTheme="minorEastAsia" w:eastAsiaTheme="minorEastAsia"/>
          <w:kern w:val="2"/>
        </w:rPr>
        <w:t xml:space="preserve"> </w:t>
      </w:r>
      <w:r>
        <w:rPr>
          <w:rFonts w:asciiTheme="minorEastAsia" w:hAnsiTheme="minorEastAsia" w:eastAsiaTheme="minorEastAsia"/>
          <w:kern w:val="2"/>
        </w:rPr>
        <w:t>违约方之行为导致守约方受损的，违约方承担相应赔偿责任（包括但不</w:t>
      </w:r>
      <w:r>
        <w:rPr>
          <w:rFonts w:hint="eastAsia" w:asciiTheme="minorEastAsia" w:hAnsiTheme="minorEastAsia" w:eastAsiaTheme="minorEastAsia"/>
          <w:kern w:val="2"/>
        </w:rPr>
        <w:t>限于：守约方因违约方的违约行为导致的向第三方支付的赔偿、守约方主张权利而支出的律师费、诉讼费、财产保全费等）。</w:t>
      </w:r>
    </w:p>
    <w:p>
      <w:pPr>
        <w:spacing w:before="120" w:after="120"/>
        <w:ind w:firstLine="0" w:firstLineChars="0"/>
        <w:rPr>
          <w:rFonts w:asciiTheme="minorEastAsia" w:hAnsiTheme="minorEastAsia" w:eastAsiaTheme="minorEastAsia"/>
          <w:kern w:val="2"/>
        </w:rPr>
      </w:pPr>
      <w:r>
        <w:rPr>
          <w:rFonts w:asciiTheme="minorEastAsia" w:hAnsiTheme="minorEastAsia" w:eastAsiaTheme="minorEastAsia"/>
          <w:kern w:val="2"/>
        </w:rPr>
        <w:t>7</w:t>
      </w:r>
      <w:r>
        <w:rPr>
          <w:rFonts w:hint="eastAsia" w:asciiTheme="minorEastAsia" w:hAnsiTheme="minorEastAsia" w:eastAsiaTheme="minorEastAsia"/>
          <w:kern w:val="2"/>
        </w:rPr>
        <w:t>.</w:t>
      </w:r>
      <w:r>
        <w:rPr>
          <w:rFonts w:asciiTheme="minorEastAsia" w:hAnsiTheme="minorEastAsia" w:eastAsiaTheme="minorEastAsia"/>
          <w:kern w:val="2"/>
        </w:rPr>
        <w:t>3</w:t>
      </w:r>
      <w:r>
        <w:rPr>
          <w:rFonts w:hint="eastAsia" w:asciiTheme="minorEastAsia" w:hAnsiTheme="minorEastAsia" w:eastAsiaTheme="minorEastAsia"/>
          <w:kern w:val="2"/>
        </w:rPr>
        <w:t xml:space="preserve"> </w:t>
      </w:r>
      <w:r>
        <w:rPr>
          <w:rFonts w:asciiTheme="minorEastAsia" w:hAnsiTheme="minorEastAsia" w:eastAsiaTheme="minorEastAsia"/>
          <w:kern w:val="2"/>
        </w:rPr>
        <w:t>甲方依法按照中国证监会和交易所的规则进行信息披露，乙方保证对在</w:t>
      </w:r>
      <w:r>
        <w:rPr>
          <w:rFonts w:hint="eastAsia" w:asciiTheme="minorEastAsia" w:hAnsiTheme="minorEastAsia" w:eastAsiaTheme="minorEastAsia"/>
          <w:kern w:val="2"/>
        </w:rPr>
        <w:t>讨论、签订、执行本协议过程中所获悉的、自公开渠道无法获悉的文件及资料予以保密。</w:t>
      </w:r>
    </w:p>
    <w:p>
      <w:pPr>
        <w:spacing w:before="120" w:after="120"/>
        <w:ind w:firstLine="0" w:firstLineChars="0"/>
        <w:rPr>
          <w:rFonts w:asciiTheme="minorEastAsia" w:hAnsiTheme="minorEastAsia" w:eastAsiaTheme="minorEastAsia"/>
          <w:bCs/>
          <w:kern w:val="2"/>
        </w:rPr>
      </w:pPr>
      <w:r>
        <w:rPr>
          <w:rFonts w:asciiTheme="minorEastAsia" w:hAnsiTheme="minorEastAsia" w:eastAsiaTheme="minorEastAsia"/>
          <w:kern w:val="2"/>
        </w:rPr>
        <w:t>8</w:t>
      </w:r>
      <w:r>
        <w:rPr>
          <w:rFonts w:hint="eastAsia" w:asciiTheme="minorEastAsia" w:hAnsiTheme="minorEastAsia" w:eastAsiaTheme="minorEastAsia"/>
          <w:kern w:val="2"/>
        </w:rPr>
        <w:t>.</w:t>
      </w:r>
      <w:r>
        <w:rPr>
          <w:rFonts w:asciiTheme="minorEastAsia" w:hAnsiTheme="minorEastAsia" w:eastAsiaTheme="minorEastAsia"/>
          <w:kern w:val="2"/>
        </w:rPr>
        <w:t xml:space="preserve"> 争议解决</w:t>
      </w:r>
    </w:p>
    <w:p>
      <w:pPr>
        <w:spacing w:before="120" w:after="120"/>
        <w:ind w:firstLine="600" w:firstLineChars="250"/>
        <w:rPr>
          <w:rFonts w:asciiTheme="minorEastAsia" w:hAnsiTheme="minorEastAsia" w:eastAsiaTheme="minorEastAsia"/>
          <w:bCs/>
          <w:kern w:val="2"/>
        </w:rPr>
      </w:pPr>
      <w:r>
        <w:rPr>
          <w:rFonts w:hint="eastAsia" w:asciiTheme="minorEastAsia" w:hAnsiTheme="minorEastAsia" w:eastAsiaTheme="minorEastAsia"/>
          <w:kern w:val="2"/>
        </w:rPr>
        <w:t>因本协议发生的争议，各方应友好协商解决；未能协商解决的，任何一方均可提交本协议签订地有管辖权的人民法院审理。</w:t>
      </w:r>
    </w:p>
    <w:p>
      <w:pPr>
        <w:pStyle w:val="2"/>
        <w:numPr>
          <w:ilvl w:val="0"/>
          <w:numId w:val="3"/>
        </w:numPr>
        <w:spacing w:before="120" w:after="120"/>
        <w:ind w:firstLine="482"/>
        <w:rPr>
          <w:rFonts w:asciiTheme="minorEastAsia" w:hAnsiTheme="minorEastAsia" w:eastAsiaTheme="minorEastAsia"/>
          <w:b/>
        </w:rPr>
      </w:pPr>
      <w:r>
        <w:rPr>
          <w:rFonts w:hint="eastAsia" w:asciiTheme="minorEastAsia" w:hAnsiTheme="minorEastAsia" w:eastAsiaTheme="minorEastAsia"/>
          <w:b/>
        </w:rPr>
        <w:t>本次交易的目的、存在的风险和对公司的影响</w:t>
      </w:r>
    </w:p>
    <w:p>
      <w:pPr>
        <w:pStyle w:val="2"/>
        <w:spacing w:before="120" w:after="120"/>
        <w:ind w:firstLine="480"/>
        <w:rPr>
          <w:rFonts w:hint="eastAsia"/>
        </w:rPr>
      </w:pPr>
      <w:r>
        <w:rPr>
          <w:rFonts w:hint="eastAsia"/>
        </w:rPr>
        <w:t>1、交易的目的和对公司的影响</w:t>
      </w:r>
    </w:p>
    <w:p>
      <w:pPr>
        <w:pStyle w:val="2"/>
        <w:spacing w:before="120" w:after="120"/>
        <w:ind w:firstLine="480"/>
        <w:rPr>
          <w:rFonts w:hint="eastAsia" w:hAnsi="宋体"/>
        </w:rPr>
      </w:pPr>
      <w:r>
        <w:rPr>
          <w:rFonts w:hint="eastAsia"/>
        </w:rPr>
        <w:t>本次公司</w:t>
      </w:r>
      <w:r>
        <w:rPr>
          <w:rFonts w:hint="eastAsia" w:hAnsi="宋体"/>
        </w:rPr>
        <w:t>签署</w:t>
      </w:r>
      <w:r>
        <w:rPr>
          <w:rFonts w:hint="eastAsia"/>
        </w:rPr>
        <w:t>《</w:t>
      </w:r>
      <w:r>
        <w:rPr>
          <w:rFonts w:hint="eastAsia" w:hAnsi="宋体"/>
        </w:rPr>
        <w:t>增资协议</w:t>
      </w:r>
      <w:r>
        <w:rPr>
          <w:rFonts w:hint="eastAsia"/>
        </w:rPr>
        <w:t>》，是公司</w:t>
      </w:r>
      <w:r>
        <w:rPr>
          <w:rFonts w:hint="eastAsia" w:hAnsi="宋体"/>
        </w:rPr>
        <w:t>基于实际经营管理及长期业务发展需要</w:t>
      </w:r>
      <w:r>
        <w:rPr>
          <w:rFonts w:hint="eastAsia"/>
        </w:rPr>
        <w:t>做出的决定，为了</w:t>
      </w:r>
      <w:r>
        <w:rPr>
          <w:rFonts w:hint="eastAsia" w:hAnsi="宋体"/>
        </w:rPr>
        <w:t>充分发挥各方的资源优势，加快</w:t>
      </w:r>
      <w:r>
        <w:rPr>
          <w:rFonts w:hint="eastAsia"/>
        </w:rPr>
        <w:t>公司</w:t>
      </w:r>
      <w:r>
        <w:rPr>
          <w:rFonts w:hint="eastAsia" w:hAnsi="宋体"/>
        </w:rPr>
        <w:t>参与新能源风力发电智能装备设施以及智慧节能阀门系统的业务布局，提升</w:t>
      </w:r>
      <w:r>
        <w:rPr>
          <w:rFonts w:hint="eastAsia"/>
        </w:rPr>
        <w:t>公司</w:t>
      </w:r>
      <w:r>
        <w:rPr>
          <w:rFonts w:hint="eastAsia" w:hAnsi="宋体"/>
        </w:rPr>
        <w:t>的综合竞争力，促进公司的经营发展</w:t>
      </w:r>
      <w:r>
        <w:rPr>
          <w:rFonts w:hAnsi="宋体"/>
        </w:rPr>
        <w:t>，符合公司全体股东的利益</w:t>
      </w:r>
      <w:r>
        <w:rPr>
          <w:rFonts w:hint="eastAsia" w:hAnsi="宋体"/>
        </w:rPr>
        <w:t>。</w:t>
      </w:r>
    </w:p>
    <w:p>
      <w:pPr>
        <w:pStyle w:val="2"/>
        <w:spacing w:before="120" w:after="120"/>
        <w:ind w:firstLine="480"/>
        <w:rPr>
          <w:rFonts w:hAnsi="宋体"/>
        </w:rPr>
      </w:pPr>
      <w:r>
        <w:rPr>
          <w:rFonts w:hint="eastAsia" w:hAnsi="宋体"/>
        </w:rPr>
        <w:t>2、存在的风险</w:t>
      </w:r>
    </w:p>
    <w:p>
      <w:pPr>
        <w:pStyle w:val="2"/>
        <w:spacing w:before="120" w:after="120"/>
        <w:ind w:firstLine="480"/>
        <w:rPr>
          <w:rFonts w:asciiTheme="minorEastAsia" w:hAnsiTheme="minorEastAsia"/>
        </w:rPr>
      </w:pPr>
      <w:r>
        <w:rPr>
          <w:rFonts w:hint="eastAsia" w:asciiTheme="minorEastAsia" w:hAnsiTheme="minorEastAsia"/>
        </w:rPr>
        <w:t>公司增资控股海洋科技后可能存在行业竞争、人力资源和宏观政策影响等风险。公司将不断完善法人治理结构，加强内部协作机制的建立和运作，并完善内部控制流程，培养优秀的经营管理团队，以不断适应公司业务发展要求及市场变化，积极防范和应对风险。</w:t>
      </w:r>
    </w:p>
    <w:p>
      <w:pPr>
        <w:pStyle w:val="2"/>
        <w:numPr>
          <w:ilvl w:val="0"/>
          <w:numId w:val="3"/>
        </w:numPr>
        <w:spacing w:before="120" w:after="120"/>
        <w:ind w:firstLine="482"/>
        <w:rPr>
          <w:rFonts w:hint="eastAsia" w:asciiTheme="minorEastAsia" w:hAnsiTheme="minorEastAsia" w:eastAsiaTheme="minorEastAsia"/>
          <w:b/>
        </w:rPr>
      </w:pPr>
      <w:r>
        <w:rPr>
          <w:rFonts w:hint="eastAsia" w:asciiTheme="minorEastAsia" w:hAnsiTheme="minorEastAsia" w:eastAsiaTheme="minorEastAsia"/>
          <w:b/>
        </w:rPr>
        <w:t>备查文件</w:t>
      </w:r>
    </w:p>
    <w:p>
      <w:pPr>
        <w:numPr>
          <w:ilvl w:val="0"/>
          <w:numId w:val="8"/>
        </w:numPr>
        <w:spacing w:before="120" w:after="120"/>
        <w:ind w:firstLine="480"/>
        <w:rPr>
          <w:rFonts w:ascii="Times New Roman" w:hAnsi="Times New Roman"/>
          <w:szCs w:val="23"/>
        </w:rPr>
      </w:pPr>
      <w:r>
        <w:rPr>
          <w:rFonts w:hint="eastAsia" w:ascii="Times New Roman" w:hAnsi="Times New Roman"/>
          <w:szCs w:val="23"/>
        </w:rPr>
        <w:t>《青岛伟隆阀门股份有限公司第四届董事会第十八次会议决议》；</w:t>
      </w:r>
    </w:p>
    <w:p>
      <w:pPr>
        <w:pStyle w:val="2"/>
        <w:numPr>
          <w:ilvl w:val="0"/>
          <w:numId w:val="8"/>
        </w:numPr>
        <w:spacing w:before="120" w:after="120"/>
        <w:ind w:firstLine="480"/>
      </w:pPr>
      <w:r>
        <w:rPr>
          <w:rFonts w:hint="eastAsia"/>
        </w:rPr>
        <w:t>《增资</w:t>
      </w:r>
      <w:bookmarkStart w:id="6" w:name="_GoBack"/>
      <w:bookmarkEnd w:id="6"/>
      <w:r>
        <w:rPr>
          <w:rFonts w:hint="eastAsia"/>
        </w:rPr>
        <w:t>协议》</w:t>
      </w:r>
    </w:p>
    <w:p>
      <w:pPr>
        <w:spacing w:before="120" w:after="120"/>
        <w:ind w:firstLine="480"/>
        <w:rPr>
          <w:rFonts w:ascii="Times New Roman" w:hAnsi="Times New Roman"/>
          <w:szCs w:val="23"/>
        </w:rPr>
      </w:pPr>
    </w:p>
    <w:p>
      <w:pPr>
        <w:spacing w:before="120" w:after="120"/>
        <w:ind w:firstLine="480"/>
        <w:rPr>
          <w:rFonts w:ascii="Times New Roman" w:hAnsi="Times New Roman"/>
          <w:szCs w:val="23"/>
        </w:rPr>
      </w:pPr>
      <w:r>
        <w:rPr>
          <w:rFonts w:hint="eastAsia" w:ascii="Times New Roman" w:hAnsi="Times New Roman"/>
          <w:szCs w:val="23"/>
        </w:rPr>
        <w:t>特此公告。</w:t>
      </w:r>
    </w:p>
    <w:p>
      <w:pPr>
        <w:spacing w:before="120" w:after="120"/>
        <w:ind w:firstLine="4560" w:firstLineChars="1900"/>
        <w:jc w:val="right"/>
        <w:rPr>
          <w:rFonts w:ascii="Times New Roman" w:hAnsi="Times New Roman"/>
        </w:rPr>
      </w:pPr>
      <w:r>
        <w:rPr>
          <w:rFonts w:hint="eastAsia" w:ascii="Times New Roman" w:hAnsi="Times New Roman"/>
        </w:rPr>
        <w:t>青岛伟隆阀门股份有限公司董事会202</w:t>
      </w:r>
      <w:r>
        <w:rPr>
          <w:rFonts w:ascii="Times New Roman" w:hAnsi="Times New Roman"/>
        </w:rPr>
        <w:t>3</w:t>
      </w:r>
      <w:r>
        <w:rPr>
          <w:rFonts w:hint="eastAsia" w:ascii="Times New Roman" w:hAnsi="Times New Roman"/>
        </w:rPr>
        <w:t>年2月</w:t>
      </w:r>
      <w:r>
        <w:rPr>
          <w:rFonts w:ascii="Times New Roman" w:hAnsi="Times New Roman"/>
        </w:rPr>
        <w:t>1</w:t>
      </w:r>
      <w:r>
        <w:rPr>
          <w:rFonts w:hint="default" w:ascii="Times New Roman" w:hAnsi="Times New Roman"/>
          <w:lang w:val="en-US"/>
        </w:rPr>
        <w:t>7</w:t>
      </w:r>
      <w:r>
        <w:rPr>
          <w:rFonts w:hint="eastAsia" w:ascii="Times New Roman" w:hAnsi="Times New Roman"/>
        </w:rPr>
        <w:t>日</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05627440"/>
    </w:sdtPr>
    <w:sdtContent>
      <w:p>
        <w:pPr>
          <w:pStyle w:val="9"/>
          <w:spacing w:before="120" w:after="120"/>
          <w:ind w:firstLine="360"/>
          <w:jc w:val="center"/>
        </w:pPr>
        <w:r>
          <w:fldChar w:fldCharType="begin"/>
        </w:r>
        <w:r>
          <w:instrText xml:space="preserve">PAGE   \* MERGEFORMAT</w:instrText>
        </w:r>
        <w:r>
          <w:fldChar w:fldCharType="separate"/>
        </w:r>
        <w:r>
          <w:rPr>
            <w:lang w:val="zh-CN"/>
          </w:rPr>
          <w:t>1</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before="120" w:after="1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before="120" w:after="12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80"/>
      </w:pPr>
      <w:r>
        <w:separator/>
      </w:r>
    </w:p>
  </w:footnote>
  <w:footnote w:type="continuationSeparator" w:id="1">
    <w:p>
      <w:pPr>
        <w:spacing w:before="0" w:after="0"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spacing w:before="120" w:after="12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before="120" w:after="1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before="120" w:after="12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C0135F"/>
    <w:multiLevelType w:val="singleLevel"/>
    <w:tmpl w:val="FCC0135F"/>
    <w:lvl w:ilvl="0" w:tentative="0">
      <w:start w:val="1"/>
      <w:numFmt w:val="chineseCounting"/>
      <w:suff w:val="nothing"/>
      <w:lvlText w:val="%1、"/>
      <w:lvlJc w:val="left"/>
      <w:rPr>
        <w:rFonts w:hint="eastAsia"/>
      </w:rPr>
    </w:lvl>
  </w:abstractNum>
  <w:abstractNum w:abstractNumId="1">
    <w:nsid w:val="070212AD"/>
    <w:multiLevelType w:val="multilevel"/>
    <w:tmpl w:val="070212AD"/>
    <w:lvl w:ilvl="0" w:tentative="0">
      <w:start w:val="1"/>
      <w:numFmt w:val="decimal"/>
      <w:pStyle w:val="3"/>
      <w:lvlText w:val="%1"/>
      <w:lvlJc w:val="left"/>
      <w:pPr>
        <w:ind w:left="567" w:hanging="567"/>
      </w:pPr>
      <w:rPr>
        <w:rFonts w:hint="eastAsia"/>
        <w:b/>
        <w:bCs/>
      </w:rPr>
    </w:lvl>
    <w:lvl w:ilvl="1" w:tentative="0">
      <w:start w:val="1"/>
      <w:numFmt w:val="decimal"/>
      <w:pStyle w:val="4"/>
      <w:lvlText w:val="%1.%2"/>
      <w:lvlJc w:val="left"/>
      <w:pPr>
        <w:ind w:left="851" w:hanging="567"/>
      </w:pPr>
      <w:rPr>
        <w:rFonts w:hint="eastAsia" w:ascii="仿宋" w:hAnsi="仿宋" w:eastAsia="仿宋"/>
        <w:b/>
        <w:bCs/>
      </w:rPr>
    </w:lvl>
    <w:lvl w:ilvl="2" w:tentative="0">
      <w:start w:val="1"/>
      <w:numFmt w:val="decimal"/>
      <w:lvlText w:val="%1.%2.%3"/>
      <w:lvlJc w:val="left"/>
      <w:pPr>
        <w:tabs>
          <w:tab w:val="left" w:pos="1134"/>
        </w:tabs>
        <w:ind w:left="1134" w:hanging="567"/>
      </w:pPr>
      <w:rPr>
        <w:rFonts w:hint="eastAsia"/>
      </w:rPr>
    </w:lvl>
    <w:lvl w:ilvl="3" w:tentative="0">
      <w:start w:val="1"/>
      <w:numFmt w:val="decimal"/>
      <w:lvlText w:val="%1.%2.%3.%4"/>
      <w:lvlJc w:val="left"/>
      <w:pPr>
        <w:ind w:left="1134" w:hanging="567"/>
      </w:pPr>
      <w:rPr>
        <w:rFonts w:hint="eastAsia"/>
      </w:rPr>
    </w:lvl>
    <w:lvl w:ilvl="4" w:tentative="0">
      <w:start w:val="1"/>
      <w:numFmt w:val="decimal"/>
      <w:lvlText w:val="%1.%2.%3.%4.%5"/>
      <w:lvlJc w:val="left"/>
      <w:pPr>
        <w:ind w:left="1134" w:hanging="567"/>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2">
    <w:nsid w:val="07066A03"/>
    <w:multiLevelType w:val="singleLevel"/>
    <w:tmpl w:val="07066A03"/>
    <w:lvl w:ilvl="0" w:tentative="0">
      <w:start w:val="1"/>
      <w:numFmt w:val="decimal"/>
      <w:suff w:val="space"/>
      <w:lvlText w:val="%1."/>
      <w:lvlJc w:val="left"/>
      <w:pPr>
        <w:ind w:left="1080" w:firstLine="0"/>
      </w:pPr>
    </w:lvl>
  </w:abstractNum>
  <w:abstractNum w:abstractNumId="3">
    <w:nsid w:val="0B185985"/>
    <w:multiLevelType w:val="singleLevel"/>
    <w:tmpl w:val="0B185985"/>
    <w:lvl w:ilvl="0" w:tentative="0">
      <w:start w:val="1"/>
      <w:numFmt w:val="decimal"/>
      <w:suff w:val="space"/>
      <w:lvlText w:val="%1."/>
      <w:lvlJc w:val="left"/>
    </w:lvl>
  </w:abstractNum>
  <w:abstractNum w:abstractNumId="4">
    <w:nsid w:val="15145B69"/>
    <w:multiLevelType w:val="multilevel"/>
    <w:tmpl w:val="15145B69"/>
    <w:lvl w:ilvl="0" w:tentative="0">
      <w:start w:val="1"/>
      <w:numFmt w:val="decimal"/>
      <w:lvlText w:val="%1."/>
      <w:lvlJc w:val="left"/>
      <w:pPr>
        <w:ind w:left="840" w:hanging="360"/>
      </w:pPr>
      <w:rPr>
        <w:rFonts w:hint="default" w:asciiTheme="minorEastAsia" w:hAnsiTheme="minorEastAsia" w:eastAsiaTheme="minorEastAsia"/>
        <w:color w:val="00000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3CD6A018"/>
    <w:multiLevelType w:val="singleLevel"/>
    <w:tmpl w:val="3CD6A018"/>
    <w:lvl w:ilvl="0" w:tentative="0">
      <w:start w:val="1"/>
      <w:numFmt w:val="decimal"/>
      <w:suff w:val="space"/>
      <w:lvlText w:val="%1."/>
      <w:lvlJc w:val="left"/>
    </w:lvl>
  </w:abstractNum>
  <w:abstractNum w:abstractNumId="6">
    <w:nsid w:val="4320A8B6"/>
    <w:multiLevelType w:val="singleLevel"/>
    <w:tmpl w:val="4320A8B6"/>
    <w:lvl w:ilvl="0" w:tentative="0">
      <w:start w:val="1"/>
      <w:numFmt w:val="chineseCounting"/>
      <w:suff w:val="space"/>
      <w:lvlText w:val="（%1）"/>
      <w:lvlJc w:val="left"/>
      <w:rPr>
        <w:rFonts w:hint="eastAsia"/>
      </w:rPr>
    </w:lvl>
  </w:abstractNum>
  <w:abstractNum w:abstractNumId="7">
    <w:nsid w:val="6B3C3C20"/>
    <w:multiLevelType w:val="singleLevel"/>
    <w:tmpl w:val="6B3C3C20"/>
    <w:lvl w:ilvl="0" w:tentative="0">
      <w:start w:val="1"/>
      <w:numFmt w:val="decimal"/>
      <w:suff w:val="nothing"/>
      <w:lvlText w:val="%1、"/>
      <w:lvlJc w:val="left"/>
    </w:lvl>
  </w:abstractNum>
  <w:num w:numId="1">
    <w:abstractNumId w:val="1"/>
  </w:num>
  <w:num w:numId="2">
    <w:abstractNumId w:val="3"/>
  </w:num>
  <w:num w:numId="3">
    <w:abstractNumId w:val="0"/>
  </w:num>
  <w:num w:numId="4">
    <w:abstractNumId w:val="5"/>
  </w:num>
  <w:num w:numId="5">
    <w:abstractNumId w:val="6"/>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720"/>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2"/>
  </w:compat>
  <w:docVars>
    <w:docVar w:name="commondata" w:val="eyJoZGlkIjoiOTRiYWIwNzkzYTg0MzhhYmIxYTgwNmNhNDYxODQzNjMifQ=="/>
  </w:docVars>
  <w:rsids>
    <w:rsidRoot w:val="00172A27"/>
    <w:rsid w:val="00002287"/>
    <w:rsid w:val="000133CD"/>
    <w:rsid w:val="00020F1C"/>
    <w:rsid w:val="00022A9E"/>
    <w:rsid w:val="00023BAC"/>
    <w:rsid w:val="00031AFA"/>
    <w:rsid w:val="00034103"/>
    <w:rsid w:val="00042D35"/>
    <w:rsid w:val="00057EB4"/>
    <w:rsid w:val="00063F61"/>
    <w:rsid w:val="00074DD9"/>
    <w:rsid w:val="00075EE2"/>
    <w:rsid w:val="00080C5D"/>
    <w:rsid w:val="00083826"/>
    <w:rsid w:val="00087BE3"/>
    <w:rsid w:val="0009105D"/>
    <w:rsid w:val="0009255B"/>
    <w:rsid w:val="000A0FB4"/>
    <w:rsid w:val="000B01D7"/>
    <w:rsid w:val="000B2414"/>
    <w:rsid w:val="000B2C71"/>
    <w:rsid w:val="000B5CC8"/>
    <w:rsid w:val="000B6DBF"/>
    <w:rsid w:val="000C2AFB"/>
    <w:rsid w:val="000C6274"/>
    <w:rsid w:val="000D4AE4"/>
    <w:rsid w:val="000D6589"/>
    <w:rsid w:val="000E2111"/>
    <w:rsid w:val="000E3FA3"/>
    <w:rsid w:val="000E4EF4"/>
    <w:rsid w:val="000F5C6E"/>
    <w:rsid w:val="000F6EB5"/>
    <w:rsid w:val="00100F35"/>
    <w:rsid w:val="0010482D"/>
    <w:rsid w:val="00105553"/>
    <w:rsid w:val="0010568E"/>
    <w:rsid w:val="001118CE"/>
    <w:rsid w:val="00115BE8"/>
    <w:rsid w:val="00121BA8"/>
    <w:rsid w:val="00123DE7"/>
    <w:rsid w:val="001306E7"/>
    <w:rsid w:val="00140D0E"/>
    <w:rsid w:val="001420CB"/>
    <w:rsid w:val="0014411C"/>
    <w:rsid w:val="00154A83"/>
    <w:rsid w:val="001624EA"/>
    <w:rsid w:val="0016383F"/>
    <w:rsid w:val="00166112"/>
    <w:rsid w:val="00172A27"/>
    <w:rsid w:val="0017757A"/>
    <w:rsid w:val="001840A0"/>
    <w:rsid w:val="00191D6D"/>
    <w:rsid w:val="001A23CA"/>
    <w:rsid w:val="001B0EAD"/>
    <w:rsid w:val="001B33ED"/>
    <w:rsid w:val="001C0510"/>
    <w:rsid w:val="001C2D84"/>
    <w:rsid w:val="001C3023"/>
    <w:rsid w:val="001C4F3D"/>
    <w:rsid w:val="001C59F6"/>
    <w:rsid w:val="001C72E9"/>
    <w:rsid w:val="001C75CC"/>
    <w:rsid w:val="001D4D05"/>
    <w:rsid w:val="001E386D"/>
    <w:rsid w:val="001E4C2B"/>
    <w:rsid w:val="001E5BA2"/>
    <w:rsid w:val="001E7A4C"/>
    <w:rsid w:val="001F18B8"/>
    <w:rsid w:val="00205726"/>
    <w:rsid w:val="00215746"/>
    <w:rsid w:val="0021711F"/>
    <w:rsid w:val="002268D0"/>
    <w:rsid w:val="00236462"/>
    <w:rsid w:val="00236EE3"/>
    <w:rsid w:val="002370B1"/>
    <w:rsid w:val="00244FB7"/>
    <w:rsid w:val="00250AB8"/>
    <w:rsid w:val="00256DE7"/>
    <w:rsid w:val="00263DBE"/>
    <w:rsid w:val="0027512C"/>
    <w:rsid w:val="00276B4F"/>
    <w:rsid w:val="002823A2"/>
    <w:rsid w:val="002858DA"/>
    <w:rsid w:val="00285CE5"/>
    <w:rsid w:val="00296EBB"/>
    <w:rsid w:val="002A12A7"/>
    <w:rsid w:val="002A61D4"/>
    <w:rsid w:val="002B0EBD"/>
    <w:rsid w:val="002C3FAC"/>
    <w:rsid w:val="002C6188"/>
    <w:rsid w:val="002C6F74"/>
    <w:rsid w:val="002D0B26"/>
    <w:rsid w:val="002D107B"/>
    <w:rsid w:val="002D7614"/>
    <w:rsid w:val="002E00F1"/>
    <w:rsid w:val="002E0F0C"/>
    <w:rsid w:val="002E1A29"/>
    <w:rsid w:val="002E2E5E"/>
    <w:rsid w:val="002F0E27"/>
    <w:rsid w:val="002F48D1"/>
    <w:rsid w:val="002F6919"/>
    <w:rsid w:val="002F7410"/>
    <w:rsid w:val="00304F62"/>
    <w:rsid w:val="00305829"/>
    <w:rsid w:val="00307003"/>
    <w:rsid w:val="00315304"/>
    <w:rsid w:val="00320D5B"/>
    <w:rsid w:val="0032185D"/>
    <w:rsid w:val="00322965"/>
    <w:rsid w:val="00323B43"/>
    <w:rsid w:val="00326AEC"/>
    <w:rsid w:val="00330707"/>
    <w:rsid w:val="00343109"/>
    <w:rsid w:val="00344EF4"/>
    <w:rsid w:val="00351C24"/>
    <w:rsid w:val="00371FC3"/>
    <w:rsid w:val="00372A1B"/>
    <w:rsid w:val="003836CA"/>
    <w:rsid w:val="00383BDC"/>
    <w:rsid w:val="003861A5"/>
    <w:rsid w:val="0039237D"/>
    <w:rsid w:val="00397139"/>
    <w:rsid w:val="003B3D60"/>
    <w:rsid w:val="003B4D37"/>
    <w:rsid w:val="003B4DB1"/>
    <w:rsid w:val="003C37B5"/>
    <w:rsid w:val="003D0346"/>
    <w:rsid w:val="003D27E1"/>
    <w:rsid w:val="003D2E87"/>
    <w:rsid w:val="003D37D8"/>
    <w:rsid w:val="003E6E49"/>
    <w:rsid w:val="003F252B"/>
    <w:rsid w:val="003F5A48"/>
    <w:rsid w:val="004026E7"/>
    <w:rsid w:val="004054E9"/>
    <w:rsid w:val="00405E3D"/>
    <w:rsid w:val="0040741E"/>
    <w:rsid w:val="00407B06"/>
    <w:rsid w:val="00412EC7"/>
    <w:rsid w:val="004164C3"/>
    <w:rsid w:val="00421227"/>
    <w:rsid w:val="00422A0A"/>
    <w:rsid w:val="00424778"/>
    <w:rsid w:val="00426133"/>
    <w:rsid w:val="00430C7C"/>
    <w:rsid w:val="00431DD2"/>
    <w:rsid w:val="0043348C"/>
    <w:rsid w:val="004358AB"/>
    <w:rsid w:val="0044073D"/>
    <w:rsid w:val="00441BA4"/>
    <w:rsid w:val="0044283A"/>
    <w:rsid w:val="004435DA"/>
    <w:rsid w:val="00446109"/>
    <w:rsid w:val="004474F9"/>
    <w:rsid w:val="004543EA"/>
    <w:rsid w:val="004562BF"/>
    <w:rsid w:val="00456BF2"/>
    <w:rsid w:val="00461DAC"/>
    <w:rsid w:val="00474557"/>
    <w:rsid w:val="00476F90"/>
    <w:rsid w:val="00495F8C"/>
    <w:rsid w:val="004A0AEE"/>
    <w:rsid w:val="004A7847"/>
    <w:rsid w:val="004B5670"/>
    <w:rsid w:val="004B5F5B"/>
    <w:rsid w:val="004C3138"/>
    <w:rsid w:val="004C6E03"/>
    <w:rsid w:val="004D00D5"/>
    <w:rsid w:val="004D0418"/>
    <w:rsid w:val="004D481D"/>
    <w:rsid w:val="004D4CF5"/>
    <w:rsid w:val="004D5652"/>
    <w:rsid w:val="004E1A97"/>
    <w:rsid w:val="00501BD4"/>
    <w:rsid w:val="00504912"/>
    <w:rsid w:val="00505C9A"/>
    <w:rsid w:val="00507ECA"/>
    <w:rsid w:val="00510EDA"/>
    <w:rsid w:val="00516B02"/>
    <w:rsid w:val="0051752B"/>
    <w:rsid w:val="00520810"/>
    <w:rsid w:val="00522FA3"/>
    <w:rsid w:val="00524718"/>
    <w:rsid w:val="00524884"/>
    <w:rsid w:val="005303FD"/>
    <w:rsid w:val="00534A0B"/>
    <w:rsid w:val="0053526A"/>
    <w:rsid w:val="00541A74"/>
    <w:rsid w:val="00542AE7"/>
    <w:rsid w:val="00542EC3"/>
    <w:rsid w:val="005451C1"/>
    <w:rsid w:val="00547A07"/>
    <w:rsid w:val="0055022B"/>
    <w:rsid w:val="00550399"/>
    <w:rsid w:val="00556CA9"/>
    <w:rsid w:val="005673E7"/>
    <w:rsid w:val="00575785"/>
    <w:rsid w:val="00580355"/>
    <w:rsid w:val="005845B6"/>
    <w:rsid w:val="00584C12"/>
    <w:rsid w:val="005856B9"/>
    <w:rsid w:val="005869E6"/>
    <w:rsid w:val="00590495"/>
    <w:rsid w:val="00593596"/>
    <w:rsid w:val="00596292"/>
    <w:rsid w:val="005A4475"/>
    <w:rsid w:val="005A6D3A"/>
    <w:rsid w:val="005B32C7"/>
    <w:rsid w:val="005C0288"/>
    <w:rsid w:val="005C270C"/>
    <w:rsid w:val="005C2D05"/>
    <w:rsid w:val="005C3A4D"/>
    <w:rsid w:val="005C3A5F"/>
    <w:rsid w:val="005C5AC8"/>
    <w:rsid w:val="005D4FA7"/>
    <w:rsid w:val="005D6C16"/>
    <w:rsid w:val="005D7700"/>
    <w:rsid w:val="005E3317"/>
    <w:rsid w:val="005F0BBF"/>
    <w:rsid w:val="005F31F6"/>
    <w:rsid w:val="005F36CE"/>
    <w:rsid w:val="005F3F03"/>
    <w:rsid w:val="005F7BD7"/>
    <w:rsid w:val="00600A93"/>
    <w:rsid w:val="00601E76"/>
    <w:rsid w:val="00603B5E"/>
    <w:rsid w:val="00607D7B"/>
    <w:rsid w:val="006117D1"/>
    <w:rsid w:val="006119CF"/>
    <w:rsid w:val="00614B67"/>
    <w:rsid w:val="00617684"/>
    <w:rsid w:val="006234A3"/>
    <w:rsid w:val="006234D3"/>
    <w:rsid w:val="0062629A"/>
    <w:rsid w:val="00640B91"/>
    <w:rsid w:val="00641D9C"/>
    <w:rsid w:val="006430A2"/>
    <w:rsid w:val="006476E9"/>
    <w:rsid w:val="00654C24"/>
    <w:rsid w:val="006553C2"/>
    <w:rsid w:val="00657434"/>
    <w:rsid w:val="00662EDD"/>
    <w:rsid w:val="00665D63"/>
    <w:rsid w:val="006774BF"/>
    <w:rsid w:val="006824B5"/>
    <w:rsid w:val="006927A5"/>
    <w:rsid w:val="006A3F87"/>
    <w:rsid w:val="006B171B"/>
    <w:rsid w:val="006B53EC"/>
    <w:rsid w:val="006B553B"/>
    <w:rsid w:val="006B6A27"/>
    <w:rsid w:val="006C71D9"/>
    <w:rsid w:val="006D5CB1"/>
    <w:rsid w:val="006E314F"/>
    <w:rsid w:val="006E5BCD"/>
    <w:rsid w:val="006E7605"/>
    <w:rsid w:val="006F3AC2"/>
    <w:rsid w:val="006F4987"/>
    <w:rsid w:val="006F72C0"/>
    <w:rsid w:val="00702023"/>
    <w:rsid w:val="00704317"/>
    <w:rsid w:val="00706841"/>
    <w:rsid w:val="00711A9D"/>
    <w:rsid w:val="00712C1E"/>
    <w:rsid w:val="0071315D"/>
    <w:rsid w:val="00713E98"/>
    <w:rsid w:val="00716E45"/>
    <w:rsid w:val="00723678"/>
    <w:rsid w:val="007254B4"/>
    <w:rsid w:val="00736CCB"/>
    <w:rsid w:val="0073781E"/>
    <w:rsid w:val="00745A00"/>
    <w:rsid w:val="00750102"/>
    <w:rsid w:val="007536AC"/>
    <w:rsid w:val="007536C2"/>
    <w:rsid w:val="00760A31"/>
    <w:rsid w:val="00763722"/>
    <w:rsid w:val="00767DB4"/>
    <w:rsid w:val="00780673"/>
    <w:rsid w:val="007814FC"/>
    <w:rsid w:val="00782352"/>
    <w:rsid w:val="00785158"/>
    <w:rsid w:val="00786A29"/>
    <w:rsid w:val="007953D7"/>
    <w:rsid w:val="00797F9D"/>
    <w:rsid w:val="007A2A89"/>
    <w:rsid w:val="007A4C63"/>
    <w:rsid w:val="007A6BE9"/>
    <w:rsid w:val="007A72B5"/>
    <w:rsid w:val="007B1F9D"/>
    <w:rsid w:val="007C0DCC"/>
    <w:rsid w:val="007C0DE1"/>
    <w:rsid w:val="007C4641"/>
    <w:rsid w:val="007D5D47"/>
    <w:rsid w:val="007D6BB6"/>
    <w:rsid w:val="007E25F6"/>
    <w:rsid w:val="007E7070"/>
    <w:rsid w:val="007E77F2"/>
    <w:rsid w:val="007F1020"/>
    <w:rsid w:val="007F23DB"/>
    <w:rsid w:val="007F5313"/>
    <w:rsid w:val="007F5323"/>
    <w:rsid w:val="008007FF"/>
    <w:rsid w:val="0080643F"/>
    <w:rsid w:val="008106C9"/>
    <w:rsid w:val="00812732"/>
    <w:rsid w:val="00813D13"/>
    <w:rsid w:val="008145C5"/>
    <w:rsid w:val="00825861"/>
    <w:rsid w:val="008347DD"/>
    <w:rsid w:val="00837339"/>
    <w:rsid w:val="008424D8"/>
    <w:rsid w:val="00846D2E"/>
    <w:rsid w:val="00850A74"/>
    <w:rsid w:val="00855B57"/>
    <w:rsid w:val="00856162"/>
    <w:rsid w:val="00862320"/>
    <w:rsid w:val="00862530"/>
    <w:rsid w:val="008632AF"/>
    <w:rsid w:val="00866333"/>
    <w:rsid w:val="00873860"/>
    <w:rsid w:val="0088084E"/>
    <w:rsid w:val="008813B8"/>
    <w:rsid w:val="00881A67"/>
    <w:rsid w:val="00882566"/>
    <w:rsid w:val="0088530D"/>
    <w:rsid w:val="00885EF3"/>
    <w:rsid w:val="00890C7E"/>
    <w:rsid w:val="008948D7"/>
    <w:rsid w:val="00895B95"/>
    <w:rsid w:val="008A11C3"/>
    <w:rsid w:val="008A287C"/>
    <w:rsid w:val="008A5CE0"/>
    <w:rsid w:val="008B157C"/>
    <w:rsid w:val="008B2979"/>
    <w:rsid w:val="008B5BF7"/>
    <w:rsid w:val="008B7726"/>
    <w:rsid w:val="008C0A31"/>
    <w:rsid w:val="008C4867"/>
    <w:rsid w:val="008D17AC"/>
    <w:rsid w:val="008D7FC0"/>
    <w:rsid w:val="008F2CD2"/>
    <w:rsid w:val="008F40EE"/>
    <w:rsid w:val="0090339E"/>
    <w:rsid w:val="0090559A"/>
    <w:rsid w:val="0091337C"/>
    <w:rsid w:val="00914BDE"/>
    <w:rsid w:val="009309E9"/>
    <w:rsid w:val="00931492"/>
    <w:rsid w:val="0095363F"/>
    <w:rsid w:val="009550BA"/>
    <w:rsid w:val="00957604"/>
    <w:rsid w:val="00957C24"/>
    <w:rsid w:val="00962038"/>
    <w:rsid w:val="0096231F"/>
    <w:rsid w:val="00964FDF"/>
    <w:rsid w:val="00970166"/>
    <w:rsid w:val="0097585D"/>
    <w:rsid w:val="009815D2"/>
    <w:rsid w:val="0098339F"/>
    <w:rsid w:val="0098481A"/>
    <w:rsid w:val="0098779B"/>
    <w:rsid w:val="0099464B"/>
    <w:rsid w:val="0099730B"/>
    <w:rsid w:val="009A3A37"/>
    <w:rsid w:val="009A4A83"/>
    <w:rsid w:val="009A7087"/>
    <w:rsid w:val="009B3B69"/>
    <w:rsid w:val="009B3FC6"/>
    <w:rsid w:val="009B47AC"/>
    <w:rsid w:val="009B7A89"/>
    <w:rsid w:val="009C03F8"/>
    <w:rsid w:val="009C0906"/>
    <w:rsid w:val="009C376A"/>
    <w:rsid w:val="009C4655"/>
    <w:rsid w:val="009C73EF"/>
    <w:rsid w:val="009D42A7"/>
    <w:rsid w:val="009D5C82"/>
    <w:rsid w:val="009E0EA3"/>
    <w:rsid w:val="009E255D"/>
    <w:rsid w:val="009E2F97"/>
    <w:rsid w:val="009E393E"/>
    <w:rsid w:val="009E3A46"/>
    <w:rsid w:val="009E7618"/>
    <w:rsid w:val="009F0230"/>
    <w:rsid w:val="009F1191"/>
    <w:rsid w:val="009F58D5"/>
    <w:rsid w:val="009F71CF"/>
    <w:rsid w:val="00A02B6C"/>
    <w:rsid w:val="00A06114"/>
    <w:rsid w:val="00A0704F"/>
    <w:rsid w:val="00A155EB"/>
    <w:rsid w:val="00A2437C"/>
    <w:rsid w:val="00A303AA"/>
    <w:rsid w:val="00A375A5"/>
    <w:rsid w:val="00A37E1E"/>
    <w:rsid w:val="00A52773"/>
    <w:rsid w:val="00A53A38"/>
    <w:rsid w:val="00A53FF2"/>
    <w:rsid w:val="00A601BB"/>
    <w:rsid w:val="00A631FB"/>
    <w:rsid w:val="00A7113F"/>
    <w:rsid w:val="00A8026D"/>
    <w:rsid w:val="00AA044D"/>
    <w:rsid w:val="00AA1D1A"/>
    <w:rsid w:val="00AA209B"/>
    <w:rsid w:val="00AA3EAF"/>
    <w:rsid w:val="00AB22CF"/>
    <w:rsid w:val="00AB2582"/>
    <w:rsid w:val="00AB4268"/>
    <w:rsid w:val="00AB6CA0"/>
    <w:rsid w:val="00AC2B71"/>
    <w:rsid w:val="00AC2F7D"/>
    <w:rsid w:val="00AC54E0"/>
    <w:rsid w:val="00AC7411"/>
    <w:rsid w:val="00AC779D"/>
    <w:rsid w:val="00AC79B7"/>
    <w:rsid w:val="00AD053D"/>
    <w:rsid w:val="00AD12CF"/>
    <w:rsid w:val="00AE6BB7"/>
    <w:rsid w:val="00AF0BFB"/>
    <w:rsid w:val="00AF2363"/>
    <w:rsid w:val="00AF586F"/>
    <w:rsid w:val="00B022AB"/>
    <w:rsid w:val="00B20D1A"/>
    <w:rsid w:val="00B25E89"/>
    <w:rsid w:val="00B2709E"/>
    <w:rsid w:val="00B31D9C"/>
    <w:rsid w:val="00B43F63"/>
    <w:rsid w:val="00B447EE"/>
    <w:rsid w:val="00B44968"/>
    <w:rsid w:val="00B524CE"/>
    <w:rsid w:val="00B614F9"/>
    <w:rsid w:val="00B66B52"/>
    <w:rsid w:val="00B70156"/>
    <w:rsid w:val="00B77036"/>
    <w:rsid w:val="00BA2473"/>
    <w:rsid w:val="00BA2EED"/>
    <w:rsid w:val="00BA537F"/>
    <w:rsid w:val="00BA7825"/>
    <w:rsid w:val="00BB1843"/>
    <w:rsid w:val="00BB24E1"/>
    <w:rsid w:val="00BC2A06"/>
    <w:rsid w:val="00BD0B09"/>
    <w:rsid w:val="00BE2897"/>
    <w:rsid w:val="00BE2D68"/>
    <w:rsid w:val="00BE33C1"/>
    <w:rsid w:val="00BE6684"/>
    <w:rsid w:val="00BE6C97"/>
    <w:rsid w:val="00BE7F41"/>
    <w:rsid w:val="00BF0B3C"/>
    <w:rsid w:val="00BF1BE2"/>
    <w:rsid w:val="00BF2BA0"/>
    <w:rsid w:val="00C00963"/>
    <w:rsid w:val="00C01D80"/>
    <w:rsid w:val="00C04277"/>
    <w:rsid w:val="00C05532"/>
    <w:rsid w:val="00C11DA5"/>
    <w:rsid w:val="00C12712"/>
    <w:rsid w:val="00C13DF9"/>
    <w:rsid w:val="00C26A83"/>
    <w:rsid w:val="00C30267"/>
    <w:rsid w:val="00C31997"/>
    <w:rsid w:val="00C333B8"/>
    <w:rsid w:val="00C3477C"/>
    <w:rsid w:val="00C36FFB"/>
    <w:rsid w:val="00C37B7A"/>
    <w:rsid w:val="00C41721"/>
    <w:rsid w:val="00C51CAC"/>
    <w:rsid w:val="00C61EB3"/>
    <w:rsid w:val="00C62F24"/>
    <w:rsid w:val="00C66033"/>
    <w:rsid w:val="00C66AD0"/>
    <w:rsid w:val="00C75AA8"/>
    <w:rsid w:val="00C83CFB"/>
    <w:rsid w:val="00C843B3"/>
    <w:rsid w:val="00C87B02"/>
    <w:rsid w:val="00C92216"/>
    <w:rsid w:val="00CA35E7"/>
    <w:rsid w:val="00CA5563"/>
    <w:rsid w:val="00CB28D8"/>
    <w:rsid w:val="00CB4834"/>
    <w:rsid w:val="00CB4964"/>
    <w:rsid w:val="00CC0AED"/>
    <w:rsid w:val="00CC47F2"/>
    <w:rsid w:val="00CC49F8"/>
    <w:rsid w:val="00CC5208"/>
    <w:rsid w:val="00CC6A94"/>
    <w:rsid w:val="00CD0469"/>
    <w:rsid w:val="00CD11B5"/>
    <w:rsid w:val="00CD288E"/>
    <w:rsid w:val="00CE3854"/>
    <w:rsid w:val="00CF0917"/>
    <w:rsid w:val="00CF0D68"/>
    <w:rsid w:val="00CF1A95"/>
    <w:rsid w:val="00CF3678"/>
    <w:rsid w:val="00CF39DB"/>
    <w:rsid w:val="00CF46F7"/>
    <w:rsid w:val="00CF671E"/>
    <w:rsid w:val="00CF6812"/>
    <w:rsid w:val="00D007AE"/>
    <w:rsid w:val="00D031F8"/>
    <w:rsid w:val="00D10486"/>
    <w:rsid w:val="00D117BF"/>
    <w:rsid w:val="00D17B6B"/>
    <w:rsid w:val="00D31D50"/>
    <w:rsid w:val="00D33521"/>
    <w:rsid w:val="00D352A3"/>
    <w:rsid w:val="00D40751"/>
    <w:rsid w:val="00D46ABE"/>
    <w:rsid w:val="00D50A86"/>
    <w:rsid w:val="00D60743"/>
    <w:rsid w:val="00D60E15"/>
    <w:rsid w:val="00D64A80"/>
    <w:rsid w:val="00D72A7F"/>
    <w:rsid w:val="00D72B81"/>
    <w:rsid w:val="00D731B8"/>
    <w:rsid w:val="00D73238"/>
    <w:rsid w:val="00D747D1"/>
    <w:rsid w:val="00D835DD"/>
    <w:rsid w:val="00D85B93"/>
    <w:rsid w:val="00D87192"/>
    <w:rsid w:val="00D87CD3"/>
    <w:rsid w:val="00D93814"/>
    <w:rsid w:val="00D94997"/>
    <w:rsid w:val="00DA1374"/>
    <w:rsid w:val="00DA2064"/>
    <w:rsid w:val="00DB3961"/>
    <w:rsid w:val="00DB3986"/>
    <w:rsid w:val="00DB3FBD"/>
    <w:rsid w:val="00DC01E5"/>
    <w:rsid w:val="00DC0C8B"/>
    <w:rsid w:val="00DC18FB"/>
    <w:rsid w:val="00DD1C68"/>
    <w:rsid w:val="00DD3E59"/>
    <w:rsid w:val="00DD54E8"/>
    <w:rsid w:val="00DE2407"/>
    <w:rsid w:val="00DE2901"/>
    <w:rsid w:val="00DE4508"/>
    <w:rsid w:val="00DF1415"/>
    <w:rsid w:val="00DF3F12"/>
    <w:rsid w:val="00DF4AD6"/>
    <w:rsid w:val="00E01DB5"/>
    <w:rsid w:val="00E117DE"/>
    <w:rsid w:val="00E136C4"/>
    <w:rsid w:val="00E16FB0"/>
    <w:rsid w:val="00E20B77"/>
    <w:rsid w:val="00E252FC"/>
    <w:rsid w:val="00E27C4B"/>
    <w:rsid w:val="00E33C76"/>
    <w:rsid w:val="00E528DF"/>
    <w:rsid w:val="00E56877"/>
    <w:rsid w:val="00E65E91"/>
    <w:rsid w:val="00E71239"/>
    <w:rsid w:val="00E7359B"/>
    <w:rsid w:val="00E763CA"/>
    <w:rsid w:val="00E8525A"/>
    <w:rsid w:val="00E93451"/>
    <w:rsid w:val="00E97AF6"/>
    <w:rsid w:val="00EA1640"/>
    <w:rsid w:val="00EA25E6"/>
    <w:rsid w:val="00EA2F11"/>
    <w:rsid w:val="00EA3852"/>
    <w:rsid w:val="00EB1E97"/>
    <w:rsid w:val="00EB4454"/>
    <w:rsid w:val="00EB46B7"/>
    <w:rsid w:val="00EB6CBE"/>
    <w:rsid w:val="00EC7C5D"/>
    <w:rsid w:val="00ED1A60"/>
    <w:rsid w:val="00ED2416"/>
    <w:rsid w:val="00ED41E8"/>
    <w:rsid w:val="00ED49F2"/>
    <w:rsid w:val="00EE12F1"/>
    <w:rsid w:val="00F0022C"/>
    <w:rsid w:val="00F00B0B"/>
    <w:rsid w:val="00F05437"/>
    <w:rsid w:val="00F14B38"/>
    <w:rsid w:val="00F212C7"/>
    <w:rsid w:val="00F271A4"/>
    <w:rsid w:val="00F47D98"/>
    <w:rsid w:val="00F51976"/>
    <w:rsid w:val="00F53072"/>
    <w:rsid w:val="00F54335"/>
    <w:rsid w:val="00F5660A"/>
    <w:rsid w:val="00F63194"/>
    <w:rsid w:val="00F774B4"/>
    <w:rsid w:val="00F9053F"/>
    <w:rsid w:val="00F92E21"/>
    <w:rsid w:val="00FA445F"/>
    <w:rsid w:val="00FA6923"/>
    <w:rsid w:val="00FB4B02"/>
    <w:rsid w:val="00FC4AB2"/>
    <w:rsid w:val="00FC5C4C"/>
    <w:rsid w:val="00FC7D16"/>
    <w:rsid w:val="00FD30EB"/>
    <w:rsid w:val="00FD6898"/>
    <w:rsid w:val="00FE2F41"/>
    <w:rsid w:val="00FF66DC"/>
    <w:rsid w:val="02122583"/>
    <w:rsid w:val="03284E8C"/>
    <w:rsid w:val="04582CCD"/>
    <w:rsid w:val="04933A7B"/>
    <w:rsid w:val="05216551"/>
    <w:rsid w:val="069B6845"/>
    <w:rsid w:val="078046A1"/>
    <w:rsid w:val="0D187065"/>
    <w:rsid w:val="0D885C74"/>
    <w:rsid w:val="0ED877EB"/>
    <w:rsid w:val="0F147008"/>
    <w:rsid w:val="105140A5"/>
    <w:rsid w:val="10755F3E"/>
    <w:rsid w:val="116D12E5"/>
    <w:rsid w:val="12000589"/>
    <w:rsid w:val="121C111E"/>
    <w:rsid w:val="12923BE2"/>
    <w:rsid w:val="149C5AE1"/>
    <w:rsid w:val="14A85ECD"/>
    <w:rsid w:val="14C00400"/>
    <w:rsid w:val="16454C4B"/>
    <w:rsid w:val="17B97431"/>
    <w:rsid w:val="19B16CD8"/>
    <w:rsid w:val="19DC653D"/>
    <w:rsid w:val="1B456253"/>
    <w:rsid w:val="1D5A719B"/>
    <w:rsid w:val="1EBD0C06"/>
    <w:rsid w:val="1EF04B68"/>
    <w:rsid w:val="202E3BE9"/>
    <w:rsid w:val="20781BFB"/>
    <w:rsid w:val="20DD65D8"/>
    <w:rsid w:val="210943B7"/>
    <w:rsid w:val="235D3917"/>
    <w:rsid w:val="25FC664A"/>
    <w:rsid w:val="269E4FC3"/>
    <w:rsid w:val="26C868E1"/>
    <w:rsid w:val="272D366F"/>
    <w:rsid w:val="294E423C"/>
    <w:rsid w:val="2AF87057"/>
    <w:rsid w:val="2B853CDD"/>
    <w:rsid w:val="2D1402D8"/>
    <w:rsid w:val="2D55162E"/>
    <w:rsid w:val="2D916E68"/>
    <w:rsid w:val="30933E1A"/>
    <w:rsid w:val="30C04352"/>
    <w:rsid w:val="3103761F"/>
    <w:rsid w:val="314F1D54"/>
    <w:rsid w:val="32490B07"/>
    <w:rsid w:val="32E83E28"/>
    <w:rsid w:val="387526AD"/>
    <w:rsid w:val="3A7C6C88"/>
    <w:rsid w:val="3B9E6701"/>
    <w:rsid w:val="3C9D64F0"/>
    <w:rsid w:val="3E064FBA"/>
    <w:rsid w:val="3E493A8F"/>
    <w:rsid w:val="3FDA5BD9"/>
    <w:rsid w:val="40ED7B5A"/>
    <w:rsid w:val="421C1499"/>
    <w:rsid w:val="43E925FA"/>
    <w:rsid w:val="456B3021"/>
    <w:rsid w:val="46DD5F48"/>
    <w:rsid w:val="46F8310E"/>
    <w:rsid w:val="48686316"/>
    <w:rsid w:val="49891460"/>
    <w:rsid w:val="49E23684"/>
    <w:rsid w:val="4A5E28EA"/>
    <w:rsid w:val="4B2F4F56"/>
    <w:rsid w:val="4C047638"/>
    <w:rsid w:val="4CBA7570"/>
    <w:rsid w:val="4CFF1931"/>
    <w:rsid w:val="4DB77DC7"/>
    <w:rsid w:val="4DF3372B"/>
    <w:rsid w:val="4F151068"/>
    <w:rsid w:val="509A04C8"/>
    <w:rsid w:val="51C8662B"/>
    <w:rsid w:val="54874219"/>
    <w:rsid w:val="549C6B33"/>
    <w:rsid w:val="55AC6A83"/>
    <w:rsid w:val="55EA3B6A"/>
    <w:rsid w:val="562F6EE9"/>
    <w:rsid w:val="57C87E52"/>
    <w:rsid w:val="58F12F4F"/>
    <w:rsid w:val="5AAA6638"/>
    <w:rsid w:val="5ACB0A85"/>
    <w:rsid w:val="5B2B1DCF"/>
    <w:rsid w:val="5CB66B2D"/>
    <w:rsid w:val="5D9109EC"/>
    <w:rsid w:val="5F050C94"/>
    <w:rsid w:val="6022031E"/>
    <w:rsid w:val="607B2B54"/>
    <w:rsid w:val="6379684E"/>
    <w:rsid w:val="65F903AA"/>
    <w:rsid w:val="669A6275"/>
    <w:rsid w:val="66A357A5"/>
    <w:rsid w:val="66B0547D"/>
    <w:rsid w:val="66BC1FA2"/>
    <w:rsid w:val="673C0498"/>
    <w:rsid w:val="67E45DE5"/>
    <w:rsid w:val="68382019"/>
    <w:rsid w:val="686A6131"/>
    <w:rsid w:val="69490B5C"/>
    <w:rsid w:val="6BA41121"/>
    <w:rsid w:val="6BF74350"/>
    <w:rsid w:val="6CBA291E"/>
    <w:rsid w:val="6CF33B45"/>
    <w:rsid w:val="6DE62A3E"/>
    <w:rsid w:val="6E9059BD"/>
    <w:rsid w:val="6EEA2E97"/>
    <w:rsid w:val="6F380D19"/>
    <w:rsid w:val="6F6F473B"/>
    <w:rsid w:val="6FE86F12"/>
    <w:rsid w:val="70B67D01"/>
    <w:rsid w:val="70DE0671"/>
    <w:rsid w:val="714E08D2"/>
    <w:rsid w:val="724E40E7"/>
    <w:rsid w:val="72F559F9"/>
    <w:rsid w:val="732D703E"/>
    <w:rsid w:val="75826128"/>
    <w:rsid w:val="75C237B9"/>
    <w:rsid w:val="769F1054"/>
    <w:rsid w:val="771B2FE0"/>
    <w:rsid w:val="775D2173"/>
    <w:rsid w:val="78627B38"/>
    <w:rsid w:val="78BA4CA5"/>
    <w:rsid w:val="7AF7054B"/>
    <w:rsid w:val="7BE129E3"/>
    <w:rsid w:val="7DD96E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beforeLines="50" w:afterLines="50" w:line="360" w:lineRule="auto"/>
      <w:ind w:firstLine="200" w:firstLineChars="200"/>
      <w:jc w:val="both"/>
    </w:pPr>
    <w:rPr>
      <w:rFonts w:ascii="宋体" w:hAnsi="宋体" w:eastAsia="宋体" w:cs="宋体"/>
      <w:sz w:val="24"/>
      <w:szCs w:val="24"/>
      <w:lang w:val="en-US" w:eastAsia="zh-CN" w:bidi="ar-SA"/>
    </w:rPr>
  </w:style>
  <w:style w:type="paragraph" w:styleId="3">
    <w:name w:val="heading 1"/>
    <w:basedOn w:val="1"/>
    <w:next w:val="1"/>
    <w:qFormat/>
    <w:uiPriority w:val="0"/>
    <w:pPr>
      <w:keepNext/>
      <w:numPr>
        <w:ilvl w:val="0"/>
        <w:numId w:val="1"/>
      </w:numPr>
      <w:tabs>
        <w:tab w:val="left" w:pos="720"/>
        <w:tab w:val="left" w:pos="2160"/>
      </w:tabs>
      <w:spacing w:after="340"/>
      <w:outlineLvl w:val="0"/>
    </w:pPr>
    <w:rPr>
      <w:b/>
      <w:caps/>
      <w:kern w:val="28"/>
    </w:rPr>
  </w:style>
  <w:style w:type="paragraph" w:styleId="4">
    <w:name w:val="heading 2"/>
    <w:basedOn w:val="1"/>
    <w:next w:val="1"/>
    <w:qFormat/>
    <w:uiPriority w:val="0"/>
    <w:pPr>
      <w:numPr>
        <w:ilvl w:val="1"/>
        <w:numId w:val="1"/>
      </w:numPr>
      <w:spacing w:after="340" w:line="340" w:lineRule="exact"/>
      <w:ind w:left="1134"/>
      <w:outlineLvl w:val="1"/>
    </w:pPr>
    <w:rPr>
      <w:rFonts w:ascii="Times New Roman" w:hAnsi="Times New Roman" w:eastAsia="楷体_GB231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hAnsi="Courier New"/>
    </w:rPr>
  </w:style>
  <w:style w:type="paragraph" w:styleId="5">
    <w:name w:val="annotation text"/>
    <w:basedOn w:val="1"/>
    <w:link w:val="21"/>
    <w:unhideWhenUsed/>
    <w:qFormat/>
    <w:uiPriority w:val="99"/>
  </w:style>
  <w:style w:type="paragraph" w:styleId="6">
    <w:name w:val="Body Text"/>
    <w:basedOn w:val="1"/>
    <w:qFormat/>
    <w:uiPriority w:val="0"/>
    <w:pPr>
      <w:spacing w:after="340" w:line="340" w:lineRule="exact"/>
    </w:pPr>
  </w:style>
  <w:style w:type="paragraph" w:styleId="7">
    <w:name w:val="Body Text Indent"/>
    <w:basedOn w:val="1"/>
    <w:semiHidden/>
    <w:unhideWhenUsed/>
    <w:qFormat/>
    <w:uiPriority w:val="99"/>
    <w:pPr>
      <w:spacing w:after="120"/>
      <w:ind w:left="420" w:leftChars="200"/>
    </w:pPr>
  </w:style>
  <w:style w:type="paragraph" w:styleId="8">
    <w:name w:val="Balloon Text"/>
    <w:basedOn w:val="1"/>
    <w:link w:val="23"/>
    <w:semiHidden/>
    <w:unhideWhenUsed/>
    <w:qFormat/>
    <w:uiPriority w:val="99"/>
    <w:rPr>
      <w:sz w:val="18"/>
      <w:szCs w:val="18"/>
    </w:rPr>
  </w:style>
  <w:style w:type="paragraph" w:styleId="9">
    <w:name w:val="footer"/>
    <w:basedOn w:val="1"/>
    <w:link w:val="19"/>
    <w:unhideWhenUsed/>
    <w:qFormat/>
    <w:uiPriority w:val="99"/>
    <w:pPr>
      <w:tabs>
        <w:tab w:val="center" w:pos="4153"/>
        <w:tab w:val="right" w:pos="8306"/>
      </w:tabs>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jc w:val="center"/>
    </w:pPr>
    <w:rPr>
      <w:sz w:val="18"/>
      <w:szCs w:val="18"/>
    </w:rPr>
  </w:style>
  <w:style w:type="paragraph" w:styleId="11">
    <w:name w:val="Normal (Web)"/>
    <w:basedOn w:val="1"/>
    <w:semiHidden/>
    <w:unhideWhenUsed/>
    <w:qFormat/>
    <w:uiPriority w:val="99"/>
    <w:pPr>
      <w:spacing w:before="100" w:beforeAutospacing="1" w:after="100" w:afterAutospacing="1"/>
    </w:pPr>
  </w:style>
  <w:style w:type="paragraph" w:styleId="12">
    <w:name w:val="annotation subject"/>
    <w:basedOn w:val="5"/>
    <w:next w:val="5"/>
    <w:link w:val="22"/>
    <w:semiHidden/>
    <w:unhideWhenUsed/>
    <w:qFormat/>
    <w:uiPriority w:val="99"/>
    <w:rPr>
      <w:b/>
      <w:bCs/>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basedOn w:val="15"/>
    <w:unhideWhenUsed/>
    <w:qFormat/>
    <w:uiPriority w:val="99"/>
    <w:rPr>
      <w:color w:val="0000FF" w:themeColor="hyperlink"/>
      <w:u w:val="single"/>
    </w:rPr>
  </w:style>
  <w:style w:type="character" w:styleId="17">
    <w:name w:val="annotation reference"/>
    <w:basedOn w:val="15"/>
    <w:semiHidden/>
    <w:unhideWhenUsed/>
    <w:qFormat/>
    <w:uiPriority w:val="99"/>
    <w:rPr>
      <w:sz w:val="21"/>
      <w:szCs w:val="21"/>
    </w:rPr>
  </w:style>
  <w:style w:type="character" w:customStyle="1" w:styleId="18">
    <w:name w:val="页眉 Char"/>
    <w:basedOn w:val="15"/>
    <w:link w:val="10"/>
    <w:qFormat/>
    <w:uiPriority w:val="99"/>
    <w:rPr>
      <w:rFonts w:ascii="Tahoma" w:hAnsi="Tahoma"/>
      <w:sz w:val="18"/>
      <w:szCs w:val="18"/>
    </w:rPr>
  </w:style>
  <w:style w:type="character" w:customStyle="1" w:styleId="19">
    <w:name w:val="页脚 Char"/>
    <w:basedOn w:val="15"/>
    <w:link w:val="9"/>
    <w:qFormat/>
    <w:uiPriority w:val="99"/>
    <w:rPr>
      <w:rFonts w:ascii="Tahoma" w:hAnsi="Tahoma"/>
      <w:sz w:val="18"/>
      <w:szCs w:val="18"/>
    </w:rPr>
  </w:style>
  <w:style w:type="paragraph" w:styleId="20">
    <w:name w:val="List Paragraph"/>
    <w:basedOn w:val="1"/>
    <w:qFormat/>
    <w:uiPriority w:val="34"/>
    <w:pPr>
      <w:ind w:firstLine="420"/>
    </w:pPr>
  </w:style>
  <w:style w:type="character" w:customStyle="1" w:styleId="21">
    <w:name w:val="批注文字 Char"/>
    <w:basedOn w:val="15"/>
    <w:link w:val="5"/>
    <w:qFormat/>
    <w:uiPriority w:val="99"/>
    <w:rPr>
      <w:rFonts w:ascii="Tahoma" w:hAnsi="Tahoma"/>
    </w:rPr>
  </w:style>
  <w:style w:type="character" w:customStyle="1" w:styleId="22">
    <w:name w:val="批注主题 Char"/>
    <w:basedOn w:val="21"/>
    <w:link w:val="12"/>
    <w:semiHidden/>
    <w:qFormat/>
    <w:uiPriority w:val="99"/>
    <w:rPr>
      <w:rFonts w:ascii="Tahoma" w:hAnsi="Tahoma"/>
      <w:b/>
      <w:bCs/>
    </w:rPr>
  </w:style>
  <w:style w:type="character" w:customStyle="1" w:styleId="23">
    <w:name w:val="批注框文本 Char"/>
    <w:basedOn w:val="15"/>
    <w:link w:val="8"/>
    <w:semiHidden/>
    <w:qFormat/>
    <w:uiPriority w:val="99"/>
    <w:rPr>
      <w:rFonts w:ascii="Tahoma" w:hAnsi="Tahoma"/>
      <w:sz w:val="18"/>
      <w:szCs w:val="18"/>
    </w:rPr>
  </w:style>
  <w:style w:type="paragraph" w:customStyle="1" w:styleId="24">
    <w:name w:val="p0"/>
    <w:basedOn w:val="1"/>
    <w:qFormat/>
    <w:uiPriority w:val="0"/>
    <w:rPr>
      <w:rFonts w:ascii="Times New Roman" w:hAnsi="Times New Roman" w:cs="Times New Roman"/>
      <w:sz w:val="21"/>
      <w:szCs w:val="21"/>
    </w:rPr>
  </w:style>
  <w:style w:type="character" w:customStyle="1" w:styleId="25">
    <w:name w:val="fontstyle01"/>
    <w:basedOn w:val="15"/>
    <w:qFormat/>
    <w:uiPriority w:val="0"/>
    <w:rPr>
      <w:rFonts w:hint="eastAsia" w:ascii="宋体" w:hAnsi="宋体" w:eastAsia="宋体"/>
      <w:color w:val="000000"/>
      <w:sz w:val="24"/>
      <w:szCs w:val="24"/>
    </w:rPr>
  </w:style>
  <w:style w:type="character" w:customStyle="1" w:styleId="26">
    <w:name w:val="fontstyle21"/>
    <w:basedOn w:val="15"/>
    <w:qFormat/>
    <w:uiPriority w:val="0"/>
    <w:rPr>
      <w:rFonts w:hint="default" w:ascii="Times New Roman" w:hAnsi="Times New Roman" w:cs="Times New Roman"/>
      <w:color w:val="000000"/>
      <w:sz w:val="24"/>
      <w:szCs w:val="24"/>
    </w:rPr>
  </w:style>
  <w:style w:type="character" w:customStyle="1" w:styleId="27">
    <w:name w:val="fontstyle11"/>
    <w:basedOn w:val="15"/>
    <w:qFormat/>
    <w:uiPriority w:val="0"/>
    <w:rPr>
      <w:rFonts w:hint="eastAsia" w:ascii="宋体" w:hAnsi="宋体" w:eastAsia="宋体"/>
      <w:color w:val="000000"/>
      <w:sz w:val="24"/>
      <w:szCs w:val="24"/>
    </w:rPr>
  </w:style>
  <w:style w:type="character" w:customStyle="1" w:styleId="28">
    <w:name w:val="da1"/>
    <w:qFormat/>
    <w:uiPriority w:val="0"/>
    <w:rPr>
      <w:rFonts w:hint="default" w:ascii="ˎ̥" w:hAnsi="ˎ̥"/>
      <w:color w:val="000000"/>
      <w:sz w:val="28"/>
      <w:szCs w:val="28"/>
      <w:u w:val="none"/>
    </w:rPr>
  </w:style>
  <w:style w:type="paragraph" w:customStyle="1" w:styleId="29">
    <w:name w:val="Default"/>
    <w:unhideWhenUsed/>
    <w:qFormat/>
    <w:uiPriority w:val="99"/>
    <w:pPr>
      <w:widowControl w:val="0"/>
      <w:autoSpaceDE w:val="0"/>
      <w:autoSpaceDN w:val="0"/>
      <w:adjustRightInd w:val="0"/>
      <w:spacing w:beforeLines="50" w:afterLines="50" w:line="360" w:lineRule="auto"/>
      <w:ind w:firstLine="200" w:firstLineChars="200"/>
      <w:jc w:val="both"/>
    </w:pPr>
    <w:rPr>
      <w:rFonts w:hint="eastAsia" w:ascii="宋体" w:hAnsi="宋体" w:eastAsia="宋体" w:cs="Times New Roman"/>
      <w:color w:val="000000"/>
      <w:sz w:val="24"/>
      <w:lang w:val="en-US" w:eastAsia="zh-CN" w:bidi="ar-SA"/>
    </w:rPr>
  </w:style>
  <w:style w:type="paragraph" w:customStyle="1" w:styleId="30">
    <w:name w:val="修订1"/>
    <w:hidden/>
    <w:semiHidden/>
    <w:qFormat/>
    <w:uiPriority w:val="99"/>
    <w:pPr>
      <w:spacing w:beforeLines="50" w:afterLines="50" w:line="360" w:lineRule="auto"/>
      <w:ind w:firstLine="200" w:firstLineChars="200"/>
      <w:jc w:val="both"/>
    </w:pPr>
    <w:rPr>
      <w:rFonts w:ascii="宋体" w:hAnsi="宋体" w:eastAsia="宋体" w:cs="宋体"/>
      <w:sz w:val="24"/>
      <w:szCs w:val="24"/>
      <w:lang w:val="en-US" w:eastAsia="zh-CN" w:bidi="ar-SA"/>
    </w:rPr>
  </w:style>
  <w:style w:type="paragraph" w:customStyle="1" w:styleId="31">
    <w:name w:val="修订2"/>
    <w:hidden/>
    <w:semiHidden/>
    <w:qFormat/>
    <w:uiPriority w:val="99"/>
    <w:pPr>
      <w:spacing w:beforeLines="50" w:afterLines="50" w:line="360" w:lineRule="auto"/>
      <w:ind w:firstLine="200" w:firstLineChars="200"/>
      <w:jc w:val="both"/>
    </w:pPr>
    <w:rPr>
      <w:rFonts w:ascii="宋体" w:hAnsi="宋体" w:eastAsia="宋体" w:cs="宋体"/>
      <w:sz w:val="24"/>
      <w:szCs w:val="24"/>
      <w:lang w:val="en-US" w:eastAsia="zh-CN" w:bidi="ar-SA"/>
    </w:rPr>
  </w:style>
  <w:style w:type="character" w:customStyle="1" w:styleId="32">
    <w:name w:val="Unresolved Mention"/>
    <w:basedOn w:val="1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28D7E-22FE-4266-9FBA-FBD95711993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4428</Words>
  <Characters>4680</Characters>
  <Lines>34</Lines>
  <Paragraphs>9</Paragraphs>
  <TotalTime>165</TotalTime>
  <ScaleCrop>false</ScaleCrop>
  <LinksUpToDate>false</LinksUpToDate>
  <CharactersWithSpaces>4765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2019-10-29T03:51:00Z</dcterms:created>
  <dc:creator>Administrator</dc:creator>
  <cp:lastModifiedBy>Mr.翔</cp:lastModifiedBy>
  <dcterms:modified xsi:type="dcterms:W3CDTF">2023-02-17T01:56:58Z</dcterms:modified>
  <cp:revision>423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6FD4DA4C9E004F2AB9A75AB07E598E2F</vt:lpwstr>
  </property>
</Properties>
</file>