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20" w:after="120"/>
        <w:ind w:firstLine="0" w:firstLineChars="0"/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cs="Times New Roman" w:asciiTheme="minorEastAsia" w:hAnsiTheme="minorEastAsia" w:eastAsiaTheme="minorEastAsia"/>
          <w:sz w:val="21"/>
          <w:szCs w:val="21"/>
        </w:rPr>
        <w:t xml:space="preserve">证券代码：002871     </w:t>
      </w:r>
      <w:r>
        <w:rPr>
          <w:rFonts w:cs="Times New Roman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 xml:space="preserve"> </w:t>
      </w:r>
      <w:r>
        <w:rPr>
          <w:rFonts w:cs="Times New Roman" w:asciiTheme="minorEastAsia" w:hAnsiTheme="minorEastAsia" w:eastAsiaTheme="minorEastAsia"/>
          <w:sz w:val="21"/>
          <w:szCs w:val="21"/>
        </w:rPr>
        <w:t xml:space="preserve">   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 xml:space="preserve">  证券简称：伟隆股份  </w:t>
      </w:r>
      <w:r>
        <w:rPr>
          <w:rFonts w:cs="Times New Roman" w:asciiTheme="minorEastAsia" w:hAnsiTheme="minorEastAsia" w:eastAsiaTheme="minorEastAsia"/>
          <w:sz w:val="21"/>
          <w:szCs w:val="21"/>
        </w:rPr>
        <w:t xml:space="preserve">   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 xml:space="preserve"> </w:t>
      </w:r>
      <w:r>
        <w:rPr>
          <w:rFonts w:cs="Times New Roman" w:asciiTheme="minorEastAsia" w:hAnsiTheme="minorEastAsia" w:eastAsiaTheme="minorEastAsia"/>
          <w:sz w:val="21"/>
          <w:szCs w:val="21"/>
        </w:rPr>
        <w:t xml:space="preserve">  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 xml:space="preserve">     公告编号：202</w:t>
      </w:r>
      <w:r>
        <w:rPr>
          <w:rFonts w:cs="Times New Roman" w:asciiTheme="minorEastAsia" w:hAnsiTheme="minorEastAsia" w:eastAsiaTheme="minorEastAsia"/>
          <w:sz w:val="21"/>
          <w:szCs w:val="21"/>
        </w:rPr>
        <w:t>3</w:t>
      </w:r>
      <w:r>
        <w:rPr>
          <w:rFonts w:hint="eastAsia" w:cs="Times New Roman" w:asciiTheme="minorEastAsia" w:hAnsiTheme="minorEastAsia" w:eastAsiaTheme="minorEastAsia"/>
          <w:sz w:val="21"/>
          <w:szCs w:val="21"/>
        </w:rPr>
        <w:t>-02</w:t>
      </w:r>
      <w:r>
        <w:rPr>
          <w:rFonts w:hint="eastAsia" w:cs="Times New Roman" w:asciiTheme="minorEastAsia" w:hAnsiTheme="minorEastAsia" w:eastAsiaTheme="minorEastAsia"/>
          <w:sz w:val="21"/>
          <w:szCs w:val="21"/>
          <w:lang w:val="en-US" w:eastAsia="zh-CN"/>
        </w:rPr>
        <w:t>6</w:t>
      </w:r>
    </w:p>
    <w:p>
      <w:pPr>
        <w:spacing w:before="120" w:after="120"/>
        <w:ind w:firstLine="560"/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青岛伟隆阀门股份有限公司</w:t>
      </w:r>
    </w:p>
    <w:p>
      <w:pPr>
        <w:spacing w:before="120" w:after="120"/>
        <w:ind w:firstLine="560"/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关于持股5%以上股东减持股份至5%以下的权益变动提示性公告 </w:t>
      </w:r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spacing w:before="0" w:beforeLines="0" w:after="0" w:afterLines="0"/>
              <w:ind w:firstLine="480"/>
              <w:rPr>
                <w:rFonts w:hint="eastAsia"/>
                <w:kern w:val="2"/>
                <w:szCs w:val="22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信息披露义务人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江西惠隆企业管理有限公司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>保证向本公司提供的信息内容真实、准确、完整，没有 虚假记载、误导性陈述或重大遗漏。</w:t>
            </w:r>
          </w:p>
          <w:p>
            <w:pPr>
              <w:widowControl w:val="0"/>
              <w:autoSpaceDE w:val="0"/>
              <w:autoSpaceDN w:val="0"/>
              <w:spacing w:before="0" w:beforeLines="0" w:after="0" w:afterLines="0"/>
              <w:ind w:firstLine="480"/>
              <w:rPr>
                <w:kern w:val="2"/>
                <w:szCs w:val="22"/>
              </w:rPr>
            </w:pPr>
            <w:r>
              <w:rPr>
                <w:rFonts w:hint="eastAsia"/>
                <w:kern w:val="2"/>
                <w:szCs w:val="22"/>
              </w:rPr>
              <w:t>本公司及董事会全体成员保证</w:t>
            </w:r>
            <w:r>
              <w:rPr>
                <w:rFonts w:hint="eastAsia"/>
                <w:kern w:val="2"/>
                <w:szCs w:val="22"/>
                <w:lang w:val="en-US" w:eastAsia="zh-CN"/>
              </w:rPr>
              <w:t>公告内容与信息披露义务人提供的信息一致</w:t>
            </w:r>
            <w:r>
              <w:rPr>
                <w:rFonts w:hint="eastAsia"/>
                <w:kern w:val="2"/>
                <w:szCs w:val="22"/>
              </w:rPr>
              <w:t>。</w:t>
            </w:r>
          </w:p>
        </w:tc>
      </w:tr>
    </w:tbl>
    <w:p>
      <w:pPr>
        <w:spacing w:before="120" w:after="120"/>
        <w:ind w:firstLine="480"/>
        <w:rPr>
          <w:rFonts w:hint="eastAsia" w:ascii="Times New Roman" w:hAnsi="Times New Roman"/>
          <w:szCs w:val="23"/>
        </w:rPr>
      </w:pPr>
      <w:r>
        <w:rPr>
          <w:rFonts w:hint="eastAsia" w:ascii="Times New Roman" w:hAnsi="Times New Roman"/>
          <w:szCs w:val="23"/>
        </w:rPr>
        <w:t>特别提示：</w:t>
      </w:r>
    </w:p>
    <w:p>
      <w:pPr>
        <w:pStyle w:val="2"/>
        <w:numPr>
          <w:ilvl w:val="0"/>
          <w:numId w:val="2"/>
        </w:numPr>
      </w:pPr>
      <w:r>
        <w:rPr>
          <w:rFonts w:ascii="宋体" w:hAnsi="宋体" w:eastAsia="宋体" w:cs="宋体"/>
          <w:sz w:val="24"/>
          <w:szCs w:val="24"/>
        </w:rPr>
        <w:t xml:space="preserve">本次权益变动，不触及要约收购。 </w:t>
      </w:r>
    </w:p>
    <w:p>
      <w:pPr>
        <w:pStyle w:val="2"/>
        <w:numPr>
          <w:ilvl w:val="0"/>
          <w:numId w:val="2"/>
        </w:numPr>
      </w:pPr>
      <w:r>
        <w:rPr>
          <w:rFonts w:ascii="宋体" w:hAnsi="宋体" w:eastAsia="宋体" w:cs="宋体"/>
          <w:sz w:val="24"/>
          <w:szCs w:val="24"/>
        </w:rPr>
        <w:t>本次权益变动，不会使公司控股股</w:t>
      </w:r>
      <w:r>
        <w:rPr>
          <w:rFonts w:ascii="宋体" w:hAnsi="宋体" w:eastAsia="宋体" w:cs="宋体"/>
          <w:color w:val="auto"/>
          <w:sz w:val="24"/>
          <w:szCs w:val="24"/>
        </w:rPr>
        <w:t>东</w:t>
      </w:r>
      <w:r>
        <w:rPr>
          <w:rFonts w:hAnsi="宋体"/>
          <w:color w:val="auto"/>
        </w:rPr>
        <w:t>及</w:t>
      </w:r>
      <w:r>
        <w:rPr>
          <w:rFonts w:hint="eastAsia" w:hAnsi="宋体"/>
          <w:color w:val="auto"/>
        </w:rPr>
        <w:t>其一致行动人、</w:t>
      </w:r>
      <w:r>
        <w:rPr>
          <w:rFonts w:ascii="宋体" w:hAnsi="宋体" w:eastAsia="宋体" w:cs="宋体"/>
          <w:color w:val="auto"/>
          <w:sz w:val="24"/>
          <w:szCs w:val="24"/>
        </w:rPr>
        <w:t>实</w:t>
      </w:r>
      <w:r>
        <w:rPr>
          <w:rFonts w:ascii="宋体" w:hAnsi="宋体" w:eastAsia="宋体" w:cs="宋体"/>
          <w:sz w:val="24"/>
          <w:szCs w:val="24"/>
        </w:rPr>
        <w:t xml:space="preserve">际控制人发生变化。 </w:t>
      </w:r>
    </w:p>
    <w:p>
      <w:pPr>
        <w:pStyle w:val="2"/>
        <w:numPr>
          <w:ilvl w:val="0"/>
          <w:numId w:val="2"/>
        </w:numPr>
      </w:pPr>
      <w:r>
        <w:rPr>
          <w:rFonts w:ascii="宋体" w:hAnsi="宋体" w:eastAsia="宋体" w:cs="宋体"/>
          <w:sz w:val="24"/>
          <w:szCs w:val="24"/>
        </w:rPr>
        <w:t>本次权益变动后，</w:t>
      </w:r>
      <w:r>
        <w:rPr>
          <w:rFonts w:hint="eastAsia" w:cs="宋体"/>
          <w:sz w:val="24"/>
          <w:szCs w:val="24"/>
          <w:lang w:val="en-US" w:eastAsia="zh-CN"/>
        </w:rPr>
        <w:t>江西惠隆企业管理有限公司</w:t>
      </w:r>
      <w:r>
        <w:rPr>
          <w:rFonts w:ascii="宋体" w:hAnsi="宋体" w:eastAsia="宋体" w:cs="宋体"/>
          <w:sz w:val="24"/>
          <w:szCs w:val="24"/>
        </w:rPr>
        <w:t>持有公司股份</w:t>
      </w:r>
      <w:r>
        <w:rPr>
          <w:rFonts w:hint="eastAsia" w:hAnsi="宋体" w:cs="宋体"/>
          <w:sz w:val="24"/>
          <w:szCs w:val="24"/>
          <w:lang w:val="en-US" w:eastAsia="zh-CN"/>
        </w:rPr>
        <w:t>8,274,600</w:t>
      </w:r>
      <w:r>
        <w:rPr>
          <w:rFonts w:ascii="宋体" w:hAnsi="宋体" w:eastAsia="宋体" w:cs="宋体"/>
          <w:sz w:val="24"/>
          <w:szCs w:val="24"/>
        </w:rPr>
        <w:t>股，占公司总股本的</w:t>
      </w:r>
      <w:r>
        <w:rPr>
          <w:rFonts w:hint="eastAsia" w:hAnsi="宋体" w:cs="宋体"/>
          <w:sz w:val="24"/>
          <w:szCs w:val="24"/>
          <w:lang w:val="en-US" w:eastAsia="zh-CN"/>
        </w:rPr>
        <w:t>4.90</w:t>
      </w:r>
      <w:r>
        <w:rPr>
          <w:rFonts w:ascii="宋体" w:hAnsi="宋体" w:eastAsia="宋体" w:cs="宋体"/>
          <w:sz w:val="24"/>
          <w:szCs w:val="24"/>
        </w:rPr>
        <w:t xml:space="preserve">%，不再是公司持股5%以上的股东。 </w:t>
      </w:r>
    </w:p>
    <w:p>
      <w:pPr>
        <w:pStyle w:val="2"/>
        <w:numPr>
          <w:ilvl w:val="0"/>
          <w:numId w:val="0"/>
        </w:num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青岛伟隆阀门股份</w:t>
      </w:r>
      <w:r>
        <w:rPr>
          <w:rFonts w:ascii="宋体" w:hAnsi="宋体" w:eastAsia="宋体" w:cs="宋体"/>
          <w:sz w:val="24"/>
          <w:szCs w:val="24"/>
        </w:rPr>
        <w:t>有限公司（以下简称“公司”）于近日收到公司股东</w:t>
      </w:r>
      <w:r>
        <w:rPr>
          <w:rFonts w:hint="eastAsia" w:cs="宋体"/>
          <w:sz w:val="24"/>
          <w:szCs w:val="24"/>
          <w:lang w:val="en-US" w:eastAsia="zh-CN"/>
        </w:rPr>
        <w:t>江西惠隆企业管理有限公司</w:t>
      </w:r>
      <w:r>
        <w:rPr>
          <w:rFonts w:ascii="宋体" w:hAnsi="宋体" w:eastAsia="宋体" w:cs="宋体"/>
          <w:sz w:val="24"/>
          <w:szCs w:val="24"/>
        </w:rPr>
        <w:t>（以下简称“</w:t>
      </w:r>
      <w:r>
        <w:rPr>
          <w:rFonts w:hint="eastAsia" w:hAnsi="宋体" w:cs="宋体"/>
          <w:sz w:val="24"/>
          <w:szCs w:val="24"/>
          <w:lang w:val="en-US" w:eastAsia="zh-CN"/>
        </w:rPr>
        <w:t>惠隆管理</w:t>
      </w:r>
      <w:r>
        <w:rPr>
          <w:rFonts w:ascii="宋体" w:hAnsi="宋体" w:eastAsia="宋体" w:cs="宋体"/>
          <w:sz w:val="24"/>
          <w:szCs w:val="24"/>
        </w:rPr>
        <w:t>”）出具的《</w:t>
      </w:r>
      <w:r>
        <w:rPr>
          <w:rFonts w:hint="eastAsia" w:hAnsi="宋体" w:cs="宋体"/>
          <w:sz w:val="24"/>
          <w:szCs w:val="24"/>
          <w:lang w:val="en-US" w:eastAsia="zh-CN"/>
        </w:rPr>
        <w:t>简</w:t>
      </w:r>
      <w:r>
        <w:rPr>
          <w:rFonts w:ascii="宋体" w:hAnsi="宋体" w:eastAsia="宋体" w:cs="宋体"/>
          <w:sz w:val="24"/>
          <w:szCs w:val="24"/>
        </w:rPr>
        <w:t>式权益变动报告书》，现将其有关权益变动情况告知如下：</w:t>
      </w:r>
    </w:p>
    <w:p>
      <w:pPr>
        <w:pStyle w:val="2"/>
        <w:numPr>
          <w:ilvl w:val="0"/>
          <w:numId w:val="3"/>
        </w:numPr>
        <w:ind w:firstLine="480" w:firstLineChars="200"/>
        <w:rPr>
          <w:rFonts w:hint="eastAsia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权益变动情况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股东姓名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减持方式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减持期间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减持价格(元/股)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减持数量(股)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减持比例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江西惠隆企业管理有限公司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大宗交易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2023.2.17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13.37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334,400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0.20%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集中竞价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2023.2.8-2023.2.10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16.21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311,000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0.18%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645,400</w:t>
            </w:r>
          </w:p>
        </w:tc>
        <w:tc>
          <w:tcPr>
            <w:tcW w:w="1421" w:type="dxa"/>
          </w:tcPr>
          <w:p>
            <w:pPr>
              <w:pStyle w:val="2"/>
              <w:numPr>
                <w:ilvl w:val="0"/>
                <w:numId w:val="0"/>
              </w:numPr>
              <w:spacing w:before="50" w:beforeLines="50" w:after="50" w:afterLines="50" w:line="360" w:lineRule="auto"/>
              <w:jc w:val="both"/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0.38%</w:t>
            </w:r>
          </w:p>
        </w:tc>
      </w:tr>
    </w:tbl>
    <w:p>
      <w:pPr>
        <w:pStyle w:val="2"/>
        <w:numPr>
          <w:ilvl w:val="0"/>
          <w:numId w:val="0"/>
        </w:numPr>
        <w:spacing w:before="50" w:beforeLines="50" w:after="50" w:afterLines="50" w:line="360" w:lineRule="auto"/>
        <w:jc w:val="both"/>
        <w:rPr>
          <w:rFonts w:hint="eastAsia" w:hAnsi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3"/>
        </w:numPr>
        <w:ind w:firstLine="480" w:firstLineChars="200"/>
        <w:rPr>
          <w:rFonts w:hint="default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本次权益变动前后股东持股情况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86"/>
        <w:gridCol w:w="1333"/>
        <w:gridCol w:w="1333"/>
        <w:gridCol w:w="134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股东名称</w:t>
            </w:r>
          </w:p>
        </w:tc>
        <w:tc>
          <w:tcPr>
            <w:tcW w:w="1786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股份性质</w:t>
            </w:r>
          </w:p>
        </w:tc>
        <w:tc>
          <w:tcPr>
            <w:tcW w:w="2666" w:type="dxa"/>
            <w:gridSpan w:val="2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本次权益变动前</w:t>
            </w:r>
          </w:p>
        </w:tc>
        <w:tc>
          <w:tcPr>
            <w:tcW w:w="2650" w:type="dxa"/>
            <w:gridSpan w:val="2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本次权益变动后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股份数量(股)</w:t>
            </w:r>
          </w:p>
        </w:tc>
        <w:tc>
          <w:tcPr>
            <w:tcW w:w="13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持股比例</w:t>
            </w:r>
          </w:p>
        </w:tc>
        <w:tc>
          <w:tcPr>
            <w:tcW w:w="1345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股份数量(股)</w:t>
            </w:r>
          </w:p>
        </w:tc>
        <w:tc>
          <w:tcPr>
            <w:tcW w:w="1305" w:type="dxa"/>
            <w:vAlign w:val="top"/>
          </w:tcPr>
          <w:p>
            <w:pPr>
              <w:pStyle w:val="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restart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江西惠隆企业管理有限公司</w:t>
            </w:r>
          </w:p>
        </w:tc>
        <w:tc>
          <w:tcPr>
            <w:tcW w:w="178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合计持有股份</w:t>
            </w:r>
          </w:p>
        </w:tc>
        <w:tc>
          <w:tcPr>
            <w:tcW w:w="13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8,920,000</w:t>
            </w:r>
          </w:p>
        </w:tc>
        <w:tc>
          <w:tcPr>
            <w:tcW w:w="13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5.28%</w:t>
            </w:r>
          </w:p>
        </w:tc>
        <w:tc>
          <w:tcPr>
            <w:tcW w:w="1345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8,274,600</w:t>
            </w:r>
          </w:p>
        </w:tc>
        <w:tc>
          <w:tcPr>
            <w:tcW w:w="1305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其中：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无条件限售股</w:t>
            </w:r>
          </w:p>
        </w:tc>
        <w:tc>
          <w:tcPr>
            <w:tcW w:w="13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8,920,000</w:t>
            </w:r>
          </w:p>
        </w:tc>
        <w:tc>
          <w:tcPr>
            <w:tcW w:w="13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5.28%</w:t>
            </w:r>
          </w:p>
        </w:tc>
        <w:tc>
          <w:tcPr>
            <w:tcW w:w="1345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8,274,600</w:t>
            </w:r>
          </w:p>
        </w:tc>
        <w:tc>
          <w:tcPr>
            <w:tcW w:w="1305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4.90%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Merge w:val="continue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有条件限售股</w:t>
            </w:r>
          </w:p>
        </w:tc>
        <w:tc>
          <w:tcPr>
            <w:tcW w:w="13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33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45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1305" w:type="dxa"/>
          </w:tcPr>
          <w:p>
            <w:pPr>
              <w:pStyle w:val="2"/>
              <w:numPr>
                <w:ilvl w:val="0"/>
                <w:numId w:val="0"/>
              </w:numPr>
              <w:rPr>
                <w:rFonts w:hint="default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>
      <w:pPr>
        <w:pStyle w:val="2"/>
        <w:numPr>
          <w:ilvl w:val="0"/>
          <w:numId w:val="0"/>
        </w:numPr>
        <w:rPr>
          <w:rFonts w:hint="default" w:hAnsi="宋体" w:cs="宋体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3"/>
        </w:numPr>
        <w:ind w:firstLine="480" w:firstLineChars="200"/>
        <w:rPr>
          <w:rFonts w:hint="default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其他情况说明</w:t>
      </w:r>
    </w:p>
    <w:p>
      <w:pPr>
        <w:pStyle w:val="2"/>
        <w:numPr>
          <w:ilvl w:val="0"/>
          <w:numId w:val="4"/>
        </w:numPr>
        <w:ind w:firstLine="480" w:firstLineChars="200"/>
        <w:rPr>
          <w:rFonts w:hint="default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本次权益变动不会导致公司控股</w:t>
      </w:r>
      <w:r>
        <w:rPr>
          <w:rFonts w:ascii="宋体" w:hAnsi="宋体" w:eastAsia="宋体" w:cs="宋体"/>
          <w:color w:val="auto"/>
          <w:sz w:val="24"/>
          <w:szCs w:val="24"/>
        </w:rPr>
        <w:t>股东</w:t>
      </w:r>
      <w:r>
        <w:rPr>
          <w:rFonts w:hint="eastAsia" w:hAnsi="宋体"/>
          <w:color w:val="auto"/>
        </w:rPr>
        <w:t>及其一致行动人</w:t>
      </w:r>
      <w:r>
        <w:rPr>
          <w:rFonts w:ascii="宋体" w:hAnsi="宋体" w:eastAsia="宋体" w:cs="宋体"/>
          <w:color w:val="auto"/>
          <w:sz w:val="24"/>
          <w:szCs w:val="24"/>
        </w:rPr>
        <w:t>、</w:t>
      </w:r>
      <w:r>
        <w:rPr>
          <w:rFonts w:ascii="宋体" w:hAnsi="宋体" w:eastAsia="宋体" w:cs="宋体"/>
          <w:sz w:val="24"/>
          <w:szCs w:val="24"/>
        </w:rPr>
        <w:t xml:space="preserve">实际控制人发生变化，不会对公司的治理结构、股权结构及持续性经营产生不利影响。 </w:t>
      </w:r>
    </w:p>
    <w:p>
      <w:pPr>
        <w:pStyle w:val="2"/>
        <w:numPr>
          <w:ilvl w:val="0"/>
          <w:numId w:val="4"/>
        </w:numPr>
        <w:ind w:firstLine="480" w:firstLineChars="200"/>
        <w:rPr>
          <w:rFonts w:hint="default" w:hAnsi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本次权益变动后，</w:t>
      </w:r>
      <w:r>
        <w:rPr>
          <w:rFonts w:hint="eastAsia" w:hAnsi="宋体" w:cs="宋体"/>
          <w:sz w:val="24"/>
          <w:szCs w:val="24"/>
          <w:lang w:val="en-US" w:eastAsia="zh-CN"/>
        </w:rPr>
        <w:t>惠隆管理</w:t>
      </w:r>
      <w:r>
        <w:rPr>
          <w:rFonts w:ascii="宋体" w:hAnsi="宋体" w:eastAsia="宋体" w:cs="宋体"/>
          <w:sz w:val="24"/>
          <w:szCs w:val="24"/>
        </w:rPr>
        <w:t xml:space="preserve">不再是公司持股5%以上的股东。 </w:t>
      </w:r>
    </w:p>
    <w:p>
      <w:pPr>
        <w:pStyle w:val="2"/>
        <w:numPr>
          <w:ilvl w:val="0"/>
          <w:numId w:val="4"/>
        </w:numPr>
        <w:ind w:firstLine="480" w:firstLineChars="200"/>
        <w:rPr>
          <w:rFonts w:hint="default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惠隆管理</w:t>
      </w:r>
      <w:r>
        <w:rPr>
          <w:rFonts w:ascii="宋体" w:hAnsi="宋体" w:eastAsia="宋体" w:cs="宋体"/>
          <w:sz w:val="24"/>
          <w:szCs w:val="24"/>
        </w:rPr>
        <w:t>就本次权益变动披露</w:t>
      </w:r>
      <w:r>
        <w:rPr>
          <w:rFonts w:hint="eastAsia" w:hAnsi="宋体" w:cs="宋体"/>
          <w:sz w:val="24"/>
          <w:szCs w:val="24"/>
          <w:lang w:val="en-US" w:eastAsia="zh-CN"/>
        </w:rPr>
        <w:t>简</w:t>
      </w:r>
      <w:r>
        <w:rPr>
          <w:rFonts w:ascii="宋体" w:hAnsi="宋体" w:eastAsia="宋体" w:cs="宋体"/>
          <w:sz w:val="24"/>
          <w:szCs w:val="24"/>
        </w:rPr>
        <w:t>式权益变动报告书，具体内容</w:t>
      </w:r>
      <w:r>
        <w:rPr>
          <w:rFonts w:hint="eastAsia" w:hAnsi="宋体" w:cs="宋体"/>
          <w:sz w:val="24"/>
          <w:szCs w:val="24"/>
          <w:lang w:val="en-US" w:eastAsia="zh-CN"/>
        </w:rPr>
        <w:t>详见在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巨潮资讯网披露的《</w:t>
      </w:r>
      <w:r>
        <w:rPr>
          <w:rFonts w:hint="eastAsia" w:hAnsi="宋体" w:cs="宋体"/>
          <w:sz w:val="24"/>
          <w:szCs w:val="24"/>
          <w:lang w:val="en-US" w:eastAsia="zh-CN"/>
        </w:rPr>
        <w:t>简</w:t>
      </w:r>
      <w:r>
        <w:rPr>
          <w:rFonts w:ascii="宋体" w:hAnsi="宋体" w:eastAsia="宋体" w:cs="宋体"/>
          <w:sz w:val="24"/>
          <w:szCs w:val="24"/>
        </w:rPr>
        <w:t>式权益变动报告书》。</w:t>
      </w:r>
    </w:p>
    <w:p>
      <w:pPr>
        <w:pStyle w:val="2"/>
        <w:numPr>
          <w:ilvl w:val="0"/>
          <w:numId w:val="3"/>
        </w:numPr>
        <w:ind w:firstLine="480" w:firstLineChars="200"/>
        <w:rPr>
          <w:rFonts w:hint="default" w:hAnsi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备查文件</w:t>
      </w:r>
    </w:p>
    <w:p>
      <w:pPr>
        <w:pStyle w:val="2"/>
        <w:numPr>
          <w:ilvl w:val="0"/>
          <w:numId w:val="0"/>
        </w:numPr>
        <w:ind w:firstLine="480" w:firstLineChars="200"/>
        <w:rPr>
          <w:rFonts w:hint="eastAsia" w:hAnsi="宋体" w:eastAsia="宋体" w:cs="宋体"/>
          <w:sz w:val="24"/>
          <w:szCs w:val="24"/>
          <w:lang w:val="en-US" w:eastAsia="zh-CN"/>
        </w:rPr>
      </w:pPr>
      <w:r>
        <w:rPr>
          <w:rFonts w:hint="eastAsia" w:hAnsi="宋体" w:cs="宋体"/>
          <w:sz w:val="24"/>
          <w:szCs w:val="24"/>
          <w:lang w:val="en-US" w:eastAsia="zh-CN"/>
        </w:rPr>
        <w:t>惠隆管理出具的</w:t>
      </w:r>
      <w:r>
        <w:rPr>
          <w:rFonts w:ascii="宋体" w:hAnsi="宋体" w:eastAsia="宋体" w:cs="宋体"/>
          <w:sz w:val="24"/>
          <w:szCs w:val="24"/>
        </w:rPr>
        <w:t>《</w:t>
      </w:r>
      <w:r>
        <w:rPr>
          <w:rFonts w:hint="eastAsia" w:hAnsi="宋体" w:cs="宋体"/>
          <w:sz w:val="24"/>
          <w:szCs w:val="24"/>
          <w:lang w:val="en-US" w:eastAsia="zh-CN"/>
        </w:rPr>
        <w:t>简</w:t>
      </w:r>
      <w:r>
        <w:rPr>
          <w:rFonts w:ascii="宋体" w:hAnsi="宋体" w:eastAsia="宋体" w:cs="宋体"/>
          <w:sz w:val="24"/>
          <w:szCs w:val="24"/>
        </w:rPr>
        <w:t>式权益变动报告书》</w:t>
      </w:r>
      <w:r>
        <w:rPr>
          <w:rFonts w:hint="eastAsia" w:hAnsi="宋体" w:cs="宋体"/>
          <w:sz w:val="24"/>
          <w:szCs w:val="24"/>
          <w:lang w:val="en-US" w:eastAsia="zh-CN"/>
        </w:rPr>
        <w:t>.</w:t>
      </w:r>
    </w:p>
    <w:p>
      <w:pPr>
        <w:spacing w:before="120" w:after="120"/>
        <w:ind w:firstLine="480"/>
        <w:rPr>
          <w:rFonts w:ascii="Times New Roman" w:hAnsi="Times New Roman"/>
          <w:szCs w:val="23"/>
        </w:rPr>
      </w:pPr>
    </w:p>
    <w:p>
      <w:pPr>
        <w:spacing w:before="120" w:after="120"/>
        <w:ind w:firstLine="480"/>
        <w:rPr>
          <w:rFonts w:ascii="Times New Roman" w:hAnsi="Times New Roman"/>
          <w:szCs w:val="23"/>
        </w:rPr>
      </w:pPr>
    </w:p>
    <w:p>
      <w:pPr>
        <w:spacing w:before="120" w:after="120"/>
        <w:ind w:firstLine="480"/>
        <w:rPr>
          <w:rFonts w:ascii="Times New Roman" w:hAnsi="Times New Roman"/>
          <w:szCs w:val="23"/>
        </w:rPr>
      </w:pPr>
      <w:r>
        <w:rPr>
          <w:rFonts w:hint="eastAsia" w:ascii="Times New Roman" w:hAnsi="Times New Roman"/>
          <w:szCs w:val="23"/>
        </w:rPr>
        <w:t>特此公告。</w:t>
      </w:r>
    </w:p>
    <w:p>
      <w:pPr>
        <w:spacing w:before="120" w:after="120"/>
        <w:ind w:firstLine="4560" w:firstLineChars="190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青岛伟隆阀门股份有限公司董事会202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年2月</w:t>
      </w:r>
      <w:r>
        <w:rPr>
          <w:rFonts w:hint="eastAsia" w:ascii="Times New Roman" w:hAnsi="Times New Roman"/>
          <w:lang w:val="en-US" w:eastAsia="zh-CN"/>
        </w:rPr>
        <w:t>21</w:t>
      </w:r>
      <w:r>
        <w:rPr>
          <w:rFonts w:hint="eastAsia" w:ascii="Times New Roman" w:hAnsi="Times New Roman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05627440"/>
    </w:sdtPr>
    <w:sdtContent>
      <w:p>
        <w:pPr>
          <w:pStyle w:val="9"/>
          <w:spacing w:before="120" w:after="120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 w:after="12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before="120"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8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120" w:after="12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before="120"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1DF15"/>
    <w:multiLevelType w:val="singleLevel"/>
    <w:tmpl w:val="8091DF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85B2A2"/>
    <w:multiLevelType w:val="singleLevel"/>
    <w:tmpl w:val="0685B2A2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70212AD"/>
    <w:multiLevelType w:val="multilevel"/>
    <w:tmpl w:val="070212AD"/>
    <w:lvl w:ilvl="0" w:tentative="0">
      <w:start w:val="1"/>
      <w:numFmt w:val="decimal"/>
      <w:pStyle w:val="3"/>
      <w:lvlText w:val="%1"/>
      <w:lvlJc w:val="left"/>
      <w:pPr>
        <w:ind w:left="567" w:hanging="567"/>
      </w:pPr>
      <w:rPr>
        <w:rFonts w:hint="eastAsia"/>
        <w:b/>
        <w:bCs/>
      </w:rPr>
    </w:lvl>
    <w:lvl w:ilvl="1" w:tentative="0">
      <w:start w:val="1"/>
      <w:numFmt w:val="decimal"/>
      <w:pStyle w:val="4"/>
      <w:lvlText w:val="%1.%2"/>
      <w:lvlJc w:val="left"/>
      <w:pPr>
        <w:ind w:left="851" w:hanging="567"/>
      </w:pPr>
      <w:rPr>
        <w:rFonts w:hint="eastAsia" w:ascii="仿宋" w:hAnsi="仿宋" w:eastAsia="仿宋"/>
        <w:b/>
        <w:bCs/>
      </w:rPr>
    </w:lvl>
    <w:lvl w:ilvl="2" w:tentative="0">
      <w:start w:val="1"/>
      <w:numFmt w:val="decimal"/>
      <w:lvlText w:val="%1.%2.%3"/>
      <w:lvlJc w:val="left"/>
      <w:pPr>
        <w:tabs>
          <w:tab w:val="left" w:pos="1134"/>
        </w:tabs>
        <w:ind w:left="1134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134" w:hanging="567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134" w:hanging="567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3DA9EF02"/>
    <w:multiLevelType w:val="singleLevel"/>
    <w:tmpl w:val="3DA9EF02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1MTM0NDU5NzAzZDhkN2QyZDEwNzA5MDU5OTBjMzAifQ=="/>
  </w:docVars>
  <w:rsids>
    <w:rsidRoot w:val="00172A27"/>
    <w:rsid w:val="00002287"/>
    <w:rsid w:val="000133CD"/>
    <w:rsid w:val="00020F1C"/>
    <w:rsid w:val="00022A9E"/>
    <w:rsid w:val="00023BAC"/>
    <w:rsid w:val="00031AFA"/>
    <w:rsid w:val="00034103"/>
    <w:rsid w:val="00042D35"/>
    <w:rsid w:val="00057EB4"/>
    <w:rsid w:val="00074DD9"/>
    <w:rsid w:val="00075EE2"/>
    <w:rsid w:val="00080C5D"/>
    <w:rsid w:val="00083826"/>
    <w:rsid w:val="00087BE3"/>
    <w:rsid w:val="0009105D"/>
    <w:rsid w:val="0009255B"/>
    <w:rsid w:val="000A0FB4"/>
    <w:rsid w:val="000B01D7"/>
    <w:rsid w:val="000B2414"/>
    <w:rsid w:val="000B2C71"/>
    <w:rsid w:val="000B424B"/>
    <w:rsid w:val="000B5CC8"/>
    <w:rsid w:val="000B6DBF"/>
    <w:rsid w:val="000C2AFB"/>
    <w:rsid w:val="000C6274"/>
    <w:rsid w:val="000D4AE4"/>
    <w:rsid w:val="000D6589"/>
    <w:rsid w:val="000E2111"/>
    <w:rsid w:val="000E3FA3"/>
    <w:rsid w:val="000E4EF4"/>
    <w:rsid w:val="000F5C6E"/>
    <w:rsid w:val="000F6EB5"/>
    <w:rsid w:val="00100F35"/>
    <w:rsid w:val="0010482D"/>
    <w:rsid w:val="00105553"/>
    <w:rsid w:val="0010568E"/>
    <w:rsid w:val="001118CE"/>
    <w:rsid w:val="00115BE8"/>
    <w:rsid w:val="00121BA8"/>
    <w:rsid w:val="00123DE7"/>
    <w:rsid w:val="001306E7"/>
    <w:rsid w:val="00140D0E"/>
    <w:rsid w:val="001420CB"/>
    <w:rsid w:val="0014411C"/>
    <w:rsid w:val="00154A83"/>
    <w:rsid w:val="001624EA"/>
    <w:rsid w:val="0016383F"/>
    <w:rsid w:val="00166112"/>
    <w:rsid w:val="00172A27"/>
    <w:rsid w:val="0017757A"/>
    <w:rsid w:val="001840A0"/>
    <w:rsid w:val="00191D6D"/>
    <w:rsid w:val="001A23CA"/>
    <w:rsid w:val="001B0EAD"/>
    <w:rsid w:val="001B33ED"/>
    <w:rsid w:val="001C0510"/>
    <w:rsid w:val="001C2D84"/>
    <w:rsid w:val="001C3023"/>
    <w:rsid w:val="001C4F3D"/>
    <w:rsid w:val="001C59F6"/>
    <w:rsid w:val="001C72E9"/>
    <w:rsid w:val="001C75CC"/>
    <w:rsid w:val="001D4D05"/>
    <w:rsid w:val="001E386D"/>
    <w:rsid w:val="001E4C2B"/>
    <w:rsid w:val="001E5BA2"/>
    <w:rsid w:val="001E7A4C"/>
    <w:rsid w:val="001F18B8"/>
    <w:rsid w:val="00205726"/>
    <w:rsid w:val="0021711F"/>
    <w:rsid w:val="002268D0"/>
    <w:rsid w:val="00236462"/>
    <w:rsid w:val="00236EE3"/>
    <w:rsid w:val="002370B1"/>
    <w:rsid w:val="00244FB7"/>
    <w:rsid w:val="00250AB8"/>
    <w:rsid w:val="00256DE7"/>
    <w:rsid w:val="00263DBE"/>
    <w:rsid w:val="0027512C"/>
    <w:rsid w:val="00276B4F"/>
    <w:rsid w:val="002823A2"/>
    <w:rsid w:val="002858DA"/>
    <w:rsid w:val="00285CE5"/>
    <w:rsid w:val="00296EBB"/>
    <w:rsid w:val="002A12A7"/>
    <w:rsid w:val="002A61D4"/>
    <w:rsid w:val="002B0EBD"/>
    <w:rsid w:val="002C3FAC"/>
    <w:rsid w:val="002C6188"/>
    <w:rsid w:val="002C6F16"/>
    <w:rsid w:val="002C6F74"/>
    <w:rsid w:val="002D0B26"/>
    <w:rsid w:val="002D107B"/>
    <w:rsid w:val="002D7614"/>
    <w:rsid w:val="002E00F1"/>
    <w:rsid w:val="002E0F0C"/>
    <w:rsid w:val="002E1A29"/>
    <w:rsid w:val="002E2E5E"/>
    <w:rsid w:val="002F0E27"/>
    <w:rsid w:val="002F48D1"/>
    <w:rsid w:val="002F6919"/>
    <w:rsid w:val="002F7410"/>
    <w:rsid w:val="00304F62"/>
    <w:rsid w:val="00305829"/>
    <w:rsid w:val="00307003"/>
    <w:rsid w:val="00315304"/>
    <w:rsid w:val="00320D5B"/>
    <w:rsid w:val="0032185D"/>
    <w:rsid w:val="00322965"/>
    <w:rsid w:val="00323B43"/>
    <w:rsid w:val="00326AEC"/>
    <w:rsid w:val="00330707"/>
    <w:rsid w:val="00343109"/>
    <w:rsid w:val="0034529B"/>
    <w:rsid w:val="00351C24"/>
    <w:rsid w:val="00371FC3"/>
    <w:rsid w:val="00372A1B"/>
    <w:rsid w:val="003836CA"/>
    <w:rsid w:val="003861A5"/>
    <w:rsid w:val="0039237D"/>
    <w:rsid w:val="00397139"/>
    <w:rsid w:val="003B3D60"/>
    <w:rsid w:val="003B4D37"/>
    <w:rsid w:val="003B4DB1"/>
    <w:rsid w:val="003C37B5"/>
    <w:rsid w:val="003D0346"/>
    <w:rsid w:val="003D27E1"/>
    <w:rsid w:val="003D2E87"/>
    <w:rsid w:val="003D37D8"/>
    <w:rsid w:val="003E4D58"/>
    <w:rsid w:val="003E6E49"/>
    <w:rsid w:val="003F252B"/>
    <w:rsid w:val="003F5A48"/>
    <w:rsid w:val="004026E7"/>
    <w:rsid w:val="004054E9"/>
    <w:rsid w:val="00405E3D"/>
    <w:rsid w:val="0040741E"/>
    <w:rsid w:val="00407B06"/>
    <w:rsid w:val="00407CF7"/>
    <w:rsid w:val="00412EC7"/>
    <w:rsid w:val="004164C3"/>
    <w:rsid w:val="00421227"/>
    <w:rsid w:val="00422A0A"/>
    <w:rsid w:val="00424778"/>
    <w:rsid w:val="00426133"/>
    <w:rsid w:val="00430C7C"/>
    <w:rsid w:val="00431DD2"/>
    <w:rsid w:val="0043348C"/>
    <w:rsid w:val="004358AB"/>
    <w:rsid w:val="0044073D"/>
    <w:rsid w:val="00441BA4"/>
    <w:rsid w:val="0044283A"/>
    <w:rsid w:val="004435DA"/>
    <w:rsid w:val="00446109"/>
    <w:rsid w:val="004474F9"/>
    <w:rsid w:val="004543EA"/>
    <w:rsid w:val="004562BF"/>
    <w:rsid w:val="00456BF2"/>
    <w:rsid w:val="00461DAC"/>
    <w:rsid w:val="00474557"/>
    <w:rsid w:val="00476F90"/>
    <w:rsid w:val="00495F8C"/>
    <w:rsid w:val="004A0AEE"/>
    <w:rsid w:val="004A5D3A"/>
    <w:rsid w:val="004A7847"/>
    <w:rsid w:val="004B5670"/>
    <w:rsid w:val="004B5F5B"/>
    <w:rsid w:val="004C3138"/>
    <w:rsid w:val="004C6E03"/>
    <w:rsid w:val="004D00D5"/>
    <w:rsid w:val="004D0418"/>
    <w:rsid w:val="004D481D"/>
    <w:rsid w:val="004D4CF5"/>
    <w:rsid w:val="004D5652"/>
    <w:rsid w:val="004E1A97"/>
    <w:rsid w:val="00501BD4"/>
    <w:rsid w:val="00504912"/>
    <w:rsid w:val="00505C9A"/>
    <w:rsid w:val="00507ECA"/>
    <w:rsid w:val="00510EDA"/>
    <w:rsid w:val="00516B02"/>
    <w:rsid w:val="0051752B"/>
    <w:rsid w:val="00520810"/>
    <w:rsid w:val="00522FA3"/>
    <w:rsid w:val="00524718"/>
    <w:rsid w:val="00524884"/>
    <w:rsid w:val="005303FD"/>
    <w:rsid w:val="00534A0B"/>
    <w:rsid w:val="0053526A"/>
    <w:rsid w:val="00541A74"/>
    <w:rsid w:val="00542AE7"/>
    <w:rsid w:val="00542EC3"/>
    <w:rsid w:val="005451C1"/>
    <w:rsid w:val="00547A07"/>
    <w:rsid w:val="0055022B"/>
    <w:rsid w:val="00550399"/>
    <w:rsid w:val="00556CA9"/>
    <w:rsid w:val="005673E7"/>
    <w:rsid w:val="00575785"/>
    <w:rsid w:val="00576F1F"/>
    <w:rsid w:val="005845B6"/>
    <w:rsid w:val="00584935"/>
    <w:rsid w:val="005856B9"/>
    <w:rsid w:val="005869E6"/>
    <w:rsid w:val="00590495"/>
    <w:rsid w:val="00593596"/>
    <w:rsid w:val="00596292"/>
    <w:rsid w:val="005A4475"/>
    <w:rsid w:val="005A6D3A"/>
    <w:rsid w:val="005B32C7"/>
    <w:rsid w:val="005C0288"/>
    <w:rsid w:val="005C270C"/>
    <w:rsid w:val="005C2D05"/>
    <w:rsid w:val="005C3A4D"/>
    <w:rsid w:val="005C5AC8"/>
    <w:rsid w:val="005D4FA7"/>
    <w:rsid w:val="005D6C16"/>
    <w:rsid w:val="005D7700"/>
    <w:rsid w:val="005E3317"/>
    <w:rsid w:val="005E3801"/>
    <w:rsid w:val="005F0BBF"/>
    <w:rsid w:val="005F31F6"/>
    <w:rsid w:val="005F36CE"/>
    <w:rsid w:val="005F3F03"/>
    <w:rsid w:val="005F7BD7"/>
    <w:rsid w:val="00600A93"/>
    <w:rsid w:val="00601E76"/>
    <w:rsid w:val="00603B5E"/>
    <w:rsid w:val="00607D7B"/>
    <w:rsid w:val="006117D1"/>
    <w:rsid w:val="006119CF"/>
    <w:rsid w:val="00614B67"/>
    <w:rsid w:val="00617684"/>
    <w:rsid w:val="006234A3"/>
    <w:rsid w:val="006234D3"/>
    <w:rsid w:val="0062629A"/>
    <w:rsid w:val="00640B91"/>
    <w:rsid w:val="00641D9C"/>
    <w:rsid w:val="006430A2"/>
    <w:rsid w:val="006476E9"/>
    <w:rsid w:val="00654C24"/>
    <w:rsid w:val="006553C2"/>
    <w:rsid w:val="00657434"/>
    <w:rsid w:val="00662EDD"/>
    <w:rsid w:val="00665D63"/>
    <w:rsid w:val="006774BF"/>
    <w:rsid w:val="006824B5"/>
    <w:rsid w:val="006B171B"/>
    <w:rsid w:val="006B3BF2"/>
    <w:rsid w:val="006B53EC"/>
    <w:rsid w:val="006B553B"/>
    <w:rsid w:val="006B6A27"/>
    <w:rsid w:val="006C71D9"/>
    <w:rsid w:val="006D24C9"/>
    <w:rsid w:val="006E314F"/>
    <w:rsid w:val="006E5BCD"/>
    <w:rsid w:val="006E7605"/>
    <w:rsid w:val="006F3AC2"/>
    <w:rsid w:val="006F4987"/>
    <w:rsid w:val="006F72C0"/>
    <w:rsid w:val="00700088"/>
    <w:rsid w:val="00702023"/>
    <w:rsid w:val="00704317"/>
    <w:rsid w:val="00706841"/>
    <w:rsid w:val="00711A9D"/>
    <w:rsid w:val="007122C1"/>
    <w:rsid w:val="00712C1E"/>
    <w:rsid w:val="0071315D"/>
    <w:rsid w:val="00713E98"/>
    <w:rsid w:val="00716E45"/>
    <w:rsid w:val="00723678"/>
    <w:rsid w:val="007254B4"/>
    <w:rsid w:val="00736CCB"/>
    <w:rsid w:val="0073781E"/>
    <w:rsid w:val="00745A00"/>
    <w:rsid w:val="00750102"/>
    <w:rsid w:val="007536AC"/>
    <w:rsid w:val="007536C2"/>
    <w:rsid w:val="00760A31"/>
    <w:rsid w:val="00763722"/>
    <w:rsid w:val="00767DB4"/>
    <w:rsid w:val="00770E13"/>
    <w:rsid w:val="00776B4C"/>
    <w:rsid w:val="00780673"/>
    <w:rsid w:val="007814FC"/>
    <w:rsid w:val="00782352"/>
    <w:rsid w:val="00785158"/>
    <w:rsid w:val="00786A29"/>
    <w:rsid w:val="007953D7"/>
    <w:rsid w:val="00797F9D"/>
    <w:rsid w:val="007A2A89"/>
    <w:rsid w:val="007A6BE9"/>
    <w:rsid w:val="007A72B5"/>
    <w:rsid w:val="007B1F9D"/>
    <w:rsid w:val="007C0DCC"/>
    <w:rsid w:val="007C0DE1"/>
    <w:rsid w:val="007C4641"/>
    <w:rsid w:val="007D5D47"/>
    <w:rsid w:val="007D6BB6"/>
    <w:rsid w:val="007E25F6"/>
    <w:rsid w:val="007E7070"/>
    <w:rsid w:val="007E77F2"/>
    <w:rsid w:val="007F1020"/>
    <w:rsid w:val="007F23DB"/>
    <w:rsid w:val="007F5323"/>
    <w:rsid w:val="008007FF"/>
    <w:rsid w:val="0080643F"/>
    <w:rsid w:val="008106C9"/>
    <w:rsid w:val="00812732"/>
    <w:rsid w:val="00813D13"/>
    <w:rsid w:val="008145C5"/>
    <w:rsid w:val="00821F18"/>
    <w:rsid w:val="00825861"/>
    <w:rsid w:val="008347DD"/>
    <w:rsid w:val="00837339"/>
    <w:rsid w:val="008424D8"/>
    <w:rsid w:val="00846D2E"/>
    <w:rsid w:val="00850A74"/>
    <w:rsid w:val="00855B57"/>
    <w:rsid w:val="00856162"/>
    <w:rsid w:val="00862320"/>
    <w:rsid w:val="00862530"/>
    <w:rsid w:val="00866333"/>
    <w:rsid w:val="00873860"/>
    <w:rsid w:val="0088084E"/>
    <w:rsid w:val="008813B8"/>
    <w:rsid w:val="00881A67"/>
    <w:rsid w:val="00882566"/>
    <w:rsid w:val="0088530D"/>
    <w:rsid w:val="00885EF3"/>
    <w:rsid w:val="00890C7E"/>
    <w:rsid w:val="008948D7"/>
    <w:rsid w:val="00895B95"/>
    <w:rsid w:val="008A11C3"/>
    <w:rsid w:val="008A287C"/>
    <w:rsid w:val="008B157C"/>
    <w:rsid w:val="008B2979"/>
    <w:rsid w:val="008B5BF7"/>
    <w:rsid w:val="008B7726"/>
    <w:rsid w:val="008C0A31"/>
    <w:rsid w:val="008C4867"/>
    <w:rsid w:val="008D17AC"/>
    <w:rsid w:val="008D7FC0"/>
    <w:rsid w:val="008F2CD2"/>
    <w:rsid w:val="008F40EE"/>
    <w:rsid w:val="0090339E"/>
    <w:rsid w:val="0090559A"/>
    <w:rsid w:val="0091337C"/>
    <w:rsid w:val="00914BDE"/>
    <w:rsid w:val="00931492"/>
    <w:rsid w:val="0095363F"/>
    <w:rsid w:val="009550BA"/>
    <w:rsid w:val="00957604"/>
    <w:rsid w:val="00957C24"/>
    <w:rsid w:val="00962038"/>
    <w:rsid w:val="0096231F"/>
    <w:rsid w:val="00964FDF"/>
    <w:rsid w:val="00970166"/>
    <w:rsid w:val="0097585D"/>
    <w:rsid w:val="009815D2"/>
    <w:rsid w:val="0098339F"/>
    <w:rsid w:val="0098481A"/>
    <w:rsid w:val="0098779B"/>
    <w:rsid w:val="0099464B"/>
    <w:rsid w:val="0099730B"/>
    <w:rsid w:val="009A3A37"/>
    <w:rsid w:val="009A4A83"/>
    <w:rsid w:val="009A7087"/>
    <w:rsid w:val="009B3B69"/>
    <w:rsid w:val="009B3FC6"/>
    <w:rsid w:val="009B47AC"/>
    <w:rsid w:val="009B7A89"/>
    <w:rsid w:val="009C03F8"/>
    <w:rsid w:val="009C0906"/>
    <w:rsid w:val="009C10D0"/>
    <w:rsid w:val="009C376A"/>
    <w:rsid w:val="009C4655"/>
    <w:rsid w:val="009C73EF"/>
    <w:rsid w:val="009D42A7"/>
    <w:rsid w:val="009D5C82"/>
    <w:rsid w:val="009D631A"/>
    <w:rsid w:val="009E255D"/>
    <w:rsid w:val="009E2F97"/>
    <w:rsid w:val="009E393E"/>
    <w:rsid w:val="009E3A46"/>
    <w:rsid w:val="009E7618"/>
    <w:rsid w:val="009F58D5"/>
    <w:rsid w:val="009F71CF"/>
    <w:rsid w:val="00A02B6C"/>
    <w:rsid w:val="00A06114"/>
    <w:rsid w:val="00A0704F"/>
    <w:rsid w:val="00A155EB"/>
    <w:rsid w:val="00A2437C"/>
    <w:rsid w:val="00A303AA"/>
    <w:rsid w:val="00A375A5"/>
    <w:rsid w:val="00A37E1E"/>
    <w:rsid w:val="00A52773"/>
    <w:rsid w:val="00A53A38"/>
    <w:rsid w:val="00A53FF2"/>
    <w:rsid w:val="00A66797"/>
    <w:rsid w:val="00A7113F"/>
    <w:rsid w:val="00A8026D"/>
    <w:rsid w:val="00AA1D1A"/>
    <w:rsid w:val="00AA209B"/>
    <w:rsid w:val="00AA3EAF"/>
    <w:rsid w:val="00AB22CF"/>
    <w:rsid w:val="00AB2582"/>
    <w:rsid w:val="00AB4268"/>
    <w:rsid w:val="00AB6CA0"/>
    <w:rsid w:val="00AC2F7D"/>
    <w:rsid w:val="00AC54E0"/>
    <w:rsid w:val="00AC7411"/>
    <w:rsid w:val="00AC779D"/>
    <w:rsid w:val="00AC79B7"/>
    <w:rsid w:val="00AD053D"/>
    <w:rsid w:val="00AD12CF"/>
    <w:rsid w:val="00AE6BB7"/>
    <w:rsid w:val="00AF0BFB"/>
    <w:rsid w:val="00AF2363"/>
    <w:rsid w:val="00AF586F"/>
    <w:rsid w:val="00B022AB"/>
    <w:rsid w:val="00B20D1A"/>
    <w:rsid w:val="00B25E89"/>
    <w:rsid w:val="00B2709E"/>
    <w:rsid w:val="00B31D9C"/>
    <w:rsid w:val="00B40886"/>
    <w:rsid w:val="00B43F63"/>
    <w:rsid w:val="00B447EE"/>
    <w:rsid w:val="00B44968"/>
    <w:rsid w:val="00B524CE"/>
    <w:rsid w:val="00B614F9"/>
    <w:rsid w:val="00B66B52"/>
    <w:rsid w:val="00B70156"/>
    <w:rsid w:val="00B77036"/>
    <w:rsid w:val="00BA2473"/>
    <w:rsid w:val="00BA2EED"/>
    <w:rsid w:val="00BA537F"/>
    <w:rsid w:val="00BA7825"/>
    <w:rsid w:val="00BB1843"/>
    <w:rsid w:val="00BB24E1"/>
    <w:rsid w:val="00BC2A06"/>
    <w:rsid w:val="00BD0B09"/>
    <w:rsid w:val="00BE2D68"/>
    <w:rsid w:val="00BE33C1"/>
    <w:rsid w:val="00BE6684"/>
    <w:rsid w:val="00BE6C97"/>
    <w:rsid w:val="00BE7F41"/>
    <w:rsid w:val="00BF0B3C"/>
    <w:rsid w:val="00BF1BE2"/>
    <w:rsid w:val="00BF2BA0"/>
    <w:rsid w:val="00C00963"/>
    <w:rsid w:val="00C01D80"/>
    <w:rsid w:val="00C05532"/>
    <w:rsid w:val="00C11DA5"/>
    <w:rsid w:val="00C12712"/>
    <w:rsid w:val="00C13DF9"/>
    <w:rsid w:val="00C26A83"/>
    <w:rsid w:val="00C30267"/>
    <w:rsid w:val="00C31997"/>
    <w:rsid w:val="00C333B8"/>
    <w:rsid w:val="00C3477C"/>
    <w:rsid w:val="00C36FFB"/>
    <w:rsid w:val="00C37B7A"/>
    <w:rsid w:val="00C41721"/>
    <w:rsid w:val="00C51CAC"/>
    <w:rsid w:val="00C61EB3"/>
    <w:rsid w:val="00C62F24"/>
    <w:rsid w:val="00C66033"/>
    <w:rsid w:val="00C66AD0"/>
    <w:rsid w:val="00C75AA8"/>
    <w:rsid w:val="00C83CFB"/>
    <w:rsid w:val="00C843B3"/>
    <w:rsid w:val="00C87B02"/>
    <w:rsid w:val="00C92216"/>
    <w:rsid w:val="00CA5563"/>
    <w:rsid w:val="00CB28D8"/>
    <w:rsid w:val="00CB4834"/>
    <w:rsid w:val="00CB4964"/>
    <w:rsid w:val="00CC0AED"/>
    <w:rsid w:val="00CC47F2"/>
    <w:rsid w:val="00CC49F8"/>
    <w:rsid w:val="00CC5208"/>
    <w:rsid w:val="00CC6A94"/>
    <w:rsid w:val="00CD0469"/>
    <w:rsid w:val="00CD11B5"/>
    <w:rsid w:val="00CD288E"/>
    <w:rsid w:val="00CE3854"/>
    <w:rsid w:val="00CF0917"/>
    <w:rsid w:val="00CF1A95"/>
    <w:rsid w:val="00CF3678"/>
    <w:rsid w:val="00CF39DB"/>
    <w:rsid w:val="00CF46F7"/>
    <w:rsid w:val="00CF671E"/>
    <w:rsid w:val="00CF6812"/>
    <w:rsid w:val="00D007AE"/>
    <w:rsid w:val="00D031F8"/>
    <w:rsid w:val="00D10486"/>
    <w:rsid w:val="00D117BF"/>
    <w:rsid w:val="00D17B6B"/>
    <w:rsid w:val="00D31D50"/>
    <w:rsid w:val="00D352A3"/>
    <w:rsid w:val="00D40751"/>
    <w:rsid w:val="00D46ABE"/>
    <w:rsid w:val="00D50A86"/>
    <w:rsid w:val="00D60743"/>
    <w:rsid w:val="00D60E15"/>
    <w:rsid w:val="00D64A80"/>
    <w:rsid w:val="00D72A7F"/>
    <w:rsid w:val="00D72B81"/>
    <w:rsid w:val="00D731B8"/>
    <w:rsid w:val="00D73238"/>
    <w:rsid w:val="00D747D1"/>
    <w:rsid w:val="00D835DD"/>
    <w:rsid w:val="00D85B93"/>
    <w:rsid w:val="00D87192"/>
    <w:rsid w:val="00D87CD3"/>
    <w:rsid w:val="00D93814"/>
    <w:rsid w:val="00D94997"/>
    <w:rsid w:val="00DA1374"/>
    <w:rsid w:val="00DA2064"/>
    <w:rsid w:val="00DB3961"/>
    <w:rsid w:val="00DB3986"/>
    <w:rsid w:val="00DB3FBD"/>
    <w:rsid w:val="00DC01E5"/>
    <w:rsid w:val="00DC0C8B"/>
    <w:rsid w:val="00DC18FB"/>
    <w:rsid w:val="00DD1C68"/>
    <w:rsid w:val="00DD3E59"/>
    <w:rsid w:val="00DD54E8"/>
    <w:rsid w:val="00DE2407"/>
    <w:rsid w:val="00DE2901"/>
    <w:rsid w:val="00DE4508"/>
    <w:rsid w:val="00DF1415"/>
    <w:rsid w:val="00DF3F12"/>
    <w:rsid w:val="00DF4AD6"/>
    <w:rsid w:val="00E01DB5"/>
    <w:rsid w:val="00E117DE"/>
    <w:rsid w:val="00E136C4"/>
    <w:rsid w:val="00E16FB0"/>
    <w:rsid w:val="00E20B77"/>
    <w:rsid w:val="00E252FC"/>
    <w:rsid w:val="00E27C4B"/>
    <w:rsid w:val="00E33C76"/>
    <w:rsid w:val="00E528DF"/>
    <w:rsid w:val="00E56877"/>
    <w:rsid w:val="00E65E91"/>
    <w:rsid w:val="00E71239"/>
    <w:rsid w:val="00E7359B"/>
    <w:rsid w:val="00E763CA"/>
    <w:rsid w:val="00E93451"/>
    <w:rsid w:val="00E97AF6"/>
    <w:rsid w:val="00EA1640"/>
    <w:rsid w:val="00EA25E6"/>
    <w:rsid w:val="00EA2F11"/>
    <w:rsid w:val="00EA3852"/>
    <w:rsid w:val="00EB1E97"/>
    <w:rsid w:val="00EB4454"/>
    <w:rsid w:val="00EB46B7"/>
    <w:rsid w:val="00EB6CBE"/>
    <w:rsid w:val="00EC7C5D"/>
    <w:rsid w:val="00ED1A60"/>
    <w:rsid w:val="00ED2416"/>
    <w:rsid w:val="00ED41E8"/>
    <w:rsid w:val="00ED49F2"/>
    <w:rsid w:val="00EE12F1"/>
    <w:rsid w:val="00EF08AD"/>
    <w:rsid w:val="00F0022C"/>
    <w:rsid w:val="00F00B0B"/>
    <w:rsid w:val="00F05437"/>
    <w:rsid w:val="00F14B38"/>
    <w:rsid w:val="00F212C7"/>
    <w:rsid w:val="00F271A4"/>
    <w:rsid w:val="00F47D98"/>
    <w:rsid w:val="00F51976"/>
    <w:rsid w:val="00F53072"/>
    <w:rsid w:val="00F534D6"/>
    <w:rsid w:val="00F54335"/>
    <w:rsid w:val="00F5660A"/>
    <w:rsid w:val="00F63194"/>
    <w:rsid w:val="00F723FE"/>
    <w:rsid w:val="00F774B4"/>
    <w:rsid w:val="00F9053F"/>
    <w:rsid w:val="00F92E21"/>
    <w:rsid w:val="00FA3BF1"/>
    <w:rsid w:val="00FA445F"/>
    <w:rsid w:val="00FA6923"/>
    <w:rsid w:val="00FB4B02"/>
    <w:rsid w:val="00FC44F0"/>
    <w:rsid w:val="00FC4AB2"/>
    <w:rsid w:val="00FC5C4C"/>
    <w:rsid w:val="00FC7D16"/>
    <w:rsid w:val="00FD2A90"/>
    <w:rsid w:val="00FD30EB"/>
    <w:rsid w:val="00FD6898"/>
    <w:rsid w:val="00FE2F41"/>
    <w:rsid w:val="00FF66DC"/>
    <w:rsid w:val="02122583"/>
    <w:rsid w:val="03284E8C"/>
    <w:rsid w:val="04582CCD"/>
    <w:rsid w:val="04933A7B"/>
    <w:rsid w:val="05216551"/>
    <w:rsid w:val="069B6845"/>
    <w:rsid w:val="078046A1"/>
    <w:rsid w:val="0D187065"/>
    <w:rsid w:val="0D885C74"/>
    <w:rsid w:val="0DBF37AD"/>
    <w:rsid w:val="0ED877EB"/>
    <w:rsid w:val="0F147008"/>
    <w:rsid w:val="105140A5"/>
    <w:rsid w:val="10755F3E"/>
    <w:rsid w:val="116D12E5"/>
    <w:rsid w:val="121C111E"/>
    <w:rsid w:val="12923BE2"/>
    <w:rsid w:val="14A85ECD"/>
    <w:rsid w:val="14C00400"/>
    <w:rsid w:val="16454C4B"/>
    <w:rsid w:val="17B97431"/>
    <w:rsid w:val="19B16CD8"/>
    <w:rsid w:val="19DC653D"/>
    <w:rsid w:val="1B456253"/>
    <w:rsid w:val="1D5A719B"/>
    <w:rsid w:val="1EBD0C06"/>
    <w:rsid w:val="1EF04B68"/>
    <w:rsid w:val="202E3BE9"/>
    <w:rsid w:val="20781BFB"/>
    <w:rsid w:val="20DD65D8"/>
    <w:rsid w:val="210943B7"/>
    <w:rsid w:val="235D3917"/>
    <w:rsid w:val="25FC664A"/>
    <w:rsid w:val="269E4FC3"/>
    <w:rsid w:val="26C868E1"/>
    <w:rsid w:val="272D366F"/>
    <w:rsid w:val="294E423C"/>
    <w:rsid w:val="2AF87057"/>
    <w:rsid w:val="2B853CDD"/>
    <w:rsid w:val="2CD377F3"/>
    <w:rsid w:val="2D1402D8"/>
    <w:rsid w:val="2D55162E"/>
    <w:rsid w:val="2D916E68"/>
    <w:rsid w:val="30933E1A"/>
    <w:rsid w:val="30C04352"/>
    <w:rsid w:val="3103761F"/>
    <w:rsid w:val="314F1D54"/>
    <w:rsid w:val="32490B07"/>
    <w:rsid w:val="32E83E28"/>
    <w:rsid w:val="387526AD"/>
    <w:rsid w:val="3A7C6C88"/>
    <w:rsid w:val="3B9E6701"/>
    <w:rsid w:val="3C9D64F0"/>
    <w:rsid w:val="3E064FBA"/>
    <w:rsid w:val="3E493A8F"/>
    <w:rsid w:val="3FDA5BD9"/>
    <w:rsid w:val="40ED7B5A"/>
    <w:rsid w:val="421C1499"/>
    <w:rsid w:val="43E925FA"/>
    <w:rsid w:val="456B3021"/>
    <w:rsid w:val="46DD5F48"/>
    <w:rsid w:val="46F8310E"/>
    <w:rsid w:val="48686316"/>
    <w:rsid w:val="49891460"/>
    <w:rsid w:val="49E23684"/>
    <w:rsid w:val="4A5E28EA"/>
    <w:rsid w:val="4B2F4F56"/>
    <w:rsid w:val="4C047638"/>
    <w:rsid w:val="4CBA7570"/>
    <w:rsid w:val="4CFF1931"/>
    <w:rsid w:val="4DB77DC7"/>
    <w:rsid w:val="4DF3372B"/>
    <w:rsid w:val="4F151068"/>
    <w:rsid w:val="509A04C8"/>
    <w:rsid w:val="51C8662B"/>
    <w:rsid w:val="54874219"/>
    <w:rsid w:val="549C6B33"/>
    <w:rsid w:val="55AC6A83"/>
    <w:rsid w:val="55EA3B6A"/>
    <w:rsid w:val="562F6EE9"/>
    <w:rsid w:val="57C87E52"/>
    <w:rsid w:val="58F12F4F"/>
    <w:rsid w:val="5AAA6638"/>
    <w:rsid w:val="5ACB0A85"/>
    <w:rsid w:val="5B2B1DCF"/>
    <w:rsid w:val="5CB66B2D"/>
    <w:rsid w:val="5D9109EC"/>
    <w:rsid w:val="5F050C94"/>
    <w:rsid w:val="6022031E"/>
    <w:rsid w:val="607B2B54"/>
    <w:rsid w:val="6379684E"/>
    <w:rsid w:val="65F903AA"/>
    <w:rsid w:val="669A6275"/>
    <w:rsid w:val="66A357A5"/>
    <w:rsid w:val="66B0547D"/>
    <w:rsid w:val="66BC1FA2"/>
    <w:rsid w:val="673C0498"/>
    <w:rsid w:val="67E45DE5"/>
    <w:rsid w:val="68382019"/>
    <w:rsid w:val="686A6131"/>
    <w:rsid w:val="68B33378"/>
    <w:rsid w:val="69490B5C"/>
    <w:rsid w:val="6BA41121"/>
    <w:rsid w:val="6BF74350"/>
    <w:rsid w:val="6CBA291E"/>
    <w:rsid w:val="6CF33B45"/>
    <w:rsid w:val="6DE62A3E"/>
    <w:rsid w:val="6E9059BD"/>
    <w:rsid w:val="6EEA2E97"/>
    <w:rsid w:val="6F380D19"/>
    <w:rsid w:val="6F6F473B"/>
    <w:rsid w:val="6FE86F12"/>
    <w:rsid w:val="70B67D01"/>
    <w:rsid w:val="70DE0671"/>
    <w:rsid w:val="714E08D2"/>
    <w:rsid w:val="724E40E7"/>
    <w:rsid w:val="72606A84"/>
    <w:rsid w:val="72F559F9"/>
    <w:rsid w:val="732D703E"/>
    <w:rsid w:val="75826128"/>
    <w:rsid w:val="75C237B9"/>
    <w:rsid w:val="769F1054"/>
    <w:rsid w:val="771B2FE0"/>
    <w:rsid w:val="775D2173"/>
    <w:rsid w:val="78627B38"/>
    <w:rsid w:val="78BA4CA5"/>
    <w:rsid w:val="7AF7054B"/>
    <w:rsid w:val="7BE129E3"/>
    <w:rsid w:val="7DD96E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50" w:beforeLines="50" w:after="50" w:afterLines="50" w:line="360" w:lineRule="auto"/>
      <w:ind w:firstLine="200" w:firstLineChars="20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720"/>
        <w:tab w:val="left" w:pos="2160"/>
      </w:tabs>
      <w:spacing w:after="340"/>
      <w:outlineLvl w:val="0"/>
    </w:pPr>
    <w:rPr>
      <w:b/>
      <w:caps/>
      <w:kern w:val="28"/>
    </w:rPr>
  </w:style>
  <w:style w:type="paragraph" w:styleId="4">
    <w:name w:val="heading 2"/>
    <w:basedOn w:val="1"/>
    <w:next w:val="1"/>
    <w:qFormat/>
    <w:uiPriority w:val="0"/>
    <w:pPr>
      <w:numPr>
        <w:ilvl w:val="1"/>
        <w:numId w:val="1"/>
      </w:numPr>
      <w:spacing w:after="340" w:line="340" w:lineRule="exact"/>
      <w:ind w:left="1134"/>
      <w:outlineLvl w:val="1"/>
    </w:pPr>
    <w:rPr>
      <w:rFonts w:ascii="Times New Roman" w:hAnsi="Times New Roman" w:eastAsia="楷体_GB231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</w:rPr>
  </w:style>
  <w:style w:type="paragraph" w:styleId="5">
    <w:name w:val="annotation text"/>
    <w:basedOn w:val="1"/>
    <w:link w:val="21"/>
    <w:unhideWhenUsed/>
    <w:qFormat/>
    <w:uiPriority w:val="99"/>
  </w:style>
  <w:style w:type="paragraph" w:styleId="6">
    <w:name w:val="Body Text"/>
    <w:basedOn w:val="1"/>
    <w:qFormat/>
    <w:uiPriority w:val="0"/>
    <w:pPr>
      <w:spacing w:after="340" w:line="340" w:lineRule="exact"/>
    </w:pPr>
  </w:style>
  <w:style w:type="paragraph" w:styleId="7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8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/>
    </w:pPr>
  </w:style>
  <w:style w:type="paragraph" w:styleId="12">
    <w:name w:val="annotation subject"/>
    <w:basedOn w:val="5"/>
    <w:next w:val="5"/>
    <w:link w:val="22"/>
    <w:semiHidden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5"/>
    <w:semiHidden/>
    <w:unhideWhenUsed/>
    <w:qFormat/>
    <w:uiPriority w:val="99"/>
    <w:rPr>
      <w:sz w:val="21"/>
      <w:szCs w:val="21"/>
    </w:rPr>
  </w:style>
  <w:style w:type="character" w:customStyle="1" w:styleId="18">
    <w:name w:val="页眉 字符"/>
    <w:basedOn w:val="15"/>
    <w:link w:val="10"/>
    <w:qFormat/>
    <w:uiPriority w:val="99"/>
    <w:rPr>
      <w:rFonts w:ascii="Tahoma" w:hAnsi="Tahoma"/>
      <w:sz w:val="18"/>
      <w:szCs w:val="18"/>
    </w:rPr>
  </w:style>
  <w:style w:type="character" w:customStyle="1" w:styleId="19">
    <w:name w:val="页脚 字符"/>
    <w:basedOn w:val="15"/>
    <w:link w:val="9"/>
    <w:qFormat/>
    <w:uiPriority w:val="99"/>
    <w:rPr>
      <w:rFonts w:ascii="Tahoma" w:hAnsi="Tahoma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/>
    </w:pPr>
  </w:style>
  <w:style w:type="character" w:customStyle="1" w:styleId="21">
    <w:name w:val="批注文字 字符"/>
    <w:basedOn w:val="15"/>
    <w:link w:val="5"/>
    <w:qFormat/>
    <w:uiPriority w:val="99"/>
    <w:rPr>
      <w:rFonts w:ascii="Tahoma" w:hAnsi="Tahoma"/>
    </w:rPr>
  </w:style>
  <w:style w:type="character" w:customStyle="1" w:styleId="22">
    <w:name w:val="批注主题 字符"/>
    <w:basedOn w:val="21"/>
    <w:link w:val="12"/>
    <w:semiHidden/>
    <w:qFormat/>
    <w:uiPriority w:val="99"/>
    <w:rPr>
      <w:rFonts w:ascii="Tahoma" w:hAnsi="Tahoma"/>
      <w:b/>
      <w:bCs/>
    </w:rPr>
  </w:style>
  <w:style w:type="character" w:customStyle="1" w:styleId="23">
    <w:name w:val="批注框文本 字符"/>
    <w:basedOn w:val="15"/>
    <w:link w:val="8"/>
    <w:semiHidden/>
    <w:qFormat/>
    <w:uiPriority w:val="99"/>
    <w:rPr>
      <w:rFonts w:ascii="Tahoma" w:hAnsi="Tahoma"/>
      <w:sz w:val="18"/>
      <w:szCs w:val="18"/>
    </w:rPr>
  </w:style>
  <w:style w:type="paragraph" w:customStyle="1" w:styleId="24">
    <w:name w:val="p0"/>
    <w:basedOn w:val="1"/>
    <w:qFormat/>
    <w:uiPriority w:val="0"/>
    <w:rPr>
      <w:rFonts w:ascii="Times New Roman" w:hAnsi="Times New Roman" w:cs="Times New Roman"/>
      <w:sz w:val="21"/>
      <w:szCs w:val="21"/>
    </w:rPr>
  </w:style>
  <w:style w:type="character" w:customStyle="1" w:styleId="25">
    <w:name w:val="fontstyle01"/>
    <w:basedOn w:val="15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6">
    <w:name w:val="fontstyle2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character" w:customStyle="1" w:styleId="27">
    <w:name w:val="fontstyle11"/>
    <w:basedOn w:val="15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8">
    <w:name w:val="da1"/>
    <w:qFormat/>
    <w:uiPriority w:val="0"/>
    <w:rPr>
      <w:rFonts w:hint="default" w:ascii="ˎ̥" w:hAnsi="ˎ̥"/>
      <w:color w:val="000000"/>
      <w:sz w:val="28"/>
      <w:szCs w:val="28"/>
      <w:u w:val="none"/>
    </w:rPr>
  </w:style>
  <w:style w:type="paragraph" w:customStyle="1" w:styleId="29">
    <w:name w:val="Default"/>
    <w:unhideWhenUsed/>
    <w:qFormat/>
    <w:uiPriority w:val="99"/>
    <w:pPr>
      <w:widowControl w:val="0"/>
      <w:autoSpaceDE w:val="0"/>
      <w:autoSpaceDN w:val="0"/>
      <w:adjustRightInd w:val="0"/>
      <w:spacing w:before="50" w:beforeLines="50" w:after="50" w:afterLines="50" w:line="360" w:lineRule="auto"/>
      <w:ind w:firstLine="200" w:firstLineChars="200"/>
      <w:jc w:val="both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30">
    <w:name w:val="修订1"/>
    <w:hidden/>
    <w:semiHidden/>
    <w:qFormat/>
    <w:uiPriority w:val="99"/>
    <w:pPr>
      <w:spacing w:before="50" w:beforeLines="50" w:after="50" w:afterLines="50" w:line="360" w:lineRule="auto"/>
      <w:ind w:firstLine="200" w:firstLineChars="20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1">
    <w:name w:val="修订2"/>
    <w:hidden/>
    <w:semiHidden/>
    <w:qFormat/>
    <w:uiPriority w:val="99"/>
    <w:pPr>
      <w:spacing w:before="50" w:beforeLines="50" w:after="50" w:afterLines="50" w:line="360" w:lineRule="auto"/>
      <w:ind w:firstLine="200" w:firstLineChars="200"/>
      <w:jc w:val="both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32">
    <w:name w:val="未处理的提及1"/>
    <w:basedOn w:val="15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3">
    <w:name w:val="Revision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7D0C-4EF0-4C6A-88E2-763F68CF25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696</Words>
  <Characters>839</Characters>
  <Lines>39</Lines>
  <Paragraphs>11</Paragraphs>
  <TotalTime>0</TotalTime>
  <ScaleCrop>false</ScaleCrop>
  <LinksUpToDate>false</LinksUpToDate>
  <CharactersWithSpaces>873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2019-10-29T03:51:00Z</dcterms:created>
  <dc:creator>Administrator</dc:creator>
  <cp:lastModifiedBy>李易煊</cp:lastModifiedBy>
  <dcterms:modified xsi:type="dcterms:W3CDTF">2023-02-20T09:21:24Z</dcterms:modified>
  <cp:revision>473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457F36DEBC1C42EFA0618BF2B9CC404D</vt:lpwstr>
  </property>
</Properties>
</file>