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firstLine="0" w:firstLineChars="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xml:space="preserve">证券代码：002871     </w:t>
      </w:r>
      <w:r>
        <w:rPr>
          <w:rFonts w:hint="default" w:cs="Times New Roman" w:asciiTheme="minorEastAsia" w:hAnsiTheme="minorEastAsia" w:eastAsiaTheme="minorEastAsia"/>
          <w:sz w:val="21"/>
          <w:szCs w:val="21"/>
          <w:lang w:val="en-US"/>
        </w:rPr>
        <w:t xml:space="preserve">  </w:t>
      </w:r>
      <w:r>
        <w:rPr>
          <w:rFonts w:hint="eastAsia" w:cs="Times New Roman" w:asciiTheme="minorEastAsia" w:hAnsiTheme="minorEastAsia" w:eastAsiaTheme="minorEastAsia"/>
          <w:sz w:val="21"/>
          <w:szCs w:val="21"/>
        </w:rPr>
        <w:t xml:space="preserve"> </w:t>
      </w:r>
      <w:r>
        <w:rPr>
          <w:rFonts w:hint="default" w:cs="Times New Roman" w:asciiTheme="minorEastAsia" w:hAnsiTheme="minorEastAsia" w:eastAsiaTheme="minorEastAsia"/>
          <w:sz w:val="21"/>
          <w:szCs w:val="21"/>
          <w:lang w:val="en-US"/>
        </w:rPr>
        <w:t xml:space="preserve">   </w:t>
      </w:r>
      <w:r>
        <w:rPr>
          <w:rFonts w:hint="eastAsia" w:cs="Times New Roman" w:asciiTheme="minorEastAsia" w:hAnsiTheme="minorEastAsia" w:eastAsiaTheme="minorEastAsia"/>
          <w:sz w:val="21"/>
          <w:szCs w:val="21"/>
        </w:rPr>
        <w:t xml:space="preserve">  证券简称：伟隆股份  </w:t>
      </w:r>
      <w:r>
        <w:rPr>
          <w:rFonts w:hint="default" w:cs="Times New Roman" w:asciiTheme="minorEastAsia" w:hAnsiTheme="minorEastAsia" w:eastAsiaTheme="minorEastAsia"/>
          <w:sz w:val="21"/>
          <w:szCs w:val="21"/>
          <w:lang w:val="en-US"/>
        </w:rPr>
        <w:t xml:space="preserve">   </w:t>
      </w:r>
      <w:r>
        <w:rPr>
          <w:rFonts w:hint="eastAsia" w:cs="Times New Roman" w:asciiTheme="minorEastAsia" w:hAnsiTheme="minorEastAsia" w:eastAsiaTheme="minorEastAsia"/>
          <w:sz w:val="21"/>
          <w:szCs w:val="21"/>
        </w:rPr>
        <w:t xml:space="preserve"> </w:t>
      </w:r>
      <w:r>
        <w:rPr>
          <w:rFonts w:hint="default" w:cs="Times New Roman" w:asciiTheme="minorEastAsia" w:hAnsiTheme="minorEastAsia" w:eastAsiaTheme="minorEastAsia"/>
          <w:sz w:val="21"/>
          <w:szCs w:val="21"/>
          <w:lang w:val="en-US"/>
        </w:rPr>
        <w:t xml:space="preserve">  </w:t>
      </w:r>
      <w:r>
        <w:rPr>
          <w:rFonts w:hint="eastAsia" w:cs="Times New Roman" w:asciiTheme="minorEastAsia" w:hAnsiTheme="minorEastAsia" w:eastAsiaTheme="minorEastAsia"/>
          <w:sz w:val="21"/>
          <w:szCs w:val="21"/>
        </w:rPr>
        <w:t xml:space="preserve">     公告编号：202</w:t>
      </w:r>
      <w:r>
        <w:rPr>
          <w:rFonts w:cs="Times New Roman" w:asciiTheme="minorEastAsia" w:hAnsiTheme="minorEastAsia" w:eastAsiaTheme="minorEastAsia"/>
          <w:sz w:val="21"/>
          <w:szCs w:val="21"/>
        </w:rPr>
        <w:t>3</w:t>
      </w:r>
      <w:r>
        <w:rPr>
          <w:rFonts w:hint="eastAsia" w:cs="Times New Roman" w:asciiTheme="minorEastAsia" w:hAnsiTheme="minorEastAsia" w:eastAsiaTheme="minorEastAsia"/>
          <w:sz w:val="21"/>
          <w:szCs w:val="21"/>
        </w:rPr>
        <w:t>-0</w:t>
      </w:r>
      <w:r>
        <w:rPr>
          <w:rFonts w:cs="Times New Roman" w:asciiTheme="minorEastAsia" w:hAnsiTheme="minorEastAsia" w:eastAsiaTheme="minorEastAsia"/>
          <w:sz w:val="21"/>
          <w:szCs w:val="21"/>
        </w:rPr>
        <w:t>0</w:t>
      </w:r>
      <w:r>
        <w:rPr>
          <w:rFonts w:hint="default" w:cs="Times New Roman" w:asciiTheme="minorEastAsia" w:hAnsiTheme="minorEastAsia" w:eastAsiaTheme="minorEastAsia"/>
          <w:sz w:val="21"/>
          <w:szCs w:val="21"/>
          <w:lang w:val="en-US"/>
        </w:rPr>
        <w:t>5</w:t>
      </w:r>
    </w:p>
    <w:p>
      <w:pPr>
        <w:spacing w:before="120" w:beforeLines="50" w:after="120" w:afterLines="50" w:line="360" w:lineRule="auto"/>
        <w:jc w:val="center"/>
        <w:rPr>
          <w:rFonts w:asciiTheme="minorEastAsia" w:hAnsiTheme="minorEastAsia" w:eastAsiaTheme="minorEastAsia"/>
          <w:b/>
          <w:bCs/>
          <w:sz w:val="28"/>
        </w:rPr>
      </w:pPr>
      <w:r>
        <w:rPr>
          <w:rFonts w:hint="eastAsia" w:asciiTheme="minorEastAsia" w:hAnsiTheme="minorEastAsia" w:eastAsiaTheme="minorEastAsia"/>
          <w:b/>
          <w:bCs/>
          <w:sz w:val="28"/>
        </w:rPr>
        <w:t>青岛伟隆阀门股份有限公司</w:t>
      </w:r>
    </w:p>
    <w:p>
      <w:pPr>
        <w:spacing w:before="120" w:beforeLines="50" w:after="120" w:afterLines="50" w:line="360" w:lineRule="auto"/>
        <w:jc w:val="center"/>
        <w:rPr>
          <w:rFonts w:asciiTheme="minorEastAsia" w:hAnsiTheme="minorEastAsia" w:eastAsiaTheme="minorEastAsia"/>
          <w:b/>
          <w:bCs/>
          <w:sz w:val="28"/>
        </w:rPr>
      </w:pPr>
      <w:r>
        <w:rPr>
          <w:rFonts w:hint="eastAsia" w:asciiTheme="minorEastAsia" w:hAnsiTheme="minorEastAsia" w:eastAsiaTheme="minorEastAsia"/>
          <w:b/>
          <w:bCs/>
          <w:sz w:val="28"/>
        </w:rPr>
        <w:t>第四届监事会第十四次会议决议的公告</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line="360" w:lineRule="auto"/>
              <w:ind w:firstLine="480" w:firstLineChars="200"/>
              <w:jc w:val="both"/>
              <w:rPr>
                <w:rFonts w:hint="eastAsia" w:ascii="宋体" w:hAnsi="宋体" w:eastAsia="宋体" w:cs="宋体"/>
                <w:kern w:val="2"/>
                <w:sz w:val="24"/>
                <w:szCs w:val="22"/>
              </w:rPr>
            </w:pPr>
            <w:bookmarkStart w:id="17" w:name="_GoBack" w:colFirst="0" w:colLast="0"/>
            <w:r>
              <w:rPr>
                <w:rFonts w:hint="eastAsia" w:ascii="宋体" w:hAnsi="宋体" w:eastAsia="宋体" w:cs="宋体"/>
                <w:kern w:val="2"/>
                <w:sz w:val="24"/>
                <w:szCs w:val="22"/>
              </w:rPr>
              <w:t>本公司及监事会全体成员保证信息披露内容的真实、准确和完整，没有虚假记载、误导性陈述或重大遗漏。</w:t>
            </w:r>
          </w:p>
        </w:tc>
      </w:tr>
      <w:bookmarkEnd w:id="17"/>
    </w:tbl>
    <w:p>
      <w:pPr>
        <w:spacing w:before="120" w:beforeLines="50" w:after="120" w:afterLines="50" w:line="360" w:lineRule="auto"/>
        <w:ind w:firstLine="482" w:firstLineChars="200"/>
        <w:jc w:val="both"/>
        <w:rPr>
          <w:rFonts w:ascii="Times New Roman" w:hAnsi="Times New Roman"/>
          <w:b/>
          <w:szCs w:val="23"/>
        </w:rPr>
      </w:pPr>
      <w:r>
        <w:rPr>
          <w:rFonts w:hint="eastAsia" w:ascii="Times New Roman" w:hAnsi="Times New Roman"/>
          <w:b/>
          <w:szCs w:val="23"/>
        </w:rPr>
        <w:t>一、监事会会议召开情况</w:t>
      </w:r>
    </w:p>
    <w:p>
      <w:pPr>
        <w:spacing w:before="120" w:beforeLines="50" w:after="120" w:afterLines="50" w:line="360" w:lineRule="auto"/>
        <w:ind w:firstLine="480" w:firstLineChars="200"/>
        <w:jc w:val="both"/>
        <w:rPr>
          <w:rFonts w:ascii="Times New Roman" w:hAnsi="Times New Roman"/>
          <w:szCs w:val="23"/>
        </w:rPr>
      </w:pPr>
      <w:r>
        <w:rPr>
          <w:rFonts w:hint="eastAsia" w:ascii="Times New Roman" w:hAnsi="Times New Roman"/>
          <w:szCs w:val="23"/>
        </w:rPr>
        <w:t>青岛伟隆阀门股份有限公司（以下称“公司”）</w:t>
      </w:r>
      <w:r>
        <w:rPr>
          <w:rFonts w:ascii="Times New Roman" w:hAnsi="Times New Roman" w:cs="Times New Roman"/>
        </w:rPr>
        <w:t>监事会</w:t>
      </w:r>
      <w:r>
        <w:rPr>
          <w:rFonts w:hint="eastAsia" w:ascii="Times New Roman" w:hAnsi="Times New Roman"/>
          <w:szCs w:val="23"/>
        </w:rPr>
        <w:t>于202</w:t>
      </w:r>
      <w:r>
        <w:rPr>
          <w:rFonts w:ascii="Times New Roman" w:hAnsi="Times New Roman"/>
          <w:szCs w:val="23"/>
        </w:rPr>
        <w:t>3</w:t>
      </w:r>
      <w:r>
        <w:rPr>
          <w:rFonts w:hint="eastAsia" w:ascii="Times New Roman" w:hAnsi="Times New Roman"/>
          <w:szCs w:val="23"/>
        </w:rPr>
        <w:t>年1月1</w:t>
      </w:r>
      <w:r>
        <w:rPr>
          <w:rFonts w:ascii="Times New Roman" w:hAnsi="Times New Roman"/>
          <w:szCs w:val="23"/>
        </w:rPr>
        <w:t>1</w:t>
      </w:r>
      <w:r>
        <w:rPr>
          <w:rFonts w:hint="eastAsia" w:ascii="Times New Roman" w:hAnsi="Times New Roman"/>
          <w:szCs w:val="23"/>
        </w:rPr>
        <w:t>日通过专人送达、电子邮件等方式</w:t>
      </w:r>
      <w:r>
        <w:rPr>
          <w:rFonts w:ascii="Times New Roman" w:hAnsi="Times New Roman" w:cs="Times New Roman"/>
        </w:rPr>
        <w:t>发出了召开</w:t>
      </w:r>
      <w:r>
        <w:rPr>
          <w:rFonts w:hint="eastAsia" w:ascii="Times New Roman" w:hAnsi="Times New Roman"/>
          <w:szCs w:val="23"/>
        </w:rPr>
        <w:t>第四届监事会第十四次会议的通知。会议于202</w:t>
      </w:r>
      <w:r>
        <w:rPr>
          <w:rFonts w:ascii="Times New Roman" w:hAnsi="Times New Roman"/>
          <w:szCs w:val="23"/>
        </w:rPr>
        <w:t>3</w:t>
      </w:r>
      <w:r>
        <w:rPr>
          <w:rFonts w:hint="eastAsia" w:ascii="Times New Roman" w:hAnsi="Times New Roman"/>
          <w:szCs w:val="23"/>
        </w:rPr>
        <w:t>年1月1</w:t>
      </w:r>
      <w:r>
        <w:rPr>
          <w:rFonts w:ascii="Times New Roman" w:hAnsi="Times New Roman"/>
          <w:szCs w:val="23"/>
        </w:rPr>
        <w:t>6</w:t>
      </w:r>
      <w:r>
        <w:rPr>
          <w:rFonts w:hint="eastAsia" w:ascii="Times New Roman" w:hAnsi="Times New Roman"/>
          <w:szCs w:val="23"/>
        </w:rPr>
        <w:t>日上午</w:t>
      </w:r>
      <w:r>
        <w:rPr>
          <w:rFonts w:ascii="Times New Roman" w:hAnsi="Times New Roman"/>
          <w:szCs w:val="23"/>
        </w:rPr>
        <w:t>9</w:t>
      </w:r>
      <w:r>
        <w:rPr>
          <w:rFonts w:hint="eastAsia" w:ascii="Times New Roman" w:hAnsi="Times New Roman"/>
          <w:szCs w:val="23"/>
        </w:rPr>
        <w:t>时在公司会议室以现场和通讯方式召开。本次会议应到监事</w:t>
      </w:r>
      <w:r>
        <w:rPr>
          <w:rFonts w:ascii="Times New Roman" w:hAnsi="Times New Roman"/>
          <w:szCs w:val="23"/>
        </w:rPr>
        <w:t>3</w:t>
      </w:r>
      <w:r>
        <w:rPr>
          <w:rFonts w:hint="eastAsia" w:ascii="Times New Roman" w:hAnsi="Times New Roman"/>
          <w:szCs w:val="23"/>
        </w:rPr>
        <w:t>名，实到</w:t>
      </w:r>
      <w:r>
        <w:rPr>
          <w:rFonts w:ascii="Times New Roman" w:hAnsi="Times New Roman"/>
          <w:szCs w:val="23"/>
        </w:rPr>
        <w:t>3</w:t>
      </w:r>
      <w:r>
        <w:rPr>
          <w:rFonts w:hint="eastAsia" w:ascii="Times New Roman" w:hAnsi="Times New Roman"/>
          <w:szCs w:val="23"/>
        </w:rPr>
        <w:t>名。会议由监事会主席于春红女士召集和主持。会议的召集、召开及表决程序符合《中华人民共和国公司法》及《青岛伟隆阀门股份有限公司章程》的规定，合法有效。</w:t>
      </w:r>
    </w:p>
    <w:p>
      <w:pPr>
        <w:spacing w:before="120" w:beforeLines="50" w:after="120" w:afterLines="50" w:line="360" w:lineRule="auto"/>
        <w:ind w:firstLine="482" w:firstLineChars="200"/>
        <w:jc w:val="both"/>
        <w:rPr>
          <w:rFonts w:ascii="Times New Roman" w:hAnsi="Times New Roman"/>
          <w:b/>
          <w:szCs w:val="23"/>
        </w:rPr>
      </w:pPr>
      <w:r>
        <w:rPr>
          <w:rFonts w:hint="eastAsia" w:ascii="Times New Roman" w:hAnsi="Times New Roman"/>
          <w:b/>
          <w:szCs w:val="23"/>
        </w:rPr>
        <w:t>二、监事会会议审议情况</w:t>
      </w:r>
    </w:p>
    <w:p>
      <w:pPr>
        <w:spacing w:before="120" w:beforeLines="50" w:after="120" w:afterLines="50" w:line="360" w:lineRule="auto"/>
        <w:ind w:firstLine="480" w:firstLineChars="200"/>
        <w:jc w:val="both"/>
        <w:rPr>
          <w:rFonts w:ascii="Times New Roman" w:hAnsi="Times New Roman"/>
          <w:szCs w:val="23"/>
        </w:rPr>
      </w:pPr>
      <w:r>
        <w:rPr>
          <w:rFonts w:hint="eastAsia" w:ascii="Times New Roman" w:hAnsi="Times New Roman"/>
          <w:szCs w:val="23"/>
        </w:rPr>
        <w:t>经与会监事充分的讨论和审议本次会议议案并表决，形成如下决议：</w:t>
      </w:r>
    </w:p>
    <w:p>
      <w:pPr>
        <w:spacing w:before="120" w:beforeLines="50" w:after="120" w:afterLines="50" w:line="360" w:lineRule="auto"/>
        <w:ind w:firstLine="482" w:firstLineChars="200"/>
        <w:jc w:val="both"/>
        <w:rPr>
          <w:rFonts w:ascii="Times New Roman" w:hAnsi="Times New Roman"/>
          <w:b/>
          <w:szCs w:val="23"/>
        </w:rPr>
      </w:pPr>
      <w:r>
        <w:rPr>
          <w:rFonts w:hint="eastAsia" w:ascii="Times New Roman" w:hAnsi="Times New Roman"/>
          <w:b/>
          <w:szCs w:val="23"/>
        </w:rPr>
        <w:t>（一）审议通过《关于公司符合公开发行可转换公司债券条件的议案》</w:t>
      </w:r>
    </w:p>
    <w:p>
      <w:pPr>
        <w:spacing w:before="120" w:beforeLines="50" w:after="120" w:afterLines="50" w:line="360" w:lineRule="auto"/>
        <w:ind w:firstLine="480" w:firstLineChars="200"/>
        <w:jc w:val="both"/>
        <w:rPr>
          <w:rFonts w:ascii="Times New Roman" w:hAnsi="Times New Roman"/>
          <w:color w:val="000000"/>
        </w:rPr>
      </w:pPr>
      <w:r>
        <w:rPr>
          <w:rFonts w:hint="eastAsia" w:ascii="Times New Roman" w:hAnsi="Times New Roman"/>
          <w:color w:val="000000"/>
        </w:rPr>
        <w:t>根据《中华人民共和国公司法》《中华人民共和国证券法》《上市公司证券发行管理办法》《公司债券发行与交易管理办法》《可转换公司债券管理办法》等相关法律法规的规定，对照上市公司相关资格、条件的要求，并结合公司实际情况逐项核对，监事会认为公司各项条件满足现行法律法规和规范性文件中关于公开发行可转换公司债券的有关规定，符合公开发行可转换公司债券的条件。</w:t>
      </w:r>
    </w:p>
    <w:p>
      <w:pPr>
        <w:spacing w:before="120" w:beforeLines="50" w:after="120" w:afterLines="50" w:line="360" w:lineRule="auto"/>
        <w:ind w:firstLine="480" w:firstLineChars="200"/>
        <w:jc w:val="both"/>
        <w:rPr>
          <w:rFonts w:ascii="Times New Roman" w:hAnsi="Times New Roman"/>
          <w:szCs w:val="23"/>
        </w:rPr>
      </w:pPr>
      <w:r>
        <w:rPr>
          <w:rFonts w:hint="eastAsia" w:ascii="Times New Roman" w:hAnsi="Times New Roman"/>
          <w:szCs w:val="23"/>
        </w:rPr>
        <w:t>本议案尚需提交公司2</w:t>
      </w:r>
      <w:r>
        <w:rPr>
          <w:rFonts w:ascii="Times New Roman" w:hAnsi="Times New Roman"/>
          <w:szCs w:val="23"/>
        </w:rPr>
        <w:t>023</w:t>
      </w:r>
      <w:r>
        <w:rPr>
          <w:rFonts w:hint="eastAsia" w:ascii="Times New Roman" w:hAnsi="Times New Roman"/>
          <w:szCs w:val="23"/>
        </w:rPr>
        <w:t>年第一次临时股东大会审议。</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spacing w:before="120" w:beforeLines="50" w:after="120" w:afterLines="50" w:line="360" w:lineRule="auto"/>
        <w:ind w:firstLine="482" w:firstLineChars="200"/>
        <w:jc w:val="both"/>
        <w:rPr>
          <w:rFonts w:ascii="Times New Roman" w:hAnsi="Times New Roman"/>
          <w:b/>
          <w:szCs w:val="23"/>
        </w:rPr>
      </w:pPr>
      <w:r>
        <w:rPr>
          <w:rFonts w:hint="eastAsia" w:ascii="Times New Roman" w:hAnsi="Times New Roman"/>
          <w:b/>
          <w:szCs w:val="23"/>
        </w:rPr>
        <w:t>（二）逐项审议通过</w:t>
      </w:r>
      <w:r>
        <w:rPr>
          <w:rFonts w:ascii="Times New Roman" w:hAnsi="Times New Roman"/>
          <w:b/>
          <w:szCs w:val="23"/>
        </w:rPr>
        <w:t>《</w:t>
      </w:r>
      <w:r>
        <w:rPr>
          <w:rFonts w:hint="eastAsia" w:ascii="Times New Roman" w:hAnsi="Times New Roman"/>
          <w:b/>
          <w:szCs w:val="23"/>
        </w:rPr>
        <w:t>关于公司公开发行可转换公司债券方案的议案</w:t>
      </w:r>
      <w:r>
        <w:rPr>
          <w:rFonts w:ascii="Times New Roman" w:hAnsi="Times New Roman"/>
          <w:b/>
          <w:szCs w:val="23"/>
        </w:rPr>
        <w:t>》</w:t>
      </w:r>
      <w:r>
        <w:rPr>
          <w:rFonts w:hint="eastAsia" w:ascii="Times New Roman" w:hAnsi="Times New Roman"/>
          <w:b/>
          <w:szCs w:val="23"/>
        </w:rPr>
        <w:t xml:space="preserve"> </w:t>
      </w:r>
    </w:p>
    <w:p>
      <w:pPr>
        <w:spacing w:before="120" w:beforeLines="50" w:after="120" w:afterLines="50" w:line="360" w:lineRule="auto"/>
        <w:ind w:firstLine="480" w:firstLineChars="200"/>
        <w:jc w:val="both"/>
        <w:rPr>
          <w:rFonts w:ascii="Times New Roman" w:hAnsi="Times New Roman"/>
          <w:color w:val="000000"/>
        </w:rPr>
      </w:pPr>
      <w:r>
        <w:rPr>
          <w:rFonts w:hint="eastAsia" w:ascii="Times New Roman" w:hAnsi="Times New Roman"/>
          <w:color w:val="000000"/>
        </w:rPr>
        <w:t>根据《中华人民共和国公司法》《中华人民共和国证券法》《上市公司证券发行管理办法》《公司债券发行与交易管理办法》《可转换公司债券管理办法》等相关法律法规规定的公开发行可转换公司债券的要求，公司拟定了本次发行的发行方案。监事会逐项审议了方案内容，表决结果如下：</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ascii="Times New Roman" w:hAnsi="Times New Roman" w:cs="Times New Roman"/>
          <w:kern w:val="2"/>
          <w:szCs w:val="32"/>
        </w:rPr>
        <w:t>1、</w:t>
      </w:r>
      <w:r>
        <w:rPr>
          <w:rFonts w:hint="eastAsia" w:ascii="Times New Roman" w:hAnsi="Times New Roman" w:cs="Times New Roman"/>
          <w:kern w:val="2"/>
          <w:szCs w:val="32"/>
        </w:rPr>
        <w:t>本次发行证券的种类</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本次发行证券的种类为可转换为公司A股股票的可转换公司债券。该可转换公司债券及未来转换的A股股票将在深圳证券交易所上市</w:t>
      </w:r>
      <w:r>
        <w:rPr>
          <w:rFonts w:ascii="Times New Roman" w:hAnsi="Times New Roman" w:cs="Times New Roman"/>
          <w:kern w:val="2"/>
        </w:rPr>
        <w:t>。</w:t>
      </w:r>
    </w:p>
    <w:p>
      <w:pPr>
        <w:spacing w:before="120" w:beforeLines="50" w:after="120" w:afterLines="50" w:line="360" w:lineRule="auto"/>
        <w:ind w:firstLine="482" w:firstLineChars="200"/>
        <w:jc w:val="both"/>
        <w:rPr>
          <w:rFonts w:ascii="Times New Roman" w:hAnsi="Times New Roman"/>
          <w:b/>
          <w:szCs w:val="23"/>
        </w:rPr>
      </w:pPr>
      <w:r>
        <w:rPr>
          <w:rFonts w:hint="eastAsia" w:ascii="Times New Roman" w:hAnsi="Times New Roman"/>
          <w:b/>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ascii="Times New Roman" w:hAnsi="Times New Roman" w:cs="Times New Roman"/>
          <w:kern w:val="2"/>
          <w:szCs w:val="32"/>
        </w:rPr>
        <w:t>2、发行</w:t>
      </w:r>
      <w:r>
        <w:rPr>
          <w:rFonts w:hint="eastAsia" w:ascii="Times New Roman" w:hAnsi="Times New Roman" w:cs="Times New Roman"/>
          <w:kern w:val="2"/>
          <w:szCs w:val="32"/>
        </w:rPr>
        <w:t>规模</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根据相关法律法规的规定及规范性文件的要求，并结合公司财务状况和投资计划，本次发行的可转换公司债券募集资金总额不超过人民币</w:t>
      </w:r>
      <w:r>
        <w:rPr>
          <w:rFonts w:ascii="Times New Roman" w:hAnsi="Times New Roman" w:cs="Times New Roman"/>
          <w:kern w:val="2"/>
        </w:rPr>
        <w:t>29,000.00</w:t>
      </w:r>
      <w:r>
        <w:rPr>
          <w:rFonts w:hint="eastAsia" w:ascii="Times New Roman" w:hAnsi="Times New Roman" w:cs="Times New Roman"/>
          <w:kern w:val="2"/>
        </w:rPr>
        <w:t>万元（含</w:t>
      </w:r>
      <w:r>
        <w:rPr>
          <w:rFonts w:ascii="Times New Roman" w:hAnsi="Times New Roman" w:cs="Times New Roman"/>
          <w:kern w:val="2"/>
        </w:rPr>
        <w:t>29</w:t>
      </w:r>
      <w:r>
        <w:rPr>
          <w:rFonts w:hint="eastAsia" w:ascii="Times New Roman" w:hAnsi="Times New Roman" w:cs="Times New Roman"/>
          <w:kern w:val="2"/>
        </w:rPr>
        <w:t>,</w:t>
      </w:r>
      <w:r>
        <w:rPr>
          <w:rFonts w:ascii="Times New Roman" w:hAnsi="Times New Roman" w:cs="Times New Roman"/>
          <w:kern w:val="2"/>
        </w:rPr>
        <w:t>000.00</w:t>
      </w:r>
      <w:r>
        <w:rPr>
          <w:rFonts w:hint="eastAsia" w:ascii="Times New Roman" w:hAnsi="Times New Roman" w:cs="Times New Roman"/>
          <w:kern w:val="2"/>
        </w:rPr>
        <w:t>万元），具体募集资金数额提请公司股东大会授权公司董事会（或由董事会授权的人士）在上述额度范围内确定</w:t>
      </w:r>
      <w:r>
        <w:rPr>
          <w:rFonts w:ascii="Times New Roman" w:hAnsi="Times New Roman" w:cs="Times New Roman"/>
          <w:kern w:val="2"/>
        </w:rPr>
        <w:t>。</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ascii="Times New Roman" w:hAnsi="Times New Roman" w:cs="Times New Roman"/>
          <w:kern w:val="2"/>
          <w:szCs w:val="32"/>
        </w:rPr>
        <w:t>3、</w:t>
      </w:r>
      <w:r>
        <w:rPr>
          <w:rFonts w:hint="eastAsia" w:ascii="Times New Roman" w:hAnsi="Times New Roman" w:cs="Times New Roman"/>
          <w:kern w:val="2"/>
          <w:szCs w:val="32"/>
        </w:rPr>
        <w:t>票面金额和发行价格</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本次发行的可转换公司债券按面值发行，每张面值为人民币100元。</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ascii="Times New Roman" w:hAnsi="Times New Roman" w:cs="Times New Roman"/>
          <w:kern w:val="2"/>
          <w:szCs w:val="32"/>
        </w:rPr>
        <w:t>4、</w:t>
      </w:r>
      <w:r>
        <w:rPr>
          <w:rFonts w:hint="eastAsia" w:ascii="Times New Roman" w:hAnsi="Times New Roman"/>
        </w:rPr>
        <w:t>债券期限</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本次发行的可转换公司债券的存续期限为自发行之日起6年。</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ascii="Times New Roman" w:hAnsi="Times New Roman" w:cs="Times New Roman"/>
          <w:kern w:val="2"/>
          <w:szCs w:val="32"/>
        </w:rPr>
        <w:t>5、</w:t>
      </w:r>
      <w:r>
        <w:rPr>
          <w:rFonts w:hint="eastAsia" w:ascii="Times New Roman" w:hAnsi="Times New Roman" w:cs="Times New Roman"/>
          <w:kern w:val="2"/>
          <w:szCs w:val="32"/>
        </w:rPr>
        <w:t>债券利率</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本次发行的可转换公司债券票面利率的确定方式及每一计息年度的最终利率水平，提请公司股东大会授权公司董事会（或由董事会授权的人士）在发行前根据国家政策、市场状况和公司具体情况与保荐机构（主承销商）协商确定。</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ascii="Times New Roman" w:hAnsi="Times New Roman" w:cs="Times New Roman"/>
          <w:kern w:val="2"/>
          <w:szCs w:val="32"/>
        </w:rPr>
        <w:t>6</w:t>
      </w:r>
      <w:r>
        <w:rPr>
          <w:rFonts w:hint="eastAsia" w:ascii="Times New Roman" w:hAnsi="Times New Roman" w:cs="Times New Roman"/>
          <w:kern w:val="2"/>
          <w:szCs w:val="32"/>
        </w:rPr>
        <w:t>、付息的期限和方式</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本次发行的可转换公司债券采用每年付息一次的付息方式，到期归还所有未转股的可转换公司债券本金和最后一年利息。</w:t>
      </w:r>
    </w:p>
    <w:p>
      <w:pPr>
        <w:spacing w:before="120" w:beforeLines="50" w:after="120" w:afterLines="50" w:line="360" w:lineRule="auto"/>
        <w:ind w:firstLine="480" w:firstLineChars="200"/>
        <w:jc w:val="both"/>
        <w:rPr>
          <w:rFonts w:ascii="Times New Roman" w:hAnsi="Times New Roman" w:cs="Times New Roman"/>
          <w:bCs/>
        </w:rPr>
      </w:pPr>
      <w:r>
        <w:rPr>
          <w:rFonts w:hint="eastAsia" w:ascii="Times New Roman" w:hAnsi="Times New Roman" w:cs="Times New Roman"/>
          <w:bCs/>
        </w:rPr>
        <w:t>（1）年利息计算</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 xml:space="preserve">年利息指可转换公司债券持有人按持有的可转换公司债券票面总金额自可转换公司债券发行首日起每满一年可享受的当期利息。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年利息的计算公式为：I=B×i</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 xml:space="preserve">I：指年利息额；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 xml:space="preserve">B：指本次发行的可转换公司债券持有人在计息年度（以下简称“当年”或“每年”）付息债权登记日持有的可转换公司债券票面总金额；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i：指可转换公司债券的当年票面利率。</w:t>
      </w:r>
    </w:p>
    <w:p>
      <w:pPr>
        <w:spacing w:before="120" w:beforeLines="50" w:after="120" w:afterLines="50" w:line="360" w:lineRule="auto"/>
        <w:ind w:firstLine="480" w:firstLineChars="200"/>
        <w:jc w:val="both"/>
        <w:rPr>
          <w:rFonts w:ascii="Times New Roman" w:hAnsi="Times New Roman" w:cs="Times New Roman"/>
          <w:bCs/>
        </w:rPr>
      </w:pPr>
      <w:r>
        <w:rPr>
          <w:rFonts w:hint="eastAsia" w:ascii="Times New Roman" w:hAnsi="Times New Roman" w:cs="Times New Roman"/>
          <w:bCs/>
        </w:rPr>
        <w:t>（2）付息方式</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 xml:space="preserve">1）本次发行的可转换公司债券采用每年付息一次的付息方式，计息起始日为可转换公司债券发行首日。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2）付息日：每年的付息日为本次发行的可转换公司债券发行首日起每满一年的当日。如该日为法定节假日或休息日，则顺延至下一个工作日，顺延期间不另付息。每相邻的两个付息日之间为一个计息年度。</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 xml:space="preserve">3）付息债权登记日：每年的付息债权登记日为每年付息日的前一交易日，公司将在每年付息日之后的五个交易日内支付当年利息。在付息债权登记日前（包括付息债权登记日）申请转换成公司股票的可转换公司债券，公司不再向其持有人支付本计息年度及以后计息年度的利息。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4）可转换公司债券持有人所获得利息收入的应付税项由可转换公司债券持有人承担。</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hint="eastAsia" w:ascii="Times New Roman" w:hAnsi="Times New Roman" w:cs="Times New Roman"/>
          <w:kern w:val="2"/>
          <w:szCs w:val="32"/>
        </w:rPr>
        <w:t>7</w:t>
      </w:r>
      <w:r>
        <w:rPr>
          <w:rFonts w:ascii="Times New Roman" w:hAnsi="Times New Roman" w:cs="Times New Roman"/>
          <w:kern w:val="2"/>
          <w:szCs w:val="32"/>
        </w:rPr>
        <w:t>、</w:t>
      </w:r>
      <w:r>
        <w:rPr>
          <w:rFonts w:hint="eastAsia" w:ascii="Times New Roman" w:hAnsi="Times New Roman" w:cs="Times New Roman"/>
          <w:kern w:val="2"/>
          <w:szCs w:val="32"/>
        </w:rPr>
        <w:t>转股期限</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本次发行的可转换公司债券转股期自可转换公司债券发行结束之日起满六个月后的第一个交易日起至可转换公司债券到期日止。</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ascii="Times New Roman" w:hAnsi="Times New Roman" w:cs="Times New Roman"/>
          <w:kern w:val="2"/>
          <w:szCs w:val="32"/>
        </w:rPr>
        <w:t>8</w:t>
      </w:r>
      <w:r>
        <w:rPr>
          <w:rFonts w:hint="eastAsia" w:ascii="Times New Roman" w:hAnsi="Times New Roman" w:cs="Times New Roman"/>
          <w:kern w:val="2"/>
          <w:szCs w:val="32"/>
        </w:rPr>
        <w:t>、转股价格的确定及其调整</w:t>
      </w:r>
    </w:p>
    <w:p>
      <w:pPr>
        <w:spacing w:before="120" w:beforeLines="50" w:after="120" w:afterLines="50" w:line="360" w:lineRule="auto"/>
        <w:ind w:firstLine="480" w:firstLineChars="200"/>
        <w:jc w:val="both"/>
        <w:rPr>
          <w:rFonts w:ascii="Times New Roman" w:hAnsi="Times New Roman" w:cs="Times New Roman"/>
          <w:bCs/>
        </w:rPr>
      </w:pPr>
      <w:r>
        <w:rPr>
          <w:rFonts w:hint="eastAsia" w:ascii="Times New Roman" w:hAnsi="Times New Roman" w:cs="Times New Roman"/>
          <w:bCs/>
        </w:rPr>
        <w:t>（1）初始转股价格的确定</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本次发行的可转换公司债券的初始转股价格不低于募集说明书公告日前二十个交易日公司A股股票交易均价（若在该二十个交易日内发生过因除权、除息引起股价调整的情形，则对调整前交易日的收盘价按经过相应除权、除息调整后的价格计算）和前一个交易日公司股票交易均价，具体初始转股价格提请公司股东大会授权公司董事会（或由董事会授权的人士）在发行前根据市场和公司具体情况与保荐机构（主承销商）协商确定。</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前二十个交易日公司股票交易均价=前二十个交易日公司股票交易总额/该二十个交易日公司股票交易总量；前一交易日公司股票交易均价=前一交易日公司股票交易总额/该日公司股票交易总量。</w:t>
      </w:r>
    </w:p>
    <w:p>
      <w:pPr>
        <w:spacing w:before="120" w:beforeLines="50" w:after="120" w:afterLines="50" w:line="360" w:lineRule="auto"/>
        <w:ind w:firstLine="480" w:firstLineChars="200"/>
        <w:jc w:val="both"/>
        <w:rPr>
          <w:rFonts w:ascii="Times New Roman" w:hAnsi="Times New Roman" w:cs="Times New Roman"/>
          <w:bCs/>
        </w:rPr>
      </w:pPr>
      <w:r>
        <w:rPr>
          <w:rFonts w:hint="eastAsia" w:ascii="Times New Roman" w:hAnsi="Times New Roman" w:cs="Times New Roman"/>
          <w:bCs/>
        </w:rPr>
        <w:t>（2）转股价格的调整方式及计算公式</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 xml:space="preserve">在本次发行之后，当公司发生派送股票股利、转增股本、增发新股或配股、派送现金股利等情况（不包括因本次发行的可转换公司债券转股而增加的股本）使公司股份发生变化时，将按下述公式进行转股价格的调整（保留小数点后两位，最后一位四舍五入）：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派送股票股利或转增股本：P</w:t>
      </w:r>
      <w:r>
        <w:rPr>
          <w:rFonts w:hint="eastAsia" w:ascii="Times New Roman" w:hAnsi="Times New Roman" w:cs="Times New Roman"/>
          <w:sz w:val="18"/>
        </w:rPr>
        <w:t>1</w:t>
      </w:r>
      <w:r>
        <w:rPr>
          <w:rFonts w:hint="eastAsia" w:ascii="Times New Roman" w:hAnsi="Times New Roman" w:cs="Times New Roman"/>
        </w:rPr>
        <w:t>=P</w:t>
      </w:r>
      <w:r>
        <w:rPr>
          <w:rFonts w:hint="eastAsia" w:ascii="Times New Roman" w:hAnsi="Times New Roman" w:cs="Times New Roman"/>
          <w:sz w:val="18"/>
        </w:rPr>
        <w:t>0</w:t>
      </w:r>
      <w:r>
        <w:rPr>
          <w:rFonts w:hint="eastAsia" w:ascii="Times New Roman" w:hAnsi="Times New Roman" w:cs="Times New Roman"/>
        </w:rPr>
        <w:t xml:space="preserve">/（1+n）；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增发新股或配股：P</w:t>
      </w:r>
      <w:r>
        <w:rPr>
          <w:rFonts w:hint="eastAsia" w:ascii="Times New Roman" w:hAnsi="Times New Roman" w:cs="Times New Roman"/>
          <w:sz w:val="18"/>
        </w:rPr>
        <w:t>1</w:t>
      </w:r>
      <w:r>
        <w:rPr>
          <w:rFonts w:hint="eastAsia" w:ascii="Times New Roman" w:hAnsi="Times New Roman" w:cs="Times New Roman"/>
        </w:rPr>
        <w:t>=（P</w:t>
      </w:r>
      <w:r>
        <w:rPr>
          <w:rFonts w:hint="eastAsia" w:ascii="Times New Roman" w:hAnsi="Times New Roman" w:cs="Times New Roman"/>
          <w:sz w:val="18"/>
        </w:rPr>
        <w:t>0</w:t>
      </w:r>
      <w:r>
        <w:rPr>
          <w:rFonts w:hint="eastAsia" w:ascii="Times New Roman" w:hAnsi="Times New Roman" w:cs="Times New Roman"/>
        </w:rPr>
        <w:t xml:space="preserve">+A×k）/（1+k）；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上述两项同时进行：P</w:t>
      </w:r>
      <w:r>
        <w:rPr>
          <w:rFonts w:hint="eastAsia" w:ascii="Times New Roman" w:hAnsi="Times New Roman" w:cs="Times New Roman"/>
          <w:sz w:val="18"/>
        </w:rPr>
        <w:t>1</w:t>
      </w:r>
      <w:r>
        <w:rPr>
          <w:rFonts w:hint="eastAsia" w:ascii="Times New Roman" w:hAnsi="Times New Roman" w:cs="Times New Roman"/>
        </w:rPr>
        <w:t>=（P</w:t>
      </w:r>
      <w:r>
        <w:rPr>
          <w:rFonts w:hint="eastAsia" w:ascii="Times New Roman" w:hAnsi="Times New Roman" w:cs="Times New Roman"/>
          <w:sz w:val="18"/>
        </w:rPr>
        <w:t>0</w:t>
      </w:r>
      <w:r>
        <w:rPr>
          <w:rFonts w:hint="eastAsia" w:ascii="Times New Roman" w:hAnsi="Times New Roman" w:cs="Times New Roman"/>
        </w:rPr>
        <w:t xml:space="preserve">+A×k）/（1+n+k）；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派送现金股利：P</w:t>
      </w:r>
      <w:r>
        <w:rPr>
          <w:rFonts w:hint="eastAsia" w:ascii="Times New Roman" w:hAnsi="Times New Roman" w:cs="Times New Roman"/>
          <w:sz w:val="18"/>
        </w:rPr>
        <w:t>1</w:t>
      </w:r>
      <w:r>
        <w:rPr>
          <w:rFonts w:hint="eastAsia" w:ascii="Times New Roman" w:hAnsi="Times New Roman" w:cs="Times New Roman"/>
        </w:rPr>
        <w:t>=P</w:t>
      </w:r>
      <w:r>
        <w:rPr>
          <w:rFonts w:hint="eastAsia" w:ascii="Times New Roman" w:hAnsi="Times New Roman" w:cs="Times New Roman"/>
          <w:sz w:val="18"/>
        </w:rPr>
        <w:t>0</w:t>
      </w:r>
      <w:r>
        <w:rPr>
          <w:rFonts w:hint="eastAsia" w:ascii="Times New Roman" w:hAnsi="Times New Roman" w:cs="Times New Roman"/>
        </w:rPr>
        <w:t xml:space="preserve">－D；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上述三项同时进行：P</w:t>
      </w:r>
      <w:r>
        <w:rPr>
          <w:rFonts w:hint="eastAsia" w:ascii="Times New Roman" w:hAnsi="Times New Roman" w:cs="Times New Roman"/>
          <w:sz w:val="18"/>
        </w:rPr>
        <w:t>1</w:t>
      </w:r>
      <w:r>
        <w:rPr>
          <w:rFonts w:hint="eastAsia" w:ascii="Times New Roman" w:hAnsi="Times New Roman" w:cs="Times New Roman"/>
        </w:rPr>
        <w:t>＝（P</w:t>
      </w:r>
      <w:r>
        <w:rPr>
          <w:rFonts w:hint="eastAsia" w:ascii="Times New Roman" w:hAnsi="Times New Roman" w:cs="Times New Roman"/>
          <w:sz w:val="18"/>
        </w:rPr>
        <w:t>0</w:t>
      </w:r>
      <w:r>
        <w:rPr>
          <w:rFonts w:hint="eastAsia" w:ascii="Times New Roman" w:hAnsi="Times New Roman" w:cs="Times New Roman"/>
        </w:rPr>
        <w:t xml:space="preserve">－D+A×k）/（1+n+k）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其中：P</w:t>
      </w:r>
      <w:r>
        <w:rPr>
          <w:rFonts w:ascii="Times New Roman" w:hAnsi="Times New Roman" w:cs="Times New Roman"/>
          <w:vertAlign w:val="subscript"/>
        </w:rPr>
        <w:t>0</w:t>
      </w:r>
      <w:r>
        <w:rPr>
          <w:rFonts w:hint="eastAsia" w:ascii="Times New Roman" w:hAnsi="Times New Roman" w:cs="Times New Roman"/>
        </w:rPr>
        <w:t>为调整前转股价，n为派送股票股利或转增股本率，k为增发新股或配股率，A为增发新股价或配股价，D为每股派送现金股利，P</w:t>
      </w:r>
      <w:r>
        <w:rPr>
          <w:rFonts w:ascii="Times New Roman" w:hAnsi="Times New Roman" w:cs="Times New Roman"/>
          <w:vertAlign w:val="subscript"/>
        </w:rPr>
        <w:t>1</w:t>
      </w:r>
      <w:r>
        <w:rPr>
          <w:rFonts w:hint="eastAsia" w:ascii="Times New Roman" w:hAnsi="Times New Roman" w:cs="Times New Roman"/>
        </w:rPr>
        <w:t xml:space="preserve">为调整后转股价。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 xml:space="preserve">当公司出现上述股份和/或股东权益变化情况时，将依次进行转股价格调整，并在中国证监会指定的上市公司信息披露媒体上刊登董事会决议公告，并于公告中载明转股价格调整日、调整办法及暂停转股期间（如需）；当转股价格调整日为本次发行的可转换公司债券持有人转股申请日或之后，转换股份登记日之前，则该持有人的转股申请按公司调整后的转股价格执行。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当公司可能发生股份回购、合并、分立或任何其他情形使公司股份类别、数量和/或股东权益发生变化从而可能影响本次发行的可转换公司债券持有人的债权利益或转股衍生权益时，公司将视具体情况按照公平、公正、公允的原则以及充分保护本次发行的可转换公司债券持有人权益的原则调整转股价格。有关转股价格调整内容及操作办法将依据当时国家有关法律法规及证券监管部门的相关规定来制订。</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ascii="Times New Roman" w:hAnsi="Times New Roman" w:cs="Times New Roman"/>
          <w:kern w:val="2"/>
          <w:szCs w:val="32"/>
        </w:rPr>
        <w:t>9、</w:t>
      </w:r>
      <w:r>
        <w:rPr>
          <w:rFonts w:hint="eastAsia" w:ascii="Times New Roman" w:hAnsi="Times New Roman" w:cs="Times New Roman"/>
          <w:kern w:val="2"/>
          <w:szCs w:val="32"/>
        </w:rPr>
        <w:t>转股价格的向下修正条款</w:t>
      </w:r>
    </w:p>
    <w:p>
      <w:pPr>
        <w:spacing w:before="120" w:beforeLines="50" w:after="120" w:afterLines="50" w:line="360" w:lineRule="auto"/>
        <w:ind w:firstLine="480" w:firstLineChars="200"/>
        <w:jc w:val="both"/>
        <w:rPr>
          <w:rFonts w:ascii="Times New Roman" w:hAnsi="Times New Roman" w:cs="Times New Roman"/>
          <w:bCs/>
        </w:rPr>
      </w:pPr>
      <w:r>
        <w:rPr>
          <w:rFonts w:hint="eastAsia" w:ascii="Times New Roman" w:hAnsi="Times New Roman" w:cs="Times New Roman"/>
          <w:bCs/>
        </w:rPr>
        <w:t>（1）修正权限与修正幅度</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在本次发行的可转换公司债券存续期间，当公司股票在任意连续三十个交易日中至少有十五个交易日的收盘价低于当期转股价格的85%时，公司董事会有权提出转股价格向下修正方案并提交公司股东大会表决。</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 xml:space="preserve">上述方案须经出席会议的股东所持表决权的三分之二以上通过方可实施。股东大会进行表决时，持有本次发行的可转换公司债券的股东应当回避。修正后的转股价格应不低于本次股东大会召开日前二十个交易日公司股票交易均价和前一交易日均价之间的较高者，同时修正后的转股价格不低于最近一期经审计的每股净资产和股票面值。 </w:t>
      </w:r>
    </w:p>
    <w:p>
      <w:pPr>
        <w:spacing w:before="120" w:beforeLines="50" w:after="120" w:afterLines="50" w:line="360" w:lineRule="auto"/>
        <w:ind w:firstLine="480" w:firstLineChars="200"/>
        <w:jc w:val="both"/>
        <w:rPr>
          <w:rFonts w:ascii="Times New Roman" w:hAnsi="Times New Roman" w:cs="Times New Roman"/>
          <w:b/>
        </w:rPr>
      </w:pPr>
      <w:r>
        <w:rPr>
          <w:rFonts w:hint="eastAsia" w:ascii="Times New Roman" w:hAnsi="Times New Roman" w:cs="Times New Roman"/>
        </w:rPr>
        <w:t>若在前述三十个交易日内发生过转股价格调整的情形，则在转股价格调整日前的交易日按调整前的转股价格和收盘价计算，在转股价格调整日及之后的交易日按调整后的转股价格和收盘价计算。</w:t>
      </w:r>
    </w:p>
    <w:p>
      <w:pPr>
        <w:spacing w:before="120" w:beforeLines="50" w:after="120" w:afterLines="50" w:line="360" w:lineRule="auto"/>
        <w:ind w:firstLine="480" w:firstLineChars="200"/>
        <w:jc w:val="both"/>
        <w:rPr>
          <w:rFonts w:ascii="Times New Roman" w:hAnsi="Times New Roman" w:cs="Times New Roman"/>
          <w:bCs/>
        </w:rPr>
      </w:pPr>
      <w:r>
        <w:rPr>
          <w:rFonts w:hint="eastAsia" w:ascii="Times New Roman" w:hAnsi="Times New Roman" w:cs="Times New Roman"/>
          <w:bCs/>
        </w:rPr>
        <w:t>（2）修正程序</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如公司决定向下修正转股价格时，公司将在中国证监会指定的信息披露报刊及互联网网站上刊登股东大会决议公告，公告修正幅度和股权登记日及暂停转股期间。从股权登记日后的第一个交易日（即转股价格修正日），开始恢复转股申请并执行修正后的转股价格。若转股价格修正日为转股申请日或之后，转换股份登记日之前，该类转股申请应按修正后的转股价格执行。</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ascii="Times New Roman" w:hAnsi="Times New Roman" w:cs="Times New Roman"/>
          <w:kern w:val="2"/>
          <w:szCs w:val="32"/>
        </w:rPr>
        <w:t>10、</w:t>
      </w:r>
      <w:r>
        <w:rPr>
          <w:rFonts w:hint="eastAsia" w:ascii="Times New Roman" w:hAnsi="Times New Roman" w:cs="Times New Roman"/>
          <w:kern w:val="2"/>
        </w:rPr>
        <w:t>转股股数确定方式以及转股时不足一股金额的处理方法</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 xml:space="preserve">债券持有人在转股期内申请转股时，转股数量的计算方式为Q=V/P，并以去尾法取一股的整数倍。其中：V：指可转换公司债券持有人申请转股的可转换公司债券票面总金额；P：指申请转股当日有效的转股价格。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可转换公司债券持有人申请转换成的股份须是整数股。转股时不足转换1股的可转换公司债券部分，公司将按照深圳证券交易所等部门的有关规定，在转股日后的五个交易日内以现金兑付该部分可转换公司债券的票面金额以及该余额对应的当期应计利息。</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1</w:t>
      </w:r>
      <w:r>
        <w:rPr>
          <w:rFonts w:hint="eastAsia" w:ascii="Times New Roman" w:hAnsi="Times New Roman" w:cs="Times New Roman"/>
          <w:kern w:val="2"/>
          <w:szCs w:val="32"/>
        </w:rPr>
        <w:t>、赎回条款</w:t>
      </w:r>
    </w:p>
    <w:p>
      <w:pPr>
        <w:autoSpaceDE w:val="0"/>
        <w:autoSpaceDN w:val="0"/>
        <w:spacing w:before="120" w:beforeLines="50" w:after="120" w:afterLines="50" w:line="360" w:lineRule="auto"/>
        <w:ind w:firstLine="480"/>
        <w:jc w:val="both"/>
        <w:rPr>
          <w:rFonts w:ascii="Times New Roman" w:hAnsi="Times New Roman" w:cs="Times New Roman"/>
          <w:bCs/>
        </w:rPr>
      </w:pPr>
      <w:r>
        <w:rPr>
          <w:rFonts w:hint="eastAsia" w:ascii="Times New Roman" w:hAnsi="Times New Roman" w:cs="Times New Roman"/>
          <w:bCs/>
        </w:rPr>
        <w:t>（1）到期赎回条款</w:t>
      </w:r>
    </w:p>
    <w:p>
      <w:pPr>
        <w:autoSpaceDE w:val="0"/>
        <w:autoSpaceDN w:val="0"/>
        <w:spacing w:before="120" w:beforeLines="50" w:after="120" w:afterLines="50" w:line="360" w:lineRule="auto"/>
        <w:ind w:firstLine="480"/>
        <w:jc w:val="both"/>
        <w:rPr>
          <w:rFonts w:ascii="Times New Roman" w:hAnsi="Times New Roman" w:cs="Times New Roman"/>
        </w:rPr>
      </w:pPr>
      <w:r>
        <w:rPr>
          <w:rFonts w:hint="eastAsia" w:ascii="Times New Roman" w:hAnsi="Times New Roman" w:cs="Times New Roman"/>
        </w:rPr>
        <w:t>在本次发行的可转换公司债券期满后五个交易日内，公司将赎回全部未转股的可转换公司债券，具体赎回价格由股东大会授权董事会根据发行时市场情况与保荐机构（主承销商）协商确定。</w:t>
      </w:r>
    </w:p>
    <w:p>
      <w:pPr>
        <w:autoSpaceDE w:val="0"/>
        <w:autoSpaceDN w:val="0"/>
        <w:spacing w:before="120" w:beforeLines="50" w:after="120" w:afterLines="50" w:line="360" w:lineRule="auto"/>
        <w:ind w:firstLine="480"/>
        <w:jc w:val="both"/>
        <w:rPr>
          <w:rFonts w:ascii="Times New Roman" w:hAnsi="Times New Roman" w:cs="Times New Roman"/>
          <w:bCs/>
        </w:rPr>
      </w:pPr>
      <w:r>
        <w:rPr>
          <w:rFonts w:hint="eastAsia" w:ascii="Times New Roman" w:hAnsi="Times New Roman" w:cs="Times New Roman"/>
          <w:bCs/>
        </w:rPr>
        <w:t>（2）有条件赎回条款</w:t>
      </w:r>
    </w:p>
    <w:p>
      <w:pPr>
        <w:autoSpaceDE w:val="0"/>
        <w:autoSpaceDN w:val="0"/>
        <w:spacing w:before="120" w:beforeLines="50" w:after="120" w:afterLines="50" w:line="360" w:lineRule="auto"/>
        <w:ind w:firstLine="480"/>
        <w:jc w:val="both"/>
        <w:rPr>
          <w:rFonts w:ascii="Times New Roman" w:hAnsi="Times New Roman" w:cs="Times New Roman"/>
        </w:rPr>
      </w:pPr>
      <w:r>
        <w:rPr>
          <w:rFonts w:hint="eastAsia" w:ascii="Times New Roman" w:hAnsi="Times New Roman" w:cs="Times New Roman"/>
        </w:rPr>
        <w:t xml:space="preserve">转股期内，当下述两种情形的任意一种出现时，公司有权决定按照债券面值加当期应计利息的价格赎回全部或部分未转股的可转换公司债券： </w:t>
      </w:r>
    </w:p>
    <w:p>
      <w:pPr>
        <w:autoSpaceDE w:val="0"/>
        <w:autoSpaceDN w:val="0"/>
        <w:spacing w:before="120" w:beforeLines="50" w:after="120" w:afterLines="50" w:line="360" w:lineRule="auto"/>
        <w:ind w:firstLine="480"/>
        <w:jc w:val="both"/>
        <w:rPr>
          <w:rFonts w:ascii="Times New Roman" w:hAnsi="Times New Roman" w:cs="Times New Roman"/>
        </w:rPr>
      </w:pPr>
      <w:r>
        <w:rPr>
          <w:rFonts w:hint="eastAsia" w:ascii="Times New Roman" w:hAnsi="Times New Roman" w:cs="Times New Roman"/>
        </w:rPr>
        <w:t>1）在转股期内，如果公司股票在任何连续三十个交易日中至少十五个交易日的收盘价格不低于当期转股价格的130%（含130%）；</w:t>
      </w:r>
    </w:p>
    <w:p>
      <w:pPr>
        <w:autoSpaceDE w:val="0"/>
        <w:autoSpaceDN w:val="0"/>
        <w:spacing w:before="120" w:beforeLines="50" w:after="120" w:afterLines="50" w:line="360" w:lineRule="auto"/>
        <w:ind w:firstLine="480"/>
        <w:jc w:val="both"/>
        <w:rPr>
          <w:rFonts w:ascii="Times New Roman" w:hAnsi="Times New Roman" w:cs="Times New Roman"/>
        </w:rPr>
      </w:pPr>
      <w:r>
        <w:rPr>
          <w:rFonts w:hint="eastAsia" w:ascii="Times New Roman" w:hAnsi="Times New Roman" w:cs="Times New Roman"/>
        </w:rPr>
        <w:t>2）当本次发行的可转换公司债券未转股余额不足3,000万元时。</w:t>
      </w:r>
    </w:p>
    <w:p>
      <w:pPr>
        <w:autoSpaceDE w:val="0"/>
        <w:autoSpaceDN w:val="0"/>
        <w:spacing w:before="120" w:beforeLines="50" w:after="120" w:afterLines="50" w:line="360" w:lineRule="auto"/>
        <w:ind w:firstLine="480"/>
        <w:jc w:val="both"/>
        <w:rPr>
          <w:rFonts w:ascii="Times New Roman" w:hAnsi="Times New Roman" w:cs="Times New Roman"/>
        </w:rPr>
      </w:pPr>
      <w:r>
        <w:rPr>
          <w:rFonts w:hint="eastAsia" w:ascii="Times New Roman" w:hAnsi="Times New Roman" w:cs="Times New Roman"/>
        </w:rPr>
        <w:t>当期应计利息的计算公式为：I</w:t>
      </w:r>
      <w:r>
        <w:rPr>
          <w:rFonts w:hint="eastAsia" w:ascii="Times New Roman" w:hAnsi="Times New Roman" w:cs="Times New Roman"/>
          <w:sz w:val="18"/>
        </w:rPr>
        <w:t>A</w:t>
      </w:r>
      <w:r>
        <w:rPr>
          <w:rFonts w:hint="eastAsia" w:ascii="Times New Roman" w:hAnsi="Times New Roman" w:cs="Times New Roman"/>
        </w:rPr>
        <w:t xml:space="preserve">=B×i×t/365 </w:t>
      </w:r>
    </w:p>
    <w:p>
      <w:pPr>
        <w:autoSpaceDE w:val="0"/>
        <w:autoSpaceDN w:val="0"/>
        <w:spacing w:before="120" w:beforeLines="50" w:after="120" w:afterLines="50" w:line="360" w:lineRule="auto"/>
        <w:ind w:firstLine="480"/>
        <w:jc w:val="both"/>
        <w:rPr>
          <w:rFonts w:ascii="Times New Roman" w:hAnsi="Times New Roman" w:cs="Times New Roman"/>
        </w:rPr>
      </w:pPr>
      <w:r>
        <w:rPr>
          <w:rFonts w:hint="eastAsia" w:ascii="Times New Roman" w:hAnsi="Times New Roman" w:cs="Times New Roman"/>
        </w:rPr>
        <w:t>I</w:t>
      </w:r>
      <w:r>
        <w:rPr>
          <w:rFonts w:hint="eastAsia" w:ascii="Times New Roman" w:hAnsi="Times New Roman" w:cs="Times New Roman"/>
          <w:sz w:val="18"/>
        </w:rPr>
        <w:t>A</w:t>
      </w:r>
      <w:r>
        <w:rPr>
          <w:rFonts w:hint="eastAsia" w:ascii="Times New Roman" w:hAnsi="Times New Roman" w:cs="Times New Roman"/>
        </w:rPr>
        <w:t xml:space="preserve">：指当期应计利息； </w:t>
      </w:r>
    </w:p>
    <w:p>
      <w:pPr>
        <w:autoSpaceDE w:val="0"/>
        <w:autoSpaceDN w:val="0"/>
        <w:spacing w:before="120" w:beforeLines="50" w:after="120" w:afterLines="50" w:line="360" w:lineRule="auto"/>
        <w:ind w:firstLine="480"/>
        <w:jc w:val="both"/>
        <w:rPr>
          <w:rFonts w:ascii="Times New Roman" w:hAnsi="Times New Roman" w:cs="Times New Roman"/>
        </w:rPr>
      </w:pPr>
      <w:r>
        <w:rPr>
          <w:rFonts w:hint="eastAsia" w:ascii="Times New Roman" w:hAnsi="Times New Roman" w:cs="Times New Roman"/>
        </w:rPr>
        <w:t xml:space="preserve">B：指本次发行的可转换公司债券持有人持有的可转换公司债券票面总金额； </w:t>
      </w:r>
    </w:p>
    <w:p>
      <w:pPr>
        <w:autoSpaceDE w:val="0"/>
        <w:autoSpaceDN w:val="0"/>
        <w:spacing w:before="120" w:beforeLines="50" w:after="120" w:afterLines="50" w:line="360" w:lineRule="auto"/>
        <w:ind w:firstLine="480"/>
        <w:jc w:val="both"/>
        <w:rPr>
          <w:rFonts w:ascii="Times New Roman" w:hAnsi="Times New Roman" w:cs="Times New Roman"/>
        </w:rPr>
      </w:pPr>
      <w:r>
        <w:rPr>
          <w:rFonts w:hint="eastAsia" w:ascii="Times New Roman" w:hAnsi="Times New Roman" w:cs="Times New Roman"/>
        </w:rPr>
        <w:t xml:space="preserve">i：指可转换公司债券当年票面利率； </w:t>
      </w:r>
    </w:p>
    <w:p>
      <w:pPr>
        <w:autoSpaceDE w:val="0"/>
        <w:autoSpaceDN w:val="0"/>
        <w:spacing w:before="120" w:beforeLines="50" w:after="120" w:afterLines="50" w:line="360" w:lineRule="auto"/>
        <w:ind w:firstLine="480"/>
        <w:jc w:val="both"/>
        <w:rPr>
          <w:rFonts w:ascii="Times New Roman" w:hAnsi="Times New Roman" w:cs="Times New Roman"/>
        </w:rPr>
      </w:pPr>
      <w:r>
        <w:rPr>
          <w:rFonts w:hint="eastAsia" w:ascii="Times New Roman" w:hAnsi="Times New Roman" w:cs="Times New Roman"/>
        </w:rPr>
        <w:t xml:space="preserve">t：指计息天数，即从上一个付息日起至本计息年度赎回日止的实际日历天数（算头不算尾）。 </w:t>
      </w:r>
    </w:p>
    <w:p>
      <w:pPr>
        <w:autoSpaceDE w:val="0"/>
        <w:autoSpaceDN w:val="0"/>
        <w:spacing w:before="120" w:beforeLines="50" w:after="120" w:afterLines="50" w:line="360" w:lineRule="auto"/>
        <w:ind w:firstLine="480"/>
        <w:jc w:val="both"/>
        <w:rPr>
          <w:rFonts w:ascii="Times New Roman" w:hAnsi="Times New Roman" w:cs="Times New Roman"/>
        </w:rPr>
      </w:pPr>
      <w:r>
        <w:rPr>
          <w:rFonts w:hint="eastAsia" w:ascii="Times New Roman" w:hAnsi="Times New Roman" w:cs="Times New Roman"/>
        </w:rPr>
        <w:t>若在前述三十个交易日内发生过转股价格调整的情形，则在调整前的交易日按调整前的转股价格和收盘价计算，调整后的交易日按调整后的转股价格和收盘价计算</w:t>
      </w:r>
      <w:r>
        <w:rPr>
          <w:rFonts w:ascii="Times New Roman" w:hAnsi="Times New Roman" w:cs="Times New Roman"/>
        </w:rPr>
        <w:t>。</w:t>
      </w:r>
    </w:p>
    <w:p>
      <w:pPr>
        <w:autoSpaceDE w:val="0"/>
        <w:autoSpaceDN w:val="0"/>
        <w:spacing w:before="120" w:beforeLines="50" w:after="120" w:afterLines="50" w:line="360" w:lineRule="auto"/>
        <w:ind w:firstLine="480"/>
        <w:jc w:val="both"/>
        <w:rPr>
          <w:rFonts w:ascii="Times New Roman" w:hAnsi="Times New Roman" w:cs="Times New Roman"/>
        </w:rPr>
      </w:pPr>
      <w:r>
        <w:rPr>
          <w:rFonts w:hint="eastAsia" w:ascii="Times New Roman" w:hAnsi="Times New Roman" w:cs="Times New Roman"/>
        </w:rPr>
        <w:t>本次可转债的赎回期与转股期相同，即自可转换公司债券发行结束之日起满六个月后的第一个交易日起至可转换公司债券到期日止。</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2</w:t>
      </w:r>
      <w:r>
        <w:rPr>
          <w:rFonts w:hint="eastAsia" w:ascii="Times New Roman" w:hAnsi="Times New Roman" w:cs="Times New Roman"/>
          <w:kern w:val="2"/>
          <w:szCs w:val="32"/>
        </w:rPr>
        <w:t>、回售条款</w:t>
      </w:r>
    </w:p>
    <w:p>
      <w:pPr>
        <w:spacing w:before="120" w:beforeLines="50" w:after="120" w:afterLines="50" w:line="360" w:lineRule="auto"/>
        <w:ind w:firstLine="480" w:firstLineChars="200"/>
        <w:jc w:val="both"/>
        <w:rPr>
          <w:rFonts w:ascii="Times New Roman" w:hAnsi="Times New Roman" w:cs="Times New Roman"/>
          <w:bCs/>
        </w:rPr>
      </w:pPr>
      <w:r>
        <w:rPr>
          <w:rFonts w:hint="eastAsia" w:ascii="Times New Roman" w:hAnsi="Times New Roman" w:cs="Times New Roman"/>
          <w:bCs/>
        </w:rPr>
        <w:t>（1）有条件回售条款</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 xml:space="preserve">在本次发行的可转换公司债券最后两个计息年度，如果公司股票在任何连续三十个交易日的收盘价格低于当期转股价的70%时，可转换公司债券持有人有权将其持有的可转换公司债券全部或部分按面值加上当期应计利息的价格回售给公司。若在上述交易日内发生过转股价格因发生送红股、转增股本、增发新股（不包括因本次发行的可转换公司债券转股而增加的股本）、配股以及派发现金股利等情况而调整的情形，则在调整前的交易日按调整前的转股价格和收盘价格计算，在调整后的交易日按调整后的转股价格和收盘价格计算。如果出现转股价格向下修正的情况，则上述“连续三十个交易日”须从转股价格调整之后的第一个交易日起重新计算。 </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最后两个计息年度可转换公司债券持有人在每年回售条件首次满足后可按上述约定条件行使回售权一次，若在首次满足回售条件而可转换公司债券持有人未在公司届时公告的回售申报期内申报并实施回售的，该计息年度不能再行使回售权，可转换公司债券持有人不能多次行使部分回售权。</w:t>
      </w:r>
    </w:p>
    <w:p>
      <w:pPr>
        <w:spacing w:before="120" w:beforeLines="50" w:after="120" w:afterLines="50" w:line="360" w:lineRule="auto"/>
        <w:ind w:firstLine="480" w:firstLineChars="200"/>
        <w:jc w:val="both"/>
        <w:rPr>
          <w:rFonts w:ascii="Times New Roman" w:hAnsi="Times New Roman" w:cs="Times New Roman"/>
          <w:bCs/>
        </w:rPr>
      </w:pPr>
      <w:r>
        <w:rPr>
          <w:rFonts w:hint="eastAsia" w:ascii="Times New Roman" w:hAnsi="Times New Roman" w:cs="Times New Roman"/>
          <w:bCs/>
        </w:rPr>
        <w:t>（2）附加回售条款</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在本次发行的可转换公司债券存续期间，若公司本次发行的可转换公司债券募集资金投资项目的实施情况与公司在募集说明书中的承诺情况相比出现重大变化，且该变化被中国证监会认定为改变募集资金用途的，可转换公司债券持有人享有一次回售的权利。可转换公司债券持有人有权将其持有的可转换公司债券全部或部分按债券面值加上当期应计利息价格回售给公司。持有人在附加回售条件满足后，可以在公司公告后的附加回售申报期内进行回售，该次附加回售申报期内不实施回售的，不应再行使附加回售权。</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3</w:t>
      </w:r>
      <w:r>
        <w:rPr>
          <w:rFonts w:hint="eastAsia" w:ascii="Times New Roman" w:hAnsi="Times New Roman" w:cs="Times New Roman"/>
          <w:kern w:val="2"/>
          <w:szCs w:val="32"/>
        </w:rPr>
        <w:t>、转股后的股利分配</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因本次发行的可转换公司债券转股而增加的本公司股票享有与原股票同等的权益，在股利发放的股权登记日当日登记在册的所有普通股股东（含因可转换公司债券转股形成的股东）均参与当期股利分配，享有同等权益</w:t>
      </w:r>
      <w:r>
        <w:rPr>
          <w:rFonts w:ascii="Times New Roman" w:hAnsi="Times New Roman" w:cs="Times New Roman"/>
        </w:rPr>
        <w:t>。</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4</w:t>
      </w:r>
      <w:r>
        <w:rPr>
          <w:rFonts w:hint="eastAsia" w:ascii="Times New Roman" w:hAnsi="Times New Roman" w:cs="Times New Roman"/>
          <w:kern w:val="2"/>
          <w:szCs w:val="32"/>
        </w:rPr>
        <w:t>、发行方式及发行对象</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本次发行可转换公司债券的具体发行方式由公司股东大会授权董事会与保荐机构（主承销商）协商确定。本次可转换公司债券的发行对象为持有中国证券登记结算有限责任公司深圳分公司证券账户的自然人、法人、证券投资基金、符合法律规定的其他投资者等（国家法律、法规禁止者除外）。</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5</w:t>
      </w:r>
      <w:r>
        <w:rPr>
          <w:rFonts w:hint="eastAsia" w:ascii="Times New Roman" w:hAnsi="Times New Roman" w:cs="Times New Roman"/>
          <w:kern w:val="2"/>
          <w:szCs w:val="32"/>
        </w:rPr>
        <w:t>、向原股东配售的安排</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本次发行的可转换公司债券可向公司原股东优先配售，具体优先配售数量及比例提请股东大会授权董事会在发行前根据市场情况确定，并在本次发行可转换公司债券的发行公告中予以披露。原股东优先配售之外的余额和原股东放弃优先配售后的部分采用网下对机构投资者发售和通过深圳证券交易所交易系统网上定价发行相结合的方式进行，余额由承销商包销。</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具体发行方式由公司股东大会授权董事会与保荐机构（主承销商）在发行前协商确定。</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6</w:t>
      </w:r>
      <w:r>
        <w:rPr>
          <w:rFonts w:hint="eastAsia" w:ascii="Times New Roman" w:hAnsi="Times New Roman" w:cs="Times New Roman"/>
          <w:kern w:val="2"/>
          <w:szCs w:val="32"/>
        </w:rPr>
        <w:t>、债券持有人会议相关事项</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依据《青岛伟隆阀门股份有限公司可转换公司债券持有人会议规则》，债券持有人的权利与义务、债券持有人会议的召集等相关事项如下：</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（1）</w:t>
      </w:r>
      <w:r>
        <w:rPr>
          <w:rFonts w:hint="eastAsia" w:ascii="Times New Roman" w:hAnsi="Times New Roman"/>
          <w:color w:val="000000"/>
          <w:kern w:val="2"/>
        </w:rPr>
        <w:t>可转换公司债券持有人的权利</w:t>
      </w:r>
      <w:r>
        <w:rPr>
          <w:rFonts w:hint="eastAsia" w:ascii="Times New Roman" w:hAnsi="Times New Roman" w:cs="Times New Roman"/>
          <w:kern w:val="2"/>
        </w:rPr>
        <w:t>：</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1）依照其所持有的本次可转债数额享有约定利息；</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2）根据《募集说明书》约定条件将所持有的本次可转债转为公司股票；</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3）根据《募集说明书》约定的条件行使回售权；</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4）依照法律、行政法规及《公司章程》的规定转让、赠与或质押其所持有的可转换公司债券；</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5）依照法律、《公司章程》的规定获得有关信息；</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6）按《募集说明书》约定的期限和方式要求公司偿付本次可转债本息；</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7）依照法律、行政法规等相关规定参与或委托代理人参与债券持有人会议并行使表决权；</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8）法律、行政法规及《公司章程》所赋予的其作为公司债权人的其他权利。</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（2）</w:t>
      </w:r>
      <w:r>
        <w:rPr>
          <w:rFonts w:hint="eastAsia" w:ascii="Times New Roman" w:hAnsi="Times New Roman"/>
          <w:color w:val="000000"/>
          <w:kern w:val="2"/>
        </w:rPr>
        <w:t>可转换公司债券持有人的义务</w:t>
      </w:r>
      <w:r>
        <w:rPr>
          <w:rFonts w:hint="eastAsia" w:ascii="Times New Roman" w:hAnsi="Times New Roman" w:cs="Times New Roman"/>
          <w:kern w:val="2"/>
        </w:rPr>
        <w:t>：</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1）遵守公司发行可转换公司债券条款的相关规定；</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2）依其所认购的可转换公司债券数额缴纳认购资金；</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3）遵守债券持有人会议形成的有效决议；</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4）除法律、法规规定及《募集说明书》约定之外，不得要求公司提前偿付可转换公司债券的本金和利息；</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5）法律、行政法规及《公司章程》规定应当由可转换公司债券持有人承担的其他义务。</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（3）</w:t>
      </w:r>
      <w:r>
        <w:rPr>
          <w:rFonts w:hint="eastAsia" w:ascii="Times New Roman" w:hAnsi="Times New Roman"/>
          <w:color w:val="000000"/>
          <w:kern w:val="2"/>
        </w:rPr>
        <w:t>可转换公司债券</w:t>
      </w:r>
      <w:r>
        <w:rPr>
          <w:rFonts w:hint="eastAsia" w:ascii="Times New Roman" w:hAnsi="Times New Roman" w:cs="Times New Roman"/>
          <w:kern w:val="2"/>
        </w:rPr>
        <w:t>持有人会议的召集</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在本次可转债存续期间内，当出现以下情形之一时，应当召集债券持有人会议：</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1）拟变更《募集说明书》的约定；</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2）拟修改本规则；</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3）拟变更债券受托管理人或受托管理协议的主要内容；</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4）公司不能按期支付本次可转债本息；</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5）公司发生减资（因公司实施员工持股计划、股权激励、过往收购交易对应的交易对手业绩承诺事项导致的股份回购、用于转换公司发行的可转债或为维护公司价值及股东权益而进行股份回购导致的减资除外）、合并等可能导致偿债能力发生重大不利变化，需要决定或者授权采取相应措施；</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6）公司分立、被托管、解散、申请破产或者依法进入破产程序；</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7）保证人（如有）、担保物（如有）或者其他偿债保障措施发生重大变化；</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8）公司、单独或者合计持有本次可转债未偿还债券面值总额10%以上的债券持有人书面提议召开；</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9）公司管理层不能正常履行职责，导致公司债务清偿能力面临严重不确定性；</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1</w:t>
      </w:r>
      <w:r>
        <w:rPr>
          <w:rFonts w:ascii="Times New Roman" w:hAnsi="Times New Roman" w:cs="Times New Roman"/>
          <w:kern w:val="2"/>
        </w:rPr>
        <w:t>0</w:t>
      </w:r>
      <w:r>
        <w:rPr>
          <w:rFonts w:hint="eastAsia" w:ascii="Times New Roman" w:hAnsi="Times New Roman" w:cs="Times New Roman"/>
          <w:kern w:val="2"/>
        </w:rPr>
        <w:t>）公司提出债务重组方案的；</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1</w:t>
      </w:r>
      <w:r>
        <w:rPr>
          <w:rFonts w:ascii="Times New Roman" w:hAnsi="Times New Roman" w:cs="Times New Roman"/>
          <w:kern w:val="2"/>
        </w:rPr>
        <w:t>1</w:t>
      </w:r>
      <w:r>
        <w:rPr>
          <w:rFonts w:hint="eastAsia" w:ascii="Times New Roman" w:hAnsi="Times New Roman" w:cs="Times New Roman"/>
          <w:kern w:val="2"/>
        </w:rPr>
        <w:t>）发生其他对债券持有人权益有重大实质影响的事项。</w:t>
      </w:r>
    </w:p>
    <w:p>
      <w:pPr>
        <w:widowControl w:val="0"/>
        <w:spacing w:before="120" w:beforeLines="50" w:after="120" w:afterLines="50" w:line="360" w:lineRule="auto"/>
        <w:ind w:firstLine="480" w:firstLineChars="200"/>
        <w:jc w:val="both"/>
        <w:rPr>
          <w:rFonts w:ascii="Times New Roman" w:hAnsi="Times New Roman"/>
          <w:color w:val="000000"/>
          <w:kern w:val="2"/>
        </w:rPr>
      </w:pPr>
      <w:r>
        <w:rPr>
          <w:rFonts w:hint="eastAsia" w:ascii="Times New Roman" w:hAnsi="Times New Roman"/>
          <w:color w:val="000000"/>
          <w:kern w:val="2"/>
        </w:rPr>
        <w:t>公司董事会或债券受托管理人应在提出或收到召开债券持有人会议的提议之日起</w:t>
      </w:r>
      <w:r>
        <w:rPr>
          <w:rFonts w:ascii="Times New Roman" w:hAnsi="Times New Roman" w:cs="Times New Roman"/>
          <w:color w:val="000000"/>
          <w:kern w:val="2"/>
        </w:rPr>
        <w:t>30</w:t>
      </w:r>
      <w:r>
        <w:rPr>
          <w:rFonts w:hint="eastAsia" w:ascii="Times New Roman" w:hAnsi="Times New Roman"/>
          <w:color w:val="000000"/>
          <w:kern w:val="2"/>
        </w:rPr>
        <w:t>日内召开债券持有人会议。公司董事会或债券受托管理人应在会议召开</w:t>
      </w:r>
      <w:r>
        <w:rPr>
          <w:rFonts w:ascii="Times New Roman" w:hAnsi="Times New Roman" w:cs="Times New Roman"/>
          <w:color w:val="000000"/>
          <w:kern w:val="2"/>
        </w:rPr>
        <w:t>15</w:t>
      </w:r>
      <w:r>
        <w:rPr>
          <w:rFonts w:hint="eastAsia" w:ascii="Times New Roman" w:hAnsi="Times New Roman"/>
          <w:color w:val="000000"/>
          <w:kern w:val="2"/>
        </w:rPr>
        <w:t>日前公告会议通知。召集人认为需要紧急召集债券持有人会议以有利于债券持有人权益保护的，应最晚于会议召开日前</w:t>
      </w:r>
      <w:r>
        <w:rPr>
          <w:rFonts w:ascii="Times New Roman" w:hAnsi="Times New Roman" w:cs="Times New Roman"/>
          <w:color w:val="000000"/>
          <w:kern w:val="2"/>
        </w:rPr>
        <w:t>3</w:t>
      </w:r>
      <w:r>
        <w:rPr>
          <w:rFonts w:hint="eastAsia" w:ascii="Times New Roman" w:hAnsi="Times New Roman"/>
          <w:color w:val="000000"/>
          <w:kern w:val="2"/>
        </w:rPr>
        <w:t>日披露召开债券持有人会议的通知公告。</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（4）</w:t>
      </w:r>
      <w:r>
        <w:rPr>
          <w:rFonts w:hint="eastAsia" w:ascii="Times New Roman" w:hAnsi="Times New Roman"/>
          <w:color w:val="000000"/>
          <w:kern w:val="2"/>
        </w:rPr>
        <w:t>下列机构或人士可以提议召开债券持有人会议</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1）公司董事会；</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2）债券受托管理人；</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3）单独或合计持有本次可转债未偿还债券面值总额10%以上的债券持有人；</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4）法律、法规、中国证监会规定的其他机构或人士。</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7</w:t>
      </w:r>
      <w:r>
        <w:rPr>
          <w:rFonts w:hint="eastAsia" w:ascii="Times New Roman" w:hAnsi="Times New Roman" w:cs="Times New Roman"/>
          <w:kern w:val="2"/>
          <w:szCs w:val="32"/>
        </w:rPr>
        <w:t>、本次募集资金用途</w:t>
      </w:r>
    </w:p>
    <w:p>
      <w:pPr>
        <w:spacing w:before="120" w:beforeLines="50" w:after="120" w:afterLines="50" w:line="360" w:lineRule="auto"/>
        <w:ind w:firstLine="480" w:firstLineChars="200"/>
        <w:jc w:val="both"/>
        <w:rPr>
          <w:rFonts w:ascii="Times New Roman" w:hAnsi="Times New Roman"/>
        </w:rPr>
      </w:pPr>
      <w:r>
        <w:rPr>
          <w:rFonts w:hint="eastAsia" w:ascii="Times New Roman" w:hAnsi="Times New Roman"/>
        </w:rPr>
        <w:t>本次可转换公司债券募集资金总额不超过</w:t>
      </w:r>
      <w:r>
        <w:rPr>
          <w:rFonts w:ascii="Times New Roman" w:hAnsi="Times New Roman"/>
        </w:rPr>
        <w:t>29,000.00</w:t>
      </w:r>
      <w:r>
        <w:rPr>
          <w:rFonts w:hint="eastAsia" w:ascii="Times New Roman" w:hAnsi="Times New Roman"/>
        </w:rPr>
        <w:t>万元人民币（含</w:t>
      </w:r>
      <w:r>
        <w:rPr>
          <w:rFonts w:ascii="Times New Roman" w:hAnsi="Times New Roman"/>
        </w:rPr>
        <w:t>29,000.00</w:t>
      </w:r>
      <w:r>
        <w:rPr>
          <w:rFonts w:hint="eastAsia" w:ascii="Times New Roman" w:hAnsi="Times New Roman"/>
        </w:rPr>
        <w:t>万元），扣除发行费用后的募集资金净额拟全部投入以下项目：</w:t>
      </w:r>
    </w:p>
    <w:p>
      <w:pPr>
        <w:widowControl w:val="0"/>
        <w:ind w:firstLine="7140" w:firstLineChars="3400"/>
        <w:jc w:val="both"/>
        <w:rPr>
          <w:rFonts w:ascii="Times New Roman" w:hAnsi="Times New Roman"/>
          <w:color w:val="333333"/>
          <w:kern w:val="2"/>
          <w:sz w:val="21"/>
          <w:szCs w:val="21"/>
        </w:rPr>
      </w:pPr>
      <w:r>
        <w:rPr>
          <w:rFonts w:hint="eastAsia" w:ascii="Times New Roman" w:hAnsi="Times New Roman"/>
          <w:color w:val="333333"/>
          <w:kern w:val="2"/>
          <w:sz w:val="21"/>
          <w:szCs w:val="21"/>
        </w:rPr>
        <w:t>单位：万元</w:t>
      </w:r>
    </w:p>
    <w:tbl>
      <w:tblPr>
        <w:tblStyle w:val="9"/>
        <w:tblW w:w="86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845"/>
        <w:gridCol w:w="3547"/>
        <w:gridCol w:w="2126"/>
        <w:gridCol w:w="21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tblHeader/>
          <w:jc w:val="center"/>
        </w:trPr>
        <w:tc>
          <w:tcPr>
            <w:tcW w:w="845" w:type="dxa"/>
            <w:shd w:val="clear" w:color="auto" w:fill="D9D9D9"/>
            <w:tcMar>
              <w:top w:w="0" w:type="dxa"/>
              <w:left w:w="30" w:type="dxa"/>
              <w:bottom w:w="0" w:type="dxa"/>
              <w:right w:w="30" w:type="dxa"/>
            </w:tcMar>
            <w:vAlign w:val="center"/>
          </w:tcPr>
          <w:p>
            <w:pPr>
              <w:widowControl w:val="0"/>
              <w:jc w:val="center"/>
              <w:rPr>
                <w:rFonts w:ascii="Times New Roman" w:hAnsi="Times New Roman"/>
                <w:b/>
                <w:bCs/>
                <w:color w:val="333333"/>
                <w:kern w:val="2"/>
                <w:sz w:val="21"/>
                <w:szCs w:val="21"/>
              </w:rPr>
            </w:pPr>
            <w:r>
              <w:rPr>
                <w:rFonts w:hint="eastAsia" w:ascii="Times New Roman" w:hAnsi="Times New Roman"/>
                <w:b/>
                <w:bCs/>
                <w:color w:val="333333"/>
                <w:kern w:val="2"/>
                <w:sz w:val="21"/>
                <w:szCs w:val="21"/>
              </w:rPr>
              <w:t>序号</w:t>
            </w:r>
          </w:p>
        </w:tc>
        <w:tc>
          <w:tcPr>
            <w:tcW w:w="3547" w:type="dxa"/>
            <w:shd w:val="clear" w:color="auto" w:fill="D9D9D9"/>
            <w:tcMar>
              <w:top w:w="0" w:type="dxa"/>
              <w:left w:w="30" w:type="dxa"/>
              <w:bottom w:w="0" w:type="dxa"/>
              <w:right w:w="30" w:type="dxa"/>
            </w:tcMar>
            <w:vAlign w:val="center"/>
          </w:tcPr>
          <w:p>
            <w:pPr>
              <w:widowControl w:val="0"/>
              <w:jc w:val="center"/>
              <w:rPr>
                <w:rFonts w:ascii="Times New Roman" w:hAnsi="Times New Roman"/>
                <w:b/>
                <w:bCs/>
                <w:color w:val="333333"/>
                <w:kern w:val="2"/>
                <w:sz w:val="21"/>
                <w:szCs w:val="21"/>
              </w:rPr>
            </w:pPr>
            <w:r>
              <w:rPr>
                <w:rFonts w:hint="eastAsia" w:ascii="Times New Roman" w:hAnsi="Times New Roman"/>
                <w:b/>
                <w:bCs/>
                <w:color w:val="333333"/>
                <w:kern w:val="2"/>
                <w:sz w:val="21"/>
                <w:szCs w:val="21"/>
              </w:rPr>
              <w:t>项目名称</w:t>
            </w:r>
          </w:p>
        </w:tc>
        <w:tc>
          <w:tcPr>
            <w:tcW w:w="2126" w:type="dxa"/>
            <w:shd w:val="clear" w:color="auto" w:fill="D9D9D9"/>
            <w:tcMar>
              <w:top w:w="0" w:type="dxa"/>
              <w:left w:w="30" w:type="dxa"/>
              <w:bottom w:w="0" w:type="dxa"/>
              <w:right w:w="30" w:type="dxa"/>
            </w:tcMar>
            <w:vAlign w:val="center"/>
          </w:tcPr>
          <w:p>
            <w:pPr>
              <w:widowControl w:val="0"/>
              <w:jc w:val="center"/>
              <w:rPr>
                <w:rFonts w:ascii="Times New Roman" w:hAnsi="Times New Roman"/>
                <w:b/>
                <w:bCs/>
                <w:color w:val="333333"/>
                <w:kern w:val="2"/>
                <w:sz w:val="21"/>
                <w:szCs w:val="21"/>
              </w:rPr>
            </w:pPr>
            <w:r>
              <w:rPr>
                <w:rFonts w:hint="eastAsia" w:ascii="Times New Roman" w:hAnsi="Times New Roman"/>
                <w:b/>
                <w:bCs/>
                <w:color w:val="333333"/>
                <w:kern w:val="2"/>
                <w:sz w:val="21"/>
                <w:szCs w:val="21"/>
              </w:rPr>
              <w:t>项目投资总额</w:t>
            </w:r>
          </w:p>
        </w:tc>
        <w:tc>
          <w:tcPr>
            <w:tcW w:w="2123" w:type="dxa"/>
            <w:shd w:val="clear" w:color="auto" w:fill="D9D9D9"/>
            <w:tcMar>
              <w:top w:w="0" w:type="dxa"/>
              <w:left w:w="30" w:type="dxa"/>
              <w:bottom w:w="0" w:type="dxa"/>
              <w:right w:w="30" w:type="dxa"/>
            </w:tcMar>
            <w:vAlign w:val="center"/>
          </w:tcPr>
          <w:p>
            <w:pPr>
              <w:widowControl w:val="0"/>
              <w:jc w:val="both"/>
              <w:rPr>
                <w:rFonts w:ascii="Times New Roman" w:hAnsi="Times New Roman"/>
                <w:b/>
                <w:bCs/>
                <w:color w:val="333333"/>
                <w:kern w:val="2"/>
                <w:sz w:val="21"/>
                <w:szCs w:val="21"/>
              </w:rPr>
            </w:pPr>
            <w:r>
              <w:rPr>
                <w:rFonts w:hint="eastAsia" w:ascii="Times New Roman" w:hAnsi="Times New Roman"/>
                <w:b/>
                <w:bCs/>
                <w:color w:val="333333"/>
                <w:kern w:val="2"/>
                <w:sz w:val="21"/>
                <w:szCs w:val="21"/>
              </w:rPr>
              <w:t>拟使用</w:t>
            </w:r>
            <w:r>
              <w:rPr>
                <w:rFonts w:ascii="Times New Roman" w:hAnsi="Times New Roman"/>
                <w:b/>
                <w:bCs/>
                <w:color w:val="333333"/>
                <w:kern w:val="2"/>
                <w:sz w:val="21"/>
                <w:szCs w:val="21"/>
              </w:rPr>
              <w:t>募集资金金额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5" w:type="dxa"/>
            <w:shd w:val="clear" w:color="auto" w:fill="FFFFFF"/>
            <w:tcMar>
              <w:top w:w="0" w:type="dxa"/>
              <w:left w:w="30" w:type="dxa"/>
              <w:bottom w:w="0" w:type="dxa"/>
              <w:right w:w="30" w:type="dxa"/>
            </w:tcMar>
            <w:vAlign w:val="center"/>
          </w:tcPr>
          <w:p>
            <w:pPr>
              <w:widowControl w:val="0"/>
              <w:jc w:val="center"/>
              <w:rPr>
                <w:rFonts w:ascii="Times New Roman" w:hAnsi="Times New Roman"/>
                <w:color w:val="333333"/>
                <w:kern w:val="2"/>
                <w:sz w:val="21"/>
                <w:szCs w:val="21"/>
              </w:rPr>
            </w:pPr>
            <w:r>
              <w:rPr>
                <w:rFonts w:ascii="Times New Roman" w:hAnsi="Times New Roman"/>
                <w:color w:val="333333"/>
                <w:kern w:val="2"/>
                <w:sz w:val="21"/>
                <w:szCs w:val="21"/>
              </w:rPr>
              <w:t>1</w:t>
            </w:r>
          </w:p>
        </w:tc>
        <w:tc>
          <w:tcPr>
            <w:tcW w:w="3547" w:type="dxa"/>
            <w:shd w:val="clear" w:color="auto" w:fill="FFFFFF"/>
            <w:tcMar>
              <w:top w:w="0" w:type="dxa"/>
              <w:left w:w="30" w:type="dxa"/>
              <w:bottom w:w="0" w:type="dxa"/>
              <w:right w:w="30" w:type="dxa"/>
            </w:tcMar>
            <w:vAlign w:val="center"/>
          </w:tcPr>
          <w:p>
            <w:pPr>
              <w:widowControl w:val="0"/>
              <w:jc w:val="both"/>
              <w:rPr>
                <w:rFonts w:ascii="Times New Roman" w:hAnsi="Times New Roman"/>
                <w:color w:val="333333"/>
                <w:kern w:val="2"/>
                <w:sz w:val="21"/>
                <w:szCs w:val="21"/>
              </w:rPr>
            </w:pPr>
            <w:r>
              <w:rPr>
                <w:rFonts w:hint="eastAsia" w:ascii="Times New Roman" w:hAnsi="Times New Roman" w:cs="Times New Roman"/>
                <w:bCs/>
                <w:kern w:val="2"/>
                <w:sz w:val="21"/>
                <w:szCs w:val="21"/>
              </w:rPr>
              <w:t>智慧节能阀门建设项目（注）</w:t>
            </w:r>
          </w:p>
        </w:tc>
        <w:tc>
          <w:tcPr>
            <w:tcW w:w="2126" w:type="dxa"/>
            <w:shd w:val="clear" w:color="auto" w:fill="FFFFFF"/>
            <w:tcMar>
              <w:top w:w="0" w:type="dxa"/>
              <w:left w:w="30" w:type="dxa"/>
              <w:bottom w:w="0" w:type="dxa"/>
              <w:right w:w="30" w:type="dxa"/>
            </w:tcMar>
            <w:vAlign w:val="center"/>
          </w:tcPr>
          <w:p>
            <w:pPr>
              <w:widowControl w:val="0"/>
              <w:jc w:val="right"/>
              <w:rPr>
                <w:rFonts w:ascii="Times New Roman" w:hAnsi="Times New Roman"/>
                <w:color w:val="333333"/>
                <w:kern w:val="2"/>
                <w:sz w:val="21"/>
                <w:szCs w:val="21"/>
              </w:rPr>
            </w:pPr>
            <w:r>
              <w:rPr>
                <w:rFonts w:ascii="Times New Roman" w:hAnsi="Times New Roman"/>
                <w:color w:val="333333"/>
                <w:kern w:val="2"/>
                <w:sz w:val="21"/>
                <w:szCs w:val="21"/>
              </w:rPr>
              <w:t>29,377.91</w:t>
            </w:r>
          </w:p>
        </w:tc>
        <w:tc>
          <w:tcPr>
            <w:tcW w:w="2123" w:type="dxa"/>
            <w:shd w:val="clear" w:color="auto" w:fill="FFFFFF"/>
            <w:tcMar>
              <w:top w:w="0" w:type="dxa"/>
              <w:left w:w="30" w:type="dxa"/>
              <w:bottom w:w="0" w:type="dxa"/>
              <w:right w:w="30" w:type="dxa"/>
            </w:tcMar>
            <w:vAlign w:val="center"/>
          </w:tcPr>
          <w:p>
            <w:pPr>
              <w:widowControl w:val="0"/>
              <w:jc w:val="right"/>
              <w:rPr>
                <w:rFonts w:ascii="Times New Roman" w:hAnsi="Times New Roman"/>
                <w:color w:val="333333"/>
                <w:kern w:val="2"/>
                <w:sz w:val="21"/>
                <w:szCs w:val="21"/>
              </w:rPr>
            </w:pPr>
            <w:r>
              <w:rPr>
                <w:rFonts w:ascii="Times New Roman" w:hAnsi="Times New Roman"/>
                <w:color w:val="333333"/>
                <w:kern w:val="2"/>
                <w:sz w:val="21"/>
                <w:szCs w:val="21"/>
              </w:rPr>
              <w:t>25,000.00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5" w:type="dxa"/>
            <w:shd w:val="clear" w:color="auto" w:fill="FFFFFF"/>
            <w:tcMar>
              <w:top w:w="0" w:type="dxa"/>
              <w:left w:w="30" w:type="dxa"/>
              <w:bottom w:w="0" w:type="dxa"/>
              <w:right w:w="30" w:type="dxa"/>
            </w:tcMar>
            <w:vAlign w:val="center"/>
          </w:tcPr>
          <w:p>
            <w:pPr>
              <w:widowControl w:val="0"/>
              <w:jc w:val="center"/>
              <w:rPr>
                <w:rFonts w:ascii="Times New Roman" w:hAnsi="Times New Roman"/>
                <w:color w:val="333333"/>
                <w:kern w:val="2"/>
                <w:sz w:val="21"/>
                <w:szCs w:val="21"/>
              </w:rPr>
            </w:pPr>
            <w:r>
              <w:rPr>
                <w:rFonts w:ascii="Times New Roman" w:hAnsi="Times New Roman"/>
                <w:color w:val="333333"/>
                <w:kern w:val="2"/>
                <w:sz w:val="21"/>
                <w:szCs w:val="21"/>
              </w:rPr>
              <w:t>2</w:t>
            </w:r>
          </w:p>
        </w:tc>
        <w:tc>
          <w:tcPr>
            <w:tcW w:w="3547" w:type="dxa"/>
            <w:shd w:val="clear" w:color="auto" w:fill="FFFFFF"/>
            <w:tcMar>
              <w:top w:w="0" w:type="dxa"/>
              <w:left w:w="30" w:type="dxa"/>
              <w:bottom w:w="0" w:type="dxa"/>
              <w:right w:w="30" w:type="dxa"/>
            </w:tcMar>
            <w:vAlign w:val="center"/>
          </w:tcPr>
          <w:p>
            <w:pPr>
              <w:widowControl w:val="0"/>
              <w:jc w:val="both"/>
              <w:rPr>
                <w:rFonts w:ascii="Times New Roman" w:hAnsi="Times New Roman"/>
                <w:color w:val="333333"/>
                <w:kern w:val="2"/>
                <w:sz w:val="21"/>
                <w:szCs w:val="21"/>
              </w:rPr>
            </w:pPr>
            <w:r>
              <w:rPr>
                <w:rFonts w:hint="eastAsia" w:ascii="Times New Roman" w:hAnsi="Times New Roman"/>
                <w:color w:val="333333"/>
                <w:kern w:val="2"/>
                <w:sz w:val="21"/>
                <w:szCs w:val="21"/>
              </w:rPr>
              <w:t>补充流动资金</w:t>
            </w:r>
          </w:p>
        </w:tc>
        <w:tc>
          <w:tcPr>
            <w:tcW w:w="2126" w:type="dxa"/>
            <w:shd w:val="clear" w:color="auto" w:fill="FFFFFF"/>
            <w:tcMar>
              <w:top w:w="0" w:type="dxa"/>
              <w:left w:w="30" w:type="dxa"/>
              <w:bottom w:w="0" w:type="dxa"/>
              <w:right w:w="30" w:type="dxa"/>
            </w:tcMar>
            <w:vAlign w:val="center"/>
          </w:tcPr>
          <w:p>
            <w:pPr>
              <w:widowControl w:val="0"/>
              <w:jc w:val="right"/>
              <w:rPr>
                <w:rFonts w:ascii="Times New Roman" w:hAnsi="Times New Roman"/>
                <w:color w:val="333333"/>
                <w:kern w:val="2"/>
                <w:sz w:val="21"/>
                <w:szCs w:val="21"/>
              </w:rPr>
            </w:pPr>
            <w:r>
              <w:rPr>
                <w:rFonts w:ascii="Times New Roman" w:hAnsi="Times New Roman"/>
                <w:color w:val="333333"/>
                <w:kern w:val="2"/>
                <w:sz w:val="21"/>
                <w:szCs w:val="21"/>
              </w:rPr>
              <w:t>4,000.00</w:t>
            </w:r>
          </w:p>
        </w:tc>
        <w:tc>
          <w:tcPr>
            <w:tcW w:w="2123" w:type="dxa"/>
            <w:shd w:val="clear" w:color="auto" w:fill="FFFFFF"/>
            <w:tcMar>
              <w:top w:w="0" w:type="dxa"/>
              <w:left w:w="30" w:type="dxa"/>
              <w:bottom w:w="0" w:type="dxa"/>
              <w:right w:w="30" w:type="dxa"/>
            </w:tcMar>
            <w:vAlign w:val="center"/>
          </w:tcPr>
          <w:p>
            <w:pPr>
              <w:widowControl w:val="0"/>
              <w:jc w:val="right"/>
              <w:rPr>
                <w:rFonts w:ascii="Times New Roman" w:hAnsi="Times New Roman"/>
                <w:color w:val="333333"/>
                <w:kern w:val="2"/>
                <w:sz w:val="21"/>
                <w:szCs w:val="21"/>
              </w:rPr>
            </w:pPr>
            <w:r>
              <w:rPr>
                <w:rFonts w:ascii="Times New Roman" w:hAnsi="Times New Roman"/>
                <w:color w:val="333333"/>
                <w:kern w:val="2"/>
                <w:sz w:val="21"/>
                <w:szCs w:val="21"/>
              </w:rPr>
              <w:t>4,000.00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2" w:type="dxa"/>
            <w:gridSpan w:val="2"/>
            <w:shd w:val="clear" w:color="auto" w:fill="FFFFFF"/>
            <w:tcMar>
              <w:top w:w="0" w:type="dxa"/>
              <w:left w:w="30" w:type="dxa"/>
              <w:bottom w:w="0" w:type="dxa"/>
              <w:right w:w="30" w:type="dxa"/>
            </w:tcMar>
            <w:vAlign w:val="center"/>
          </w:tcPr>
          <w:p>
            <w:pPr>
              <w:widowControl w:val="0"/>
              <w:jc w:val="center"/>
              <w:rPr>
                <w:rFonts w:ascii="Times New Roman" w:hAnsi="Times New Roman"/>
                <w:b/>
                <w:bCs/>
                <w:color w:val="333333"/>
                <w:kern w:val="2"/>
                <w:sz w:val="21"/>
                <w:szCs w:val="21"/>
              </w:rPr>
            </w:pPr>
            <w:r>
              <w:rPr>
                <w:rFonts w:hint="eastAsia" w:ascii="Times New Roman" w:hAnsi="Times New Roman"/>
                <w:b/>
                <w:bCs/>
                <w:color w:val="333333"/>
                <w:kern w:val="2"/>
                <w:sz w:val="21"/>
                <w:szCs w:val="21"/>
              </w:rPr>
              <w:t>合计</w:t>
            </w:r>
          </w:p>
        </w:tc>
        <w:tc>
          <w:tcPr>
            <w:tcW w:w="2126" w:type="dxa"/>
            <w:shd w:val="clear" w:color="auto" w:fill="FFFFFF"/>
            <w:tcMar>
              <w:top w:w="0" w:type="dxa"/>
              <w:left w:w="30" w:type="dxa"/>
              <w:bottom w:w="0" w:type="dxa"/>
              <w:right w:w="30" w:type="dxa"/>
            </w:tcMar>
            <w:vAlign w:val="center"/>
          </w:tcPr>
          <w:p>
            <w:pPr>
              <w:widowControl w:val="0"/>
              <w:jc w:val="right"/>
              <w:rPr>
                <w:rFonts w:ascii="Times New Roman" w:hAnsi="Times New Roman"/>
                <w:b/>
                <w:bCs/>
                <w:color w:val="333333"/>
                <w:kern w:val="2"/>
                <w:sz w:val="21"/>
                <w:szCs w:val="21"/>
              </w:rPr>
            </w:pPr>
            <w:r>
              <w:rPr>
                <w:rFonts w:ascii="Times New Roman" w:hAnsi="Times New Roman"/>
                <w:b/>
                <w:bCs/>
                <w:color w:val="333333"/>
                <w:kern w:val="2"/>
                <w:sz w:val="21"/>
                <w:szCs w:val="21"/>
              </w:rPr>
              <w:t>33,377.91</w:t>
            </w:r>
          </w:p>
        </w:tc>
        <w:tc>
          <w:tcPr>
            <w:tcW w:w="2123" w:type="dxa"/>
            <w:shd w:val="clear" w:color="auto" w:fill="FFFFFF"/>
            <w:tcMar>
              <w:top w:w="0" w:type="dxa"/>
              <w:left w:w="30" w:type="dxa"/>
              <w:bottom w:w="0" w:type="dxa"/>
              <w:right w:w="30" w:type="dxa"/>
            </w:tcMar>
            <w:vAlign w:val="center"/>
          </w:tcPr>
          <w:p>
            <w:pPr>
              <w:widowControl w:val="0"/>
              <w:jc w:val="right"/>
              <w:rPr>
                <w:rFonts w:ascii="Times New Roman" w:hAnsi="Times New Roman"/>
                <w:b/>
                <w:bCs/>
                <w:color w:val="333333"/>
                <w:kern w:val="2"/>
                <w:sz w:val="21"/>
                <w:szCs w:val="21"/>
              </w:rPr>
            </w:pPr>
            <w:r>
              <w:rPr>
                <w:rFonts w:ascii="Times New Roman" w:hAnsi="Times New Roman" w:cs="Times New Roman"/>
                <w:b/>
                <w:bCs/>
                <w:kern w:val="2"/>
                <w:sz w:val="21"/>
                <w:szCs w:val="21"/>
              </w:rPr>
              <w:t>29,000.00</w:t>
            </w:r>
          </w:p>
        </w:tc>
      </w:tr>
    </w:tbl>
    <w:p>
      <w:pPr>
        <w:jc w:val="both"/>
        <w:rPr>
          <w:rFonts w:ascii="Times New Roman" w:hAnsi="Times New Roman" w:cs="Times New Roman"/>
          <w:bCs/>
          <w:sz w:val="21"/>
          <w:szCs w:val="21"/>
        </w:rPr>
      </w:pPr>
      <w:r>
        <w:rPr>
          <w:rFonts w:hint="eastAsia" w:ascii="Times New Roman" w:hAnsi="Times New Roman"/>
          <w:color w:val="333333"/>
          <w:kern w:val="2"/>
          <w:sz w:val="21"/>
          <w:szCs w:val="21"/>
        </w:rPr>
        <w:t>注：项目实际名称将以实际备案名称为准</w:t>
      </w:r>
      <w:r>
        <w:rPr>
          <w:rFonts w:hint="eastAsia" w:ascii="Times New Roman" w:hAnsi="Times New Roman" w:cs="Times New Roman"/>
          <w:bCs/>
          <w:sz w:val="21"/>
          <w:szCs w:val="21"/>
        </w:rPr>
        <w:t>。</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若实际募集资金净额少于上述项目拟投入募集资金总额，在最终确定的本次募投项目范围内，公司董事会将根据实际募集资金数额，按照项目的轻重缓急等情况，调整并最终决定募集资金的具体投资项目、优先顺序及各项目的具体投资额，募集资金不足部分由公司自筹解决。</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本次发行可转债募集资金到位之前，如公司以自筹资金先行投入上述项目建设，公司将在募集资金到位后按照相关法律、法规规定的程序予以置换。</w:t>
      </w:r>
    </w:p>
    <w:p>
      <w:pPr>
        <w:spacing w:before="120" w:beforeLines="50" w:after="120" w:afterLines="50" w:line="360" w:lineRule="auto"/>
        <w:ind w:firstLine="482" w:firstLineChars="200"/>
        <w:jc w:val="both"/>
        <w:rPr>
          <w:rFonts w:ascii="Times New Roman" w:hAnsi="Times New Roman"/>
          <w:szCs w:val="23"/>
        </w:rPr>
      </w:pPr>
      <w:r>
        <w:rPr>
          <w:rFonts w:hint="eastAsia" w:ascii="Times New Roman" w:hAnsi="Times New Roman"/>
          <w:b/>
          <w:bCs/>
          <w:szCs w:val="23"/>
        </w:rPr>
        <w:t>表决结果：同意 3票，弃权 0 票，反对 0 票。获得通过</w:t>
      </w:r>
      <w:r>
        <w:rPr>
          <w:rFonts w:hint="eastAsia" w:ascii="Times New Roman" w:hAnsi="Times New Roman"/>
          <w:szCs w:val="23"/>
        </w:rPr>
        <w:t>。</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8</w:t>
      </w:r>
      <w:r>
        <w:rPr>
          <w:rFonts w:hint="eastAsia" w:ascii="Times New Roman" w:hAnsi="Times New Roman" w:cs="Times New Roman"/>
          <w:kern w:val="2"/>
          <w:szCs w:val="32"/>
        </w:rPr>
        <w:t>、评级事项</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资信评级机构将为本次发行可转债出具资信评级报告。</w:t>
      </w:r>
    </w:p>
    <w:p>
      <w:pPr>
        <w:spacing w:before="120" w:beforeLines="50" w:after="120" w:afterLines="50" w:line="360" w:lineRule="auto"/>
        <w:ind w:firstLine="482" w:firstLineChars="200"/>
        <w:jc w:val="both"/>
        <w:rPr>
          <w:rFonts w:ascii="Times New Roman" w:hAnsi="Times New Roman"/>
          <w:szCs w:val="23"/>
        </w:rPr>
      </w:pPr>
      <w:r>
        <w:rPr>
          <w:rFonts w:hint="eastAsia" w:ascii="Times New Roman" w:hAnsi="Times New Roman"/>
          <w:b/>
          <w:bCs/>
          <w:szCs w:val="23"/>
        </w:rPr>
        <w:t>表决结果：同意 3票，弃权 0 票，反对 0 票。获得通过</w:t>
      </w:r>
      <w:r>
        <w:rPr>
          <w:rFonts w:hint="eastAsia" w:ascii="Times New Roman" w:hAnsi="Times New Roman"/>
          <w:szCs w:val="23"/>
        </w:rPr>
        <w:t>。</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hint="eastAsia" w:ascii="Times New Roman" w:hAnsi="Times New Roman" w:cs="Times New Roman"/>
          <w:kern w:val="2"/>
          <w:szCs w:val="32"/>
        </w:rPr>
        <w:t>1</w:t>
      </w:r>
      <w:r>
        <w:rPr>
          <w:rFonts w:ascii="Times New Roman" w:hAnsi="Times New Roman" w:cs="Times New Roman"/>
          <w:kern w:val="2"/>
          <w:szCs w:val="32"/>
        </w:rPr>
        <w:t>9</w:t>
      </w:r>
      <w:r>
        <w:rPr>
          <w:rFonts w:hint="eastAsia" w:ascii="Times New Roman" w:hAnsi="Times New Roman" w:cs="Times New Roman"/>
          <w:kern w:val="2"/>
          <w:szCs w:val="32"/>
        </w:rPr>
        <w:t>、担保事项</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rPr>
        <w:t>公司董事长、控股股东、实际控制人范庆伟为公司本次发行可转债提供连带责任担保，本次担保不向公司收取任何费用，亦不需要公司提供反担保。担保范围为本公司经中国证监会核准发行的可转债本金及利息、违约金、损害赔偿金及实现债权的合理费用，担保的受益人为全体债券持有人，以保障本次可转债的本息按照约定如期足额兑付</w:t>
      </w:r>
      <w:r>
        <w:rPr>
          <w:rFonts w:hint="eastAsia" w:ascii="Times New Roman" w:hAnsi="Times New Roman" w:cs="Times New Roman"/>
        </w:rPr>
        <w:t>。</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w:t>
      </w:r>
      <w:r>
        <w:rPr>
          <w:rFonts w:ascii="Times New Roman" w:hAnsi="Times New Roman"/>
          <w:b/>
          <w:bCs/>
          <w:szCs w:val="23"/>
        </w:rPr>
        <w:t>3</w:t>
      </w:r>
      <w:r>
        <w:rPr>
          <w:rFonts w:hint="eastAsia" w:ascii="Times New Roman" w:hAnsi="Times New Roman"/>
          <w:b/>
          <w:bCs/>
          <w:szCs w:val="23"/>
        </w:rPr>
        <w:t>票，弃权 0 票，反对 0 票。</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hint="eastAsia" w:ascii="Times New Roman" w:hAnsi="Times New Roman" w:cs="Times New Roman"/>
          <w:kern w:val="2"/>
          <w:szCs w:val="32"/>
        </w:rPr>
        <w:t>2</w:t>
      </w:r>
      <w:r>
        <w:rPr>
          <w:rFonts w:ascii="Times New Roman" w:hAnsi="Times New Roman" w:cs="Times New Roman"/>
          <w:kern w:val="2"/>
          <w:szCs w:val="32"/>
        </w:rPr>
        <w:t>0</w:t>
      </w:r>
      <w:r>
        <w:rPr>
          <w:rFonts w:hint="eastAsia" w:ascii="Times New Roman" w:hAnsi="Times New Roman" w:cs="Times New Roman"/>
          <w:kern w:val="2"/>
          <w:szCs w:val="32"/>
        </w:rPr>
        <w:t>、募集资金存管</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公司已制定了募集资金管理制度，本次发行的募集资金将存放于公司董事会批准设立的专项账户中，具体开户事宜在发行前由公司董事会确定。</w:t>
      </w:r>
    </w:p>
    <w:p>
      <w:pPr>
        <w:spacing w:before="120" w:beforeLines="50" w:after="120" w:afterLines="50" w:line="360" w:lineRule="auto"/>
        <w:ind w:firstLine="482" w:firstLineChars="200"/>
        <w:jc w:val="both"/>
        <w:rPr>
          <w:rFonts w:ascii="Times New Roman" w:hAnsi="Times New Roman"/>
          <w:szCs w:val="23"/>
        </w:rPr>
      </w:pPr>
      <w:r>
        <w:rPr>
          <w:rFonts w:hint="eastAsia" w:ascii="Times New Roman" w:hAnsi="Times New Roman"/>
          <w:b/>
          <w:bCs/>
          <w:szCs w:val="23"/>
        </w:rPr>
        <w:t>表决结果：同意 3票，弃权 0 票，反对 0 票。获得通过</w:t>
      </w:r>
      <w:r>
        <w:rPr>
          <w:rFonts w:hint="eastAsia" w:ascii="Times New Roman" w:hAnsi="Times New Roman"/>
          <w:szCs w:val="23"/>
        </w:rPr>
        <w:t>。</w:t>
      </w:r>
    </w:p>
    <w:p>
      <w:pPr>
        <w:widowControl w:val="0"/>
        <w:spacing w:before="120" w:beforeLines="50" w:after="120" w:afterLines="50" w:line="360" w:lineRule="auto"/>
        <w:ind w:firstLine="480" w:firstLineChars="200"/>
        <w:jc w:val="both"/>
        <w:rPr>
          <w:rFonts w:ascii="Times New Roman" w:hAnsi="Times New Roman" w:cs="Times New Roman"/>
          <w:kern w:val="2"/>
          <w:szCs w:val="32"/>
        </w:rPr>
      </w:pPr>
      <w:r>
        <w:rPr>
          <w:rFonts w:hint="eastAsia" w:ascii="Times New Roman" w:hAnsi="Times New Roman" w:cs="Times New Roman"/>
          <w:kern w:val="2"/>
          <w:szCs w:val="32"/>
        </w:rPr>
        <w:t>2</w:t>
      </w:r>
      <w:r>
        <w:rPr>
          <w:rFonts w:ascii="Times New Roman" w:hAnsi="Times New Roman" w:cs="Times New Roman"/>
          <w:kern w:val="2"/>
          <w:szCs w:val="32"/>
        </w:rPr>
        <w:t>1</w:t>
      </w:r>
      <w:r>
        <w:rPr>
          <w:rFonts w:hint="eastAsia" w:ascii="Times New Roman" w:hAnsi="Times New Roman" w:cs="Times New Roman"/>
          <w:kern w:val="2"/>
          <w:szCs w:val="32"/>
        </w:rPr>
        <w:t>、本次决议的有效期</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s="Times New Roman"/>
        </w:rPr>
        <w:t>本次公开发行可转换公司债券方案的有效期为公司股东大会审议通过本次发行方案之日起十二个月。</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olor w:val="000000"/>
        </w:rPr>
        <w:t>本议案尚需提交公司2023年第一次临时股东大会逐项审议。</w:t>
      </w:r>
    </w:p>
    <w:p>
      <w:pPr>
        <w:spacing w:before="120" w:beforeLines="50" w:after="120" w:afterLines="50" w:line="360" w:lineRule="auto"/>
        <w:ind w:firstLine="482" w:firstLineChars="200"/>
        <w:jc w:val="both"/>
        <w:rPr>
          <w:rFonts w:ascii="Times New Roman" w:hAnsi="Times New Roman"/>
          <w:b/>
          <w:szCs w:val="23"/>
        </w:rPr>
      </w:pPr>
      <w:r>
        <w:rPr>
          <w:rFonts w:hint="eastAsia" w:ascii="Times New Roman" w:hAnsi="Times New Roman"/>
          <w:b/>
          <w:szCs w:val="23"/>
        </w:rPr>
        <w:t xml:space="preserve">（三）审议通过《关于公司公开发行可转换公司债券预案的议案》 </w:t>
      </w:r>
    </w:p>
    <w:p>
      <w:pPr>
        <w:spacing w:before="120" w:beforeLines="50" w:after="120" w:afterLines="50" w:line="360" w:lineRule="auto"/>
        <w:ind w:firstLine="480" w:firstLineChars="200"/>
        <w:jc w:val="both"/>
        <w:rPr>
          <w:rFonts w:ascii="Times New Roman" w:hAnsi="Times New Roman"/>
        </w:rPr>
      </w:pPr>
      <w:bookmarkStart w:id="0" w:name="_Hlk123581532"/>
      <w:r>
        <w:rPr>
          <w:rFonts w:hint="eastAsia" w:ascii="Times New Roman" w:hAnsi="Times New Roman"/>
          <w:color w:val="000000"/>
        </w:rPr>
        <w:t>根据《中华人民共和国公司法》《中华人民共和国证券法》《上市公司证券发行管理办法》《公司债券发行与交易管理办法》《可转换公司债券管理办法》等法律、法规及规范性文件要求</w:t>
      </w:r>
      <w:bookmarkEnd w:id="0"/>
      <w:r>
        <w:rPr>
          <w:rFonts w:hint="eastAsia" w:ascii="Times New Roman" w:hAnsi="Times New Roman"/>
          <w:color w:val="000000"/>
        </w:rPr>
        <w:t>，</w:t>
      </w:r>
      <w:r>
        <w:rPr>
          <w:rFonts w:ascii="Times New Roman" w:hAnsi="Times New Roman"/>
        </w:rPr>
        <w:t>公司就本次发行编制了</w:t>
      </w:r>
      <w:bookmarkStart w:id="1" w:name="_Hlk95898137"/>
      <w:r>
        <w:rPr>
          <w:rFonts w:ascii="Times New Roman" w:hAnsi="Times New Roman"/>
        </w:rPr>
        <w:t>《青岛</w:t>
      </w:r>
      <w:r>
        <w:rPr>
          <w:rFonts w:hint="eastAsia" w:ascii="Times New Roman" w:hAnsi="Times New Roman"/>
        </w:rPr>
        <w:t>伟隆阀门</w:t>
      </w:r>
      <w:r>
        <w:rPr>
          <w:rFonts w:ascii="Times New Roman" w:hAnsi="Times New Roman"/>
        </w:rPr>
        <w:t>股份有限公司</w:t>
      </w:r>
      <w:r>
        <w:rPr>
          <w:rFonts w:hint="eastAsia" w:ascii="Times New Roman" w:hAnsi="Times New Roman"/>
        </w:rPr>
        <w:t>公开发行可转换公司债券</w:t>
      </w:r>
      <w:r>
        <w:rPr>
          <w:rFonts w:ascii="Times New Roman" w:hAnsi="Times New Roman"/>
        </w:rPr>
        <w:t>预案》</w:t>
      </w:r>
      <w:bookmarkEnd w:id="1"/>
      <w:r>
        <w:rPr>
          <w:rFonts w:hint="eastAsia" w:ascii="Times New Roman" w:hAnsi="Times New Roman"/>
        </w:rPr>
        <w:t>，具体内容详见巨潮资讯网（</w:t>
      </w:r>
      <w:r>
        <w:rPr>
          <w:rFonts w:ascii="Times New Roman" w:hAnsi="Times New Roman"/>
        </w:rPr>
        <w:t>www.cninfo.com.cn）</w:t>
      </w:r>
      <w:r>
        <w:rPr>
          <w:rFonts w:hint="eastAsia" w:ascii="Times New Roman" w:hAnsi="Times New Roman"/>
        </w:rPr>
        <w:t>。</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spacing w:before="120" w:beforeLines="50" w:after="120" w:afterLines="50" w:line="360" w:lineRule="auto"/>
        <w:ind w:firstLine="480" w:firstLineChars="200"/>
        <w:jc w:val="both"/>
        <w:rPr>
          <w:rFonts w:ascii="Times New Roman" w:hAnsi="Times New Roman" w:cs="Times New Roman"/>
        </w:rPr>
      </w:pPr>
      <w:bookmarkStart w:id="2" w:name="_Hlk123586802"/>
      <w:r>
        <w:rPr>
          <w:rFonts w:hint="eastAsia" w:ascii="Times New Roman" w:hAnsi="Times New Roman"/>
          <w:color w:val="000000"/>
        </w:rPr>
        <w:t>本议案尚需提交公司2023年第一次临时股东大会审议。</w:t>
      </w:r>
    </w:p>
    <w:bookmarkEnd w:id="2"/>
    <w:p>
      <w:pPr>
        <w:spacing w:before="120" w:beforeLines="50" w:after="120" w:afterLines="50" w:line="360" w:lineRule="auto"/>
        <w:ind w:firstLine="482" w:firstLineChars="200"/>
        <w:jc w:val="both"/>
        <w:rPr>
          <w:rFonts w:ascii="Times New Roman" w:hAnsi="Times New Roman"/>
          <w:b/>
          <w:szCs w:val="23"/>
        </w:rPr>
      </w:pPr>
      <w:r>
        <w:rPr>
          <w:rFonts w:hint="eastAsia" w:ascii="Times New Roman" w:hAnsi="Times New Roman"/>
          <w:b/>
          <w:szCs w:val="23"/>
        </w:rPr>
        <w:t>（四）审议通过《关于公司公开发行可转换公司债券募集资金运用的可行性分析报告的议案》</w:t>
      </w:r>
    </w:p>
    <w:p>
      <w:pPr>
        <w:spacing w:before="120" w:beforeLines="50" w:after="120" w:afterLines="50" w:line="360" w:lineRule="auto"/>
        <w:ind w:firstLine="480" w:firstLineChars="200"/>
        <w:jc w:val="both"/>
        <w:rPr>
          <w:rFonts w:ascii="Times New Roman" w:hAnsi="Times New Roman"/>
        </w:rPr>
      </w:pPr>
      <w:r>
        <w:rPr>
          <w:rFonts w:hint="eastAsia" w:ascii="Times New Roman" w:hAnsi="Times New Roman"/>
          <w:color w:val="000000"/>
        </w:rPr>
        <w:t>根据《中华人民共和国公司法》《中华人民共和国证券法》《上市公司证券发行管理办法》《公司债券发行与交易管理办法》《可转换公司债券管理办法》等法律、法规及规范性文件要求</w:t>
      </w:r>
      <w:r>
        <w:rPr>
          <w:rFonts w:ascii="Times New Roman" w:hAnsi="Times New Roman"/>
        </w:rPr>
        <w:t>，就本次发行公司编制</w:t>
      </w:r>
      <w:bookmarkStart w:id="3" w:name="_Hlk123581809"/>
      <w:r>
        <w:rPr>
          <w:rFonts w:ascii="Times New Roman" w:hAnsi="Times New Roman"/>
        </w:rPr>
        <w:t>了《青岛</w:t>
      </w:r>
      <w:r>
        <w:rPr>
          <w:rFonts w:hint="eastAsia" w:ascii="Times New Roman" w:hAnsi="Times New Roman"/>
        </w:rPr>
        <w:t>伟隆阀门</w:t>
      </w:r>
      <w:r>
        <w:rPr>
          <w:rFonts w:ascii="Times New Roman" w:hAnsi="Times New Roman"/>
        </w:rPr>
        <w:t>股份有限公司</w:t>
      </w:r>
      <w:r>
        <w:rPr>
          <w:rFonts w:hint="eastAsia" w:ascii="Times New Roman" w:hAnsi="Times New Roman"/>
        </w:rPr>
        <w:t>公开发行可转换公司债券募集资金使用可行性分析</w:t>
      </w:r>
      <w:r>
        <w:rPr>
          <w:rFonts w:ascii="Times New Roman" w:hAnsi="Times New Roman"/>
        </w:rPr>
        <w:t>报告》</w:t>
      </w:r>
      <w:bookmarkEnd w:id="3"/>
      <w:r>
        <w:rPr>
          <w:rFonts w:hint="eastAsia" w:ascii="Times New Roman" w:hAnsi="Times New Roman"/>
        </w:rPr>
        <w:t>，具体内容详见巨潮资讯网（</w:t>
      </w:r>
      <w:r>
        <w:rPr>
          <w:rFonts w:ascii="Times New Roman" w:hAnsi="Times New Roman"/>
        </w:rPr>
        <w:t>www.cninfo.com.cn）</w:t>
      </w:r>
      <w:r>
        <w:rPr>
          <w:rFonts w:hint="eastAsia" w:ascii="Times New Roman" w:hAnsi="Times New Roman"/>
        </w:rPr>
        <w:t>。</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spacing w:before="120" w:beforeLines="50" w:after="120" w:afterLines="50" w:line="360" w:lineRule="auto"/>
        <w:ind w:firstLine="480" w:firstLineChars="200"/>
        <w:jc w:val="both"/>
        <w:rPr>
          <w:rFonts w:ascii="Times New Roman" w:hAnsi="Times New Roman" w:cs="Times New Roman"/>
        </w:rPr>
      </w:pPr>
      <w:bookmarkStart w:id="4" w:name="_Hlk123586883"/>
      <w:r>
        <w:rPr>
          <w:rFonts w:hint="eastAsia" w:ascii="Times New Roman" w:hAnsi="Times New Roman"/>
          <w:color w:val="000000"/>
        </w:rPr>
        <w:t>本议案尚需提交公司2023年第一次临时股东大会审议。</w:t>
      </w:r>
    </w:p>
    <w:bookmarkEnd w:id="4"/>
    <w:p>
      <w:pPr>
        <w:spacing w:before="120" w:beforeLines="50" w:after="120" w:afterLines="50" w:line="360" w:lineRule="auto"/>
        <w:ind w:firstLine="482" w:firstLineChars="200"/>
        <w:jc w:val="both"/>
        <w:rPr>
          <w:rFonts w:ascii="Times New Roman" w:hAnsi="Times New Roman"/>
          <w:b/>
          <w:szCs w:val="23"/>
        </w:rPr>
      </w:pPr>
      <w:r>
        <w:rPr>
          <w:rFonts w:hint="eastAsia" w:ascii="Times New Roman" w:hAnsi="Times New Roman"/>
          <w:b/>
          <w:szCs w:val="23"/>
        </w:rPr>
        <w:t>（五）审议通过《关于公司本次公开发行可转换公司债券无需编制前次募集资金使用情况报告的议案》</w:t>
      </w:r>
    </w:p>
    <w:p>
      <w:pPr>
        <w:spacing w:before="120" w:beforeLines="50" w:after="120" w:afterLines="50" w:line="360" w:lineRule="auto"/>
        <w:ind w:firstLine="480" w:firstLineChars="200"/>
        <w:jc w:val="both"/>
        <w:rPr>
          <w:rFonts w:ascii="Times New Roman" w:hAnsi="Times New Roman"/>
          <w:color w:val="000000"/>
        </w:rPr>
      </w:pPr>
      <w:r>
        <w:rPr>
          <w:rFonts w:hint="eastAsia" w:ascii="Times New Roman" w:hAnsi="Times New Roman"/>
          <w:color w:val="000000"/>
        </w:rPr>
        <w:t>鉴于公司近五个会计年度内，未进行过再融资募集资金，公司前次募集资金到账时间已超过五个完整的会计年度，因此，公司本次公开发行可转换公司债券无需编制前次募集资金使用情况报告，也无需聘请会计师事务所就前次募集资金使用情况出具鉴证报告。公司制定了《青岛伟隆阀门股份有限公司关于无需编制前次募集资金使用情况报告的公告》，具体内容详见巨潮资讯网（</w:t>
      </w:r>
      <w:r>
        <w:fldChar w:fldCharType="begin"/>
      </w:r>
      <w:r>
        <w:instrText xml:space="preserve"> HYPERLINK "http://www.cninfo.com.cn" </w:instrText>
      </w:r>
      <w:r>
        <w:fldChar w:fldCharType="separate"/>
      </w:r>
      <w:r>
        <w:rPr>
          <w:rStyle w:val="12"/>
          <w:rFonts w:ascii="Times New Roman" w:hAnsi="Times New Roman"/>
        </w:rPr>
        <w:t>www.cninfo.com.cn</w:t>
      </w:r>
      <w:r>
        <w:rPr>
          <w:rStyle w:val="12"/>
          <w:rFonts w:ascii="Times New Roman" w:hAnsi="Times New Roman"/>
        </w:rPr>
        <w:fldChar w:fldCharType="end"/>
      </w:r>
      <w:r>
        <w:rPr>
          <w:rFonts w:ascii="Times New Roman" w:hAnsi="Times New Roman"/>
          <w:color w:val="000000"/>
        </w:rPr>
        <w:t>）。</w:t>
      </w:r>
    </w:p>
    <w:p>
      <w:pPr>
        <w:spacing w:before="120" w:beforeLines="50" w:after="120" w:afterLines="50" w:line="360" w:lineRule="auto"/>
        <w:ind w:firstLine="482" w:firstLineChars="200"/>
        <w:jc w:val="both"/>
        <w:rPr>
          <w:rFonts w:ascii="Times New Roman" w:hAnsi="Times New Roman"/>
          <w:b/>
          <w:bCs/>
          <w:szCs w:val="23"/>
        </w:rPr>
      </w:pPr>
      <w:r>
        <w:rPr>
          <w:rFonts w:hint="eastAsia" w:ascii="Times New Roman" w:hAnsi="Times New Roman"/>
          <w:b/>
          <w:bCs/>
          <w:szCs w:val="23"/>
        </w:rPr>
        <w:t>表决结果：同意 3票，弃权 0 票，反对 0 票。获得通过。</w:t>
      </w:r>
    </w:p>
    <w:p>
      <w:pPr>
        <w:spacing w:before="120" w:beforeLines="50" w:after="120" w:afterLines="50" w:line="360" w:lineRule="auto"/>
        <w:ind w:firstLine="480" w:firstLineChars="200"/>
        <w:jc w:val="both"/>
        <w:rPr>
          <w:rFonts w:ascii="Times New Roman" w:hAnsi="Times New Roman" w:cs="Times New Roman"/>
        </w:rPr>
      </w:pPr>
      <w:bookmarkStart w:id="5" w:name="_Hlk123587160"/>
      <w:r>
        <w:rPr>
          <w:rFonts w:hint="eastAsia" w:ascii="Times New Roman" w:hAnsi="Times New Roman"/>
          <w:color w:val="000000"/>
        </w:rPr>
        <w:t>本议案尚需提交公司2023年第一次临时股东大会审议。</w:t>
      </w:r>
    </w:p>
    <w:bookmarkEnd w:id="5"/>
    <w:p>
      <w:pPr>
        <w:spacing w:before="120" w:beforeLines="50" w:after="120" w:afterLines="50" w:line="360" w:lineRule="auto"/>
        <w:ind w:firstLine="482" w:firstLineChars="200"/>
        <w:jc w:val="both"/>
        <w:rPr>
          <w:rFonts w:ascii="Times New Roman" w:hAnsi="Times New Roman"/>
          <w:b/>
          <w:szCs w:val="23"/>
        </w:rPr>
      </w:pPr>
      <w:r>
        <w:rPr>
          <w:rFonts w:hint="eastAsia" w:ascii="Times New Roman" w:hAnsi="Times New Roman"/>
          <w:b/>
          <w:szCs w:val="23"/>
        </w:rPr>
        <w:t>（六）审议通过《关于制定</w:t>
      </w:r>
      <w:r>
        <w:rPr>
          <w:rFonts w:ascii="Times New Roman" w:hAnsi="Times New Roman"/>
          <w:b/>
          <w:szCs w:val="23"/>
        </w:rPr>
        <w:t>&lt;青岛伟隆阀门股份有限公司可转换公司债券持有人会议规则&gt;的议案》</w:t>
      </w:r>
    </w:p>
    <w:p>
      <w:pPr>
        <w:spacing w:before="120" w:beforeLines="50" w:after="120" w:afterLines="50" w:line="360" w:lineRule="auto"/>
        <w:ind w:firstLine="480" w:firstLineChars="200"/>
        <w:jc w:val="both"/>
        <w:rPr>
          <w:rFonts w:ascii="Times New Roman" w:hAnsi="Times New Roman"/>
          <w:color w:val="000000"/>
        </w:rPr>
      </w:pPr>
      <w:r>
        <w:rPr>
          <w:rFonts w:hint="eastAsia" w:ascii="Times New Roman" w:hAnsi="Times New Roman"/>
          <w:color w:val="000000"/>
        </w:rPr>
        <w:t>为规范公司可转换公司债券持有人会议的组织和行为，界定债券持有人会议的权利和义务，保障债券持有人的合法权益，根据《中华人民共和国公司法》《中华人民共和国证券法》《上市公司证券发行管理办法》《公司债券发行与交易管理办法》《可转换公司债券管理办法》等法律、法规及规范性文件要求，并结合公司的实际情况，公司制定了</w:t>
      </w:r>
      <w:bookmarkStart w:id="6" w:name="_Hlk123582193"/>
      <w:r>
        <w:rPr>
          <w:rFonts w:hint="eastAsia" w:ascii="Times New Roman" w:hAnsi="Times New Roman"/>
          <w:color w:val="000000"/>
        </w:rPr>
        <w:t>《青岛伟隆阀门股份有限公司可转换公司债券持有人会议规则》</w:t>
      </w:r>
      <w:bookmarkEnd w:id="6"/>
      <w:r>
        <w:rPr>
          <w:rFonts w:hint="eastAsia" w:ascii="Times New Roman" w:hAnsi="Times New Roman"/>
          <w:color w:val="000000"/>
        </w:rPr>
        <w:t>，具体内容详见巨潮资讯网（</w:t>
      </w:r>
      <w:r>
        <w:rPr>
          <w:rFonts w:ascii="Times New Roman" w:hAnsi="Times New Roman"/>
          <w:color w:val="000000"/>
        </w:rPr>
        <w:t>www.cninfo.com.cn）</w:t>
      </w:r>
      <w:r>
        <w:rPr>
          <w:rFonts w:hint="eastAsia" w:ascii="Times New Roman" w:hAnsi="Times New Roman"/>
          <w:color w:val="000000"/>
        </w:rPr>
        <w:t>。</w:t>
      </w:r>
    </w:p>
    <w:p>
      <w:pPr>
        <w:pStyle w:val="20"/>
        <w:spacing w:before="120" w:beforeLines="50" w:after="120" w:afterLines="50" w:line="360" w:lineRule="auto"/>
        <w:ind w:firstLine="482" w:firstLineChars="200"/>
        <w:rPr>
          <w:b/>
          <w:sz w:val="24"/>
        </w:rPr>
      </w:pPr>
      <w:bookmarkStart w:id="7" w:name="_Hlk123587276"/>
      <w:r>
        <w:rPr>
          <w:rFonts w:hint="eastAsia"/>
          <w:b/>
          <w:sz w:val="24"/>
        </w:rPr>
        <w:t>表决结果：同意3票，弃权0票，反对0票。获得通过。</w:t>
      </w:r>
    </w:p>
    <w:p>
      <w:pPr>
        <w:spacing w:before="120" w:beforeLines="50" w:after="120" w:afterLines="50" w:line="360" w:lineRule="auto"/>
        <w:ind w:firstLine="480" w:firstLineChars="200"/>
        <w:jc w:val="both"/>
        <w:rPr>
          <w:rFonts w:ascii="Times New Roman" w:hAnsi="Times New Roman" w:cs="Times New Roman"/>
        </w:rPr>
      </w:pPr>
      <w:bookmarkStart w:id="8" w:name="_Hlk123587259"/>
      <w:r>
        <w:rPr>
          <w:rFonts w:hint="eastAsia" w:ascii="Times New Roman" w:hAnsi="Times New Roman"/>
          <w:color w:val="000000"/>
        </w:rPr>
        <w:t>本议案尚需提交公司2023年第一次临时股东大会审议。</w:t>
      </w:r>
    </w:p>
    <w:bookmarkEnd w:id="7"/>
    <w:bookmarkEnd w:id="8"/>
    <w:p>
      <w:pPr>
        <w:spacing w:before="120" w:beforeLines="50" w:after="120" w:afterLines="50" w:line="360" w:lineRule="auto"/>
        <w:ind w:firstLine="482" w:firstLineChars="200"/>
        <w:jc w:val="both"/>
        <w:rPr>
          <w:rFonts w:ascii="Times New Roman" w:hAnsi="Times New Roman"/>
          <w:b/>
          <w:szCs w:val="23"/>
        </w:rPr>
      </w:pPr>
      <w:r>
        <w:rPr>
          <w:rFonts w:hint="eastAsia" w:ascii="Times New Roman" w:hAnsi="Times New Roman"/>
          <w:b/>
          <w:szCs w:val="23"/>
        </w:rPr>
        <w:t>（七）审议通过《关于公司公开发行可转换公司债券摊薄即期回报及填补措施和相关主体承诺的议案》</w:t>
      </w:r>
    </w:p>
    <w:p>
      <w:pPr>
        <w:spacing w:before="120" w:beforeLines="50" w:after="120" w:afterLines="50" w:line="360" w:lineRule="auto"/>
        <w:ind w:firstLine="480" w:firstLineChars="200"/>
        <w:jc w:val="both"/>
        <w:rPr>
          <w:rFonts w:ascii="Times New Roman" w:hAnsi="Times New Roman"/>
          <w:szCs w:val="23"/>
        </w:rPr>
      </w:pPr>
      <w:r>
        <w:rPr>
          <w:rFonts w:ascii="Times New Roman" w:hAnsi="Times New Roman"/>
        </w:rPr>
        <w:t>根据《国务院办公厅关于进一步加强资本市场中小投资者合法权益保护工作的意见》《关于首发及再融资、重大资产重组摊薄即期回报有关事项的指导意见》等相关规定，为保障中小投资者利益，公司就本次发行对即期回报摊薄的影响进行了分析并提出了具体的填补回报措施，相关主体对公司填补回报措施能够得到切实履行做出了承诺</w:t>
      </w:r>
      <w:r>
        <w:rPr>
          <w:rFonts w:hint="eastAsia" w:ascii="Times New Roman" w:hAnsi="Times New Roman"/>
        </w:rPr>
        <w:t>，具体内容详见巨潮资讯网（</w:t>
      </w:r>
      <w:r>
        <w:rPr>
          <w:rFonts w:ascii="Times New Roman" w:hAnsi="Times New Roman"/>
        </w:rPr>
        <w:t>www.cninfo.com.cn）披露的《青岛伟隆阀门股份有限公司关于公开发行可转换公司债券摊薄即期回报及填补措施和相关主体承诺的公告》</w:t>
      </w:r>
      <w:r>
        <w:rPr>
          <w:rFonts w:hint="eastAsia" w:ascii="Times New Roman" w:hAnsi="Times New Roman"/>
          <w:szCs w:val="23"/>
        </w:rPr>
        <w:t>。</w:t>
      </w:r>
    </w:p>
    <w:p>
      <w:pPr>
        <w:pStyle w:val="20"/>
        <w:spacing w:before="120" w:beforeLines="50" w:after="120" w:afterLines="50" w:line="360" w:lineRule="auto"/>
        <w:ind w:firstLine="482" w:firstLineChars="200"/>
        <w:rPr>
          <w:b/>
          <w:sz w:val="24"/>
        </w:rPr>
      </w:pPr>
      <w:bookmarkStart w:id="9" w:name="_Hlk123587357"/>
      <w:r>
        <w:rPr>
          <w:rFonts w:hint="eastAsia"/>
          <w:b/>
          <w:sz w:val="24"/>
        </w:rPr>
        <w:t>表决结果：同意3票，弃权0票，反对0票。获得通过。</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olor w:val="000000"/>
        </w:rPr>
        <w:t>本议案尚需提交公司2023年第一次临时股东大会审议。</w:t>
      </w:r>
    </w:p>
    <w:bookmarkEnd w:id="9"/>
    <w:p>
      <w:pPr>
        <w:spacing w:before="120" w:beforeLines="50" w:after="120" w:afterLines="50" w:line="360" w:lineRule="auto"/>
        <w:ind w:firstLine="482" w:firstLineChars="200"/>
        <w:jc w:val="both"/>
        <w:rPr>
          <w:rFonts w:ascii="Times New Roman" w:hAnsi="Times New Roman"/>
          <w:b/>
          <w:szCs w:val="23"/>
        </w:rPr>
      </w:pPr>
      <w:r>
        <w:rPr>
          <w:rFonts w:hint="eastAsia" w:ascii="Times New Roman" w:hAnsi="Times New Roman"/>
          <w:b/>
          <w:szCs w:val="23"/>
        </w:rPr>
        <w:t>（八）审议通过</w:t>
      </w:r>
      <w:r>
        <w:rPr>
          <w:rFonts w:ascii="Times New Roman" w:hAnsi="Times New Roman"/>
          <w:b/>
          <w:szCs w:val="23"/>
        </w:rPr>
        <w:t>《</w:t>
      </w:r>
      <w:r>
        <w:rPr>
          <w:rFonts w:hint="eastAsia" w:ascii="Times New Roman" w:hAnsi="Times New Roman"/>
          <w:b/>
          <w:szCs w:val="23"/>
        </w:rPr>
        <w:t>关于公开发行可转换公司债券有关担保事项暨关联交易的议案</w:t>
      </w:r>
      <w:r>
        <w:rPr>
          <w:rFonts w:ascii="Times New Roman" w:hAnsi="Times New Roman"/>
          <w:b/>
          <w:szCs w:val="23"/>
        </w:rPr>
        <w:t>》</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rPr>
        <w:t>公司董事长、控股股东、实际控制人范庆伟为公司本次发行可转债提供连带责任担保，本次担保不向公司收取任何费用，亦不需要公司提供反担保。担保范围为本公司经中国证监会核准发行的可转债本金及利息、违约金、损害赔偿金及实现债权的合理费用，担保的受益人为全体债券持有人，以保障本次可转债的本息按照约定如期足额兑付</w:t>
      </w:r>
      <w:r>
        <w:rPr>
          <w:rFonts w:hint="eastAsia" w:ascii="Times New Roman" w:hAnsi="Times New Roman" w:cs="Times New Roman"/>
        </w:rPr>
        <w:t>，具体内容详见巨潮资讯网（</w:t>
      </w:r>
      <w:r>
        <w:rPr>
          <w:rFonts w:ascii="Times New Roman" w:hAnsi="Times New Roman" w:cs="Times New Roman"/>
        </w:rPr>
        <w:t>www.cninfo.com.cn）披露的《青岛伟隆阀门股份有限公司</w:t>
      </w:r>
      <w:r>
        <w:rPr>
          <w:rFonts w:hint="eastAsia" w:ascii="Times New Roman" w:hAnsi="Times New Roman" w:cs="Times New Roman"/>
        </w:rPr>
        <w:t>关于公开发行可转换公司债券有关担保事项暨关联交易的公告</w:t>
      </w:r>
      <w:r>
        <w:rPr>
          <w:rFonts w:ascii="Times New Roman" w:hAnsi="Times New Roman" w:cs="Times New Roman"/>
        </w:rPr>
        <w:t>》</w:t>
      </w:r>
      <w:r>
        <w:rPr>
          <w:rFonts w:hint="eastAsia" w:ascii="Times New Roman" w:hAnsi="Times New Roman" w:cs="Times New Roman"/>
        </w:rPr>
        <w:t>。</w:t>
      </w:r>
    </w:p>
    <w:p>
      <w:pPr>
        <w:pStyle w:val="20"/>
        <w:spacing w:before="120" w:beforeLines="50" w:after="120" w:afterLines="50" w:line="360" w:lineRule="auto"/>
        <w:ind w:firstLine="482" w:firstLineChars="200"/>
        <w:rPr>
          <w:b/>
          <w:sz w:val="24"/>
        </w:rPr>
      </w:pPr>
      <w:r>
        <w:rPr>
          <w:rFonts w:hint="eastAsia"/>
          <w:b/>
          <w:sz w:val="24"/>
        </w:rPr>
        <w:t>表决结果：同意</w:t>
      </w:r>
      <w:r>
        <w:rPr>
          <w:b/>
          <w:sz w:val="24"/>
        </w:rPr>
        <w:t>3</w:t>
      </w:r>
      <w:r>
        <w:rPr>
          <w:rFonts w:hint="eastAsia"/>
          <w:b/>
          <w:sz w:val="24"/>
        </w:rPr>
        <w:t>票，弃权0票，反对0票。</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olor w:val="000000"/>
        </w:rPr>
        <w:t>本议案尚需提交公司2023年第一次临时股东大会审议。</w:t>
      </w:r>
    </w:p>
    <w:p>
      <w:pPr>
        <w:spacing w:before="120" w:beforeLines="50" w:after="120" w:afterLines="50" w:line="360" w:lineRule="auto"/>
        <w:ind w:firstLine="482" w:firstLineChars="200"/>
        <w:jc w:val="both"/>
        <w:rPr>
          <w:rFonts w:ascii="Times New Roman" w:hAnsi="Times New Roman"/>
          <w:b/>
          <w:szCs w:val="23"/>
        </w:rPr>
      </w:pPr>
      <w:r>
        <w:rPr>
          <w:rFonts w:hint="eastAsia" w:ascii="Times New Roman" w:hAnsi="Times New Roman"/>
          <w:b/>
          <w:szCs w:val="23"/>
        </w:rPr>
        <w:t>（九）审议通过《关于设立募集资金专项账户的议案》</w:t>
      </w:r>
    </w:p>
    <w:p>
      <w:pPr>
        <w:spacing w:before="120" w:beforeLines="50" w:after="120" w:afterLines="50" w:line="360" w:lineRule="auto"/>
        <w:ind w:firstLine="480" w:firstLineChars="200"/>
        <w:jc w:val="both"/>
        <w:rPr>
          <w:rFonts w:ascii="Times New Roman" w:hAnsi="Times New Roman"/>
        </w:rPr>
      </w:pPr>
      <w:r>
        <w:rPr>
          <w:rFonts w:hint="eastAsia" w:ascii="Times New Roman" w:hAnsi="Times New Roman"/>
          <w:color w:val="000000"/>
        </w:rPr>
        <w:t>为规范本次发行募集资金管理，切实保护投资者权益，根据《深圳证券交易所上市公司自律监管指引第1号——主板上市公司规范运作》《上市公司监管指引第2号——上市公司募集资金管理和使用的监管要求（2022修订）》等有关法律法规，公司募集资金应当存放于董事会指定的专项账户中。因此，公司将设立募集资金专项账户，用于本次发行募集资金存储。公司将于募集资金到位后与保荐机构、存放募集资金的银行签订募集资金三方监管协议，并及时履行信息披露义务。</w:t>
      </w:r>
    </w:p>
    <w:p>
      <w:pPr>
        <w:spacing w:before="120" w:beforeLines="50" w:after="120" w:afterLines="50" w:line="360" w:lineRule="auto"/>
        <w:ind w:firstLine="480" w:firstLineChars="200"/>
        <w:jc w:val="both"/>
        <w:rPr>
          <w:rFonts w:ascii="Times New Roman" w:hAnsi="Times New Roman"/>
          <w:color w:val="000000"/>
        </w:rPr>
      </w:pPr>
      <w:r>
        <w:rPr>
          <w:rFonts w:hint="eastAsia" w:ascii="Times New Roman" w:hAnsi="Times New Roman"/>
          <w:color w:val="000000"/>
        </w:rPr>
        <w:t>公司董事会将授权公司管理层全权办理与本次募集资金专项账户相关的事宜，包括但不限于确定及签署本次设立募集资金专项账户需签署的相关协议及文件等。</w:t>
      </w:r>
    </w:p>
    <w:p>
      <w:pPr>
        <w:pStyle w:val="20"/>
        <w:spacing w:before="120" w:beforeLines="50" w:after="120" w:afterLines="50" w:line="360" w:lineRule="auto"/>
        <w:ind w:firstLine="482" w:firstLineChars="200"/>
        <w:rPr>
          <w:b/>
          <w:sz w:val="24"/>
        </w:rPr>
      </w:pPr>
      <w:bookmarkStart w:id="10" w:name="_Hlk123587537"/>
      <w:r>
        <w:rPr>
          <w:rFonts w:hint="eastAsia"/>
          <w:b/>
          <w:sz w:val="24"/>
        </w:rPr>
        <w:t>表决结果：同意3票，弃权0票，反对0票。获得通过。</w:t>
      </w:r>
    </w:p>
    <w:p>
      <w:pPr>
        <w:spacing w:before="120" w:beforeLines="50" w:after="120" w:afterLines="50" w:line="360" w:lineRule="auto"/>
        <w:ind w:firstLine="480" w:firstLineChars="200"/>
        <w:jc w:val="both"/>
        <w:rPr>
          <w:rFonts w:ascii="Times New Roman" w:hAnsi="Times New Roman" w:cs="Times New Roman"/>
        </w:rPr>
      </w:pPr>
      <w:r>
        <w:rPr>
          <w:rFonts w:hint="eastAsia" w:ascii="Times New Roman" w:hAnsi="Times New Roman"/>
          <w:color w:val="000000"/>
        </w:rPr>
        <w:t>本议案尚需提交公司2023年第一次临时股东大会审议。</w:t>
      </w:r>
    </w:p>
    <w:bookmarkEnd w:id="10"/>
    <w:p>
      <w:pPr>
        <w:spacing w:before="120" w:beforeLines="50" w:after="120" w:afterLines="50" w:line="360" w:lineRule="auto"/>
        <w:ind w:firstLine="482" w:firstLineChars="200"/>
        <w:jc w:val="both"/>
        <w:rPr>
          <w:rFonts w:ascii="Times New Roman" w:hAnsi="Times New Roman"/>
          <w:b/>
          <w:szCs w:val="23"/>
        </w:rPr>
      </w:pPr>
      <w:r>
        <w:rPr>
          <w:rFonts w:hint="eastAsia" w:ascii="Times New Roman" w:hAnsi="Times New Roman"/>
          <w:b/>
          <w:szCs w:val="23"/>
        </w:rPr>
        <w:t>（十）审议通过《关于公司未来三年（2</w:t>
      </w:r>
      <w:r>
        <w:rPr>
          <w:rFonts w:ascii="Times New Roman" w:hAnsi="Times New Roman"/>
          <w:b/>
          <w:szCs w:val="23"/>
        </w:rPr>
        <w:t>023</w:t>
      </w:r>
      <w:r>
        <w:rPr>
          <w:rFonts w:hint="eastAsia" w:ascii="Times New Roman" w:hAnsi="Times New Roman"/>
          <w:b/>
          <w:szCs w:val="23"/>
        </w:rPr>
        <w:t>-</w:t>
      </w:r>
      <w:r>
        <w:rPr>
          <w:rFonts w:ascii="Times New Roman" w:hAnsi="Times New Roman"/>
          <w:b/>
          <w:szCs w:val="23"/>
        </w:rPr>
        <w:t>2025</w:t>
      </w:r>
      <w:r>
        <w:rPr>
          <w:rFonts w:hint="eastAsia" w:ascii="Times New Roman" w:hAnsi="Times New Roman"/>
          <w:b/>
          <w:szCs w:val="23"/>
        </w:rPr>
        <w:t>年）股东回报规划的议案》</w:t>
      </w:r>
    </w:p>
    <w:p>
      <w:pPr>
        <w:spacing w:before="120" w:beforeLines="50" w:after="120" w:afterLines="50" w:line="360" w:lineRule="auto"/>
        <w:ind w:firstLine="480" w:firstLineChars="200"/>
        <w:jc w:val="both"/>
        <w:rPr>
          <w:rFonts w:ascii="Times New Roman" w:hAnsi="Times New Roman"/>
        </w:rPr>
      </w:pPr>
      <w:r>
        <w:rPr>
          <w:rFonts w:ascii="Times New Roman" w:hAnsi="Times New Roman"/>
        </w:rPr>
        <w:t>为完善</w:t>
      </w:r>
      <w:r>
        <w:rPr>
          <w:rFonts w:hint="eastAsia" w:ascii="Times New Roman" w:hAnsi="Times New Roman"/>
        </w:rPr>
        <w:t>青岛伟隆阀门</w:t>
      </w:r>
      <w:r>
        <w:rPr>
          <w:rFonts w:ascii="Times New Roman" w:hAnsi="Times New Roman"/>
        </w:rPr>
        <w:t>股份有限公司科学、连续、稳定的分红决策和监督机制，积极回报股东，引导股东树立长期投资和理性投资理念，根据中国证券监督管理委员会（以下称“证监会”）《关于进一步落实上市公司现金分红有关事项的通知》（证监发</w:t>
      </w:r>
      <w:r>
        <w:rPr>
          <w:rFonts w:hint="eastAsia" w:ascii="Times New Roman" w:hAnsi="Times New Roman"/>
        </w:rPr>
        <w:t>【</w:t>
      </w:r>
      <w:r>
        <w:rPr>
          <w:rFonts w:ascii="Times New Roman" w:hAnsi="Times New Roman"/>
        </w:rPr>
        <w:t>2012</w:t>
      </w:r>
      <w:r>
        <w:rPr>
          <w:rFonts w:hint="eastAsia" w:ascii="Times New Roman" w:hAnsi="Times New Roman"/>
        </w:rPr>
        <w:t>】</w:t>
      </w:r>
      <w:r>
        <w:rPr>
          <w:rFonts w:ascii="Times New Roman" w:hAnsi="Times New Roman"/>
        </w:rPr>
        <w:t>37号）、《上市公司监管指引第3号——上市公司现金分红》（中国证券监督管理委员会公告</w:t>
      </w:r>
      <w:r>
        <w:rPr>
          <w:rFonts w:hint="eastAsia" w:ascii="Times New Roman" w:hAnsi="Times New Roman"/>
        </w:rPr>
        <w:t>【</w:t>
      </w:r>
      <w:r>
        <w:rPr>
          <w:rFonts w:ascii="Times New Roman" w:hAnsi="Times New Roman"/>
        </w:rPr>
        <w:t>2022</w:t>
      </w:r>
      <w:r>
        <w:rPr>
          <w:rFonts w:hint="eastAsia" w:ascii="Times New Roman" w:hAnsi="Times New Roman"/>
        </w:rPr>
        <w:t>】</w:t>
      </w:r>
      <w:r>
        <w:rPr>
          <w:rFonts w:ascii="Times New Roman" w:hAnsi="Times New Roman"/>
        </w:rPr>
        <w:t>3号）等相关法律、法规、规范性文件以及《青岛</w:t>
      </w:r>
      <w:r>
        <w:rPr>
          <w:rFonts w:hint="eastAsia" w:ascii="Times New Roman" w:hAnsi="Times New Roman"/>
        </w:rPr>
        <w:t>伟隆阀门</w:t>
      </w:r>
      <w:r>
        <w:rPr>
          <w:rFonts w:ascii="Times New Roman" w:hAnsi="Times New Roman"/>
        </w:rPr>
        <w:t>股份有限公司章程》的规定，特制订未来三年股东回报规划</w:t>
      </w:r>
      <w:r>
        <w:rPr>
          <w:rFonts w:hint="eastAsia" w:ascii="Times New Roman" w:hAnsi="Times New Roman"/>
        </w:rPr>
        <w:t>，具体内容详见巨潮资讯网（</w:t>
      </w:r>
      <w:r>
        <w:rPr>
          <w:rFonts w:ascii="Times New Roman" w:hAnsi="Times New Roman"/>
        </w:rPr>
        <w:t>www.cninfo.com.cn）。</w:t>
      </w:r>
    </w:p>
    <w:p>
      <w:pPr>
        <w:pStyle w:val="20"/>
        <w:spacing w:before="120" w:beforeLines="50" w:after="120" w:afterLines="50" w:line="360" w:lineRule="auto"/>
        <w:ind w:firstLine="482" w:firstLineChars="200"/>
        <w:rPr>
          <w:b/>
          <w:sz w:val="24"/>
        </w:rPr>
      </w:pPr>
      <w:bookmarkStart w:id="11" w:name="_Hlk123587687"/>
      <w:bookmarkStart w:id="12" w:name="_Hlk123587827"/>
      <w:r>
        <w:rPr>
          <w:rFonts w:hint="eastAsia"/>
          <w:b/>
          <w:sz w:val="24"/>
        </w:rPr>
        <w:t>表决结果：同意3票，弃权0票，反对0票。获得通过。</w:t>
      </w:r>
    </w:p>
    <w:bookmarkEnd w:id="11"/>
    <w:p>
      <w:pPr>
        <w:spacing w:before="120" w:beforeLines="50" w:after="120" w:afterLines="50" w:line="360" w:lineRule="auto"/>
        <w:ind w:firstLine="480" w:firstLineChars="200"/>
        <w:jc w:val="both"/>
        <w:rPr>
          <w:rFonts w:ascii="Times New Roman" w:hAnsi="Times New Roman" w:cs="Times New Roman"/>
        </w:rPr>
      </w:pPr>
      <w:bookmarkStart w:id="13" w:name="_Hlk123587718"/>
      <w:r>
        <w:rPr>
          <w:rFonts w:hint="eastAsia" w:ascii="Times New Roman" w:hAnsi="Times New Roman"/>
          <w:color w:val="000000"/>
        </w:rPr>
        <w:t>本议案尚需提交公司2023年第一次临时股东大会审议。</w:t>
      </w:r>
    </w:p>
    <w:bookmarkEnd w:id="12"/>
    <w:bookmarkEnd w:id="13"/>
    <w:p>
      <w:pPr>
        <w:spacing w:before="120" w:beforeLines="50" w:after="120" w:afterLines="50" w:line="360" w:lineRule="auto"/>
        <w:ind w:firstLine="482" w:firstLineChars="200"/>
        <w:jc w:val="both"/>
        <w:rPr>
          <w:rFonts w:ascii="Times New Roman" w:hAnsi="Times New Roman"/>
          <w:b/>
          <w:szCs w:val="23"/>
        </w:rPr>
      </w:pPr>
      <w:r>
        <w:rPr>
          <w:rFonts w:hint="eastAsia" w:ascii="Times New Roman" w:hAnsi="Times New Roman"/>
          <w:b/>
          <w:szCs w:val="23"/>
        </w:rPr>
        <w:t>（十一）审议通过《关于公司继续持有且不再增加风险投资产品的议案》</w:t>
      </w:r>
    </w:p>
    <w:p>
      <w:pPr>
        <w:widowControl w:val="0"/>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s="Times New Roman"/>
          <w:kern w:val="2"/>
        </w:rPr>
        <w:t>为保证公司的投资收益，维护公司股东的权益，公司拟在风险投资产品投资期限到期后继续持有，持有期限为不超过</w:t>
      </w:r>
      <w:r>
        <w:rPr>
          <w:rFonts w:ascii="Times New Roman" w:hAnsi="Times New Roman" w:cs="Times New Roman"/>
          <w:kern w:val="2"/>
        </w:rPr>
        <w:t>2023年第一次临时股东大会审议通过之日起一</w:t>
      </w:r>
      <w:r>
        <w:rPr>
          <w:rFonts w:hint="eastAsia" w:ascii="Times New Roman" w:hAnsi="Times New Roman" w:cs="Times New Roman"/>
          <w:kern w:val="2"/>
        </w:rPr>
        <w:t>年，同时公司在上述持有期限内将不再使用自有资金购买其他新的风险投资产品，</w:t>
      </w:r>
      <w:bookmarkStart w:id="14" w:name="_Hlk124694136"/>
      <w:r>
        <w:rPr>
          <w:rFonts w:hint="eastAsia" w:ascii="Times New Roman" w:hAnsi="Times New Roman" w:cs="Times New Roman"/>
          <w:kern w:val="2"/>
        </w:rPr>
        <w:t>具体内容详见巨潮资讯网（</w:t>
      </w:r>
      <w:r>
        <w:rPr>
          <w:rFonts w:ascii="Times New Roman" w:hAnsi="Times New Roman" w:cs="Times New Roman"/>
          <w:kern w:val="2"/>
        </w:rPr>
        <w:t>www.cninfo.com.cn）</w:t>
      </w:r>
      <w:r>
        <w:rPr>
          <w:rFonts w:hint="eastAsia" w:ascii="Times New Roman" w:hAnsi="Times New Roman" w:cs="Times New Roman"/>
          <w:kern w:val="2"/>
        </w:rPr>
        <w:t>披露的《青岛伟隆阀门股份有限公司关于风险投资产品投资期限到期后继续持有的公告》</w:t>
      </w:r>
      <w:r>
        <w:rPr>
          <w:rFonts w:ascii="Times New Roman" w:hAnsi="Times New Roman" w:cs="Times New Roman"/>
          <w:kern w:val="2"/>
        </w:rPr>
        <w:t>。</w:t>
      </w:r>
      <w:bookmarkEnd w:id="14"/>
    </w:p>
    <w:p>
      <w:pPr>
        <w:pStyle w:val="20"/>
        <w:spacing w:before="120" w:beforeLines="50" w:after="120" w:afterLines="50" w:line="360" w:lineRule="auto"/>
        <w:ind w:firstLine="482" w:firstLineChars="200"/>
        <w:rPr>
          <w:b/>
          <w:sz w:val="24"/>
        </w:rPr>
      </w:pPr>
      <w:bookmarkStart w:id="15" w:name="_Hlk124694183"/>
      <w:bookmarkStart w:id="16" w:name="_Hlk123587891"/>
      <w:r>
        <w:rPr>
          <w:rFonts w:hint="eastAsia"/>
          <w:b/>
          <w:sz w:val="24"/>
        </w:rPr>
        <w:t>表决结果：同意3票，弃权0票，反对0票。获得通过。</w:t>
      </w:r>
    </w:p>
    <w:bookmarkEnd w:id="15"/>
    <w:p>
      <w:pPr>
        <w:spacing w:before="120" w:beforeLines="50" w:after="120" w:afterLines="50" w:line="360" w:lineRule="auto"/>
        <w:ind w:firstLine="480" w:firstLineChars="200"/>
        <w:jc w:val="both"/>
        <w:rPr>
          <w:rFonts w:ascii="Times New Roman" w:hAnsi="Times New Roman"/>
          <w:color w:val="000000"/>
        </w:rPr>
      </w:pPr>
      <w:r>
        <w:rPr>
          <w:rFonts w:hint="eastAsia" w:ascii="Times New Roman" w:hAnsi="Times New Roman"/>
          <w:color w:val="000000"/>
        </w:rPr>
        <w:t>本议案尚需提交公司2023年第一次临时股东大会审议。</w:t>
      </w:r>
    </w:p>
    <w:p>
      <w:pPr>
        <w:spacing w:before="120" w:beforeLines="50" w:after="120" w:afterLines="50" w:line="360" w:lineRule="auto"/>
        <w:ind w:firstLine="482" w:firstLineChars="200"/>
        <w:jc w:val="both"/>
        <w:rPr>
          <w:rFonts w:ascii="Times New Roman" w:hAnsi="Times New Roman"/>
          <w:b/>
          <w:bCs/>
          <w:color w:val="000000"/>
        </w:rPr>
      </w:pPr>
      <w:r>
        <w:rPr>
          <w:rFonts w:hint="eastAsia" w:ascii="Times New Roman" w:hAnsi="Times New Roman"/>
          <w:b/>
          <w:bCs/>
          <w:color w:val="000000"/>
        </w:rPr>
        <w:t>（十二）审议通过《关于投资建设智慧节能阀门建设项目的议案》</w:t>
      </w:r>
    </w:p>
    <w:p>
      <w:pPr>
        <w:spacing w:before="120" w:beforeLines="50" w:after="120" w:afterLines="50" w:line="360" w:lineRule="auto"/>
        <w:ind w:firstLine="480" w:firstLineChars="200"/>
        <w:jc w:val="both"/>
        <w:rPr>
          <w:rFonts w:ascii="Times New Roman" w:hAnsi="Times New Roman" w:cs="Times New Roman"/>
          <w:kern w:val="2"/>
        </w:rPr>
      </w:pPr>
      <w:r>
        <w:rPr>
          <w:rFonts w:hint="eastAsia" w:ascii="Times New Roman" w:hAnsi="Times New Roman"/>
          <w:color w:val="000000"/>
        </w:rPr>
        <w:t>公司拟投资建设智慧节能阀门建设项目，项目投资总额为2</w:t>
      </w:r>
      <w:r>
        <w:rPr>
          <w:rFonts w:ascii="Times New Roman" w:hAnsi="Times New Roman"/>
          <w:color w:val="000000"/>
        </w:rPr>
        <w:t>9,377.91</w:t>
      </w:r>
      <w:r>
        <w:rPr>
          <w:rFonts w:hint="eastAsia" w:ascii="Times New Roman" w:hAnsi="Times New Roman"/>
          <w:color w:val="000000"/>
        </w:rPr>
        <w:t>万元。</w:t>
      </w:r>
      <w:r>
        <w:rPr>
          <w:rFonts w:hint="eastAsia" w:ascii="Times New Roman" w:hAnsi="Times New Roman" w:cs="Times New Roman"/>
          <w:kern w:val="2"/>
        </w:rPr>
        <w:t>具体内容详见巨潮资讯网（</w:t>
      </w:r>
      <w:r>
        <w:rPr>
          <w:rFonts w:ascii="Times New Roman" w:hAnsi="Times New Roman" w:cs="Times New Roman"/>
          <w:kern w:val="2"/>
        </w:rPr>
        <w:t>www.cninfo.com.cn）</w:t>
      </w:r>
      <w:r>
        <w:rPr>
          <w:rFonts w:hint="eastAsia" w:ascii="Times New Roman" w:hAnsi="Times New Roman" w:cs="Times New Roman"/>
          <w:kern w:val="2"/>
        </w:rPr>
        <w:t>披露的《青岛伟隆阀门股份有限公司关于投资建设智慧节能阀门建设项目的公告》</w:t>
      </w:r>
      <w:r>
        <w:rPr>
          <w:rFonts w:ascii="Times New Roman" w:hAnsi="Times New Roman" w:cs="Times New Roman"/>
          <w:kern w:val="2"/>
        </w:rPr>
        <w:t>。</w:t>
      </w:r>
    </w:p>
    <w:p>
      <w:pPr>
        <w:pStyle w:val="20"/>
        <w:spacing w:before="120" w:beforeLines="50" w:after="120" w:afterLines="50" w:line="360" w:lineRule="auto"/>
        <w:ind w:firstLine="482" w:firstLineChars="200"/>
        <w:rPr>
          <w:b/>
          <w:sz w:val="24"/>
        </w:rPr>
      </w:pPr>
      <w:r>
        <w:rPr>
          <w:rFonts w:hint="eastAsia"/>
          <w:b/>
          <w:sz w:val="24"/>
        </w:rPr>
        <w:t>表决结果：同意3票，弃权0票，反对0票。获得通过。</w:t>
      </w:r>
    </w:p>
    <w:bookmarkEnd w:id="16"/>
    <w:p>
      <w:pPr>
        <w:spacing w:before="120" w:beforeLines="50" w:after="120" w:afterLines="50" w:line="360" w:lineRule="auto"/>
        <w:ind w:firstLine="482" w:firstLineChars="200"/>
        <w:jc w:val="both"/>
        <w:rPr>
          <w:rFonts w:ascii="Times New Roman" w:hAnsi="Times New Roman"/>
          <w:b/>
          <w:color w:val="000000"/>
        </w:rPr>
      </w:pPr>
      <w:r>
        <w:rPr>
          <w:rFonts w:hint="eastAsia" w:ascii="Times New Roman" w:hAnsi="Times New Roman"/>
          <w:b/>
          <w:color w:val="000000"/>
        </w:rPr>
        <w:t>三、备查文件</w:t>
      </w:r>
    </w:p>
    <w:p>
      <w:pPr>
        <w:spacing w:before="120" w:beforeLines="50" w:after="120" w:afterLines="50" w:line="360" w:lineRule="auto"/>
        <w:ind w:firstLine="480" w:firstLineChars="200"/>
        <w:jc w:val="both"/>
        <w:rPr>
          <w:rFonts w:ascii="Times New Roman" w:hAnsi="Times New Roman"/>
          <w:szCs w:val="23"/>
        </w:rPr>
      </w:pPr>
      <w:r>
        <w:rPr>
          <w:rFonts w:hint="eastAsia" w:ascii="Times New Roman" w:hAnsi="Times New Roman"/>
          <w:szCs w:val="23"/>
        </w:rPr>
        <w:t>1、《青岛伟隆阀门股份有限公司第四届监事会第十四次会议决议》；</w:t>
      </w:r>
    </w:p>
    <w:p>
      <w:pPr>
        <w:spacing w:before="120" w:beforeLines="50" w:after="120" w:afterLines="50" w:line="360" w:lineRule="auto"/>
        <w:ind w:firstLine="480" w:firstLineChars="200"/>
        <w:jc w:val="both"/>
        <w:rPr>
          <w:rFonts w:ascii="Times New Roman" w:hAnsi="Times New Roman"/>
          <w:szCs w:val="23"/>
        </w:rPr>
      </w:pPr>
      <w:r>
        <w:rPr>
          <w:rFonts w:hint="eastAsia" w:ascii="Times New Roman" w:hAnsi="Times New Roman"/>
          <w:szCs w:val="23"/>
        </w:rPr>
        <w:t>特此公告。</w:t>
      </w:r>
    </w:p>
    <w:p>
      <w:pPr>
        <w:spacing w:before="120" w:beforeLines="50" w:after="120" w:afterLines="50" w:line="360" w:lineRule="auto"/>
        <w:ind w:firstLine="4560" w:firstLineChars="1900"/>
        <w:jc w:val="right"/>
        <w:rPr>
          <w:rFonts w:ascii="Times New Roman" w:hAnsi="Times New Roman"/>
        </w:rPr>
      </w:pPr>
      <w:r>
        <w:rPr>
          <w:rFonts w:hint="eastAsia" w:ascii="Times New Roman" w:hAnsi="Times New Roman"/>
        </w:rPr>
        <w:t xml:space="preserve">青岛伟隆阀门股份有限公司监事会 </w:t>
      </w:r>
    </w:p>
    <w:p>
      <w:pPr>
        <w:spacing w:before="120" w:beforeLines="50" w:after="120" w:afterLines="50" w:line="360" w:lineRule="auto"/>
        <w:ind w:firstLine="5040" w:firstLineChars="2100"/>
        <w:jc w:val="right"/>
        <w:rPr>
          <w:rFonts w:asciiTheme="minorEastAsia" w:hAnsiTheme="minorEastAsia" w:eastAsiaTheme="minorEastAsia"/>
        </w:rPr>
      </w:pPr>
      <w:r>
        <w:rPr>
          <w:rFonts w:hint="eastAsia" w:ascii="Times New Roman" w:hAnsi="Times New Roman"/>
        </w:rPr>
        <w:t>202</w:t>
      </w:r>
      <w:r>
        <w:rPr>
          <w:rFonts w:ascii="Times New Roman" w:hAnsi="Times New Roman"/>
        </w:rPr>
        <w:t>3</w:t>
      </w:r>
      <w:r>
        <w:rPr>
          <w:rFonts w:hint="eastAsia" w:ascii="Times New Roman" w:hAnsi="Times New Roman"/>
        </w:rPr>
        <w:t>年1月1</w:t>
      </w:r>
      <w:r>
        <w:rPr>
          <w:rFonts w:ascii="Times New Roman" w:hAnsi="Times New Roman"/>
        </w:rPr>
        <w:t>7</w:t>
      </w:r>
      <w:r>
        <w:rPr>
          <w:rFonts w:hint="eastAsia" w:ascii="Times New Roman" w:hAnsi="Times New Roman"/>
        </w:rPr>
        <w:t>日</w:t>
      </w: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6983304"/>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172A27"/>
    <w:rsid w:val="00002287"/>
    <w:rsid w:val="000133CD"/>
    <w:rsid w:val="00022A9E"/>
    <w:rsid w:val="00023BAC"/>
    <w:rsid w:val="00031AFA"/>
    <w:rsid w:val="00034103"/>
    <w:rsid w:val="00035BCD"/>
    <w:rsid w:val="0003792E"/>
    <w:rsid w:val="000406A8"/>
    <w:rsid w:val="000459BB"/>
    <w:rsid w:val="00057EB4"/>
    <w:rsid w:val="00074DD9"/>
    <w:rsid w:val="00080C5D"/>
    <w:rsid w:val="00083826"/>
    <w:rsid w:val="00086B36"/>
    <w:rsid w:val="00087BE3"/>
    <w:rsid w:val="0009105D"/>
    <w:rsid w:val="0009255B"/>
    <w:rsid w:val="000A0FB4"/>
    <w:rsid w:val="000B01D7"/>
    <w:rsid w:val="000B2414"/>
    <w:rsid w:val="000B5CC8"/>
    <w:rsid w:val="000B6DBF"/>
    <w:rsid w:val="000C2AFB"/>
    <w:rsid w:val="000C6274"/>
    <w:rsid w:val="000D6589"/>
    <w:rsid w:val="000E2111"/>
    <w:rsid w:val="000E3FA3"/>
    <w:rsid w:val="000E4EF4"/>
    <w:rsid w:val="00100F35"/>
    <w:rsid w:val="001017B9"/>
    <w:rsid w:val="0010482D"/>
    <w:rsid w:val="00105553"/>
    <w:rsid w:val="0010568E"/>
    <w:rsid w:val="001118CE"/>
    <w:rsid w:val="00115BE8"/>
    <w:rsid w:val="0012142D"/>
    <w:rsid w:val="00121BA8"/>
    <w:rsid w:val="00123DE7"/>
    <w:rsid w:val="001306E7"/>
    <w:rsid w:val="00130FBA"/>
    <w:rsid w:val="00140D0E"/>
    <w:rsid w:val="001420CB"/>
    <w:rsid w:val="0014411C"/>
    <w:rsid w:val="001624EA"/>
    <w:rsid w:val="0016383F"/>
    <w:rsid w:val="00166112"/>
    <w:rsid w:val="001678E6"/>
    <w:rsid w:val="00172A27"/>
    <w:rsid w:val="001840A0"/>
    <w:rsid w:val="00191D6D"/>
    <w:rsid w:val="001976FE"/>
    <w:rsid w:val="001B33ED"/>
    <w:rsid w:val="001C0510"/>
    <w:rsid w:val="001C239D"/>
    <w:rsid w:val="001C2D84"/>
    <w:rsid w:val="001C4F3D"/>
    <w:rsid w:val="001C59F6"/>
    <w:rsid w:val="001C72E9"/>
    <w:rsid w:val="001D4C03"/>
    <w:rsid w:val="001D4D05"/>
    <w:rsid w:val="001E386D"/>
    <w:rsid w:val="001E4C2B"/>
    <w:rsid w:val="001E5BA2"/>
    <w:rsid w:val="001E7A4C"/>
    <w:rsid w:val="001F18B8"/>
    <w:rsid w:val="00205726"/>
    <w:rsid w:val="002153BE"/>
    <w:rsid w:val="002215DC"/>
    <w:rsid w:val="002268D0"/>
    <w:rsid w:val="00236A0E"/>
    <w:rsid w:val="002370B1"/>
    <w:rsid w:val="00244FB7"/>
    <w:rsid w:val="00256DE7"/>
    <w:rsid w:val="00263DBE"/>
    <w:rsid w:val="0027512C"/>
    <w:rsid w:val="002755EC"/>
    <w:rsid w:val="00276B4F"/>
    <w:rsid w:val="002858DA"/>
    <w:rsid w:val="00285CE5"/>
    <w:rsid w:val="002A61D4"/>
    <w:rsid w:val="002B0EBD"/>
    <w:rsid w:val="002C3FAC"/>
    <w:rsid w:val="002D086A"/>
    <w:rsid w:val="002D13A9"/>
    <w:rsid w:val="002E0336"/>
    <w:rsid w:val="002E1A29"/>
    <w:rsid w:val="002F0E27"/>
    <w:rsid w:val="002F48D1"/>
    <w:rsid w:val="002F6919"/>
    <w:rsid w:val="002F7410"/>
    <w:rsid w:val="00304F62"/>
    <w:rsid w:val="00305829"/>
    <w:rsid w:val="00315304"/>
    <w:rsid w:val="003169BE"/>
    <w:rsid w:val="00320D5B"/>
    <w:rsid w:val="0032185D"/>
    <w:rsid w:val="00322965"/>
    <w:rsid w:val="00323B43"/>
    <w:rsid w:val="00326AEC"/>
    <w:rsid w:val="00330707"/>
    <w:rsid w:val="00344CDB"/>
    <w:rsid w:val="00351C24"/>
    <w:rsid w:val="00371FC3"/>
    <w:rsid w:val="003836CA"/>
    <w:rsid w:val="003861A5"/>
    <w:rsid w:val="0039237D"/>
    <w:rsid w:val="00397139"/>
    <w:rsid w:val="003B3D60"/>
    <w:rsid w:val="003B4DB1"/>
    <w:rsid w:val="003C37B5"/>
    <w:rsid w:val="003D0346"/>
    <w:rsid w:val="003D37D8"/>
    <w:rsid w:val="003E6E49"/>
    <w:rsid w:val="003F5A48"/>
    <w:rsid w:val="004026E7"/>
    <w:rsid w:val="004054E9"/>
    <w:rsid w:val="00405E3D"/>
    <w:rsid w:val="0040741E"/>
    <w:rsid w:val="00407B06"/>
    <w:rsid w:val="00412EC7"/>
    <w:rsid w:val="00414417"/>
    <w:rsid w:val="004164C3"/>
    <w:rsid w:val="00424778"/>
    <w:rsid w:val="00426133"/>
    <w:rsid w:val="00430C7C"/>
    <w:rsid w:val="00431DD2"/>
    <w:rsid w:val="004358AB"/>
    <w:rsid w:val="00441BA4"/>
    <w:rsid w:val="00441CCB"/>
    <w:rsid w:val="0044283A"/>
    <w:rsid w:val="004435DA"/>
    <w:rsid w:val="00446109"/>
    <w:rsid w:val="004474F9"/>
    <w:rsid w:val="004543EA"/>
    <w:rsid w:val="004562BF"/>
    <w:rsid w:val="00461DAC"/>
    <w:rsid w:val="00474557"/>
    <w:rsid w:val="0048051B"/>
    <w:rsid w:val="004A0AEE"/>
    <w:rsid w:val="004B0640"/>
    <w:rsid w:val="004B5670"/>
    <w:rsid w:val="004B5F5B"/>
    <w:rsid w:val="004C3138"/>
    <w:rsid w:val="004C6E03"/>
    <w:rsid w:val="004D00D5"/>
    <w:rsid w:val="004D0EF8"/>
    <w:rsid w:val="004D481D"/>
    <w:rsid w:val="004D4CF5"/>
    <w:rsid w:val="004E1A97"/>
    <w:rsid w:val="004F695D"/>
    <w:rsid w:val="00504912"/>
    <w:rsid w:val="00516B02"/>
    <w:rsid w:val="00516F00"/>
    <w:rsid w:val="0051752B"/>
    <w:rsid w:val="005303FD"/>
    <w:rsid w:val="00535A15"/>
    <w:rsid w:val="0054097A"/>
    <w:rsid w:val="00542EC3"/>
    <w:rsid w:val="00547A07"/>
    <w:rsid w:val="00556CA9"/>
    <w:rsid w:val="005673E7"/>
    <w:rsid w:val="00572400"/>
    <w:rsid w:val="00575785"/>
    <w:rsid w:val="0057757B"/>
    <w:rsid w:val="005837BF"/>
    <w:rsid w:val="005845B6"/>
    <w:rsid w:val="005856B9"/>
    <w:rsid w:val="00590495"/>
    <w:rsid w:val="00593596"/>
    <w:rsid w:val="00596292"/>
    <w:rsid w:val="005A4475"/>
    <w:rsid w:val="005A6D3A"/>
    <w:rsid w:val="005A76DD"/>
    <w:rsid w:val="005B32C7"/>
    <w:rsid w:val="005C0288"/>
    <w:rsid w:val="005C270C"/>
    <w:rsid w:val="005C3A4D"/>
    <w:rsid w:val="005C5AC8"/>
    <w:rsid w:val="005D30DF"/>
    <w:rsid w:val="005D4FA7"/>
    <w:rsid w:val="005D6C16"/>
    <w:rsid w:val="005D7414"/>
    <w:rsid w:val="005E7F9E"/>
    <w:rsid w:val="005F0BBF"/>
    <w:rsid w:val="005F31F6"/>
    <w:rsid w:val="005F36CE"/>
    <w:rsid w:val="005F3F03"/>
    <w:rsid w:val="005F7BD7"/>
    <w:rsid w:val="00600A93"/>
    <w:rsid w:val="00603B5E"/>
    <w:rsid w:val="00607D7B"/>
    <w:rsid w:val="00617684"/>
    <w:rsid w:val="006234A3"/>
    <w:rsid w:val="006234D3"/>
    <w:rsid w:val="0062629A"/>
    <w:rsid w:val="00641D9C"/>
    <w:rsid w:val="00654C24"/>
    <w:rsid w:val="006553C2"/>
    <w:rsid w:val="006569DC"/>
    <w:rsid w:val="00662EDD"/>
    <w:rsid w:val="00681668"/>
    <w:rsid w:val="006824B5"/>
    <w:rsid w:val="00693E7C"/>
    <w:rsid w:val="006B53EC"/>
    <w:rsid w:val="006B6A27"/>
    <w:rsid w:val="006E314F"/>
    <w:rsid w:val="006E5BCD"/>
    <w:rsid w:val="006E7605"/>
    <w:rsid w:val="006F3AC2"/>
    <w:rsid w:val="006F4987"/>
    <w:rsid w:val="006F7013"/>
    <w:rsid w:val="00702023"/>
    <w:rsid w:val="00704317"/>
    <w:rsid w:val="00706841"/>
    <w:rsid w:val="00711A9D"/>
    <w:rsid w:val="007121CB"/>
    <w:rsid w:val="00712C1E"/>
    <w:rsid w:val="0071315D"/>
    <w:rsid w:val="00713E98"/>
    <w:rsid w:val="00716E45"/>
    <w:rsid w:val="00723678"/>
    <w:rsid w:val="007254B4"/>
    <w:rsid w:val="0073115C"/>
    <w:rsid w:val="00734BDB"/>
    <w:rsid w:val="00736CCB"/>
    <w:rsid w:val="0073781E"/>
    <w:rsid w:val="00745A00"/>
    <w:rsid w:val="007536C2"/>
    <w:rsid w:val="00753E9A"/>
    <w:rsid w:val="00760A31"/>
    <w:rsid w:val="00761250"/>
    <w:rsid w:val="00763722"/>
    <w:rsid w:val="00780673"/>
    <w:rsid w:val="007814FC"/>
    <w:rsid w:val="00785158"/>
    <w:rsid w:val="007953D7"/>
    <w:rsid w:val="007A0886"/>
    <w:rsid w:val="007A6BE9"/>
    <w:rsid w:val="007A72B5"/>
    <w:rsid w:val="007A7C6E"/>
    <w:rsid w:val="007B1F9D"/>
    <w:rsid w:val="007C0DCC"/>
    <w:rsid w:val="007C4641"/>
    <w:rsid w:val="007D5D47"/>
    <w:rsid w:val="007E25F6"/>
    <w:rsid w:val="007E7070"/>
    <w:rsid w:val="007E77F2"/>
    <w:rsid w:val="007F1020"/>
    <w:rsid w:val="008007FF"/>
    <w:rsid w:val="00807B40"/>
    <w:rsid w:val="00812732"/>
    <w:rsid w:val="00813D13"/>
    <w:rsid w:val="00821031"/>
    <w:rsid w:val="00825861"/>
    <w:rsid w:val="008347DD"/>
    <w:rsid w:val="008424D8"/>
    <w:rsid w:val="00850A74"/>
    <w:rsid w:val="00856162"/>
    <w:rsid w:val="00862320"/>
    <w:rsid w:val="00862530"/>
    <w:rsid w:val="00862FF1"/>
    <w:rsid w:val="00866333"/>
    <w:rsid w:val="00873860"/>
    <w:rsid w:val="0088084E"/>
    <w:rsid w:val="00880E05"/>
    <w:rsid w:val="00881A67"/>
    <w:rsid w:val="00882566"/>
    <w:rsid w:val="00884EA0"/>
    <w:rsid w:val="0088530D"/>
    <w:rsid w:val="00885EF3"/>
    <w:rsid w:val="00890C7E"/>
    <w:rsid w:val="008948D7"/>
    <w:rsid w:val="00895B95"/>
    <w:rsid w:val="008A11C3"/>
    <w:rsid w:val="008A287C"/>
    <w:rsid w:val="008A69F0"/>
    <w:rsid w:val="008B7726"/>
    <w:rsid w:val="008C355F"/>
    <w:rsid w:val="008C4867"/>
    <w:rsid w:val="008D17AC"/>
    <w:rsid w:val="008F2CD2"/>
    <w:rsid w:val="0090339E"/>
    <w:rsid w:val="0090559A"/>
    <w:rsid w:val="00906715"/>
    <w:rsid w:val="0091337C"/>
    <w:rsid w:val="00931492"/>
    <w:rsid w:val="00931B73"/>
    <w:rsid w:val="00951A9C"/>
    <w:rsid w:val="009550BA"/>
    <w:rsid w:val="00957604"/>
    <w:rsid w:val="00962038"/>
    <w:rsid w:val="0096231F"/>
    <w:rsid w:val="00964FDF"/>
    <w:rsid w:val="00970166"/>
    <w:rsid w:val="0097585D"/>
    <w:rsid w:val="009815D2"/>
    <w:rsid w:val="0098339F"/>
    <w:rsid w:val="0098481A"/>
    <w:rsid w:val="0098779B"/>
    <w:rsid w:val="0099464B"/>
    <w:rsid w:val="009A1CC7"/>
    <w:rsid w:val="009A3A37"/>
    <w:rsid w:val="009B3B69"/>
    <w:rsid w:val="009B3FC6"/>
    <w:rsid w:val="009B47AC"/>
    <w:rsid w:val="009B7A89"/>
    <w:rsid w:val="009C0906"/>
    <w:rsid w:val="009C1E43"/>
    <w:rsid w:val="009C376A"/>
    <w:rsid w:val="009C4655"/>
    <w:rsid w:val="009C73EF"/>
    <w:rsid w:val="009E255D"/>
    <w:rsid w:val="009E2F97"/>
    <w:rsid w:val="009E393E"/>
    <w:rsid w:val="009F0E4E"/>
    <w:rsid w:val="009F36B3"/>
    <w:rsid w:val="009F58D5"/>
    <w:rsid w:val="009F71CF"/>
    <w:rsid w:val="00A02B6C"/>
    <w:rsid w:val="00A06114"/>
    <w:rsid w:val="00A0704F"/>
    <w:rsid w:val="00A1189E"/>
    <w:rsid w:val="00A155EB"/>
    <w:rsid w:val="00A2437C"/>
    <w:rsid w:val="00A303AA"/>
    <w:rsid w:val="00A309B1"/>
    <w:rsid w:val="00A375A5"/>
    <w:rsid w:val="00A37E1E"/>
    <w:rsid w:val="00A4726C"/>
    <w:rsid w:val="00A53A38"/>
    <w:rsid w:val="00A53FF2"/>
    <w:rsid w:val="00A7113F"/>
    <w:rsid w:val="00A9246A"/>
    <w:rsid w:val="00A94F38"/>
    <w:rsid w:val="00AA1D1A"/>
    <w:rsid w:val="00AA209B"/>
    <w:rsid w:val="00AA3EAF"/>
    <w:rsid w:val="00AB2582"/>
    <w:rsid w:val="00AB6CA0"/>
    <w:rsid w:val="00AC2F7D"/>
    <w:rsid w:val="00AC4FD6"/>
    <w:rsid w:val="00AC7411"/>
    <w:rsid w:val="00AC779D"/>
    <w:rsid w:val="00AD053D"/>
    <w:rsid w:val="00AD12CF"/>
    <w:rsid w:val="00AE6BB7"/>
    <w:rsid w:val="00AF0BFB"/>
    <w:rsid w:val="00AF16F7"/>
    <w:rsid w:val="00AF2363"/>
    <w:rsid w:val="00AF586F"/>
    <w:rsid w:val="00B022AB"/>
    <w:rsid w:val="00B06156"/>
    <w:rsid w:val="00B1297B"/>
    <w:rsid w:val="00B20D1A"/>
    <w:rsid w:val="00B25E89"/>
    <w:rsid w:val="00B26D54"/>
    <w:rsid w:val="00B447EE"/>
    <w:rsid w:val="00B44968"/>
    <w:rsid w:val="00B5054A"/>
    <w:rsid w:val="00B524CE"/>
    <w:rsid w:val="00B66B52"/>
    <w:rsid w:val="00B70156"/>
    <w:rsid w:val="00B77036"/>
    <w:rsid w:val="00B83F10"/>
    <w:rsid w:val="00BA2473"/>
    <w:rsid w:val="00BA2EED"/>
    <w:rsid w:val="00BA537F"/>
    <w:rsid w:val="00BA7825"/>
    <w:rsid w:val="00BB1843"/>
    <w:rsid w:val="00BB1DA7"/>
    <w:rsid w:val="00BB24E1"/>
    <w:rsid w:val="00BB3E20"/>
    <w:rsid w:val="00BC2A06"/>
    <w:rsid w:val="00BD0B09"/>
    <w:rsid w:val="00BE2D68"/>
    <w:rsid w:val="00BE6684"/>
    <w:rsid w:val="00BE7F41"/>
    <w:rsid w:val="00BF0B3C"/>
    <w:rsid w:val="00BF699D"/>
    <w:rsid w:val="00BF6E6F"/>
    <w:rsid w:val="00BF7870"/>
    <w:rsid w:val="00C00963"/>
    <w:rsid w:val="00C05201"/>
    <w:rsid w:val="00C05532"/>
    <w:rsid w:val="00C11DA5"/>
    <w:rsid w:val="00C12712"/>
    <w:rsid w:val="00C13DF9"/>
    <w:rsid w:val="00C30267"/>
    <w:rsid w:val="00C31997"/>
    <w:rsid w:val="00C33324"/>
    <w:rsid w:val="00C333B8"/>
    <w:rsid w:val="00C3477C"/>
    <w:rsid w:val="00C37B7A"/>
    <w:rsid w:val="00C61EB3"/>
    <w:rsid w:val="00C62F24"/>
    <w:rsid w:val="00C66033"/>
    <w:rsid w:val="00C66AD0"/>
    <w:rsid w:val="00C75AA8"/>
    <w:rsid w:val="00C83CFB"/>
    <w:rsid w:val="00C843B3"/>
    <w:rsid w:val="00C87B02"/>
    <w:rsid w:val="00C92216"/>
    <w:rsid w:val="00CB28D8"/>
    <w:rsid w:val="00CB4834"/>
    <w:rsid w:val="00CB4964"/>
    <w:rsid w:val="00CB6AA0"/>
    <w:rsid w:val="00CC0AED"/>
    <w:rsid w:val="00CC47F2"/>
    <w:rsid w:val="00CC5208"/>
    <w:rsid w:val="00CC6A94"/>
    <w:rsid w:val="00CD0469"/>
    <w:rsid w:val="00CD11B5"/>
    <w:rsid w:val="00CE3854"/>
    <w:rsid w:val="00CF0917"/>
    <w:rsid w:val="00CF2C18"/>
    <w:rsid w:val="00CF3678"/>
    <w:rsid w:val="00CF39DB"/>
    <w:rsid w:val="00CF671E"/>
    <w:rsid w:val="00CF6812"/>
    <w:rsid w:val="00D007AE"/>
    <w:rsid w:val="00D031F8"/>
    <w:rsid w:val="00D054E9"/>
    <w:rsid w:val="00D10486"/>
    <w:rsid w:val="00D117BF"/>
    <w:rsid w:val="00D31D50"/>
    <w:rsid w:val="00D352A3"/>
    <w:rsid w:val="00D476E6"/>
    <w:rsid w:val="00D50A86"/>
    <w:rsid w:val="00D60743"/>
    <w:rsid w:val="00D60E15"/>
    <w:rsid w:val="00D64A80"/>
    <w:rsid w:val="00D66EDF"/>
    <w:rsid w:val="00D72B81"/>
    <w:rsid w:val="00D731B8"/>
    <w:rsid w:val="00D747D1"/>
    <w:rsid w:val="00D85C77"/>
    <w:rsid w:val="00D87CD3"/>
    <w:rsid w:val="00D93814"/>
    <w:rsid w:val="00DA1374"/>
    <w:rsid w:val="00DA2064"/>
    <w:rsid w:val="00DB3986"/>
    <w:rsid w:val="00DB3FBD"/>
    <w:rsid w:val="00DC01E5"/>
    <w:rsid w:val="00DC0C8B"/>
    <w:rsid w:val="00DD1C68"/>
    <w:rsid w:val="00DD3E59"/>
    <w:rsid w:val="00DD54E8"/>
    <w:rsid w:val="00DE2407"/>
    <w:rsid w:val="00DE2901"/>
    <w:rsid w:val="00DF3DEA"/>
    <w:rsid w:val="00DF3F12"/>
    <w:rsid w:val="00E01DB5"/>
    <w:rsid w:val="00E10274"/>
    <w:rsid w:val="00E117DE"/>
    <w:rsid w:val="00E16FB0"/>
    <w:rsid w:val="00E2284B"/>
    <w:rsid w:val="00E33C76"/>
    <w:rsid w:val="00E43EF3"/>
    <w:rsid w:val="00E53A92"/>
    <w:rsid w:val="00E56877"/>
    <w:rsid w:val="00E57994"/>
    <w:rsid w:val="00E65E91"/>
    <w:rsid w:val="00E71239"/>
    <w:rsid w:val="00E7359B"/>
    <w:rsid w:val="00E763CA"/>
    <w:rsid w:val="00E93451"/>
    <w:rsid w:val="00E97AF6"/>
    <w:rsid w:val="00EA1640"/>
    <w:rsid w:val="00EA1986"/>
    <w:rsid w:val="00EA2F11"/>
    <w:rsid w:val="00EB1E97"/>
    <w:rsid w:val="00EB4454"/>
    <w:rsid w:val="00EC0892"/>
    <w:rsid w:val="00ED0676"/>
    <w:rsid w:val="00ED1A60"/>
    <w:rsid w:val="00ED2416"/>
    <w:rsid w:val="00ED41E8"/>
    <w:rsid w:val="00ED49F2"/>
    <w:rsid w:val="00EE12F1"/>
    <w:rsid w:val="00F0022C"/>
    <w:rsid w:val="00F00B0B"/>
    <w:rsid w:val="00F05437"/>
    <w:rsid w:val="00F14B38"/>
    <w:rsid w:val="00F212C7"/>
    <w:rsid w:val="00F271A4"/>
    <w:rsid w:val="00F47D98"/>
    <w:rsid w:val="00F53072"/>
    <w:rsid w:val="00F5660A"/>
    <w:rsid w:val="00F57C65"/>
    <w:rsid w:val="00F63194"/>
    <w:rsid w:val="00F774B4"/>
    <w:rsid w:val="00F812CF"/>
    <w:rsid w:val="00F857E5"/>
    <w:rsid w:val="00F9053F"/>
    <w:rsid w:val="00F92E21"/>
    <w:rsid w:val="00FA6923"/>
    <w:rsid w:val="00FA6CFB"/>
    <w:rsid w:val="00FB2E4A"/>
    <w:rsid w:val="00FB3708"/>
    <w:rsid w:val="00FB4B02"/>
    <w:rsid w:val="00FC4AB2"/>
    <w:rsid w:val="00FC5C4C"/>
    <w:rsid w:val="00FD6898"/>
    <w:rsid w:val="00FE2F41"/>
    <w:rsid w:val="00FF66DC"/>
    <w:rsid w:val="02122583"/>
    <w:rsid w:val="03284E8C"/>
    <w:rsid w:val="04582CCD"/>
    <w:rsid w:val="04933A7B"/>
    <w:rsid w:val="05216551"/>
    <w:rsid w:val="069B6845"/>
    <w:rsid w:val="078046A1"/>
    <w:rsid w:val="0D187065"/>
    <w:rsid w:val="0D885C74"/>
    <w:rsid w:val="0F147008"/>
    <w:rsid w:val="105140A5"/>
    <w:rsid w:val="10755F3E"/>
    <w:rsid w:val="116D12E5"/>
    <w:rsid w:val="121C111E"/>
    <w:rsid w:val="12923BE2"/>
    <w:rsid w:val="14A85ECD"/>
    <w:rsid w:val="14C00400"/>
    <w:rsid w:val="16454C4B"/>
    <w:rsid w:val="17B97431"/>
    <w:rsid w:val="19B16CD8"/>
    <w:rsid w:val="19DC653D"/>
    <w:rsid w:val="1AF3155D"/>
    <w:rsid w:val="1B456253"/>
    <w:rsid w:val="1D5A719B"/>
    <w:rsid w:val="1EBD0C06"/>
    <w:rsid w:val="1EF04B68"/>
    <w:rsid w:val="202E3BE9"/>
    <w:rsid w:val="20781BFB"/>
    <w:rsid w:val="210943B7"/>
    <w:rsid w:val="235D3917"/>
    <w:rsid w:val="25FC664A"/>
    <w:rsid w:val="269E4FC3"/>
    <w:rsid w:val="26C868E1"/>
    <w:rsid w:val="272D366F"/>
    <w:rsid w:val="294E423C"/>
    <w:rsid w:val="2AF87057"/>
    <w:rsid w:val="2B853CDD"/>
    <w:rsid w:val="2D1402D8"/>
    <w:rsid w:val="2D55162E"/>
    <w:rsid w:val="2D916E68"/>
    <w:rsid w:val="30933E1A"/>
    <w:rsid w:val="30C04352"/>
    <w:rsid w:val="3103761F"/>
    <w:rsid w:val="314F1D54"/>
    <w:rsid w:val="32490B07"/>
    <w:rsid w:val="32E83E28"/>
    <w:rsid w:val="387526AD"/>
    <w:rsid w:val="3B9E6701"/>
    <w:rsid w:val="3C9D64F0"/>
    <w:rsid w:val="3E064FBA"/>
    <w:rsid w:val="3E493A8F"/>
    <w:rsid w:val="3FDA5BD9"/>
    <w:rsid w:val="40ED7B5A"/>
    <w:rsid w:val="421C1499"/>
    <w:rsid w:val="43E925FA"/>
    <w:rsid w:val="456B3021"/>
    <w:rsid w:val="46DD5F48"/>
    <w:rsid w:val="46F8310E"/>
    <w:rsid w:val="48686316"/>
    <w:rsid w:val="49891460"/>
    <w:rsid w:val="49E23684"/>
    <w:rsid w:val="4A5E28EA"/>
    <w:rsid w:val="4B2F4F56"/>
    <w:rsid w:val="4C047638"/>
    <w:rsid w:val="4CBA7570"/>
    <w:rsid w:val="4CFF1931"/>
    <w:rsid w:val="4DB77DC7"/>
    <w:rsid w:val="4DF3372B"/>
    <w:rsid w:val="4F151068"/>
    <w:rsid w:val="509A04C8"/>
    <w:rsid w:val="54874219"/>
    <w:rsid w:val="549C6B33"/>
    <w:rsid w:val="55AC6A83"/>
    <w:rsid w:val="55EA3B6A"/>
    <w:rsid w:val="562F6EE9"/>
    <w:rsid w:val="57C87E52"/>
    <w:rsid w:val="58F12F4F"/>
    <w:rsid w:val="5AAA6638"/>
    <w:rsid w:val="5ACB0A85"/>
    <w:rsid w:val="5B2B1DCF"/>
    <w:rsid w:val="5CB66B2D"/>
    <w:rsid w:val="5D9109EC"/>
    <w:rsid w:val="5F050C94"/>
    <w:rsid w:val="6022031E"/>
    <w:rsid w:val="607B2B54"/>
    <w:rsid w:val="60A34898"/>
    <w:rsid w:val="6379684E"/>
    <w:rsid w:val="65F903AA"/>
    <w:rsid w:val="669A6275"/>
    <w:rsid w:val="66A357A5"/>
    <w:rsid w:val="66B0547D"/>
    <w:rsid w:val="66BC1FA2"/>
    <w:rsid w:val="673C0498"/>
    <w:rsid w:val="67E45DE5"/>
    <w:rsid w:val="68382019"/>
    <w:rsid w:val="686A6131"/>
    <w:rsid w:val="69490B5C"/>
    <w:rsid w:val="6BA41121"/>
    <w:rsid w:val="6BF74350"/>
    <w:rsid w:val="6CBA291E"/>
    <w:rsid w:val="6CF33B45"/>
    <w:rsid w:val="6DE62A3E"/>
    <w:rsid w:val="6E9059BD"/>
    <w:rsid w:val="6EEA2E97"/>
    <w:rsid w:val="6F380D19"/>
    <w:rsid w:val="6F6F473B"/>
    <w:rsid w:val="70B67D01"/>
    <w:rsid w:val="70DE0671"/>
    <w:rsid w:val="714E08D2"/>
    <w:rsid w:val="724E40E7"/>
    <w:rsid w:val="732D703E"/>
    <w:rsid w:val="75826128"/>
    <w:rsid w:val="75C237B9"/>
    <w:rsid w:val="769F1054"/>
    <w:rsid w:val="771B2FE0"/>
    <w:rsid w:val="775D2173"/>
    <w:rsid w:val="78627B38"/>
    <w:rsid w:val="78BA4CA5"/>
    <w:rsid w:val="7AF7054B"/>
    <w:rsid w:val="7BE129E3"/>
    <w:rsid w:val="7DD96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9"/>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pPr>
      <w:spacing w:before="100" w:beforeAutospacing="1" w:after="100" w:afterAutospacing="1"/>
    </w:pPr>
  </w:style>
  <w:style w:type="paragraph" w:styleId="8">
    <w:name w:val="annotation subject"/>
    <w:basedOn w:val="2"/>
    <w:next w:val="2"/>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rFonts w:ascii="Tahoma" w:hAnsi="Tahoma"/>
      <w:sz w:val="18"/>
      <w:szCs w:val="18"/>
    </w:rPr>
  </w:style>
  <w:style w:type="character" w:customStyle="1" w:styleId="15">
    <w:name w:val="页脚 字符"/>
    <w:basedOn w:val="11"/>
    <w:link w:val="5"/>
    <w:qFormat/>
    <w:uiPriority w:val="99"/>
    <w:rPr>
      <w:rFonts w:ascii="Tahoma" w:hAnsi="Tahoma"/>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1"/>
    <w:link w:val="2"/>
    <w:semiHidden/>
    <w:qFormat/>
    <w:uiPriority w:val="99"/>
    <w:rPr>
      <w:rFonts w:ascii="Tahoma" w:hAnsi="Tahoma"/>
    </w:rPr>
  </w:style>
  <w:style w:type="character" w:customStyle="1" w:styleId="18">
    <w:name w:val="批注主题 字符"/>
    <w:basedOn w:val="17"/>
    <w:link w:val="8"/>
    <w:semiHidden/>
    <w:qFormat/>
    <w:uiPriority w:val="99"/>
    <w:rPr>
      <w:rFonts w:ascii="Tahoma" w:hAnsi="Tahoma"/>
      <w:b/>
      <w:bCs/>
    </w:rPr>
  </w:style>
  <w:style w:type="character" w:customStyle="1" w:styleId="19">
    <w:name w:val="批注框文本 字符"/>
    <w:basedOn w:val="11"/>
    <w:link w:val="4"/>
    <w:semiHidden/>
    <w:qFormat/>
    <w:uiPriority w:val="99"/>
    <w:rPr>
      <w:rFonts w:ascii="Tahoma" w:hAnsi="Tahoma"/>
      <w:sz w:val="18"/>
      <w:szCs w:val="18"/>
    </w:rPr>
  </w:style>
  <w:style w:type="paragraph" w:customStyle="1" w:styleId="20">
    <w:name w:val="p0"/>
    <w:basedOn w:val="1"/>
    <w:qFormat/>
    <w:uiPriority w:val="0"/>
    <w:pPr>
      <w:jc w:val="both"/>
    </w:pPr>
    <w:rPr>
      <w:rFonts w:ascii="Times New Roman" w:hAnsi="Times New Roman" w:cs="Times New Roman"/>
      <w:sz w:val="21"/>
      <w:szCs w:val="21"/>
    </w:rPr>
  </w:style>
  <w:style w:type="character" w:customStyle="1" w:styleId="21">
    <w:name w:val="fontstyle01"/>
    <w:basedOn w:val="11"/>
    <w:qFormat/>
    <w:uiPriority w:val="0"/>
    <w:rPr>
      <w:rFonts w:hint="eastAsia" w:ascii="宋体" w:hAnsi="宋体" w:eastAsia="宋体"/>
      <w:color w:val="000000"/>
      <w:sz w:val="24"/>
      <w:szCs w:val="24"/>
    </w:rPr>
  </w:style>
  <w:style w:type="character" w:customStyle="1" w:styleId="22">
    <w:name w:val="fontstyle21"/>
    <w:basedOn w:val="11"/>
    <w:qFormat/>
    <w:uiPriority w:val="0"/>
    <w:rPr>
      <w:rFonts w:hint="default" w:ascii="Times New Roman" w:hAnsi="Times New Roman" w:cs="Times New Roman"/>
      <w:color w:val="000000"/>
      <w:sz w:val="24"/>
      <w:szCs w:val="24"/>
    </w:rPr>
  </w:style>
  <w:style w:type="character" w:customStyle="1" w:styleId="23">
    <w:name w:val="fontstyle11"/>
    <w:basedOn w:val="11"/>
    <w:qFormat/>
    <w:uiPriority w:val="0"/>
    <w:rPr>
      <w:rFonts w:hint="eastAsia" w:ascii="宋体" w:hAnsi="宋体" w:eastAsia="宋体"/>
      <w:color w:val="000000"/>
      <w:sz w:val="24"/>
      <w:szCs w:val="24"/>
    </w:rPr>
  </w:style>
  <w:style w:type="character" w:customStyle="1" w:styleId="24">
    <w:name w:val="da1"/>
    <w:qFormat/>
    <w:uiPriority w:val="0"/>
    <w:rPr>
      <w:rFonts w:hint="default" w:ascii="ˎ̥" w:hAnsi="ˎ̥"/>
      <w:color w:val="000000"/>
      <w:sz w:val="28"/>
      <w:szCs w:val="28"/>
      <w:u w:val="none"/>
    </w:rPr>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Revision"/>
    <w:hidden/>
    <w:semiHidden/>
    <w:uiPriority w:val="99"/>
    <w:rPr>
      <w:rFonts w:ascii="宋体" w:hAnsi="宋体" w:eastAsia="宋体" w:cs="宋体"/>
      <w:sz w:val="24"/>
      <w:szCs w:val="24"/>
      <w:lang w:val="en-US" w:eastAsia="zh-CN" w:bidi="ar-SA"/>
    </w:rPr>
  </w:style>
  <w:style w:type="character" w:customStyle="1" w:styleId="27">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7D0C-4EF0-4C6A-88E2-763F68CF25E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10054</Words>
  <Characters>10450</Characters>
  <Lines>77</Lines>
  <Paragraphs>21</Paragraphs>
  <TotalTime>0</TotalTime>
  <ScaleCrop>false</ScaleCrop>
  <LinksUpToDate>false</LinksUpToDate>
  <CharactersWithSpaces>10625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2019-10-29T03:51:00Z</dcterms:created>
  <dc:creator>Administrator</dc:creator>
  <cp:lastModifiedBy>Mr.翔</cp:lastModifiedBy>
  <dcterms:modified xsi:type="dcterms:W3CDTF">2023-01-16T09:31:49Z</dcterms:modified>
  <cp:revision>304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D241D0B8043C4DF585214B0E263F05A0</vt:lpwstr>
  </property>
</Properties>
</file>