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rPr>
          <w:color w:val="auto"/>
          <w:lang w:val="en-US"/>
        </w:rPr>
      </w:pPr>
      <w:r>
        <w:rPr>
          <w:rFonts w:hint="eastAsia"/>
          <w:color w:val="auto"/>
        </w:rPr>
        <w:t>证券代码： 002871         证券简称： 伟隆股份          公告编号： 20</w:t>
      </w:r>
      <w:r>
        <w:rPr>
          <w:rFonts w:hint="eastAsia"/>
          <w:color w:val="auto"/>
          <w:lang w:val="en-US"/>
        </w:rPr>
        <w:t>22</w:t>
      </w:r>
      <w:r>
        <w:rPr>
          <w:rFonts w:hint="eastAsia"/>
          <w:color w:val="auto"/>
        </w:rPr>
        <w:t>-</w:t>
      </w:r>
      <w:r>
        <w:rPr>
          <w:color w:val="auto"/>
          <w:lang w:val="en-US"/>
        </w:rPr>
        <w:t>090</w:t>
      </w:r>
    </w:p>
    <w:p>
      <w:pPr>
        <w:spacing w:line="480" w:lineRule="auto"/>
        <w:ind w:firstLine="543" w:firstLineChars="193"/>
        <w:jc w:val="center"/>
        <w:rPr>
          <w:rFonts w:ascii="宋体" w:hAnsi="宋体" w:eastAsia="宋体"/>
          <w:b/>
          <w:bCs/>
          <w:color w:val="auto"/>
          <w:sz w:val="28"/>
          <w:szCs w:val="24"/>
        </w:rPr>
      </w:pPr>
      <w:r>
        <w:rPr>
          <w:rFonts w:hint="eastAsia" w:ascii="宋体" w:hAnsi="宋体" w:eastAsia="宋体"/>
          <w:b/>
          <w:bCs/>
          <w:color w:val="auto"/>
          <w:sz w:val="28"/>
          <w:szCs w:val="24"/>
        </w:rPr>
        <w:t>青岛伟隆阀门股份有限公司</w:t>
      </w:r>
    </w:p>
    <w:p>
      <w:pPr>
        <w:spacing w:line="480" w:lineRule="auto"/>
        <w:ind w:firstLine="543" w:firstLineChars="193"/>
        <w:jc w:val="center"/>
        <w:rPr>
          <w:rFonts w:ascii="宋体" w:hAnsi="宋体" w:eastAsia="宋体"/>
          <w:b/>
          <w:bCs/>
          <w:color w:val="auto"/>
          <w:sz w:val="28"/>
          <w:szCs w:val="24"/>
        </w:rPr>
      </w:pPr>
      <w:r>
        <w:rPr>
          <w:rFonts w:hint="eastAsia" w:ascii="宋体" w:hAnsi="宋体" w:eastAsia="宋体"/>
          <w:b/>
          <w:bCs/>
          <w:color w:val="auto"/>
          <w:sz w:val="28"/>
          <w:szCs w:val="24"/>
        </w:rPr>
        <w:t>关于持股</w:t>
      </w:r>
      <w:r>
        <w:rPr>
          <w:rFonts w:hint="eastAsia" w:ascii="宋体" w:hAnsi="宋体" w:eastAsia="宋体"/>
          <w:b/>
          <w:bCs/>
          <w:color w:val="auto"/>
          <w:sz w:val="28"/>
          <w:szCs w:val="24"/>
          <w:lang w:val="en-US"/>
        </w:rPr>
        <w:t>5%以上股东及高级管理人员</w:t>
      </w:r>
      <w:r>
        <w:rPr>
          <w:rFonts w:hint="eastAsia" w:ascii="宋体" w:hAnsi="宋体" w:eastAsia="宋体"/>
          <w:b/>
          <w:bCs/>
          <w:color w:val="auto"/>
          <w:sz w:val="28"/>
          <w:szCs w:val="24"/>
        </w:rPr>
        <w:t>减持计划的预披露公告</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jc w:val="center"/>
        </w:trPr>
        <w:tc>
          <w:tcPr>
            <w:tcW w:w="5000" w:type="pct"/>
            <w:tcBorders>
              <w:top w:val="single" w:color="auto" w:sz="4" w:space="0"/>
              <w:left w:val="single" w:color="auto" w:sz="4" w:space="0"/>
              <w:bottom w:val="single" w:color="auto" w:sz="4" w:space="0"/>
              <w:right w:val="single" w:color="auto" w:sz="4" w:space="0"/>
            </w:tcBorders>
          </w:tcPr>
          <w:p>
            <w:pPr>
              <w:ind w:firstLine="360" w:firstLineChars="150"/>
              <w:rPr>
                <w:rFonts w:ascii="宋体" w:hAnsi="宋体" w:eastAsia="宋体"/>
                <w:color w:val="auto"/>
                <w:sz w:val="24"/>
                <w:szCs w:val="24"/>
              </w:rPr>
            </w:pPr>
          </w:p>
          <w:p>
            <w:pPr>
              <w:ind w:firstLine="360" w:firstLineChars="150"/>
              <w:rPr>
                <w:rFonts w:ascii="宋体" w:hAnsi="宋体" w:eastAsia="宋体"/>
                <w:color w:val="auto"/>
                <w:sz w:val="24"/>
                <w:szCs w:val="24"/>
              </w:rPr>
            </w:pPr>
            <w:r>
              <w:rPr>
                <w:rFonts w:hint="eastAsia" w:ascii="宋体" w:hAnsi="宋体" w:eastAsia="宋体"/>
                <w:color w:val="auto"/>
                <w:sz w:val="24"/>
                <w:szCs w:val="24"/>
              </w:rPr>
              <w:t>本公司持股5%以上的股东江西惠隆企业管理有限公司、高级管理人员李会君先生保证向本公司提供的信息内容真实、准确、完整，没有虚假记载、误导性陈述或重大遗漏。</w:t>
            </w:r>
            <w:r>
              <w:rPr>
                <w:rFonts w:ascii="宋体" w:hAnsi="宋体" w:eastAsia="宋体"/>
                <w:color w:val="auto"/>
                <w:sz w:val="24"/>
                <w:szCs w:val="24"/>
              </w:rPr>
              <w:t xml:space="preserve"> </w:t>
            </w:r>
          </w:p>
          <w:p>
            <w:pPr>
              <w:spacing w:beforeLines="50" w:afterLines="50" w:line="360" w:lineRule="auto"/>
              <w:ind w:firstLine="360" w:firstLineChars="150"/>
              <w:rPr>
                <w:rFonts w:ascii="宋体" w:hAnsi="宋体" w:eastAsia="宋体" w:cs="宋体"/>
                <w:color w:val="auto"/>
                <w:sz w:val="24"/>
                <w:szCs w:val="24"/>
              </w:rPr>
            </w:pPr>
            <w:r>
              <w:rPr>
                <w:rFonts w:hint="eastAsia" w:ascii="宋体" w:hAnsi="宋体" w:eastAsia="宋体"/>
                <w:color w:val="auto"/>
                <w:sz w:val="24"/>
                <w:szCs w:val="24"/>
              </w:rPr>
              <w:t>本公司及董事会全体成员保证公告内容与信息披露义务人提供的信息一致。</w:t>
            </w:r>
          </w:p>
        </w:tc>
      </w:tr>
    </w:tbl>
    <w:p>
      <w:pPr>
        <w:pStyle w:val="17"/>
        <w:spacing w:after="240"/>
        <w:ind w:firstLine="463" w:firstLineChars="193"/>
        <w:rPr>
          <w:rFonts w:asciiTheme="minorEastAsia" w:hAnsiTheme="minorEastAsia" w:eastAsiaTheme="minorEastAsia"/>
          <w:color w:val="auto"/>
        </w:rPr>
      </w:pPr>
    </w:p>
    <w:p>
      <w:pPr>
        <w:spacing w:beforeLines="50" w:afterLines="50" w:line="360" w:lineRule="auto"/>
        <w:ind w:firstLine="440"/>
        <w:rPr>
          <w:rFonts w:ascii="宋体" w:hAnsi="宋体" w:eastAsia="宋体"/>
          <w:b/>
          <w:color w:val="auto"/>
        </w:rPr>
      </w:pPr>
      <w:r>
        <w:rPr>
          <w:rFonts w:hint="eastAsia" w:ascii="宋体" w:hAnsi="宋体" w:eastAsia="宋体"/>
          <w:b/>
          <w:color w:val="auto"/>
        </w:rPr>
        <w:t>特别提示：</w:t>
      </w:r>
    </w:p>
    <w:p>
      <w:pPr>
        <w:spacing w:beforeLines="50" w:afterLines="50" w:line="480" w:lineRule="auto"/>
        <w:ind w:firstLine="440" w:firstLineChars="200"/>
        <w:rPr>
          <w:rFonts w:ascii="宋体" w:hAnsi="宋体" w:eastAsia="宋体"/>
          <w:color w:val="auto"/>
          <w:szCs w:val="21"/>
        </w:rPr>
      </w:pPr>
      <w:r>
        <w:rPr>
          <w:rFonts w:hint="eastAsia" w:ascii="宋体" w:hAnsi="宋体" w:eastAsia="宋体"/>
          <w:color w:val="auto"/>
          <w:szCs w:val="21"/>
        </w:rPr>
        <w:t>1、青岛伟隆阀门股份有限公司（以下简称“公司”）于近日收到公司持股5%以上股东江西惠隆企业管理有限公司（以下简称“惠隆管理”）及公司高级管理人员李会君先生的《</w:t>
      </w:r>
      <w:r>
        <w:rPr>
          <w:rFonts w:hint="eastAsia" w:ascii="宋体" w:hAnsi="宋体" w:eastAsia="宋体"/>
          <w:color w:val="auto"/>
          <w:szCs w:val="21"/>
          <w:lang w:val="en-US"/>
        </w:rPr>
        <w:t>关于股份减持计划的告知函</w:t>
      </w:r>
      <w:r>
        <w:rPr>
          <w:rFonts w:hint="eastAsia" w:ascii="宋体" w:hAnsi="宋体" w:eastAsia="宋体"/>
          <w:color w:val="auto"/>
          <w:szCs w:val="21"/>
        </w:rPr>
        <w:t>》，拟减持公司股份。</w:t>
      </w:r>
    </w:p>
    <w:p>
      <w:pPr>
        <w:spacing w:beforeLines="50" w:afterLines="50" w:line="480" w:lineRule="auto"/>
        <w:ind w:firstLine="440" w:firstLineChars="200"/>
        <w:rPr>
          <w:rFonts w:ascii="宋体" w:hAnsi="宋体" w:eastAsia="宋体"/>
          <w:color w:val="auto"/>
          <w:szCs w:val="21"/>
        </w:rPr>
      </w:pPr>
      <w:r>
        <w:rPr>
          <w:rFonts w:hint="eastAsia" w:ascii="宋体" w:hAnsi="宋体" w:eastAsia="宋体"/>
          <w:color w:val="auto"/>
          <w:szCs w:val="21"/>
        </w:rPr>
        <w:t>2、股东持股的基本情况：截至本公告日，惠隆管理共持有公司股份</w:t>
      </w:r>
      <w:r>
        <w:rPr>
          <w:rFonts w:hint="eastAsia" w:ascii="宋体" w:hAnsi="宋体" w:eastAsia="宋体"/>
          <w:color w:val="auto"/>
          <w:szCs w:val="21"/>
          <w:lang w:val="en-US"/>
        </w:rPr>
        <w:t>8,920,000</w:t>
      </w:r>
      <w:r>
        <w:rPr>
          <w:rFonts w:hint="eastAsia" w:ascii="宋体" w:hAnsi="宋体" w:eastAsia="宋体"/>
          <w:color w:val="auto"/>
          <w:szCs w:val="21"/>
        </w:rPr>
        <w:t>股，占公司总股本</w:t>
      </w:r>
      <w:r>
        <w:rPr>
          <w:rFonts w:hint="eastAsia" w:ascii="宋体" w:hAnsi="宋体" w:eastAsia="宋体"/>
          <w:color w:val="auto"/>
          <w:szCs w:val="21"/>
          <w:lang w:val="en-US"/>
        </w:rPr>
        <w:t>5.28</w:t>
      </w:r>
      <w:r>
        <w:rPr>
          <w:rFonts w:hint="eastAsia" w:ascii="宋体" w:hAnsi="宋体" w:eastAsia="宋体"/>
          <w:color w:val="auto"/>
          <w:szCs w:val="21"/>
        </w:rPr>
        <w:t>%。股份来源为IPO前及公司上市后资本公积金转增股本取得；高级管理人员李会君</w:t>
      </w:r>
      <w:r>
        <w:rPr>
          <w:rFonts w:hint="eastAsia" w:ascii="宋体" w:hAnsi="宋体" w:eastAsia="宋体"/>
          <w:color w:val="auto"/>
          <w:szCs w:val="21"/>
          <w:lang w:eastAsia="zh-CN"/>
        </w:rPr>
        <w:t>直接</w:t>
      </w:r>
      <w:bookmarkStart w:id="0" w:name="_GoBack"/>
      <w:bookmarkEnd w:id="0"/>
      <w:r>
        <w:rPr>
          <w:rFonts w:hint="eastAsia" w:ascii="宋体" w:hAnsi="宋体" w:eastAsia="宋体"/>
          <w:color w:val="auto"/>
          <w:szCs w:val="21"/>
        </w:rPr>
        <w:t>持有公司股份</w:t>
      </w:r>
      <w:r>
        <w:rPr>
          <w:rFonts w:hint="eastAsia" w:ascii="宋体" w:hAnsi="宋体" w:eastAsia="宋体"/>
          <w:color w:val="auto"/>
          <w:szCs w:val="21"/>
          <w:lang w:val="en-US"/>
        </w:rPr>
        <w:t>80,000股，占公司总股本0.0473%。股份来源为</w:t>
      </w:r>
      <w:r>
        <w:rPr>
          <w:rFonts w:hint="eastAsia" w:ascii="宋体" w:hAnsi="宋体" w:eastAsia="宋体"/>
          <w:color w:val="auto"/>
        </w:rPr>
        <w:t>20</w:t>
      </w:r>
      <w:r>
        <w:rPr>
          <w:rFonts w:hint="eastAsia" w:ascii="宋体" w:hAnsi="宋体" w:eastAsia="宋体"/>
          <w:color w:val="auto"/>
          <w:lang w:val="en-US"/>
        </w:rPr>
        <w:t>21</w:t>
      </w:r>
      <w:r>
        <w:rPr>
          <w:rFonts w:hint="eastAsia" w:ascii="宋体" w:hAnsi="宋体" w:eastAsia="宋体"/>
          <w:color w:val="auto"/>
        </w:rPr>
        <w:t>年度限制性股票股权激励的股份</w:t>
      </w:r>
      <w:r>
        <w:rPr>
          <w:rFonts w:hint="eastAsia" w:ascii="宋体" w:hAnsi="宋体" w:eastAsia="宋体"/>
          <w:color w:val="auto"/>
          <w:szCs w:val="21"/>
        </w:rPr>
        <w:t>。</w:t>
      </w:r>
    </w:p>
    <w:p>
      <w:pPr>
        <w:spacing w:beforeLines="50" w:afterLines="50" w:line="480" w:lineRule="auto"/>
        <w:ind w:firstLine="440" w:firstLineChars="200"/>
        <w:rPr>
          <w:rFonts w:ascii="宋体" w:hAnsi="宋体" w:eastAsia="宋体"/>
          <w:color w:val="auto"/>
          <w:szCs w:val="21"/>
        </w:rPr>
      </w:pPr>
      <w:r>
        <w:rPr>
          <w:rFonts w:hint="eastAsia" w:ascii="宋体" w:hAnsi="宋体" w:eastAsia="宋体"/>
          <w:color w:val="auto"/>
          <w:szCs w:val="21"/>
        </w:rPr>
        <w:t>3、减持计划的主要内容：惠隆管理计划自本公告披露之日起十五个交易日后的六个月内通过集中竞价方式及自本公告披露之日起三个交易日后的六个月内通过</w:t>
      </w:r>
      <w:r>
        <w:rPr>
          <w:rFonts w:hint="eastAsia" w:ascii="宋体" w:hAnsi="宋体" w:eastAsia="宋体" w:cs="Times New Roman"/>
          <w:color w:val="auto"/>
          <w:szCs w:val="21"/>
        </w:rPr>
        <w:t>大宗交易方式合计减持所持有的公司股份不超过</w:t>
      </w:r>
      <w:r>
        <w:rPr>
          <w:rFonts w:ascii="宋体" w:hAnsi="宋体" w:eastAsia="宋体"/>
          <w:color w:val="auto"/>
          <w:szCs w:val="21"/>
          <w:lang w:val="en-US"/>
        </w:rPr>
        <w:t>2,230,000</w:t>
      </w:r>
      <w:r>
        <w:rPr>
          <w:rFonts w:hint="eastAsia" w:ascii="宋体" w:hAnsi="宋体" w:eastAsia="宋体"/>
          <w:color w:val="auto"/>
          <w:szCs w:val="21"/>
        </w:rPr>
        <w:t>股，</w:t>
      </w:r>
      <w:r>
        <w:rPr>
          <w:rFonts w:hint="eastAsia" w:ascii="宋体" w:hAnsi="宋体" w:eastAsia="宋体" w:cs="Times New Roman"/>
          <w:color w:val="auto"/>
          <w:szCs w:val="21"/>
        </w:rPr>
        <w:t>即减持不超过总股本的</w:t>
      </w:r>
      <w:r>
        <w:rPr>
          <w:rFonts w:ascii="宋体" w:hAnsi="宋体" w:eastAsia="宋体" w:cs="Times New Roman"/>
          <w:color w:val="auto"/>
          <w:szCs w:val="21"/>
          <w:lang w:val="en-US"/>
        </w:rPr>
        <w:t>1.3193</w:t>
      </w:r>
      <w:r>
        <w:rPr>
          <w:rFonts w:hint="eastAsia" w:ascii="宋体" w:hAnsi="宋体" w:eastAsia="宋体" w:cs="Times New Roman"/>
          <w:color w:val="auto"/>
          <w:szCs w:val="21"/>
        </w:rPr>
        <w:t>%；公司高级管理人员李会君计划自本公告披露之日起十五个交易日后的六个月内</w:t>
      </w:r>
      <w:r>
        <w:rPr>
          <w:rFonts w:hint="eastAsia" w:ascii="宋体" w:hAnsi="宋体" w:eastAsia="宋体"/>
          <w:color w:val="auto"/>
          <w:szCs w:val="21"/>
        </w:rPr>
        <w:t>通过集中竞价方式</w:t>
      </w:r>
      <w:r>
        <w:rPr>
          <w:rFonts w:hint="eastAsia" w:ascii="宋体" w:hAnsi="宋体" w:eastAsia="宋体" w:cs="Times New Roman"/>
          <w:color w:val="auto"/>
          <w:szCs w:val="21"/>
        </w:rPr>
        <w:t>合计减持所持有的公司股份不超过</w:t>
      </w:r>
      <w:r>
        <w:rPr>
          <w:rFonts w:hint="eastAsia" w:ascii="宋体" w:hAnsi="宋体" w:eastAsia="宋体"/>
          <w:color w:val="auto"/>
          <w:szCs w:val="21"/>
          <w:lang w:val="en-US"/>
        </w:rPr>
        <w:t>20,000</w:t>
      </w:r>
      <w:r>
        <w:rPr>
          <w:rFonts w:hint="eastAsia" w:ascii="宋体" w:hAnsi="宋体" w:eastAsia="宋体"/>
          <w:color w:val="auto"/>
          <w:szCs w:val="21"/>
        </w:rPr>
        <w:t>股，</w:t>
      </w:r>
      <w:r>
        <w:rPr>
          <w:rFonts w:hint="eastAsia" w:ascii="宋体" w:hAnsi="宋体" w:eastAsia="宋体" w:cs="Times New Roman"/>
          <w:color w:val="auto"/>
          <w:szCs w:val="21"/>
        </w:rPr>
        <w:t>即减持不超过公司总股本的</w:t>
      </w:r>
      <w:r>
        <w:rPr>
          <w:rFonts w:hint="eastAsia" w:ascii="宋体" w:hAnsi="宋体" w:eastAsia="宋体" w:cs="Times New Roman"/>
          <w:color w:val="auto"/>
          <w:szCs w:val="21"/>
          <w:lang w:val="en-US"/>
        </w:rPr>
        <w:t>0.0118</w:t>
      </w:r>
      <w:r>
        <w:rPr>
          <w:rFonts w:hint="eastAsia" w:ascii="宋体" w:hAnsi="宋体" w:eastAsia="宋体" w:cs="Times New Roman"/>
          <w:color w:val="auto"/>
          <w:szCs w:val="21"/>
        </w:rPr>
        <w:t>%。</w:t>
      </w:r>
      <w:r>
        <w:rPr>
          <w:rFonts w:hint="eastAsia" w:ascii="宋体" w:hAnsi="宋体" w:eastAsia="宋体"/>
          <w:color w:val="auto"/>
          <w:szCs w:val="21"/>
        </w:rPr>
        <w:t>若此期间公司有送股、资本公积金转增股本、配股等事项，减持股份数、股份比例相应调整，减持期间如遇买卖股票的窗口期限制，期间将停止减持股份。</w:t>
      </w:r>
    </w:p>
    <w:p>
      <w:pPr>
        <w:spacing w:beforeLines="50" w:afterLines="50" w:line="480" w:lineRule="auto"/>
        <w:ind w:left="440" w:leftChars="200"/>
        <w:rPr>
          <w:rFonts w:ascii="宋体" w:hAnsi="宋体" w:eastAsia="宋体"/>
          <w:b/>
          <w:bCs/>
          <w:color w:val="auto"/>
          <w:sz w:val="24"/>
          <w:szCs w:val="24"/>
          <w:lang w:val="en-US"/>
        </w:rPr>
      </w:pPr>
      <w:r>
        <w:rPr>
          <w:rFonts w:hint="eastAsia" w:ascii="宋体" w:hAnsi="宋体" w:eastAsia="宋体"/>
          <w:b/>
          <w:bCs/>
          <w:color w:val="auto"/>
          <w:sz w:val="24"/>
          <w:szCs w:val="24"/>
          <w:lang w:val="en-US"/>
        </w:rPr>
        <w:t>一、股东基本情况：</w:t>
      </w:r>
    </w:p>
    <w:p>
      <w:pPr>
        <w:spacing w:beforeLines="50" w:afterLines="50" w:line="480" w:lineRule="auto"/>
        <w:ind w:left="440" w:leftChars="200"/>
        <w:rPr>
          <w:rFonts w:ascii="宋体" w:hAnsi="宋体" w:eastAsia="宋体"/>
          <w:b/>
          <w:bCs/>
          <w:color w:val="auto"/>
          <w:sz w:val="24"/>
          <w:szCs w:val="24"/>
        </w:rPr>
      </w:pPr>
      <w:r>
        <w:rPr>
          <w:rFonts w:hint="eastAsia" w:ascii="宋体" w:hAnsi="宋体" w:eastAsia="宋体"/>
          <w:b/>
          <w:bCs/>
          <w:color w:val="auto"/>
          <w:sz w:val="24"/>
          <w:szCs w:val="24"/>
          <w:lang w:val="en-US"/>
        </w:rPr>
        <w:t>1</w:t>
      </w:r>
      <w:r>
        <w:rPr>
          <w:rFonts w:hint="eastAsia" w:ascii="宋体" w:hAnsi="宋体" w:eastAsia="宋体"/>
          <w:b/>
          <w:bCs/>
          <w:color w:val="auto"/>
          <w:sz w:val="24"/>
          <w:szCs w:val="24"/>
        </w:rPr>
        <w:t>、减持主体的基本情况</w:t>
      </w:r>
    </w:p>
    <w:tbl>
      <w:tblPr>
        <w:tblStyle w:val="8"/>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91"/>
        <w:gridCol w:w="135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beforeLines="50"/>
              <w:rPr>
                <w:rFonts w:ascii="宋体" w:hAnsi="宋体" w:eastAsia="宋体"/>
                <w:b/>
                <w:bCs/>
                <w:color w:val="auto"/>
                <w:szCs w:val="21"/>
              </w:rPr>
            </w:pPr>
            <w:r>
              <w:rPr>
                <w:rFonts w:hint="eastAsia" w:ascii="宋体" w:hAnsi="宋体" w:eastAsia="宋体"/>
                <w:b/>
                <w:bCs/>
                <w:color w:val="auto"/>
                <w:szCs w:val="21"/>
              </w:rPr>
              <w:t>股东名称</w:t>
            </w:r>
          </w:p>
        </w:tc>
        <w:tc>
          <w:tcPr>
            <w:tcW w:w="1704" w:type="dxa"/>
          </w:tcPr>
          <w:p>
            <w:pPr>
              <w:spacing w:beforeLines="50"/>
              <w:rPr>
                <w:rFonts w:ascii="宋体" w:hAnsi="宋体" w:eastAsia="宋体"/>
                <w:b/>
                <w:bCs/>
                <w:color w:val="auto"/>
                <w:szCs w:val="21"/>
              </w:rPr>
            </w:pPr>
            <w:r>
              <w:rPr>
                <w:rFonts w:hint="eastAsia" w:ascii="宋体" w:hAnsi="宋体" w:eastAsia="宋体"/>
                <w:b/>
                <w:bCs/>
                <w:color w:val="auto"/>
                <w:szCs w:val="21"/>
              </w:rPr>
              <w:t>股东身份</w:t>
            </w:r>
          </w:p>
        </w:tc>
        <w:tc>
          <w:tcPr>
            <w:tcW w:w="1791" w:type="dxa"/>
          </w:tcPr>
          <w:p>
            <w:pPr>
              <w:spacing w:beforeLines="50"/>
              <w:rPr>
                <w:rFonts w:ascii="宋体" w:hAnsi="宋体" w:eastAsia="宋体"/>
                <w:b/>
                <w:bCs/>
                <w:color w:val="auto"/>
                <w:szCs w:val="21"/>
              </w:rPr>
            </w:pPr>
            <w:r>
              <w:rPr>
                <w:rFonts w:hint="eastAsia" w:ascii="宋体" w:hAnsi="宋体" w:eastAsia="宋体"/>
                <w:b/>
                <w:bCs/>
                <w:color w:val="auto"/>
                <w:szCs w:val="21"/>
              </w:rPr>
              <w:t>持股数量（股）</w:t>
            </w:r>
          </w:p>
        </w:tc>
        <w:tc>
          <w:tcPr>
            <w:tcW w:w="1350" w:type="dxa"/>
          </w:tcPr>
          <w:p>
            <w:pPr>
              <w:spacing w:beforeLines="50"/>
              <w:rPr>
                <w:rFonts w:ascii="宋体" w:hAnsi="宋体" w:eastAsia="宋体"/>
                <w:b/>
                <w:bCs/>
                <w:color w:val="auto"/>
                <w:szCs w:val="21"/>
              </w:rPr>
            </w:pPr>
            <w:r>
              <w:rPr>
                <w:rFonts w:hint="eastAsia" w:ascii="宋体" w:hAnsi="宋体" w:eastAsia="宋体"/>
                <w:b/>
                <w:bCs/>
                <w:color w:val="auto"/>
                <w:szCs w:val="21"/>
              </w:rPr>
              <w:t>持股比例</w:t>
            </w:r>
          </w:p>
        </w:tc>
        <w:tc>
          <w:tcPr>
            <w:tcW w:w="2145" w:type="dxa"/>
          </w:tcPr>
          <w:p>
            <w:pPr>
              <w:spacing w:beforeLines="50"/>
              <w:rPr>
                <w:rFonts w:ascii="宋体" w:hAnsi="宋体" w:eastAsia="宋体"/>
                <w:b/>
                <w:bCs/>
                <w:color w:val="auto"/>
                <w:szCs w:val="21"/>
              </w:rPr>
            </w:pPr>
            <w:r>
              <w:rPr>
                <w:rFonts w:hint="eastAsia" w:ascii="宋体" w:hAnsi="宋体" w:eastAsia="宋体"/>
                <w:b/>
                <w:bCs/>
                <w:color w:val="auto"/>
                <w:szCs w:val="21"/>
              </w:rPr>
              <w:t>当前持股股份来源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beforeLines="50"/>
              <w:jc w:val="center"/>
              <w:rPr>
                <w:rFonts w:ascii="宋体" w:hAnsi="宋体" w:eastAsia="宋体"/>
                <w:color w:val="auto"/>
                <w:szCs w:val="21"/>
              </w:rPr>
            </w:pPr>
            <w:r>
              <w:rPr>
                <w:rFonts w:hint="eastAsia" w:ascii="宋体" w:hAnsi="宋体" w:eastAsia="宋体"/>
                <w:color w:val="auto"/>
                <w:szCs w:val="21"/>
              </w:rPr>
              <w:t>江西惠隆企业管理有限公司</w:t>
            </w:r>
          </w:p>
        </w:tc>
        <w:tc>
          <w:tcPr>
            <w:tcW w:w="1704" w:type="dxa"/>
            <w:vAlign w:val="center"/>
          </w:tcPr>
          <w:p>
            <w:pPr>
              <w:spacing w:beforeLines="50"/>
              <w:rPr>
                <w:rFonts w:ascii="宋体" w:hAnsi="宋体" w:eastAsia="宋体"/>
                <w:color w:val="auto"/>
                <w:szCs w:val="21"/>
              </w:rPr>
            </w:pPr>
            <w:r>
              <w:rPr>
                <w:rFonts w:hint="eastAsia" w:ascii="宋体" w:hAnsi="宋体" w:eastAsia="宋体"/>
                <w:color w:val="auto"/>
                <w:szCs w:val="21"/>
              </w:rPr>
              <w:t>持股5%以上股东及控股股东的一致行动人</w:t>
            </w:r>
          </w:p>
        </w:tc>
        <w:tc>
          <w:tcPr>
            <w:tcW w:w="1791" w:type="dxa"/>
            <w:vAlign w:val="center"/>
          </w:tcPr>
          <w:p>
            <w:pPr>
              <w:spacing w:beforeLines="50"/>
              <w:jc w:val="center"/>
              <w:rPr>
                <w:rFonts w:ascii="宋体" w:hAnsi="宋体" w:eastAsia="宋体"/>
                <w:color w:val="auto"/>
              </w:rPr>
            </w:pPr>
            <w:r>
              <w:rPr>
                <w:rFonts w:hint="eastAsia" w:ascii="宋体" w:hAnsi="宋体" w:eastAsia="宋体"/>
                <w:color w:val="auto"/>
                <w:lang w:val="en-US"/>
              </w:rPr>
              <w:t>8,920,000</w:t>
            </w:r>
          </w:p>
        </w:tc>
        <w:tc>
          <w:tcPr>
            <w:tcW w:w="1350" w:type="dxa"/>
            <w:vAlign w:val="center"/>
          </w:tcPr>
          <w:p>
            <w:pPr>
              <w:spacing w:beforeLines="50"/>
              <w:jc w:val="center"/>
              <w:rPr>
                <w:rFonts w:ascii="宋体" w:hAnsi="宋体" w:eastAsia="宋体"/>
                <w:color w:val="auto"/>
              </w:rPr>
            </w:pPr>
            <w:r>
              <w:rPr>
                <w:rFonts w:hint="eastAsia" w:ascii="宋体" w:hAnsi="宋体" w:eastAsia="宋体"/>
                <w:color w:val="auto"/>
                <w:lang w:val="en-US"/>
              </w:rPr>
              <w:t>5.28%</w:t>
            </w:r>
          </w:p>
        </w:tc>
        <w:tc>
          <w:tcPr>
            <w:tcW w:w="2145" w:type="dxa"/>
          </w:tcPr>
          <w:p>
            <w:pPr>
              <w:spacing w:beforeLines="50"/>
              <w:ind w:firstLine="220" w:firstLineChars="100"/>
              <w:rPr>
                <w:rFonts w:ascii="宋体" w:hAnsi="宋体" w:eastAsia="宋体"/>
                <w:color w:val="auto"/>
              </w:rPr>
            </w:pPr>
            <w:r>
              <w:rPr>
                <w:rFonts w:ascii="宋体" w:hAnsi="宋体" w:eastAsia="宋体"/>
                <w:color w:val="auto"/>
              </w:rPr>
              <w:t>减持股份来源于首次公开发行股票前持有的股份（包括首次</w:t>
            </w:r>
            <w:r>
              <w:rPr>
                <w:rFonts w:hint="eastAsia" w:ascii="宋体" w:hAnsi="宋体" w:eastAsia="宋体"/>
                <w:color w:val="auto"/>
              </w:rPr>
              <w:t>公开发行股票后送股、资本公积金转增股本、配股部分）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beforeLines="50"/>
              <w:jc w:val="center"/>
              <w:rPr>
                <w:rFonts w:ascii="宋体" w:hAnsi="宋体" w:eastAsia="宋体"/>
                <w:color w:val="auto"/>
                <w:szCs w:val="21"/>
              </w:rPr>
            </w:pPr>
            <w:r>
              <w:rPr>
                <w:rFonts w:hint="eastAsia" w:ascii="宋体" w:hAnsi="宋体" w:eastAsia="宋体"/>
                <w:color w:val="auto"/>
                <w:szCs w:val="21"/>
              </w:rPr>
              <w:t>李会君</w:t>
            </w:r>
          </w:p>
        </w:tc>
        <w:tc>
          <w:tcPr>
            <w:tcW w:w="1704" w:type="dxa"/>
            <w:vAlign w:val="center"/>
          </w:tcPr>
          <w:p>
            <w:pPr>
              <w:spacing w:beforeLines="50"/>
              <w:rPr>
                <w:rFonts w:ascii="宋体" w:hAnsi="宋体" w:eastAsia="宋体"/>
                <w:color w:val="auto"/>
                <w:szCs w:val="21"/>
              </w:rPr>
            </w:pPr>
            <w:r>
              <w:rPr>
                <w:rFonts w:hint="eastAsia" w:ascii="宋体" w:hAnsi="宋体" w:eastAsia="宋体"/>
                <w:color w:val="auto"/>
                <w:szCs w:val="21"/>
              </w:rPr>
              <w:t>公司董事、总经理</w:t>
            </w:r>
          </w:p>
        </w:tc>
        <w:tc>
          <w:tcPr>
            <w:tcW w:w="1791" w:type="dxa"/>
            <w:vAlign w:val="center"/>
          </w:tcPr>
          <w:p>
            <w:pPr>
              <w:spacing w:beforeLines="50"/>
              <w:jc w:val="center"/>
              <w:rPr>
                <w:rFonts w:ascii="宋体" w:hAnsi="宋体" w:eastAsia="宋体"/>
                <w:color w:val="auto"/>
              </w:rPr>
            </w:pPr>
            <w:r>
              <w:rPr>
                <w:rFonts w:hint="eastAsia" w:ascii="宋体" w:hAnsi="宋体" w:eastAsia="宋体"/>
                <w:color w:val="auto"/>
                <w:szCs w:val="21"/>
                <w:lang w:val="en-US"/>
              </w:rPr>
              <w:t>80,000</w:t>
            </w:r>
          </w:p>
        </w:tc>
        <w:tc>
          <w:tcPr>
            <w:tcW w:w="1350" w:type="dxa"/>
            <w:vAlign w:val="center"/>
          </w:tcPr>
          <w:p>
            <w:pPr>
              <w:spacing w:beforeLines="50"/>
              <w:jc w:val="center"/>
              <w:rPr>
                <w:rFonts w:ascii="宋体" w:hAnsi="宋体" w:eastAsia="宋体"/>
                <w:color w:val="auto"/>
                <w:lang w:val="en-US"/>
              </w:rPr>
            </w:pPr>
            <w:r>
              <w:rPr>
                <w:rFonts w:hint="eastAsia" w:ascii="宋体" w:hAnsi="宋体" w:eastAsia="宋体"/>
                <w:color w:val="auto"/>
                <w:szCs w:val="21"/>
                <w:lang w:val="en-US"/>
              </w:rPr>
              <w:t>0.0473%</w:t>
            </w:r>
          </w:p>
        </w:tc>
        <w:tc>
          <w:tcPr>
            <w:tcW w:w="2145" w:type="dxa"/>
          </w:tcPr>
          <w:p>
            <w:pPr>
              <w:spacing w:beforeLines="50"/>
              <w:rPr>
                <w:rFonts w:ascii="宋体" w:hAnsi="宋体" w:eastAsia="宋体"/>
                <w:color w:val="auto"/>
                <w:szCs w:val="21"/>
                <w:highlight w:val="yellow"/>
              </w:rPr>
            </w:pPr>
            <w:r>
              <w:rPr>
                <w:rFonts w:hint="eastAsia" w:ascii="宋体" w:hAnsi="宋体" w:eastAsia="宋体"/>
                <w:color w:val="auto"/>
              </w:rPr>
              <w:t>20</w:t>
            </w:r>
            <w:r>
              <w:rPr>
                <w:rFonts w:hint="eastAsia" w:ascii="宋体" w:hAnsi="宋体" w:eastAsia="宋体"/>
                <w:color w:val="auto"/>
                <w:lang w:val="en-US"/>
              </w:rPr>
              <w:t>21</w:t>
            </w:r>
            <w:r>
              <w:rPr>
                <w:rFonts w:hint="eastAsia" w:ascii="宋体" w:hAnsi="宋体" w:eastAsia="宋体"/>
                <w:color w:val="auto"/>
              </w:rPr>
              <w:t>年度限制性股票股权激励的股份</w:t>
            </w:r>
          </w:p>
        </w:tc>
      </w:tr>
    </w:tbl>
    <w:p>
      <w:pPr>
        <w:spacing w:beforeLines="50" w:afterLines="50"/>
        <w:ind w:firstLine="420" w:firstLineChars="200"/>
        <w:rPr>
          <w:rFonts w:ascii="宋体" w:hAnsi="宋体" w:eastAsia="宋体"/>
          <w:color w:val="auto"/>
          <w:sz w:val="21"/>
          <w:szCs w:val="20"/>
        </w:rPr>
      </w:pPr>
      <w:r>
        <w:rPr>
          <w:rFonts w:hint="eastAsia" w:ascii="宋体" w:hAnsi="宋体" w:eastAsia="宋体"/>
          <w:color w:val="auto"/>
          <w:sz w:val="21"/>
          <w:szCs w:val="20"/>
        </w:rPr>
        <w:t>注：上述公司股东间有关联关系的情况为公司第一大股东、实际控制人范庆伟持有公司的法人股东江西惠隆企业管理有限公司的股权。</w:t>
      </w:r>
      <w:r>
        <w:rPr>
          <w:rFonts w:hint="eastAsia" w:ascii="宋体" w:hAnsi="宋体" w:eastAsia="宋体"/>
          <w:color w:val="auto"/>
          <w:sz w:val="21"/>
          <w:szCs w:val="20"/>
          <w:lang w:val="en-US"/>
        </w:rPr>
        <w:t>上表中</w:t>
      </w:r>
      <w:r>
        <w:rPr>
          <w:rFonts w:ascii="宋体" w:hAnsi="宋体" w:eastAsia="宋体"/>
          <w:color w:val="auto"/>
          <w:sz w:val="21"/>
          <w:szCs w:val="20"/>
          <w:lang w:val="en-US"/>
        </w:rPr>
        <w:t>若出现总数与各分项数值之和尾数不符的情况，均为四舍五入所致</w:t>
      </w:r>
      <w:r>
        <w:rPr>
          <w:rFonts w:hint="eastAsia" w:ascii="宋体" w:hAnsi="宋体" w:eastAsia="宋体"/>
          <w:color w:val="auto"/>
          <w:sz w:val="21"/>
          <w:szCs w:val="20"/>
          <w:lang w:val="en-US"/>
        </w:rPr>
        <w:t>。</w:t>
      </w:r>
    </w:p>
    <w:p>
      <w:pPr>
        <w:spacing w:beforeLines="50" w:afterLines="50" w:line="480" w:lineRule="auto"/>
        <w:ind w:firstLine="482" w:firstLineChars="200"/>
        <w:rPr>
          <w:rFonts w:ascii="宋体" w:hAnsi="宋体" w:eastAsia="宋体"/>
          <w:b/>
          <w:bCs/>
          <w:color w:val="auto"/>
          <w:sz w:val="24"/>
          <w:szCs w:val="24"/>
        </w:rPr>
      </w:pPr>
      <w:r>
        <w:rPr>
          <w:rFonts w:hint="eastAsia" w:ascii="宋体" w:hAnsi="宋体" w:eastAsia="宋体"/>
          <w:b/>
          <w:bCs/>
          <w:color w:val="auto"/>
          <w:sz w:val="24"/>
          <w:szCs w:val="24"/>
          <w:lang w:val="en-US"/>
        </w:rPr>
        <w:t>2、</w:t>
      </w:r>
      <w:r>
        <w:rPr>
          <w:rFonts w:hint="eastAsia" w:ascii="宋体" w:hAnsi="宋体" w:eastAsia="宋体"/>
          <w:b/>
          <w:bCs/>
          <w:color w:val="auto"/>
          <w:sz w:val="24"/>
          <w:szCs w:val="24"/>
        </w:rPr>
        <w:t>减持计划的主要内容：</w:t>
      </w:r>
    </w:p>
    <w:p>
      <w:pPr>
        <w:widowControl/>
        <w:autoSpaceDE/>
        <w:autoSpaceDN/>
        <w:adjustRightInd w:val="0"/>
        <w:snapToGrid w:val="0"/>
        <w:spacing w:beforeLines="50" w:afterLines="50" w:line="360" w:lineRule="auto"/>
        <w:ind w:firstLine="480" w:firstLineChars="200"/>
        <w:rPr>
          <w:rFonts w:ascii="宋体" w:hAnsi="宋体" w:eastAsia="宋体" w:cs="Times New Roman"/>
          <w:color w:val="auto"/>
          <w:sz w:val="24"/>
          <w:szCs w:val="24"/>
          <w:lang w:val="en-US" w:bidi="ar-SA"/>
        </w:rPr>
      </w:pPr>
      <w:r>
        <w:rPr>
          <w:rFonts w:hint="eastAsia" w:ascii="宋体" w:hAnsi="宋体" w:eastAsia="宋体" w:cs="Times New Roman"/>
          <w:color w:val="auto"/>
          <w:sz w:val="24"/>
          <w:szCs w:val="24"/>
          <w:lang w:val="en-US" w:bidi="ar-SA"/>
        </w:rPr>
        <w:t>（1）减持原因：因自身财务需求及安排。</w:t>
      </w:r>
    </w:p>
    <w:p>
      <w:pPr>
        <w:widowControl/>
        <w:autoSpaceDE/>
        <w:autoSpaceDN/>
        <w:adjustRightInd w:val="0"/>
        <w:snapToGrid w:val="0"/>
        <w:spacing w:beforeLines="50" w:afterLines="50" w:line="360" w:lineRule="auto"/>
        <w:ind w:firstLine="480" w:firstLineChars="200"/>
        <w:rPr>
          <w:rFonts w:ascii="宋体" w:hAnsi="宋体" w:eastAsia="宋体" w:cs="Times New Roman"/>
          <w:color w:val="auto"/>
          <w:sz w:val="24"/>
          <w:szCs w:val="24"/>
          <w:lang w:val="en-US" w:bidi="ar-SA"/>
        </w:rPr>
      </w:pPr>
      <w:r>
        <w:rPr>
          <w:rFonts w:hint="eastAsia" w:ascii="宋体" w:hAnsi="宋体" w:eastAsia="宋体" w:cs="Times New Roman"/>
          <w:color w:val="auto"/>
          <w:sz w:val="24"/>
          <w:szCs w:val="24"/>
          <w:lang w:val="en-US" w:bidi="ar-SA"/>
        </w:rPr>
        <w:t>（2）股份来源：减持股份来源于首次公开发行股票前持有的股份（包括首次公开发行股票后送股、资本公积金转增股本、配股部分）；</w:t>
      </w:r>
      <w:r>
        <w:rPr>
          <w:rFonts w:hint="eastAsia" w:ascii="宋体" w:hAnsi="宋体" w:eastAsia="宋体"/>
          <w:color w:val="auto"/>
          <w:sz w:val="24"/>
        </w:rPr>
        <w:t>本次高级管理人员拟减持的股份全部来源于公司20</w:t>
      </w:r>
      <w:r>
        <w:rPr>
          <w:rFonts w:hint="eastAsia" w:ascii="宋体" w:hAnsi="宋体" w:eastAsia="宋体"/>
          <w:color w:val="auto"/>
          <w:sz w:val="24"/>
          <w:lang w:val="en-US"/>
        </w:rPr>
        <w:t>21</w:t>
      </w:r>
      <w:r>
        <w:rPr>
          <w:rFonts w:hint="eastAsia" w:ascii="宋体" w:hAnsi="宋体" w:eastAsia="宋体"/>
          <w:color w:val="auto"/>
          <w:sz w:val="24"/>
        </w:rPr>
        <w:t>年度限制性股票股权激励的解禁股份。</w:t>
      </w:r>
    </w:p>
    <w:p>
      <w:pPr>
        <w:widowControl/>
        <w:autoSpaceDE/>
        <w:autoSpaceDN/>
        <w:adjustRightInd w:val="0"/>
        <w:snapToGrid w:val="0"/>
        <w:spacing w:beforeLines="50" w:afterLines="50" w:line="360" w:lineRule="auto"/>
        <w:ind w:firstLine="480" w:firstLineChars="200"/>
        <w:rPr>
          <w:rFonts w:ascii="宋体" w:hAnsi="宋体" w:eastAsia="宋体" w:cs="Times New Roman"/>
          <w:color w:val="auto"/>
          <w:sz w:val="24"/>
          <w:szCs w:val="24"/>
          <w:lang w:val="en-US" w:bidi="ar-SA"/>
        </w:rPr>
      </w:pPr>
      <w:r>
        <w:rPr>
          <w:rFonts w:hint="eastAsia" w:ascii="宋体" w:hAnsi="宋体" w:eastAsia="宋体" w:cs="Times New Roman"/>
          <w:color w:val="auto"/>
          <w:sz w:val="24"/>
          <w:szCs w:val="24"/>
          <w:lang w:val="en-US" w:bidi="ar-SA"/>
        </w:rPr>
        <w:t>（3）拟减持股份数量及比例：</w:t>
      </w:r>
    </w:p>
    <w:tbl>
      <w:tblPr>
        <w:tblStyle w:val="8"/>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984"/>
        <w:gridCol w:w="2268"/>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spacing w:beforeLines="50" w:afterLines="50"/>
              <w:jc w:val="center"/>
              <w:rPr>
                <w:rFonts w:ascii="宋体" w:hAnsi="宋体" w:eastAsia="宋体"/>
                <w:b/>
                <w:bCs/>
                <w:color w:val="auto"/>
                <w:sz w:val="24"/>
                <w:szCs w:val="24"/>
              </w:rPr>
            </w:pPr>
            <w:r>
              <w:rPr>
                <w:rFonts w:hint="eastAsia" w:ascii="宋体" w:hAnsi="宋体" w:eastAsia="宋体"/>
                <w:b/>
                <w:bCs/>
                <w:color w:val="auto"/>
                <w:sz w:val="24"/>
                <w:szCs w:val="24"/>
              </w:rPr>
              <w:t>股东名称</w:t>
            </w:r>
          </w:p>
        </w:tc>
        <w:tc>
          <w:tcPr>
            <w:tcW w:w="1984" w:type="dxa"/>
            <w:vAlign w:val="center"/>
          </w:tcPr>
          <w:p>
            <w:pPr>
              <w:spacing w:beforeLines="50" w:afterLines="50"/>
              <w:jc w:val="center"/>
              <w:rPr>
                <w:rFonts w:ascii="宋体" w:hAnsi="宋体" w:eastAsia="宋体"/>
                <w:b/>
                <w:bCs/>
                <w:color w:val="auto"/>
                <w:sz w:val="24"/>
                <w:szCs w:val="24"/>
              </w:rPr>
            </w:pPr>
            <w:r>
              <w:rPr>
                <w:rFonts w:hint="eastAsia" w:ascii="宋体" w:hAnsi="宋体" w:eastAsia="宋体"/>
                <w:b/>
                <w:bCs/>
                <w:color w:val="auto"/>
                <w:sz w:val="24"/>
                <w:szCs w:val="24"/>
              </w:rPr>
              <w:t>拟减持股份数量不超过（股）</w:t>
            </w:r>
          </w:p>
        </w:tc>
        <w:tc>
          <w:tcPr>
            <w:tcW w:w="2268" w:type="dxa"/>
            <w:vAlign w:val="center"/>
          </w:tcPr>
          <w:p>
            <w:pPr>
              <w:spacing w:beforeLines="50" w:afterLines="50"/>
              <w:jc w:val="center"/>
              <w:rPr>
                <w:rFonts w:ascii="宋体" w:hAnsi="宋体" w:eastAsia="宋体"/>
                <w:b/>
                <w:bCs/>
                <w:color w:val="auto"/>
                <w:sz w:val="24"/>
                <w:szCs w:val="24"/>
              </w:rPr>
            </w:pPr>
            <w:r>
              <w:rPr>
                <w:rFonts w:hint="eastAsia" w:ascii="宋体" w:hAnsi="宋体" w:eastAsia="宋体"/>
                <w:b/>
                <w:bCs/>
                <w:color w:val="auto"/>
                <w:sz w:val="24"/>
                <w:szCs w:val="24"/>
              </w:rPr>
              <w:t>拟减持股份不超过公司总股本比例</w:t>
            </w:r>
          </w:p>
        </w:tc>
        <w:tc>
          <w:tcPr>
            <w:tcW w:w="2034" w:type="dxa"/>
            <w:vAlign w:val="center"/>
          </w:tcPr>
          <w:p>
            <w:pPr>
              <w:spacing w:beforeLines="50" w:afterLines="50"/>
              <w:jc w:val="center"/>
              <w:rPr>
                <w:rFonts w:ascii="宋体" w:hAnsi="宋体" w:eastAsia="宋体"/>
                <w:b/>
                <w:bCs/>
                <w:color w:val="auto"/>
                <w:sz w:val="24"/>
                <w:szCs w:val="24"/>
              </w:rPr>
            </w:pPr>
            <w:r>
              <w:rPr>
                <w:rFonts w:hint="eastAsia" w:ascii="宋体" w:hAnsi="宋体" w:eastAsia="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spacing w:beforeLines="50" w:afterLines="50"/>
              <w:jc w:val="center"/>
              <w:rPr>
                <w:rFonts w:ascii="宋体" w:hAnsi="宋体" w:eastAsia="宋体"/>
                <w:color w:val="auto"/>
                <w:sz w:val="24"/>
                <w:szCs w:val="24"/>
              </w:rPr>
            </w:pPr>
            <w:r>
              <w:rPr>
                <w:rFonts w:hint="eastAsia" w:ascii="宋体" w:hAnsi="宋体" w:eastAsia="宋体"/>
                <w:color w:val="auto"/>
                <w:sz w:val="24"/>
                <w:szCs w:val="24"/>
              </w:rPr>
              <w:t>江西惠隆企业管理有限公司</w:t>
            </w:r>
          </w:p>
        </w:tc>
        <w:tc>
          <w:tcPr>
            <w:tcW w:w="1984" w:type="dxa"/>
            <w:vAlign w:val="center"/>
          </w:tcPr>
          <w:p>
            <w:pPr>
              <w:spacing w:beforeLines="50" w:afterLines="50"/>
              <w:jc w:val="center"/>
              <w:rPr>
                <w:rFonts w:ascii="宋体" w:hAnsi="宋体" w:eastAsia="宋体"/>
                <w:color w:val="auto"/>
                <w:sz w:val="24"/>
                <w:szCs w:val="24"/>
                <w:lang w:val="en-US"/>
              </w:rPr>
            </w:pPr>
            <w:r>
              <w:rPr>
                <w:rFonts w:ascii="宋体" w:hAnsi="宋体" w:eastAsia="宋体"/>
                <w:color w:val="auto"/>
                <w:sz w:val="24"/>
                <w:szCs w:val="24"/>
                <w:lang w:val="en-US"/>
              </w:rPr>
              <w:t>2,230,000</w:t>
            </w:r>
          </w:p>
        </w:tc>
        <w:tc>
          <w:tcPr>
            <w:tcW w:w="2268" w:type="dxa"/>
            <w:vAlign w:val="center"/>
          </w:tcPr>
          <w:p>
            <w:pPr>
              <w:spacing w:beforeLines="50" w:afterLines="50"/>
              <w:jc w:val="center"/>
              <w:rPr>
                <w:rFonts w:ascii="宋体" w:hAnsi="宋体" w:eastAsia="宋体"/>
                <w:color w:val="auto"/>
                <w:sz w:val="24"/>
                <w:szCs w:val="24"/>
                <w:lang w:val="en-US"/>
              </w:rPr>
            </w:pPr>
            <w:r>
              <w:rPr>
                <w:rFonts w:ascii="宋体" w:hAnsi="宋体" w:eastAsia="宋体"/>
                <w:color w:val="auto"/>
                <w:sz w:val="24"/>
                <w:szCs w:val="24"/>
                <w:lang w:val="en-US"/>
              </w:rPr>
              <w:t>1.3193</w:t>
            </w:r>
            <w:r>
              <w:rPr>
                <w:rFonts w:hint="eastAsia" w:ascii="宋体" w:hAnsi="宋体" w:eastAsia="宋体"/>
                <w:color w:val="auto"/>
                <w:sz w:val="24"/>
                <w:szCs w:val="24"/>
                <w:lang w:val="en-US"/>
              </w:rPr>
              <w:t>%</w:t>
            </w:r>
          </w:p>
        </w:tc>
        <w:tc>
          <w:tcPr>
            <w:tcW w:w="2034" w:type="dxa"/>
            <w:vAlign w:val="center"/>
          </w:tcPr>
          <w:p>
            <w:pPr>
              <w:spacing w:beforeLines="50" w:afterLines="50"/>
              <w:jc w:val="center"/>
              <w:rPr>
                <w:rFonts w:ascii="宋体" w:hAnsi="宋体" w:eastAsia="宋体"/>
                <w:color w:val="auto"/>
                <w:sz w:val="24"/>
                <w:szCs w:val="24"/>
                <w:lang w:val="en-US"/>
              </w:rPr>
            </w:pPr>
            <w:r>
              <w:rPr>
                <w:rFonts w:hint="eastAsia" w:ascii="宋体" w:hAnsi="宋体" w:eastAsia="宋体"/>
                <w:color w:val="auto"/>
                <w:sz w:val="24"/>
                <w:szCs w:val="24"/>
              </w:rPr>
              <w:t>减持所持有的公司股份不超过</w:t>
            </w:r>
            <w:r>
              <w:rPr>
                <w:rFonts w:hint="eastAsia" w:ascii="宋体" w:hAnsi="宋体" w:eastAsia="宋体"/>
                <w:color w:val="auto"/>
                <w:sz w:val="24"/>
                <w:szCs w:val="24"/>
                <w:lang w:val="en-US"/>
              </w:rPr>
              <w:t>其所持有公司股份</w:t>
            </w:r>
            <w:r>
              <w:rPr>
                <w:rFonts w:hint="eastAsia" w:ascii="宋体" w:hAnsi="宋体" w:eastAsia="宋体"/>
                <w:color w:val="auto"/>
                <w:sz w:val="24"/>
                <w:szCs w:val="24"/>
              </w:rPr>
              <w:t>的</w:t>
            </w:r>
            <w:r>
              <w:rPr>
                <w:rFonts w:hint="eastAsia" w:ascii="宋体" w:hAnsi="宋体" w:eastAsia="宋体"/>
                <w:color w:val="auto"/>
                <w:sz w:val="24"/>
                <w:szCs w:val="24"/>
                <w:lang w:val="en-US"/>
              </w:rPr>
              <w:t>25</w:t>
            </w:r>
            <w:r>
              <w:rPr>
                <w:rFonts w:hint="eastAsia" w:ascii="宋体" w:hAnsi="宋体" w:eastAsia="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spacing w:beforeLines="50" w:afterLines="50"/>
              <w:jc w:val="center"/>
              <w:rPr>
                <w:rFonts w:ascii="宋体" w:hAnsi="宋体" w:eastAsia="宋体"/>
                <w:color w:val="auto"/>
                <w:sz w:val="24"/>
                <w:szCs w:val="24"/>
              </w:rPr>
            </w:pPr>
            <w:r>
              <w:rPr>
                <w:rFonts w:hint="eastAsia" w:ascii="宋体" w:hAnsi="宋体" w:eastAsia="宋体"/>
                <w:color w:val="auto"/>
                <w:sz w:val="24"/>
                <w:szCs w:val="24"/>
              </w:rPr>
              <w:t>李会君</w:t>
            </w:r>
          </w:p>
        </w:tc>
        <w:tc>
          <w:tcPr>
            <w:tcW w:w="1984" w:type="dxa"/>
            <w:vAlign w:val="center"/>
          </w:tcPr>
          <w:p>
            <w:pPr>
              <w:spacing w:beforeLines="50" w:afterLines="50"/>
              <w:jc w:val="center"/>
              <w:rPr>
                <w:rFonts w:ascii="宋体" w:hAnsi="宋体" w:eastAsia="宋体"/>
                <w:color w:val="auto"/>
                <w:sz w:val="24"/>
                <w:szCs w:val="24"/>
                <w:lang w:val="en-US"/>
              </w:rPr>
            </w:pPr>
            <w:r>
              <w:rPr>
                <w:rFonts w:hint="eastAsia" w:ascii="宋体" w:hAnsi="宋体" w:eastAsia="宋体"/>
                <w:color w:val="auto"/>
                <w:sz w:val="24"/>
                <w:szCs w:val="24"/>
                <w:lang w:val="en-US"/>
              </w:rPr>
              <w:t>20,000</w:t>
            </w:r>
          </w:p>
        </w:tc>
        <w:tc>
          <w:tcPr>
            <w:tcW w:w="2268" w:type="dxa"/>
            <w:vAlign w:val="center"/>
          </w:tcPr>
          <w:p>
            <w:pPr>
              <w:spacing w:beforeLines="50" w:afterLines="50"/>
              <w:jc w:val="center"/>
              <w:rPr>
                <w:rFonts w:ascii="宋体" w:hAnsi="宋体" w:eastAsia="宋体"/>
                <w:color w:val="auto"/>
                <w:sz w:val="24"/>
                <w:szCs w:val="24"/>
                <w:lang w:val="en-US"/>
              </w:rPr>
            </w:pPr>
            <w:r>
              <w:rPr>
                <w:rFonts w:hint="eastAsia" w:ascii="宋体" w:hAnsi="宋体" w:eastAsia="宋体"/>
                <w:color w:val="auto"/>
                <w:sz w:val="24"/>
                <w:szCs w:val="24"/>
                <w:lang w:val="en-US"/>
              </w:rPr>
              <w:t>0.0118%</w:t>
            </w:r>
          </w:p>
        </w:tc>
        <w:tc>
          <w:tcPr>
            <w:tcW w:w="2034" w:type="dxa"/>
            <w:vAlign w:val="center"/>
          </w:tcPr>
          <w:p>
            <w:pPr>
              <w:spacing w:beforeLines="50" w:afterLines="50"/>
              <w:jc w:val="center"/>
              <w:rPr>
                <w:rFonts w:ascii="宋体" w:hAnsi="宋体" w:eastAsia="宋体"/>
                <w:color w:val="auto"/>
                <w:sz w:val="24"/>
                <w:szCs w:val="24"/>
              </w:rPr>
            </w:pPr>
            <w:r>
              <w:rPr>
                <w:rFonts w:hint="eastAsia" w:ascii="宋体" w:hAnsi="宋体" w:eastAsia="宋体"/>
                <w:color w:val="auto"/>
                <w:sz w:val="24"/>
                <w:szCs w:val="24"/>
              </w:rPr>
              <w:t>减持所持有的公司股份不超过</w:t>
            </w:r>
            <w:r>
              <w:rPr>
                <w:rFonts w:hint="eastAsia" w:ascii="宋体" w:hAnsi="宋体" w:eastAsia="宋体"/>
                <w:color w:val="auto"/>
                <w:sz w:val="24"/>
                <w:szCs w:val="24"/>
                <w:lang w:val="en-US"/>
              </w:rPr>
              <w:t>其所持有公司股份</w:t>
            </w:r>
            <w:r>
              <w:rPr>
                <w:rFonts w:hint="eastAsia" w:ascii="宋体" w:hAnsi="宋体" w:eastAsia="宋体"/>
                <w:color w:val="auto"/>
                <w:sz w:val="24"/>
                <w:szCs w:val="24"/>
              </w:rPr>
              <w:t>的</w:t>
            </w:r>
            <w:r>
              <w:rPr>
                <w:rFonts w:hint="eastAsia" w:ascii="宋体" w:hAnsi="宋体" w:eastAsia="宋体"/>
                <w:color w:val="auto"/>
                <w:sz w:val="24"/>
                <w:szCs w:val="24"/>
                <w:lang w:val="en-US"/>
              </w:rPr>
              <w:t>25</w:t>
            </w:r>
            <w:r>
              <w:rPr>
                <w:rFonts w:hint="eastAsia" w:ascii="宋体" w:hAnsi="宋体" w:eastAsia="宋体"/>
                <w:color w:val="auto"/>
                <w:sz w:val="24"/>
                <w:szCs w:val="24"/>
              </w:rPr>
              <w:t>%</w:t>
            </w:r>
          </w:p>
        </w:tc>
      </w:tr>
    </w:tbl>
    <w:p>
      <w:pPr>
        <w:widowControl/>
        <w:autoSpaceDE/>
        <w:autoSpaceDN/>
        <w:adjustRightInd w:val="0"/>
        <w:snapToGrid w:val="0"/>
        <w:spacing w:beforeLines="50" w:afterLines="50" w:line="360" w:lineRule="auto"/>
        <w:ind w:firstLine="480" w:firstLineChars="200"/>
        <w:rPr>
          <w:rFonts w:ascii="宋体" w:hAnsi="宋体" w:eastAsia="宋体" w:cs="Times New Roman"/>
          <w:color w:val="auto"/>
          <w:sz w:val="24"/>
          <w:szCs w:val="24"/>
          <w:lang w:val="en-US" w:bidi="ar-SA"/>
        </w:rPr>
      </w:pPr>
      <w:r>
        <w:rPr>
          <w:rFonts w:hint="eastAsia" w:ascii="宋体" w:hAnsi="宋体" w:eastAsia="宋体" w:cs="Times New Roman"/>
          <w:color w:val="auto"/>
          <w:sz w:val="24"/>
          <w:szCs w:val="24"/>
          <w:lang w:val="en-US" w:bidi="ar-SA"/>
        </w:rPr>
        <w:t>（4）减持方式：</w:t>
      </w:r>
      <w:r>
        <w:rPr>
          <w:rFonts w:hint="eastAsia" w:ascii="宋体" w:hAnsi="宋体" w:eastAsia="宋体"/>
          <w:color w:val="auto"/>
          <w:sz w:val="24"/>
          <w:szCs w:val="24"/>
        </w:rPr>
        <w:t>集中竞价交易和大宗交易方式</w:t>
      </w:r>
      <w:r>
        <w:rPr>
          <w:rFonts w:hint="eastAsia" w:ascii="宋体" w:hAnsi="宋体" w:eastAsia="宋体" w:cs="Times New Roman"/>
          <w:color w:val="auto"/>
          <w:sz w:val="24"/>
          <w:szCs w:val="24"/>
          <w:lang w:val="en-US" w:bidi="ar-SA"/>
        </w:rPr>
        <w:t>。</w:t>
      </w:r>
    </w:p>
    <w:p>
      <w:pPr>
        <w:widowControl/>
        <w:autoSpaceDE/>
        <w:autoSpaceDN/>
        <w:adjustRightInd w:val="0"/>
        <w:snapToGrid w:val="0"/>
        <w:spacing w:beforeLines="50" w:afterLines="50" w:line="360" w:lineRule="auto"/>
        <w:ind w:firstLine="480" w:firstLineChars="200"/>
        <w:rPr>
          <w:rFonts w:ascii="宋体" w:hAnsi="宋体" w:eastAsia="宋体" w:cs="Times New Roman"/>
          <w:color w:val="auto"/>
          <w:sz w:val="24"/>
          <w:szCs w:val="24"/>
          <w:lang w:val="en-US" w:bidi="ar-SA"/>
        </w:rPr>
      </w:pPr>
      <w:r>
        <w:rPr>
          <w:rFonts w:hint="eastAsia" w:ascii="宋体" w:hAnsi="宋体" w:eastAsia="宋体" w:cs="Times New Roman"/>
          <w:color w:val="auto"/>
          <w:sz w:val="24"/>
          <w:szCs w:val="24"/>
          <w:lang w:val="en-US" w:bidi="ar-SA"/>
        </w:rPr>
        <w:t>（5）减持期间：惠隆管理采用集中竞价交易方式减持公司股份的，将于本减持计划公告披露之日起15个交易日后的6个月内进行(窗口期除外)，且在任意连续90个自然日内，减持股份的总数不超过公司总股本的1%；采用大宗交易方式减持公司股份的，将于本减持计划公告披露之日起3个交易日后的6个月内进行(窗口期除外)，且在任意连续90个自然日内，减持股份的总数不超过公司总股本的2%，受让方在受让后6个月内，不得转让所受让的股份。</w:t>
      </w:r>
    </w:p>
    <w:p>
      <w:pPr>
        <w:widowControl/>
        <w:autoSpaceDE/>
        <w:autoSpaceDN/>
        <w:adjustRightInd w:val="0"/>
        <w:snapToGrid w:val="0"/>
        <w:spacing w:beforeLines="50" w:afterLines="50" w:line="360" w:lineRule="auto"/>
        <w:ind w:firstLine="480" w:firstLineChars="200"/>
        <w:rPr>
          <w:rFonts w:ascii="宋体" w:hAnsi="宋体" w:eastAsia="宋体" w:cs="Times New Roman"/>
          <w:color w:val="auto"/>
          <w:sz w:val="24"/>
          <w:szCs w:val="24"/>
          <w:lang w:val="en-US" w:bidi="ar-SA"/>
        </w:rPr>
      </w:pPr>
      <w:r>
        <w:rPr>
          <w:rFonts w:hint="eastAsia" w:ascii="宋体" w:hAnsi="宋体" w:eastAsia="宋体" w:cs="Times New Roman"/>
          <w:color w:val="auto"/>
          <w:sz w:val="24"/>
          <w:szCs w:val="24"/>
          <w:lang w:val="en-US" w:bidi="ar-SA"/>
        </w:rPr>
        <w:t>李会君先生采用集中竞价交易方式减持公司股份的，将于本减持计划公告披露之日起15个交易日后的6个月内进行(窗口期除外)，且在任意连续90个自然日内，减持股份的总数不超过公司总股本的1%；</w:t>
      </w:r>
    </w:p>
    <w:p>
      <w:pPr>
        <w:widowControl/>
        <w:autoSpaceDE/>
        <w:autoSpaceDN/>
        <w:adjustRightInd w:val="0"/>
        <w:snapToGrid w:val="0"/>
        <w:spacing w:beforeLines="50" w:afterLines="50" w:line="360" w:lineRule="auto"/>
        <w:ind w:firstLine="480" w:firstLineChars="200"/>
        <w:rPr>
          <w:rFonts w:ascii="宋体" w:hAnsi="宋体" w:eastAsia="宋体" w:cs="Times New Roman"/>
          <w:color w:val="auto"/>
          <w:sz w:val="24"/>
          <w:szCs w:val="24"/>
          <w:lang w:val="en-US" w:bidi="ar-SA"/>
        </w:rPr>
      </w:pPr>
      <w:r>
        <w:rPr>
          <w:rFonts w:hint="eastAsia" w:ascii="宋体" w:hAnsi="宋体" w:eastAsia="宋体" w:cs="Times New Roman"/>
          <w:color w:val="auto"/>
          <w:sz w:val="24"/>
          <w:szCs w:val="24"/>
          <w:lang w:val="en-US" w:bidi="ar-SA"/>
        </w:rPr>
        <w:t>（6）拟减持的价格区间：根据减持时的市场价格确定。</w:t>
      </w:r>
    </w:p>
    <w:p>
      <w:pPr>
        <w:widowControl/>
        <w:autoSpaceDE/>
        <w:autoSpaceDN/>
        <w:adjustRightInd w:val="0"/>
        <w:snapToGrid w:val="0"/>
        <w:spacing w:beforeLines="50" w:afterLines="50" w:line="360" w:lineRule="auto"/>
        <w:ind w:firstLine="480" w:firstLineChars="200"/>
        <w:rPr>
          <w:rFonts w:ascii="宋体" w:hAnsi="宋体" w:eastAsia="宋体" w:cs="Times New Roman"/>
          <w:color w:val="auto"/>
          <w:sz w:val="24"/>
          <w:szCs w:val="24"/>
          <w:lang w:val="en-US" w:bidi="ar-SA"/>
        </w:rPr>
      </w:pPr>
      <w:r>
        <w:rPr>
          <w:rFonts w:hint="eastAsia" w:ascii="宋体" w:hAnsi="宋体" w:eastAsia="宋体" w:cs="Times New Roman"/>
          <w:color w:val="auto"/>
          <w:sz w:val="24"/>
          <w:szCs w:val="24"/>
          <w:lang w:val="en-US" w:bidi="ar-SA"/>
        </w:rPr>
        <w:t>（7）本次拟减持事项与公司此前已披露的承诺及意向一致。</w:t>
      </w:r>
    </w:p>
    <w:p>
      <w:pPr>
        <w:pStyle w:val="17"/>
        <w:spacing w:line="360" w:lineRule="auto"/>
        <w:ind w:firstLine="663" w:firstLineChars="275"/>
        <w:rPr>
          <w:b/>
          <w:bCs/>
          <w:color w:val="auto"/>
        </w:rPr>
      </w:pPr>
      <w:r>
        <w:rPr>
          <w:rFonts w:hint="eastAsia"/>
          <w:b/>
          <w:bCs/>
          <w:color w:val="auto"/>
        </w:rPr>
        <w:t>3、持股的股东惠隆管理承诺</w:t>
      </w:r>
    </w:p>
    <w:p>
      <w:pPr>
        <w:widowControl/>
        <w:autoSpaceDE/>
        <w:autoSpaceDN/>
        <w:adjustRightInd w:val="0"/>
        <w:snapToGrid w:val="0"/>
        <w:spacing w:beforeLines="50" w:afterLines="50" w:line="360" w:lineRule="auto"/>
        <w:ind w:firstLine="480" w:firstLineChars="200"/>
        <w:rPr>
          <w:rFonts w:ascii="宋体" w:hAnsi="宋体" w:eastAsia="宋体" w:cs="Times New Roman"/>
          <w:color w:val="auto"/>
          <w:sz w:val="24"/>
          <w:szCs w:val="24"/>
          <w:lang w:val="en-US" w:bidi="ar-SA"/>
        </w:rPr>
      </w:pPr>
      <w:r>
        <w:rPr>
          <w:rFonts w:hint="eastAsia" w:ascii="宋体" w:hAnsi="宋体" w:eastAsia="宋体" w:cs="Times New Roman"/>
          <w:color w:val="auto"/>
          <w:sz w:val="24"/>
          <w:szCs w:val="24"/>
          <w:lang w:val="en-US" w:bidi="ar-SA"/>
        </w:rPr>
        <w:t>锁定期满后两年内（锁定期延长则相应顺延，下同），本公司将根据需要减持所持伟隆阀门股份，具体安排如下：</w:t>
      </w:r>
    </w:p>
    <w:p>
      <w:pPr>
        <w:widowControl/>
        <w:autoSpaceDE/>
        <w:autoSpaceDN/>
        <w:adjustRightInd w:val="0"/>
        <w:snapToGrid w:val="0"/>
        <w:spacing w:beforeLines="50" w:afterLines="50" w:line="360" w:lineRule="auto"/>
        <w:ind w:firstLine="480" w:firstLineChars="200"/>
        <w:rPr>
          <w:rFonts w:ascii="宋体" w:hAnsi="宋体" w:eastAsia="宋体" w:cs="Times New Roman"/>
          <w:color w:val="auto"/>
          <w:sz w:val="24"/>
          <w:szCs w:val="24"/>
          <w:lang w:val="en-US" w:bidi="ar-SA"/>
        </w:rPr>
      </w:pPr>
      <w:r>
        <w:rPr>
          <w:rFonts w:hint="eastAsia" w:ascii="宋体" w:hAnsi="宋体" w:eastAsia="宋体" w:cs="Times New Roman"/>
          <w:color w:val="auto"/>
          <w:sz w:val="24"/>
          <w:szCs w:val="24"/>
          <w:lang w:val="en-US" w:bidi="ar-SA"/>
        </w:rPr>
        <w:t>①减持数量：本公司在锁定期满后两年内拟进行股份减持，减持股份数量不超过伟隆阀门完成首次公开发行股票并上市时本公司所持公司股份总数的25%；</w:t>
      </w:r>
    </w:p>
    <w:p>
      <w:pPr>
        <w:widowControl/>
        <w:autoSpaceDE/>
        <w:autoSpaceDN/>
        <w:adjustRightInd w:val="0"/>
        <w:snapToGrid w:val="0"/>
        <w:spacing w:beforeLines="50" w:afterLines="50" w:line="360" w:lineRule="auto"/>
        <w:ind w:firstLine="480" w:firstLineChars="200"/>
        <w:rPr>
          <w:rFonts w:ascii="宋体" w:hAnsi="宋体" w:eastAsia="宋体" w:cs="Times New Roman"/>
          <w:color w:val="auto"/>
          <w:sz w:val="24"/>
          <w:szCs w:val="24"/>
          <w:lang w:val="en-US" w:bidi="ar-SA"/>
        </w:rPr>
      </w:pPr>
      <w:r>
        <w:rPr>
          <w:rFonts w:hint="eastAsia" w:ascii="宋体" w:hAnsi="宋体" w:eastAsia="宋体" w:cs="Times New Roman"/>
          <w:color w:val="auto"/>
          <w:sz w:val="24"/>
          <w:szCs w:val="24"/>
          <w:lang w:val="en-US" w:bidi="ar-SA"/>
        </w:rPr>
        <w:t>②减持方式：通过证券交易所集中竞价交易系统、大宗交易系统进行，或通过协议转让进行等；</w:t>
      </w:r>
    </w:p>
    <w:p>
      <w:pPr>
        <w:widowControl/>
        <w:autoSpaceDE/>
        <w:autoSpaceDN/>
        <w:adjustRightInd w:val="0"/>
        <w:snapToGrid w:val="0"/>
        <w:spacing w:beforeLines="50" w:afterLines="50" w:line="360" w:lineRule="auto"/>
        <w:ind w:firstLine="480" w:firstLineChars="200"/>
        <w:rPr>
          <w:rFonts w:ascii="宋体" w:hAnsi="宋体" w:eastAsia="宋体" w:cs="Times New Roman"/>
          <w:color w:val="auto"/>
          <w:sz w:val="24"/>
          <w:szCs w:val="24"/>
          <w:lang w:val="en-US" w:bidi="ar-SA"/>
        </w:rPr>
      </w:pPr>
      <w:r>
        <w:rPr>
          <w:rFonts w:hint="eastAsia" w:ascii="宋体" w:hAnsi="宋体" w:eastAsia="宋体" w:cs="Times New Roman"/>
          <w:color w:val="auto"/>
          <w:sz w:val="24"/>
          <w:szCs w:val="24"/>
          <w:lang w:val="en-US" w:bidi="ar-SA"/>
        </w:rPr>
        <w:t>③减持价格：本公司所持股票在锁定期满后两年内减持的，减持价格不低于发行价格（如公司有派发现金红利、送股、转增股本等事项的，发行价格将进行除权、除息调整）；</w:t>
      </w:r>
    </w:p>
    <w:p>
      <w:pPr>
        <w:widowControl/>
        <w:autoSpaceDE/>
        <w:autoSpaceDN/>
        <w:adjustRightInd w:val="0"/>
        <w:snapToGrid w:val="0"/>
        <w:spacing w:beforeLines="50" w:afterLines="50" w:line="360" w:lineRule="auto"/>
        <w:ind w:firstLine="480" w:firstLineChars="200"/>
        <w:rPr>
          <w:rFonts w:ascii="宋体" w:hAnsi="宋体" w:eastAsia="宋体" w:cs="Times New Roman"/>
          <w:color w:val="auto"/>
          <w:sz w:val="24"/>
          <w:szCs w:val="24"/>
          <w:lang w:val="en-US" w:bidi="ar-SA"/>
        </w:rPr>
      </w:pPr>
      <w:r>
        <w:rPr>
          <w:rFonts w:hint="eastAsia" w:ascii="宋体" w:hAnsi="宋体" w:eastAsia="宋体" w:cs="Times New Roman"/>
          <w:color w:val="auto"/>
          <w:sz w:val="24"/>
          <w:szCs w:val="24"/>
          <w:lang w:val="en-US" w:bidi="ar-SA"/>
        </w:rPr>
        <w:t>④减持期限：减持股份行为的期限为减持计划公告后六个月。</w:t>
      </w:r>
    </w:p>
    <w:p>
      <w:pPr>
        <w:pStyle w:val="17"/>
        <w:spacing w:line="360" w:lineRule="auto"/>
        <w:ind w:firstLine="663" w:firstLineChars="275"/>
        <w:rPr>
          <w:b/>
          <w:bCs/>
          <w:color w:val="auto"/>
        </w:rPr>
      </w:pPr>
      <w:r>
        <w:rPr>
          <w:rFonts w:hint="eastAsia"/>
          <w:b/>
          <w:bCs/>
          <w:color w:val="auto"/>
        </w:rPr>
        <w:t>4、持股的股东李会君承诺</w:t>
      </w:r>
    </w:p>
    <w:p>
      <w:pPr>
        <w:spacing w:beforeLines="50" w:afterLines="50" w:line="360" w:lineRule="auto"/>
        <w:ind w:firstLine="468"/>
        <w:rPr>
          <w:rFonts w:ascii="宋体" w:hAnsi="宋体" w:eastAsia="宋体"/>
          <w:color w:val="auto"/>
          <w:sz w:val="24"/>
        </w:rPr>
      </w:pPr>
      <w:r>
        <w:rPr>
          <w:rFonts w:hint="eastAsia" w:ascii="宋体" w:hAnsi="宋体" w:eastAsia="宋体"/>
          <w:color w:val="auto"/>
          <w:sz w:val="24"/>
          <w:lang w:val="en-US"/>
        </w:rPr>
        <w:t>1、</w:t>
      </w:r>
      <w:r>
        <w:rPr>
          <w:rFonts w:hint="eastAsia" w:ascii="宋体" w:hAnsi="宋体" w:eastAsia="宋体"/>
          <w:color w:val="auto"/>
          <w:sz w:val="24"/>
        </w:rPr>
        <w:t>承诺遵守法定规定：在本人任职期间，每年转让公司股份不超过本人直接或间接持有公司股份总数的25%；且离任后或任期届满</w:t>
      </w:r>
      <w:r>
        <w:rPr>
          <w:rFonts w:ascii="宋体" w:hAnsi="宋体" w:eastAsia="宋体"/>
          <w:color w:val="auto"/>
          <w:sz w:val="24"/>
        </w:rPr>
        <w:t>半年内，不转让其所持有的公司股份；</w:t>
      </w:r>
      <w:r>
        <w:rPr>
          <w:rFonts w:hint="eastAsia" w:ascii="宋体" w:hAnsi="宋体" w:eastAsia="宋体"/>
          <w:color w:val="auto"/>
          <w:sz w:val="24"/>
        </w:rPr>
        <w:t>离职六个月后的十二个月内转让的股份不超过所持公司股份总数的50%；</w:t>
      </w:r>
      <w:r>
        <w:rPr>
          <w:rFonts w:ascii="宋体" w:hAnsi="宋体" w:eastAsia="宋体"/>
          <w:color w:val="auto"/>
          <w:sz w:val="24"/>
        </w:rPr>
        <w:t>在任期届满前离职的，在其就任时确定的任期内和任期届满后六个月内，继续遵守上述限制性规定</w:t>
      </w:r>
      <w:r>
        <w:rPr>
          <w:rFonts w:hint="eastAsia" w:ascii="宋体" w:hAnsi="宋体" w:eastAsia="宋体"/>
          <w:color w:val="auto"/>
          <w:sz w:val="24"/>
        </w:rPr>
        <w:t>，不因本人职务变更而拒绝履行有关义务。</w:t>
      </w:r>
    </w:p>
    <w:p>
      <w:pPr>
        <w:spacing w:beforeLines="50" w:afterLines="50" w:line="360" w:lineRule="auto"/>
        <w:ind w:firstLine="468"/>
        <w:rPr>
          <w:rFonts w:ascii="宋体" w:hAnsi="宋体" w:eastAsia="宋体"/>
          <w:color w:val="auto"/>
          <w:sz w:val="24"/>
          <w:lang w:val="en-US"/>
        </w:rPr>
      </w:pPr>
      <w:r>
        <w:rPr>
          <w:rFonts w:hint="eastAsia" w:ascii="宋体" w:hAnsi="宋体" w:eastAsia="宋体"/>
          <w:color w:val="auto"/>
          <w:sz w:val="24"/>
          <w:lang w:val="en-US"/>
        </w:rPr>
        <w:t xml:space="preserve">截至本公告日，未发现上述高级管理人员违反上述承诺或规定的情形。 </w:t>
      </w:r>
    </w:p>
    <w:p>
      <w:pPr>
        <w:pStyle w:val="17"/>
        <w:spacing w:line="360" w:lineRule="auto"/>
        <w:ind w:firstLine="663" w:firstLineChars="275"/>
        <w:rPr>
          <w:b/>
          <w:bCs/>
          <w:color w:val="auto"/>
        </w:rPr>
      </w:pPr>
      <w:r>
        <w:rPr>
          <w:rFonts w:hint="eastAsia"/>
          <w:b/>
          <w:bCs/>
          <w:color w:val="auto"/>
        </w:rPr>
        <w:t>5、上述减持人员</w:t>
      </w:r>
      <w:r>
        <w:rPr>
          <w:b/>
          <w:bCs/>
          <w:color w:val="auto"/>
        </w:rPr>
        <w:t>承诺在下列期间不实施本次减持计划：</w:t>
      </w:r>
    </w:p>
    <w:p>
      <w:pPr>
        <w:spacing w:beforeLines="50" w:afterLines="50" w:line="360" w:lineRule="auto"/>
        <w:ind w:firstLine="468"/>
        <w:rPr>
          <w:rFonts w:ascii="宋体" w:hAnsi="宋体" w:eastAsia="宋体"/>
          <w:color w:val="auto"/>
          <w:sz w:val="24"/>
          <w:lang w:val="en-US"/>
        </w:rPr>
      </w:pPr>
      <w:r>
        <w:rPr>
          <w:rFonts w:hint="eastAsia" w:ascii="宋体" w:hAnsi="宋体" w:eastAsia="宋体"/>
          <w:color w:val="auto"/>
          <w:sz w:val="24"/>
          <w:lang w:val="en-US"/>
        </w:rPr>
        <w:t>（1）</w:t>
      </w:r>
      <w:r>
        <w:rPr>
          <w:rFonts w:ascii="宋体" w:hAnsi="宋体" w:eastAsia="宋体"/>
          <w:color w:val="auto"/>
          <w:sz w:val="24"/>
          <w:lang w:val="en-US"/>
        </w:rPr>
        <w:t>公司定期报告公告前三十日内，因特殊原因推迟定期报告公告日期的自原预约公告日前三十日起算，至公告前一日。</w:t>
      </w:r>
    </w:p>
    <w:p>
      <w:pPr>
        <w:spacing w:beforeLines="50" w:afterLines="50" w:line="360" w:lineRule="auto"/>
        <w:ind w:firstLine="468"/>
        <w:rPr>
          <w:rFonts w:ascii="宋体" w:hAnsi="宋体" w:eastAsia="宋体"/>
          <w:color w:val="auto"/>
          <w:sz w:val="24"/>
        </w:rPr>
      </w:pPr>
      <w:r>
        <w:rPr>
          <w:rFonts w:hint="eastAsia" w:ascii="宋体" w:hAnsi="宋体" w:eastAsia="宋体"/>
          <w:color w:val="auto"/>
          <w:sz w:val="24"/>
        </w:rPr>
        <w:t>（</w:t>
      </w:r>
      <w:r>
        <w:rPr>
          <w:rFonts w:hint="eastAsia" w:ascii="宋体" w:hAnsi="宋体" w:eastAsia="宋体"/>
          <w:color w:val="auto"/>
          <w:sz w:val="24"/>
          <w:lang w:val="en-US"/>
        </w:rPr>
        <w:t>2</w:t>
      </w:r>
      <w:r>
        <w:rPr>
          <w:rFonts w:hint="eastAsia" w:ascii="宋体" w:hAnsi="宋体" w:eastAsia="宋体"/>
          <w:color w:val="auto"/>
          <w:sz w:val="24"/>
        </w:rPr>
        <w:t>）</w:t>
      </w:r>
      <w:r>
        <w:rPr>
          <w:rFonts w:ascii="宋体" w:hAnsi="宋体" w:eastAsia="宋体"/>
          <w:color w:val="auto"/>
          <w:sz w:val="24"/>
        </w:rPr>
        <w:t>公司</w:t>
      </w:r>
      <w:r>
        <w:rPr>
          <w:rFonts w:hint="eastAsia" w:ascii="宋体" w:hAnsi="宋体" w:eastAsia="宋体"/>
          <w:color w:val="auto"/>
          <w:sz w:val="24"/>
        </w:rPr>
        <w:t>季度报告、</w:t>
      </w:r>
      <w:r>
        <w:rPr>
          <w:rFonts w:ascii="宋体" w:hAnsi="宋体" w:eastAsia="宋体"/>
          <w:color w:val="auto"/>
          <w:sz w:val="24"/>
        </w:rPr>
        <w:t>业绩预告、业绩快报公告前十日内。</w:t>
      </w:r>
    </w:p>
    <w:p>
      <w:pPr>
        <w:spacing w:beforeLines="50" w:afterLines="50" w:line="360" w:lineRule="auto"/>
        <w:ind w:firstLine="468"/>
        <w:rPr>
          <w:rFonts w:ascii="宋体" w:hAnsi="宋体" w:eastAsia="宋体"/>
          <w:color w:val="auto"/>
          <w:sz w:val="24"/>
        </w:rPr>
      </w:pPr>
      <w:r>
        <w:rPr>
          <w:rFonts w:hint="eastAsia" w:ascii="宋体" w:hAnsi="宋体" w:eastAsia="宋体"/>
          <w:color w:val="auto"/>
          <w:sz w:val="24"/>
        </w:rPr>
        <w:t>（</w:t>
      </w:r>
      <w:r>
        <w:rPr>
          <w:rFonts w:hint="eastAsia" w:ascii="宋体" w:hAnsi="宋体" w:eastAsia="宋体"/>
          <w:color w:val="auto"/>
          <w:sz w:val="24"/>
          <w:lang w:val="en-US"/>
        </w:rPr>
        <w:t>3</w:t>
      </w:r>
      <w:r>
        <w:rPr>
          <w:rFonts w:hint="eastAsia" w:ascii="宋体" w:hAnsi="宋体" w:eastAsia="宋体"/>
          <w:color w:val="auto"/>
          <w:sz w:val="24"/>
        </w:rPr>
        <w:t>）</w:t>
      </w:r>
      <w:r>
        <w:rPr>
          <w:rFonts w:ascii="宋体" w:hAnsi="宋体" w:eastAsia="宋体"/>
          <w:color w:val="auto"/>
          <w:sz w:val="24"/>
        </w:rPr>
        <w:t>自可能对本公司</w:t>
      </w:r>
      <w:r>
        <w:rPr>
          <w:rFonts w:hint="eastAsia" w:ascii="宋体" w:hAnsi="宋体" w:eastAsia="宋体"/>
          <w:color w:val="auto"/>
          <w:sz w:val="24"/>
        </w:rPr>
        <w:t>证券</w:t>
      </w:r>
      <w:r>
        <w:rPr>
          <w:rFonts w:ascii="宋体" w:hAnsi="宋体" w:eastAsia="宋体"/>
          <w:color w:val="auto"/>
          <w:sz w:val="24"/>
        </w:rPr>
        <w:t>及其衍生品种交易价格产生较大影响的重大事件发生之日或</w:t>
      </w:r>
      <w:r>
        <w:rPr>
          <w:rFonts w:hint="eastAsia" w:ascii="宋体" w:hAnsi="宋体" w:eastAsia="宋体"/>
          <w:color w:val="auto"/>
          <w:sz w:val="24"/>
        </w:rPr>
        <w:t>在</w:t>
      </w:r>
      <w:r>
        <w:rPr>
          <w:rFonts w:ascii="宋体" w:hAnsi="宋体" w:eastAsia="宋体"/>
          <w:color w:val="auto"/>
          <w:sz w:val="24"/>
        </w:rPr>
        <w:t>决策</w:t>
      </w:r>
      <w:r>
        <w:rPr>
          <w:rFonts w:hint="eastAsia" w:ascii="宋体" w:hAnsi="宋体" w:eastAsia="宋体"/>
          <w:color w:val="auto"/>
          <w:sz w:val="24"/>
        </w:rPr>
        <w:t>过程中</w:t>
      </w:r>
      <w:r>
        <w:rPr>
          <w:rFonts w:ascii="宋体" w:hAnsi="宋体" w:eastAsia="宋体"/>
          <w:color w:val="auto"/>
          <w:sz w:val="24"/>
        </w:rPr>
        <w:t>，至依法披露</w:t>
      </w:r>
      <w:r>
        <w:rPr>
          <w:rFonts w:hint="eastAsia" w:ascii="宋体" w:hAnsi="宋体" w:eastAsia="宋体"/>
          <w:color w:val="auto"/>
          <w:sz w:val="24"/>
        </w:rPr>
        <w:t>之</w:t>
      </w:r>
      <w:r>
        <w:rPr>
          <w:rFonts w:ascii="宋体" w:hAnsi="宋体" w:eastAsia="宋体"/>
          <w:color w:val="auto"/>
          <w:sz w:val="24"/>
        </w:rPr>
        <w:t>日内。</w:t>
      </w:r>
    </w:p>
    <w:p>
      <w:pPr>
        <w:spacing w:beforeLines="50" w:afterLines="50" w:line="360" w:lineRule="auto"/>
        <w:ind w:firstLine="468"/>
        <w:rPr>
          <w:rFonts w:ascii="宋体" w:hAnsi="宋体" w:eastAsia="宋体"/>
          <w:color w:val="auto"/>
          <w:sz w:val="24"/>
          <w:lang w:val="en-US"/>
        </w:rPr>
      </w:pPr>
      <w:r>
        <w:rPr>
          <w:rFonts w:ascii="宋体" w:hAnsi="宋体" w:eastAsia="宋体"/>
          <w:color w:val="auto"/>
          <w:sz w:val="24"/>
        </w:rPr>
        <w:t>（4）中国证监会及深圳证券交易所规定的其他期间。</w:t>
      </w:r>
    </w:p>
    <w:p>
      <w:pPr>
        <w:pStyle w:val="17"/>
        <w:spacing w:line="360" w:lineRule="auto"/>
        <w:ind w:firstLine="663" w:firstLineChars="275"/>
        <w:rPr>
          <w:b/>
          <w:bCs/>
          <w:color w:val="auto"/>
        </w:rPr>
      </w:pPr>
      <w:r>
        <w:rPr>
          <w:rFonts w:hint="eastAsia"/>
          <w:b/>
          <w:bCs/>
          <w:color w:val="auto"/>
        </w:rPr>
        <w:t>6、相关风险提示</w:t>
      </w:r>
    </w:p>
    <w:p>
      <w:pPr>
        <w:widowControl/>
        <w:autoSpaceDE/>
        <w:autoSpaceDN/>
        <w:adjustRightInd w:val="0"/>
        <w:snapToGrid w:val="0"/>
        <w:spacing w:beforeLines="50" w:afterLines="50" w:line="360" w:lineRule="auto"/>
        <w:ind w:firstLine="480" w:firstLineChars="200"/>
        <w:rPr>
          <w:rFonts w:ascii="宋体" w:hAnsi="宋体" w:eastAsia="宋体" w:cs="Times New Roman"/>
          <w:color w:val="auto"/>
          <w:sz w:val="24"/>
          <w:szCs w:val="24"/>
          <w:lang w:val="en-US" w:bidi="ar-SA"/>
        </w:rPr>
      </w:pPr>
      <w:r>
        <w:rPr>
          <w:rFonts w:hint="eastAsia" w:ascii="宋体" w:hAnsi="宋体" w:eastAsia="宋体" w:cs="Times New Roman"/>
          <w:color w:val="auto"/>
          <w:sz w:val="24"/>
          <w:szCs w:val="24"/>
          <w:lang w:val="en-US" w:bidi="ar-SA"/>
        </w:rPr>
        <w:t>（1）本次减持计划将根据市场情况、公司股价情况等决定是否实施，减持时间、减持价格存在不确定性；</w:t>
      </w:r>
    </w:p>
    <w:p>
      <w:pPr>
        <w:widowControl/>
        <w:autoSpaceDE/>
        <w:autoSpaceDN/>
        <w:adjustRightInd w:val="0"/>
        <w:snapToGrid w:val="0"/>
        <w:spacing w:beforeLines="50" w:afterLines="50" w:line="360" w:lineRule="auto"/>
        <w:ind w:firstLine="480" w:firstLineChars="200"/>
        <w:rPr>
          <w:rFonts w:ascii="宋体" w:hAnsi="宋体" w:eastAsia="宋体" w:cs="Times New Roman"/>
          <w:color w:val="auto"/>
          <w:sz w:val="24"/>
          <w:szCs w:val="24"/>
          <w:lang w:val="en-US" w:bidi="ar-SA"/>
        </w:rPr>
      </w:pPr>
      <w:r>
        <w:rPr>
          <w:rFonts w:hint="eastAsia" w:ascii="宋体" w:hAnsi="宋体" w:eastAsia="宋体" w:cs="Times New Roman"/>
          <w:color w:val="auto"/>
          <w:sz w:val="24"/>
          <w:szCs w:val="24"/>
          <w:lang w:val="en-US" w:bidi="ar-SA"/>
        </w:rPr>
        <w:t>（2）本次减持计划实施不会影响公司的治理结构和持续经营，不会导致公司控制权发生变更；</w:t>
      </w:r>
    </w:p>
    <w:p>
      <w:pPr>
        <w:widowControl/>
        <w:autoSpaceDE/>
        <w:autoSpaceDN/>
        <w:adjustRightInd w:val="0"/>
        <w:snapToGrid w:val="0"/>
        <w:spacing w:beforeLines="50" w:afterLines="50" w:line="360" w:lineRule="auto"/>
        <w:ind w:firstLine="480" w:firstLineChars="200"/>
        <w:rPr>
          <w:rFonts w:ascii="宋体" w:hAnsi="宋体" w:eastAsia="宋体" w:cs="Times New Roman"/>
          <w:color w:val="auto"/>
          <w:sz w:val="24"/>
          <w:szCs w:val="24"/>
          <w:lang w:val="en-US" w:bidi="ar-SA"/>
        </w:rPr>
      </w:pPr>
      <w:r>
        <w:rPr>
          <w:rFonts w:hint="eastAsia" w:ascii="宋体" w:hAnsi="宋体" w:eastAsia="宋体" w:cs="Times New Roman"/>
          <w:color w:val="auto"/>
          <w:sz w:val="24"/>
          <w:szCs w:val="24"/>
          <w:lang w:val="en-US" w:bidi="ar-SA"/>
        </w:rPr>
        <w:t>（3）本次减持计划未违反《公司法》、</w:t>
      </w:r>
      <w:r>
        <w:rPr>
          <w:rFonts w:ascii="宋体" w:hAnsi="宋体" w:eastAsia="宋体" w:cs="Times New Roman"/>
          <w:color w:val="auto"/>
          <w:sz w:val="24"/>
          <w:szCs w:val="24"/>
          <w:lang w:val="en-US" w:bidi="ar-SA"/>
        </w:rPr>
        <w:t>《证券法》、《上市公司收购管理办法》、《深圳证券交易所股票上市规则》、《深圳证券交易所上市公司自律监管指引第</w:t>
      </w:r>
      <w:r>
        <w:rPr>
          <w:rFonts w:hint="eastAsia" w:ascii="宋体" w:hAnsi="宋体" w:eastAsia="宋体" w:cs="Times New Roman"/>
          <w:color w:val="auto"/>
          <w:sz w:val="24"/>
          <w:szCs w:val="24"/>
          <w:lang w:val="en-US" w:bidi="ar-SA"/>
        </w:rPr>
        <w:t>1</w:t>
      </w:r>
      <w:r>
        <w:rPr>
          <w:rFonts w:ascii="宋体" w:hAnsi="宋体" w:eastAsia="宋体" w:cs="Times New Roman"/>
          <w:color w:val="auto"/>
          <w:sz w:val="24"/>
          <w:szCs w:val="24"/>
          <w:lang w:val="en-US" w:bidi="ar-SA"/>
        </w:rPr>
        <w:t>号——主板上市公司规范运作》、《上市公司股东、董监高减持股份的若干规定》（证监会公告[2017]9号）、《深圳证券交易所上市公司股东及董事、监事、高级管理人员减持股份实施细则》</w:t>
      </w:r>
      <w:r>
        <w:rPr>
          <w:rFonts w:hint="eastAsia" w:ascii="宋体" w:hAnsi="宋体" w:eastAsia="宋体" w:cs="Times New Roman"/>
          <w:color w:val="auto"/>
          <w:sz w:val="24"/>
          <w:szCs w:val="24"/>
          <w:lang w:val="en-US" w:bidi="ar-SA"/>
        </w:rPr>
        <w:t>等法律、法规及规范性文件的规定；</w:t>
      </w:r>
    </w:p>
    <w:p>
      <w:pPr>
        <w:widowControl/>
        <w:autoSpaceDE/>
        <w:autoSpaceDN/>
        <w:adjustRightInd w:val="0"/>
        <w:snapToGrid w:val="0"/>
        <w:spacing w:beforeLines="50" w:afterLines="50" w:line="360" w:lineRule="auto"/>
        <w:ind w:firstLine="480" w:firstLineChars="200"/>
        <w:rPr>
          <w:rFonts w:ascii="宋体" w:hAnsi="宋体" w:eastAsia="宋体" w:cs="Times New Roman"/>
          <w:color w:val="auto"/>
          <w:sz w:val="24"/>
          <w:szCs w:val="24"/>
          <w:lang w:val="en-US" w:bidi="ar-SA"/>
        </w:rPr>
      </w:pPr>
      <w:r>
        <w:rPr>
          <w:rFonts w:hint="eastAsia" w:ascii="宋体" w:hAnsi="宋体" w:eastAsia="宋体" w:cs="Times New Roman"/>
          <w:color w:val="auto"/>
          <w:sz w:val="24"/>
          <w:szCs w:val="24"/>
          <w:lang w:val="en-US" w:bidi="ar-SA"/>
        </w:rPr>
        <w:t>（4）公司将根据本次减持计划的进展情况，按照相关规定履行信息披露义务。</w:t>
      </w:r>
    </w:p>
    <w:p>
      <w:pPr>
        <w:widowControl/>
        <w:autoSpaceDE/>
        <w:autoSpaceDN/>
        <w:adjustRightInd w:val="0"/>
        <w:snapToGrid w:val="0"/>
        <w:spacing w:beforeLines="50" w:afterLines="50" w:line="360" w:lineRule="auto"/>
        <w:ind w:firstLine="480" w:firstLineChars="200"/>
        <w:rPr>
          <w:rFonts w:ascii="宋体" w:hAnsi="宋体" w:eastAsia="宋体" w:cs="Times New Roman"/>
          <w:color w:val="auto"/>
          <w:sz w:val="24"/>
          <w:szCs w:val="24"/>
          <w:lang w:val="en-US" w:bidi="ar-SA"/>
        </w:rPr>
      </w:pPr>
      <w:r>
        <w:rPr>
          <w:rFonts w:hint="eastAsia" w:ascii="宋体" w:hAnsi="宋体" w:eastAsia="宋体" w:cs="Times New Roman"/>
          <w:color w:val="auto"/>
          <w:sz w:val="24"/>
          <w:szCs w:val="24"/>
          <w:lang w:val="en-US" w:bidi="ar-SA"/>
        </w:rPr>
        <w:t>敬请广大投资者理性投资，注意投资风险。</w:t>
      </w:r>
    </w:p>
    <w:p>
      <w:pPr>
        <w:widowControl/>
        <w:autoSpaceDE/>
        <w:autoSpaceDN/>
        <w:adjustRightInd w:val="0"/>
        <w:snapToGrid w:val="0"/>
        <w:spacing w:beforeLines="50" w:afterLines="50" w:line="360" w:lineRule="auto"/>
        <w:ind w:firstLine="482" w:firstLineChars="200"/>
        <w:rPr>
          <w:rFonts w:ascii="宋体" w:hAnsi="宋体" w:eastAsia="宋体" w:cs="Times New Roman"/>
          <w:b/>
          <w:bCs/>
          <w:color w:val="auto"/>
          <w:sz w:val="24"/>
          <w:szCs w:val="24"/>
          <w:lang w:val="en-US" w:bidi="ar-SA"/>
        </w:rPr>
      </w:pPr>
      <w:r>
        <w:rPr>
          <w:rFonts w:hint="eastAsia" w:ascii="宋体" w:hAnsi="宋体" w:eastAsia="宋体" w:cs="Times New Roman"/>
          <w:b/>
          <w:bCs/>
          <w:color w:val="auto"/>
          <w:sz w:val="24"/>
          <w:szCs w:val="24"/>
          <w:lang w:val="en-US" w:bidi="ar-SA"/>
        </w:rPr>
        <w:t xml:space="preserve">二、备查文件 </w:t>
      </w:r>
    </w:p>
    <w:p>
      <w:pPr>
        <w:spacing w:beforeLines="50" w:afterLines="50" w:line="360" w:lineRule="auto"/>
        <w:ind w:firstLine="468"/>
        <w:rPr>
          <w:rFonts w:ascii="宋体" w:hAnsi="宋体" w:eastAsia="宋体"/>
          <w:color w:val="auto"/>
          <w:sz w:val="24"/>
        </w:rPr>
      </w:pPr>
      <w:r>
        <w:rPr>
          <w:rFonts w:hint="eastAsia" w:ascii="宋体" w:hAnsi="宋体" w:eastAsia="宋体"/>
          <w:color w:val="auto"/>
          <w:sz w:val="24"/>
        </w:rPr>
        <w:t>1、江西惠隆企业管理有限公司出具的《</w:t>
      </w:r>
      <w:r>
        <w:rPr>
          <w:rFonts w:hint="eastAsia" w:ascii="宋体" w:hAnsi="宋体" w:eastAsia="宋体" w:cs="Times New Roman"/>
          <w:color w:val="auto"/>
          <w:sz w:val="24"/>
          <w:szCs w:val="24"/>
          <w:lang w:val="en-US" w:bidi="ar-SA"/>
        </w:rPr>
        <w:t>关于股份减持计划的告知函</w:t>
      </w:r>
      <w:r>
        <w:rPr>
          <w:rFonts w:hint="eastAsia" w:ascii="宋体" w:hAnsi="宋体" w:eastAsia="宋体"/>
          <w:color w:val="auto"/>
          <w:sz w:val="24"/>
        </w:rPr>
        <w:t xml:space="preserve">》 </w:t>
      </w:r>
    </w:p>
    <w:p>
      <w:pPr>
        <w:spacing w:beforeLines="50" w:afterLines="50" w:line="360" w:lineRule="auto"/>
        <w:ind w:firstLine="468"/>
        <w:rPr>
          <w:rFonts w:ascii="宋体" w:hAnsi="宋体" w:eastAsia="宋体"/>
          <w:color w:val="auto"/>
          <w:sz w:val="24"/>
        </w:rPr>
      </w:pPr>
      <w:r>
        <w:rPr>
          <w:rFonts w:hint="eastAsia" w:ascii="宋体" w:hAnsi="宋体" w:eastAsia="宋体"/>
          <w:color w:val="auto"/>
          <w:sz w:val="24"/>
          <w:lang w:val="en-US"/>
        </w:rPr>
        <w:t>2</w:t>
      </w:r>
      <w:r>
        <w:rPr>
          <w:rFonts w:hint="eastAsia" w:ascii="宋体" w:hAnsi="宋体" w:eastAsia="宋体"/>
          <w:color w:val="auto"/>
          <w:sz w:val="24"/>
        </w:rPr>
        <w:t>、李会君先生出具的《</w:t>
      </w:r>
      <w:r>
        <w:rPr>
          <w:rFonts w:hint="eastAsia" w:ascii="宋体" w:hAnsi="宋体" w:eastAsia="宋体" w:cs="Times New Roman"/>
          <w:color w:val="auto"/>
          <w:sz w:val="24"/>
          <w:szCs w:val="24"/>
          <w:lang w:val="en-US" w:bidi="ar-SA"/>
        </w:rPr>
        <w:t>关于股份减持计划的告知函</w:t>
      </w:r>
      <w:r>
        <w:rPr>
          <w:rFonts w:hint="eastAsia" w:ascii="宋体" w:hAnsi="宋体" w:eastAsia="宋体"/>
          <w:color w:val="auto"/>
          <w:sz w:val="24"/>
        </w:rPr>
        <w:t xml:space="preserve">》 </w:t>
      </w:r>
    </w:p>
    <w:p>
      <w:pPr>
        <w:spacing w:beforeLines="50" w:afterLines="50" w:line="360" w:lineRule="auto"/>
        <w:ind w:firstLine="468"/>
        <w:rPr>
          <w:rFonts w:ascii="宋体" w:hAnsi="宋体" w:eastAsia="宋体"/>
          <w:color w:val="auto"/>
          <w:sz w:val="24"/>
        </w:rPr>
      </w:pPr>
    </w:p>
    <w:p>
      <w:pPr>
        <w:spacing w:beforeLines="50" w:afterLines="50" w:line="480" w:lineRule="auto"/>
        <w:ind w:firstLine="439" w:firstLineChars="183"/>
        <w:rPr>
          <w:rFonts w:ascii="宋体" w:hAnsi="宋体" w:eastAsia="宋体"/>
          <w:color w:val="auto"/>
          <w:sz w:val="24"/>
          <w:szCs w:val="24"/>
        </w:rPr>
      </w:pPr>
      <w:r>
        <w:rPr>
          <w:rFonts w:hint="eastAsia" w:ascii="宋体" w:hAnsi="宋体" w:eastAsia="宋体"/>
          <w:color w:val="auto"/>
          <w:sz w:val="24"/>
          <w:szCs w:val="24"/>
        </w:rPr>
        <w:t>特此公告。</w:t>
      </w:r>
    </w:p>
    <w:p>
      <w:pPr>
        <w:spacing w:beforeLines="50" w:afterLines="50" w:line="360" w:lineRule="auto"/>
        <w:ind w:firstLine="5280" w:firstLineChars="2200"/>
        <w:rPr>
          <w:rFonts w:ascii="宋体" w:hAnsi="宋体" w:eastAsia="宋体"/>
          <w:color w:val="auto"/>
          <w:sz w:val="24"/>
          <w:szCs w:val="24"/>
        </w:rPr>
      </w:pPr>
      <w:r>
        <w:rPr>
          <w:rFonts w:hint="eastAsia" w:ascii="宋体" w:hAnsi="宋体" w:eastAsia="宋体"/>
          <w:color w:val="auto"/>
          <w:sz w:val="24"/>
          <w:szCs w:val="24"/>
        </w:rPr>
        <w:t>青岛伟隆阀门股份有限公司</w:t>
      </w:r>
    </w:p>
    <w:p>
      <w:pPr>
        <w:spacing w:beforeLines="50" w:afterLines="50" w:line="360" w:lineRule="auto"/>
        <w:ind w:firstLine="6379" w:firstLineChars="2658"/>
        <w:rPr>
          <w:rFonts w:ascii="宋体" w:hAnsi="宋体" w:eastAsia="宋体"/>
          <w:color w:val="auto"/>
          <w:sz w:val="24"/>
          <w:szCs w:val="24"/>
        </w:rPr>
      </w:pPr>
      <w:r>
        <w:rPr>
          <w:rFonts w:hint="eastAsia" w:ascii="宋体" w:hAnsi="宋体" w:eastAsia="宋体"/>
          <w:color w:val="auto"/>
          <w:sz w:val="24"/>
          <w:szCs w:val="24"/>
        </w:rPr>
        <w:t xml:space="preserve">董事会 </w:t>
      </w:r>
    </w:p>
    <w:p>
      <w:pPr>
        <w:spacing w:beforeLines="50" w:afterLines="50" w:line="360" w:lineRule="auto"/>
        <w:ind w:firstLine="5940" w:firstLineChars="2475"/>
        <w:rPr>
          <w:rFonts w:ascii="宋体" w:hAnsi="宋体" w:eastAsia="宋体"/>
          <w:color w:val="auto"/>
          <w:sz w:val="24"/>
          <w:szCs w:val="24"/>
        </w:rPr>
      </w:pPr>
      <w:r>
        <w:rPr>
          <w:rFonts w:hint="eastAsia" w:ascii="宋体" w:hAnsi="宋体" w:eastAsia="宋体"/>
          <w:color w:val="auto"/>
          <w:sz w:val="24"/>
          <w:szCs w:val="24"/>
        </w:rPr>
        <w:t>202</w:t>
      </w:r>
      <w:r>
        <w:rPr>
          <w:rFonts w:hint="eastAsia" w:ascii="宋体" w:hAnsi="宋体" w:eastAsia="宋体"/>
          <w:color w:val="auto"/>
          <w:sz w:val="24"/>
          <w:szCs w:val="24"/>
          <w:lang w:val="en-US"/>
        </w:rPr>
        <w:t>2</w:t>
      </w:r>
      <w:r>
        <w:rPr>
          <w:rFonts w:hint="eastAsia" w:ascii="宋体" w:hAnsi="宋体" w:eastAsia="宋体"/>
          <w:color w:val="auto"/>
          <w:sz w:val="24"/>
          <w:szCs w:val="24"/>
        </w:rPr>
        <w:t>年</w:t>
      </w:r>
      <w:r>
        <w:rPr>
          <w:rFonts w:hint="eastAsia" w:ascii="宋体" w:hAnsi="宋体" w:eastAsia="宋体"/>
          <w:color w:val="auto"/>
          <w:sz w:val="24"/>
          <w:szCs w:val="24"/>
          <w:lang w:val="en-US"/>
        </w:rPr>
        <w:t>11</w:t>
      </w:r>
      <w:r>
        <w:rPr>
          <w:rFonts w:hint="eastAsia" w:ascii="宋体" w:hAnsi="宋体" w:eastAsia="宋体"/>
          <w:color w:val="auto"/>
          <w:sz w:val="24"/>
          <w:szCs w:val="24"/>
        </w:rPr>
        <w:t>月</w:t>
      </w:r>
      <w:r>
        <w:rPr>
          <w:rFonts w:hint="eastAsia" w:ascii="宋体" w:hAnsi="宋体" w:eastAsia="宋体"/>
          <w:color w:val="auto"/>
          <w:sz w:val="24"/>
          <w:szCs w:val="24"/>
          <w:lang w:val="en-US"/>
        </w:rPr>
        <w:t>08</w:t>
      </w:r>
      <w:r>
        <w:rPr>
          <w:rFonts w:hint="eastAsia" w:ascii="宋体" w:hAnsi="宋体" w:eastAsia="宋体"/>
          <w:color w:val="auto"/>
          <w:sz w:val="24"/>
          <w:szCs w:val="24"/>
        </w:rPr>
        <w:t xml:space="preserve">日    </w:t>
      </w:r>
    </w:p>
    <w:sectPr>
      <w:footerReference r:id="rId3" w:type="default"/>
      <w:pgSz w:w="11910" w:h="16840"/>
      <w:pgMar w:top="1440" w:right="1800" w:bottom="1440" w:left="1800" w:header="0" w:footer="98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4097" o:spid="_x0000_s4097" o:spt="202" type="#_x0000_t202" style="position:absolute;left:0pt;margin-left:298pt;margin-top:781.5pt;height:12pt;width:17.7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RiYWIwNzkzYTg0MzhhYmIxYTgwNmNhNDYxODQzNjMifQ=="/>
  </w:docVars>
  <w:rsids>
    <w:rsidRoot w:val="00172A27"/>
    <w:rsid w:val="000745BC"/>
    <w:rsid w:val="000D6226"/>
    <w:rsid w:val="000F4F78"/>
    <w:rsid w:val="00161B04"/>
    <w:rsid w:val="00172A27"/>
    <w:rsid w:val="00260D87"/>
    <w:rsid w:val="002B0928"/>
    <w:rsid w:val="00322FBC"/>
    <w:rsid w:val="004B0AD0"/>
    <w:rsid w:val="005475C4"/>
    <w:rsid w:val="00564FA3"/>
    <w:rsid w:val="005B3DE4"/>
    <w:rsid w:val="005E49D3"/>
    <w:rsid w:val="00787466"/>
    <w:rsid w:val="008F023D"/>
    <w:rsid w:val="0094607A"/>
    <w:rsid w:val="0096648A"/>
    <w:rsid w:val="009D7B1A"/>
    <w:rsid w:val="00A05932"/>
    <w:rsid w:val="00A72BB0"/>
    <w:rsid w:val="00B43178"/>
    <w:rsid w:val="00BA0FE6"/>
    <w:rsid w:val="00C25969"/>
    <w:rsid w:val="00C718C2"/>
    <w:rsid w:val="00D122EA"/>
    <w:rsid w:val="00D95CE7"/>
    <w:rsid w:val="00F1087E"/>
    <w:rsid w:val="00F3436F"/>
    <w:rsid w:val="02916AEA"/>
    <w:rsid w:val="0615577E"/>
    <w:rsid w:val="09554A11"/>
    <w:rsid w:val="0A505203"/>
    <w:rsid w:val="0A6B0436"/>
    <w:rsid w:val="0AAA48DA"/>
    <w:rsid w:val="0AD35BED"/>
    <w:rsid w:val="0BBA4FFF"/>
    <w:rsid w:val="0C6A740B"/>
    <w:rsid w:val="0CB811BE"/>
    <w:rsid w:val="0DD73B2E"/>
    <w:rsid w:val="0EFD592E"/>
    <w:rsid w:val="1152250D"/>
    <w:rsid w:val="11572416"/>
    <w:rsid w:val="14653856"/>
    <w:rsid w:val="149025E0"/>
    <w:rsid w:val="15A05D04"/>
    <w:rsid w:val="15E213DA"/>
    <w:rsid w:val="16113A6D"/>
    <w:rsid w:val="1792314F"/>
    <w:rsid w:val="199263EF"/>
    <w:rsid w:val="1AE26F66"/>
    <w:rsid w:val="1B263D86"/>
    <w:rsid w:val="1C872AE9"/>
    <w:rsid w:val="1D5A65E9"/>
    <w:rsid w:val="1E107DB8"/>
    <w:rsid w:val="1E635B2F"/>
    <w:rsid w:val="20653B16"/>
    <w:rsid w:val="23B429A8"/>
    <w:rsid w:val="260F40AD"/>
    <w:rsid w:val="26471CC3"/>
    <w:rsid w:val="27F26CDA"/>
    <w:rsid w:val="28E314AC"/>
    <w:rsid w:val="293154FF"/>
    <w:rsid w:val="29B62057"/>
    <w:rsid w:val="2D4944AC"/>
    <w:rsid w:val="2F2443BA"/>
    <w:rsid w:val="2F947791"/>
    <w:rsid w:val="316B6E2E"/>
    <w:rsid w:val="32C73DAF"/>
    <w:rsid w:val="36084776"/>
    <w:rsid w:val="36ED52C4"/>
    <w:rsid w:val="3B205972"/>
    <w:rsid w:val="3C9E1EA5"/>
    <w:rsid w:val="3CBC048A"/>
    <w:rsid w:val="3DFD1A70"/>
    <w:rsid w:val="3F9151ED"/>
    <w:rsid w:val="405C7665"/>
    <w:rsid w:val="4194717D"/>
    <w:rsid w:val="42C81BB4"/>
    <w:rsid w:val="44940089"/>
    <w:rsid w:val="44DF0652"/>
    <w:rsid w:val="46A10DE0"/>
    <w:rsid w:val="48085973"/>
    <w:rsid w:val="48F631AC"/>
    <w:rsid w:val="49FB0C98"/>
    <w:rsid w:val="4A4C7C80"/>
    <w:rsid w:val="4BA20EF2"/>
    <w:rsid w:val="4C06442B"/>
    <w:rsid w:val="4C2B5CEB"/>
    <w:rsid w:val="4F505075"/>
    <w:rsid w:val="51D73396"/>
    <w:rsid w:val="521B47A2"/>
    <w:rsid w:val="54A707BC"/>
    <w:rsid w:val="54D0289B"/>
    <w:rsid w:val="579B0F83"/>
    <w:rsid w:val="5A7159CB"/>
    <w:rsid w:val="5ADA3120"/>
    <w:rsid w:val="5ADE5B67"/>
    <w:rsid w:val="5C281FE1"/>
    <w:rsid w:val="5C891DD6"/>
    <w:rsid w:val="5E061A7C"/>
    <w:rsid w:val="5E184F57"/>
    <w:rsid w:val="5F4434D9"/>
    <w:rsid w:val="62BF2E88"/>
    <w:rsid w:val="691907F4"/>
    <w:rsid w:val="696A5FE2"/>
    <w:rsid w:val="6AB853DB"/>
    <w:rsid w:val="6C501AC5"/>
    <w:rsid w:val="6D6153B3"/>
    <w:rsid w:val="737E432B"/>
    <w:rsid w:val="739745B7"/>
    <w:rsid w:val="75192341"/>
    <w:rsid w:val="76F1678C"/>
    <w:rsid w:val="7B421274"/>
    <w:rsid w:val="7C172540"/>
    <w:rsid w:val="7C4D4607"/>
    <w:rsid w:val="7D9D1DB0"/>
    <w:rsid w:val="7F576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style>
  <w:style w:type="paragraph" w:styleId="3">
    <w:name w:val="Body Text"/>
    <w:basedOn w:val="1"/>
    <w:qFormat/>
    <w:uiPriority w:val="1"/>
    <w:rPr>
      <w:sz w:val="32"/>
      <w:szCs w:val="32"/>
    </w:rPr>
  </w:style>
  <w:style w:type="paragraph" w:styleId="4">
    <w:name w:val="Balloon Text"/>
    <w:basedOn w:val="1"/>
    <w:link w:val="23"/>
    <w:qFormat/>
    <w:uiPriority w:val="0"/>
    <w:rPr>
      <w:sz w:val="18"/>
      <w:szCs w:val="18"/>
    </w:rPr>
  </w:style>
  <w:style w:type="paragraph" w:styleId="5">
    <w:name w:val="footer"/>
    <w:basedOn w:val="1"/>
    <w:link w:val="19"/>
    <w:qFormat/>
    <w:uiPriority w:val="0"/>
    <w:pPr>
      <w:tabs>
        <w:tab w:val="center" w:pos="4153"/>
        <w:tab w:val="right" w:pos="8306"/>
      </w:tabs>
      <w:snapToGrid w:val="0"/>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1"/>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qFormat/>
    <w:uiPriority w:val="0"/>
    <w:rPr>
      <w:color w:val="0000FF"/>
      <w:u w:val="none"/>
    </w:rPr>
  </w:style>
  <w:style w:type="character" w:styleId="12">
    <w:name w:val="Hyperlink"/>
    <w:basedOn w:val="10"/>
    <w:qFormat/>
    <w:uiPriority w:val="0"/>
    <w:rPr>
      <w:color w:val="0000FF"/>
      <w:u w:val="none"/>
    </w:rPr>
  </w:style>
  <w:style w:type="character" w:styleId="13">
    <w:name w:val="annotation reference"/>
    <w:basedOn w:val="10"/>
    <w:qFormat/>
    <w:uiPriority w:val="0"/>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820" w:right="741" w:firstLine="640"/>
      <w:jc w:val="both"/>
    </w:pPr>
  </w:style>
  <w:style w:type="paragraph" w:customStyle="1" w:styleId="16">
    <w:name w:val="Table Paragraph"/>
    <w:basedOn w:val="1"/>
    <w:qFormat/>
    <w:uiPriority w:val="1"/>
  </w:style>
  <w:style w:type="paragraph" w:customStyle="1" w:styleId="1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8">
    <w:name w:val="页眉 Char"/>
    <w:basedOn w:val="10"/>
    <w:link w:val="6"/>
    <w:qFormat/>
    <w:uiPriority w:val="0"/>
    <w:rPr>
      <w:rFonts w:ascii="仿宋" w:hAnsi="仿宋" w:eastAsia="仿宋" w:cs="仿宋"/>
      <w:sz w:val="18"/>
      <w:szCs w:val="18"/>
      <w:lang w:val="zh-CN" w:bidi="zh-CN"/>
    </w:rPr>
  </w:style>
  <w:style w:type="character" w:customStyle="1" w:styleId="19">
    <w:name w:val="页脚 Char"/>
    <w:basedOn w:val="10"/>
    <w:link w:val="5"/>
    <w:qFormat/>
    <w:uiPriority w:val="0"/>
    <w:rPr>
      <w:rFonts w:ascii="仿宋" w:hAnsi="仿宋" w:eastAsia="仿宋" w:cs="仿宋"/>
      <w:sz w:val="18"/>
      <w:szCs w:val="18"/>
      <w:lang w:val="zh-CN" w:bidi="zh-CN"/>
    </w:rPr>
  </w:style>
  <w:style w:type="character" w:customStyle="1" w:styleId="20">
    <w:name w:val="批注文字 Char"/>
    <w:basedOn w:val="10"/>
    <w:link w:val="2"/>
    <w:qFormat/>
    <w:uiPriority w:val="0"/>
    <w:rPr>
      <w:rFonts w:ascii="仿宋" w:hAnsi="仿宋" w:eastAsia="仿宋" w:cs="仿宋"/>
      <w:sz w:val="22"/>
      <w:szCs w:val="22"/>
      <w:lang w:val="zh-CN" w:bidi="zh-CN"/>
    </w:rPr>
  </w:style>
  <w:style w:type="character" w:customStyle="1" w:styleId="21">
    <w:name w:val="批注主题 Char"/>
    <w:basedOn w:val="20"/>
    <w:link w:val="7"/>
    <w:qFormat/>
    <w:uiPriority w:val="0"/>
    <w:rPr>
      <w:rFonts w:ascii="仿宋" w:hAnsi="仿宋" w:eastAsia="仿宋" w:cs="仿宋"/>
      <w:b/>
      <w:bCs/>
      <w:sz w:val="22"/>
      <w:szCs w:val="22"/>
      <w:lang w:val="zh-CN" w:bidi="zh-CN"/>
    </w:rPr>
  </w:style>
  <w:style w:type="paragraph" w:customStyle="1" w:styleId="22">
    <w:name w:val="修订1"/>
    <w:hidden/>
    <w:unhideWhenUsed/>
    <w:qFormat/>
    <w:uiPriority w:val="99"/>
    <w:rPr>
      <w:rFonts w:ascii="仿宋" w:hAnsi="仿宋" w:eastAsia="仿宋" w:cs="仿宋"/>
      <w:sz w:val="22"/>
      <w:szCs w:val="22"/>
      <w:lang w:val="zh-CN" w:eastAsia="zh-CN" w:bidi="zh-CN"/>
    </w:rPr>
  </w:style>
  <w:style w:type="character" w:customStyle="1" w:styleId="23">
    <w:name w:val="批注框文本 Char"/>
    <w:basedOn w:val="10"/>
    <w:link w:val="4"/>
    <w:qFormat/>
    <w:uiPriority w:val="0"/>
    <w:rPr>
      <w:rFonts w:ascii="仿宋" w:hAnsi="仿宋" w:eastAsia="仿宋" w:cs="仿宋"/>
      <w:sz w:val="18"/>
      <w:szCs w:val="18"/>
      <w:lang w:val="zh-CN" w:bidi="zh-CN"/>
    </w:rPr>
  </w:style>
  <w:style w:type="character" w:customStyle="1" w:styleId="24">
    <w:name w:val="bpm_system_waiting"/>
    <w:basedOn w:val="10"/>
    <w:qFormat/>
    <w:uiPriority w:val="0"/>
    <w:rPr>
      <w:b/>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2569</Words>
  <Characters>2721</Characters>
  <Lines>20</Lines>
  <Paragraphs>5</Paragraphs>
  <TotalTime>11</TotalTime>
  <ScaleCrop>false</ScaleCrop>
  <LinksUpToDate>false</LinksUpToDate>
  <CharactersWithSpaces>2753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2020-07-02T08:04:00Z</dcterms:created>
  <dc:creator>zhaoxiang</dc:creator>
  <cp:lastModifiedBy>Mr.翔</cp:lastModifiedBy>
  <dcterms:modified xsi:type="dcterms:W3CDTF">2022-11-07T07:32:08Z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E04F2D3B0DFB4983AE93D16ED63151EE</vt:lpwstr>
  </property>
</Properties>
</file>