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Lines="50" w:afterLines="50" w:line="360" w:lineRule="auto"/>
        <w:jc w:val="center"/>
        <w:rPr>
          <w:rFonts w:hint="default" w:cs="Times New Roman" w:asciiTheme="minorEastAsia" w:hAnsiTheme="minorEastAsia" w:eastAsiaTheme="minorEastAsia"/>
          <w:color w:val="auto"/>
          <w:sz w:val="24"/>
          <w:szCs w:val="23"/>
          <w:lang w:val="en-US"/>
        </w:rPr>
      </w:pPr>
      <w:r>
        <w:rPr>
          <w:rFonts w:hint="eastAsia" w:cs="Times New Roman" w:asciiTheme="minorEastAsia" w:hAnsiTheme="minorEastAsia" w:eastAsiaTheme="minorEastAsia"/>
          <w:color w:val="auto"/>
          <w:sz w:val="24"/>
          <w:szCs w:val="23"/>
        </w:rPr>
        <w:t>证券代码：002871           证券简称：伟隆股份     公告编号：202</w:t>
      </w:r>
      <w:r>
        <w:rPr>
          <w:rFonts w:cs="Times New Roman" w:asciiTheme="minorEastAsia" w:hAnsiTheme="minorEastAsia" w:eastAsiaTheme="minorEastAsia"/>
          <w:color w:val="auto"/>
          <w:sz w:val="24"/>
          <w:szCs w:val="23"/>
        </w:rPr>
        <w:t>2</w:t>
      </w:r>
      <w:r>
        <w:rPr>
          <w:rFonts w:hint="eastAsia" w:cs="Times New Roman" w:asciiTheme="minorEastAsia" w:hAnsiTheme="minorEastAsia" w:eastAsiaTheme="minorEastAsia"/>
          <w:color w:val="auto"/>
          <w:sz w:val="24"/>
          <w:szCs w:val="23"/>
        </w:rPr>
        <w:t>-0</w:t>
      </w:r>
      <w:r>
        <w:rPr>
          <w:rFonts w:hint="default" w:cs="Times New Roman" w:asciiTheme="minorEastAsia" w:hAnsiTheme="minorEastAsia" w:eastAsiaTheme="minorEastAsia"/>
          <w:color w:val="auto"/>
          <w:sz w:val="24"/>
          <w:szCs w:val="23"/>
          <w:lang w:val="en-US"/>
        </w:rPr>
        <w:t>88</w:t>
      </w:r>
    </w:p>
    <w:p>
      <w:pPr>
        <w:spacing w:beforeLines="5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Lines="5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第四届董事会第</w:t>
      </w:r>
      <w:r>
        <w:rPr>
          <w:rFonts w:hint="eastAsia" w:asciiTheme="minorEastAsia" w:hAnsiTheme="minorEastAsia" w:eastAsiaTheme="minorEastAsia"/>
          <w:b/>
          <w:bCs/>
          <w:sz w:val="28"/>
          <w:szCs w:val="24"/>
          <w:lang w:eastAsia="zh-CN"/>
        </w:rPr>
        <w:t>十六次</w:t>
      </w:r>
      <w:r>
        <w:rPr>
          <w:rFonts w:hint="eastAsia" w:asciiTheme="minorEastAsia" w:hAnsiTheme="minorEastAsia" w:eastAsiaTheme="minorEastAsia"/>
          <w:b/>
          <w:bCs/>
          <w:sz w:val="28"/>
          <w:szCs w:val="24"/>
        </w:rPr>
        <w:t>会议决议的公告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Lines="5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Lines="5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一、董事会会议召开情况</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青岛伟隆阀门股份有限公司（以下称“公司”）第四届董事会第</w:t>
      </w:r>
      <w:r>
        <w:rPr>
          <w:rFonts w:hint="eastAsia" w:asciiTheme="minorEastAsia" w:hAnsiTheme="minorEastAsia" w:eastAsiaTheme="minorEastAsia"/>
          <w:sz w:val="24"/>
          <w:szCs w:val="23"/>
          <w:lang w:eastAsia="zh-CN"/>
        </w:rPr>
        <w:t>十六次</w:t>
      </w:r>
      <w:r>
        <w:rPr>
          <w:rFonts w:hint="eastAsia" w:asciiTheme="minorEastAsia" w:hAnsiTheme="minorEastAsia" w:eastAsiaTheme="minorEastAsia"/>
          <w:sz w:val="24"/>
          <w:szCs w:val="23"/>
        </w:rPr>
        <w:t>会议通知于2022年10月</w:t>
      </w:r>
      <w:r>
        <w:rPr>
          <w:rFonts w:hint="eastAsia" w:asciiTheme="minorEastAsia" w:hAnsiTheme="minorEastAsia" w:eastAsiaTheme="minorEastAsia"/>
          <w:sz w:val="24"/>
          <w:szCs w:val="23"/>
          <w:lang w:val="en-US" w:eastAsia="zh-CN"/>
        </w:rPr>
        <w:t>28</w:t>
      </w:r>
      <w:r>
        <w:rPr>
          <w:rFonts w:hint="eastAsia" w:asciiTheme="minorEastAsia" w:hAnsiTheme="minorEastAsia" w:eastAsiaTheme="minorEastAsia"/>
          <w:sz w:val="24"/>
          <w:szCs w:val="23"/>
        </w:rPr>
        <w:t>日通过专人送达、电子邮件等方式送达给董事、监事和高级管理人员。会议于2022年</w:t>
      </w:r>
      <w:r>
        <w:rPr>
          <w:rFonts w:hint="eastAsia" w:asciiTheme="minorEastAsia" w:hAnsiTheme="minorEastAsia" w:eastAsiaTheme="minorEastAsia"/>
          <w:sz w:val="24"/>
          <w:szCs w:val="23"/>
          <w:lang w:val="en-US" w:eastAsia="zh-CN"/>
        </w:rPr>
        <w:t>11</w:t>
      </w:r>
      <w:r>
        <w:rPr>
          <w:rFonts w:hint="eastAsia" w:asciiTheme="minorEastAsia" w:hAnsiTheme="minorEastAsia" w:eastAsiaTheme="minorEastAsia"/>
          <w:sz w:val="24"/>
          <w:szCs w:val="23"/>
        </w:rPr>
        <w:t>月</w:t>
      </w:r>
      <w:r>
        <w:rPr>
          <w:rFonts w:hint="eastAsia" w:asciiTheme="minorEastAsia" w:hAnsiTheme="minorEastAsia" w:eastAsiaTheme="minorEastAsia"/>
          <w:sz w:val="24"/>
          <w:szCs w:val="23"/>
          <w:lang w:val="en-US" w:eastAsia="zh-CN"/>
        </w:rPr>
        <w:t>04</w:t>
      </w:r>
      <w:r>
        <w:rPr>
          <w:rFonts w:hint="eastAsia" w:asciiTheme="minorEastAsia" w:hAnsiTheme="minorEastAsia" w:eastAsiaTheme="minorEastAsia"/>
          <w:sz w:val="24"/>
          <w:szCs w:val="23"/>
        </w:rPr>
        <w:t>日下午14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Lines="5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二、董事会会议审议情况</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经与会董事充分的讨论和审议本次会议议案并表决，形成如下决议：</w:t>
      </w:r>
    </w:p>
    <w:p>
      <w:pPr>
        <w:spacing w:beforeLines="50" w:afterLines="50" w:line="360" w:lineRule="auto"/>
        <w:ind w:firstLine="570"/>
        <w:rPr>
          <w:rFonts w:hint="eastAsia" w:asciiTheme="minorEastAsia" w:hAnsiTheme="minorEastAsia" w:eastAsiaTheme="minorEastAsia"/>
          <w:b/>
          <w:bCs/>
          <w:sz w:val="24"/>
          <w:szCs w:val="23"/>
        </w:rPr>
      </w:pPr>
      <w:r>
        <w:rPr>
          <w:rFonts w:hint="eastAsia" w:asciiTheme="minorEastAsia" w:hAnsiTheme="minorEastAsia" w:eastAsiaTheme="minorEastAsia"/>
          <w:b/>
          <w:bCs/>
          <w:sz w:val="24"/>
          <w:szCs w:val="23"/>
        </w:rPr>
        <w:t>（一）审议通过《关于公司与青岛高新技术产业开发区管理委员会签署项目合作协议的议案</w:t>
      </w:r>
      <w:r>
        <w:rPr>
          <w:rFonts w:hint="eastAsia" w:asciiTheme="minorEastAsia" w:hAnsiTheme="minorEastAsia" w:eastAsiaTheme="minorEastAsia"/>
          <w:b/>
          <w:bCs/>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认为：本次公司与青岛高新区管理委员会签订《投资项目协议书》，投资建设天然气用管道阀门及智能阀门制造项目，是公司根据实际经营管理及业务发展需要进行设立的，有利于为公司拓展新业务领域，推动公司可持续发展。本项目的建设符合国家相关产业政策，不会对公司的正常生产及经营产生不利影响，符合公司全体股东的利益。</w:t>
      </w:r>
    </w:p>
    <w:p>
      <w:pPr>
        <w:spacing w:beforeLines="50" w:afterLines="50" w:line="360" w:lineRule="auto"/>
        <w:ind w:firstLine="480" w:firstLineChars="200"/>
        <w:jc w:val="both"/>
        <w:rPr>
          <w:rFonts w:hint="eastAsia" w:asciiTheme="minorEastAsia" w:hAnsiTheme="minorEastAsia" w:eastAsiaTheme="minorEastAsia"/>
          <w:sz w:val="24"/>
          <w:szCs w:val="23"/>
        </w:rPr>
      </w:pPr>
      <w:r>
        <w:rPr>
          <w:rFonts w:hint="eastAsia" w:asciiTheme="minorEastAsia" w:hAnsiTheme="minorEastAsia" w:eastAsiaTheme="minorEastAsia"/>
          <w:sz w:val="24"/>
          <w:szCs w:val="23"/>
        </w:rPr>
        <w:t>《关于公司与青岛高新技术产业开发区管理委员会签署项目合作协议的</w:t>
      </w:r>
      <w:r>
        <w:rPr>
          <w:rFonts w:hint="eastAsia" w:asciiTheme="minorEastAsia" w:hAnsiTheme="minorEastAsia" w:eastAsiaTheme="minorEastAsia"/>
          <w:sz w:val="24"/>
          <w:szCs w:val="23"/>
          <w:lang w:eastAsia="zh-CN"/>
        </w:rPr>
        <w:t>公告</w:t>
      </w:r>
      <w:r>
        <w:rPr>
          <w:rFonts w:hint="eastAsia" w:asciiTheme="minorEastAsia" w:hAnsiTheme="minorEastAsia" w:eastAsiaTheme="minorEastAsia"/>
          <w:sz w:val="24"/>
          <w:szCs w:val="23"/>
        </w:rPr>
        <w:t>》与本公告同日披露于《证券时报》、《中国证券报》、《证券日报》及巨潮资讯网站（</w:t>
      </w:r>
      <w:r>
        <w:rPr>
          <w:rFonts w:hint="eastAsia" w:asciiTheme="minorEastAsia" w:hAnsiTheme="minorEastAsia" w:eastAsiaTheme="minorEastAsia"/>
          <w:sz w:val="24"/>
          <w:szCs w:val="23"/>
        </w:rPr>
        <w:fldChar w:fldCharType="begin"/>
      </w:r>
      <w:r>
        <w:rPr>
          <w:rFonts w:hint="eastAsia" w:asciiTheme="minorEastAsia" w:hAnsiTheme="minorEastAsia" w:eastAsiaTheme="minorEastAsia"/>
          <w:sz w:val="24"/>
          <w:szCs w:val="23"/>
        </w:rPr>
        <w:instrText xml:space="preserve"> HYPERLINK "http://www.cninfo.com.cn" </w:instrText>
      </w:r>
      <w:r>
        <w:rPr>
          <w:rFonts w:hint="eastAsia" w:asciiTheme="minorEastAsia" w:hAnsiTheme="minorEastAsia" w:eastAsiaTheme="minorEastAsia"/>
          <w:sz w:val="24"/>
          <w:szCs w:val="23"/>
        </w:rP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Lines="50" w:afterLines="50" w:line="360" w:lineRule="auto"/>
        <w:ind w:firstLine="468"/>
        <w:rPr>
          <w:rFonts w:asciiTheme="minorEastAsia" w:hAnsiTheme="minorEastAsia" w:eastAsiaTheme="minorEastAsia"/>
          <w:b/>
          <w:color w:val="000000"/>
          <w:sz w:val="24"/>
        </w:rPr>
      </w:pPr>
      <w:r>
        <w:rPr>
          <w:rFonts w:asciiTheme="minorEastAsia" w:hAnsiTheme="minorEastAsia" w:eastAsiaTheme="minorEastAsia"/>
          <w:b/>
          <w:color w:val="000000"/>
          <w:sz w:val="24"/>
        </w:rPr>
        <w:t> </w:t>
      </w:r>
      <w:r>
        <w:rPr>
          <w:rFonts w:hint="eastAsia" w:asciiTheme="minorEastAsia" w:hAnsiTheme="minorEastAsia" w:eastAsiaTheme="minorEastAsia"/>
          <w:b/>
          <w:color w:val="000000"/>
          <w:sz w:val="24"/>
        </w:rPr>
        <w:t>三、备查文件</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1．《青岛伟隆阀门股份有限公司第四届董事会第</w:t>
      </w:r>
      <w:r>
        <w:rPr>
          <w:rFonts w:hint="eastAsia" w:asciiTheme="minorEastAsia" w:hAnsiTheme="minorEastAsia" w:eastAsiaTheme="minorEastAsia"/>
          <w:sz w:val="24"/>
          <w:szCs w:val="23"/>
          <w:lang w:eastAsia="zh-CN"/>
        </w:rPr>
        <w:t>十六次</w:t>
      </w:r>
      <w:r>
        <w:rPr>
          <w:rFonts w:hint="eastAsia" w:asciiTheme="minorEastAsia" w:hAnsiTheme="minorEastAsia" w:eastAsiaTheme="minorEastAsia"/>
          <w:sz w:val="24"/>
          <w:szCs w:val="23"/>
        </w:rPr>
        <w:t>会议决议》；</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  特此公告。</w:t>
      </w:r>
    </w:p>
    <w:p>
      <w:pPr>
        <w:spacing w:beforeLines="5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Lines="5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Lines="5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2022年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05</w:t>
      </w:r>
      <w:bookmarkStart w:id="0" w:name="_GoBack"/>
      <w:bookmarkEnd w:id="0"/>
      <w:r>
        <w:rPr>
          <w:rFonts w:hint="eastAsia" w:asciiTheme="minorEastAsia" w:hAnsiTheme="minorEastAsia" w:eastAsiaTheme="minorEastAsia"/>
          <w:sz w:val="24"/>
          <w:szCs w:val="24"/>
        </w:rPr>
        <w:t xml:space="preserve">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2A9E"/>
    <w:rsid w:val="00023BAC"/>
    <w:rsid w:val="00031AFA"/>
    <w:rsid w:val="00034103"/>
    <w:rsid w:val="00057EB4"/>
    <w:rsid w:val="00074DD9"/>
    <w:rsid w:val="00080C5D"/>
    <w:rsid w:val="00083826"/>
    <w:rsid w:val="00087BE3"/>
    <w:rsid w:val="0009105D"/>
    <w:rsid w:val="000A0FB4"/>
    <w:rsid w:val="000B01D7"/>
    <w:rsid w:val="000B2414"/>
    <w:rsid w:val="000B5CC8"/>
    <w:rsid w:val="000B6DBF"/>
    <w:rsid w:val="000C6274"/>
    <w:rsid w:val="000D6589"/>
    <w:rsid w:val="000E2111"/>
    <w:rsid w:val="000E3FA3"/>
    <w:rsid w:val="000E4EF4"/>
    <w:rsid w:val="00100F35"/>
    <w:rsid w:val="0010482D"/>
    <w:rsid w:val="00105553"/>
    <w:rsid w:val="0010568E"/>
    <w:rsid w:val="001118CE"/>
    <w:rsid w:val="00115BE8"/>
    <w:rsid w:val="00121BA8"/>
    <w:rsid w:val="00123DE7"/>
    <w:rsid w:val="001306E7"/>
    <w:rsid w:val="00140D0E"/>
    <w:rsid w:val="001420CB"/>
    <w:rsid w:val="0014411C"/>
    <w:rsid w:val="001624EA"/>
    <w:rsid w:val="0016383F"/>
    <w:rsid w:val="00166112"/>
    <w:rsid w:val="00172A27"/>
    <w:rsid w:val="001840A0"/>
    <w:rsid w:val="00191D6D"/>
    <w:rsid w:val="001B33ED"/>
    <w:rsid w:val="001C0510"/>
    <w:rsid w:val="001C2D84"/>
    <w:rsid w:val="001C4F3D"/>
    <w:rsid w:val="001C59F6"/>
    <w:rsid w:val="001C72E9"/>
    <w:rsid w:val="001D4D05"/>
    <w:rsid w:val="001E386D"/>
    <w:rsid w:val="001E4C2B"/>
    <w:rsid w:val="001E5BA2"/>
    <w:rsid w:val="001E7A4C"/>
    <w:rsid w:val="001F18B8"/>
    <w:rsid w:val="00205726"/>
    <w:rsid w:val="002268D0"/>
    <w:rsid w:val="002370B1"/>
    <w:rsid w:val="00244FB7"/>
    <w:rsid w:val="00256DE7"/>
    <w:rsid w:val="00263DBE"/>
    <w:rsid w:val="0027512C"/>
    <w:rsid w:val="00276B4F"/>
    <w:rsid w:val="002858DA"/>
    <w:rsid w:val="00285CE5"/>
    <w:rsid w:val="002A61D4"/>
    <w:rsid w:val="002B0EBD"/>
    <w:rsid w:val="002C3FAC"/>
    <w:rsid w:val="002E1A29"/>
    <w:rsid w:val="002F0E27"/>
    <w:rsid w:val="002F48D1"/>
    <w:rsid w:val="002F6919"/>
    <w:rsid w:val="002F7410"/>
    <w:rsid w:val="00304F62"/>
    <w:rsid w:val="00305829"/>
    <w:rsid w:val="00315304"/>
    <w:rsid w:val="00320D5B"/>
    <w:rsid w:val="0032185D"/>
    <w:rsid w:val="00322965"/>
    <w:rsid w:val="00323B43"/>
    <w:rsid w:val="00326AEC"/>
    <w:rsid w:val="00330707"/>
    <w:rsid w:val="00351C24"/>
    <w:rsid w:val="00371FC3"/>
    <w:rsid w:val="003836CA"/>
    <w:rsid w:val="003861A5"/>
    <w:rsid w:val="0039237D"/>
    <w:rsid w:val="00397139"/>
    <w:rsid w:val="003B3D60"/>
    <w:rsid w:val="003B4DB1"/>
    <w:rsid w:val="003C37B5"/>
    <w:rsid w:val="003D37D8"/>
    <w:rsid w:val="003E6E49"/>
    <w:rsid w:val="003F5A48"/>
    <w:rsid w:val="004026E7"/>
    <w:rsid w:val="004054E9"/>
    <w:rsid w:val="00405E3D"/>
    <w:rsid w:val="0040741E"/>
    <w:rsid w:val="00407B06"/>
    <w:rsid w:val="00412EC7"/>
    <w:rsid w:val="004164C3"/>
    <w:rsid w:val="00424778"/>
    <w:rsid w:val="00426133"/>
    <w:rsid w:val="00430C7C"/>
    <w:rsid w:val="00431DD2"/>
    <w:rsid w:val="004358AB"/>
    <w:rsid w:val="00441BA4"/>
    <w:rsid w:val="0044283A"/>
    <w:rsid w:val="004435DA"/>
    <w:rsid w:val="00446109"/>
    <w:rsid w:val="004474F9"/>
    <w:rsid w:val="004543EA"/>
    <w:rsid w:val="004562BF"/>
    <w:rsid w:val="00461DAC"/>
    <w:rsid w:val="00474557"/>
    <w:rsid w:val="004A0AEE"/>
    <w:rsid w:val="004B5670"/>
    <w:rsid w:val="004B5F5B"/>
    <w:rsid w:val="004C3138"/>
    <w:rsid w:val="004C6E03"/>
    <w:rsid w:val="004D00D5"/>
    <w:rsid w:val="004D481D"/>
    <w:rsid w:val="004D4CF5"/>
    <w:rsid w:val="004E1A97"/>
    <w:rsid w:val="00504912"/>
    <w:rsid w:val="00516B02"/>
    <w:rsid w:val="0051752B"/>
    <w:rsid w:val="005303FD"/>
    <w:rsid w:val="00542EC3"/>
    <w:rsid w:val="00547A07"/>
    <w:rsid w:val="00556CA9"/>
    <w:rsid w:val="005673E7"/>
    <w:rsid w:val="00575785"/>
    <w:rsid w:val="005845B6"/>
    <w:rsid w:val="005856B9"/>
    <w:rsid w:val="00590495"/>
    <w:rsid w:val="00593596"/>
    <w:rsid w:val="00596292"/>
    <w:rsid w:val="005A4475"/>
    <w:rsid w:val="005A6D3A"/>
    <w:rsid w:val="005B32C7"/>
    <w:rsid w:val="005C0288"/>
    <w:rsid w:val="005C270C"/>
    <w:rsid w:val="005C3A4D"/>
    <w:rsid w:val="005C5AC8"/>
    <w:rsid w:val="005D4FA7"/>
    <w:rsid w:val="005D6C16"/>
    <w:rsid w:val="005F0BBF"/>
    <w:rsid w:val="005F31F6"/>
    <w:rsid w:val="005F36CE"/>
    <w:rsid w:val="005F3F03"/>
    <w:rsid w:val="005F7BD7"/>
    <w:rsid w:val="00600A93"/>
    <w:rsid w:val="00603B5E"/>
    <w:rsid w:val="00607D7B"/>
    <w:rsid w:val="00617684"/>
    <w:rsid w:val="006234A3"/>
    <w:rsid w:val="006234D3"/>
    <w:rsid w:val="0062629A"/>
    <w:rsid w:val="00641D9C"/>
    <w:rsid w:val="00654C24"/>
    <w:rsid w:val="006553C2"/>
    <w:rsid w:val="00662EDD"/>
    <w:rsid w:val="006824B5"/>
    <w:rsid w:val="006B53EC"/>
    <w:rsid w:val="006B6A27"/>
    <w:rsid w:val="006E314F"/>
    <w:rsid w:val="006E5BCD"/>
    <w:rsid w:val="006E7605"/>
    <w:rsid w:val="006F3AC2"/>
    <w:rsid w:val="006F4987"/>
    <w:rsid w:val="00702023"/>
    <w:rsid w:val="00706841"/>
    <w:rsid w:val="00712C1E"/>
    <w:rsid w:val="00713E98"/>
    <w:rsid w:val="00723678"/>
    <w:rsid w:val="007254B4"/>
    <w:rsid w:val="00736CCB"/>
    <w:rsid w:val="0073781E"/>
    <w:rsid w:val="00745A00"/>
    <w:rsid w:val="007536C2"/>
    <w:rsid w:val="00760A31"/>
    <w:rsid w:val="00763722"/>
    <w:rsid w:val="00780673"/>
    <w:rsid w:val="007814FC"/>
    <w:rsid w:val="00785158"/>
    <w:rsid w:val="007953D7"/>
    <w:rsid w:val="007A6BE9"/>
    <w:rsid w:val="007A72B5"/>
    <w:rsid w:val="007B1F9D"/>
    <w:rsid w:val="007C0DCC"/>
    <w:rsid w:val="007C4641"/>
    <w:rsid w:val="007D5D47"/>
    <w:rsid w:val="007E25F6"/>
    <w:rsid w:val="007E7070"/>
    <w:rsid w:val="007E77F2"/>
    <w:rsid w:val="007F1020"/>
    <w:rsid w:val="008007FF"/>
    <w:rsid w:val="00812732"/>
    <w:rsid w:val="00825861"/>
    <w:rsid w:val="008347DD"/>
    <w:rsid w:val="008424D8"/>
    <w:rsid w:val="00850A74"/>
    <w:rsid w:val="00856162"/>
    <w:rsid w:val="00862320"/>
    <w:rsid w:val="00862530"/>
    <w:rsid w:val="00866333"/>
    <w:rsid w:val="00873860"/>
    <w:rsid w:val="0088084E"/>
    <w:rsid w:val="00881A67"/>
    <w:rsid w:val="00882566"/>
    <w:rsid w:val="0088530D"/>
    <w:rsid w:val="00885EF3"/>
    <w:rsid w:val="00890C7E"/>
    <w:rsid w:val="008948D7"/>
    <w:rsid w:val="00895B95"/>
    <w:rsid w:val="008A11C3"/>
    <w:rsid w:val="008A287C"/>
    <w:rsid w:val="008B7726"/>
    <w:rsid w:val="008C4867"/>
    <w:rsid w:val="008D17AC"/>
    <w:rsid w:val="008F2CD2"/>
    <w:rsid w:val="0090339E"/>
    <w:rsid w:val="0090559A"/>
    <w:rsid w:val="0091337C"/>
    <w:rsid w:val="00931492"/>
    <w:rsid w:val="009550BA"/>
    <w:rsid w:val="00957604"/>
    <w:rsid w:val="00962038"/>
    <w:rsid w:val="0096231F"/>
    <w:rsid w:val="00964FDF"/>
    <w:rsid w:val="00970166"/>
    <w:rsid w:val="0097585D"/>
    <w:rsid w:val="009815D2"/>
    <w:rsid w:val="0098339F"/>
    <w:rsid w:val="0098481A"/>
    <w:rsid w:val="0098779B"/>
    <w:rsid w:val="0099464B"/>
    <w:rsid w:val="009A3A37"/>
    <w:rsid w:val="009B3B69"/>
    <w:rsid w:val="009B3FC6"/>
    <w:rsid w:val="009B47AC"/>
    <w:rsid w:val="009B7A89"/>
    <w:rsid w:val="009C0906"/>
    <w:rsid w:val="009C376A"/>
    <w:rsid w:val="009C4655"/>
    <w:rsid w:val="009C73EF"/>
    <w:rsid w:val="009E255D"/>
    <w:rsid w:val="009E2F97"/>
    <w:rsid w:val="009E393E"/>
    <w:rsid w:val="009F58D5"/>
    <w:rsid w:val="009F71CF"/>
    <w:rsid w:val="00A02B6C"/>
    <w:rsid w:val="00A0704F"/>
    <w:rsid w:val="00A155EB"/>
    <w:rsid w:val="00A2437C"/>
    <w:rsid w:val="00A303AA"/>
    <w:rsid w:val="00A375A5"/>
    <w:rsid w:val="00A37E1E"/>
    <w:rsid w:val="00A53A38"/>
    <w:rsid w:val="00A53FF2"/>
    <w:rsid w:val="00A7113F"/>
    <w:rsid w:val="00AA1D1A"/>
    <w:rsid w:val="00AA209B"/>
    <w:rsid w:val="00AA3EAF"/>
    <w:rsid w:val="00AB2582"/>
    <w:rsid w:val="00AB6CA0"/>
    <w:rsid w:val="00AC2F7D"/>
    <w:rsid w:val="00AC7411"/>
    <w:rsid w:val="00AC779D"/>
    <w:rsid w:val="00AD053D"/>
    <w:rsid w:val="00AD12CF"/>
    <w:rsid w:val="00AE6BB7"/>
    <w:rsid w:val="00AF0BFB"/>
    <w:rsid w:val="00AF2363"/>
    <w:rsid w:val="00AF586F"/>
    <w:rsid w:val="00B022AB"/>
    <w:rsid w:val="00B20D1A"/>
    <w:rsid w:val="00B25E89"/>
    <w:rsid w:val="00B447EE"/>
    <w:rsid w:val="00B44968"/>
    <w:rsid w:val="00B524CE"/>
    <w:rsid w:val="00B66B52"/>
    <w:rsid w:val="00B70156"/>
    <w:rsid w:val="00B77036"/>
    <w:rsid w:val="00BA2473"/>
    <w:rsid w:val="00BA2EED"/>
    <w:rsid w:val="00BA537F"/>
    <w:rsid w:val="00BA7825"/>
    <w:rsid w:val="00BB1843"/>
    <w:rsid w:val="00BB24E1"/>
    <w:rsid w:val="00BC2A06"/>
    <w:rsid w:val="00BD0B09"/>
    <w:rsid w:val="00BE2D68"/>
    <w:rsid w:val="00BE6684"/>
    <w:rsid w:val="00BE7F41"/>
    <w:rsid w:val="00BF0B3C"/>
    <w:rsid w:val="00C00963"/>
    <w:rsid w:val="00C05532"/>
    <w:rsid w:val="00C11DA5"/>
    <w:rsid w:val="00C12712"/>
    <w:rsid w:val="00C13DF9"/>
    <w:rsid w:val="00C30267"/>
    <w:rsid w:val="00C31997"/>
    <w:rsid w:val="00C333B8"/>
    <w:rsid w:val="00C3477C"/>
    <w:rsid w:val="00C37B7A"/>
    <w:rsid w:val="00C61EB3"/>
    <w:rsid w:val="00C62F24"/>
    <w:rsid w:val="00C66033"/>
    <w:rsid w:val="00C66AD0"/>
    <w:rsid w:val="00C75AA8"/>
    <w:rsid w:val="00C83CFB"/>
    <w:rsid w:val="00C843B3"/>
    <w:rsid w:val="00C87B02"/>
    <w:rsid w:val="00C92216"/>
    <w:rsid w:val="00CB28D8"/>
    <w:rsid w:val="00CB4834"/>
    <w:rsid w:val="00CB4964"/>
    <w:rsid w:val="00CC0AED"/>
    <w:rsid w:val="00CC47F2"/>
    <w:rsid w:val="00CC5208"/>
    <w:rsid w:val="00CD0469"/>
    <w:rsid w:val="00CD11B5"/>
    <w:rsid w:val="00CE3854"/>
    <w:rsid w:val="00CF0917"/>
    <w:rsid w:val="00CF3678"/>
    <w:rsid w:val="00CF39DB"/>
    <w:rsid w:val="00CF671E"/>
    <w:rsid w:val="00CF6812"/>
    <w:rsid w:val="00D007AE"/>
    <w:rsid w:val="00D031F8"/>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B3FBD"/>
    <w:rsid w:val="00DC01E5"/>
    <w:rsid w:val="00DC0C8B"/>
    <w:rsid w:val="00DD1C68"/>
    <w:rsid w:val="00DD3E59"/>
    <w:rsid w:val="00DD54E8"/>
    <w:rsid w:val="00DE2407"/>
    <w:rsid w:val="00DE2901"/>
    <w:rsid w:val="00DF3F12"/>
    <w:rsid w:val="00E117DE"/>
    <w:rsid w:val="00E16FB0"/>
    <w:rsid w:val="00E33C76"/>
    <w:rsid w:val="00E56877"/>
    <w:rsid w:val="00E65E91"/>
    <w:rsid w:val="00E71239"/>
    <w:rsid w:val="00E7359B"/>
    <w:rsid w:val="00E763CA"/>
    <w:rsid w:val="00E93451"/>
    <w:rsid w:val="00E97AF6"/>
    <w:rsid w:val="00EA1640"/>
    <w:rsid w:val="00EA2F11"/>
    <w:rsid w:val="00EB4454"/>
    <w:rsid w:val="00ED1A60"/>
    <w:rsid w:val="00ED2416"/>
    <w:rsid w:val="00ED41E8"/>
    <w:rsid w:val="00ED49F2"/>
    <w:rsid w:val="00EE12F1"/>
    <w:rsid w:val="00F0022C"/>
    <w:rsid w:val="00F00B0B"/>
    <w:rsid w:val="00F05437"/>
    <w:rsid w:val="00F14B38"/>
    <w:rsid w:val="00F212C7"/>
    <w:rsid w:val="00F271A4"/>
    <w:rsid w:val="00F47D98"/>
    <w:rsid w:val="00F53072"/>
    <w:rsid w:val="00F5660A"/>
    <w:rsid w:val="00F63194"/>
    <w:rsid w:val="00F774B4"/>
    <w:rsid w:val="00F9053F"/>
    <w:rsid w:val="00F92E21"/>
    <w:rsid w:val="00FA6923"/>
    <w:rsid w:val="00FB4B02"/>
    <w:rsid w:val="00FC4AB2"/>
    <w:rsid w:val="00FC5C4C"/>
    <w:rsid w:val="00FD6898"/>
    <w:rsid w:val="00FE2F41"/>
    <w:rsid w:val="00FF66DC"/>
    <w:rsid w:val="02122583"/>
    <w:rsid w:val="03284E8C"/>
    <w:rsid w:val="04582CCD"/>
    <w:rsid w:val="04933A7B"/>
    <w:rsid w:val="05216551"/>
    <w:rsid w:val="069B6845"/>
    <w:rsid w:val="078046A1"/>
    <w:rsid w:val="0D187065"/>
    <w:rsid w:val="0D885C74"/>
    <w:rsid w:val="0F147008"/>
    <w:rsid w:val="105140A5"/>
    <w:rsid w:val="10755F3E"/>
    <w:rsid w:val="116D12E5"/>
    <w:rsid w:val="121C111E"/>
    <w:rsid w:val="12923BE2"/>
    <w:rsid w:val="14A85ECD"/>
    <w:rsid w:val="14C00400"/>
    <w:rsid w:val="16454C4B"/>
    <w:rsid w:val="17B97431"/>
    <w:rsid w:val="19B16CD8"/>
    <w:rsid w:val="19DC653D"/>
    <w:rsid w:val="1B456253"/>
    <w:rsid w:val="1B5D5490"/>
    <w:rsid w:val="1D5A719B"/>
    <w:rsid w:val="1EBD0C06"/>
    <w:rsid w:val="1EF04B68"/>
    <w:rsid w:val="202E3BE9"/>
    <w:rsid w:val="20781BFB"/>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99553D3"/>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仿宋_GB2312"/>
      <w:sz w:val="32"/>
      <w:szCs w:val="20"/>
    </w:rPr>
  </w:style>
  <w:style w:type="paragraph" w:styleId="3">
    <w:name w:val="annotation text"/>
    <w:basedOn w:val="1"/>
    <w:link w:val="18"/>
    <w:semiHidden/>
    <w:unhideWhenUsed/>
    <w:qFormat/>
    <w:uiPriority w:val="99"/>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0"/>
    <w:semiHidden/>
    <w:unhideWhenUsed/>
    <w:qFormat/>
    <w:uiPriority w:val="99"/>
    <w:pPr>
      <w:spacing w:after="0"/>
    </w:pPr>
    <w:rPr>
      <w:sz w:val="18"/>
      <w:szCs w:val="18"/>
    </w:rPr>
  </w:style>
  <w:style w:type="paragraph" w:styleId="6">
    <w:name w:val="footer"/>
    <w:basedOn w:val="1"/>
    <w:link w:val="16"/>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9">
    <w:name w:val="annotation subject"/>
    <w:basedOn w:val="3"/>
    <w:next w:val="3"/>
    <w:link w:val="1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rFonts w:ascii="Tahoma" w:hAnsi="Tahoma"/>
      <w:sz w:val="18"/>
      <w:szCs w:val="18"/>
    </w:rPr>
  </w:style>
  <w:style w:type="character" w:customStyle="1" w:styleId="16">
    <w:name w:val="页脚 Char"/>
    <w:basedOn w:val="12"/>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12"/>
    <w:link w:val="3"/>
    <w:semiHidden/>
    <w:qFormat/>
    <w:uiPriority w:val="99"/>
    <w:rPr>
      <w:rFonts w:ascii="Tahoma" w:hAnsi="Tahoma"/>
    </w:rPr>
  </w:style>
  <w:style w:type="character" w:customStyle="1" w:styleId="19">
    <w:name w:val="批注主题 Char"/>
    <w:basedOn w:val="18"/>
    <w:link w:val="9"/>
    <w:semiHidden/>
    <w:qFormat/>
    <w:uiPriority w:val="99"/>
    <w:rPr>
      <w:rFonts w:ascii="Tahoma" w:hAnsi="Tahoma"/>
      <w:b/>
      <w:bCs/>
    </w:rPr>
  </w:style>
  <w:style w:type="character" w:customStyle="1" w:styleId="20">
    <w:name w:val="批注框文本 Char"/>
    <w:basedOn w:val="12"/>
    <w:link w:val="5"/>
    <w:semiHidden/>
    <w:qFormat/>
    <w:uiPriority w:val="99"/>
    <w:rPr>
      <w:rFonts w:ascii="Tahoma" w:hAnsi="Tahoma"/>
      <w:sz w:val="18"/>
      <w:szCs w:val="18"/>
    </w:rPr>
  </w:style>
  <w:style w:type="paragraph" w:customStyle="1" w:styleId="21">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2">
    <w:name w:val="fontstyle01"/>
    <w:basedOn w:val="12"/>
    <w:qFormat/>
    <w:uiPriority w:val="0"/>
    <w:rPr>
      <w:rFonts w:hint="eastAsia" w:ascii="宋体" w:hAnsi="宋体" w:eastAsia="宋体"/>
      <w:color w:val="000000"/>
      <w:sz w:val="24"/>
      <w:szCs w:val="24"/>
    </w:rPr>
  </w:style>
  <w:style w:type="character" w:customStyle="1" w:styleId="23">
    <w:name w:val="fontstyle21"/>
    <w:basedOn w:val="12"/>
    <w:qFormat/>
    <w:uiPriority w:val="0"/>
    <w:rPr>
      <w:rFonts w:hint="default" w:ascii="Times New Roman" w:hAnsi="Times New Roman" w:cs="Times New Roman"/>
      <w:color w:val="000000"/>
      <w:sz w:val="24"/>
      <w:szCs w:val="24"/>
    </w:rPr>
  </w:style>
  <w:style w:type="character" w:customStyle="1" w:styleId="24">
    <w:name w:val="fontstyle11"/>
    <w:basedOn w:val="12"/>
    <w:qFormat/>
    <w:uiPriority w:val="0"/>
    <w:rPr>
      <w:rFonts w:hint="eastAsia" w:ascii="宋体" w:hAnsi="宋体" w:eastAsia="宋体"/>
      <w:color w:val="000000"/>
      <w:sz w:val="24"/>
      <w:szCs w:val="24"/>
    </w:rPr>
  </w:style>
  <w:style w:type="character" w:customStyle="1" w:styleId="25">
    <w:name w:val="da1"/>
    <w:qFormat/>
    <w:uiPriority w:val="0"/>
    <w:rPr>
      <w:rFonts w:hint="default" w:ascii="ˎ̥" w:hAnsi="ˎ̥"/>
      <w:color w:val="000000"/>
      <w:sz w:val="28"/>
      <w:szCs w:val="28"/>
      <w:u w:val="none"/>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2723</Words>
  <Characters>3140</Characters>
  <Lines>21</Lines>
  <Paragraphs>6</Paragraphs>
  <TotalTime>0</TotalTime>
  <ScaleCrop>false</ScaleCrop>
  <LinksUpToDate>false</LinksUpToDate>
  <CharactersWithSpaces>3193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2022-11-03T06:32:08Z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D241D0B8043C4DF585214B0E263F05A0</vt:lpwstr>
  </property>
</Properties>
</file>