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cs="Times New Roman" w:asciiTheme="minorEastAsia" w:hAnsiTheme="minorEastAsia" w:eastAsiaTheme="minorEastAsia"/>
          <w:sz w:val="24"/>
          <w:szCs w:val="23"/>
          <w:highlight w:val="yellow"/>
        </w:rPr>
      </w:pPr>
      <w:r>
        <w:rPr>
          <w:rFonts w:hint="eastAsia" w:cs="Times New Roman" w:asciiTheme="minorEastAsia" w:hAnsiTheme="minorEastAsia" w:eastAsiaTheme="minorEastAsia"/>
          <w:sz w:val="24"/>
          <w:szCs w:val="23"/>
        </w:rPr>
        <w:t>证券代码：002871           证券简称：伟隆股份     公告编号：2022-078</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第四届监事会第十三次会议决议的公告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本公司及监事会全体成员保证信息披露内容的真实、准确和完整，没有虚假记载、误导性陈述或重大遗漏。</w:t>
            </w:r>
          </w:p>
        </w:tc>
      </w:tr>
    </w:tbl>
    <w:p>
      <w:pPr>
        <w:spacing w:before="120" w:beforeLines="50" w:after="120" w:afterLines="50" w:line="360" w:lineRule="auto"/>
        <w:ind w:firstLine="570"/>
        <w:rPr>
          <w:rFonts w:asciiTheme="minorEastAsia" w:hAnsiTheme="minorEastAsia" w:eastAsiaTheme="minorEastAsia"/>
          <w:b/>
          <w:sz w:val="24"/>
          <w:szCs w:val="23"/>
        </w:rPr>
      </w:pPr>
      <w:r>
        <w:rPr>
          <w:rFonts w:hint="eastAsia" w:asciiTheme="minorEastAsia" w:hAnsiTheme="minorEastAsia" w:eastAsiaTheme="minorEastAsia"/>
          <w:b/>
          <w:sz w:val="24"/>
          <w:szCs w:val="23"/>
        </w:rPr>
        <w:t>一、监事会会议召开情况</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监事会第十三次会议通知于2022年10月21日通过专人送达、电子邮件等方式送达给监事和高级管理人员。会议于2022年10月27日上午在公司会议室以现场方式召开。本次会议应到监事3名，实到3名。会议由监事会主席于春红女士召集和主持。会议的召集、召开及表决程序符合《中华人民共和国公司法》及《青岛伟隆阀门股份有限公司章程》的规定，合法有效。</w:t>
      </w:r>
    </w:p>
    <w:p>
      <w:pPr>
        <w:spacing w:before="120" w:beforeLines="50" w:after="120" w:afterLines="50" w:line="360" w:lineRule="auto"/>
        <w:ind w:firstLine="482" w:firstLineChars="200"/>
        <w:rPr>
          <w:rFonts w:asciiTheme="minorEastAsia" w:hAnsiTheme="minorEastAsia" w:eastAsiaTheme="minorEastAsia"/>
          <w:b/>
          <w:sz w:val="24"/>
          <w:szCs w:val="23"/>
        </w:rPr>
      </w:pPr>
      <w:r>
        <w:rPr>
          <w:rFonts w:hint="eastAsia" w:asciiTheme="minorEastAsia" w:hAnsiTheme="minorEastAsia" w:eastAsiaTheme="minorEastAsia"/>
          <w:b/>
          <w:sz w:val="24"/>
          <w:szCs w:val="23"/>
        </w:rPr>
        <w:t>二、监事会会议审议情况</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经与会监事充分的讨论和审议本次会议议案并表决，形成如下决议：</w:t>
      </w:r>
    </w:p>
    <w:p>
      <w:pPr>
        <w:spacing w:before="120" w:beforeLines="50" w:after="120" w:afterLines="50" w:line="360" w:lineRule="auto"/>
        <w:ind w:firstLine="482" w:firstLineChars="20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（一）审议通过《关于公司&lt;2022年第三季度报告&gt;的议案》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监事会认为：公</w:t>
      </w:r>
      <w:r>
        <w:rPr>
          <w:rFonts w:asciiTheme="minorEastAsia" w:hAnsiTheme="minorEastAsia" w:eastAsiaTheme="minorEastAsia"/>
          <w:sz w:val="24"/>
          <w:szCs w:val="23"/>
        </w:rPr>
        <w:t>司《</w:t>
      </w:r>
      <w:r>
        <w:rPr>
          <w:rFonts w:hint="eastAsia" w:asciiTheme="minorEastAsia" w:hAnsiTheme="minorEastAsia" w:eastAsiaTheme="minorEastAsia"/>
          <w:sz w:val="24"/>
          <w:szCs w:val="23"/>
        </w:rPr>
        <w:t>2</w:t>
      </w:r>
      <w:r>
        <w:rPr>
          <w:rFonts w:asciiTheme="minorEastAsia" w:hAnsiTheme="minorEastAsia" w:eastAsiaTheme="minorEastAsia"/>
          <w:sz w:val="24"/>
          <w:szCs w:val="23"/>
        </w:rPr>
        <w:t>022年第三季度报告》的编制程序、报告内容、格式符合相关文件的规定；报告内容真实、准确、完整地反映了公司的实际情况，不存在任何虚假记载、误导性陈述或者重大遗漏。</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《青岛伟隆阀门股份有限公司2</w:t>
      </w:r>
      <w:r>
        <w:rPr>
          <w:rFonts w:asciiTheme="minorEastAsia" w:hAnsiTheme="minorEastAsia" w:eastAsiaTheme="minorEastAsia"/>
          <w:sz w:val="24"/>
          <w:szCs w:val="23"/>
        </w:rPr>
        <w:t>022年第三季度报告</w:t>
      </w:r>
      <w:r>
        <w:rPr>
          <w:rFonts w:hint="eastAsia" w:asciiTheme="minorEastAsia" w:hAnsiTheme="minorEastAsia" w:eastAsiaTheme="minorEastAsia"/>
          <w:sz w:val="24"/>
          <w:szCs w:val="23"/>
        </w:rPr>
        <w:t>》与本公告同日披露于《证券时报》、《中国证券报》、《证券日报》及巨潮资讯网站（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120" w:beforeLines="50" w:after="120" w:afterLines="50" w:line="360" w:lineRule="auto"/>
        <w:ind w:firstLine="482" w:firstLineChars="200"/>
        <w:jc w:val="both"/>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（二）审议通过《关于2021年限制性股票激励计划第一个解锁期解锁条件成就的议案》</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cs="宋体" w:asciiTheme="minorEastAsia" w:hAnsiTheme="minorEastAsia" w:eastAsiaTheme="minorEastAsia"/>
          <w:sz w:val="24"/>
          <w:szCs w:val="24"/>
        </w:rPr>
        <w:t>监事会认为：公司</w:t>
      </w:r>
      <w:r>
        <w:rPr>
          <w:rFonts w:cs="宋体" w:asciiTheme="minorEastAsia" w:hAnsiTheme="minorEastAsia" w:eastAsiaTheme="minorEastAsia"/>
          <w:sz w:val="24"/>
          <w:szCs w:val="24"/>
        </w:rPr>
        <w:t>77</w:t>
      </w:r>
      <w:r>
        <w:rPr>
          <w:rFonts w:hint="eastAsia" w:cs="宋体" w:asciiTheme="minorEastAsia" w:hAnsiTheme="minorEastAsia" w:eastAsiaTheme="minorEastAsia"/>
          <w:sz w:val="24"/>
          <w:szCs w:val="24"/>
        </w:rPr>
        <w:t>名激励对象解除限售资格合法有效，公司 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年限制性股票第一个解锁期解锁条件已经成就，同意公司按《激励计划》办理限制性股票第一个解除限售期解除限售的相关事宜。</w:t>
      </w:r>
    </w:p>
    <w:p>
      <w:pPr>
        <w:spacing w:before="120" w:beforeLines="50" w:after="120" w:afterLines="50" w:line="360" w:lineRule="auto"/>
        <w:ind w:firstLine="482" w:firstLineChars="200"/>
        <w:jc w:val="both"/>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 </w:t>
      </w: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asciiTheme="minorEastAsia" w:hAnsiTheme="minorEastAsia" w:eastAsiaTheme="minorEastAsia"/>
          <w:sz w:val="24"/>
          <w:szCs w:val="23"/>
        </w:rPr>
        <w:t>《关于2021年限制性股票激励计划第一个解锁期解锁条件成就的公告》与本公告同日披露于《证券时报》、《中国证券报》、《证券日报》及巨潮资讯网站（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numPr>
          <w:ilvl w:val="0"/>
          <w:numId w:val="1"/>
        </w:numPr>
        <w:spacing w:before="120" w:beforeLines="50" w:after="120" w:afterLines="50" w:line="360" w:lineRule="auto"/>
        <w:ind w:firstLine="482" w:firstLineChars="20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审议通过《关于调整限制性股票回购价格的议案》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监事会对公司限制性股票回购价格的调整事项进行了核实，认为：公司本次调整符合激励计划的相关规定，董事会审议本次调整事项的程序合法、合规，同意公司对限制性股票回购价格进行调整。</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《关于调整限制性股票回购价格的公告》与本公告同日披露于《证券时报》、《中国证券报》、《证券日报》及巨潮资讯网站（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numPr>
          <w:ilvl w:val="0"/>
          <w:numId w:val="1"/>
        </w:numPr>
        <w:spacing w:before="120" w:beforeLines="50" w:after="120" w:afterLines="50" w:line="360" w:lineRule="auto"/>
        <w:ind w:firstLine="482" w:firstLineChars="20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审议通过《关于回购注销部分限制性股票的议案》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监事会认为：鉴于公司 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年限制性股票激励计划的激励对象3名人员因个人原因离职，4名人员因个人绩效考核未100%解锁，根据公司《20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年限制性股票激励计划（草案）》的规定，公司董事会决定对3名离职人员、4名个人绩效考核未1</w:t>
      </w:r>
      <w:r>
        <w:rPr>
          <w:rFonts w:asciiTheme="minorEastAsia" w:hAnsiTheme="minorEastAsia" w:eastAsiaTheme="minorEastAsia"/>
          <w:sz w:val="24"/>
          <w:szCs w:val="23"/>
        </w:rPr>
        <w:t>00</w:t>
      </w:r>
      <w:r>
        <w:rPr>
          <w:rFonts w:hint="eastAsia" w:asciiTheme="minorEastAsia" w:hAnsiTheme="minorEastAsia" w:eastAsiaTheme="minorEastAsia"/>
          <w:sz w:val="24"/>
          <w:szCs w:val="23"/>
        </w:rPr>
        <w:t>%解锁的人员所持已获授但尚未解锁的</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万股限制性股票进行回购注销，回购价格为</w:t>
      </w:r>
      <w:r>
        <w:rPr>
          <w:rFonts w:asciiTheme="minorEastAsia" w:hAnsiTheme="minorEastAsia" w:eastAsiaTheme="minorEastAsia"/>
          <w:sz w:val="24"/>
          <w:szCs w:val="23"/>
        </w:rPr>
        <w:t>4.65</w:t>
      </w:r>
      <w:r>
        <w:rPr>
          <w:rFonts w:hint="eastAsia" w:asciiTheme="minorEastAsia" w:hAnsiTheme="minorEastAsia" w:eastAsiaTheme="minorEastAsia"/>
          <w:sz w:val="24"/>
          <w:szCs w:val="23"/>
        </w:rPr>
        <w:t>元/股，回购金额为</w:t>
      </w:r>
      <w:r>
        <w:rPr>
          <w:rFonts w:hint="default" w:asciiTheme="minorEastAsia" w:hAnsiTheme="minorEastAsia" w:eastAsiaTheme="minorEastAsia"/>
          <w:sz w:val="24"/>
          <w:szCs w:val="23"/>
          <w:lang w:val="en-US"/>
        </w:rPr>
        <w:t>72.3075</w:t>
      </w:r>
      <w:bookmarkStart w:id="0" w:name="_GoBack"/>
      <w:bookmarkEnd w:id="0"/>
      <w:r>
        <w:rPr>
          <w:rFonts w:hint="eastAsia" w:asciiTheme="minorEastAsia" w:hAnsiTheme="minorEastAsia" w:eastAsiaTheme="minorEastAsia"/>
          <w:sz w:val="24"/>
          <w:szCs w:val="23"/>
        </w:rPr>
        <w:t>万元，回购资金为公司自有资金。本次回购注销的限制性股票合计1</w:t>
      </w:r>
      <w:r>
        <w:rPr>
          <w:rFonts w:asciiTheme="minorEastAsia" w:hAnsiTheme="minorEastAsia" w:eastAsiaTheme="minorEastAsia"/>
          <w:sz w:val="24"/>
          <w:szCs w:val="23"/>
        </w:rPr>
        <w:t>5</w:t>
      </w:r>
      <w:r>
        <w:rPr>
          <w:rFonts w:hint="eastAsia" w:asciiTheme="minorEastAsia" w:hAnsiTheme="minorEastAsia" w:eastAsiaTheme="minorEastAsia"/>
          <w:sz w:val="24"/>
          <w:szCs w:val="23"/>
        </w:rPr>
        <w:t>.5</w:t>
      </w:r>
      <w:r>
        <w:rPr>
          <w:rFonts w:asciiTheme="minorEastAsia" w:hAnsiTheme="minorEastAsia" w:eastAsiaTheme="minorEastAsia"/>
          <w:sz w:val="24"/>
          <w:szCs w:val="23"/>
        </w:rPr>
        <w:t>5</w:t>
      </w:r>
      <w:r>
        <w:rPr>
          <w:rFonts w:hint="eastAsia" w:asciiTheme="minorEastAsia" w:hAnsiTheme="minorEastAsia" w:eastAsiaTheme="minorEastAsia"/>
          <w:sz w:val="24"/>
          <w:szCs w:val="23"/>
        </w:rPr>
        <w:t>万股，占本次股权激励计划合计授予的限制性股票比例为</w:t>
      </w:r>
      <w:r>
        <w:rPr>
          <w:rFonts w:hint="eastAsia" w:ascii="宋体" w:hAnsi="宋体" w:eastAsia="宋体" w:cs="Times New Roman"/>
          <w:sz w:val="24"/>
          <w:szCs w:val="21"/>
          <w:lang w:bidi="en-US"/>
        </w:rPr>
        <w:t>4.9402</w:t>
      </w:r>
      <w:r>
        <w:rPr>
          <w:rFonts w:hint="eastAsia" w:asciiTheme="minorEastAsia" w:hAnsiTheme="minorEastAsia" w:eastAsiaTheme="minorEastAsia"/>
          <w:sz w:val="24"/>
          <w:szCs w:val="23"/>
        </w:rPr>
        <w:t>%，占回购注销前总股本比例为</w:t>
      </w:r>
      <w:r>
        <w:rPr>
          <w:rFonts w:hint="eastAsia" w:ascii="宋体" w:hAnsi="宋体" w:eastAsia="宋体" w:cs="Times New Roman"/>
          <w:sz w:val="24"/>
          <w:szCs w:val="21"/>
          <w:lang w:bidi="en-US"/>
        </w:rPr>
        <w:t>0.0920</w:t>
      </w:r>
      <w:r>
        <w:rPr>
          <w:rFonts w:hint="eastAsia" w:asciiTheme="minorEastAsia" w:hAnsiTheme="minorEastAsia" w:eastAsiaTheme="minorEastAsia"/>
          <w:sz w:val="24"/>
          <w:szCs w:val="23"/>
        </w:rPr>
        <w:t>%。公司董事会关于本次回购注销部分限制性股票的审议程序符合相关规定，合法有效。</w:t>
      </w:r>
    </w:p>
    <w:p>
      <w:pPr>
        <w:spacing w:before="120" w:beforeLines="50" w:after="120" w:afterLines="50" w:line="360" w:lineRule="auto"/>
        <w:ind w:firstLine="480" w:firstLineChars="200"/>
        <w:jc w:val="both"/>
        <w:rPr>
          <w:rFonts w:asciiTheme="minorEastAsia" w:hAnsiTheme="minorEastAsia" w:eastAsiaTheme="minorEastAsia"/>
          <w:b/>
          <w:bCs/>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《关于回购注销部分限制性股票的公告》与本公告同日披露于《证券时报》、《中国证券报》、《证券日报》及巨潮资讯网站（</w:t>
      </w:r>
      <w:r>
        <w:fldChar w:fldCharType="begin"/>
      </w:r>
      <w:r>
        <w:instrText xml:space="preserve"> HYPERLINK "http://www.cninfo.com.cn" </w:instrText>
      </w:r>
      <w:r>
        <w:fldChar w:fldCharType="separate"/>
      </w:r>
      <w:r>
        <w:rPr>
          <w:rFonts w:hint="eastAsia" w:asciiTheme="minorEastAsia" w:hAnsiTheme="minorEastAsia" w:eastAsiaTheme="minorEastAsia"/>
          <w:sz w:val="24"/>
          <w:szCs w:val="23"/>
        </w:rPr>
        <w:t>http://www.cninfo.com.cn</w:t>
      </w:r>
      <w:r>
        <w:rPr>
          <w:rFonts w:hint="eastAsia" w:asciiTheme="minorEastAsia" w:hAnsiTheme="minorEastAsia" w:eastAsiaTheme="minorEastAsia"/>
          <w:sz w:val="24"/>
          <w:szCs w:val="23"/>
        </w:rPr>
        <w:fldChar w:fldCharType="end"/>
      </w:r>
      <w:r>
        <w:rPr>
          <w:rFonts w:hint="eastAsia" w:asciiTheme="minorEastAsia" w:hAnsiTheme="minorEastAsia" w:eastAsiaTheme="minorEastAsia"/>
          <w:sz w:val="24"/>
          <w:szCs w:val="23"/>
        </w:rPr>
        <w:t>）。</w:t>
      </w:r>
    </w:p>
    <w:p>
      <w:pPr>
        <w:spacing w:before="120" w:beforeLines="50" w:after="120" w:afterLines="50" w:line="360" w:lineRule="auto"/>
        <w:ind w:firstLine="57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（五）审议通过《关于变更公司注册资本与修改&lt;公司章程&gt;的议案》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经审核，监事会认为：根据公司《2021年限制性股票激励计划（草案修订稿）》的规定,同意公司股本将由 16,903.2648 万股变更为16,887.7148万股，注册资本由16,903.2648万元变更为 16,887.7148万元，并依据《中华人民共和国公司法》、《上市公司治理准则》、《上市公司章程指引》和《深圳证券交易所股票上市规则》等法律法规、规范性文件的规定，公司拟对《公司章程》中相关内容进行相应修订。</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表决结果：同意 3票，弃权 0 票，反对 0 票。获得通过。</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《公司章程修订案》与本公告同日披露于《证券时报》、《中国证券报》、《证券日报》及巨潮资讯网站（http://www.cninfo.com.cn）。</w:t>
      </w:r>
    </w:p>
    <w:p>
      <w:pPr>
        <w:spacing w:before="120" w:beforeLines="50" w:after="120" w:afterLines="50" w:line="360" w:lineRule="auto"/>
        <w:ind w:firstLine="468"/>
        <w:rPr>
          <w:rFonts w:asciiTheme="minorEastAsia" w:hAnsiTheme="minorEastAsia" w:eastAsiaTheme="minorEastAsia"/>
          <w:b/>
          <w:color w:val="000000"/>
          <w:sz w:val="24"/>
        </w:rPr>
      </w:pPr>
      <w:r>
        <w:rPr>
          <w:rFonts w:asciiTheme="minorEastAsia" w:hAnsiTheme="minorEastAsia" w:eastAsiaTheme="minorEastAsia"/>
          <w:b/>
          <w:color w:val="000000"/>
          <w:sz w:val="24"/>
        </w:rPr>
        <w:t> </w:t>
      </w:r>
      <w:r>
        <w:rPr>
          <w:rFonts w:hint="eastAsia" w:asciiTheme="minorEastAsia" w:hAnsiTheme="minorEastAsia" w:eastAsiaTheme="minorEastAsia"/>
          <w:b/>
          <w:color w:val="000000"/>
          <w:sz w:val="24"/>
        </w:rPr>
        <w:t>三、备查文件</w:t>
      </w:r>
    </w:p>
    <w:p>
      <w:pPr>
        <w:numPr>
          <w:ilvl w:val="0"/>
          <w:numId w:val="2"/>
        </w:num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《青岛伟隆阀门股份有限公司第四届监事会第十三次会议决议》；</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特此公告。</w:t>
      </w:r>
    </w:p>
    <w:p>
      <w:pPr>
        <w:tabs>
          <w:tab w:val="left" w:pos="3735"/>
        </w:tabs>
        <w:spacing w:before="120" w:beforeLines="50" w:after="120" w:afterLines="50" w:line="360" w:lineRule="auto"/>
        <w:ind w:firstLine="468"/>
        <w:rPr>
          <w:rFonts w:asciiTheme="minorEastAsia" w:hAnsiTheme="minorEastAsia" w:eastAsiaTheme="minorEastAsia"/>
          <w:sz w:val="24"/>
          <w:szCs w:val="24"/>
        </w:rPr>
      </w:pPr>
      <w:r>
        <w:rPr>
          <w:rFonts w:asciiTheme="minorEastAsia" w:hAnsiTheme="minorEastAsia" w:eastAsiaTheme="minorEastAsia"/>
          <w:sz w:val="24"/>
          <w:szCs w:val="24"/>
        </w:rPr>
        <w:tab/>
      </w:r>
    </w:p>
    <w:p>
      <w:pPr>
        <w:spacing w:before="120" w:beforeLines="50" w:after="12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监事会 </w:t>
      </w:r>
    </w:p>
    <w:p>
      <w:pPr>
        <w:spacing w:before="120" w:beforeLines="50" w:after="12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2022年10月28日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CA83"/>
    <w:multiLevelType w:val="singleLevel"/>
    <w:tmpl w:val="9DE5CA83"/>
    <w:lvl w:ilvl="0" w:tentative="0">
      <w:start w:val="3"/>
      <w:numFmt w:val="chineseCounting"/>
      <w:suff w:val="nothing"/>
      <w:lvlText w:val="（%1）"/>
      <w:lvlJc w:val="left"/>
      <w:rPr>
        <w:rFonts w:hint="eastAsia"/>
      </w:rPr>
    </w:lvl>
  </w:abstractNum>
  <w:abstractNum w:abstractNumId="1">
    <w:nsid w:val="0ED0EE39"/>
    <w:multiLevelType w:val="singleLevel"/>
    <w:tmpl w:val="0ED0EE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90786"/>
    <w:rsid w:val="000A0FB4"/>
    <w:rsid w:val="000B2414"/>
    <w:rsid w:val="000B5CC8"/>
    <w:rsid w:val="000B6DBF"/>
    <w:rsid w:val="000C6274"/>
    <w:rsid w:val="000D6589"/>
    <w:rsid w:val="000E294A"/>
    <w:rsid w:val="000E3FA3"/>
    <w:rsid w:val="000E4EF4"/>
    <w:rsid w:val="00100F35"/>
    <w:rsid w:val="0010482D"/>
    <w:rsid w:val="00105553"/>
    <w:rsid w:val="0010568E"/>
    <w:rsid w:val="001118CE"/>
    <w:rsid w:val="00115BE8"/>
    <w:rsid w:val="00116D52"/>
    <w:rsid w:val="00121BA8"/>
    <w:rsid w:val="00123DE7"/>
    <w:rsid w:val="001306E7"/>
    <w:rsid w:val="00140D0E"/>
    <w:rsid w:val="00141333"/>
    <w:rsid w:val="001624EA"/>
    <w:rsid w:val="0016383F"/>
    <w:rsid w:val="00172A27"/>
    <w:rsid w:val="001840A0"/>
    <w:rsid w:val="00191D6D"/>
    <w:rsid w:val="001B33ED"/>
    <w:rsid w:val="001B67F9"/>
    <w:rsid w:val="001C0510"/>
    <w:rsid w:val="001C2D84"/>
    <w:rsid w:val="001C4F3D"/>
    <w:rsid w:val="001C59F6"/>
    <w:rsid w:val="001C72E9"/>
    <w:rsid w:val="001D4D05"/>
    <w:rsid w:val="001E4C2B"/>
    <w:rsid w:val="001E5BA2"/>
    <w:rsid w:val="001E7A4C"/>
    <w:rsid w:val="001F18B8"/>
    <w:rsid w:val="00205726"/>
    <w:rsid w:val="002268D0"/>
    <w:rsid w:val="002370B1"/>
    <w:rsid w:val="00256DE7"/>
    <w:rsid w:val="00263224"/>
    <w:rsid w:val="00263DBE"/>
    <w:rsid w:val="0027512C"/>
    <w:rsid w:val="002858DA"/>
    <w:rsid w:val="00285CE5"/>
    <w:rsid w:val="002A61D4"/>
    <w:rsid w:val="002B0EBD"/>
    <w:rsid w:val="002C3FAC"/>
    <w:rsid w:val="002C48BD"/>
    <w:rsid w:val="002F0E27"/>
    <w:rsid w:val="002F48D1"/>
    <w:rsid w:val="002F6919"/>
    <w:rsid w:val="002F7410"/>
    <w:rsid w:val="00304F62"/>
    <w:rsid w:val="00305829"/>
    <w:rsid w:val="00315304"/>
    <w:rsid w:val="00320D5B"/>
    <w:rsid w:val="00322965"/>
    <w:rsid w:val="00323092"/>
    <w:rsid w:val="00323B43"/>
    <w:rsid w:val="00330707"/>
    <w:rsid w:val="0034236D"/>
    <w:rsid w:val="00350E0A"/>
    <w:rsid w:val="00351C24"/>
    <w:rsid w:val="00371FC3"/>
    <w:rsid w:val="003836CA"/>
    <w:rsid w:val="003861A5"/>
    <w:rsid w:val="0039237D"/>
    <w:rsid w:val="00397139"/>
    <w:rsid w:val="003B3D60"/>
    <w:rsid w:val="003B4DB1"/>
    <w:rsid w:val="003C37B5"/>
    <w:rsid w:val="003C6F1A"/>
    <w:rsid w:val="003D04A6"/>
    <w:rsid w:val="003D37D8"/>
    <w:rsid w:val="003E6E49"/>
    <w:rsid w:val="004026E7"/>
    <w:rsid w:val="004054E9"/>
    <w:rsid w:val="00405E3D"/>
    <w:rsid w:val="00407B06"/>
    <w:rsid w:val="00412EC7"/>
    <w:rsid w:val="004164C3"/>
    <w:rsid w:val="00424778"/>
    <w:rsid w:val="00426133"/>
    <w:rsid w:val="00430C7C"/>
    <w:rsid w:val="00431DD2"/>
    <w:rsid w:val="004358AB"/>
    <w:rsid w:val="0044283A"/>
    <w:rsid w:val="004435DA"/>
    <w:rsid w:val="00446109"/>
    <w:rsid w:val="004543EA"/>
    <w:rsid w:val="004562BF"/>
    <w:rsid w:val="00461DAC"/>
    <w:rsid w:val="00474557"/>
    <w:rsid w:val="004A0AEE"/>
    <w:rsid w:val="004B5F5B"/>
    <w:rsid w:val="004C3138"/>
    <w:rsid w:val="004C6E03"/>
    <w:rsid w:val="004D4CF5"/>
    <w:rsid w:val="004E1A97"/>
    <w:rsid w:val="004F4AB9"/>
    <w:rsid w:val="00504912"/>
    <w:rsid w:val="00504E75"/>
    <w:rsid w:val="00516B02"/>
    <w:rsid w:val="0051752B"/>
    <w:rsid w:val="00542EC3"/>
    <w:rsid w:val="00547A07"/>
    <w:rsid w:val="00556CA9"/>
    <w:rsid w:val="005673E7"/>
    <w:rsid w:val="005856B9"/>
    <w:rsid w:val="00593596"/>
    <w:rsid w:val="00596292"/>
    <w:rsid w:val="005A4475"/>
    <w:rsid w:val="005B32C7"/>
    <w:rsid w:val="005C0288"/>
    <w:rsid w:val="005C270C"/>
    <w:rsid w:val="005C3A4D"/>
    <w:rsid w:val="005C5AC8"/>
    <w:rsid w:val="005C6F28"/>
    <w:rsid w:val="005D4FA7"/>
    <w:rsid w:val="005D6C16"/>
    <w:rsid w:val="005F0BBF"/>
    <w:rsid w:val="005F36CE"/>
    <w:rsid w:val="005F3F03"/>
    <w:rsid w:val="00600A93"/>
    <w:rsid w:val="00607D7B"/>
    <w:rsid w:val="00617684"/>
    <w:rsid w:val="006234A3"/>
    <w:rsid w:val="006234D3"/>
    <w:rsid w:val="006321B7"/>
    <w:rsid w:val="00641D9C"/>
    <w:rsid w:val="006553C2"/>
    <w:rsid w:val="0068209B"/>
    <w:rsid w:val="006824B5"/>
    <w:rsid w:val="006961B2"/>
    <w:rsid w:val="006B53EC"/>
    <w:rsid w:val="006B6A27"/>
    <w:rsid w:val="006C121B"/>
    <w:rsid w:val="006E314F"/>
    <w:rsid w:val="006E5BCD"/>
    <w:rsid w:val="006E7605"/>
    <w:rsid w:val="006F3AC2"/>
    <w:rsid w:val="006F4987"/>
    <w:rsid w:val="00702023"/>
    <w:rsid w:val="00706841"/>
    <w:rsid w:val="00712C1E"/>
    <w:rsid w:val="00723678"/>
    <w:rsid w:val="00736CCB"/>
    <w:rsid w:val="00745A00"/>
    <w:rsid w:val="007536C2"/>
    <w:rsid w:val="00760A31"/>
    <w:rsid w:val="00763722"/>
    <w:rsid w:val="00780673"/>
    <w:rsid w:val="007814FC"/>
    <w:rsid w:val="00785158"/>
    <w:rsid w:val="007967B3"/>
    <w:rsid w:val="007A4BAF"/>
    <w:rsid w:val="007A72B5"/>
    <w:rsid w:val="007B1F9D"/>
    <w:rsid w:val="007C0DCC"/>
    <w:rsid w:val="007C4641"/>
    <w:rsid w:val="007D5D47"/>
    <w:rsid w:val="007E25F6"/>
    <w:rsid w:val="007E77F2"/>
    <w:rsid w:val="007F1020"/>
    <w:rsid w:val="00812732"/>
    <w:rsid w:val="00825861"/>
    <w:rsid w:val="008347DD"/>
    <w:rsid w:val="008424D8"/>
    <w:rsid w:val="00856162"/>
    <w:rsid w:val="00862320"/>
    <w:rsid w:val="00862530"/>
    <w:rsid w:val="0088084E"/>
    <w:rsid w:val="00881A67"/>
    <w:rsid w:val="00882566"/>
    <w:rsid w:val="0088530D"/>
    <w:rsid w:val="00885EF3"/>
    <w:rsid w:val="008948D7"/>
    <w:rsid w:val="00895B95"/>
    <w:rsid w:val="008A11C3"/>
    <w:rsid w:val="008A287C"/>
    <w:rsid w:val="008B7726"/>
    <w:rsid w:val="008C4867"/>
    <w:rsid w:val="008C7DE2"/>
    <w:rsid w:val="008D17AC"/>
    <w:rsid w:val="008F2CD2"/>
    <w:rsid w:val="0090339E"/>
    <w:rsid w:val="0090559A"/>
    <w:rsid w:val="0091337C"/>
    <w:rsid w:val="00931492"/>
    <w:rsid w:val="009550BA"/>
    <w:rsid w:val="00957604"/>
    <w:rsid w:val="00962038"/>
    <w:rsid w:val="0096231F"/>
    <w:rsid w:val="00970166"/>
    <w:rsid w:val="0097585D"/>
    <w:rsid w:val="009815D2"/>
    <w:rsid w:val="0098339F"/>
    <w:rsid w:val="0098481A"/>
    <w:rsid w:val="0099464B"/>
    <w:rsid w:val="009A3A37"/>
    <w:rsid w:val="009B3B69"/>
    <w:rsid w:val="009B47AC"/>
    <w:rsid w:val="009B7A89"/>
    <w:rsid w:val="009C0906"/>
    <w:rsid w:val="009C376A"/>
    <w:rsid w:val="009C4655"/>
    <w:rsid w:val="009C73EF"/>
    <w:rsid w:val="009D10C7"/>
    <w:rsid w:val="009E2F97"/>
    <w:rsid w:val="009E393E"/>
    <w:rsid w:val="009F58D5"/>
    <w:rsid w:val="009F71CF"/>
    <w:rsid w:val="00A02B6C"/>
    <w:rsid w:val="00A0704F"/>
    <w:rsid w:val="00A155EB"/>
    <w:rsid w:val="00A303AA"/>
    <w:rsid w:val="00A53A38"/>
    <w:rsid w:val="00A53FF2"/>
    <w:rsid w:val="00A7113F"/>
    <w:rsid w:val="00A94246"/>
    <w:rsid w:val="00AA1D1A"/>
    <w:rsid w:val="00AB6CA0"/>
    <w:rsid w:val="00AC2F7D"/>
    <w:rsid w:val="00AC7411"/>
    <w:rsid w:val="00AC779D"/>
    <w:rsid w:val="00AD053D"/>
    <w:rsid w:val="00AD12CF"/>
    <w:rsid w:val="00AE6BB7"/>
    <w:rsid w:val="00AF0BFB"/>
    <w:rsid w:val="00AF2363"/>
    <w:rsid w:val="00AF586F"/>
    <w:rsid w:val="00B022AB"/>
    <w:rsid w:val="00B20D1A"/>
    <w:rsid w:val="00B25E89"/>
    <w:rsid w:val="00B31B87"/>
    <w:rsid w:val="00B36F76"/>
    <w:rsid w:val="00B447EE"/>
    <w:rsid w:val="00B44968"/>
    <w:rsid w:val="00B524CE"/>
    <w:rsid w:val="00B66B52"/>
    <w:rsid w:val="00B70156"/>
    <w:rsid w:val="00B77036"/>
    <w:rsid w:val="00BA2473"/>
    <w:rsid w:val="00BA2EED"/>
    <w:rsid w:val="00BA537F"/>
    <w:rsid w:val="00BA7825"/>
    <w:rsid w:val="00BB1843"/>
    <w:rsid w:val="00BB24E1"/>
    <w:rsid w:val="00BC2A06"/>
    <w:rsid w:val="00BD0B09"/>
    <w:rsid w:val="00BE2D68"/>
    <w:rsid w:val="00BE6684"/>
    <w:rsid w:val="00BE7F41"/>
    <w:rsid w:val="00C00963"/>
    <w:rsid w:val="00C04E49"/>
    <w:rsid w:val="00C05532"/>
    <w:rsid w:val="00C11DA5"/>
    <w:rsid w:val="00C12712"/>
    <w:rsid w:val="00C13DF9"/>
    <w:rsid w:val="00C26E03"/>
    <w:rsid w:val="00C30361"/>
    <w:rsid w:val="00C31997"/>
    <w:rsid w:val="00C333B8"/>
    <w:rsid w:val="00C52581"/>
    <w:rsid w:val="00C61EB3"/>
    <w:rsid w:val="00C62F24"/>
    <w:rsid w:val="00C66033"/>
    <w:rsid w:val="00C66AD0"/>
    <w:rsid w:val="00C75AA8"/>
    <w:rsid w:val="00C83CFB"/>
    <w:rsid w:val="00C843B3"/>
    <w:rsid w:val="00C87B02"/>
    <w:rsid w:val="00C92216"/>
    <w:rsid w:val="00CB28D8"/>
    <w:rsid w:val="00CB4834"/>
    <w:rsid w:val="00CB7E22"/>
    <w:rsid w:val="00CC0AED"/>
    <w:rsid w:val="00CC47F2"/>
    <w:rsid w:val="00CD0469"/>
    <w:rsid w:val="00CD11B5"/>
    <w:rsid w:val="00CE3854"/>
    <w:rsid w:val="00CF39DB"/>
    <w:rsid w:val="00CF6812"/>
    <w:rsid w:val="00D007AE"/>
    <w:rsid w:val="00D031F8"/>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A7810"/>
    <w:rsid w:val="00DB3986"/>
    <w:rsid w:val="00DC0C8B"/>
    <w:rsid w:val="00DD1C68"/>
    <w:rsid w:val="00DD3E59"/>
    <w:rsid w:val="00DD54E8"/>
    <w:rsid w:val="00DE2901"/>
    <w:rsid w:val="00DF3F12"/>
    <w:rsid w:val="00E117DE"/>
    <w:rsid w:val="00E16FB0"/>
    <w:rsid w:val="00E252F6"/>
    <w:rsid w:val="00E33C76"/>
    <w:rsid w:val="00E56877"/>
    <w:rsid w:val="00E64ACB"/>
    <w:rsid w:val="00E65E91"/>
    <w:rsid w:val="00E71239"/>
    <w:rsid w:val="00E763CA"/>
    <w:rsid w:val="00E93451"/>
    <w:rsid w:val="00E97AF6"/>
    <w:rsid w:val="00EA1640"/>
    <w:rsid w:val="00EA2F11"/>
    <w:rsid w:val="00EB4454"/>
    <w:rsid w:val="00EC122A"/>
    <w:rsid w:val="00ED1A60"/>
    <w:rsid w:val="00ED1B38"/>
    <w:rsid w:val="00ED2416"/>
    <w:rsid w:val="00ED41E8"/>
    <w:rsid w:val="00EE12F1"/>
    <w:rsid w:val="00F0022C"/>
    <w:rsid w:val="00F00B0B"/>
    <w:rsid w:val="00F05437"/>
    <w:rsid w:val="00F14B38"/>
    <w:rsid w:val="00F212C7"/>
    <w:rsid w:val="00F47D98"/>
    <w:rsid w:val="00F53072"/>
    <w:rsid w:val="00F5660A"/>
    <w:rsid w:val="00F63194"/>
    <w:rsid w:val="00F774B4"/>
    <w:rsid w:val="00F9053F"/>
    <w:rsid w:val="00F92E21"/>
    <w:rsid w:val="00FA6923"/>
    <w:rsid w:val="00FB4B02"/>
    <w:rsid w:val="00FC4AB2"/>
    <w:rsid w:val="00FC5C4C"/>
    <w:rsid w:val="00FD6898"/>
    <w:rsid w:val="00FF66DC"/>
    <w:rsid w:val="00FF74F4"/>
    <w:rsid w:val="03284E8C"/>
    <w:rsid w:val="04582CCD"/>
    <w:rsid w:val="04933A7B"/>
    <w:rsid w:val="05216551"/>
    <w:rsid w:val="059067F4"/>
    <w:rsid w:val="11E33DA5"/>
    <w:rsid w:val="121C111E"/>
    <w:rsid w:val="13F115BD"/>
    <w:rsid w:val="14A85ECD"/>
    <w:rsid w:val="14C00400"/>
    <w:rsid w:val="16454C4B"/>
    <w:rsid w:val="1B456253"/>
    <w:rsid w:val="1D5A719B"/>
    <w:rsid w:val="1F087DEE"/>
    <w:rsid w:val="202E3BE9"/>
    <w:rsid w:val="20781BFB"/>
    <w:rsid w:val="210943B7"/>
    <w:rsid w:val="22DF73CD"/>
    <w:rsid w:val="235D3917"/>
    <w:rsid w:val="24AA6407"/>
    <w:rsid w:val="25FC664A"/>
    <w:rsid w:val="268179D3"/>
    <w:rsid w:val="26AD3DFC"/>
    <w:rsid w:val="26C868E1"/>
    <w:rsid w:val="272D366F"/>
    <w:rsid w:val="27A242AE"/>
    <w:rsid w:val="28446F61"/>
    <w:rsid w:val="294E423C"/>
    <w:rsid w:val="2A696137"/>
    <w:rsid w:val="2A764FC7"/>
    <w:rsid w:val="2AA027A4"/>
    <w:rsid w:val="2AF87057"/>
    <w:rsid w:val="2B853CDD"/>
    <w:rsid w:val="2BBB6116"/>
    <w:rsid w:val="2C16552D"/>
    <w:rsid w:val="2D1402D8"/>
    <w:rsid w:val="3103761F"/>
    <w:rsid w:val="32545A0A"/>
    <w:rsid w:val="32E83E28"/>
    <w:rsid w:val="36190B81"/>
    <w:rsid w:val="38013B52"/>
    <w:rsid w:val="3BF67029"/>
    <w:rsid w:val="3C9D64F0"/>
    <w:rsid w:val="3DB23653"/>
    <w:rsid w:val="40BA16FA"/>
    <w:rsid w:val="40ED7B5A"/>
    <w:rsid w:val="41771E04"/>
    <w:rsid w:val="421C1499"/>
    <w:rsid w:val="43593420"/>
    <w:rsid w:val="456B3021"/>
    <w:rsid w:val="45D7645E"/>
    <w:rsid w:val="45E55B3D"/>
    <w:rsid w:val="46DD5F48"/>
    <w:rsid w:val="46F8310E"/>
    <w:rsid w:val="492773C9"/>
    <w:rsid w:val="494F3EDE"/>
    <w:rsid w:val="49891460"/>
    <w:rsid w:val="4B2F4F56"/>
    <w:rsid w:val="4C047638"/>
    <w:rsid w:val="4CFF1931"/>
    <w:rsid w:val="4EA84AD5"/>
    <w:rsid w:val="4F267A7B"/>
    <w:rsid w:val="5059203D"/>
    <w:rsid w:val="50835F8C"/>
    <w:rsid w:val="509A04C8"/>
    <w:rsid w:val="50FC2103"/>
    <w:rsid w:val="55AC6A83"/>
    <w:rsid w:val="562F6EE9"/>
    <w:rsid w:val="575C0D0C"/>
    <w:rsid w:val="57C87E52"/>
    <w:rsid w:val="58344BBB"/>
    <w:rsid w:val="5AAA6638"/>
    <w:rsid w:val="5ACB0A85"/>
    <w:rsid w:val="5B355B41"/>
    <w:rsid w:val="5C142F3C"/>
    <w:rsid w:val="5C1C47D3"/>
    <w:rsid w:val="5C954D8E"/>
    <w:rsid w:val="607B2B54"/>
    <w:rsid w:val="609151A9"/>
    <w:rsid w:val="60996380"/>
    <w:rsid w:val="6379684E"/>
    <w:rsid w:val="63E56A8C"/>
    <w:rsid w:val="65402374"/>
    <w:rsid w:val="669A6275"/>
    <w:rsid w:val="66A357A5"/>
    <w:rsid w:val="66BC1FA2"/>
    <w:rsid w:val="673C0498"/>
    <w:rsid w:val="686A6131"/>
    <w:rsid w:val="6AEE49E8"/>
    <w:rsid w:val="6BA41121"/>
    <w:rsid w:val="6BF74350"/>
    <w:rsid w:val="6C9333DF"/>
    <w:rsid w:val="6CF33B45"/>
    <w:rsid w:val="6EE36ECA"/>
    <w:rsid w:val="6EEA2E97"/>
    <w:rsid w:val="6F6F473B"/>
    <w:rsid w:val="714E08D2"/>
    <w:rsid w:val="719F55FD"/>
    <w:rsid w:val="71D20BDC"/>
    <w:rsid w:val="723F6EE9"/>
    <w:rsid w:val="724E40E7"/>
    <w:rsid w:val="732D703E"/>
    <w:rsid w:val="75826128"/>
    <w:rsid w:val="771B2FE0"/>
    <w:rsid w:val="775D2173"/>
    <w:rsid w:val="7B27544A"/>
    <w:rsid w:val="7C1E1FF3"/>
    <w:rsid w:val="7D3C4217"/>
    <w:rsid w:val="7DD96E0C"/>
    <w:rsid w:val="7EB76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5"/>
    <w:unhideWhenUsed/>
    <w:qFormat/>
    <w:uiPriority w:val="0"/>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semiHidden/>
    <w:qFormat/>
    <w:uiPriority w:val="99"/>
    <w:rPr>
      <w:rFonts w:ascii="Tahoma" w:hAnsi="Tahoma"/>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semiHidden/>
    <w:qFormat/>
    <w:uiPriority w:val="99"/>
    <w:rPr>
      <w:rFonts w:ascii="Tahoma" w:hAnsi="Tahoma"/>
    </w:rPr>
  </w:style>
  <w:style w:type="character" w:customStyle="1" w:styleId="18">
    <w:name w:val="批注主题 字符"/>
    <w:basedOn w:val="17"/>
    <w:link w:val="8"/>
    <w:semiHidden/>
    <w:qFormat/>
    <w:uiPriority w:val="99"/>
    <w:rPr>
      <w:rFonts w:ascii="Tahoma" w:hAnsi="Tahoma"/>
      <w:b/>
      <w:bCs/>
    </w:rPr>
  </w:style>
  <w:style w:type="character" w:customStyle="1" w:styleId="19">
    <w:name w:val="批注框文本 字符"/>
    <w:basedOn w:val="11"/>
    <w:link w:val="4"/>
    <w:semiHidden/>
    <w:qFormat/>
    <w:uiPriority w:val="99"/>
    <w:rPr>
      <w:rFonts w:ascii="Tahoma" w:hAnsi="Tahoma"/>
      <w:sz w:val="18"/>
      <w:szCs w:val="18"/>
    </w:rPr>
  </w:style>
  <w:style w:type="paragraph" w:customStyle="1" w:styleId="20">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Revision"/>
    <w:hidden/>
    <w:semiHidden/>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7395-4930-49A3-B53B-608C3A8208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1635</Words>
  <Characters>1880</Characters>
  <Lines>15</Lines>
  <Paragraphs>4</Paragraphs>
  <TotalTime>9</TotalTime>
  <ScaleCrop>false</ScaleCrop>
  <LinksUpToDate>false</LinksUpToDate>
  <CharactersWithSpaces>1934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2019-10-29T03:59:00Z</dcterms:created>
  <dc:creator>Administrator</dc:creator>
  <cp:lastModifiedBy>Mr.翔</cp:lastModifiedBy>
  <dcterms:modified xsi:type="dcterms:W3CDTF">2022-10-25T03:55:22Z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33CE25F40CB7499A934672AFD09EF802</vt:lpwstr>
  </property>
</Properties>
</file>