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Lines="50" w:afterLines="50" w:line="360" w:lineRule="auto"/>
        <w:jc w:val="center"/>
        <w:rPr>
          <w:rFonts w:hint="default" w:cs="Times New Roman" w:asciiTheme="minorEastAsia" w:hAnsiTheme="minorEastAsia" w:eastAsiaTheme="minorEastAsia"/>
          <w:sz w:val="24"/>
          <w:szCs w:val="23"/>
          <w:lang w:val="en-US"/>
        </w:rPr>
      </w:pPr>
      <w:r>
        <w:rPr>
          <w:rFonts w:hint="eastAsia" w:cs="Times New Roman" w:asciiTheme="minorEastAsia" w:hAnsiTheme="minorEastAsia" w:eastAsiaTheme="minorEastAsia"/>
          <w:sz w:val="24"/>
          <w:szCs w:val="23"/>
        </w:rPr>
        <w:t>证券代码：002871           证券简称：伟隆股份      公告编号</w:t>
      </w:r>
      <w:bookmarkStart w:id="0" w:name="_GoBack"/>
      <w:r>
        <w:rPr>
          <w:rFonts w:hint="eastAsia" w:cs="Times New Roman" w:asciiTheme="minorEastAsia" w:hAnsiTheme="minorEastAsia" w:eastAsiaTheme="minorEastAsia"/>
          <w:sz w:val="24"/>
          <w:szCs w:val="23"/>
          <w:highlight w:val="none"/>
        </w:rPr>
        <w:t>：202</w:t>
      </w:r>
      <w:r>
        <w:rPr>
          <w:rFonts w:cs="Times New Roman" w:asciiTheme="minorEastAsia" w:hAnsiTheme="minorEastAsia" w:eastAsiaTheme="minorEastAsia"/>
          <w:sz w:val="24"/>
          <w:szCs w:val="23"/>
          <w:highlight w:val="none"/>
        </w:rPr>
        <w:t>2</w:t>
      </w:r>
      <w:r>
        <w:rPr>
          <w:rFonts w:hint="eastAsia" w:cs="Times New Roman" w:asciiTheme="minorEastAsia" w:hAnsiTheme="minorEastAsia" w:eastAsiaTheme="minorEastAsia"/>
          <w:sz w:val="24"/>
          <w:szCs w:val="23"/>
          <w:highlight w:val="none"/>
        </w:rPr>
        <w:t>-</w:t>
      </w:r>
      <w:r>
        <w:rPr>
          <w:rFonts w:hint="default" w:cs="Times New Roman" w:asciiTheme="minorEastAsia" w:hAnsiTheme="minorEastAsia" w:eastAsiaTheme="minorEastAsia"/>
          <w:sz w:val="24"/>
          <w:szCs w:val="23"/>
          <w:highlight w:val="none"/>
          <w:lang w:val="en-US"/>
        </w:rPr>
        <w:t>084</w:t>
      </w:r>
      <w:bookmarkEnd w:id="0"/>
    </w:p>
    <w:p>
      <w:pPr>
        <w:spacing w:beforeLines="5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青岛伟隆阀门股份有限公司</w:t>
      </w:r>
    </w:p>
    <w:p>
      <w:pPr>
        <w:spacing w:beforeLines="50" w:afterLines="50" w:line="360" w:lineRule="auto"/>
        <w:jc w:val="center"/>
        <w:rPr>
          <w:rFonts w:hint="eastAsia"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 xml:space="preserve"> 关于回购注销部分限制性股票减资及通知债权人</w:t>
      </w:r>
      <w:r>
        <w:rPr>
          <w:rFonts w:hint="eastAsia" w:asciiTheme="minorEastAsia" w:hAnsiTheme="minorEastAsia" w:eastAsiaTheme="minorEastAsia"/>
          <w:b/>
          <w:bCs/>
          <w:sz w:val="28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 xml:space="preserve">公告 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Lines="50" w:afterLines="50"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 青岛伟隆阀门股份有限公司（以下简称</w:t>
      </w:r>
      <w:r>
        <w:rPr>
          <w:rFonts w:ascii="宋体" w:hAnsi="宋体"/>
          <w:sz w:val="24"/>
          <w:lang w:bidi="en-US"/>
        </w:rPr>
        <w:t>“</w:t>
      </w:r>
      <w:r>
        <w:rPr>
          <w:rFonts w:hint="eastAsia" w:ascii="宋体" w:hAnsi="宋体"/>
          <w:sz w:val="24"/>
          <w:lang w:bidi="en-US"/>
        </w:rPr>
        <w:t>公司</w:t>
      </w:r>
      <w:r>
        <w:rPr>
          <w:rFonts w:ascii="宋体" w:hAnsi="宋体"/>
          <w:sz w:val="24"/>
          <w:lang w:bidi="en-US"/>
        </w:rPr>
        <w:t>”</w:t>
      </w:r>
      <w:r>
        <w:rPr>
          <w:rFonts w:hint="eastAsia" w:ascii="宋体" w:hAnsi="宋体"/>
          <w:sz w:val="24"/>
          <w:lang w:bidi="en-US"/>
        </w:rPr>
        <w:t>）于202</w:t>
      </w:r>
      <w:r>
        <w:rPr>
          <w:rFonts w:ascii="宋体" w:hAnsi="宋体"/>
          <w:sz w:val="24"/>
          <w:lang w:bidi="en-US"/>
        </w:rPr>
        <w:t>2</w:t>
      </w:r>
      <w:r>
        <w:rPr>
          <w:rFonts w:hint="eastAsia" w:ascii="宋体" w:hAnsi="宋体"/>
          <w:sz w:val="24"/>
          <w:lang w:bidi="en-US"/>
        </w:rPr>
        <w:t>年</w:t>
      </w:r>
      <w:r>
        <w:rPr>
          <w:rFonts w:ascii="宋体" w:hAnsi="宋体"/>
          <w:sz w:val="24"/>
          <w:lang w:bidi="en-US"/>
        </w:rPr>
        <w:t>10</w:t>
      </w:r>
      <w:r>
        <w:rPr>
          <w:rFonts w:hint="eastAsia" w:ascii="宋体" w:hAnsi="宋体"/>
          <w:sz w:val="24"/>
          <w:lang w:bidi="en-US"/>
        </w:rPr>
        <w:t>月</w:t>
      </w:r>
      <w:r>
        <w:rPr>
          <w:rFonts w:ascii="宋体" w:hAnsi="宋体"/>
          <w:sz w:val="24"/>
          <w:lang w:bidi="en-US"/>
        </w:rPr>
        <w:t>27</w:t>
      </w:r>
      <w:r>
        <w:rPr>
          <w:rFonts w:hint="eastAsia" w:ascii="宋体" w:hAnsi="宋体"/>
          <w:sz w:val="24"/>
          <w:lang w:bidi="en-US"/>
        </w:rPr>
        <w:t>日召开第四届董事会第十五次会议，会议审议通过了《关于回购注销部分限制性股票的议案》。公司</w:t>
      </w:r>
      <w:r>
        <w:rPr>
          <w:rFonts w:hint="eastAsia" w:asciiTheme="minorEastAsia" w:hAnsiTheme="minorEastAsia" w:eastAsiaTheme="minorEastAsia"/>
          <w:sz w:val="24"/>
          <w:szCs w:val="23"/>
        </w:rPr>
        <w:t>3名</w:t>
      </w:r>
      <w:r>
        <w:rPr>
          <w:rFonts w:hint="eastAsia" w:asciiTheme="minorEastAsia" w:hAnsiTheme="minorEastAsia" w:eastAsiaTheme="minorEastAsia"/>
          <w:sz w:val="24"/>
          <w:szCs w:val="23"/>
          <w:lang w:eastAsia="zh-CN"/>
        </w:rPr>
        <w:t>激励对象</w:t>
      </w:r>
      <w:r>
        <w:rPr>
          <w:rFonts w:hint="eastAsia" w:asciiTheme="minorEastAsia" w:hAnsiTheme="minorEastAsia" w:eastAsiaTheme="minorEastAsia"/>
          <w:sz w:val="24"/>
          <w:szCs w:val="23"/>
        </w:rPr>
        <w:t>因个人原因离职</w:t>
      </w:r>
      <w:r>
        <w:rPr>
          <w:rFonts w:hint="eastAsia" w:asciiTheme="minorEastAsia" w:hAnsiTheme="minorEastAsia" w:eastAsiaTheme="minorEastAsia"/>
          <w:sz w:val="24"/>
          <w:szCs w:val="23"/>
          <w:lang w:eastAsia="zh-CN"/>
        </w:rPr>
        <w:t>不予解禁；</w:t>
      </w:r>
      <w:r>
        <w:rPr>
          <w:rFonts w:hint="eastAsia" w:asciiTheme="minorEastAsia" w:hAnsiTheme="minorEastAsia" w:eastAsiaTheme="minorEastAsia"/>
          <w:sz w:val="24"/>
          <w:szCs w:val="23"/>
        </w:rPr>
        <w:t>3名激励对象绩效考核为合格，可以申请解除当期80%限售股份；1名激励对象绩效考核为良好，可以申请解除当期90%限售股份，其余</w:t>
      </w:r>
      <w:r>
        <w:rPr>
          <w:rFonts w:asciiTheme="minorEastAsia" w:hAnsiTheme="minorEastAsia" w:eastAsiaTheme="minorEastAsia"/>
          <w:sz w:val="24"/>
          <w:szCs w:val="23"/>
        </w:rPr>
        <w:t>73</w:t>
      </w:r>
      <w:r>
        <w:rPr>
          <w:rFonts w:hint="eastAsia" w:asciiTheme="minorEastAsia" w:hAnsiTheme="minorEastAsia" w:eastAsiaTheme="minorEastAsia"/>
          <w:sz w:val="24"/>
          <w:szCs w:val="23"/>
        </w:rPr>
        <w:t>名激励对</w:t>
      </w:r>
      <w:r>
        <w:rPr>
          <w:rFonts w:hint="eastAsia" w:cs="Times New Roman" w:asciiTheme="minorEastAsia" w:hAnsiTheme="minorEastAsia" w:eastAsiaTheme="minorEastAsia"/>
          <w:sz w:val="24"/>
          <w:szCs w:val="23"/>
        </w:rPr>
        <w:t>象本期</w:t>
      </w:r>
      <w:r>
        <w:rPr>
          <w:rFonts w:cs="Times New Roman" w:asciiTheme="minorEastAsia" w:hAnsiTheme="minorEastAsia" w:eastAsiaTheme="minorEastAsia"/>
          <w:sz w:val="24"/>
          <w:szCs w:val="23"/>
        </w:rPr>
        <w:t>限售股份解锁比例为100%</w:t>
      </w:r>
      <w:r>
        <w:rPr>
          <w:rFonts w:hint="eastAsia" w:cs="Times New Roman" w:asciiTheme="minorEastAsia" w:hAnsiTheme="minorEastAsia" w:eastAsiaTheme="minorEastAsia"/>
          <w:sz w:val="24"/>
          <w:szCs w:val="23"/>
        </w:rPr>
        <w:t>，</w:t>
      </w:r>
      <w:r>
        <w:rPr>
          <w:rFonts w:hint="eastAsia" w:asciiTheme="minorEastAsia" w:hAnsiTheme="minorEastAsia" w:eastAsiaTheme="minorEastAsia"/>
          <w:sz w:val="24"/>
          <w:szCs w:val="23"/>
        </w:rPr>
        <w:t>根据公司《20</w:t>
      </w:r>
      <w:r>
        <w:rPr>
          <w:rFonts w:asciiTheme="minorEastAsia" w:hAnsiTheme="minorEastAsia" w:eastAsiaTheme="minorEastAsia"/>
          <w:sz w:val="24"/>
          <w:szCs w:val="23"/>
        </w:rPr>
        <w:t>21</w:t>
      </w:r>
      <w:r>
        <w:rPr>
          <w:rFonts w:hint="eastAsia" w:asciiTheme="minorEastAsia" w:hAnsiTheme="minorEastAsia" w:eastAsiaTheme="minorEastAsia"/>
          <w:sz w:val="24"/>
          <w:szCs w:val="23"/>
        </w:rPr>
        <w:t>年限制性股票激励计划（草案修订稿）》（以下简称“激励计划”）的规定，公司董事会决定已获授但尚未解锁的</w:t>
      </w:r>
      <w:r>
        <w:rPr>
          <w:rFonts w:asciiTheme="minorEastAsia" w:hAnsiTheme="minorEastAsia" w:eastAsiaTheme="minorEastAsia"/>
          <w:sz w:val="24"/>
          <w:szCs w:val="23"/>
        </w:rPr>
        <w:t>15.55</w:t>
      </w:r>
      <w:r>
        <w:rPr>
          <w:rFonts w:hint="eastAsia" w:asciiTheme="minorEastAsia" w:hAnsiTheme="minorEastAsia" w:eastAsiaTheme="minorEastAsia"/>
          <w:sz w:val="24"/>
          <w:szCs w:val="23"/>
        </w:rPr>
        <w:t>万股限制性股票进行回购注销。</w:t>
      </w:r>
      <w:r>
        <w:rPr>
          <w:rFonts w:hint="eastAsia" w:ascii="宋体" w:hAnsi="宋体"/>
          <w:sz w:val="24"/>
          <w:lang w:bidi="en-US"/>
        </w:rPr>
        <w:t>回购注销完成后，公司总股本将从</w:t>
      </w:r>
      <w:r>
        <w:rPr>
          <w:rFonts w:hint="eastAsia" w:asciiTheme="minorEastAsia" w:hAnsiTheme="minorEastAsia" w:eastAsiaTheme="minorEastAsia"/>
          <w:sz w:val="24"/>
          <w:szCs w:val="24"/>
        </w:rPr>
        <w:t>16,903.2648</w:t>
      </w:r>
      <w:r>
        <w:rPr>
          <w:rFonts w:hint="eastAsia" w:ascii="宋体" w:hAnsi="宋体"/>
          <w:sz w:val="24"/>
          <w:lang w:bidi="en-US"/>
        </w:rPr>
        <w:t>万股变更</w:t>
      </w:r>
      <w:r>
        <w:rPr>
          <w:rFonts w:hint="eastAsia" w:asciiTheme="minorEastAsia" w:hAnsiTheme="minorEastAsia" w:eastAsiaTheme="minorEastAsia"/>
          <w:sz w:val="24"/>
          <w:szCs w:val="24"/>
        </w:rPr>
        <w:t>为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16,887.7148</w:t>
      </w:r>
      <w:r>
        <w:rPr>
          <w:rFonts w:hint="eastAsia" w:asciiTheme="minorEastAsia" w:hAnsiTheme="minorEastAsia" w:eastAsiaTheme="minorEastAsia"/>
          <w:sz w:val="24"/>
          <w:szCs w:val="24"/>
        </w:rPr>
        <w:t>万股，</w:t>
      </w:r>
      <w:r>
        <w:rPr>
          <w:rFonts w:hint="eastAsia" w:ascii="宋体" w:hAnsi="宋体"/>
          <w:sz w:val="24"/>
          <w:lang w:bidi="en-US"/>
        </w:rPr>
        <w:t>注册资本将从</w:t>
      </w:r>
      <w:r>
        <w:rPr>
          <w:rFonts w:hint="eastAsia" w:asciiTheme="minorEastAsia" w:hAnsiTheme="minorEastAsia" w:eastAsiaTheme="minorEastAsia"/>
          <w:sz w:val="24"/>
          <w:szCs w:val="24"/>
        </w:rPr>
        <w:t>16,903.2648</w:t>
      </w:r>
      <w:r>
        <w:rPr>
          <w:rFonts w:hint="eastAsia" w:ascii="宋体" w:hAnsi="宋体"/>
          <w:sz w:val="24"/>
          <w:lang w:bidi="en-US"/>
        </w:rPr>
        <w:t>万股变更为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16,887.7148</w:t>
      </w:r>
      <w:r>
        <w:rPr>
          <w:rFonts w:hint="eastAsia" w:ascii="宋体" w:hAnsi="宋体"/>
          <w:sz w:val="24"/>
          <w:lang w:bidi="en-US"/>
        </w:rPr>
        <w:t>万股。以上公告信息刊登于2022年10月28日的</w:t>
      </w:r>
      <w:r>
        <w:rPr>
          <w:rFonts w:hint="eastAsia" w:asciiTheme="minorEastAsia" w:hAnsiTheme="minorEastAsia" w:eastAsiaTheme="minorEastAsia"/>
          <w:sz w:val="24"/>
          <w:szCs w:val="23"/>
        </w:rPr>
        <w:t>《证券时报》、《中国证券报》、《证券日报》及巨潮资讯网站（</w:t>
      </w:r>
      <w:r>
        <w:rPr>
          <w:rFonts w:asciiTheme="minorEastAsia" w:hAnsiTheme="minorEastAsia" w:eastAsiaTheme="minorEastAsia"/>
          <w:sz w:val="24"/>
          <w:szCs w:val="23"/>
        </w:rPr>
        <w:t>http://www.cninfo.com.cn</w:t>
      </w:r>
      <w:r>
        <w:rPr>
          <w:rFonts w:hint="eastAsia" w:asciiTheme="minorEastAsia" w:hAnsiTheme="minorEastAsia" w:eastAsiaTheme="minorEastAsia"/>
          <w:sz w:val="24"/>
          <w:szCs w:val="23"/>
        </w:rPr>
        <w:t>）</w:t>
      </w:r>
      <w:r>
        <w:rPr>
          <w:rFonts w:hint="eastAsia" w:ascii="宋体" w:hAnsi="宋体"/>
          <w:sz w:val="24"/>
          <w:lang w:bidi="en-US"/>
        </w:rPr>
        <w:t xml:space="preserve">。 </w:t>
      </w:r>
    </w:p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本次公司回购注销部分限制性股票将涉及公司股本及注册资本减少，根据《中华人民共和国公司法》等相关法律、法规的规定，公司特此通知债权人，债权人自本公告之日起45日内，有权要求本公司清偿债务或者提供相应的担保。债权人未在规定期限内行使上述权利的，本次回购注销将按法定程序继续实施。 </w:t>
      </w:r>
    </w:p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公司各债权人如要求本公司清偿债务或提供相应担保的，应根据《中华人民共和国公司法》等法律、法规的有关规定向公司提出书面要求，并随附有关证明文件。 </w:t>
      </w:r>
    </w:p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特此公告。 </w:t>
      </w:r>
    </w:p>
    <w:p>
      <w:pPr>
        <w:pStyle w:val="9"/>
        <w:spacing w:beforeLines="50" w:afterLines="50" w:line="360" w:lineRule="auto"/>
        <w:ind w:firstLine="480" w:firstLineChars="200"/>
        <w:jc w:val="right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青岛伟隆阀门股份有限公司</w:t>
      </w:r>
    </w:p>
    <w:p>
      <w:pPr>
        <w:pStyle w:val="9"/>
        <w:wordWrap w:val="0"/>
        <w:spacing w:beforeLines="50" w:afterLines="50" w:line="360" w:lineRule="auto"/>
        <w:ind w:firstLine="480" w:firstLineChars="200"/>
        <w:jc w:val="right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董事会        </w:t>
      </w:r>
    </w:p>
    <w:p>
      <w:pPr>
        <w:pStyle w:val="9"/>
        <w:wordWrap w:val="0"/>
        <w:spacing w:beforeLines="50" w:afterLines="50" w:line="360" w:lineRule="auto"/>
        <w:ind w:firstLine="480" w:firstLineChars="200"/>
        <w:jc w:val="right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2022年10月28日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172A27"/>
    <w:rsid w:val="00187392"/>
    <w:rsid w:val="00453461"/>
    <w:rsid w:val="004F3D34"/>
    <w:rsid w:val="00504D3F"/>
    <w:rsid w:val="00532CD9"/>
    <w:rsid w:val="006070DA"/>
    <w:rsid w:val="00705235"/>
    <w:rsid w:val="00707B70"/>
    <w:rsid w:val="00785360"/>
    <w:rsid w:val="00C62C45"/>
    <w:rsid w:val="00DC2A99"/>
    <w:rsid w:val="00EC27E6"/>
    <w:rsid w:val="02C475D1"/>
    <w:rsid w:val="099D24AE"/>
    <w:rsid w:val="1242747F"/>
    <w:rsid w:val="12F30E19"/>
    <w:rsid w:val="130E23C1"/>
    <w:rsid w:val="182825B0"/>
    <w:rsid w:val="1C4B1CF0"/>
    <w:rsid w:val="269249DF"/>
    <w:rsid w:val="2F500714"/>
    <w:rsid w:val="30D4661F"/>
    <w:rsid w:val="322D6835"/>
    <w:rsid w:val="36A603A7"/>
    <w:rsid w:val="3A292470"/>
    <w:rsid w:val="3AB0397B"/>
    <w:rsid w:val="4A6E0541"/>
    <w:rsid w:val="4A701BD6"/>
    <w:rsid w:val="68C737B2"/>
    <w:rsid w:val="76604F3F"/>
    <w:rsid w:val="7A40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</w:style>
  <w:style w:type="paragraph" w:styleId="3">
    <w:name w:val="Balloon Text"/>
    <w:basedOn w:val="1"/>
    <w:link w:val="12"/>
    <w:qFormat/>
    <w:uiPriority w:val="0"/>
    <w:pPr>
      <w:spacing w:after="0"/>
    </w:pPr>
    <w:rPr>
      <w:sz w:val="18"/>
      <w:szCs w:val="18"/>
    </w:rPr>
  </w:style>
  <w:style w:type="paragraph" w:styleId="4">
    <w:name w:val="annotation subject"/>
    <w:basedOn w:val="2"/>
    <w:next w:val="2"/>
    <w:link w:val="11"/>
    <w:qFormat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9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10">
    <w:name w:val="批注文字 Char"/>
    <w:basedOn w:val="6"/>
    <w:link w:val="2"/>
    <w:qFormat/>
    <w:uiPriority w:val="0"/>
    <w:rPr>
      <w:rFonts w:ascii="Tahoma" w:hAnsi="Tahoma" w:eastAsia="微软雅黑" w:cstheme="minorBidi"/>
      <w:sz w:val="22"/>
      <w:szCs w:val="22"/>
    </w:rPr>
  </w:style>
  <w:style w:type="character" w:customStyle="1" w:styleId="11">
    <w:name w:val="批注主题 Char"/>
    <w:basedOn w:val="10"/>
    <w:link w:val="4"/>
    <w:qFormat/>
    <w:uiPriority w:val="0"/>
    <w:rPr>
      <w:b/>
      <w:bCs/>
    </w:rPr>
  </w:style>
  <w:style w:type="character" w:customStyle="1" w:styleId="12">
    <w:name w:val="批注框文本 Char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770</Characters>
  <Lines>5</Lines>
  <Paragraphs>1</Paragraphs>
  <TotalTime>0</TotalTime>
  <ScaleCrop>false</ScaleCrop>
  <LinksUpToDate>false</LinksUpToDate>
  <CharactersWithSpaces>805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zhaoxiang</dc:creator>
  <cp:lastModifiedBy>Mr.翔</cp:lastModifiedBy>
  <dcterms:modified xsi:type="dcterms:W3CDTF">2022-10-24T03:40:59Z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7E04B7A7433A41C1B9C67547E65A7228</vt:lpwstr>
  </property>
</Properties>
</file>