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rPr>
          <w:color w:val="auto"/>
          <w:highlight w:val="none"/>
        </w:rPr>
      </w:pPr>
      <w:r>
        <w:rPr>
          <w:rFonts w:hint="eastAsia"/>
          <w:color w:val="auto"/>
          <w:highlight w:val="none"/>
        </w:rPr>
        <w:t>证券代码： 002871              证券简称： 伟隆股份             公告编号： 2022-0</w:t>
      </w:r>
      <w:r>
        <w:rPr>
          <w:color w:val="auto"/>
          <w:highlight w:val="none"/>
        </w:rPr>
        <w:t>75</w:t>
      </w:r>
    </w:p>
    <w:p>
      <w:pPr>
        <w:widowControl/>
        <w:adjustRightInd w:val="0"/>
        <w:snapToGrid w:val="0"/>
        <w:spacing w:line="360" w:lineRule="auto"/>
        <w:jc w:val="center"/>
        <w:rPr>
          <w:rFonts w:ascii="宋体" w:hAnsi="宋体" w:cs="宋体"/>
          <w:color w:val="auto"/>
          <w:kern w:val="0"/>
          <w:szCs w:val="21"/>
          <w:highlight w:val="none"/>
        </w:rPr>
      </w:pPr>
    </w:p>
    <w:p>
      <w:pPr>
        <w:spacing w:line="220" w:lineRule="atLeast"/>
        <w:jc w:val="center"/>
        <w:rPr>
          <w:b/>
          <w:color w:val="auto"/>
          <w:sz w:val="28"/>
          <w:szCs w:val="28"/>
          <w:highlight w:val="none"/>
        </w:rPr>
      </w:pPr>
      <w:r>
        <w:rPr>
          <w:rFonts w:hint="eastAsia"/>
          <w:b/>
          <w:color w:val="auto"/>
          <w:sz w:val="28"/>
          <w:szCs w:val="28"/>
          <w:highlight w:val="none"/>
        </w:rPr>
        <w:t>青岛伟隆阀门股份有限公司</w:t>
      </w:r>
    </w:p>
    <w:p>
      <w:pPr>
        <w:spacing w:line="220" w:lineRule="atLeast"/>
        <w:jc w:val="center"/>
        <w:rPr>
          <w:b/>
          <w:color w:val="auto"/>
          <w:sz w:val="28"/>
          <w:szCs w:val="28"/>
          <w:highlight w:val="none"/>
        </w:rPr>
      </w:pPr>
      <w:r>
        <w:rPr>
          <w:rFonts w:hint="eastAsia"/>
          <w:b/>
          <w:color w:val="auto"/>
          <w:sz w:val="28"/>
          <w:szCs w:val="28"/>
          <w:highlight w:val="none"/>
        </w:rPr>
        <w:t>2022年前三季度业绩预告</w:t>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852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480" w:firstLineChars="200"/>
              <w:rPr>
                <w:rFonts w:ascii="宋体" w:hAnsi="宋体"/>
                <w:color w:val="auto"/>
                <w:sz w:val="24"/>
                <w:highlight w:val="none"/>
              </w:rPr>
            </w:pPr>
            <w:r>
              <w:rPr>
                <w:rFonts w:hint="eastAsia" w:ascii="楷体" w:hAnsi="楷体" w:eastAsia="楷体" w:cs="宋体"/>
                <w:color w:val="auto"/>
                <w:kern w:val="0"/>
                <w:sz w:val="24"/>
                <w:highlight w:val="none"/>
              </w:rPr>
              <w:t>本公司及董事会全体成员保证信息披露内容的真实、准确和完整，没有虚假记载、误导性陈述或重大遗漏。</w:t>
            </w:r>
          </w:p>
        </w:tc>
      </w:tr>
    </w:tbl>
    <w:p>
      <w:pPr>
        <w:autoSpaceDE w:val="0"/>
        <w:autoSpaceDN w:val="0"/>
        <w:adjustRightInd w:val="0"/>
        <w:rPr>
          <w:rFonts w:ascii="宋体" w:hAnsi="宋体"/>
          <w:color w:val="auto"/>
          <w:sz w:val="24"/>
          <w:highlight w:val="none"/>
        </w:rPr>
      </w:pPr>
    </w:p>
    <w:p>
      <w:pPr>
        <w:numPr>
          <w:ilvl w:val="0"/>
          <w:numId w:val="1"/>
        </w:numPr>
        <w:autoSpaceDE w:val="0"/>
        <w:autoSpaceDN w:val="0"/>
        <w:adjustRightInd w:val="0"/>
        <w:spacing w:line="360" w:lineRule="auto"/>
        <w:ind w:firstLine="482" w:firstLineChars="200"/>
        <w:rPr>
          <w:rFonts w:ascii="宋体" w:hAnsi="宋体"/>
          <w:color w:val="auto"/>
          <w:sz w:val="24"/>
          <w:highlight w:val="none"/>
        </w:rPr>
      </w:pPr>
      <w:r>
        <w:rPr>
          <w:rFonts w:hint="eastAsia" w:ascii="宋体" w:hAnsi="宋体" w:cs="宋体"/>
          <w:b/>
          <w:color w:val="auto"/>
          <w:kern w:val="0"/>
          <w:sz w:val="24"/>
          <w:highlight w:val="none"/>
        </w:rPr>
        <w:t>本期业绩预计情况</w:t>
      </w:r>
    </w:p>
    <w:p>
      <w:pPr>
        <w:autoSpaceDE w:val="0"/>
        <w:autoSpaceDN w:val="0"/>
        <w:adjustRightInd w:val="0"/>
        <w:spacing w:afterLines="50"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（一）业绩预告期间：2022年01月01日- 2022年0</w:t>
      </w:r>
      <w:r>
        <w:rPr>
          <w:rFonts w:ascii="宋体" w:hAnsi="宋体" w:cs="宋体"/>
          <w:color w:val="auto"/>
          <w:kern w:val="0"/>
          <w:sz w:val="24"/>
          <w:highlight w:val="none"/>
        </w:rPr>
        <w:t>9</w:t>
      </w:r>
      <w:r>
        <w:rPr>
          <w:rFonts w:hint="eastAsia" w:ascii="宋体" w:hAnsi="宋体" w:cs="宋体"/>
          <w:color w:val="auto"/>
          <w:kern w:val="0"/>
          <w:sz w:val="24"/>
          <w:highlight w:val="none"/>
        </w:rPr>
        <w:t xml:space="preserve">月30日； </w:t>
      </w:r>
    </w:p>
    <w:p>
      <w:pPr>
        <w:autoSpaceDE w:val="0"/>
        <w:autoSpaceDN w:val="0"/>
        <w:adjustRightInd w:val="0"/>
        <w:spacing w:afterLines="50"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 xml:space="preserve">（二）预计的业绩：□亏损 □扭亏为盈 √同向上升 □同向下降 </w:t>
      </w:r>
    </w:p>
    <w:p>
      <w:pPr>
        <w:autoSpaceDE w:val="0"/>
        <w:autoSpaceDN w:val="0"/>
        <w:adjustRightInd w:val="0"/>
        <w:spacing w:afterLines="50"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1、2022年前三季度业绩预计情况</w:t>
      </w:r>
    </w:p>
    <w:tbl>
      <w:tblPr>
        <w:tblStyle w:val="9"/>
        <w:tblW w:w="8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7"/>
        <w:gridCol w:w="3577"/>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宋体" w:hAnsi="宋体"/>
                <w:color w:val="auto"/>
                <w:szCs w:val="21"/>
                <w:highlight w:val="none"/>
              </w:rPr>
            </w:pPr>
            <w:r>
              <w:rPr>
                <w:rFonts w:hint="eastAsia" w:ascii="宋体" w:hAnsi="宋体"/>
                <w:color w:val="auto"/>
                <w:szCs w:val="21"/>
                <w:highlight w:val="none"/>
              </w:rPr>
              <w:t>项目</w:t>
            </w:r>
          </w:p>
        </w:tc>
        <w:tc>
          <w:tcPr>
            <w:tcW w:w="3577"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宋体" w:hAnsi="宋体"/>
                <w:color w:val="auto"/>
                <w:szCs w:val="21"/>
                <w:highlight w:val="none"/>
              </w:rPr>
            </w:pPr>
            <w:r>
              <w:rPr>
                <w:rFonts w:hint="eastAsia" w:ascii="宋体" w:hAnsi="宋体"/>
                <w:color w:val="auto"/>
                <w:szCs w:val="21"/>
                <w:highlight w:val="none"/>
              </w:rPr>
              <w:t>本报告期</w:t>
            </w:r>
          </w:p>
        </w:tc>
        <w:tc>
          <w:tcPr>
            <w:tcW w:w="2595"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宋体" w:hAnsi="宋体"/>
                <w:color w:val="auto"/>
                <w:szCs w:val="21"/>
                <w:highlight w:val="none"/>
              </w:rPr>
            </w:pPr>
            <w:r>
              <w:rPr>
                <w:rFonts w:hint="eastAsia" w:ascii="宋体" w:hAnsi="宋体"/>
                <w:color w:val="auto"/>
                <w:szCs w:val="21"/>
                <w:highlight w:val="none"/>
              </w:rPr>
              <w:t>上年同期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2327" w:type="dxa"/>
            <w:vMerge w:val="restart"/>
            <w:tcBorders>
              <w:top w:val="single" w:color="auto" w:sz="4" w:space="0"/>
              <w:left w:val="single" w:color="auto" w:sz="4" w:space="0"/>
              <w:right w:val="single" w:color="auto" w:sz="4" w:space="0"/>
            </w:tcBorders>
            <w:shd w:val="clear" w:color="auto" w:fill="E6E6E6"/>
            <w:vAlign w:val="center"/>
          </w:tcPr>
          <w:p>
            <w:pPr>
              <w:jc w:val="center"/>
              <w:rPr>
                <w:rFonts w:ascii="宋体" w:hAnsi="宋体"/>
                <w:color w:val="auto"/>
                <w:szCs w:val="21"/>
                <w:highlight w:val="none"/>
              </w:rPr>
            </w:pPr>
            <w:r>
              <w:rPr>
                <w:rFonts w:hint="eastAsia" w:ascii="宋体" w:hAnsi="宋体"/>
                <w:color w:val="auto"/>
                <w:szCs w:val="21"/>
                <w:highlight w:val="none"/>
              </w:rPr>
              <w:t>归属于上市公司股东的净利润</w:t>
            </w:r>
          </w:p>
        </w:tc>
        <w:tc>
          <w:tcPr>
            <w:tcW w:w="357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highlight w:val="none"/>
              </w:rPr>
              <w:t>盈利：10,500万元至12,5</w:t>
            </w:r>
            <w:r>
              <w:rPr>
                <w:rFonts w:ascii="宋体" w:hAnsi="宋体"/>
                <w:color w:val="auto"/>
                <w:highlight w:val="none"/>
              </w:rPr>
              <w:t>00</w:t>
            </w:r>
            <w:r>
              <w:rPr>
                <w:rFonts w:hint="eastAsia" w:ascii="宋体" w:hAnsi="宋体"/>
                <w:color w:val="auto"/>
                <w:highlight w:val="none"/>
              </w:rPr>
              <w:t xml:space="preserve">万元 </w:t>
            </w:r>
          </w:p>
        </w:tc>
        <w:tc>
          <w:tcPr>
            <w:tcW w:w="2595" w:type="dxa"/>
            <w:vMerge w:val="restart"/>
            <w:tcBorders>
              <w:top w:val="single" w:color="auto" w:sz="4" w:space="0"/>
              <w:left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盈利：4,325.82万元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2327" w:type="dxa"/>
            <w:vMerge w:val="continue"/>
            <w:tcBorders>
              <w:left w:val="single" w:color="auto" w:sz="4" w:space="0"/>
              <w:bottom w:val="single" w:color="auto" w:sz="4" w:space="0"/>
              <w:right w:val="single" w:color="auto" w:sz="4" w:space="0"/>
            </w:tcBorders>
            <w:shd w:val="clear" w:color="auto" w:fill="E6E6E6"/>
            <w:vAlign w:val="center"/>
          </w:tcPr>
          <w:p>
            <w:pPr>
              <w:jc w:val="center"/>
              <w:rPr>
                <w:color w:val="auto"/>
                <w:highlight w:val="none"/>
              </w:rPr>
            </w:pPr>
          </w:p>
        </w:tc>
        <w:tc>
          <w:tcPr>
            <w:tcW w:w="357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highlight w:val="none"/>
              </w:rPr>
              <w:t>比上年同期增长：</w:t>
            </w:r>
            <w:r>
              <w:rPr>
                <w:rFonts w:ascii="宋体" w:hAnsi="宋体"/>
                <w:color w:val="auto"/>
                <w:highlight w:val="none"/>
              </w:rPr>
              <w:t>142.73</w:t>
            </w:r>
            <w:r>
              <w:rPr>
                <w:rFonts w:hint="eastAsia" w:ascii="宋体" w:hAnsi="宋体"/>
                <w:color w:val="auto"/>
                <w:highlight w:val="none"/>
              </w:rPr>
              <w:t>% -</w:t>
            </w:r>
            <w:r>
              <w:rPr>
                <w:rFonts w:ascii="宋体" w:hAnsi="宋体"/>
                <w:color w:val="auto"/>
                <w:highlight w:val="none"/>
              </w:rPr>
              <w:t>188.96</w:t>
            </w:r>
            <w:r>
              <w:rPr>
                <w:rFonts w:hint="eastAsia" w:ascii="宋体" w:hAnsi="宋体"/>
                <w:color w:val="auto"/>
                <w:highlight w:val="none"/>
              </w:rPr>
              <w:t xml:space="preserve">%  </w:t>
            </w:r>
          </w:p>
        </w:tc>
        <w:tc>
          <w:tcPr>
            <w:tcW w:w="2595" w:type="dxa"/>
            <w:vMerge w:val="continue"/>
            <w:tcBorders>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327" w:type="dxa"/>
            <w:vMerge w:val="restart"/>
            <w:tcBorders>
              <w:top w:val="single" w:color="auto" w:sz="4" w:space="0"/>
              <w:left w:val="single" w:color="auto" w:sz="4" w:space="0"/>
              <w:right w:val="single" w:color="auto" w:sz="4" w:space="0"/>
            </w:tcBorders>
            <w:shd w:val="clear" w:color="auto" w:fill="E6E6E6"/>
            <w:vAlign w:val="center"/>
          </w:tcPr>
          <w:p>
            <w:pPr>
              <w:jc w:val="center"/>
              <w:rPr>
                <w:rFonts w:ascii="宋体" w:hAnsi="宋体"/>
                <w:color w:val="auto"/>
                <w:szCs w:val="21"/>
                <w:highlight w:val="none"/>
              </w:rPr>
            </w:pPr>
            <w:r>
              <w:rPr>
                <w:rFonts w:hint="eastAsia" w:ascii="宋体" w:hAnsi="宋体"/>
                <w:color w:val="auto"/>
                <w:highlight w:val="none"/>
              </w:rPr>
              <w:t>扣除非经常性损益后的净利润</w:t>
            </w:r>
          </w:p>
        </w:tc>
        <w:tc>
          <w:tcPr>
            <w:tcW w:w="357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highlight w:val="none"/>
              </w:rPr>
              <w:t>盈利：7,5</w:t>
            </w:r>
            <w:r>
              <w:rPr>
                <w:rFonts w:ascii="宋体" w:hAnsi="宋体"/>
                <w:color w:val="auto"/>
                <w:highlight w:val="none"/>
              </w:rPr>
              <w:t>00</w:t>
            </w:r>
            <w:r>
              <w:rPr>
                <w:rFonts w:hint="eastAsia" w:ascii="宋体" w:hAnsi="宋体"/>
                <w:color w:val="auto"/>
                <w:highlight w:val="none"/>
              </w:rPr>
              <w:t>万元</w:t>
            </w:r>
            <w:r>
              <w:rPr>
                <w:rFonts w:ascii="宋体" w:hAnsi="宋体"/>
                <w:color w:val="auto"/>
                <w:highlight w:val="none"/>
              </w:rPr>
              <w:t>–</w:t>
            </w:r>
            <w:r>
              <w:rPr>
                <w:rFonts w:hint="eastAsia" w:ascii="宋体" w:hAnsi="宋体"/>
                <w:color w:val="auto"/>
                <w:highlight w:val="none"/>
              </w:rPr>
              <w:t>8,5</w:t>
            </w:r>
            <w:r>
              <w:rPr>
                <w:rFonts w:ascii="宋体" w:hAnsi="宋体"/>
                <w:color w:val="auto"/>
                <w:highlight w:val="none"/>
              </w:rPr>
              <w:t>00</w:t>
            </w:r>
            <w:r>
              <w:rPr>
                <w:rFonts w:hint="eastAsia" w:ascii="宋体" w:hAnsi="宋体"/>
                <w:color w:val="auto"/>
                <w:highlight w:val="none"/>
              </w:rPr>
              <w:t xml:space="preserve">万元 </w:t>
            </w:r>
          </w:p>
        </w:tc>
        <w:tc>
          <w:tcPr>
            <w:tcW w:w="2595" w:type="dxa"/>
            <w:vMerge w:val="restart"/>
            <w:tcBorders>
              <w:top w:val="single" w:color="auto" w:sz="4" w:space="0"/>
              <w:left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盈利：3，213.79万元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2327" w:type="dxa"/>
            <w:vMerge w:val="continue"/>
            <w:tcBorders>
              <w:left w:val="single" w:color="auto" w:sz="4" w:space="0"/>
              <w:bottom w:val="single" w:color="auto" w:sz="4" w:space="0"/>
              <w:right w:val="single" w:color="auto" w:sz="4" w:space="0"/>
            </w:tcBorders>
            <w:shd w:val="clear" w:color="auto" w:fill="E6E6E6"/>
            <w:vAlign w:val="center"/>
          </w:tcPr>
          <w:p>
            <w:pPr>
              <w:jc w:val="center"/>
              <w:rPr>
                <w:color w:val="auto"/>
                <w:highlight w:val="none"/>
              </w:rPr>
            </w:pPr>
          </w:p>
        </w:tc>
        <w:tc>
          <w:tcPr>
            <w:tcW w:w="357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highlight w:val="none"/>
              </w:rPr>
              <w:t>比上年同期增长：</w:t>
            </w:r>
            <w:r>
              <w:rPr>
                <w:rFonts w:ascii="宋体" w:hAnsi="宋体"/>
                <w:color w:val="auto"/>
                <w:highlight w:val="none"/>
              </w:rPr>
              <w:t>133.37</w:t>
            </w:r>
            <w:r>
              <w:rPr>
                <w:rFonts w:hint="eastAsia" w:ascii="宋体" w:hAnsi="宋体"/>
                <w:color w:val="auto"/>
                <w:highlight w:val="none"/>
              </w:rPr>
              <w:t xml:space="preserve">%-164.49% </w:t>
            </w:r>
          </w:p>
        </w:tc>
        <w:tc>
          <w:tcPr>
            <w:tcW w:w="2595" w:type="dxa"/>
            <w:vMerge w:val="continue"/>
            <w:tcBorders>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宋体" w:hAnsi="宋体"/>
                <w:color w:val="auto"/>
                <w:szCs w:val="21"/>
                <w:highlight w:val="none"/>
              </w:rPr>
            </w:pPr>
            <w:r>
              <w:rPr>
                <w:rFonts w:hint="eastAsia" w:ascii="宋体" w:hAnsi="宋体"/>
                <w:color w:val="auto"/>
                <w:highlight w:val="none"/>
              </w:rPr>
              <w:t>基本每股收益</w:t>
            </w:r>
          </w:p>
        </w:tc>
        <w:tc>
          <w:tcPr>
            <w:tcW w:w="357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highlight w:val="none"/>
              </w:rPr>
              <w:t>盈利：0.62 元/股</w:t>
            </w:r>
            <w:r>
              <w:rPr>
                <w:rFonts w:ascii="宋体" w:hAnsi="宋体"/>
                <w:color w:val="auto"/>
                <w:highlight w:val="none"/>
              </w:rPr>
              <w:t>–</w:t>
            </w:r>
            <w:r>
              <w:rPr>
                <w:rFonts w:hint="eastAsia" w:ascii="宋体" w:hAnsi="宋体"/>
                <w:color w:val="auto"/>
                <w:highlight w:val="none"/>
              </w:rPr>
              <w:t xml:space="preserve"> </w:t>
            </w:r>
            <w:r>
              <w:rPr>
                <w:rFonts w:ascii="宋体" w:hAnsi="宋体"/>
                <w:color w:val="auto"/>
                <w:highlight w:val="none"/>
              </w:rPr>
              <w:t>0.</w:t>
            </w:r>
            <w:r>
              <w:rPr>
                <w:rFonts w:hint="eastAsia" w:ascii="宋体" w:hAnsi="宋体"/>
                <w:color w:val="auto"/>
                <w:highlight w:val="none"/>
              </w:rPr>
              <w:t>74元/股</w:t>
            </w:r>
          </w:p>
        </w:tc>
        <w:tc>
          <w:tcPr>
            <w:tcW w:w="259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盈利：0.</w:t>
            </w:r>
            <w:r>
              <w:rPr>
                <w:rFonts w:hint="default" w:ascii="宋体" w:hAnsi="宋体"/>
                <w:color w:val="auto"/>
                <w:szCs w:val="21"/>
                <w:highlight w:val="none"/>
                <w:lang w:val="en-US"/>
              </w:rPr>
              <w:t>26</w:t>
            </w:r>
            <w:bookmarkStart w:id="0" w:name="_GoBack"/>
            <w:bookmarkEnd w:id="0"/>
            <w:r>
              <w:rPr>
                <w:rFonts w:hint="eastAsia" w:ascii="宋体" w:hAnsi="宋体"/>
                <w:color w:val="auto"/>
                <w:szCs w:val="21"/>
                <w:highlight w:val="none"/>
              </w:rPr>
              <w:t>元/股</w:t>
            </w:r>
          </w:p>
        </w:tc>
      </w:tr>
    </w:tbl>
    <w:p>
      <w:pPr>
        <w:autoSpaceDE w:val="0"/>
        <w:autoSpaceDN w:val="0"/>
        <w:adjustRightInd w:val="0"/>
        <w:spacing w:afterLines="50"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2、2022年第三季度业绩预计情况</w:t>
      </w:r>
    </w:p>
    <w:tbl>
      <w:tblPr>
        <w:tblStyle w:val="9"/>
        <w:tblW w:w="8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7"/>
        <w:gridCol w:w="3577"/>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宋体" w:hAnsi="宋体"/>
                <w:color w:val="auto"/>
                <w:szCs w:val="21"/>
                <w:highlight w:val="none"/>
              </w:rPr>
            </w:pPr>
            <w:r>
              <w:rPr>
                <w:rFonts w:hint="eastAsia" w:ascii="宋体" w:hAnsi="宋体"/>
                <w:color w:val="auto"/>
                <w:szCs w:val="21"/>
                <w:highlight w:val="none"/>
              </w:rPr>
              <w:t>项目</w:t>
            </w:r>
          </w:p>
        </w:tc>
        <w:tc>
          <w:tcPr>
            <w:tcW w:w="3577"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宋体" w:hAnsi="宋体"/>
                <w:color w:val="auto"/>
                <w:szCs w:val="21"/>
                <w:highlight w:val="none"/>
              </w:rPr>
            </w:pPr>
            <w:r>
              <w:rPr>
                <w:rFonts w:hint="eastAsia" w:ascii="宋体" w:hAnsi="宋体"/>
                <w:color w:val="auto"/>
                <w:szCs w:val="21"/>
                <w:highlight w:val="none"/>
              </w:rPr>
              <w:t>本报告期</w:t>
            </w:r>
          </w:p>
        </w:tc>
        <w:tc>
          <w:tcPr>
            <w:tcW w:w="2595"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宋体" w:hAnsi="宋体"/>
                <w:color w:val="auto"/>
                <w:szCs w:val="21"/>
                <w:highlight w:val="none"/>
              </w:rPr>
            </w:pPr>
            <w:r>
              <w:rPr>
                <w:rFonts w:hint="eastAsia" w:ascii="宋体" w:hAnsi="宋体"/>
                <w:color w:val="auto"/>
                <w:szCs w:val="21"/>
                <w:highlight w:val="none"/>
              </w:rPr>
              <w:t>上年同期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2327" w:type="dxa"/>
            <w:vMerge w:val="restart"/>
            <w:tcBorders>
              <w:top w:val="single" w:color="auto" w:sz="4" w:space="0"/>
              <w:left w:val="single" w:color="auto" w:sz="4" w:space="0"/>
              <w:right w:val="single" w:color="auto" w:sz="4" w:space="0"/>
            </w:tcBorders>
            <w:shd w:val="clear" w:color="auto" w:fill="E6E6E6"/>
            <w:vAlign w:val="center"/>
          </w:tcPr>
          <w:p>
            <w:pPr>
              <w:jc w:val="center"/>
              <w:rPr>
                <w:rFonts w:ascii="宋体" w:hAnsi="宋体"/>
                <w:color w:val="auto"/>
                <w:szCs w:val="21"/>
                <w:highlight w:val="none"/>
              </w:rPr>
            </w:pPr>
            <w:r>
              <w:rPr>
                <w:rFonts w:hint="eastAsia" w:ascii="宋体" w:hAnsi="宋体"/>
                <w:color w:val="auto"/>
                <w:szCs w:val="21"/>
                <w:highlight w:val="none"/>
              </w:rPr>
              <w:t>归属于上市公司股东的净利润</w:t>
            </w:r>
          </w:p>
        </w:tc>
        <w:tc>
          <w:tcPr>
            <w:tcW w:w="357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highlight w:val="none"/>
              </w:rPr>
              <w:t xml:space="preserve">盈利：3,500万元至 4,400万元 </w:t>
            </w:r>
          </w:p>
        </w:tc>
        <w:tc>
          <w:tcPr>
            <w:tcW w:w="2595" w:type="dxa"/>
            <w:vMerge w:val="restart"/>
            <w:tcBorders>
              <w:top w:val="single" w:color="auto" w:sz="4" w:space="0"/>
              <w:left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盈利：1,996.85万元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2327" w:type="dxa"/>
            <w:vMerge w:val="continue"/>
            <w:tcBorders>
              <w:left w:val="single" w:color="auto" w:sz="4" w:space="0"/>
              <w:bottom w:val="single" w:color="auto" w:sz="4" w:space="0"/>
              <w:right w:val="single" w:color="auto" w:sz="4" w:space="0"/>
            </w:tcBorders>
            <w:shd w:val="clear" w:color="auto" w:fill="E6E6E6"/>
            <w:vAlign w:val="center"/>
          </w:tcPr>
          <w:p>
            <w:pPr>
              <w:jc w:val="center"/>
              <w:rPr>
                <w:color w:val="auto"/>
                <w:highlight w:val="none"/>
              </w:rPr>
            </w:pPr>
          </w:p>
        </w:tc>
        <w:tc>
          <w:tcPr>
            <w:tcW w:w="357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highlight w:val="none"/>
              </w:rPr>
              <w:t>比上年同期增长：75.28% -12</w:t>
            </w:r>
            <w:r>
              <w:rPr>
                <w:rFonts w:ascii="宋体" w:hAnsi="宋体"/>
                <w:color w:val="auto"/>
                <w:highlight w:val="none"/>
              </w:rPr>
              <w:t>0</w:t>
            </w:r>
            <w:r>
              <w:rPr>
                <w:rFonts w:hint="eastAsia" w:ascii="宋体" w:hAnsi="宋体"/>
                <w:color w:val="auto"/>
                <w:highlight w:val="none"/>
              </w:rPr>
              <w:t xml:space="preserve">.35%  </w:t>
            </w:r>
          </w:p>
        </w:tc>
        <w:tc>
          <w:tcPr>
            <w:tcW w:w="2595" w:type="dxa"/>
            <w:vMerge w:val="continue"/>
            <w:tcBorders>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327" w:type="dxa"/>
            <w:vMerge w:val="restart"/>
            <w:tcBorders>
              <w:top w:val="single" w:color="auto" w:sz="4" w:space="0"/>
              <w:left w:val="single" w:color="auto" w:sz="4" w:space="0"/>
              <w:right w:val="single" w:color="auto" w:sz="4" w:space="0"/>
            </w:tcBorders>
            <w:shd w:val="clear" w:color="auto" w:fill="E6E6E6"/>
            <w:vAlign w:val="center"/>
          </w:tcPr>
          <w:p>
            <w:pPr>
              <w:jc w:val="center"/>
              <w:rPr>
                <w:rFonts w:ascii="宋体" w:hAnsi="宋体"/>
                <w:color w:val="auto"/>
                <w:szCs w:val="21"/>
                <w:highlight w:val="none"/>
              </w:rPr>
            </w:pPr>
            <w:r>
              <w:rPr>
                <w:rFonts w:hint="eastAsia" w:ascii="宋体" w:hAnsi="宋体"/>
                <w:color w:val="auto"/>
                <w:highlight w:val="none"/>
              </w:rPr>
              <w:t>扣除非经常性损益后的净利润</w:t>
            </w:r>
          </w:p>
        </w:tc>
        <w:tc>
          <w:tcPr>
            <w:tcW w:w="357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highlight w:val="none"/>
              </w:rPr>
              <w:t>盈利：4,200万元</w:t>
            </w:r>
            <w:r>
              <w:rPr>
                <w:rFonts w:ascii="宋体" w:hAnsi="宋体"/>
                <w:color w:val="auto"/>
                <w:highlight w:val="none"/>
              </w:rPr>
              <w:t>–</w:t>
            </w:r>
            <w:r>
              <w:rPr>
                <w:rFonts w:hint="eastAsia" w:ascii="宋体" w:hAnsi="宋体"/>
                <w:color w:val="auto"/>
                <w:highlight w:val="none"/>
              </w:rPr>
              <w:t xml:space="preserve">4,800万元 </w:t>
            </w:r>
          </w:p>
        </w:tc>
        <w:tc>
          <w:tcPr>
            <w:tcW w:w="2595" w:type="dxa"/>
            <w:vMerge w:val="restart"/>
            <w:tcBorders>
              <w:top w:val="single" w:color="auto" w:sz="4" w:space="0"/>
              <w:left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盈利：1,611.22万元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2327" w:type="dxa"/>
            <w:vMerge w:val="continue"/>
            <w:tcBorders>
              <w:left w:val="single" w:color="auto" w:sz="4" w:space="0"/>
              <w:bottom w:val="single" w:color="auto" w:sz="4" w:space="0"/>
              <w:right w:val="single" w:color="auto" w:sz="4" w:space="0"/>
            </w:tcBorders>
            <w:shd w:val="clear" w:color="auto" w:fill="E6E6E6"/>
            <w:vAlign w:val="center"/>
          </w:tcPr>
          <w:p>
            <w:pPr>
              <w:jc w:val="center"/>
              <w:rPr>
                <w:color w:val="auto"/>
                <w:highlight w:val="none"/>
              </w:rPr>
            </w:pPr>
          </w:p>
        </w:tc>
        <w:tc>
          <w:tcPr>
            <w:tcW w:w="357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highlight w:val="none"/>
              </w:rPr>
              <w:t>比上年同期增长：</w:t>
            </w:r>
            <w:r>
              <w:rPr>
                <w:rFonts w:ascii="宋体" w:hAnsi="宋体"/>
                <w:color w:val="auto"/>
                <w:highlight w:val="none"/>
              </w:rPr>
              <w:t>160.67</w:t>
            </w:r>
            <w:r>
              <w:rPr>
                <w:rFonts w:hint="eastAsia" w:ascii="宋体" w:hAnsi="宋体"/>
                <w:color w:val="auto"/>
                <w:highlight w:val="none"/>
              </w:rPr>
              <w:t>%-197.91%</w:t>
            </w:r>
          </w:p>
        </w:tc>
        <w:tc>
          <w:tcPr>
            <w:tcW w:w="2595" w:type="dxa"/>
            <w:vMerge w:val="continue"/>
            <w:tcBorders>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宋体" w:hAnsi="宋体"/>
                <w:color w:val="auto"/>
                <w:szCs w:val="21"/>
                <w:highlight w:val="none"/>
              </w:rPr>
            </w:pPr>
            <w:r>
              <w:rPr>
                <w:rFonts w:hint="eastAsia" w:ascii="宋体" w:hAnsi="宋体"/>
                <w:color w:val="auto"/>
                <w:highlight w:val="none"/>
              </w:rPr>
              <w:t>基本每股收益</w:t>
            </w:r>
          </w:p>
        </w:tc>
        <w:tc>
          <w:tcPr>
            <w:tcW w:w="357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highlight w:val="none"/>
              </w:rPr>
              <w:t>盈利：0.20元/股</w:t>
            </w:r>
            <w:r>
              <w:rPr>
                <w:rFonts w:ascii="宋体" w:hAnsi="宋体"/>
                <w:color w:val="auto"/>
                <w:highlight w:val="none"/>
              </w:rPr>
              <w:t>–</w:t>
            </w:r>
            <w:r>
              <w:rPr>
                <w:rFonts w:hint="eastAsia" w:ascii="宋体" w:hAnsi="宋体"/>
                <w:color w:val="auto"/>
                <w:highlight w:val="none"/>
              </w:rPr>
              <w:t>0.26元/股</w:t>
            </w:r>
          </w:p>
        </w:tc>
        <w:tc>
          <w:tcPr>
            <w:tcW w:w="259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盈利：0.</w:t>
            </w:r>
            <w:r>
              <w:rPr>
                <w:rFonts w:hint="default" w:ascii="宋体" w:hAnsi="宋体"/>
                <w:color w:val="auto"/>
                <w:szCs w:val="21"/>
                <w:highlight w:val="none"/>
                <w:lang w:val="en-US"/>
              </w:rPr>
              <w:t>12</w:t>
            </w:r>
            <w:r>
              <w:rPr>
                <w:rFonts w:hint="eastAsia" w:ascii="宋体" w:hAnsi="宋体"/>
                <w:color w:val="auto"/>
                <w:szCs w:val="21"/>
                <w:highlight w:val="none"/>
              </w:rPr>
              <w:t>元/股</w:t>
            </w:r>
          </w:p>
        </w:tc>
      </w:tr>
    </w:tbl>
    <w:p>
      <w:pPr>
        <w:jc w:val="left"/>
        <w:rPr>
          <w:rFonts w:ascii="宋体" w:hAnsi="宋体" w:cs="宋体"/>
          <w:b/>
          <w:color w:val="auto"/>
          <w:kern w:val="0"/>
          <w:sz w:val="24"/>
          <w:highlight w:val="none"/>
        </w:rPr>
      </w:pPr>
    </w:p>
    <w:p>
      <w:pPr>
        <w:pStyle w:val="16"/>
        <w:spacing w:after="240"/>
        <w:ind w:firstLine="465" w:firstLineChars="193"/>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二、与会计师事务所沟通情况</w:t>
      </w:r>
    </w:p>
    <w:p>
      <w:pPr>
        <w:autoSpaceDE w:val="0"/>
        <w:autoSpaceDN w:val="0"/>
        <w:adjustRightInd w:val="0"/>
        <w:spacing w:afterLines="50"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 xml:space="preserve"> 本次业绩预告相关数据是公司财务部门初步测算的结果，未经会计师事务所审计。 </w:t>
      </w:r>
    </w:p>
    <w:p>
      <w:pPr>
        <w:pStyle w:val="16"/>
        <w:spacing w:after="240"/>
        <w:ind w:firstLine="465" w:firstLineChars="193"/>
        <w:rPr>
          <w:rFonts w:hint="eastAsia" w:asciiTheme="minorEastAsia" w:hAnsiTheme="minorEastAsia" w:eastAsiaTheme="minorEastAsia"/>
          <w:b/>
          <w:color w:val="auto"/>
          <w:highlight w:val="none"/>
        </w:rPr>
      </w:pPr>
      <w:r>
        <w:rPr>
          <w:rFonts w:hint="eastAsia" w:asciiTheme="minorEastAsia" w:hAnsiTheme="minorEastAsia" w:eastAsiaTheme="minorEastAsia"/>
          <w:b/>
          <w:color w:val="auto"/>
          <w:highlight w:val="none"/>
          <w:lang w:eastAsia="zh-CN"/>
        </w:rPr>
        <w:t>三、</w:t>
      </w:r>
      <w:r>
        <w:rPr>
          <w:rFonts w:hint="eastAsia" w:asciiTheme="minorEastAsia" w:hAnsiTheme="minorEastAsia" w:eastAsiaTheme="minorEastAsia"/>
          <w:b/>
          <w:color w:val="auto"/>
          <w:highlight w:val="none"/>
        </w:rPr>
        <w:t>业绩变动原因说明</w:t>
      </w:r>
    </w:p>
    <w:p>
      <w:pPr>
        <w:autoSpaceDE w:val="0"/>
        <w:autoSpaceDN w:val="0"/>
        <w:adjustRightInd w:val="0"/>
        <w:spacing w:afterLines="50"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归属于上市公司股东的净利润</w:t>
      </w:r>
      <w:r>
        <w:rPr>
          <w:rFonts w:ascii="宋体" w:hAnsi="宋体" w:cs="宋体"/>
          <w:color w:val="auto"/>
          <w:kern w:val="0"/>
          <w:sz w:val="24"/>
          <w:highlight w:val="none"/>
        </w:rPr>
        <w:t>较上年同期增长的原因主要是转让</w:t>
      </w:r>
      <w:r>
        <w:rPr>
          <w:rFonts w:hint="eastAsia" w:ascii="宋体" w:hAnsi="宋体" w:cs="宋体"/>
          <w:color w:val="auto"/>
          <w:kern w:val="0"/>
          <w:sz w:val="24"/>
          <w:highlight w:val="none"/>
        </w:rPr>
        <w:t>全资子公司</w:t>
      </w:r>
      <w:r>
        <w:rPr>
          <w:rFonts w:ascii="宋体" w:hAnsi="宋体" w:cs="宋体"/>
          <w:color w:val="auto"/>
          <w:kern w:val="0"/>
          <w:sz w:val="24"/>
          <w:highlight w:val="none"/>
        </w:rPr>
        <w:t>股权事项导致。</w:t>
      </w:r>
      <w:r>
        <w:rPr>
          <w:rFonts w:hint="eastAsia" w:ascii="宋体" w:hAnsi="宋体" w:cs="宋体"/>
          <w:color w:val="auto"/>
          <w:kern w:val="0"/>
          <w:sz w:val="24"/>
          <w:highlight w:val="none"/>
        </w:rPr>
        <w:t>公司将全资子公司即聚机电有限公司股权全部转让后</w:t>
      </w:r>
      <w:r>
        <w:rPr>
          <w:rFonts w:ascii="宋体" w:hAnsi="宋体" w:cs="宋体"/>
          <w:color w:val="auto"/>
          <w:kern w:val="0"/>
          <w:sz w:val="24"/>
          <w:highlight w:val="none"/>
        </w:rPr>
        <w:t>确认非经常性损益约</w:t>
      </w:r>
      <w:r>
        <w:rPr>
          <w:rFonts w:hint="eastAsia" w:ascii="宋体" w:hAnsi="宋体" w:cs="宋体"/>
          <w:color w:val="auto"/>
          <w:kern w:val="0"/>
          <w:sz w:val="24"/>
          <w:highlight w:val="none"/>
        </w:rPr>
        <w:t>3,548万元</w:t>
      </w:r>
      <w:r>
        <w:rPr>
          <w:rFonts w:ascii="宋体" w:hAnsi="宋体" w:cs="宋体"/>
          <w:color w:val="auto"/>
          <w:kern w:val="0"/>
          <w:sz w:val="24"/>
          <w:highlight w:val="none"/>
        </w:rPr>
        <w:t>，</w:t>
      </w:r>
      <w:r>
        <w:rPr>
          <w:rFonts w:hint="eastAsia" w:ascii="宋体" w:hAnsi="宋体" w:cs="宋体"/>
          <w:color w:val="auto"/>
          <w:kern w:val="0"/>
          <w:sz w:val="24"/>
          <w:highlight w:val="none"/>
        </w:rPr>
        <w:t>致使归属于母公司股东的净利润大幅增长。</w:t>
      </w:r>
    </w:p>
    <w:p>
      <w:pPr>
        <w:autoSpaceDE w:val="0"/>
        <w:autoSpaceDN w:val="0"/>
        <w:adjustRightInd w:val="0"/>
        <w:spacing w:afterLines="50" w:line="360" w:lineRule="auto"/>
        <w:ind w:firstLine="480" w:firstLineChars="200"/>
        <w:rPr>
          <w:rFonts w:ascii="宋体" w:hAnsi="宋体" w:cs="宋体"/>
          <w:color w:val="auto"/>
          <w:kern w:val="0"/>
          <w:sz w:val="24"/>
          <w:highlight w:val="none"/>
        </w:rPr>
      </w:pPr>
      <w:r>
        <w:rPr>
          <w:rFonts w:ascii="宋体" w:hAnsi="宋体" w:cs="宋体"/>
          <w:color w:val="auto"/>
          <w:kern w:val="0"/>
          <w:sz w:val="24"/>
          <w:highlight w:val="none"/>
        </w:rPr>
        <w:t>扣除非经常性损益后的净利润较上年同期增长的原因主要是</w:t>
      </w:r>
      <w:r>
        <w:rPr>
          <w:rFonts w:hint="eastAsia" w:ascii="宋体" w:hAnsi="宋体" w:cs="宋体"/>
          <w:color w:val="auto"/>
          <w:kern w:val="0"/>
          <w:sz w:val="24"/>
          <w:highlight w:val="none"/>
        </w:rPr>
        <w:t>报告期内，随着新冠疫情的有效控制，公司签订订单量和销售发货量较上年同期呈大幅增长以及人民币兑美元汇率结算收益增加，公司落实外拓市场，内抓精益改善措施，促进了</w:t>
      </w:r>
      <w:r>
        <w:rPr>
          <w:rFonts w:ascii="宋体" w:hAnsi="宋体" w:cs="宋体"/>
          <w:color w:val="auto"/>
          <w:kern w:val="0"/>
          <w:sz w:val="24"/>
          <w:highlight w:val="none"/>
        </w:rPr>
        <w:t>规模效应逐渐凸显，公司盈利能力提升</w:t>
      </w:r>
      <w:r>
        <w:rPr>
          <w:rFonts w:hint="eastAsia" w:ascii="宋体" w:hAnsi="宋体" w:cs="宋体"/>
          <w:color w:val="auto"/>
          <w:kern w:val="0"/>
          <w:sz w:val="24"/>
          <w:highlight w:val="none"/>
        </w:rPr>
        <w:t>。</w:t>
      </w:r>
    </w:p>
    <w:p>
      <w:pPr>
        <w:pStyle w:val="16"/>
        <w:spacing w:after="240"/>
        <w:ind w:firstLine="465" w:firstLineChars="193"/>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lang w:eastAsia="zh-CN"/>
        </w:rPr>
        <w:t>四</w:t>
      </w:r>
      <w:r>
        <w:rPr>
          <w:rFonts w:hint="eastAsia" w:asciiTheme="minorEastAsia" w:hAnsiTheme="minorEastAsia" w:eastAsiaTheme="minorEastAsia"/>
          <w:b/>
          <w:color w:val="auto"/>
          <w:highlight w:val="none"/>
        </w:rPr>
        <w:t xml:space="preserve">、其他相关说明 </w:t>
      </w:r>
    </w:p>
    <w:p>
      <w:pPr>
        <w:autoSpaceDE w:val="0"/>
        <w:autoSpaceDN w:val="0"/>
        <w:adjustRightInd w:val="0"/>
        <w:spacing w:afterLines="50"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 xml:space="preserve">本次业绩预告是公司财务部门初步测算的数据，具体财务数据以公司披露的2022年前三季度报告为准。公司将严格依照相关法律法规的规定和要求，及时做好信息披露工作，敬请广大投资者谨慎决策，注意投资风险。 </w:t>
      </w:r>
    </w:p>
    <w:p>
      <w:pPr>
        <w:autoSpaceDE w:val="0"/>
        <w:autoSpaceDN w:val="0"/>
        <w:adjustRightInd w:val="0"/>
        <w:spacing w:afterLines="50"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特此公告。</w:t>
      </w:r>
    </w:p>
    <w:p>
      <w:pPr>
        <w:autoSpaceDE w:val="0"/>
        <w:autoSpaceDN w:val="0"/>
        <w:adjustRightInd w:val="0"/>
        <w:spacing w:afterLines="50" w:line="360" w:lineRule="auto"/>
        <w:ind w:firstLine="480" w:firstLineChars="200"/>
        <w:jc w:val="right"/>
        <w:rPr>
          <w:rFonts w:ascii="宋体" w:hAnsi="宋体" w:cs="宋体"/>
          <w:color w:val="auto"/>
          <w:kern w:val="0"/>
          <w:sz w:val="24"/>
          <w:highlight w:val="none"/>
        </w:rPr>
      </w:pPr>
      <w:r>
        <w:rPr>
          <w:rFonts w:hint="eastAsia" w:ascii="宋体" w:hAnsi="宋体" w:cs="宋体"/>
          <w:color w:val="auto"/>
          <w:kern w:val="0"/>
          <w:sz w:val="24"/>
          <w:highlight w:val="none"/>
        </w:rPr>
        <w:t xml:space="preserve">                                       青岛伟隆阀门股份有限公司</w:t>
      </w:r>
    </w:p>
    <w:p>
      <w:pPr>
        <w:wordWrap w:val="0"/>
        <w:autoSpaceDE w:val="0"/>
        <w:autoSpaceDN w:val="0"/>
        <w:adjustRightInd w:val="0"/>
        <w:spacing w:afterLines="50" w:line="360" w:lineRule="auto"/>
        <w:ind w:firstLine="480" w:firstLineChars="200"/>
        <w:jc w:val="right"/>
        <w:rPr>
          <w:rFonts w:ascii="宋体" w:hAnsi="宋体" w:cs="宋体"/>
          <w:color w:val="auto"/>
          <w:kern w:val="0"/>
          <w:sz w:val="24"/>
          <w:highlight w:val="none"/>
        </w:rPr>
      </w:pPr>
      <w:r>
        <w:rPr>
          <w:rFonts w:hint="eastAsia" w:ascii="宋体" w:hAnsi="宋体" w:cs="宋体"/>
          <w:color w:val="auto"/>
          <w:kern w:val="0"/>
          <w:sz w:val="24"/>
          <w:highlight w:val="none"/>
        </w:rPr>
        <w:t xml:space="preserve">董事会        </w:t>
      </w:r>
    </w:p>
    <w:p>
      <w:pPr>
        <w:wordWrap w:val="0"/>
        <w:autoSpaceDE w:val="0"/>
        <w:autoSpaceDN w:val="0"/>
        <w:adjustRightInd w:val="0"/>
        <w:spacing w:afterLines="50" w:line="360" w:lineRule="auto"/>
        <w:ind w:firstLine="480" w:firstLineChars="200"/>
        <w:jc w:val="right"/>
        <w:rPr>
          <w:rFonts w:ascii="宋体" w:hAnsi="宋体" w:cs="宋体"/>
          <w:color w:val="auto"/>
          <w:kern w:val="0"/>
          <w:sz w:val="24"/>
          <w:highlight w:val="none"/>
        </w:rPr>
      </w:pPr>
      <w:r>
        <w:rPr>
          <w:rFonts w:hint="eastAsia" w:ascii="宋体" w:hAnsi="宋体" w:cs="宋体"/>
          <w:color w:val="auto"/>
          <w:kern w:val="0"/>
          <w:sz w:val="24"/>
          <w:highlight w:val="none"/>
        </w:rPr>
        <w:t xml:space="preserve">2022年10月14日    </w:t>
      </w:r>
    </w:p>
    <w:p>
      <w:pPr>
        <w:pStyle w:val="4"/>
        <w:spacing w:line="500" w:lineRule="exact"/>
        <w:ind w:firstLine="420" w:firstLineChars="200"/>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4776BD"/>
    <w:multiLevelType w:val="singleLevel"/>
    <w:tmpl w:val="684776B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RiYWIwNzkzYTg0MzhhYmIxYTgwNmNhNDYxODQzNjMifQ=="/>
  </w:docVars>
  <w:rsids>
    <w:rsidRoot w:val="00172A27"/>
    <w:rsid w:val="000909FE"/>
    <w:rsid w:val="000F66B7"/>
    <w:rsid w:val="00166B05"/>
    <w:rsid w:val="00172A27"/>
    <w:rsid w:val="00416ADB"/>
    <w:rsid w:val="00481718"/>
    <w:rsid w:val="004D136C"/>
    <w:rsid w:val="005E39D9"/>
    <w:rsid w:val="00682337"/>
    <w:rsid w:val="006C799F"/>
    <w:rsid w:val="006F0C28"/>
    <w:rsid w:val="007026D4"/>
    <w:rsid w:val="0077088F"/>
    <w:rsid w:val="007D3D29"/>
    <w:rsid w:val="008C620F"/>
    <w:rsid w:val="00987B7F"/>
    <w:rsid w:val="00AB71F9"/>
    <w:rsid w:val="00B508E2"/>
    <w:rsid w:val="00B86359"/>
    <w:rsid w:val="00C94A05"/>
    <w:rsid w:val="00D44D58"/>
    <w:rsid w:val="00DA05E5"/>
    <w:rsid w:val="00F575B1"/>
    <w:rsid w:val="00F90914"/>
    <w:rsid w:val="00FF5EB0"/>
    <w:rsid w:val="02ED32E0"/>
    <w:rsid w:val="07EB34D6"/>
    <w:rsid w:val="0B7239CD"/>
    <w:rsid w:val="0D6E01AB"/>
    <w:rsid w:val="0EF145CD"/>
    <w:rsid w:val="0F1166AA"/>
    <w:rsid w:val="11F405E2"/>
    <w:rsid w:val="12206F99"/>
    <w:rsid w:val="133236CD"/>
    <w:rsid w:val="13B33A0F"/>
    <w:rsid w:val="150F1D75"/>
    <w:rsid w:val="156A62C2"/>
    <w:rsid w:val="159F0798"/>
    <w:rsid w:val="15F1119D"/>
    <w:rsid w:val="16386CE5"/>
    <w:rsid w:val="1664672F"/>
    <w:rsid w:val="1C784846"/>
    <w:rsid w:val="1E1E7445"/>
    <w:rsid w:val="29782BAB"/>
    <w:rsid w:val="29C56ABE"/>
    <w:rsid w:val="2D37701B"/>
    <w:rsid w:val="2DD80EDC"/>
    <w:rsid w:val="310048D1"/>
    <w:rsid w:val="310E12F4"/>
    <w:rsid w:val="32081273"/>
    <w:rsid w:val="34553650"/>
    <w:rsid w:val="3BAD6FBA"/>
    <w:rsid w:val="3E4A01BB"/>
    <w:rsid w:val="3EED2A1A"/>
    <w:rsid w:val="3F0A3A9C"/>
    <w:rsid w:val="46387F33"/>
    <w:rsid w:val="47582A5C"/>
    <w:rsid w:val="477C56EB"/>
    <w:rsid w:val="47EA2AEE"/>
    <w:rsid w:val="484C4C3C"/>
    <w:rsid w:val="48841525"/>
    <w:rsid w:val="495148BE"/>
    <w:rsid w:val="499649ED"/>
    <w:rsid w:val="4B2B6DA4"/>
    <w:rsid w:val="518B5A56"/>
    <w:rsid w:val="52641D3B"/>
    <w:rsid w:val="585F04CC"/>
    <w:rsid w:val="58F1221F"/>
    <w:rsid w:val="5C563555"/>
    <w:rsid w:val="5CE60318"/>
    <w:rsid w:val="5D9E071D"/>
    <w:rsid w:val="61574BE3"/>
    <w:rsid w:val="61DC243B"/>
    <w:rsid w:val="63BE035D"/>
    <w:rsid w:val="65714A58"/>
    <w:rsid w:val="65756A51"/>
    <w:rsid w:val="66173BED"/>
    <w:rsid w:val="680E64F1"/>
    <w:rsid w:val="6CEE0DB7"/>
    <w:rsid w:val="6D88799A"/>
    <w:rsid w:val="73FB22D2"/>
    <w:rsid w:val="762C3E58"/>
    <w:rsid w:val="77FA7033"/>
    <w:rsid w:val="7C794474"/>
    <w:rsid w:val="7E7B5C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link w:val="14"/>
    <w:qFormat/>
    <w:uiPriority w:val="0"/>
    <w:pPr>
      <w:keepNext/>
      <w:keepLines/>
      <w:spacing w:before="260" w:after="260" w:line="416" w:lineRule="auto"/>
      <w:outlineLvl w:val="2"/>
    </w:pPr>
    <w:rPr>
      <w:b/>
      <w:bCs/>
      <w:sz w:val="32"/>
      <w:szCs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semiHidden/>
    <w:unhideWhenUsed/>
    <w:qFormat/>
    <w:uiPriority w:val="99"/>
    <w:pPr>
      <w:jc w:val="left"/>
    </w:pPr>
  </w:style>
  <w:style w:type="paragraph" w:styleId="4">
    <w:name w:val="Body Text Indent 2"/>
    <w:basedOn w:val="1"/>
    <w:link w:val="15"/>
    <w:qFormat/>
    <w:uiPriority w:val="0"/>
    <w:pPr>
      <w:spacing w:after="120" w:line="480" w:lineRule="auto"/>
      <w:ind w:left="420" w:leftChars="200"/>
    </w:pPr>
  </w:style>
  <w:style w:type="paragraph" w:styleId="5">
    <w:name w:val="Balloon Text"/>
    <w:basedOn w:val="1"/>
    <w:link w:val="19"/>
    <w:semiHidden/>
    <w:unhideWhenUsed/>
    <w:uiPriority w:val="99"/>
    <w:rPr>
      <w:sz w:val="18"/>
      <w:szCs w:val="18"/>
    </w:rPr>
  </w:style>
  <w:style w:type="paragraph" w:styleId="6">
    <w:name w:val="footer"/>
    <w:basedOn w:val="1"/>
    <w:link w:val="13"/>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annotation subject"/>
    <w:basedOn w:val="3"/>
    <w:next w:val="3"/>
    <w:link w:val="18"/>
    <w:semiHidden/>
    <w:unhideWhenUsed/>
    <w:qFormat/>
    <w:uiPriority w:val="99"/>
    <w:rPr>
      <w:b/>
      <w:bCs/>
    </w:rPr>
  </w:style>
  <w:style w:type="character" w:styleId="11">
    <w:name w:val="annotation reference"/>
    <w:basedOn w:val="10"/>
    <w:semiHidden/>
    <w:unhideWhenUsed/>
    <w:qFormat/>
    <w:uiPriority w:val="99"/>
    <w:rPr>
      <w:sz w:val="21"/>
      <w:szCs w:val="21"/>
    </w:rPr>
  </w:style>
  <w:style w:type="character" w:customStyle="1" w:styleId="12">
    <w:name w:val="页眉 Char"/>
    <w:basedOn w:val="10"/>
    <w:link w:val="7"/>
    <w:semiHidden/>
    <w:qFormat/>
    <w:uiPriority w:val="99"/>
    <w:rPr>
      <w:sz w:val="18"/>
      <w:szCs w:val="18"/>
    </w:rPr>
  </w:style>
  <w:style w:type="character" w:customStyle="1" w:styleId="13">
    <w:name w:val="页脚 Char"/>
    <w:basedOn w:val="10"/>
    <w:link w:val="6"/>
    <w:semiHidden/>
    <w:qFormat/>
    <w:uiPriority w:val="99"/>
    <w:rPr>
      <w:sz w:val="18"/>
      <w:szCs w:val="18"/>
    </w:rPr>
  </w:style>
  <w:style w:type="character" w:customStyle="1" w:styleId="14">
    <w:name w:val="标题 3 Char"/>
    <w:basedOn w:val="10"/>
    <w:link w:val="2"/>
    <w:qFormat/>
    <w:uiPriority w:val="0"/>
    <w:rPr>
      <w:rFonts w:ascii="Times New Roman" w:hAnsi="Times New Roman" w:eastAsia="宋体" w:cs="Times New Roman"/>
      <w:b/>
      <w:bCs/>
      <w:sz w:val="32"/>
      <w:szCs w:val="32"/>
    </w:rPr>
  </w:style>
  <w:style w:type="character" w:customStyle="1" w:styleId="15">
    <w:name w:val="正文文本缩进 2 Char"/>
    <w:basedOn w:val="10"/>
    <w:link w:val="4"/>
    <w:qFormat/>
    <w:uiPriority w:val="0"/>
    <w:rPr>
      <w:rFonts w:ascii="Times New Roman" w:hAnsi="Times New Roman" w:eastAsia="宋体" w:cs="Times New Roman"/>
      <w:szCs w:val="20"/>
    </w:rPr>
  </w:style>
  <w:style w:type="paragraph" w:customStyle="1" w:styleId="16">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17">
    <w:name w:val="批注文字 Char"/>
    <w:basedOn w:val="10"/>
    <w:link w:val="3"/>
    <w:semiHidden/>
    <w:qFormat/>
    <w:uiPriority w:val="99"/>
    <w:rPr>
      <w:kern w:val="2"/>
      <w:sz w:val="21"/>
    </w:rPr>
  </w:style>
  <w:style w:type="character" w:customStyle="1" w:styleId="18">
    <w:name w:val="批注主题 Char"/>
    <w:basedOn w:val="17"/>
    <w:link w:val="8"/>
    <w:qFormat/>
    <w:uiPriority w:val="0"/>
  </w:style>
  <w:style w:type="character" w:customStyle="1" w:styleId="19">
    <w:name w:val="批注框文本 Char"/>
    <w:basedOn w:val="10"/>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810</Words>
  <Characters>984</Characters>
  <Lines>8</Lines>
  <Paragraphs>2</Paragraphs>
  <TotalTime>98</TotalTime>
  <ScaleCrop>false</ScaleCrop>
  <LinksUpToDate>false</LinksUpToDate>
  <CharactersWithSpaces>1089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2021-01-20T06:22:00Z</dcterms:created>
  <dc:creator>sdk007</dc:creator>
  <cp:lastModifiedBy>Mr.翔</cp:lastModifiedBy>
  <dcterms:modified xsi:type="dcterms:W3CDTF">2022-10-13T06:49:40Z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5CF8F2FFC46C4BD593A4C5B8F152E194</vt:lpwstr>
  </property>
</Properties>
</file>