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3103"/>
          <w:tab w:val="left" w:pos="6205"/>
        </w:tabs>
        <w:spacing w:before="21"/>
        <w:ind w:right="-48" w:rightChars="-22" w:firstLine="439" w:firstLineChars="183"/>
        <w:jc w:val="center"/>
        <w:rPr>
          <w:rFonts w:ascii="Times New Roman" w:eastAsiaTheme="minorEastAsia"/>
          <w:color w:val="auto"/>
          <w:spacing w:val="-2"/>
          <w:highlight w:val="yellow"/>
          <w:lang w:eastAsia="zh-CN"/>
        </w:rPr>
      </w:pPr>
      <w:r>
        <w:rPr>
          <w:rFonts w:hint="eastAsia" w:ascii="黑体" w:eastAsia="黑体"/>
          <w:color w:val="auto"/>
          <w:lang w:eastAsia="zh-CN"/>
        </w:rPr>
        <w:t>股票代码</w:t>
      </w:r>
      <w:r>
        <w:rPr>
          <w:rFonts w:hint="eastAsia" w:ascii="黑体" w:eastAsia="黑体"/>
          <w:color w:val="auto"/>
          <w:spacing w:val="-3"/>
          <w:lang w:eastAsia="zh-CN"/>
        </w:rPr>
        <w:t>：</w:t>
      </w:r>
      <w:r>
        <w:rPr>
          <w:rFonts w:hint="eastAsia" w:ascii="Times New Roman"/>
          <w:color w:val="auto"/>
          <w:spacing w:val="-3"/>
          <w:lang w:eastAsia="zh-CN"/>
        </w:rPr>
        <w:t>002871</w:t>
      </w:r>
      <w:r>
        <w:rPr>
          <w:rFonts w:ascii="Times New Roman" w:eastAsia="Times New Roman"/>
          <w:color w:val="auto"/>
          <w:spacing w:val="-3"/>
          <w:lang w:eastAsia="zh-CN"/>
        </w:rPr>
        <w:tab/>
      </w:r>
      <w:r>
        <w:rPr>
          <w:rFonts w:hint="eastAsia" w:ascii="黑体" w:eastAsia="黑体"/>
          <w:color w:val="auto"/>
          <w:lang w:eastAsia="zh-CN"/>
        </w:rPr>
        <w:t>股票简称</w:t>
      </w:r>
      <w:r>
        <w:rPr>
          <w:rFonts w:hint="eastAsia" w:ascii="黑体" w:eastAsia="黑体"/>
          <w:color w:val="auto"/>
          <w:spacing w:val="-18"/>
          <w:lang w:eastAsia="zh-CN"/>
        </w:rPr>
        <w:t>：伟隆股份</w:t>
      </w:r>
      <w:r>
        <w:rPr>
          <w:rFonts w:hint="eastAsia" w:ascii="黑体" w:eastAsia="黑体"/>
          <w:color w:val="auto"/>
          <w:lang w:eastAsia="zh-CN"/>
        </w:rPr>
        <w:tab/>
      </w:r>
      <w:r>
        <w:rPr>
          <w:rFonts w:hint="eastAsia" w:ascii="黑体" w:eastAsia="黑体"/>
          <w:color w:val="auto"/>
          <w:spacing w:val="-2"/>
          <w:lang w:eastAsia="zh-CN"/>
        </w:rPr>
        <w:t>公告编号：</w:t>
      </w:r>
      <w:r>
        <w:rPr>
          <w:rFonts w:ascii="Times New Roman" w:eastAsia="Times New Roman"/>
          <w:color w:val="auto"/>
          <w:spacing w:val="-2"/>
          <w:lang w:eastAsia="zh-CN"/>
        </w:rPr>
        <w:t>20</w:t>
      </w:r>
      <w:r>
        <w:rPr>
          <w:rFonts w:hint="eastAsia" w:ascii="Times New Roman" w:eastAsia="Times New Roman"/>
          <w:color w:val="auto"/>
          <w:spacing w:val="-2"/>
          <w:lang w:eastAsia="zh-CN"/>
        </w:rPr>
        <w:t>2</w:t>
      </w:r>
      <w:r>
        <w:rPr>
          <w:rFonts w:ascii="Times New Roman" w:eastAsia="Times New Roman"/>
          <w:color w:val="auto"/>
          <w:spacing w:val="-2"/>
          <w:lang w:eastAsia="zh-CN"/>
        </w:rPr>
        <w:t>2-</w:t>
      </w:r>
      <w:r>
        <w:rPr>
          <w:rFonts w:hint="eastAsia" w:ascii="Times New Roman" w:eastAsia="Times New Roman"/>
          <w:color w:val="auto"/>
          <w:spacing w:val="-2"/>
          <w:highlight w:val="none"/>
          <w:lang w:eastAsia="zh-CN"/>
        </w:rPr>
        <w:t>0</w:t>
      </w:r>
      <w:r>
        <w:rPr>
          <w:rFonts w:ascii="Times New Roman" w:eastAsia="Times New Roman"/>
          <w:color w:val="auto"/>
          <w:spacing w:val="-2"/>
          <w:highlight w:val="none"/>
          <w:lang w:eastAsia="zh-CN"/>
        </w:rPr>
        <w:t>7</w:t>
      </w:r>
      <w:r>
        <w:rPr>
          <w:rFonts w:hint="default" w:ascii="Times New Roman" w:eastAsiaTheme="minorEastAsia"/>
          <w:color w:val="auto"/>
          <w:spacing w:val="-2"/>
          <w:highlight w:val="none"/>
          <w:lang w:val="en-US" w:eastAsia="zh-CN"/>
        </w:rPr>
        <w:t>1</w:t>
      </w:r>
    </w:p>
    <w:p>
      <w:pPr>
        <w:pStyle w:val="4"/>
        <w:spacing w:before="0"/>
        <w:ind w:right="-48" w:rightChars="-22" w:firstLine="475" w:firstLineChars="183"/>
        <w:rPr>
          <w:rFonts w:ascii="Times New Roman"/>
          <w:color w:val="auto"/>
          <w:sz w:val="26"/>
          <w:lang w:eastAsia="zh-CN"/>
        </w:rPr>
      </w:pPr>
    </w:p>
    <w:p>
      <w:pPr>
        <w:pStyle w:val="4"/>
        <w:spacing w:before="0"/>
        <w:ind w:right="-48" w:rightChars="-22" w:firstLine="475" w:firstLineChars="183"/>
        <w:rPr>
          <w:rFonts w:ascii="Times New Roman"/>
          <w:color w:val="auto"/>
          <w:sz w:val="26"/>
          <w:lang w:eastAsia="zh-CN"/>
        </w:rPr>
      </w:pPr>
    </w:p>
    <w:p>
      <w:pPr>
        <w:spacing w:before="153"/>
        <w:ind w:right="-48" w:rightChars="-22" w:firstLine="514" w:firstLineChars="183"/>
        <w:jc w:val="center"/>
        <w:rPr>
          <w:b/>
          <w:color w:val="auto"/>
          <w:sz w:val="28"/>
          <w:szCs w:val="24"/>
          <w:lang w:eastAsia="zh-CN"/>
        </w:rPr>
      </w:pPr>
      <w:r>
        <w:rPr>
          <w:rFonts w:hint="eastAsia"/>
          <w:b/>
          <w:color w:val="auto"/>
          <w:sz w:val="28"/>
          <w:szCs w:val="24"/>
          <w:lang w:eastAsia="zh-CN"/>
        </w:rPr>
        <w:t>青岛伟隆阀门股份有限公司</w:t>
      </w:r>
    </w:p>
    <w:p>
      <w:pPr>
        <w:spacing w:before="153"/>
        <w:ind w:right="-48" w:rightChars="-22" w:firstLine="514" w:firstLineChars="183"/>
        <w:jc w:val="center"/>
        <w:rPr>
          <w:b/>
          <w:color w:val="auto"/>
          <w:sz w:val="28"/>
          <w:szCs w:val="24"/>
          <w:lang w:eastAsia="zh-CN"/>
        </w:rPr>
      </w:pPr>
      <w:r>
        <w:rPr>
          <w:b/>
          <w:color w:val="auto"/>
          <w:sz w:val="28"/>
          <w:szCs w:val="24"/>
          <w:lang w:eastAsia="zh-CN"/>
        </w:rPr>
        <w:t>关于</w:t>
      </w:r>
      <w:r>
        <w:rPr>
          <w:rFonts w:hint="eastAsia"/>
          <w:b/>
          <w:color w:val="auto"/>
          <w:sz w:val="28"/>
          <w:szCs w:val="24"/>
          <w:lang w:eastAsia="zh-CN"/>
        </w:rPr>
        <w:t>2021</w:t>
      </w:r>
      <w:r>
        <w:rPr>
          <w:b/>
          <w:color w:val="auto"/>
          <w:sz w:val="28"/>
          <w:szCs w:val="24"/>
          <w:lang w:eastAsia="zh-CN"/>
        </w:rPr>
        <w:t>年限制性股票激励计划</w:t>
      </w:r>
    </w:p>
    <w:p>
      <w:pPr>
        <w:spacing w:before="153"/>
        <w:ind w:right="-48" w:rightChars="-22" w:firstLine="514" w:firstLineChars="183"/>
        <w:jc w:val="center"/>
        <w:rPr>
          <w:b/>
          <w:color w:val="auto"/>
          <w:sz w:val="28"/>
          <w:szCs w:val="24"/>
          <w:lang w:eastAsia="zh-CN"/>
        </w:rPr>
      </w:pPr>
      <w:r>
        <w:rPr>
          <w:rFonts w:hint="eastAsia"/>
          <w:b/>
          <w:color w:val="auto"/>
          <w:sz w:val="28"/>
          <w:szCs w:val="24"/>
          <w:lang w:eastAsia="zh-CN"/>
        </w:rPr>
        <w:t>预留部分限制性股票</w:t>
      </w:r>
      <w:r>
        <w:rPr>
          <w:b/>
          <w:color w:val="auto"/>
          <w:sz w:val="28"/>
          <w:szCs w:val="24"/>
          <w:lang w:eastAsia="zh-CN"/>
        </w:rPr>
        <w:t>授予登记完成的公告</w:t>
      </w:r>
    </w:p>
    <w:tbl>
      <w:tblPr>
        <w:tblStyle w:val="10"/>
        <w:tblpPr w:leftFromText="180" w:rightFromText="180" w:vertAnchor="text" w:horzAnchor="page" w:tblpX="2066"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right="-48" w:rightChars="-22" w:firstLine="439" w:firstLineChars="183"/>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本公司及董事会全体成员保证公告内容的真实、准确和完整，没有虚假记载、误导性陈述或重大遗漏。</w:t>
            </w:r>
          </w:p>
        </w:tc>
      </w:tr>
    </w:tbl>
    <w:p>
      <w:pPr>
        <w:pStyle w:val="4"/>
        <w:spacing w:before="0"/>
        <w:ind w:right="-48" w:rightChars="-22" w:firstLine="478" w:firstLineChars="183"/>
        <w:rPr>
          <w:b/>
          <w:color w:val="auto"/>
          <w:sz w:val="26"/>
          <w:lang w:eastAsia="zh-CN"/>
        </w:rPr>
      </w:pPr>
    </w:p>
    <w:p>
      <w:pPr>
        <w:pStyle w:val="2"/>
        <w:tabs>
          <w:tab w:val="left" w:pos="1760"/>
        </w:tabs>
        <w:spacing w:before="190" w:afterLines="50"/>
        <w:ind w:left="0" w:firstLine="441" w:firstLineChars="183"/>
        <w:rPr>
          <w:color w:val="auto"/>
        </w:rPr>
      </w:pPr>
      <w:r>
        <w:rPr>
          <w:color w:val="auto"/>
        </w:rPr>
        <w:t>特别提示：</w:t>
      </w:r>
    </w:p>
    <w:p>
      <w:pPr>
        <w:pStyle w:val="4"/>
        <w:numPr>
          <w:ilvl w:val="0"/>
          <w:numId w:val="1"/>
        </w:numPr>
        <w:tabs>
          <w:tab w:val="left" w:pos="1760"/>
        </w:tabs>
        <w:spacing w:before="0" w:afterLines="50" w:line="350" w:lineRule="auto"/>
        <w:ind w:firstLine="417" w:firstLineChars="183"/>
        <w:jc w:val="both"/>
        <w:rPr>
          <w:color w:val="auto"/>
          <w:spacing w:val="-6"/>
        </w:rPr>
      </w:pPr>
      <w:r>
        <w:rPr>
          <w:color w:val="auto"/>
          <w:spacing w:val="-6"/>
        </w:rPr>
        <w:t>限制性股票授予日：</w:t>
      </w:r>
      <w:r>
        <w:rPr>
          <w:rFonts w:hint="eastAsia"/>
          <w:color w:val="auto"/>
          <w:spacing w:val="-6"/>
          <w:lang w:eastAsia="zh-CN"/>
        </w:rPr>
        <w:t>202</w:t>
      </w:r>
      <w:r>
        <w:rPr>
          <w:color w:val="auto"/>
          <w:spacing w:val="-6"/>
          <w:lang w:eastAsia="zh-CN"/>
        </w:rPr>
        <w:t>2</w:t>
      </w:r>
      <w:r>
        <w:rPr>
          <w:color w:val="auto"/>
          <w:spacing w:val="-6"/>
        </w:rPr>
        <w:t>年</w:t>
      </w:r>
      <w:r>
        <w:rPr>
          <w:color w:val="auto"/>
          <w:spacing w:val="-6"/>
          <w:lang w:eastAsia="zh-CN"/>
        </w:rPr>
        <w:t>09</w:t>
      </w:r>
      <w:r>
        <w:rPr>
          <w:color w:val="auto"/>
          <w:spacing w:val="-6"/>
        </w:rPr>
        <w:t>月</w:t>
      </w:r>
      <w:r>
        <w:rPr>
          <w:color w:val="auto"/>
          <w:spacing w:val="-6"/>
          <w:lang w:eastAsia="zh-CN"/>
        </w:rPr>
        <w:t>0</w:t>
      </w:r>
      <w:r>
        <w:rPr>
          <w:rFonts w:hint="eastAsia"/>
          <w:color w:val="auto"/>
          <w:spacing w:val="-6"/>
          <w:lang w:eastAsia="zh-CN"/>
        </w:rPr>
        <w:t>8</w:t>
      </w:r>
      <w:r>
        <w:rPr>
          <w:color w:val="auto"/>
          <w:spacing w:val="-6"/>
        </w:rPr>
        <w:t>日；</w:t>
      </w:r>
    </w:p>
    <w:p>
      <w:pPr>
        <w:pStyle w:val="4"/>
        <w:numPr>
          <w:ilvl w:val="0"/>
          <w:numId w:val="1"/>
        </w:numPr>
        <w:tabs>
          <w:tab w:val="left" w:pos="1760"/>
        </w:tabs>
        <w:spacing w:before="0" w:afterLines="50" w:line="350" w:lineRule="auto"/>
        <w:ind w:firstLine="417" w:firstLineChars="183"/>
        <w:jc w:val="both"/>
        <w:rPr>
          <w:color w:val="auto"/>
          <w:spacing w:val="-6"/>
          <w:lang w:eastAsia="zh-CN"/>
        </w:rPr>
      </w:pPr>
      <w:r>
        <w:rPr>
          <w:color w:val="auto"/>
          <w:spacing w:val="-6"/>
        </w:rPr>
        <w:t>授予价格：</w:t>
      </w:r>
      <w:r>
        <w:rPr>
          <w:rFonts w:hint="eastAsia" w:asciiTheme="minorEastAsia" w:hAnsiTheme="minorEastAsia"/>
          <w:color w:val="auto"/>
        </w:rPr>
        <w:t>4</w:t>
      </w:r>
      <w:r>
        <w:rPr>
          <w:rFonts w:asciiTheme="minorEastAsia" w:hAnsiTheme="minorEastAsia"/>
          <w:color w:val="auto"/>
        </w:rPr>
        <w:t>.</w:t>
      </w:r>
      <w:r>
        <w:rPr>
          <w:rFonts w:hint="eastAsia" w:asciiTheme="minorEastAsia" w:hAnsiTheme="minorEastAsia"/>
          <w:color w:val="auto"/>
        </w:rPr>
        <w:t>65</w:t>
      </w:r>
      <w:r>
        <w:rPr>
          <w:color w:val="auto"/>
          <w:spacing w:val="-6"/>
        </w:rPr>
        <w:t>元/股；</w:t>
      </w:r>
    </w:p>
    <w:p>
      <w:pPr>
        <w:pStyle w:val="4"/>
        <w:numPr>
          <w:ilvl w:val="0"/>
          <w:numId w:val="1"/>
        </w:numPr>
        <w:tabs>
          <w:tab w:val="left" w:pos="1760"/>
        </w:tabs>
        <w:spacing w:before="0" w:afterLines="50" w:line="350" w:lineRule="auto"/>
        <w:ind w:firstLine="417" w:firstLineChars="183"/>
        <w:jc w:val="both"/>
        <w:rPr>
          <w:color w:val="auto"/>
          <w:spacing w:val="-6"/>
          <w:lang w:eastAsia="zh-CN"/>
        </w:rPr>
      </w:pPr>
      <w:r>
        <w:rPr>
          <w:color w:val="auto"/>
          <w:spacing w:val="-6"/>
          <w:lang w:eastAsia="zh-CN"/>
        </w:rPr>
        <w:t>股票来源：</w:t>
      </w:r>
      <w:r>
        <w:rPr>
          <w:rFonts w:hint="eastAsia" w:asciiTheme="minorEastAsia" w:hAnsiTheme="minorEastAsia"/>
          <w:color w:val="auto"/>
          <w:lang w:eastAsia="zh-CN"/>
        </w:rPr>
        <w:t>公司自二级市场回购的公司</w:t>
      </w:r>
      <w:r>
        <w:rPr>
          <w:rFonts w:asciiTheme="minorEastAsia" w:hAnsiTheme="minorEastAsia"/>
          <w:color w:val="auto"/>
          <w:lang w:eastAsia="zh-CN"/>
        </w:rPr>
        <w:t>A</w:t>
      </w:r>
      <w:r>
        <w:rPr>
          <w:rFonts w:hint="eastAsia" w:asciiTheme="minorEastAsia" w:hAnsiTheme="minorEastAsia"/>
          <w:color w:val="auto"/>
          <w:lang w:eastAsia="zh-CN"/>
        </w:rPr>
        <w:t>股普通股股票</w:t>
      </w:r>
      <w:r>
        <w:rPr>
          <w:color w:val="auto"/>
          <w:spacing w:val="-6"/>
          <w:lang w:eastAsia="zh-CN"/>
        </w:rPr>
        <w:t>；</w:t>
      </w:r>
    </w:p>
    <w:p>
      <w:pPr>
        <w:pStyle w:val="4"/>
        <w:numPr>
          <w:ilvl w:val="0"/>
          <w:numId w:val="1"/>
        </w:numPr>
        <w:tabs>
          <w:tab w:val="left" w:pos="1760"/>
        </w:tabs>
        <w:spacing w:before="0" w:afterLines="50" w:line="350" w:lineRule="auto"/>
        <w:ind w:firstLine="417" w:firstLineChars="183"/>
        <w:jc w:val="both"/>
        <w:rPr>
          <w:color w:val="auto"/>
          <w:spacing w:val="-6"/>
          <w:lang w:eastAsia="zh-CN"/>
        </w:rPr>
      </w:pPr>
      <w:r>
        <w:rPr>
          <w:color w:val="auto"/>
          <w:spacing w:val="-6"/>
          <w:lang w:eastAsia="zh-CN"/>
        </w:rPr>
        <w:t>授予对象及授予数量：本次限制性股票激励计划授予对象共27名，授予数量为</w:t>
      </w:r>
      <w:r>
        <w:rPr>
          <w:rFonts w:asciiTheme="minorEastAsia" w:hAnsiTheme="minorEastAsia"/>
          <w:color w:val="auto"/>
          <w:lang w:eastAsia="zh-CN"/>
        </w:rPr>
        <w:t>42.7626</w:t>
      </w:r>
      <w:r>
        <w:rPr>
          <w:color w:val="auto"/>
          <w:spacing w:val="-6"/>
          <w:lang w:eastAsia="zh-CN"/>
        </w:rPr>
        <w:t>万股</w:t>
      </w:r>
      <w:r>
        <w:rPr>
          <w:rFonts w:hint="eastAsia"/>
          <w:color w:val="auto"/>
          <w:spacing w:val="-6"/>
          <w:lang w:eastAsia="zh-CN"/>
        </w:rPr>
        <w:t>；</w:t>
      </w:r>
    </w:p>
    <w:p>
      <w:pPr>
        <w:pStyle w:val="4"/>
        <w:numPr>
          <w:ilvl w:val="0"/>
          <w:numId w:val="1"/>
        </w:numPr>
        <w:tabs>
          <w:tab w:val="left" w:pos="1760"/>
        </w:tabs>
        <w:spacing w:before="0" w:afterLines="50" w:line="350" w:lineRule="auto"/>
        <w:ind w:firstLine="417" w:firstLineChars="183"/>
        <w:jc w:val="both"/>
        <w:rPr>
          <w:color w:val="auto"/>
          <w:spacing w:val="-6"/>
          <w:lang w:eastAsia="zh-CN"/>
        </w:rPr>
      </w:pPr>
      <w:r>
        <w:rPr>
          <w:color w:val="auto"/>
          <w:spacing w:val="-6"/>
        </w:rPr>
        <w:t>限制性股票上市日：</w:t>
      </w:r>
      <w:r>
        <w:rPr>
          <w:rFonts w:hint="eastAsia"/>
          <w:color w:val="auto"/>
          <w:spacing w:val="-6"/>
          <w:lang w:eastAsia="zh-CN"/>
        </w:rPr>
        <w:t>202</w:t>
      </w:r>
      <w:r>
        <w:rPr>
          <w:color w:val="auto"/>
          <w:spacing w:val="-6"/>
          <w:lang w:eastAsia="zh-CN"/>
        </w:rPr>
        <w:t>2</w:t>
      </w:r>
      <w:r>
        <w:rPr>
          <w:color w:val="auto"/>
          <w:spacing w:val="-6"/>
        </w:rPr>
        <w:t>年</w:t>
      </w:r>
      <w:r>
        <w:rPr>
          <w:color w:val="auto"/>
          <w:spacing w:val="-6"/>
          <w:lang w:val="en-US" w:eastAsia="zh-CN"/>
        </w:rPr>
        <w:t>09月22日</w:t>
      </w:r>
      <w:r>
        <w:rPr>
          <w:rFonts w:hint="eastAsia"/>
          <w:color w:val="auto"/>
          <w:spacing w:val="-6"/>
          <w:lang w:eastAsia="zh-CN"/>
        </w:rPr>
        <w:t>；</w:t>
      </w:r>
    </w:p>
    <w:p>
      <w:pPr>
        <w:pStyle w:val="4"/>
        <w:numPr>
          <w:ilvl w:val="0"/>
          <w:numId w:val="1"/>
        </w:numPr>
        <w:tabs>
          <w:tab w:val="left" w:pos="1760"/>
        </w:tabs>
        <w:spacing w:before="0" w:afterLines="50" w:line="350" w:lineRule="auto"/>
        <w:ind w:firstLine="417" w:firstLineChars="183"/>
        <w:jc w:val="both"/>
        <w:rPr>
          <w:color w:val="auto"/>
          <w:spacing w:val="-6"/>
          <w:lang w:eastAsia="zh-CN"/>
        </w:rPr>
      </w:pPr>
      <w:r>
        <w:rPr>
          <w:rFonts w:hint="eastAsia"/>
          <w:color w:val="auto"/>
          <w:spacing w:val="-6"/>
          <w:lang w:eastAsia="zh-CN"/>
        </w:rPr>
        <w:t>预留部分限制性股票</w:t>
      </w:r>
      <w:r>
        <w:rPr>
          <w:color w:val="auto"/>
          <w:spacing w:val="-6"/>
          <w:lang w:eastAsia="zh-CN"/>
        </w:rPr>
        <w:t>授予登记完成数量：</w:t>
      </w:r>
      <w:r>
        <w:rPr>
          <w:rFonts w:asciiTheme="minorEastAsia" w:hAnsiTheme="minorEastAsia"/>
          <w:color w:val="auto"/>
          <w:lang w:eastAsia="zh-CN"/>
        </w:rPr>
        <w:t>42.7626</w:t>
      </w:r>
      <w:r>
        <w:rPr>
          <w:color w:val="auto"/>
          <w:spacing w:val="-6"/>
          <w:lang w:eastAsia="zh-CN"/>
        </w:rPr>
        <w:t>万股，占授予前公司总股本的</w:t>
      </w:r>
      <w:r>
        <w:rPr>
          <w:rFonts w:hint="eastAsia"/>
          <w:color w:val="auto"/>
          <w:szCs w:val="21"/>
          <w:lang w:eastAsia="zh-CN"/>
        </w:rPr>
        <w:t>0.25</w:t>
      </w:r>
      <w:r>
        <w:rPr>
          <w:color w:val="auto"/>
          <w:spacing w:val="-6"/>
          <w:lang w:eastAsia="zh-CN"/>
        </w:rPr>
        <w:t>%</w:t>
      </w:r>
      <w:r>
        <w:rPr>
          <w:rFonts w:hint="eastAsia"/>
          <w:color w:val="auto"/>
          <w:spacing w:val="-6"/>
          <w:lang w:eastAsia="zh-CN"/>
        </w:rPr>
        <w:t>。</w:t>
      </w:r>
    </w:p>
    <w:p>
      <w:pPr>
        <w:pStyle w:val="4"/>
        <w:tabs>
          <w:tab w:val="left" w:pos="1760"/>
        </w:tabs>
        <w:spacing w:before="0" w:afterLines="50" w:line="350" w:lineRule="auto"/>
        <w:ind w:firstLine="417" w:firstLineChars="183"/>
        <w:jc w:val="both"/>
        <w:rPr>
          <w:color w:val="auto"/>
          <w:lang w:eastAsia="zh-CN"/>
        </w:rPr>
      </w:pPr>
      <w:r>
        <w:rPr>
          <w:color w:val="auto"/>
          <w:spacing w:val="-6"/>
          <w:lang w:eastAsia="zh-CN"/>
        </w:rPr>
        <w:t>根据中国证监会《上市公司股权激励管理办法》、深圳证券交易所、中国证</w:t>
      </w:r>
      <w:r>
        <w:rPr>
          <w:color w:val="auto"/>
          <w:spacing w:val="-11"/>
          <w:lang w:eastAsia="zh-CN"/>
        </w:rPr>
        <w:t>券登记结算有限责任公司深圳分公司有关规则及《</w:t>
      </w:r>
      <w:r>
        <w:rPr>
          <w:rFonts w:hint="eastAsia" w:asciiTheme="minorEastAsia" w:hAnsiTheme="minorEastAsia"/>
          <w:color w:val="auto"/>
          <w:lang w:eastAsia="zh-CN"/>
        </w:rPr>
        <w:t>青岛伟隆阀门股份有限公司2021年限制性股票激励计划（草案）</w:t>
      </w:r>
      <w:r>
        <w:rPr>
          <w:color w:val="auto"/>
          <w:spacing w:val="-120"/>
          <w:lang w:eastAsia="zh-CN"/>
        </w:rPr>
        <w:t>》</w:t>
      </w:r>
      <w:r>
        <w:rPr>
          <w:color w:val="auto"/>
          <w:lang w:eastAsia="zh-CN"/>
        </w:rPr>
        <w:t>的规定，</w:t>
      </w:r>
      <w:r>
        <w:rPr>
          <w:rFonts w:hint="eastAsia"/>
          <w:color w:val="auto"/>
          <w:lang w:eastAsia="zh-CN"/>
        </w:rPr>
        <w:t>青岛伟隆阀门股份有限公司</w:t>
      </w:r>
      <w:r>
        <w:rPr>
          <w:color w:val="auto"/>
          <w:lang w:eastAsia="zh-CN"/>
        </w:rPr>
        <w:t>（</w:t>
      </w:r>
      <w:r>
        <w:rPr>
          <w:color w:val="auto"/>
          <w:spacing w:val="1"/>
          <w:lang w:eastAsia="zh-CN"/>
        </w:rPr>
        <w:t>以下简称</w:t>
      </w:r>
      <w:r>
        <w:rPr>
          <w:rFonts w:ascii="Times New Roman" w:hAnsi="Times New Roman" w:eastAsia="Times New Roman"/>
          <w:color w:val="auto"/>
          <w:lang w:eastAsia="zh-CN"/>
        </w:rPr>
        <w:t>“</w:t>
      </w:r>
      <w:r>
        <w:rPr>
          <w:color w:val="auto"/>
          <w:lang w:eastAsia="zh-CN"/>
        </w:rPr>
        <w:t>公司</w:t>
      </w:r>
      <w:r>
        <w:rPr>
          <w:rFonts w:ascii="Times New Roman" w:hAnsi="Times New Roman" w:eastAsia="Times New Roman"/>
          <w:color w:val="auto"/>
          <w:lang w:eastAsia="zh-CN"/>
        </w:rPr>
        <w:t>”</w:t>
      </w:r>
      <w:r>
        <w:rPr>
          <w:color w:val="auto"/>
          <w:lang w:eastAsia="zh-CN"/>
        </w:rPr>
        <w:t>）</w:t>
      </w:r>
      <w:r>
        <w:rPr>
          <w:rFonts w:hint="eastAsia"/>
          <w:color w:val="auto"/>
          <w:lang w:eastAsia="zh-CN"/>
        </w:rPr>
        <w:t>董事会已经</w:t>
      </w:r>
      <w:r>
        <w:rPr>
          <w:color w:val="auto"/>
          <w:lang w:eastAsia="zh-CN"/>
        </w:rPr>
        <w:t>完成了</w:t>
      </w:r>
      <w:r>
        <w:rPr>
          <w:rFonts w:hint="eastAsia" w:ascii="Times New Roman" w:hAnsi="Times New Roman" w:eastAsia="Times New Roman"/>
          <w:color w:val="auto"/>
          <w:lang w:eastAsia="zh-CN"/>
        </w:rPr>
        <w:t>2021</w:t>
      </w:r>
      <w:r>
        <w:rPr>
          <w:color w:val="auto"/>
          <w:lang w:eastAsia="zh-CN"/>
        </w:rPr>
        <w:t>年限制性股票激励计划</w:t>
      </w:r>
      <w:r>
        <w:rPr>
          <w:rFonts w:hint="eastAsia"/>
          <w:color w:val="auto"/>
          <w:spacing w:val="-6"/>
          <w:lang w:eastAsia="zh-CN"/>
        </w:rPr>
        <w:t>预留部分限制性股票</w:t>
      </w:r>
      <w:r>
        <w:rPr>
          <w:color w:val="auto"/>
          <w:lang w:eastAsia="zh-CN"/>
        </w:rPr>
        <w:t>授予登记工作，</w:t>
      </w:r>
      <w:r>
        <w:rPr>
          <w:rFonts w:hint="eastAsia"/>
          <w:color w:val="auto"/>
          <w:lang w:eastAsia="zh-CN"/>
        </w:rPr>
        <w:t>公司</w:t>
      </w:r>
      <w:r>
        <w:rPr>
          <w:rFonts w:hint="eastAsia"/>
          <w:color w:val="auto"/>
          <w:spacing w:val="-4"/>
          <w:lang w:eastAsia="zh-CN"/>
        </w:rPr>
        <w:t>本次限制性股票激励计划</w:t>
      </w:r>
      <w:r>
        <w:rPr>
          <w:color w:val="auto"/>
          <w:spacing w:val="-4"/>
          <w:lang w:eastAsia="zh-CN"/>
        </w:rPr>
        <w:t>已实施完毕。</w:t>
      </w:r>
      <w:r>
        <w:rPr>
          <w:rFonts w:hint="eastAsia"/>
          <w:color w:val="auto"/>
          <w:lang w:eastAsia="zh-CN"/>
        </w:rPr>
        <w:t>现将相关事项</w:t>
      </w:r>
      <w:r>
        <w:rPr>
          <w:color w:val="auto"/>
          <w:lang w:eastAsia="zh-CN"/>
        </w:rPr>
        <w:t>公告如下：</w:t>
      </w:r>
    </w:p>
    <w:p>
      <w:pPr>
        <w:pStyle w:val="2"/>
        <w:spacing w:afterLines="50"/>
        <w:ind w:left="0" w:firstLine="419" w:firstLineChars="183"/>
        <w:rPr>
          <w:color w:val="auto"/>
          <w:w w:val="95"/>
          <w:lang w:eastAsia="zh-CN"/>
        </w:rPr>
      </w:pPr>
      <w:bookmarkStart w:id="0" w:name="一、已履行的相关审批程序"/>
      <w:bookmarkEnd w:id="0"/>
      <w:r>
        <w:rPr>
          <w:rFonts w:hint="eastAsia"/>
          <w:color w:val="auto"/>
          <w:w w:val="95"/>
          <w:lang w:eastAsia="zh-CN"/>
        </w:rPr>
        <w:t>一、已履行的相关审批程序</w:t>
      </w:r>
    </w:p>
    <w:p>
      <w:pPr>
        <w:spacing w:beforeLines="50" w:afterLines="50" w:line="360" w:lineRule="auto"/>
        <w:ind w:firstLine="480" w:firstLineChars="200"/>
        <w:rPr>
          <w:rFonts w:asciiTheme="minorEastAsia" w:hAnsiTheme="minorEastAsia"/>
          <w:color w:val="auto"/>
          <w:sz w:val="24"/>
          <w:szCs w:val="24"/>
          <w:lang w:eastAsia="zh-CN"/>
        </w:rPr>
      </w:pPr>
      <w:bookmarkStart w:id="1" w:name="二、本次授予的具体情况"/>
      <w:bookmarkEnd w:id="1"/>
      <w:r>
        <w:rPr>
          <w:rFonts w:hint="eastAsia" w:asciiTheme="minorEastAsia" w:hAnsiTheme="minorEastAsia"/>
          <w:color w:val="auto"/>
          <w:sz w:val="24"/>
          <w:szCs w:val="24"/>
          <w:lang w:eastAsia="zh-CN"/>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4、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w:t>
      </w:r>
      <w:r>
        <w:rPr>
          <w:rFonts w:asciiTheme="minorEastAsia" w:hAnsiTheme="minorEastAsia"/>
          <w:color w:val="auto"/>
          <w:sz w:val="24"/>
          <w:szCs w:val="24"/>
          <w:lang w:eastAsia="zh-CN"/>
        </w:rPr>
        <w:t>2</w:t>
      </w:r>
      <w:r>
        <w:rPr>
          <w:rFonts w:hint="eastAsia" w:asciiTheme="minorEastAsia" w:hAnsiTheme="minorEastAsia"/>
          <w:color w:val="auto"/>
          <w:sz w:val="24"/>
          <w:szCs w:val="24"/>
          <w:lang w:eastAsia="zh-CN"/>
        </w:rPr>
        <w:t>万股限制性股票。公司独立董事对此发表了独立意见。</w:t>
      </w:r>
    </w:p>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5、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w:t>
      </w:r>
      <w:r>
        <w:rPr>
          <w:rFonts w:asciiTheme="minorEastAsia" w:hAnsiTheme="minorEastAsia"/>
          <w:color w:val="auto"/>
          <w:sz w:val="24"/>
          <w:szCs w:val="24"/>
          <w:lang w:eastAsia="zh-CN"/>
        </w:rPr>
        <w:t>2</w:t>
      </w:r>
      <w:r>
        <w:rPr>
          <w:rFonts w:hint="eastAsia" w:asciiTheme="minorEastAsia" w:hAnsiTheme="minorEastAsia"/>
          <w:color w:val="auto"/>
          <w:sz w:val="24"/>
          <w:szCs w:val="24"/>
          <w:lang w:eastAsia="zh-CN"/>
        </w:rPr>
        <w:t>万股限制性股票，授予价格为5.00元/股。</w:t>
      </w:r>
    </w:p>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6、2022 年09月08日，公司召开第四届董事会第十四次会议，审议通过了《关于调整 2021年限制性股票激励计划预留部分授予价格的议案》《关于向2021年限制性股票激励计划激励对象授予预留部分限制性股票的议案》，同意公司2021年限制性股票激励计划预留部分限制性股票授予价格由5.00元/股调整为4.65元/股。董事会认为激励计划规定的预留部分授予条件已经成就，同意以202</w:t>
      </w:r>
      <w:r>
        <w:rPr>
          <w:rFonts w:asciiTheme="minorEastAsia" w:hAnsiTheme="minorEastAsia"/>
          <w:color w:val="auto"/>
          <w:sz w:val="24"/>
          <w:szCs w:val="24"/>
          <w:lang w:eastAsia="zh-CN"/>
        </w:rPr>
        <w:t>2</w:t>
      </w:r>
      <w:r>
        <w:rPr>
          <w:rFonts w:hint="eastAsia" w:asciiTheme="minorEastAsia" w:hAnsiTheme="minorEastAsia"/>
          <w:color w:val="auto"/>
          <w:sz w:val="24"/>
          <w:szCs w:val="24"/>
          <w:lang w:eastAsia="zh-CN"/>
        </w:rPr>
        <w:t>年09月08日为授予日，向符合条件的27名激励对象授予</w:t>
      </w:r>
      <w:r>
        <w:rPr>
          <w:rFonts w:asciiTheme="minorEastAsia" w:hAnsiTheme="minorEastAsia"/>
          <w:color w:val="auto"/>
          <w:sz w:val="24"/>
          <w:szCs w:val="24"/>
          <w:lang w:eastAsia="zh-CN"/>
        </w:rPr>
        <w:t>42.7626</w:t>
      </w:r>
      <w:r>
        <w:rPr>
          <w:rFonts w:hint="eastAsia" w:asciiTheme="minorEastAsia" w:hAnsiTheme="minorEastAsia"/>
          <w:color w:val="auto"/>
          <w:sz w:val="24"/>
          <w:szCs w:val="24"/>
          <w:lang w:eastAsia="zh-CN"/>
        </w:rPr>
        <w:t>万股限制性股票。公司独立董事对此发表了独立意见。</w:t>
      </w:r>
    </w:p>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7、2022 年09月08日，公司召开第四届监事会第十二次会议，审议通过了《关于调整 2021年限制性股票激励计划预留部分授予价格的议案》《关于向2021年限制性股票激励计划激励对象授予预留部分限制性股票的议案》，并出具《青岛伟隆阀门股份有限公司监事会关于2021年限制性股票激励计划预留部分授予激励对象名单的核查意见》，监事会认为激励计划规定的预留部分授予条件已经成就，同意以2022年09月08日为授予日，向符合条件的27名激励对象授予42.7626万股限制性股票，授予价格为4.</w:t>
      </w:r>
      <w:r>
        <w:rPr>
          <w:rFonts w:asciiTheme="minorEastAsia" w:hAnsiTheme="minorEastAsia"/>
          <w:color w:val="auto"/>
          <w:sz w:val="24"/>
          <w:szCs w:val="24"/>
          <w:lang w:eastAsia="zh-CN"/>
        </w:rPr>
        <w:t>65</w:t>
      </w:r>
      <w:r>
        <w:rPr>
          <w:rFonts w:hint="eastAsia" w:asciiTheme="minorEastAsia" w:hAnsiTheme="minorEastAsia"/>
          <w:color w:val="auto"/>
          <w:sz w:val="24"/>
          <w:szCs w:val="24"/>
          <w:lang w:eastAsia="zh-CN"/>
        </w:rPr>
        <w:t>元/股。</w:t>
      </w:r>
    </w:p>
    <w:p>
      <w:pPr>
        <w:pStyle w:val="2"/>
        <w:spacing w:afterLines="50"/>
        <w:ind w:left="0" w:firstLine="419" w:firstLineChars="183"/>
        <w:rPr>
          <w:color w:val="auto"/>
          <w:w w:val="95"/>
          <w:lang w:eastAsia="zh-CN"/>
        </w:rPr>
      </w:pPr>
      <w:r>
        <w:rPr>
          <w:rFonts w:hint="eastAsia"/>
          <w:color w:val="auto"/>
          <w:w w:val="95"/>
          <w:lang w:eastAsia="zh-CN"/>
        </w:rPr>
        <w:t>二、本次授予的具体情况</w:t>
      </w:r>
    </w:p>
    <w:p>
      <w:pPr>
        <w:pStyle w:val="4"/>
        <w:tabs>
          <w:tab w:val="left" w:pos="0"/>
        </w:tabs>
        <w:spacing w:before="153" w:afterLines="50"/>
        <w:ind w:firstLine="439" w:firstLineChars="183"/>
        <w:rPr>
          <w:rFonts w:asciiTheme="minorEastAsia" w:hAnsiTheme="minorEastAsia" w:eastAsiaTheme="minorEastAsia"/>
          <w:color w:val="auto"/>
          <w:lang w:eastAsia="zh-CN"/>
        </w:rPr>
      </w:pPr>
      <w:r>
        <w:rPr>
          <w:rFonts w:hint="eastAsia" w:asciiTheme="minorEastAsia" w:hAnsiTheme="minorEastAsia" w:eastAsiaTheme="minorEastAsia"/>
          <w:color w:val="auto"/>
          <w:lang w:eastAsia="zh-CN"/>
        </w:rPr>
        <w:t>1</w:t>
      </w:r>
      <w:r>
        <w:rPr>
          <w:rFonts w:asciiTheme="minorEastAsia" w:hAnsiTheme="minorEastAsia" w:eastAsiaTheme="minorEastAsia"/>
          <w:color w:val="auto"/>
          <w:lang w:eastAsia="zh-CN"/>
        </w:rPr>
        <w:t>、授予日：</w:t>
      </w:r>
      <w:r>
        <w:rPr>
          <w:rFonts w:hint="eastAsia" w:asciiTheme="minorEastAsia" w:hAnsiTheme="minorEastAsia" w:eastAsiaTheme="minorEastAsia"/>
          <w:color w:val="auto"/>
          <w:lang w:eastAsia="zh-CN"/>
        </w:rPr>
        <w:t>202</w:t>
      </w:r>
      <w:r>
        <w:rPr>
          <w:rFonts w:asciiTheme="minorEastAsia" w:hAnsiTheme="minorEastAsia" w:eastAsiaTheme="minorEastAsia"/>
          <w:color w:val="auto"/>
          <w:lang w:eastAsia="zh-CN"/>
        </w:rPr>
        <w:t>2年09月0</w:t>
      </w:r>
      <w:r>
        <w:rPr>
          <w:rFonts w:hint="eastAsia" w:asciiTheme="minorEastAsia" w:hAnsiTheme="minorEastAsia" w:eastAsiaTheme="minorEastAsia"/>
          <w:color w:val="auto"/>
          <w:lang w:eastAsia="zh-CN"/>
        </w:rPr>
        <w:t>8</w:t>
      </w:r>
      <w:r>
        <w:rPr>
          <w:rFonts w:asciiTheme="minorEastAsia" w:hAnsiTheme="minorEastAsia" w:eastAsiaTheme="minorEastAsia"/>
          <w:color w:val="auto"/>
          <w:lang w:eastAsia="zh-CN"/>
        </w:rPr>
        <w:t>日。</w:t>
      </w:r>
    </w:p>
    <w:p>
      <w:pPr>
        <w:pStyle w:val="4"/>
        <w:tabs>
          <w:tab w:val="left" w:pos="0"/>
        </w:tabs>
        <w:spacing w:afterLines="50" w:line="338" w:lineRule="auto"/>
        <w:ind w:firstLine="439" w:firstLineChars="183"/>
        <w:jc w:val="both"/>
        <w:rPr>
          <w:rFonts w:asciiTheme="minorEastAsia" w:hAnsiTheme="minorEastAsia" w:eastAsiaTheme="minorEastAsia"/>
          <w:color w:val="auto"/>
          <w:lang w:eastAsia="zh-CN"/>
        </w:rPr>
      </w:pPr>
      <w:r>
        <w:rPr>
          <w:rFonts w:hint="eastAsia" w:asciiTheme="minorEastAsia" w:hAnsiTheme="minorEastAsia" w:eastAsiaTheme="minorEastAsia"/>
          <w:color w:val="auto"/>
          <w:lang w:eastAsia="zh-CN"/>
        </w:rPr>
        <w:t>2</w:t>
      </w:r>
      <w:r>
        <w:rPr>
          <w:rFonts w:asciiTheme="minorEastAsia" w:hAnsiTheme="minorEastAsia" w:eastAsiaTheme="minorEastAsia"/>
          <w:color w:val="auto"/>
          <w:lang w:eastAsia="zh-CN"/>
        </w:rPr>
        <w:t>、授予对象：公司董事、高级管理人员以及对公司未来经营和发展起到重</w:t>
      </w:r>
      <w:r>
        <w:rPr>
          <w:rFonts w:asciiTheme="minorEastAsia" w:hAnsiTheme="minorEastAsia" w:eastAsiaTheme="minorEastAsia"/>
          <w:color w:val="auto"/>
          <w:spacing w:val="-2"/>
          <w:lang w:eastAsia="zh-CN"/>
        </w:rPr>
        <w:t>要作用的核心人才，不包括独立董事、监事及单独或合计持有公司</w:t>
      </w:r>
      <w:r>
        <w:rPr>
          <w:rFonts w:asciiTheme="minorEastAsia" w:hAnsiTheme="minorEastAsia" w:eastAsiaTheme="minorEastAsia"/>
          <w:color w:val="auto"/>
          <w:lang w:eastAsia="zh-CN"/>
        </w:rPr>
        <w:t>5%以上股份的股东或实际控制人及其配偶、父母、子女。</w:t>
      </w:r>
    </w:p>
    <w:p>
      <w:pPr>
        <w:pStyle w:val="4"/>
        <w:tabs>
          <w:tab w:val="left" w:pos="0"/>
        </w:tabs>
        <w:spacing w:before="55" w:afterLines="50" w:line="338" w:lineRule="auto"/>
        <w:ind w:firstLine="439" w:firstLineChars="183"/>
        <w:jc w:val="both"/>
        <w:rPr>
          <w:rFonts w:asciiTheme="minorEastAsia" w:hAnsiTheme="minorEastAsia" w:eastAsiaTheme="minorEastAsia"/>
          <w:color w:val="auto"/>
          <w:lang w:eastAsia="zh-CN"/>
        </w:rPr>
      </w:pPr>
      <w:r>
        <w:rPr>
          <w:rFonts w:hint="eastAsia" w:asciiTheme="minorEastAsia" w:hAnsiTheme="minorEastAsia" w:eastAsiaTheme="minorEastAsia"/>
          <w:color w:val="auto"/>
          <w:lang w:eastAsia="zh-CN"/>
        </w:rPr>
        <w:t>3</w:t>
      </w:r>
      <w:r>
        <w:rPr>
          <w:rFonts w:asciiTheme="minorEastAsia" w:hAnsiTheme="minorEastAsia" w:eastAsiaTheme="minorEastAsia"/>
          <w:color w:val="auto"/>
          <w:spacing w:val="-14"/>
          <w:lang w:eastAsia="zh-CN"/>
        </w:rPr>
        <w:t>、授予数量：</w:t>
      </w:r>
      <w:r>
        <w:rPr>
          <w:color w:val="auto"/>
          <w:spacing w:val="-6"/>
          <w:lang w:eastAsia="zh-CN"/>
        </w:rPr>
        <w:t>本次限制性股票激励计划授予对象共27名，授予数量为</w:t>
      </w:r>
      <w:r>
        <w:rPr>
          <w:rFonts w:asciiTheme="minorEastAsia" w:hAnsiTheme="minorEastAsia"/>
          <w:color w:val="auto"/>
          <w:lang w:eastAsia="zh-CN"/>
        </w:rPr>
        <w:t>42.7626</w:t>
      </w:r>
      <w:r>
        <w:rPr>
          <w:color w:val="auto"/>
          <w:spacing w:val="-6"/>
          <w:lang w:eastAsia="zh-CN"/>
        </w:rPr>
        <w:t>万股,占授予前公司总股本的</w:t>
      </w:r>
      <w:r>
        <w:rPr>
          <w:rFonts w:hint="eastAsia"/>
          <w:color w:val="auto"/>
          <w:szCs w:val="21"/>
          <w:lang w:eastAsia="zh-CN"/>
        </w:rPr>
        <w:t>0.25</w:t>
      </w:r>
      <w:r>
        <w:rPr>
          <w:color w:val="auto"/>
          <w:spacing w:val="-6"/>
          <w:lang w:eastAsia="zh-CN"/>
        </w:rPr>
        <w:t>%</w:t>
      </w:r>
      <w:r>
        <w:rPr>
          <w:rFonts w:asciiTheme="minorEastAsia" w:hAnsiTheme="minorEastAsia" w:eastAsiaTheme="minorEastAsia"/>
          <w:color w:val="auto"/>
          <w:lang w:eastAsia="zh-CN"/>
        </w:rPr>
        <w:t>。</w:t>
      </w:r>
    </w:p>
    <w:p>
      <w:pPr>
        <w:pStyle w:val="4"/>
        <w:spacing w:afterLines="50"/>
        <w:ind w:firstLine="439" w:firstLineChars="183"/>
        <w:rPr>
          <w:color w:val="auto"/>
          <w:lang w:eastAsia="zh-CN"/>
        </w:rPr>
      </w:pPr>
      <w:r>
        <w:rPr>
          <w:color w:val="auto"/>
          <w:lang w:eastAsia="zh-CN"/>
        </w:rPr>
        <w:t>限制性股票的分配情况如下：</w:t>
      </w:r>
    </w:p>
    <w:tbl>
      <w:tblPr>
        <w:tblStyle w:val="9"/>
        <w:tblW w:w="83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620"/>
        <w:gridCol w:w="1755"/>
        <w:gridCol w:w="2183"/>
        <w:gridCol w:w="1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exact"/>
          <w:jc w:val="center"/>
        </w:trPr>
        <w:tc>
          <w:tcPr>
            <w:tcW w:w="1096" w:type="dxa"/>
            <w:shd w:val="clear" w:color="auto" w:fill="DDDDDD"/>
            <w:vAlign w:val="center"/>
          </w:tcPr>
          <w:p>
            <w:pPr>
              <w:widowControl/>
              <w:jc w:val="center"/>
              <w:textAlignment w:val="center"/>
              <w:rPr>
                <w:b/>
                <w:color w:val="auto"/>
                <w:szCs w:val="21"/>
              </w:rPr>
            </w:pPr>
            <w:r>
              <w:rPr>
                <w:rFonts w:hint="eastAsia"/>
                <w:b/>
                <w:bCs/>
                <w:color w:val="auto"/>
                <w:szCs w:val="21"/>
              </w:rPr>
              <w:t>姓名</w:t>
            </w:r>
          </w:p>
        </w:tc>
        <w:tc>
          <w:tcPr>
            <w:tcW w:w="1620" w:type="dxa"/>
            <w:shd w:val="clear" w:color="auto" w:fill="DDDDDD"/>
            <w:vAlign w:val="center"/>
          </w:tcPr>
          <w:p>
            <w:pPr>
              <w:widowControl/>
              <w:jc w:val="center"/>
              <w:textAlignment w:val="center"/>
              <w:rPr>
                <w:b/>
                <w:color w:val="auto"/>
                <w:szCs w:val="21"/>
              </w:rPr>
            </w:pPr>
            <w:r>
              <w:rPr>
                <w:rFonts w:hint="eastAsia"/>
                <w:b/>
                <w:bCs/>
                <w:color w:val="auto"/>
                <w:szCs w:val="21"/>
              </w:rPr>
              <w:t>职务</w:t>
            </w:r>
          </w:p>
        </w:tc>
        <w:tc>
          <w:tcPr>
            <w:tcW w:w="1755" w:type="dxa"/>
            <w:shd w:val="clear" w:color="auto" w:fill="DDDDDD"/>
            <w:vAlign w:val="center"/>
          </w:tcPr>
          <w:p>
            <w:pPr>
              <w:widowControl/>
              <w:jc w:val="center"/>
              <w:textAlignment w:val="center"/>
              <w:rPr>
                <w:b/>
                <w:color w:val="auto"/>
                <w:szCs w:val="21"/>
                <w:lang w:eastAsia="zh-CN"/>
              </w:rPr>
            </w:pPr>
            <w:r>
              <w:rPr>
                <w:rFonts w:hint="eastAsia"/>
                <w:b/>
                <w:bCs/>
                <w:color w:val="auto"/>
                <w:szCs w:val="21"/>
                <w:lang w:eastAsia="zh-CN"/>
              </w:rPr>
              <w:t>获授的限制性股票数量（万股）</w:t>
            </w:r>
          </w:p>
        </w:tc>
        <w:tc>
          <w:tcPr>
            <w:tcW w:w="2183" w:type="dxa"/>
            <w:shd w:val="clear" w:color="auto" w:fill="DDDDDD"/>
            <w:vAlign w:val="center"/>
          </w:tcPr>
          <w:p>
            <w:pPr>
              <w:widowControl/>
              <w:jc w:val="center"/>
              <w:textAlignment w:val="center"/>
              <w:rPr>
                <w:color w:val="auto"/>
                <w:szCs w:val="21"/>
                <w:highlight w:val="yellow"/>
                <w:lang w:eastAsia="zh-CN"/>
              </w:rPr>
            </w:pPr>
            <w:r>
              <w:rPr>
                <w:rFonts w:hint="eastAsia"/>
                <w:b/>
                <w:bCs/>
                <w:color w:val="auto"/>
                <w:szCs w:val="21"/>
                <w:lang w:eastAsia="zh-CN"/>
              </w:rPr>
              <w:t>占预留授予限制性股票总数的比例</w:t>
            </w:r>
          </w:p>
        </w:tc>
        <w:tc>
          <w:tcPr>
            <w:tcW w:w="1672" w:type="dxa"/>
            <w:shd w:val="clear" w:color="auto" w:fill="DDDDDD"/>
            <w:vAlign w:val="center"/>
          </w:tcPr>
          <w:p>
            <w:pPr>
              <w:widowControl/>
              <w:jc w:val="center"/>
              <w:textAlignment w:val="center"/>
              <w:rPr>
                <w:b/>
                <w:color w:val="auto"/>
                <w:szCs w:val="21"/>
                <w:lang w:eastAsia="zh-CN"/>
              </w:rPr>
            </w:pPr>
            <w:r>
              <w:rPr>
                <w:rFonts w:hint="eastAsia"/>
                <w:b/>
                <w:bCs/>
                <w:color w:val="auto"/>
                <w:szCs w:val="21"/>
                <w:lang w:eastAsia="zh-CN"/>
              </w:rPr>
              <w:t>占目前股本总额的比例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exact"/>
          <w:jc w:val="center"/>
        </w:trPr>
        <w:tc>
          <w:tcPr>
            <w:tcW w:w="1096" w:type="dxa"/>
            <w:vAlign w:val="center"/>
          </w:tcPr>
          <w:p>
            <w:pPr>
              <w:widowControl/>
              <w:jc w:val="center"/>
              <w:textAlignment w:val="center"/>
              <w:rPr>
                <w:rFonts w:asciiTheme="minorEastAsia" w:hAnsiTheme="minorEastAsia"/>
                <w:b/>
                <w:bCs/>
                <w:color w:val="auto"/>
                <w:szCs w:val="21"/>
              </w:rPr>
            </w:pPr>
            <w:r>
              <w:rPr>
                <w:rFonts w:hint="eastAsia"/>
                <w:color w:val="auto"/>
                <w:szCs w:val="21"/>
              </w:rPr>
              <w:t>迟娜娜</w:t>
            </w:r>
          </w:p>
        </w:tc>
        <w:tc>
          <w:tcPr>
            <w:tcW w:w="1620" w:type="dxa"/>
            <w:vAlign w:val="center"/>
          </w:tcPr>
          <w:p>
            <w:pPr>
              <w:widowControl/>
              <w:jc w:val="center"/>
              <w:textAlignment w:val="center"/>
              <w:rPr>
                <w:color w:val="auto"/>
                <w:lang w:eastAsia="zh-CN"/>
              </w:rPr>
            </w:pPr>
            <w:r>
              <w:rPr>
                <w:rFonts w:hint="eastAsia"/>
                <w:color w:val="auto"/>
                <w:szCs w:val="21"/>
                <w:lang w:eastAsia="zh-CN"/>
              </w:rPr>
              <w:t>董事、财务总监、董事会秘书</w:t>
            </w:r>
          </w:p>
        </w:tc>
        <w:tc>
          <w:tcPr>
            <w:tcW w:w="1755" w:type="dxa"/>
            <w:vAlign w:val="center"/>
          </w:tcPr>
          <w:p>
            <w:pPr>
              <w:widowControl/>
              <w:jc w:val="center"/>
              <w:textAlignment w:val="center"/>
              <w:rPr>
                <w:rFonts w:asciiTheme="minorEastAsia" w:hAnsiTheme="minorEastAsia"/>
                <w:b/>
                <w:bCs/>
                <w:color w:val="auto"/>
                <w:szCs w:val="21"/>
                <w:highlight w:val="yellow"/>
              </w:rPr>
            </w:pPr>
            <w:r>
              <w:rPr>
                <w:rFonts w:hint="eastAsia"/>
                <w:color w:val="auto"/>
                <w:szCs w:val="21"/>
              </w:rPr>
              <w:t>2</w:t>
            </w:r>
          </w:p>
        </w:tc>
        <w:tc>
          <w:tcPr>
            <w:tcW w:w="2183" w:type="dxa"/>
            <w:vAlign w:val="center"/>
          </w:tcPr>
          <w:p>
            <w:pPr>
              <w:widowControl/>
              <w:jc w:val="center"/>
              <w:textAlignment w:val="center"/>
              <w:rPr>
                <w:b/>
                <w:bCs/>
                <w:color w:val="auto"/>
                <w:sz w:val="20"/>
                <w:szCs w:val="20"/>
                <w:highlight w:val="yellow"/>
              </w:rPr>
            </w:pPr>
            <w:r>
              <w:rPr>
                <w:rFonts w:hint="eastAsia"/>
                <w:color w:val="auto"/>
                <w:szCs w:val="21"/>
              </w:rPr>
              <w:t>4.68%</w:t>
            </w:r>
          </w:p>
        </w:tc>
        <w:tc>
          <w:tcPr>
            <w:tcW w:w="1672" w:type="dxa"/>
            <w:vAlign w:val="center"/>
          </w:tcPr>
          <w:p>
            <w:pPr>
              <w:widowControl/>
              <w:jc w:val="center"/>
              <w:textAlignment w:val="center"/>
              <w:rPr>
                <w:rFonts w:asciiTheme="minorEastAsia" w:hAnsiTheme="minorEastAsia"/>
                <w:b/>
                <w:bCs/>
                <w:color w:val="auto"/>
                <w:szCs w:val="21"/>
                <w:highlight w:val="yellow"/>
              </w:rPr>
            </w:pPr>
            <w:r>
              <w:rPr>
                <w:rFonts w:hint="eastAsia"/>
                <w:color w:val="auto"/>
                <w:szCs w:val="21"/>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exact"/>
          <w:jc w:val="center"/>
        </w:trPr>
        <w:tc>
          <w:tcPr>
            <w:tcW w:w="1096" w:type="dxa"/>
            <w:vAlign w:val="center"/>
          </w:tcPr>
          <w:p>
            <w:pPr>
              <w:widowControl/>
              <w:jc w:val="center"/>
              <w:textAlignment w:val="center"/>
              <w:rPr>
                <w:rFonts w:asciiTheme="minorEastAsia" w:hAnsiTheme="minorEastAsia"/>
                <w:b/>
                <w:bCs/>
                <w:color w:val="auto"/>
                <w:szCs w:val="21"/>
              </w:rPr>
            </w:pPr>
            <w:r>
              <w:rPr>
                <w:rFonts w:hint="eastAsia"/>
                <w:color w:val="auto"/>
                <w:szCs w:val="21"/>
              </w:rPr>
              <w:t>杨杰</w:t>
            </w:r>
          </w:p>
        </w:tc>
        <w:tc>
          <w:tcPr>
            <w:tcW w:w="1620" w:type="dxa"/>
            <w:vAlign w:val="center"/>
          </w:tcPr>
          <w:p>
            <w:pPr>
              <w:widowControl/>
              <w:jc w:val="center"/>
              <w:textAlignment w:val="center"/>
              <w:rPr>
                <w:color w:val="auto"/>
              </w:rPr>
            </w:pPr>
            <w:r>
              <w:rPr>
                <w:rFonts w:hint="eastAsia"/>
                <w:color w:val="auto"/>
                <w:szCs w:val="21"/>
              </w:rPr>
              <w:t>副总经理</w:t>
            </w:r>
          </w:p>
        </w:tc>
        <w:tc>
          <w:tcPr>
            <w:tcW w:w="1755" w:type="dxa"/>
            <w:vAlign w:val="center"/>
          </w:tcPr>
          <w:p>
            <w:pPr>
              <w:widowControl/>
              <w:jc w:val="center"/>
              <w:textAlignment w:val="center"/>
              <w:rPr>
                <w:rFonts w:asciiTheme="minorEastAsia" w:hAnsiTheme="minorEastAsia"/>
                <w:b/>
                <w:bCs/>
                <w:color w:val="auto"/>
                <w:szCs w:val="21"/>
              </w:rPr>
            </w:pPr>
            <w:r>
              <w:rPr>
                <w:rFonts w:hint="eastAsia"/>
                <w:color w:val="auto"/>
                <w:szCs w:val="21"/>
              </w:rPr>
              <w:t>8</w:t>
            </w:r>
          </w:p>
        </w:tc>
        <w:tc>
          <w:tcPr>
            <w:tcW w:w="2183" w:type="dxa"/>
            <w:vAlign w:val="center"/>
          </w:tcPr>
          <w:p>
            <w:pPr>
              <w:widowControl/>
              <w:jc w:val="center"/>
              <w:textAlignment w:val="center"/>
              <w:rPr>
                <w:b/>
                <w:bCs/>
                <w:color w:val="auto"/>
                <w:szCs w:val="21"/>
              </w:rPr>
            </w:pPr>
            <w:r>
              <w:rPr>
                <w:rFonts w:hint="eastAsia"/>
                <w:color w:val="auto"/>
                <w:szCs w:val="21"/>
              </w:rPr>
              <w:t>18.71%</w:t>
            </w:r>
          </w:p>
        </w:tc>
        <w:tc>
          <w:tcPr>
            <w:tcW w:w="1672" w:type="dxa"/>
            <w:vAlign w:val="center"/>
          </w:tcPr>
          <w:p>
            <w:pPr>
              <w:widowControl/>
              <w:jc w:val="center"/>
              <w:textAlignment w:val="center"/>
              <w:rPr>
                <w:b/>
                <w:bCs/>
                <w:color w:val="auto"/>
                <w:szCs w:val="21"/>
                <w:highlight w:val="yellow"/>
              </w:rPr>
            </w:pPr>
            <w:r>
              <w:rPr>
                <w:rFonts w:hint="eastAsia"/>
                <w:color w:val="auto"/>
                <w:szCs w:val="21"/>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exact"/>
          <w:jc w:val="center"/>
        </w:trPr>
        <w:tc>
          <w:tcPr>
            <w:tcW w:w="2716" w:type="dxa"/>
            <w:gridSpan w:val="2"/>
            <w:vAlign w:val="center"/>
          </w:tcPr>
          <w:p>
            <w:pPr>
              <w:widowControl/>
              <w:jc w:val="center"/>
              <w:textAlignment w:val="center"/>
              <w:rPr>
                <w:rFonts w:asciiTheme="minorEastAsia" w:hAnsiTheme="minorEastAsia"/>
                <w:b/>
                <w:bCs/>
                <w:color w:val="auto"/>
                <w:szCs w:val="21"/>
                <w:lang w:eastAsia="zh-CN"/>
              </w:rPr>
            </w:pPr>
            <w:r>
              <w:rPr>
                <w:rFonts w:hint="eastAsia"/>
                <w:color w:val="auto"/>
                <w:szCs w:val="21"/>
                <w:lang w:eastAsia="zh-CN"/>
              </w:rPr>
              <w:t>中层管理人员与核心骨干人员（25人）</w:t>
            </w:r>
          </w:p>
        </w:tc>
        <w:tc>
          <w:tcPr>
            <w:tcW w:w="1755" w:type="dxa"/>
            <w:vAlign w:val="center"/>
          </w:tcPr>
          <w:p>
            <w:pPr>
              <w:widowControl/>
              <w:jc w:val="center"/>
              <w:textAlignment w:val="center"/>
              <w:rPr>
                <w:rFonts w:asciiTheme="minorEastAsia" w:hAnsiTheme="minorEastAsia"/>
                <w:b/>
                <w:bCs/>
                <w:color w:val="auto"/>
                <w:szCs w:val="21"/>
              </w:rPr>
            </w:pPr>
            <w:r>
              <w:rPr>
                <w:rFonts w:hint="eastAsia"/>
                <w:color w:val="auto"/>
                <w:szCs w:val="21"/>
              </w:rPr>
              <w:t>32.7626</w:t>
            </w:r>
          </w:p>
        </w:tc>
        <w:tc>
          <w:tcPr>
            <w:tcW w:w="2183" w:type="dxa"/>
            <w:vAlign w:val="center"/>
          </w:tcPr>
          <w:p>
            <w:pPr>
              <w:widowControl/>
              <w:jc w:val="center"/>
              <w:textAlignment w:val="center"/>
              <w:rPr>
                <w:b/>
                <w:bCs/>
                <w:color w:val="auto"/>
                <w:szCs w:val="21"/>
              </w:rPr>
            </w:pPr>
            <w:r>
              <w:rPr>
                <w:rFonts w:hint="eastAsia"/>
                <w:color w:val="auto"/>
                <w:szCs w:val="21"/>
              </w:rPr>
              <w:t>76.61%</w:t>
            </w:r>
          </w:p>
        </w:tc>
        <w:tc>
          <w:tcPr>
            <w:tcW w:w="1672" w:type="dxa"/>
            <w:vAlign w:val="center"/>
          </w:tcPr>
          <w:p>
            <w:pPr>
              <w:widowControl/>
              <w:jc w:val="center"/>
              <w:textAlignment w:val="center"/>
              <w:rPr>
                <w:b/>
                <w:bCs/>
                <w:color w:val="auto"/>
                <w:szCs w:val="21"/>
                <w:highlight w:val="yellow"/>
              </w:rPr>
            </w:pPr>
            <w:r>
              <w:rPr>
                <w:rFonts w:hint="eastAsia"/>
                <w:color w:val="auto"/>
                <w:szCs w:val="21"/>
              </w:rPr>
              <w:t>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exact"/>
          <w:jc w:val="center"/>
        </w:trPr>
        <w:tc>
          <w:tcPr>
            <w:tcW w:w="2716" w:type="dxa"/>
            <w:gridSpan w:val="2"/>
            <w:vAlign w:val="center"/>
          </w:tcPr>
          <w:p>
            <w:pPr>
              <w:widowControl/>
              <w:jc w:val="center"/>
              <w:textAlignment w:val="center"/>
              <w:rPr>
                <w:rFonts w:asciiTheme="minorEastAsia" w:hAnsiTheme="minorEastAsia"/>
                <w:b/>
                <w:bCs/>
                <w:color w:val="auto"/>
                <w:szCs w:val="21"/>
              </w:rPr>
            </w:pPr>
            <w:r>
              <w:rPr>
                <w:rFonts w:hint="eastAsia"/>
                <w:b/>
                <w:bCs/>
                <w:color w:val="auto"/>
                <w:szCs w:val="21"/>
              </w:rPr>
              <w:t>预留部分授予合计</w:t>
            </w:r>
          </w:p>
        </w:tc>
        <w:tc>
          <w:tcPr>
            <w:tcW w:w="1755" w:type="dxa"/>
            <w:vAlign w:val="center"/>
          </w:tcPr>
          <w:p>
            <w:pPr>
              <w:widowControl/>
              <w:jc w:val="center"/>
              <w:textAlignment w:val="center"/>
              <w:rPr>
                <w:rFonts w:asciiTheme="minorEastAsia" w:hAnsiTheme="minorEastAsia"/>
                <w:b/>
                <w:bCs/>
                <w:color w:val="auto"/>
                <w:szCs w:val="21"/>
              </w:rPr>
            </w:pPr>
            <w:r>
              <w:rPr>
                <w:rFonts w:hint="eastAsia"/>
                <w:b/>
                <w:bCs/>
                <w:color w:val="auto"/>
                <w:szCs w:val="21"/>
              </w:rPr>
              <w:t>42.7626</w:t>
            </w:r>
          </w:p>
        </w:tc>
        <w:tc>
          <w:tcPr>
            <w:tcW w:w="2183" w:type="dxa"/>
            <w:vAlign w:val="center"/>
          </w:tcPr>
          <w:p>
            <w:pPr>
              <w:widowControl/>
              <w:jc w:val="center"/>
              <w:textAlignment w:val="center"/>
              <w:rPr>
                <w:b/>
                <w:bCs/>
                <w:color w:val="auto"/>
                <w:szCs w:val="21"/>
              </w:rPr>
            </w:pPr>
            <w:r>
              <w:rPr>
                <w:rFonts w:hint="eastAsia"/>
                <w:b/>
                <w:bCs/>
                <w:color w:val="auto"/>
                <w:szCs w:val="21"/>
              </w:rPr>
              <w:t>100%</w:t>
            </w:r>
          </w:p>
        </w:tc>
        <w:tc>
          <w:tcPr>
            <w:tcW w:w="1672" w:type="dxa"/>
            <w:vAlign w:val="center"/>
          </w:tcPr>
          <w:p>
            <w:pPr>
              <w:widowControl/>
              <w:jc w:val="center"/>
              <w:textAlignment w:val="center"/>
              <w:rPr>
                <w:b/>
                <w:bCs/>
                <w:color w:val="auto"/>
                <w:szCs w:val="21"/>
                <w:highlight w:val="yellow"/>
              </w:rPr>
            </w:pPr>
            <w:r>
              <w:rPr>
                <w:rFonts w:hint="eastAsia"/>
                <w:color w:val="auto"/>
                <w:szCs w:val="21"/>
              </w:rPr>
              <w:t>0.25%</w:t>
            </w:r>
          </w:p>
        </w:tc>
      </w:tr>
    </w:tbl>
    <w:p>
      <w:pPr>
        <w:pStyle w:val="4"/>
        <w:spacing w:before="8" w:afterLines="50"/>
        <w:ind w:firstLine="146" w:firstLineChars="183"/>
        <w:rPr>
          <w:color w:val="auto"/>
          <w:sz w:val="8"/>
        </w:rPr>
      </w:pPr>
    </w:p>
    <w:p>
      <w:pPr>
        <w:pStyle w:val="4"/>
        <w:spacing w:before="40" w:afterLines="50"/>
        <w:ind w:firstLine="439" w:firstLineChars="183"/>
        <w:rPr>
          <w:color w:val="auto"/>
        </w:rPr>
      </w:pPr>
      <w:r>
        <w:rPr>
          <w:rFonts w:hint="eastAsia"/>
          <w:color w:val="auto"/>
          <w:lang w:eastAsia="zh-CN"/>
        </w:rPr>
        <w:t>4</w:t>
      </w:r>
      <w:r>
        <w:rPr>
          <w:color w:val="auto"/>
        </w:rPr>
        <w:t>、授予价格：</w:t>
      </w:r>
      <w:r>
        <w:rPr>
          <w:color w:val="auto"/>
          <w:lang w:eastAsia="zh-CN"/>
        </w:rPr>
        <w:t>4</w:t>
      </w:r>
      <w:r>
        <w:rPr>
          <w:color w:val="auto"/>
        </w:rPr>
        <w:t>.</w:t>
      </w:r>
      <w:r>
        <w:rPr>
          <w:color w:val="auto"/>
          <w:lang w:eastAsia="zh-CN"/>
        </w:rPr>
        <w:t>65</w:t>
      </w:r>
      <w:r>
        <w:rPr>
          <w:color w:val="auto"/>
        </w:rPr>
        <w:t>元/股。</w:t>
      </w:r>
    </w:p>
    <w:p>
      <w:pPr>
        <w:pStyle w:val="4"/>
        <w:spacing w:afterLines="50" w:line="338" w:lineRule="auto"/>
        <w:ind w:firstLine="439" w:firstLineChars="183"/>
        <w:rPr>
          <w:color w:val="auto"/>
          <w:lang w:eastAsia="zh-CN"/>
        </w:rPr>
      </w:pPr>
      <w:r>
        <w:rPr>
          <w:rFonts w:hint="eastAsia" w:ascii="Times New Roman"/>
          <w:color w:val="auto"/>
          <w:lang w:eastAsia="zh-CN"/>
        </w:rPr>
        <w:t>5</w:t>
      </w:r>
      <w:r>
        <w:rPr>
          <w:color w:val="auto"/>
          <w:spacing w:val="-7"/>
          <w:lang w:eastAsia="zh-CN"/>
        </w:rPr>
        <w:t>、股票来源：</w:t>
      </w:r>
      <w:r>
        <w:rPr>
          <w:rFonts w:hint="eastAsia" w:asciiTheme="minorEastAsia" w:hAnsiTheme="minorEastAsia"/>
          <w:color w:val="auto"/>
          <w:lang w:eastAsia="zh-CN"/>
        </w:rPr>
        <w:t>公司自二级市场回购的公司</w:t>
      </w:r>
      <w:r>
        <w:rPr>
          <w:rFonts w:asciiTheme="minorEastAsia" w:hAnsiTheme="minorEastAsia"/>
          <w:color w:val="auto"/>
          <w:lang w:eastAsia="zh-CN"/>
        </w:rPr>
        <w:t>A</w:t>
      </w:r>
      <w:r>
        <w:rPr>
          <w:rFonts w:hint="eastAsia" w:asciiTheme="minorEastAsia" w:hAnsiTheme="minorEastAsia"/>
          <w:color w:val="auto"/>
          <w:lang w:eastAsia="zh-CN"/>
        </w:rPr>
        <w:t>股普通股股票</w:t>
      </w:r>
      <w:r>
        <w:rPr>
          <w:color w:val="auto"/>
          <w:lang w:eastAsia="zh-CN"/>
        </w:rPr>
        <w:t>。</w:t>
      </w:r>
    </w:p>
    <w:p>
      <w:pPr>
        <w:pStyle w:val="4"/>
        <w:spacing w:before="55" w:afterLines="50"/>
        <w:ind w:firstLine="439" w:firstLineChars="183"/>
        <w:rPr>
          <w:color w:val="auto"/>
          <w:lang w:eastAsia="zh-CN"/>
        </w:rPr>
      </w:pPr>
      <w:r>
        <w:rPr>
          <w:rFonts w:hint="eastAsia" w:ascii="Times New Roman"/>
          <w:color w:val="auto"/>
          <w:lang w:eastAsia="zh-CN"/>
        </w:rPr>
        <w:t>6</w:t>
      </w:r>
      <w:r>
        <w:rPr>
          <w:color w:val="auto"/>
          <w:lang w:eastAsia="zh-CN"/>
        </w:rPr>
        <w:t>、本次激励计划实施后，将不会导致股权分布不符合上市公司条件要求。</w:t>
      </w:r>
    </w:p>
    <w:p>
      <w:pPr>
        <w:pStyle w:val="4"/>
        <w:spacing w:before="136" w:afterLines="50"/>
        <w:ind w:firstLine="439" w:firstLineChars="183"/>
        <w:rPr>
          <w:color w:val="auto"/>
          <w:lang w:eastAsia="zh-CN"/>
        </w:rPr>
      </w:pPr>
      <w:r>
        <w:rPr>
          <w:rFonts w:hint="eastAsia" w:ascii="Times New Roman"/>
          <w:color w:val="auto"/>
          <w:lang w:eastAsia="zh-CN"/>
        </w:rPr>
        <w:t>7</w:t>
      </w:r>
      <w:r>
        <w:rPr>
          <w:color w:val="auto"/>
          <w:lang w:eastAsia="zh-CN"/>
        </w:rPr>
        <w:t>、本次激励计划的有效期、限售期、解除限售安排</w:t>
      </w:r>
      <w:r>
        <w:rPr>
          <w:rFonts w:hint="eastAsia"/>
          <w:color w:val="auto"/>
          <w:lang w:eastAsia="zh-CN"/>
        </w:rPr>
        <w:t>：</w:t>
      </w:r>
    </w:p>
    <w:p>
      <w:pPr>
        <w:pStyle w:val="4"/>
        <w:spacing w:before="136" w:afterLines="50" w:line="357" w:lineRule="auto"/>
        <w:ind w:firstLine="439" w:firstLineChars="183"/>
        <w:rPr>
          <w:color w:val="auto"/>
          <w:lang w:eastAsia="zh-CN"/>
        </w:rPr>
      </w:pPr>
      <w:r>
        <w:rPr>
          <w:color w:val="auto"/>
          <w:lang w:eastAsia="zh-CN"/>
        </w:rPr>
        <w:t>本次激励计划有效期为限制性股票授予完成登记之日起至所有限制性股票解除限售或回购注销完毕之日止，最长不超过</w:t>
      </w:r>
      <w:r>
        <w:rPr>
          <w:rFonts w:ascii="Times New Roman" w:eastAsia="Times New Roman"/>
          <w:color w:val="auto"/>
          <w:lang w:eastAsia="zh-CN"/>
        </w:rPr>
        <w:t>36</w:t>
      </w:r>
      <w:r>
        <w:rPr>
          <w:color w:val="auto"/>
          <w:lang w:eastAsia="zh-CN"/>
        </w:rPr>
        <w:t>个月。</w:t>
      </w:r>
    </w:p>
    <w:p>
      <w:pPr>
        <w:pStyle w:val="4"/>
        <w:spacing w:afterLines="50"/>
        <w:ind w:firstLine="439" w:firstLineChars="183"/>
        <w:rPr>
          <w:color w:val="auto"/>
          <w:lang w:eastAsia="zh-CN"/>
        </w:rPr>
      </w:pPr>
      <w:r>
        <w:rPr>
          <w:color w:val="auto"/>
          <w:lang w:eastAsia="zh-CN"/>
        </w:rPr>
        <w:t>本次激励计划的解除限售安排如下：</w:t>
      </w:r>
    </w:p>
    <w:p>
      <w:pPr>
        <w:pStyle w:val="4"/>
        <w:spacing w:before="8" w:afterLines="50"/>
        <w:ind w:firstLine="146" w:firstLineChars="183"/>
        <w:rPr>
          <w:color w:val="auto"/>
          <w:sz w:val="8"/>
          <w:lang w:eastAsia="zh-CN"/>
        </w:rPr>
      </w:pPr>
    </w:p>
    <w:tbl>
      <w:tblPr>
        <w:tblStyle w:val="1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64"/>
        <w:gridCol w:w="3828"/>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2864" w:type="dxa"/>
            <w:shd w:val="clear" w:color="auto" w:fill="D9D9D9"/>
            <w:vAlign w:val="center"/>
          </w:tcPr>
          <w:p>
            <w:pPr>
              <w:spacing w:before="26"/>
              <w:jc w:val="center"/>
              <w:rPr>
                <w:b/>
                <w:color w:val="auto"/>
                <w:szCs w:val="21"/>
              </w:rPr>
            </w:pPr>
            <w:r>
              <w:rPr>
                <w:b/>
                <w:color w:val="auto"/>
                <w:w w:val="95"/>
                <w:szCs w:val="21"/>
              </w:rPr>
              <w:t>解除限售安排</w:t>
            </w:r>
          </w:p>
        </w:tc>
        <w:tc>
          <w:tcPr>
            <w:tcW w:w="3828" w:type="dxa"/>
            <w:shd w:val="clear" w:color="auto" w:fill="D9D9D9"/>
            <w:vAlign w:val="center"/>
          </w:tcPr>
          <w:p>
            <w:pPr>
              <w:spacing w:before="26"/>
              <w:jc w:val="center"/>
              <w:rPr>
                <w:b/>
                <w:color w:val="auto"/>
                <w:szCs w:val="21"/>
              </w:rPr>
            </w:pPr>
            <w:r>
              <w:rPr>
                <w:b/>
                <w:color w:val="auto"/>
                <w:w w:val="95"/>
                <w:szCs w:val="21"/>
              </w:rPr>
              <w:t>解除限售时间</w:t>
            </w:r>
          </w:p>
        </w:tc>
        <w:tc>
          <w:tcPr>
            <w:tcW w:w="1672" w:type="dxa"/>
            <w:shd w:val="clear" w:color="auto" w:fill="D9D9D9"/>
            <w:vAlign w:val="center"/>
          </w:tcPr>
          <w:p>
            <w:pPr>
              <w:spacing w:before="26"/>
              <w:jc w:val="center"/>
              <w:rPr>
                <w:b/>
                <w:color w:val="auto"/>
                <w:szCs w:val="21"/>
              </w:rPr>
            </w:pPr>
            <w:r>
              <w:rPr>
                <w:b/>
                <w:color w:val="auto"/>
                <w:w w:val="95"/>
                <w:szCs w:val="21"/>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exact"/>
          <w:jc w:val="center"/>
        </w:trPr>
        <w:tc>
          <w:tcPr>
            <w:tcW w:w="2864" w:type="dxa"/>
            <w:vAlign w:val="center"/>
          </w:tcPr>
          <w:p>
            <w:pPr>
              <w:spacing w:before="158"/>
              <w:jc w:val="center"/>
              <w:rPr>
                <w:color w:val="auto"/>
                <w:szCs w:val="21"/>
                <w:lang w:eastAsia="zh-CN"/>
              </w:rPr>
            </w:pPr>
            <w:r>
              <w:rPr>
                <w:color w:val="auto"/>
                <w:szCs w:val="21"/>
                <w:lang w:eastAsia="zh-CN"/>
              </w:rPr>
              <w:t>限制性股票第一个解除限售期</w:t>
            </w:r>
          </w:p>
        </w:tc>
        <w:tc>
          <w:tcPr>
            <w:tcW w:w="3828" w:type="dxa"/>
            <w:vAlign w:val="center"/>
          </w:tcPr>
          <w:p>
            <w:pPr>
              <w:rPr>
                <w:color w:val="auto"/>
                <w:szCs w:val="21"/>
                <w:lang w:eastAsia="zh-CN"/>
              </w:rPr>
            </w:pPr>
            <w:r>
              <w:rPr>
                <w:color w:val="auto"/>
                <w:szCs w:val="21"/>
                <w:lang w:eastAsia="zh-CN"/>
              </w:rPr>
              <w:t>自</w:t>
            </w:r>
            <w:r>
              <w:rPr>
                <w:rFonts w:hint="eastAsia"/>
                <w:color w:val="auto"/>
                <w:szCs w:val="21"/>
                <w:lang w:eastAsia="zh-CN"/>
              </w:rPr>
              <w:t>预留</w:t>
            </w:r>
            <w:r>
              <w:rPr>
                <w:color w:val="auto"/>
                <w:szCs w:val="21"/>
                <w:lang w:eastAsia="zh-CN"/>
              </w:rPr>
              <w:t>授予登记完成之日起满12个月后的首个交易日起至</w:t>
            </w:r>
            <w:r>
              <w:rPr>
                <w:rFonts w:hint="eastAsia"/>
                <w:color w:val="auto"/>
                <w:szCs w:val="21"/>
                <w:lang w:eastAsia="zh-CN"/>
              </w:rPr>
              <w:t>预留</w:t>
            </w:r>
            <w:r>
              <w:rPr>
                <w:color w:val="auto"/>
                <w:szCs w:val="21"/>
                <w:lang w:eastAsia="zh-CN"/>
              </w:rPr>
              <w:t>授予登记完成之日24个月内的最后一个交易日当日止</w:t>
            </w:r>
          </w:p>
        </w:tc>
        <w:tc>
          <w:tcPr>
            <w:tcW w:w="1672" w:type="dxa"/>
            <w:vAlign w:val="center"/>
          </w:tcPr>
          <w:p>
            <w:pPr>
              <w:spacing w:before="158"/>
              <w:jc w:val="center"/>
              <w:rPr>
                <w:color w:val="auto"/>
                <w:szCs w:val="21"/>
              </w:rPr>
            </w:pPr>
            <w:r>
              <w:rPr>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2864" w:type="dxa"/>
            <w:vAlign w:val="center"/>
          </w:tcPr>
          <w:p>
            <w:pPr>
              <w:spacing w:before="158"/>
              <w:jc w:val="center"/>
              <w:rPr>
                <w:color w:val="auto"/>
                <w:szCs w:val="21"/>
                <w:lang w:eastAsia="zh-CN"/>
              </w:rPr>
            </w:pPr>
            <w:r>
              <w:rPr>
                <w:color w:val="auto"/>
                <w:szCs w:val="21"/>
                <w:lang w:eastAsia="zh-CN"/>
              </w:rPr>
              <w:t>限制性股票第二个解除限售期</w:t>
            </w:r>
          </w:p>
        </w:tc>
        <w:tc>
          <w:tcPr>
            <w:tcW w:w="3828" w:type="dxa"/>
            <w:vAlign w:val="center"/>
          </w:tcPr>
          <w:p>
            <w:pPr>
              <w:rPr>
                <w:color w:val="auto"/>
                <w:szCs w:val="21"/>
                <w:lang w:eastAsia="zh-CN"/>
              </w:rPr>
            </w:pPr>
            <w:r>
              <w:rPr>
                <w:color w:val="auto"/>
                <w:szCs w:val="21"/>
                <w:lang w:eastAsia="zh-CN"/>
              </w:rPr>
              <w:t>自</w:t>
            </w:r>
            <w:r>
              <w:rPr>
                <w:rFonts w:hint="eastAsia"/>
                <w:color w:val="auto"/>
                <w:szCs w:val="21"/>
                <w:lang w:eastAsia="zh-CN"/>
              </w:rPr>
              <w:t>预留</w:t>
            </w:r>
            <w:r>
              <w:rPr>
                <w:color w:val="auto"/>
                <w:szCs w:val="21"/>
                <w:lang w:eastAsia="zh-CN"/>
              </w:rPr>
              <w:t>授予登记完成之日起满24个月后的首个交易日起至</w:t>
            </w:r>
            <w:r>
              <w:rPr>
                <w:rFonts w:hint="eastAsia"/>
                <w:color w:val="auto"/>
                <w:szCs w:val="21"/>
                <w:lang w:eastAsia="zh-CN"/>
              </w:rPr>
              <w:t>预留</w:t>
            </w:r>
            <w:r>
              <w:rPr>
                <w:color w:val="auto"/>
                <w:szCs w:val="21"/>
                <w:lang w:eastAsia="zh-CN"/>
              </w:rPr>
              <w:t>授予登记完成之日36个月内的最后一个交易日当日止</w:t>
            </w:r>
          </w:p>
        </w:tc>
        <w:tc>
          <w:tcPr>
            <w:tcW w:w="1672" w:type="dxa"/>
            <w:vAlign w:val="center"/>
          </w:tcPr>
          <w:p>
            <w:pPr>
              <w:spacing w:before="158"/>
              <w:jc w:val="center"/>
              <w:rPr>
                <w:color w:val="auto"/>
                <w:szCs w:val="21"/>
              </w:rPr>
            </w:pPr>
            <w:r>
              <w:rPr>
                <w:color w:val="auto"/>
                <w:szCs w:val="21"/>
              </w:rPr>
              <w:t>50%</w:t>
            </w:r>
          </w:p>
        </w:tc>
      </w:tr>
    </w:tbl>
    <w:p>
      <w:pPr>
        <w:pStyle w:val="4"/>
        <w:spacing w:before="21" w:afterLines="50"/>
        <w:ind w:firstLine="439" w:firstLineChars="183"/>
        <w:rPr>
          <w:rFonts w:ascii="Times New Roman"/>
          <w:color w:val="auto"/>
          <w:lang w:eastAsia="zh-CN"/>
        </w:rPr>
      </w:pPr>
    </w:p>
    <w:p>
      <w:pPr>
        <w:pStyle w:val="4"/>
        <w:spacing w:before="21" w:afterLines="50"/>
        <w:ind w:firstLine="439" w:firstLineChars="183"/>
        <w:rPr>
          <w:color w:val="auto"/>
        </w:rPr>
      </w:pPr>
      <w:r>
        <w:rPr>
          <w:rFonts w:hint="eastAsia" w:ascii="Times New Roman"/>
          <w:color w:val="auto"/>
          <w:lang w:eastAsia="zh-CN"/>
        </w:rPr>
        <w:t>8</w:t>
      </w:r>
      <w:r>
        <w:rPr>
          <w:color w:val="auto"/>
        </w:rPr>
        <w:t>、解除限售条件</w:t>
      </w:r>
    </w:p>
    <w:p>
      <w:pPr>
        <w:pStyle w:val="4"/>
        <w:spacing w:afterLines="50" w:line="360" w:lineRule="auto"/>
        <w:rPr>
          <w:color w:val="auto"/>
          <w:spacing w:val="-10"/>
          <w:lang w:eastAsia="zh-CN"/>
        </w:rPr>
      </w:pPr>
      <w:r>
        <w:rPr>
          <w:color w:val="auto"/>
          <w:spacing w:val="-10"/>
          <w:lang w:eastAsia="zh-CN"/>
        </w:rPr>
        <w:t>解除限售期内，同时满足下列条件时，激励对象获授的限制性股票方可解除限售：</w:t>
      </w:r>
    </w:p>
    <w:p>
      <w:pPr>
        <w:pStyle w:val="4"/>
        <w:spacing w:afterLines="50" w:line="360" w:lineRule="auto"/>
        <w:ind w:firstLine="440" w:firstLineChars="200"/>
        <w:rPr>
          <w:color w:val="auto"/>
          <w:spacing w:val="-10"/>
          <w:lang w:eastAsia="zh-CN"/>
        </w:rPr>
      </w:pPr>
      <w:r>
        <w:rPr>
          <w:color w:val="auto"/>
          <w:spacing w:val="-10"/>
          <w:lang w:eastAsia="zh-CN"/>
        </w:rPr>
        <w:t>（一）公司未发生如下任一情形：</w:t>
      </w:r>
    </w:p>
    <w:p>
      <w:pPr>
        <w:pStyle w:val="4"/>
        <w:spacing w:afterLines="50" w:line="360" w:lineRule="auto"/>
        <w:ind w:firstLine="440" w:firstLineChars="200"/>
        <w:rPr>
          <w:color w:val="auto"/>
          <w:spacing w:val="-10"/>
          <w:lang w:eastAsia="zh-CN"/>
        </w:rPr>
      </w:pPr>
      <w:r>
        <w:rPr>
          <w:rFonts w:hint="eastAsia"/>
          <w:color w:val="auto"/>
          <w:spacing w:val="-10"/>
          <w:lang w:eastAsia="zh-CN"/>
        </w:rPr>
        <w:t>（1）</w:t>
      </w:r>
      <w:r>
        <w:rPr>
          <w:color w:val="auto"/>
          <w:spacing w:val="-10"/>
          <w:lang w:eastAsia="zh-CN"/>
        </w:rPr>
        <w:t>最近一个会计年度财务会计报告被注册会计师出具否定意见或者无法表示意见的审计报告；</w:t>
      </w:r>
    </w:p>
    <w:p>
      <w:pPr>
        <w:pStyle w:val="4"/>
        <w:spacing w:afterLines="50" w:line="360" w:lineRule="auto"/>
        <w:ind w:firstLine="440" w:firstLineChars="200"/>
        <w:rPr>
          <w:color w:val="auto"/>
          <w:spacing w:val="-10"/>
          <w:lang w:eastAsia="zh-CN"/>
        </w:rPr>
      </w:pPr>
      <w:r>
        <w:rPr>
          <w:rFonts w:hint="eastAsia"/>
          <w:color w:val="auto"/>
          <w:spacing w:val="-10"/>
          <w:lang w:eastAsia="zh-CN"/>
        </w:rPr>
        <w:t>（2）</w:t>
      </w:r>
      <w:r>
        <w:rPr>
          <w:color w:val="auto"/>
          <w:spacing w:val="-10"/>
          <w:lang w:eastAsia="zh-CN"/>
        </w:rPr>
        <w:t>最近一个会计年度财务报告内部控制被注册会计师出具否定意见或者无法表示意见的审计报告；</w:t>
      </w:r>
    </w:p>
    <w:p>
      <w:pPr>
        <w:pStyle w:val="4"/>
        <w:spacing w:afterLines="50" w:line="360" w:lineRule="auto"/>
        <w:ind w:firstLine="440" w:firstLineChars="200"/>
        <w:rPr>
          <w:color w:val="auto"/>
          <w:spacing w:val="-10"/>
          <w:lang w:eastAsia="zh-CN"/>
        </w:rPr>
      </w:pPr>
      <w:r>
        <w:rPr>
          <w:rFonts w:hint="eastAsia"/>
          <w:color w:val="auto"/>
          <w:spacing w:val="-10"/>
          <w:lang w:eastAsia="zh-CN"/>
        </w:rPr>
        <w:t>（3）</w:t>
      </w:r>
      <w:r>
        <w:rPr>
          <w:color w:val="auto"/>
          <w:spacing w:val="-10"/>
          <w:lang w:eastAsia="zh-CN"/>
        </w:rPr>
        <w:t>上市后最近36个月内出现过未按法律法规、公司章程、公开承诺进行利润分配的情形；</w:t>
      </w:r>
    </w:p>
    <w:p>
      <w:pPr>
        <w:pStyle w:val="4"/>
        <w:spacing w:afterLines="50" w:line="360" w:lineRule="auto"/>
        <w:ind w:firstLine="440" w:firstLineChars="200"/>
        <w:rPr>
          <w:color w:val="auto"/>
          <w:spacing w:val="-10"/>
          <w:lang w:eastAsia="zh-CN"/>
        </w:rPr>
      </w:pPr>
      <w:r>
        <w:rPr>
          <w:rFonts w:hint="eastAsia"/>
          <w:color w:val="auto"/>
          <w:spacing w:val="-10"/>
          <w:lang w:eastAsia="zh-CN"/>
        </w:rPr>
        <w:t>（4）</w:t>
      </w:r>
      <w:r>
        <w:rPr>
          <w:color w:val="auto"/>
          <w:spacing w:val="-10"/>
          <w:lang w:eastAsia="zh-CN"/>
        </w:rPr>
        <w:t>法律法规规定不得实行股权激励的；</w:t>
      </w:r>
    </w:p>
    <w:p>
      <w:pPr>
        <w:pStyle w:val="4"/>
        <w:spacing w:afterLines="50" w:line="360" w:lineRule="auto"/>
        <w:ind w:firstLine="440" w:firstLineChars="200"/>
        <w:rPr>
          <w:color w:val="auto"/>
          <w:spacing w:val="-10"/>
          <w:lang w:eastAsia="zh-CN"/>
        </w:rPr>
      </w:pPr>
      <w:r>
        <w:rPr>
          <w:rFonts w:hint="eastAsia"/>
          <w:color w:val="auto"/>
          <w:spacing w:val="-10"/>
          <w:lang w:eastAsia="zh-CN"/>
        </w:rPr>
        <w:t>（5）</w:t>
      </w:r>
      <w:r>
        <w:rPr>
          <w:color w:val="auto"/>
          <w:spacing w:val="-10"/>
          <w:lang w:eastAsia="zh-CN"/>
        </w:rPr>
        <w:t>中国证监会认定的其他情形。</w:t>
      </w:r>
    </w:p>
    <w:p>
      <w:pPr>
        <w:pStyle w:val="4"/>
        <w:spacing w:afterLines="50" w:line="360" w:lineRule="auto"/>
        <w:ind w:firstLine="440" w:firstLineChars="200"/>
        <w:rPr>
          <w:color w:val="auto"/>
          <w:spacing w:val="-10"/>
          <w:lang w:eastAsia="zh-CN"/>
        </w:rPr>
      </w:pPr>
      <w:r>
        <w:rPr>
          <w:color w:val="auto"/>
          <w:spacing w:val="-10"/>
          <w:lang w:eastAsia="zh-CN"/>
        </w:rPr>
        <w:t>（二）激励对象未发生如下任一情形：</w:t>
      </w:r>
    </w:p>
    <w:p>
      <w:pPr>
        <w:pStyle w:val="4"/>
        <w:spacing w:afterLines="50" w:line="360" w:lineRule="auto"/>
        <w:ind w:firstLine="440" w:firstLineChars="200"/>
        <w:rPr>
          <w:color w:val="auto"/>
          <w:spacing w:val="-10"/>
          <w:lang w:eastAsia="zh-CN"/>
        </w:rPr>
      </w:pPr>
      <w:r>
        <w:rPr>
          <w:rFonts w:hint="eastAsia"/>
          <w:color w:val="auto"/>
          <w:spacing w:val="-10"/>
          <w:lang w:eastAsia="zh-CN"/>
        </w:rPr>
        <w:t>（1）</w:t>
      </w:r>
      <w:r>
        <w:rPr>
          <w:color w:val="auto"/>
          <w:spacing w:val="-10"/>
          <w:lang w:eastAsia="zh-CN"/>
        </w:rPr>
        <w:t>最近12个月内被证券交易所认定为不适当人选；</w:t>
      </w:r>
    </w:p>
    <w:p>
      <w:pPr>
        <w:pStyle w:val="4"/>
        <w:spacing w:afterLines="50" w:line="360" w:lineRule="auto"/>
        <w:ind w:firstLine="440" w:firstLineChars="200"/>
        <w:rPr>
          <w:color w:val="auto"/>
          <w:spacing w:val="-10"/>
          <w:lang w:eastAsia="zh-CN"/>
        </w:rPr>
      </w:pPr>
      <w:r>
        <w:rPr>
          <w:rFonts w:hint="eastAsia"/>
          <w:color w:val="auto"/>
          <w:spacing w:val="-10"/>
          <w:lang w:eastAsia="zh-CN"/>
        </w:rPr>
        <w:t>（2）</w:t>
      </w:r>
      <w:r>
        <w:rPr>
          <w:color w:val="auto"/>
          <w:spacing w:val="-10"/>
          <w:lang w:eastAsia="zh-CN"/>
        </w:rPr>
        <w:t>最近12个月内被中国证监会及其派出机构认定为不适当人选；</w:t>
      </w:r>
    </w:p>
    <w:p>
      <w:pPr>
        <w:pStyle w:val="4"/>
        <w:spacing w:afterLines="50" w:line="360" w:lineRule="auto"/>
        <w:ind w:firstLine="440" w:firstLineChars="200"/>
        <w:rPr>
          <w:color w:val="auto"/>
          <w:spacing w:val="-10"/>
          <w:lang w:eastAsia="zh-CN"/>
        </w:rPr>
      </w:pPr>
      <w:r>
        <w:rPr>
          <w:rFonts w:hint="eastAsia"/>
          <w:color w:val="auto"/>
          <w:spacing w:val="-10"/>
          <w:lang w:eastAsia="zh-CN"/>
        </w:rPr>
        <w:t>（3）</w:t>
      </w:r>
      <w:r>
        <w:rPr>
          <w:color w:val="auto"/>
          <w:spacing w:val="-10"/>
          <w:lang w:eastAsia="zh-CN"/>
        </w:rPr>
        <w:t>最近12个月内因重大违法违规行为被中国证监会及其派出机构行政处罚或者采取市场禁入措施；</w:t>
      </w:r>
    </w:p>
    <w:p>
      <w:pPr>
        <w:pStyle w:val="4"/>
        <w:spacing w:afterLines="50" w:line="360" w:lineRule="auto"/>
        <w:ind w:firstLine="440" w:firstLineChars="200"/>
        <w:rPr>
          <w:color w:val="auto"/>
          <w:spacing w:val="-10"/>
          <w:lang w:eastAsia="zh-CN"/>
        </w:rPr>
      </w:pPr>
      <w:r>
        <w:rPr>
          <w:rFonts w:hint="eastAsia"/>
          <w:color w:val="auto"/>
          <w:spacing w:val="-10"/>
          <w:lang w:eastAsia="zh-CN"/>
        </w:rPr>
        <w:t>（4）</w:t>
      </w:r>
      <w:r>
        <w:rPr>
          <w:color w:val="auto"/>
          <w:spacing w:val="-10"/>
          <w:lang w:eastAsia="zh-CN"/>
        </w:rPr>
        <w:t>具有《公司法》规定的不得担任公司董事、高级管理人员情形的；</w:t>
      </w:r>
    </w:p>
    <w:p>
      <w:pPr>
        <w:pStyle w:val="4"/>
        <w:spacing w:afterLines="50" w:line="360" w:lineRule="auto"/>
        <w:ind w:firstLine="440" w:firstLineChars="200"/>
        <w:rPr>
          <w:color w:val="auto"/>
          <w:spacing w:val="-10"/>
          <w:lang w:eastAsia="zh-CN"/>
        </w:rPr>
      </w:pPr>
      <w:r>
        <w:rPr>
          <w:rFonts w:hint="eastAsia"/>
          <w:color w:val="auto"/>
          <w:spacing w:val="-10"/>
          <w:lang w:eastAsia="zh-CN"/>
        </w:rPr>
        <w:t>（5）</w:t>
      </w:r>
      <w:r>
        <w:rPr>
          <w:color w:val="auto"/>
          <w:spacing w:val="-10"/>
          <w:lang w:eastAsia="zh-CN"/>
        </w:rPr>
        <w:t>法律法规规定不得参与上市公司股权激励的；</w:t>
      </w:r>
    </w:p>
    <w:p>
      <w:pPr>
        <w:pStyle w:val="4"/>
        <w:spacing w:afterLines="50" w:line="360" w:lineRule="auto"/>
        <w:ind w:firstLine="440" w:firstLineChars="200"/>
        <w:rPr>
          <w:color w:val="auto"/>
          <w:spacing w:val="-10"/>
          <w:lang w:eastAsia="zh-CN"/>
        </w:rPr>
      </w:pPr>
      <w:r>
        <w:rPr>
          <w:rFonts w:hint="eastAsia"/>
          <w:color w:val="auto"/>
          <w:spacing w:val="-10"/>
          <w:lang w:eastAsia="zh-CN"/>
        </w:rPr>
        <w:t>（6）</w:t>
      </w:r>
      <w:r>
        <w:rPr>
          <w:color w:val="auto"/>
          <w:spacing w:val="-10"/>
          <w:lang w:eastAsia="zh-CN"/>
        </w:rPr>
        <w:t>中国证监会认定的其他情形。</w:t>
      </w:r>
    </w:p>
    <w:p>
      <w:pPr>
        <w:pStyle w:val="4"/>
        <w:spacing w:afterLines="50" w:line="360" w:lineRule="auto"/>
        <w:ind w:firstLine="440" w:firstLineChars="200"/>
        <w:rPr>
          <w:color w:val="auto"/>
          <w:spacing w:val="-10"/>
          <w:lang w:eastAsia="zh-CN"/>
        </w:rPr>
      </w:pPr>
      <w:r>
        <w:rPr>
          <w:color w:val="auto"/>
          <w:spacing w:val="-10"/>
          <w:lang w:eastAsia="zh-CN"/>
        </w:rPr>
        <w:t>公司发生上述第（一）条规定情形之一的，所有激励对象根据本激励计划已获授但尚未解除限售的限制性股票应当由公司回购注销；某一激励对象发生上述第（二）条规定情形之一的，该激励对象根据本激励计划已获授但尚未解除限售的限制性股票应当由公司回购注销。</w:t>
      </w:r>
    </w:p>
    <w:p>
      <w:pPr>
        <w:pStyle w:val="4"/>
        <w:spacing w:afterLines="50" w:line="360" w:lineRule="auto"/>
        <w:rPr>
          <w:color w:val="auto"/>
          <w:spacing w:val="-10"/>
          <w:lang w:eastAsia="zh-CN"/>
        </w:rPr>
      </w:pPr>
      <w:bookmarkStart w:id="2" w:name="三、本次授予股份认购资金的验资情况"/>
      <w:bookmarkEnd w:id="2"/>
      <w:r>
        <w:rPr>
          <w:color w:val="auto"/>
          <w:spacing w:val="-10"/>
          <w:lang w:eastAsia="zh-CN"/>
        </w:rPr>
        <w:t>（三）公司层面业绩考核要求</w:t>
      </w:r>
    </w:p>
    <w:p>
      <w:pPr>
        <w:pStyle w:val="4"/>
        <w:spacing w:beforeLines="50" w:afterLines="50" w:line="360" w:lineRule="auto"/>
        <w:ind w:firstLine="440" w:firstLineChars="200"/>
        <w:rPr>
          <w:rFonts w:asciiTheme="minorEastAsia" w:hAnsiTheme="minorEastAsia"/>
          <w:color w:val="auto"/>
        </w:rPr>
      </w:pPr>
      <w:r>
        <w:rPr>
          <w:color w:val="auto"/>
          <w:spacing w:val="-10"/>
          <w:lang w:eastAsia="zh-CN"/>
        </w:rPr>
        <w:t>本激励计划的解除限售考核年度为</w:t>
      </w:r>
      <w:r>
        <w:rPr>
          <w:rFonts w:asciiTheme="minorEastAsia" w:hAnsiTheme="minorEastAsia"/>
          <w:color w:val="auto"/>
          <w:spacing w:val="-10"/>
          <w:lang w:eastAsia="zh-CN"/>
        </w:rPr>
        <w:t>2022-2023</w:t>
      </w:r>
      <w:r>
        <w:rPr>
          <w:color w:val="auto"/>
          <w:spacing w:val="-10"/>
          <w:lang w:eastAsia="zh-CN"/>
        </w:rPr>
        <w:t>年</w:t>
      </w:r>
      <w:r>
        <w:rPr>
          <w:rFonts w:hint="eastAsia"/>
          <w:color w:val="auto"/>
          <w:spacing w:val="-10"/>
          <w:lang w:eastAsia="zh-CN"/>
        </w:rPr>
        <w:t>两</w:t>
      </w:r>
      <w:r>
        <w:rPr>
          <w:color w:val="auto"/>
          <w:spacing w:val="-10"/>
          <w:lang w:eastAsia="zh-CN"/>
        </w:rPr>
        <w:t>个会计年度，每个会计年度考核一次，以达到绩效考核目标作为解除限售条件。</w:t>
      </w:r>
      <w:r>
        <w:rPr>
          <w:rFonts w:hint="eastAsia" w:asciiTheme="minorEastAsia" w:hAnsiTheme="minorEastAsia"/>
          <w:color w:val="auto"/>
        </w:rPr>
        <w:t>具体如下：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9"/>
        <w:gridCol w:w="4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2169" w:type="pct"/>
            <w:shd w:val="clear" w:color="auto" w:fill="D9D9D9"/>
            <w:vAlign w:val="center"/>
          </w:tcPr>
          <w:p>
            <w:pPr>
              <w:spacing w:before="26"/>
              <w:jc w:val="center"/>
              <w:rPr>
                <w:b/>
                <w:color w:val="auto"/>
                <w:szCs w:val="21"/>
              </w:rPr>
            </w:pPr>
            <w:r>
              <w:rPr>
                <w:b/>
                <w:color w:val="auto"/>
                <w:w w:val="95"/>
                <w:szCs w:val="21"/>
              </w:rPr>
              <w:t>解除</w:t>
            </w:r>
            <w:r>
              <w:rPr>
                <w:rFonts w:hint="eastAsia"/>
                <w:b/>
                <w:color w:val="auto"/>
                <w:w w:val="95"/>
                <w:szCs w:val="21"/>
              </w:rPr>
              <w:t>限售期</w:t>
            </w:r>
          </w:p>
        </w:tc>
        <w:tc>
          <w:tcPr>
            <w:tcW w:w="2831" w:type="pct"/>
            <w:shd w:val="clear" w:color="auto" w:fill="D9D9D9"/>
            <w:vAlign w:val="center"/>
          </w:tcPr>
          <w:p>
            <w:pPr>
              <w:spacing w:before="26"/>
              <w:jc w:val="center"/>
              <w:rPr>
                <w:b/>
                <w:color w:val="auto"/>
                <w:szCs w:val="21"/>
              </w:rPr>
            </w:pPr>
            <w:r>
              <w:rPr>
                <w:rFonts w:hint="eastAsia"/>
                <w:b/>
                <w:color w:val="auto"/>
                <w:w w:val="95"/>
                <w:szCs w:val="21"/>
              </w:rPr>
              <w:t>业绩考核目标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7" w:hRule="exact"/>
          <w:jc w:val="center"/>
        </w:trPr>
        <w:tc>
          <w:tcPr>
            <w:tcW w:w="2169" w:type="pct"/>
            <w:vAlign w:val="center"/>
          </w:tcPr>
          <w:p>
            <w:pPr>
              <w:spacing w:before="158"/>
              <w:jc w:val="center"/>
              <w:rPr>
                <w:color w:val="auto"/>
                <w:szCs w:val="21"/>
                <w:lang w:eastAsia="zh-CN"/>
              </w:rPr>
            </w:pPr>
            <w:r>
              <w:rPr>
                <w:rFonts w:hint="eastAsia"/>
                <w:color w:val="auto"/>
                <w:szCs w:val="21"/>
                <w:lang w:eastAsia="zh-CN"/>
              </w:rPr>
              <w:t>预留授予限制性股票第一个解除限售期</w:t>
            </w:r>
          </w:p>
        </w:tc>
        <w:tc>
          <w:tcPr>
            <w:tcW w:w="2831" w:type="pct"/>
            <w:vAlign w:val="center"/>
          </w:tcPr>
          <w:p>
            <w:pPr>
              <w:rPr>
                <w:color w:val="auto"/>
                <w:szCs w:val="21"/>
                <w:lang w:eastAsia="zh-CN"/>
              </w:rPr>
            </w:pPr>
            <w:r>
              <w:rPr>
                <w:rFonts w:hint="eastAsia"/>
                <w:color w:val="auto"/>
                <w:szCs w:val="21"/>
                <w:lang w:eastAsia="zh-CN"/>
              </w:rPr>
              <w:t>以2020年营业收入为基数，2022年营业收入增长率不低于15%；同时以2020年净利润为基数，2022年净利润增长率不低于10%。公司层面具体解除限售比例参见本条计算。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exact"/>
          <w:jc w:val="center"/>
        </w:trPr>
        <w:tc>
          <w:tcPr>
            <w:tcW w:w="2169" w:type="pct"/>
            <w:vAlign w:val="center"/>
          </w:tcPr>
          <w:p>
            <w:pPr>
              <w:spacing w:before="158"/>
              <w:jc w:val="center"/>
              <w:rPr>
                <w:color w:val="auto"/>
                <w:szCs w:val="21"/>
                <w:lang w:eastAsia="zh-CN"/>
              </w:rPr>
            </w:pPr>
            <w:r>
              <w:rPr>
                <w:rFonts w:hint="eastAsia"/>
                <w:color w:val="auto"/>
                <w:szCs w:val="21"/>
                <w:lang w:eastAsia="zh-CN"/>
              </w:rPr>
              <w:t>预留授予限制性股票第二个解除限售期</w:t>
            </w:r>
          </w:p>
        </w:tc>
        <w:tc>
          <w:tcPr>
            <w:tcW w:w="2831" w:type="pct"/>
            <w:vAlign w:val="center"/>
          </w:tcPr>
          <w:p>
            <w:pPr>
              <w:rPr>
                <w:color w:val="auto"/>
                <w:szCs w:val="21"/>
                <w:lang w:eastAsia="zh-CN"/>
              </w:rPr>
            </w:pPr>
            <w:r>
              <w:rPr>
                <w:rFonts w:hint="eastAsia"/>
                <w:color w:val="auto"/>
                <w:szCs w:val="21"/>
                <w:lang w:eastAsia="zh-CN"/>
              </w:rPr>
              <w:t>以2020年营业收入为基数，2023年营业收入增长率不低于20%；同时以2020年净利润为基数，2023年净利润增长率不低于15%。公司层面具体解除限售比例参见本条计算。</w:t>
            </w:r>
          </w:p>
        </w:tc>
      </w:tr>
    </w:tbl>
    <w:p>
      <w:pPr>
        <w:spacing w:beforeLines="50" w:afterLines="50" w:line="360" w:lineRule="auto"/>
        <w:ind w:firstLine="480" w:firstLineChars="20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注：“净利润”指归属于上市公司股东的净利润。</w:t>
      </w:r>
    </w:p>
    <w:p>
      <w:pPr>
        <w:pStyle w:val="4"/>
        <w:spacing w:beforeLines="50" w:afterLines="50" w:line="360" w:lineRule="auto"/>
        <w:ind w:firstLine="440" w:firstLineChars="200"/>
        <w:rPr>
          <w:color w:val="auto"/>
          <w:spacing w:val="-10"/>
          <w:lang w:eastAsia="zh-CN"/>
        </w:rPr>
      </w:pPr>
      <w:r>
        <w:rPr>
          <w:rFonts w:hint="eastAsia"/>
          <w:color w:val="auto"/>
          <w:spacing w:val="-10"/>
          <w:lang w:eastAsia="zh-CN"/>
        </w:rPr>
        <w:t>本次激励计划首次授予限制性股票和预留授予限制性股票公司层面设置了营业收入和净利润两个业绩目标。其中按照营业收入（</w:t>
      </w:r>
      <w:r>
        <w:rPr>
          <w:color w:val="auto"/>
          <w:spacing w:val="-10"/>
          <w:lang w:eastAsia="zh-CN"/>
        </w:rPr>
        <w:t>S1</w:t>
      </w:r>
      <w:r>
        <w:rPr>
          <w:rFonts w:hint="eastAsia"/>
          <w:color w:val="auto"/>
          <w:spacing w:val="-10"/>
          <w:lang w:eastAsia="zh-CN"/>
        </w:rPr>
        <w:t>）占比</w:t>
      </w:r>
      <w:r>
        <w:rPr>
          <w:color w:val="auto"/>
          <w:spacing w:val="-10"/>
          <w:lang w:eastAsia="zh-CN"/>
        </w:rPr>
        <w:t>40%</w:t>
      </w:r>
      <w:r>
        <w:rPr>
          <w:rFonts w:hint="eastAsia"/>
          <w:color w:val="auto"/>
          <w:spacing w:val="-10"/>
          <w:lang w:eastAsia="zh-CN"/>
        </w:rPr>
        <w:t>、净利润（</w:t>
      </w:r>
      <w:r>
        <w:rPr>
          <w:color w:val="auto"/>
          <w:spacing w:val="-10"/>
          <w:lang w:eastAsia="zh-CN"/>
        </w:rPr>
        <w:t>S2</w:t>
      </w:r>
      <w:r>
        <w:rPr>
          <w:rFonts w:hint="eastAsia"/>
          <w:color w:val="auto"/>
          <w:spacing w:val="-10"/>
          <w:lang w:eastAsia="zh-CN"/>
        </w:rPr>
        <w:t>）占比</w:t>
      </w:r>
      <w:r>
        <w:rPr>
          <w:color w:val="auto"/>
          <w:spacing w:val="-10"/>
          <w:lang w:eastAsia="zh-CN"/>
        </w:rPr>
        <w:t>60%</w:t>
      </w:r>
      <w:r>
        <w:rPr>
          <w:rFonts w:hint="eastAsia"/>
          <w:color w:val="auto"/>
          <w:spacing w:val="-10"/>
          <w:lang w:eastAsia="zh-CN"/>
        </w:rPr>
        <w:t>的比例加权计算作为考核指标</w:t>
      </w:r>
      <w:r>
        <w:rPr>
          <w:color w:val="auto"/>
          <w:spacing w:val="-10"/>
          <w:lang w:eastAsia="zh-CN"/>
        </w:rPr>
        <w:t>S</w:t>
      </w:r>
      <w:r>
        <w:rPr>
          <w:rFonts w:hint="eastAsia"/>
          <w:color w:val="auto"/>
          <w:spacing w:val="-10"/>
          <w:lang w:eastAsia="zh-CN"/>
        </w:rPr>
        <w:t>，即</w:t>
      </w:r>
      <w:r>
        <w:rPr>
          <w:color w:val="auto"/>
          <w:spacing w:val="-10"/>
          <w:lang w:eastAsia="zh-CN"/>
        </w:rPr>
        <w:t>S=S1+S2</w:t>
      </w:r>
      <w:r>
        <w:rPr>
          <w:rFonts w:hint="eastAsia"/>
          <w:color w:val="auto"/>
          <w:spacing w:val="-10"/>
          <w:lang w:eastAsia="zh-CN"/>
        </w:rPr>
        <w:t>。</w:t>
      </w:r>
    </w:p>
    <w:p>
      <w:pPr>
        <w:pStyle w:val="4"/>
        <w:spacing w:beforeLines="50" w:afterLines="50" w:line="360" w:lineRule="auto"/>
        <w:ind w:firstLine="220" w:firstLineChars="100"/>
        <w:rPr>
          <w:color w:val="auto"/>
          <w:spacing w:val="-10"/>
          <w:lang w:eastAsia="zh-CN"/>
        </w:rPr>
      </w:pPr>
      <w:r>
        <w:rPr>
          <w:rFonts w:hint="eastAsia"/>
          <w:color w:val="auto"/>
          <w:spacing w:val="-10"/>
          <w:lang w:eastAsia="zh-CN"/>
        </w:rPr>
        <w:t>营业收入考核指标</w:t>
      </w:r>
      <w:r>
        <w:rPr>
          <w:color w:val="auto"/>
          <w:spacing w:val="-10"/>
          <w:lang w:eastAsia="zh-CN"/>
        </w:rPr>
        <w:t>S1=</w:t>
      </w:r>
      <w:r>
        <w:rPr>
          <w:rFonts w:hint="eastAsia"/>
          <w:color w:val="auto"/>
          <w:spacing w:val="-10"/>
          <w:lang w:eastAsia="zh-CN"/>
        </w:rPr>
        <w:t>当年实现值</w:t>
      </w:r>
      <w:r>
        <w:rPr>
          <w:color w:val="auto"/>
          <w:spacing w:val="-10"/>
          <w:lang w:eastAsia="zh-CN"/>
        </w:rPr>
        <w:t>/</w:t>
      </w:r>
      <w:r>
        <w:rPr>
          <w:rFonts w:hint="eastAsia"/>
          <w:color w:val="auto"/>
          <w:spacing w:val="-10"/>
          <w:lang w:eastAsia="zh-CN"/>
        </w:rPr>
        <w:t>考核指标值</w:t>
      </w:r>
      <w:r>
        <w:rPr>
          <w:color w:val="auto"/>
          <w:spacing w:val="-10"/>
          <w:lang w:eastAsia="zh-CN"/>
        </w:rPr>
        <w:t>*40%</w:t>
      </w:r>
      <w:r>
        <w:rPr>
          <w:rFonts w:hint="eastAsia"/>
          <w:color w:val="auto"/>
          <w:spacing w:val="-10"/>
          <w:lang w:eastAsia="zh-CN"/>
        </w:rPr>
        <w:t>，（注：</w:t>
      </w:r>
      <w:r>
        <w:rPr>
          <w:color w:val="auto"/>
          <w:spacing w:val="-10"/>
          <w:lang w:eastAsia="zh-CN"/>
        </w:rPr>
        <w:t>S1</w:t>
      </w:r>
      <w:r>
        <w:rPr>
          <w:rFonts w:hint="eastAsia"/>
          <w:color w:val="auto"/>
          <w:spacing w:val="-10"/>
          <w:lang w:eastAsia="zh-CN"/>
        </w:rPr>
        <w:t>最大值等于</w:t>
      </w:r>
      <w:r>
        <w:rPr>
          <w:color w:val="auto"/>
          <w:spacing w:val="-10"/>
          <w:lang w:eastAsia="zh-CN"/>
        </w:rPr>
        <w:t>0.4</w:t>
      </w:r>
      <w:r>
        <w:rPr>
          <w:rFonts w:hint="eastAsia"/>
          <w:color w:val="auto"/>
          <w:spacing w:val="-10"/>
          <w:lang w:eastAsia="zh-CN"/>
        </w:rPr>
        <w:t>）</w:t>
      </w:r>
    </w:p>
    <w:p>
      <w:pPr>
        <w:pStyle w:val="4"/>
        <w:spacing w:beforeLines="50" w:afterLines="50" w:line="360" w:lineRule="auto"/>
        <w:ind w:firstLine="440" w:firstLineChars="200"/>
        <w:rPr>
          <w:color w:val="auto"/>
          <w:spacing w:val="-10"/>
          <w:lang w:eastAsia="zh-CN"/>
        </w:rPr>
      </w:pPr>
      <w:r>
        <w:rPr>
          <w:rFonts w:hint="eastAsia"/>
          <w:color w:val="auto"/>
          <w:spacing w:val="-10"/>
          <w:lang w:eastAsia="zh-CN"/>
        </w:rPr>
        <w:t>净利润考核指标</w:t>
      </w:r>
      <w:r>
        <w:rPr>
          <w:color w:val="auto"/>
          <w:spacing w:val="-10"/>
          <w:lang w:eastAsia="zh-CN"/>
        </w:rPr>
        <w:t>S2=</w:t>
      </w:r>
      <w:r>
        <w:rPr>
          <w:rFonts w:hint="eastAsia"/>
          <w:color w:val="auto"/>
          <w:spacing w:val="-10"/>
          <w:lang w:eastAsia="zh-CN"/>
        </w:rPr>
        <w:t>当年实现值</w:t>
      </w:r>
      <w:r>
        <w:rPr>
          <w:color w:val="auto"/>
          <w:spacing w:val="-10"/>
          <w:lang w:eastAsia="zh-CN"/>
        </w:rPr>
        <w:t>/</w:t>
      </w:r>
      <w:r>
        <w:rPr>
          <w:rFonts w:hint="eastAsia"/>
          <w:color w:val="auto"/>
          <w:spacing w:val="-10"/>
          <w:lang w:eastAsia="zh-CN"/>
        </w:rPr>
        <w:t>考核指标值</w:t>
      </w:r>
      <w:r>
        <w:rPr>
          <w:color w:val="auto"/>
          <w:spacing w:val="-10"/>
          <w:lang w:eastAsia="zh-CN"/>
        </w:rPr>
        <w:t>*60%</w:t>
      </w:r>
      <w:r>
        <w:rPr>
          <w:rFonts w:hint="eastAsia"/>
          <w:color w:val="auto"/>
          <w:spacing w:val="-10"/>
          <w:lang w:eastAsia="zh-CN"/>
        </w:rPr>
        <w:t>，（注：</w:t>
      </w:r>
      <w:r>
        <w:rPr>
          <w:color w:val="auto"/>
          <w:spacing w:val="-10"/>
          <w:lang w:eastAsia="zh-CN"/>
        </w:rPr>
        <w:t>S2</w:t>
      </w:r>
      <w:r>
        <w:rPr>
          <w:rFonts w:hint="eastAsia"/>
          <w:color w:val="auto"/>
          <w:spacing w:val="-10"/>
          <w:lang w:eastAsia="zh-CN"/>
        </w:rPr>
        <w:t>最大值等于</w:t>
      </w:r>
      <w:r>
        <w:rPr>
          <w:color w:val="auto"/>
          <w:spacing w:val="-10"/>
          <w:lang w:eastAsia="zh-CN"/>
        </w:rPr>
        <w:t>0.6</w:t>
      </w:r>
      <w:r>
        <w:rPr>
          <w:rFonts w:hint="eastAsia"/>
          <w:color w:val="auto"/>
          <w:spacing w:val="-10"/>
          <w:lang w:eastAsia="zh-CN"/>
        </w:rPr>
        <w:t>）</w:t>
      </w:r>
    </w:p>
    <w:p>
      <w:pPr>
        <w:pStyle w:val="4"/>
        <w:spacing w:beforeLines="50" w:afterLines="50" w:line="360" w:lineRule="auto"/>
        <w:ind w:firstLine="440" w:firstLineChars="200"/>
        <w:rPr>
          <w:color w:val="auto"/>
          <w:spacing w:val="-10"/>
          <w:lang w:eastAsia="zh-CN"/>
        </w:rPr>
      </w:pPr>
      <w:r>
        <w:rPr>
          <w:rFonts w:hint="eastAsia"/>
          <w:color w:val="auto"/>
          <w:spacing w:val="-10"/>
          <w:lang w:eastAsia="zh-CN"/>
        </w:rPr>
        <w:t>公司层面按照当年实现的考核指标</w:t>
      </w:r>
      <w:r>
        <w:rPr>
          <w:color w:val="auto"/>
          <w:spacing w:val="-10"/>
          <w:lang w:eastAsia="zh-CN"/>
        </w:rPr>
        <w:t>S</w:t>
      </w:r>
      <w:r>
        <w:rPr>
          <w:rFonts w:hint="eastAsia"/>
          <w:color w:val="auto"/>
          <w:spacing w:val="-10"/>
          <w:lang w:eastAsia="zh-CN"/>
        </w:rPr>
        <w:t>值确定解除限售比例，确定标准如下：</w:t>
      </w:r>
    </w:p>
    <w:p>
      <w:pPr>
        <w:pStyle w:val="4"/>
        <w:spacing w:beforeLines="50" w:afterLines="50" w:line="360" w:lineRule="auto"/>
        <w:ind w:firstLine="440" w:firstLineChars="200"/>
        <w:rPr>
          <w:color w:val="auto"/>
          <w:spacing w:val="-10"/>
          <w:lang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8"/>
        <w:gridCol w:w="1705"/>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D8D8D8" w:themeFill="background1" w:themeFillShade="D9"/>
            <w:vAlign w:val="center"/>
          </w:tcPr>
          <w:p>
            <w:pPr>
              <w:pStyle w:val="4"/>
              <w:spacing w:line="360" w:lineRule="auto"/>
              <w:rPr>
                <w:rFonts w:asciiTheme="minorEastAsia" w:hAnsiTheme="minorEastAsia"/>
                <w:b/>
                <w:bCs/>
                <w:color w:val="auto"/>
                <w:spacing w:val="-10"/>
              </w:rPr>
            </w:pPr>
            <w:r>
              <w:rPr>
                <w:rFonts w:hint="eastAsia" w:asciiTheme="minorEastAsia" w:hAnsiTheme="minorEastAsia"/>
                <w:b/>
                <w:bCs/>
                <w:color w:val="auto"/>
                <w:spacing w:val="-10"/>
              </w:rPr>
              <w:t>上年度考核结果</w:t>
            </w:r>
          </w:p>
        </w:tc>
        <w:tc>
          <w:tcPr>
            <w:tcW w:w="1458" w:type="dxa"/>
            <w:shd w:val="clear" w:color="auto" w:fill="D8D8D8" w:themeFill="background1" w:themeFillShade="D9"/>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S=1</w:t>
            </w:r>
          </w:p>
        </w:tc>
        <w:tc>
          <w:tcPr>
            <w:tcW w:w="1705" w:type="dxa"/>
            <w:shd w:val="clear" w:color="auto" w:fill="D8D8D8" w:themeFill="background1" w:themeFillShade="D9"/>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0.9</w:t>
            </w:r>
            <w:r>
              <w:rPr>
                <w:rFonts w:hint="eastAsia" w:asciiTheme="minorEastAsia" w:hAnsiTheme="minorEastAsia"/>
                <w:color w:val="auto"/>
                <w:spacing w:val="-10"/>
              </w:rPr>
              <w:t>≤</w:t>
            </w:r>
            <w:r>
              <w:rPr>
                <w:rFonts w:asciiTheme="minorEastAsia" w:hAnsiTheme="minorEastAsia"/>
                <w:color w:val="auto"/>
                <w:spacing w:val="-10"/>
              </w:rPr>
              <w:t>S</w:t>
            </w:r>
            <w:r>
              <w:rPr>
                <w:rFonts w:hint="eastAsia" w:asciiTheme="minorEastAsia" w:hAnsiTheme="minorEastAsia"/>
                <w:color w:val="auto"/>
                <w:spacing w:val="-10"/>
              </w:rPr>
              <w:t>＜</w:t>
            </w:r>
            <w:r>
              <w:rPr>
                <w:rFonts w:asciiTheme="minorEastAsia" w:hAnsiTheme="minorEastAsia"/>
                <w:color w:val="auto"/>
                <w:spacing w:val="-10"/>
              </w:rPr>
              <w:t>1</w:t>
            </w:r>
          </w:p>
        </w:tc>
        <w:tc>
          <w:tcPr>
            <w:tcW w:w="1706" w:type="dxa"/>
            <w:shd w:val="clear" w:color="auto" w:fill="D8D8D8" w:themeFill="background1" w:themeFillShade="D9"/>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0.8</w:t>
            </w:r>
            <w:r>
              <w:rPr>
                <w:rFonts w:hint="eastAsia" w:asciiTheme="minorEastAsia" w:hAnsiTheme="minorEastAsia"/>
                <w:color w:val="auto"/>
                <w:spacing w:val="-10"/>
              </w:rPr>
              <w:t>≤</w:t>
            </w:r>
            <w:r>
              <w:rPr>
                <w:rFonts w:asciiTheme="minorEastAsia" w:hAnsiTheme="minorEastAsia"/>
                <w:color w:val="auto"/>
                <w:spacing w:val="-10"/>
              </w:rPr>
              <w:t>S</w:t>
            </w:r>
            <w:r>
              <w:rPr>
                <w:rFonts w:hint="eastAsia" w:asciiTheme="minorEastAsia" w:hAnsiTheme="minorEastAsia"/>
                <w:color w:val="auto"/>
                <w:spacing w:val="-10"/>
              </w:rPr>
              <w:t>＜</w:t>
            </w:r>
            <w:r>
              <w:rPr>
                <w:rFonts w:asciiTheme="minorEastAsia" w:hAnsiTheme="minorEastAsia"/>
                <w:color w:val="auto"/>
                <w:spacing w:val="-10"/>
              </w:rPr>
              <w:t>0.9</w:t>
            </w:r>
          </w:p>
        </w:tc>
        <w:tc>
          <w:tcPr>
            <w:tcW w:w="1706" w:type="dxa"/>
            <w:shd w:val="clear" w:color="auto" w:fill="D8D8D8" w:themeFill="background1" w:themeFillShade="D9"/>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S</w:t>
            </w:r>
            <w:r>
              <w:rPr>
                <w:rFonts w:hint="eastAsia" w:asciiTheme="minorEastAsia" w:hAnsiTheme="minorEastAsia"/>
                <w:color w:val="auto"/>
                <w:spacing w:val="-10"/>
              </w:rPr>
              <w:t>＜</w:t>
            </w:r>
            <w:r>
              <w:rPr>
                <w:rFonts w:asciiTheme="minorEastAsia" w:hAnsiTheme="minorEastAsia"/>
                <w:color w:val="auto"/>
                <w:spacing w:val="-10"/>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4"/>
              <w:spacing w:line="360" w:lineRule="auto"/>
              <w:jc w:val="center"/>
              <w:rPr>
                <w:rFonts w:asciiTheme="minorEastAsia" w:hAnsiTheme="minorEastAsia"/>
                <w:b/>
                <w:bCs/>
                <w:color w:val="auto"/>
                <w:spacing w:val="-10"/>
              </w:rPr>
            </w:pPr>
            <w:r>
              <w:rPr>
                <w:rFonts w:hint="eastAsia" w:asciiTheme="minorEastAsia" w:hAnsiTheme="minorEastAsia"/>
                <w:b/>
                <w:bCs/>
                <w:color w:val="auto"/>
                <w:spacing w:val="-10"/>
              </w:rPr>
              <w:t>可解除限售比例</w:t>
            </w:r>
          </w:p>
        </w:tc>
        <w:tc>
          <w:tcPr>
            <w:tcW w:w="1458"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100%</w:t>
            </w:r>
          </w:p>
        </w:tc>
        <w:tc>
          <w:tcPr>
            <w:tcW w:w="1705"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90%</w:t>
            </w:r>
          </w:p>
        </w:tc>
        <w:tc>
          <w:tcPr>
            <w:tcW w:w="1706"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80%</w:t>
            </w:r>
          </w:p>
        </w:tc>
        <w:tc>
          <w:tcPr>
            <w:tcW w:w="1706"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0</w:t>
            </w:r>
          </w:p>
        </w:tc>
      </w:tr>
    </w:tbl>
    <w:p>
      <w:pPr>
        <w:pStyle w:val="4"/>
        <w:spacing w:beforeLines="50" w:afterLines="50" w:line="360" w:lineRule="auto"/>
        <w:ind w:firstLine="440" w:firstLineChars="200"/>
        <w:rPr>
          <w:color w:val="auto"/>
          <w:spacing w:val="-10"/>
          <w:lang w:eastAsia="zh-CN"/>
        </w:rPr>
      </w:pPr>
      <w:r>
        <w:rPr>
          <w:rFonts w:hint="eastAsia"/>
          <w:color w:val="auto"/>
          <w:spacing w:val="-10"/>
          <w:lang w:eastAsia="zh-CN"/>
        </w:rPr>
        <w:t>限制性股票的解除限售条件达成，则激励对象可按照本激励计划规定比例解除限售。若公司未达到上述业绩考核目标，所有激励对象对应考核当年计划解除限售的限制性股票不得解除限售，由公司按授予价格回购注销。</w:t>
      </w:r>
    </w:p>
    <w:p>
      <w:pPr>
        <w:pStyle w:val="4"/>
        <w:spacing w:afterLines="50" w:line="360" w:lineRule="auto"/>
        <w:ind w:firstLine="440" w:firstLineChars="200"/>
        <w:rPr>
          <w:color w:val="auto"/>
          <w:spacing w:val="-10"/>
          <w:lang w:eastAsia="zh-CN"/>
        </w:rPr>
      </w:pPr>
      <w:r>
        <w:rPr>
          <w:color w:val="auto"/>
          <w:spacing w:val="-10"/>
          <w:lang w:eastAsia="zh-CN"/>
        </w:rPr>
        <w:t>（四）个人层面业绩考核要求</w:t>
      </w:r>
    </w:p>
    <w:p>
      <w:pPr>
        <w:pStyle w:val="4"/>
        <w:spacing w:beforeLines="50" w:afterLines="50" w:line="360" w:lineRule="auto"/>
        <w:ind w:firstLine="440" w:firstLineChars="200"/>
        <w:rPr>
          <w:color w:val="auto"/>
          <w:spacing w:val="-10"/>
          <w:lang w:eastAsia="zh-CN"/>
        </w:rPr>
      </w:pPr>
      <w:r>
        <w:rPr>
          <w:rFonts w:hint="eastAsia"/>
          <w:color w:val="auto"/>
          <w:spacing w:val="-10"/>
          <w:lang w:eastAsia="zh-CN"/>
        </w:rPr>
        <w:t>激励对象个人层面的考核根据公司现行薪酬与考核的相关规定组织实施，具体标准如下：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8"/>
        <w:gridCol w:w="1705"/>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D8D8D8" w:themeFill="background1" w:themeFillShade="D9"/>
            <w:vAlign w:val="center"/>
          </w:tcPr>
          <w:p>
            <w:pPr>
              <w:pStyle w:val="4"/>
              <w:spacing w:line="360" w:lineRule="auto"/>
              <w:jc w:val="center"/>
              <w:rPr>
                <w:rFonts w:asciiTheme="minorEastAsia" w:hAnsiTheme="minorEastAsia"/>
                <w:b/>
                <w:bCs/>
                <w:color w:val="auto"/>
                <w:spacing w:val="-10"/>
              </w:rPr>
            </w:pPr>
            <w:r>
              <w:rPr>
                <w:rFonts w:hint="eastAsia" w:asciiTheme="minorEastAsia" w:hAnsiTheme="minorEastAsia"/>
                <w:b/>
                <w:bCs/>
                <w:color w:val="auto"/>
                <w:spacing w:val="-10"/>
              </w:rPr>
              <w:t>考核等级</w:t>
            </w:r>
          </w:p>
        </w:tc>
        <w:tc>
          <w:tcPr>
            <w:tcW w:w="1458" w:type="dxa"/>
            <w:shd w:val="clear" w:color="auto" w:fill="D8D8D8" w:themeFill="background1" w:themeFillShade="D9"/>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A</w:t>
            </w:r>
            <w:r>
              <w:rPr>
                <w:rFonts w:hint="eastAsia" w:asciiTheme="minorEastAsia" w:hAnsiTheme="minorEastAsia"/>
                <w:color w:val="auto"/>
                <w:spacing w:val="-10"/>
              </w:rPr>
              <w:t>（优秀）</w:t>
            </w:r>
          </w:p>
        </w:tc>
        <w:tc>
          <w:tcPr>
            <w:tcW w:w="1705" w:type="dxa"/>
            <w:shd w:val="clear" w:color="auto" w:fill="D8D8D8" w:themeFill="background1" w:themeFillShade="D9"/>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B</w:t>
            </w:r>
            <w:r>
              <w:rPr>
                <w:rFonts w:hint="eastAsia" w:asciiTheme="minorEastAsia" w:hAnsiTheme="minorEastAsia"/>
                <w:color w:val="auto"/>
                <w:spacing w:val="-10"/>
              </w:rPr>
              <w:t>（良好）</w:t>
            </w:r>
          </w:p>
        </w:tc>
        <w:tc>
          <w:tcPr>
            <w:tcW w:w="1706" w:type="dxa"/>
            <w:shd w:val="clear" w:color="auto" w:fill="D8D8D8" w:themeFill="background1" w:themeFillShade="D9"/>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C</w:t>
            </w:r>
            <w:r>
              <w:rPr>
                <w:rFonts w:hint="eastAsia" w:asciiTheme="minorEastAsia" w:hAnsiTheme="minorEastAsia"/>
                <w:color w:val="auto"/>
                <w:spacing w:val="-10"/>
              </w:rPr>
              <w:t>（合格）</w:t>
            </w:r>
          </w:p>
        </w:tc>
        <w:tc>
          <w:tcPr>
            <w:tcW w:w="1706" w:type="dxa"/>
            <w:shd w:val="clear" w:color="auto" w:fill="D8D8D8" w:themeFill="background1" w:themeFillShade="D9"/>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D</w:t>
            </w:r>
            <w:r>
              <w:rPr>
                <w:rFonts w:hint="eastAsia" w:asciiTheme="minorEastAsia" w:hAnsiTheme="minorEastAsia"/>
                <w:color w:val="auto"/>
                <w:spacing w:val="-1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4"/>
              <w:spacing w:line="360" w:lineRule="auto"/>
              <w:rPr>
                <w:rFonts w:asciiTheme="minorEastAsia" w:hAnsiTheme="minorEastAsia"/>
                <w:b/>
                <w:bCs/>
                <w:color w:val="auto"/>
                <w:spacing w:val="-10"/>
              </w:rPr>
            </w:pPr>
            <w:r>
              <w:rPr>
                <w:rFonts w:hint="eastAsia" w:asciiTheme="minorEastAsia" w:hAnsiTheme="minorEastAsia"/>
                <w:b/>
                <w:bCs/>
                <w:color w:val="auto"/>
                <w:spacing w:val="-10"/>
              </w:rPr>
              <w:t>上年度考核结果</w:t>
            </w:r>
          </w:p>
        </w:tc>
        <w:tc>
          <w:tcPr>
            <w:tcW w:w="1458"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95</w:t>
            </w:r>
            <w:r>
              <w:rPr>
                <w:rFonts w:hint="eastAsia" w:asciiTheme="minorEastAsia" w:hAnsiTheme="minorEastAsia"/>
                <w:color w:val="auto"/>
                <w:spacing w:val="-10"/>
              </w:rPr>
              <w:t>≤</w:t>
            </w:r>
            <w:r>
              <w:rPr>
                <w:rFonts w:asciiTheme="minorEastAsia" w:hAnsiTheme="minorEastAsia"/>
                <w:color w:val="auto"/>
                <w:spacing w:val="-10"/>
              </w:rPr>
              <w:t>X</w:t>
            </w:r>
          </w:p>
        </w:tc>
        <w:tc>
          <w:tcPr>
            <w:tcW w:w="1705"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85</w:t>
            </w:r>
            <w:r>
              <w:rPr>
                <w:rFonts w:hint="eastAsia" w:asciiTheme="minorEastAsia" w:hAnsiTheme="minorEastAsia"/>
                <w:color w:val="auto"/>
                <w:spacing w:val="-10"/>
              </w:rPr>
              <w:t>≤</w:t>
            </w:r>
            <w:r>
              <w:rPr>
                <w:rFonts w:asciiTheme="minorEastAsia" w:hAnsiTheme="minorEastAsia"/>
                <w:color w:val="auto"/>
                <w:spacing w:val="-10"/>
              </w:rPr>
              <w:t>X</w:t>
            </w:r>
            <w:r>
              <w:rPr>
                <w:rFonts w:hint="eastAsia" w:asciiTheme="minorEastAsia" w:hAnsiTheme="minorEastAsia"/>
                <w:color w:val="auto"/>
                <w:spacing w:val="-10"/>
              </w:rPr>
              <w:t>＜</w:t>
            </w:r>
            <w:r>
              <w:rPr>
                <w:rFonts w:asciiTheme="minorEastAsia" w:hAnsiTheme="minorEastAsia"/>
                <w:color w:val="auto"/>
                <w:spacing w:val="-10"/>
              </w:rPr>
              <w:t>95</w:t>
            </w:r>
          </w:p>
        </w:tc>
        <w:tc>
          <w:tcPr>
            <w:tcW w:w="1706" w:type="dxa"/>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75</w:t>
            </w:r>
            <w:r>
              <w:rPr>
                <w:rFonts w:hint="eastAsia" w:asciiTheme="minorEastAsia" w:hAnsiTheme="minorEastAsia"/>
                <w:color w:val="auto"/>
                <w:spacing w:val="-10"/>
              </w:rPr>
              <w:t>≤</w:t>
            </w:r>
            <w:r>
              <w:rPr>
                <w:rFonts w:asciiTheme="minorEastAsia" w:hAnsiTheme="minorEastAsia"/>
                <w:color w:val="auto"/>
                <w:spacing w:val="-10"/>
              </w:rPr>
              <w:t>X</w:t>
            </w:r>
            <w:r>
              <w:rPr>
                <w:rFonts w:hint="eastAsia" w:asciiTheme="minorEastAsia" w:hAnsiTheme="minorEastAsia"/>
                <w:color w:val="auto"/>
                <w:spacing w:val="-10"/>
              </w:rPr>
              <w:t>＜</w:t>
            </w:r>
            <w:r>
              <w:rPr>
                <w:rFonts w:asciiTheme="minorEastAsia" w:hAnsiTheme="minorEastAsia"/>
                <w:color w:val="auto"/>
                <w:spacing w:val="-10"/>
              </w:rPr>
              <w:t>85</w:t>
            </w:r>
          </w:p>
        </w:tc>
        <w:tc>
          <w:tcPr>
            <w:tcW w:w="1706" w:type="dxa"/>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X</w:t>
            </w:r>
            <w:r>
              <w:rPr>
                <w:rFonts w:hint="eastAsia" w:asciiTheme="minorEastAsia" w:hAnsiTheme="minorEastAsia"/>
                <w:color w:val="auto"/>
                <w:spacing w:val="-10"/>
              </w:rPr>
              <w:t>＜</w:t>
            </w:r>
            <w:r>
              <w:rPr>
                <w:rFonts w:asciiTheme="minorEastAsia" w:hAnsiTheme="minorEastAsia"/>
                <w:color w:val="auto"/>
                <w:spacing w:val="-1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4"/>
              <w:spacing w:line="360" w:lineRule="auto"/>
              <w:jc w:val="center"/>
              <w:rPr>
                <w:rFonts w:asciiTheme="minorEastAsia" w:hAnsiTheme="minorEastAsia"/>
                <w:b/>
                <w:bCs/>
                <w:color w:val="auto"/>
                <w:spacing w:val="-10"/>
              </w:rPr>
            </w:pPr>
            <w:r>
              <w:rPr>
                <w:rFonts w:hint="eastAsia" w:asciiTheme="minorEastAsia" w:hAnsiTheme="minorEastAsia"/>
                <w:b/>
                <w:bCs/>
                <w:color w:val="auto"/>
                <w:spacing w:val="-10"/>
              </w:rPr>
              <w:t>可解除限售比例</w:t>
            </w:r>
          </w:p>
        </w:tc>
        <w:tc>
          <w:tcPr>
            <w:tcW w:w="1458"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100%</w:t>
            </w:r>
          </w:p>
        </w:tc>
        <w:tc>
          <w:tcPr>
            <w:tcW w:w="1705"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90%</w:t>
            </w:r>
          </w:p>
        </w:tc>
        <w:tc>
          <w:tcPr>
            <w:tcW w:w="1706"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80%</w:t>
            </w:r>
          </w:p>
        </w:tc>
        <w:tc>
          <w:tcPr>
            <w:tcW w:w="1706" w:type="dxa"/>
            <w:vAlign w:val="center"/>
          </w:tcPr>
          <w:p>
            <w:pPr>
              <w:pStyle w:val="4"/>
              <w:spacing w:line="360" w:lineRule="auto"/>
              <w:jc w:val="center"/>
              <w:rPr>
                <w:rFonts w:asciiTheme="minorEastAsia" w:hAnsiTheme="minorEastAsia"/>
                <w:color w:val="auto"/>
                <w:spacing w:val="-10"/>
              </w:rPr>
            </w:pPr>
            <w:r>
              <w:rPr>
                <w:rFonts w:asciiTheme="minorEastAsia" w:hAnsiTheme="minorEastAsia"/>
                <w:color w:val="auto"/>
                <w:spacing w:val="-10"/>
              </w:rPr>
              <w:t>0</w:t>
            </w:r>
          </w:p>
        </w:tc>
      </w:tr>
    </w:tbl>
    <w:p>
      <w:pPr>
        <w:spacing w:beforeLines="50" w:afterLines="50" w:line="360" w:lineRule="auto"/>
        <w:ind w:firstLine="440" w:firstLineChars="200"/>
        <w:rPr>
          <w:rFonts w:asciiTheme="minorEastAsia" w:hAnsiTheme="minorEastAsia"/>
          <w:color w:val="auto"/>
          <w:sz w:val="24"/>
          <w:szCs w:val="24"/>
          <w:lang w:eastAsia="zh-CN"/>
        </w:rPr>
      </w:pPr>
      <w:r>
        <w:rPr>
          <w:rFonts w:hint="eastAsia"/>
          <w:color w:val="auto"/>
          <w:spacing w:val="-10"/>
          <w:sz w:val="24"/>
          <w:lang w:eastAsia="zh-CN"/>
        </w:rPr>
        <w:t>在公司业绩目标达成的前提下，若激励对象上一年度个人绩效考核结果达到合格及以上，则</w:t>
      </w:r>
      <w:r>
        <w:rPr>
          <w:rFonts w:hint="eastAsia" w:asciiTheme="minorEastAsia" w:hAnsiTheme="minorEastAsia"/>
          <w:color w:val="auto"/>
          <w:sz w:val="24"/>
          <w:szCs w:val="24"/>
          <w:lang w:eastAsia="zh-CN"/>
        </w:rPr>
        <w:t>激励对象个人当年实际解除限售额度＝个人当年计划解除限售额度×公司层面可解除限售比例×个人层面可解除限售比例。</w:t>
      </w:r>
    </w:p>
    <w:p>
      <w:pPr>
        <w:pStyle w:val="4"/>
        <w:spacing w:beforeLines="50" w:afterLines="50" w:line="360" w:lineRule="auto"/>
        <w:ind w:firstLine="440" w:firstLineChars="200"/>
        <w:rPr>
          <w:color w:val="auto"/>
          <w:spacing w:val="-10"/>
          <w:lang w:eastAsia="zh-CN"/>
        </w:rPr>
      </w:pPr>
      <w:r>
        <w:rPr>
          <w:rFonts w:hint="eastAsia"/>
          <w:color w:val="auto"/>
          <w:spacing w:val="-10"/>
          <w:lang w:eastAsia="zh-CN"/>
        </w:rPr>
        <w:t>若激励对象上一年度的考核结果为不合格，该激励对象当年度所对应的已获授但尚未解除限售的限制性股票不可解除限售，由公司按授予价格回购注销。</w:t>
      </w:r>
    </w:p>
    <w:p>
      <w:pPr>
        <w:pStyle w:val="4"/>
        <w:spacing w:beforeLines="50" w:afterLines="50" w:line="360" w:lineRule="auto"/>
        <w:ind w:firstLine="440" w:firstLineChars="200"/>
        <w:rPr>
          <w:color w:val="auto"/>
          <w:spacing w:val="-10"/>
          <w:lang w:eastAsia="zh-CN"/>
        </w:rPr>
      </w:pPr>
      <w:r>
        <w:rPr>
          <w:rFonts w:hint="eastAsia"/>
          <w:color w:val="auto"/>
          <w:spacing w:val="-10"/>
          <w:lang w:eastAsia="zh-CN"/>
        </w:rPr>
        <w:t>本激励计划具体考核内容依据《考核管理办法》执行。</w:t>
      </w:r>
    </w:p>
    <w:p>
      <w:pPr>
        <w:spacing w:beforeLines="50" w:afterLines="50" w:line="360" w:lineRule="auto"/>
        <w:ind w:firstLine="199"/>
        <w:rPr>
          <w:rFonts w:asciiTheme="minorEastAsia" w:hAnsiTheme="minorEastAsia" w:eastAsiaTheme="minorEastAsia"/>
          <w:color w:val="auto"/>
          <w:lang w:eastAsia="zh-CN"/>
        </w:rPr>
      </w:pPr>
      <w:r>
        <w:rPr>
          <w:rFonts w:hint="eastAsia" w:asciiTheme="minorEastAsia" w:hAnsiTheme="minorEastAsia" w:eastAsiaTheme="minorEastAsia"/>
          <w:color w:val="auto"/>
          <w:sz w:val="24"/>
          <w:szCs w:val="24"/>
          <w:lang w:eastAsia="zh-CN"/>
        </w:rPr>
        <w:t>9</w:t>
      </w:r>
      <w:r>
        <w:rPr>
          <w:rFonts w:asciiTheme="minorEastAsia" w:hAnsiTheme="minorEastAsia" w:eastAsiaTheme="minorEastAsia"/>
          <w:color w:val="auto"/>
          <w:sz w:val="24"/>
          <w:szCs w:val="24"/>
          <w:lang w:eastAsia="zh-CN"/>
        </w:rPr>
        <w:t>、本次实施的激励计划与股东大会通过的激励计划的差异情况说明</w:t>
      </w:r>
    </w:p>
    <w:p>
      <w:pPr>
        <w:spacing w:beforeLines="50" w:afterLines="50" w:line="360" w:lineRule="auto"/>
        <w:ind w:firstLine="360" w:firstLineChars="150"/>
        <w:rPr>
          <w:color w:val="auto"/>
          <w:sz w:val="24"/>
          <w:szCs w:val="24"/>
          <w:lang w:eastAsia="zh-CN"/>
        </w:rPr>
      </w:pPr>
      <w:r>
        <w:rPr>
          <w:rFonts w:hint="eastAsia"/>
          <w:color w:val="auto"/>
          <w:sz w:val="24"/>
          <w:szCs w:val="24"/>
          <w:lang w:eastAsia="zh-CN"/>
        </w:rPr>
        <w:t>根据</w:t>
      </w:r>
      <w:r>
        <w:rPr>
          <w:color w:val="auto"/>
          <w:sz w:val="24"/>
          <w:szCs w:val="24"/>
          <w:lang w:eastAsia="zh-CN"/>
        </w:rPr>
        <w:t>2021年10月27日公司第四届董事会第六次会议通过的《关于调整公司2021年限制性股票激励计划相关事项的议案》，对激励计划（草案）进行了部分调整，调整的内容主要是对授予激励对象的人员名单以及激励股份数量进行的调整。具体调整如下：</w:t>
      </w:r>
    </w:p>
    <w:p>
      <w:pPr>
        <w:spacing w:beforeLines="50" w:afterLines="50" w:line="360" w:lineRule="auto"/>
        <w:ind w:firstLine="360" w:firstLineChars="150"/>
        <w:rPr>
          <w:color w:val="auto"/>
          <w:sz w:val="24"/>
          <w:szCs w:val="24"/>
          <w:lang w:eastAsia="zh-CN"/>
        </w:rPr>
      </w:pPr>
      <w:r>
        <w:rPr>
          <w:color w:val="auto"/>
          <w:sz w:val="24"/>
          <w:szCs w:val="24"/>
          <w:lang w:eastAsia="zh-CN"/>
        </w:rPr>
        <w:t>经公司与授予对象的反复沟通确认，公司2021年限制性股票激励计划中确定的部分拟激励对象由于其个人原因，自愿放弃认购拟授予的限制性股票共计4万股，上述股票将全部调整至公司预留股票。根据公司2021年第二次临时股东大会的授权，董事会对激励对象名单及授予数量进行了调整，该事项无需提交公司股东大会审议。预留授予限制性股票的总数由38.7626万股调整为42.7626万股。</w:t>
      </w:r>
    </w:p>
    <w:p>
      <w:pPr>
        <w:spacing w:beforeLines="50" w:afterLines="50" w:line="360" w:lineRule="auto"/>
        <w:ind w:firstLine="360" w:firstLineChars="150"/>
        <w:rPr>
          <w:color w:val="auto"/>
          <w:sz w:val="24"/>
          <w:szCs w:val="24"/>
          <w:lang w:eastAsia="zh-CN"/>
        </w:rPr>
      </w:pPr>
      <w:r>
        <w:rPr>
          <w:color w:val="auto"/>
          <w:sz w:val="24"/>
          <w:szCs w:val="24"/>
          <w:lang w:eastAsia="zh-CN"/>
        </w:rPr>
        <w:t>根据公司《2021年限制性股票激励计划》及公司2021年第二次临时股东大会的授权，公司于2022年09月08日召开四届董事会十四次会议与第四届监事会第十二次会议，审议通过了《关于调整2021年限制性股票激励计划预留部分授予价格的议案》，预留部分授予价格由5.00元/股调整为4.65元/股。</w:t>
      </w:r>
    </w:p>
    <w:p>
      <w:pPr>
        <w:pStyle w:val="4"/>
        <w:spacing w:afterLines="50" w:line="360" w:lineRule="auto"/>
        <w:ind w:firstLine="480" w:firstLineChars="200"/>
        <w:rPr>
          <w:color w:val="auto"/>
          <w:lang w:eastAsia="zh-CN"/>
        </w:rPr>
      </w:pPr>
      <w:r>
        <w:rPr>
          <w:color w:val="auto"/>
          <w:lang w:eastAsia="zh-CN"/>
        </w:rPr>
        <w:t>除上述内容调整外，本次实施的激励计划其他内容与2021年10月14日召开的2021年第二次临时股东大会审议通过的激励计划一致。</w:t>
      </w:r>
    </w:p>
    <w:p>
      <w:pPr>
        <w:pStyle w:val="4"/>
        <w:spacing w:afterLines="50" w:line="360" w:lineRule="auto"/>
        <w:ind w:firstLine="480" w:firstLineChars="200"/>
        <w:rPr>
          <w:rFonts w:asciiTheme="minorEastAsia" w:hAnsiTheme="minorEastAsia" w:eastAsiaTheme="minorEastAsia"/>
          <w:color w:val="auto"/>
          <w:spacing w:val="-10"/>
          <w:lang w:eastAsia="zh-CN"/>
        </w:rPr>
      </w:pPr>
      <w:r>
        <w:rPr>
          <w:rFonts w:hint="eastAsia" w:asciiTheme="minorEastAsia" w:hAnsiTheme="minorEastAsia" w:eastAsiaTheme="minorEastAsia"/>
          <w:color w:val="auto"/>
          <w:lang w:eastAsia="zh-CN"/>
        </w:rPr>
        <w:t>10</w:t>
      </w:r>
      <w:r>
        <w:rPr>
          <w:rFonts w:asciiTheme="minorEastAsia" w:hAnsiTheme="minorEastAsia" w:eastAsiaTheme="minorEastAsia"/>
          <w:color w:val="auto"/>
          <w:lang w:eastAsia="zh-CN"/>
        </w:rPr>
        <w:t>.本次股权激励</w:t>
      </w:r>
      <w:r>
        <w:rPr>
          <w:rFonts w:hint="eastAsia" w:asciiTheme="minorEastAsia" w:hAnsiTheme="minorEastAsia" w:eastAsiaTheme="minorEastAsia"/>
          <w:color w:val="auto"/>
          <w:lang w:eastAsia="zh-CN"/>
        </w:rPr>
        <w:t>计划</w:t>
      </w:r>
      <w:r>
        <w:rPr>
          <w:rFonts w:asciiTheme="minorEastAsia" w:hAnsiTheme="minorEastAsia" w:eastAsiaTheme="minorEastAsia"/>
          <w:color w:val="auto"/>
          <w:lang w:eastAsia="zh-CN"/>
        </w:rPr>
        <w:t>实施后，将不会导致股权分布不符合上市条件要求</w:t>
      </w:r>
      <w:r>
        <w:rPr>
          <w:rFonts w:hint="eastAsia" w:asciiTheme="minorEastAsia" w:hAnsiTheme="minorEastAsia" w:eastAsiaTheme="minorEastAsia"/>
          <w:color w:val="auto"/>
          <w:lang w:eastAsia="zh-CN"/>
        </w:rPr>
        <w:t>。</w:t>
      </w:r>
    </w:p>
    <w:p>
      <w:pPr>
        <w:pStyle w:val="2"/>
        <w:spacing w:afterLines="50"/>
        <w:ind w:left="0" w:firstLine="419" w:firstLineChars="183"/>
        <w:rPr>
          <w:color w:val="auto"/>
          <w:w w:val="95"/>
          <w:lang w:eastAsia="zh-CN"/>
        </w:rPr>
      </w:pPr>
      <w:r>
        <w:rPr>
          <w:rFonts w:hint="eastAsia"/>
          <w:color w:val="auto"/>
          <w:w w:val="95"/>
          <w:lang w:eastAsia="zh-CN"/>
        </w:rPr>
        <w:t>三、本次授予股份认购资金的验资情况</w:t>
      </w:r>
    </w:p>
    <w:p>
      <w:pPr>
        <w:pStyle w:val="4"/>
        <w:spacing w:afterLines="50" w:line="360" w:lineRule="auto"/>
        <w:ind w:firstLine="440" w:firstLineChars="200"/>
        <w:rPr>
          <w:color w:val="auto"/>
          <w:spacing w:val="-10"/>
          <w:lang w:eastAsia="zh-CN"/>
        </w:rPr>
      </w:pPr>
      <w:r>
        <w:rPr>
          <w:rFonts w:hint="eastAsia"/>
          <w:color w:val="auto"/>
          <w:spacing w:val="-10"/>
          <w:lang w:eastAsia="zh-CN"/>
        </w:rPr>
        <w:t>山东和信会计师事务所（特殊普</w:t>
      </w:r>
      <w:r>
        <w:rPr>
          <w:rFonts w:hint="eastAsia"/>
          <w:color w:val="auto"/>
          <w:lang w:eastAsia="zh-CN"/>
        </w:rPr>
        <w:t>通合伙）于20</w:t>
      </w:r>
      <w:r>
        <w:rPr>
          <w:rFonts w:hint="eastAsia"/>
          <w:color w:val="auto"/>
          <w:spacing w:val="-10"/>
          <w:lang w:eastAsia="zh-CN"/>
        </w:rPr>
        <w:t>22年9月9日出具了和信验字（2022)第000043号《验资报告》验证确认，公司以集中竞价交</w:t>
      </w:r>
      <w:r>
        <w:rPr>
          <w:rFonts w:hint="eastAsia"/>
          <w:color w:val="auto"/>
          <w:lang w:eastAsia="zh-CN"/>
        </w:rPr>
        <w:t>易方式从二级市场回购本公司A股普通股3</w:t>
      </w:r>
      <w:r>
        <w:rPr>
          <w:color w:val="auto"/>
          <w:lang w:eastAsia="zh-CN"/>
        </w:rPr>
        <w:t>,</w:t>
      </w:r>
      <w:r>
        <w:rPr>
          <w:rFonts w:hint="eastAsia"/>
          <w:color w:val="auto"/>
          <w:lang w:eastAsia="zh-CN"/>
        </w:rPr>
        <w:t>147</w:t>
      </w:r>
      <w:r>
        <w:rPr>
          <w:color w:val="auto"/>
          <w:lang w:eastAsia="zh-CN"/>
        </w:rPr>
        <w:t>,</w:t>
      </w:r>
      <w:r>
        <w:rPr>
          <w:rFonts w:hint="eastAsia"/>
          <w:color w:val="auto"/>
          <w:lang w:eastAsia="zh-CN"/>
        </w:rPr>
        <w:t>626</w:t>
      </w:r>
      <w:r>
        <w:rPr>
          <w:color w:val="auto"/>
          <w:lang w:eastAsia="zh-CN"/>
        </w:rPr>
        <w:t>.00</w:t>
      </w:r>
      <w:r>
        <w:rPr>
          <w:rFonts w:hint="eastAsia"/>
          <w:color w:val="auto"/>
          <w:lang w:eastAsia="zh-CN"/>
        </w:rPr>
        <w:t>股用于授予激励对象，其中首次授予</w:t>
      </w:r>
      <w:r>
        <w:rPr>
          <w:color w:val="auto"/>
          <w:lang w:eastAsia="zh-CN"/>
        </w:rPr>
        <w:t>2,720,000.00</w:t>
      </w:r>
      <w:r>
        <w:rPr>
          <w:rFonts w:hint="eastAsia"/>
          <w:color w:val="auto"/>
          <w:lang w:eastAsia="zh-CN"/>
        </w:rPr>
        <w:t>股，预留</w:t>
      </w:r>
      <w:r>
        <w:rPr>
          <w:color w:val="auto"/>
          <w:lang w:eastAsia="zh-CN"/>
        </w:rPr>
        <w:t>427,626.00</w:t>
      </w:r>
      <w:r>
        <w:rPr>
          <w:rFonts w:hint="eastAsia"/>
          <w:color w:val="auto"/>
          <w:lang w:eastAsia="zh-CN"/>
        </w:rPr>
        <w:t>股。</w:t>
      </w:r>
      <w:r>
        <w:rPr>
          <w:color w:val="auto"/>
          <w:lang w:eastAsia="zh-CN"/>
        </w:rPr>
        <w:t>根据贵公司</w:t>
      </w:r>
      <w:r>
        <w:rPr>
          <w:rFonts w:hint="eastAsia"/>
          <w:color w:val="auto"/>
          <w:lang w:eastAsia="zh-CN"/>
        </w:rPr>
        <w:t>第四届董事会第十四次会议决议审议通过的《关于调整 2021 年限制性股票激励计划预留部分授予价格的议案》及《关于向 2021 年限制性股票激励计划激励对象授予预留部分限制性股票的议案》，鉴于</w:t>
      </w:r>
      <w:r>
        <w:rPr>
          <w:color w:val="auto"/>
          <w:lang w:eastAsia="zh-CN"/>
        </w:rPr>
        <w:t>202</w:t>
      </w:r>
      <w:r>
        <w:rPr>
          <w:rFonts w:hint="eastAsia"/>
          <w:color w:val="auto"/>
          <w:lang w:eastAsia="zh-CN"/>
        </w:rPr>
        <w:t>1</w:t>
      </w:r>
      <w:r>
        <w:rPr>
          <w:color w:val="auto"/>
          <w:lang w:eastAsia="zh-CN"/>
        </w:rPr>
        <w:t xml:space="preserve"> 年限制性股票激励计划规定的授予条件已经成就</w:t>
      </w:r>
      <w:r>
        <w:rPr>
          <w:rFonts w:hint="eastAsia"/>
          <w:color w:val="auto"/>
          <w:lang w:eastAsia="zh-CN"/>
        </w:rPr>
        <w:t>，将</w:t>
      </w:r>
      <w:r>
        <w:rPr>
          <w:color w:val="auto"/>
          <w:lang w:eastAsia="zh-CN"/>
        </w:rPr>
        <w:t>202</w:t>
      </w:r>
      <w:r>
        <w:rPr>
          <w:rFonts w:hint="eastAsia"/>
          <w:color w:val="auto"/>
          <w:lang w:eastAsia="zh-CN"/>
        </w:rPr>
        <w:t>2</w:t>
      </w:r>
      <w:r>
        <w:rPr>
          <w:color w:val="auto"/>
          <w:lang w:eastAsia="zh-CN"/>
        </w:rPr>
        <w:t>年</w:t>
      </w:r>
      <w:r>
        <w:rPr>
          <w:rFonts w:hint="eastAsia"/>
          <w:color w:val="auto"/>
          <w:lang w:eastAsia="zh-CN"/>
        </w:rPr>
        <w:t>9</w:t>
      </w:r>
      <w:r>
        <w:rPr>
          <w:color w:val="auto"/>
          <w:lang w:eastAsia="zh-CN"/>
        </w:rPr>
        <w:t>月</w:t>
      </w:r>
      <w:r>
        <w:rPr>
          <w:rFonts w:hint="eastAsia"/>
          <w:color w:val="auto"/>
          <w:lang w:eastAsia="zh-CN"/>
        </w:rPr>
        <w:t>8</w:t>
      </w:r>
      <w:r>
        <w:rPr>
          <w:color w:val="auto"/>
          <w:lang w:eastAsia="zh-CN"/>
        </w:rPr>
        <w:t>日</w:t>
      </w:r>
      <w:r>
        <w:rPr>
          <w:rFonts w:hint="eastAsia"/>
          <w:color w:val="auto"/>
          <w:lang w:eastAsia="zh-CN"/>
        </w:rPr>
        <w:t>作</w:t>
      </w:r>
      <w:r>
        <w:rPr>
          <w:color w:val="auto"/>
          <w:lang w:eastAsia="zh-CN"/>
        </w:rPr>
        <w:t>为预留限制性股票授予日</w:t>
      </w:r>
      <w:r>
        <w:rPr>
          <w:rFonts w:hint="eastAsia"/>
          <w:color w:val="auto"/>
          <w:lang w:eastAsia="zh-CN"/>
        </w:rPr>
        <w:t>，</w:t>
      </w:r>
      <w:r>
        <w:rPr>
          <w:color w:val="auto"/>
          <w:lang w:eastAsia="zh-CN"/>
        </w:rPr>
        <w:t>向</w:t>
      </w:r>
      <w:r>
        <w:rPr>
          <w:rFonts w:hint="eastAsia"/>
          <w:color w:val="auto"/>
          <w:lang w:eastAsia="zh-CN"/>
        </w:rPr>
        <w:t>27</w:t>
      </w:r>
      <w:r>
        <w:rPr>
          <w:color w:val="auto"/>
          <w:lang w:eastAsia="zh-CN"/>
        </w:rPr>
        <w:t>名激励对象授予427,626.00股预留限制性股票</w:t>
      </w:r>
      <w:r>
        <w:rPr>
          <w:rFonts w:hint="eastAsia"/>
          <w:color w:val="auto"/>
          <w:lang w:eastAsia="zh-CN"/>
        </w:rPr>
        <w:t>，授予价格4.65元每股。经我们审验，截至20</w:t>
      </w:r>
      <w:r>
        <w:rPr>
          <w:color w:val="auto"/>
          <w:lang w:eastAsia="zh-CN"/>
        </w:rPr>
        <w:t>2</w:t>
      </w:r>
      <w:r>
        <w:rPr>
          <w:rFonts w:hint="eastAsia"/>
          <w:color w:val="auto"/>
          <w:lang w:eastAsia="zh-CN"/>
        </w:rPr>
        <w:t>2年9月9日止，贵公司已收到27位激励对象购买限制性股票缴纳的出资款人民币</w:t>
      </w:r>
      <w:r>
        <w:rPr>
          <w:color w:val="auto"/>
          <w:lang w:eastAsia="zh-CN"/>
        </w:rPr>
        <w:t>1,988,460.90</w:t>
      </w:r>
      <w:r>
        <w:rPr>
          <w:rFonts w:hint="eastAsia"/>
          <w:color w:val="auto"/>
          <w:lang w:eastAsia="zh-CN"/>
        </w:rPr>
        <w:t>元，全部以货币资金支付，因本次授予的限制性股票来源为贵公司从二级市场回购公司的普通股，故贵公司股本总额不变，增加股权激励限售股人民币</w:t>
      </w:r>
      <w:r>
        <w:rPr>
          <w:color w:val="auto"/>
          <w:lang w:eastAsia="zh-CN"/>
        </w:rPr>
        <w:t>427,626.00</w:t>
      </w:r>
      <w:r>
        <w:rPr>
          <w:rFonts w:hint="eastAsia"/>
          <w:color w:val="auto"/>
          <w:lang w:eastAsia="zh-CN"/>
        </w:rPr>
        <w:t>股，减少无限售条件流通股人民币</w:t>
      </w:r>
      <w:r>
        <w:rPr>
          <w:color w:val="auto"/>
          <w:lang w:eastAsia="zh-CN"/>
        </w:rPr>
        <w:t>427,626.00</w:t>
      </w:r>
      <w:r>
        <w:rPr>
          <w:rFonts w:hint="eastAsia"/>
          <w:color w:val="auto"/>
          <w:lang w:eastAsia="zh-CN"/>
        </w:rPr>
        <w:t>股。</w:t>
      </w:r>
    </w:p>
    <w:p>
      <w:pPr>
        <w:spacing w:line="360" w:lineRule="auto"/>
        <w:ind w:right="51" w:firstLine="482"/>
        <w:rPr>
          <w:color w:val="auto"/>
          <w:sz w:val="24"/>
          <w:lang w:eastAsia="zh-CN"/>
        </w:rPr>
      </w:pPr>
      <w:bookmarkStart w:id="3" w:name="四、本次授予限制性股票的上市日期"/>
      <w:bookmarkEnd w:id="3"/>
      <w:r>
        <w:rPr>
          <w:color w:val="auto"/>
          <w:sz w:val="24"/>
          <w:lang w:eastAsia="zh-CN"/>
        </w:rPr>
        <w:t>同时我们注意到，贵公司</w:t>
      </w:r>
      <w:r>
        <w:rPr>
          <w:rFonts w:hint="eastAsia"/>
          <w:color w:val="auto"/>
          <w:sz w:val="24"/>
          <w:lang w:eastAsia="zh-CN"/>
        </w:rPr>
        <w:t>限制性股票激励计划实施</w:t>
      </w:r>
      <w:r>
        <w:rPr>
          <w:color w:val="auto"/>
          <w:sz w:val="24"/>
          <w:lang w:eastAsia="zh-CN"/>
        </w:rPr>
        <w:t>前的注册资本为人民币169,032,648.00元，</w:t>
      </w:r>
      <w:r>
        <w:rPr>
          <w:rFonts w:hint="eastAsia"/>
          <w:color w:val="auto"/>
          <w:sz w:val="24"/>
          <w:lang w:eastAsia="zh-CN"/>
        </w:rPr>
        <w:t>股本为人民币</w:t>
      </w:r>
      <w:r>
        <w:rPr>
          <w:color w:val="auto"/>
          <w:sz w:val="24"/>
          <w:lang w:eastAsia="zh-CN"/>
        </w:rPr>
        <w:t>169,032,648.00</w:t>
      </w:r>
      <w:r>
        <w:rPr>
          <w:rFonts w:hint="eastAsia"/>
          <w:color w:val="auto"/>
          <w:sz w:val="24"/>
          <w:lang w:eastAsia="zh-CN"/>
        </w:rPr>
        <w:t>元，</w:t>
      </w:r>
      <w:r>
        <w:rPr>
          <w:color w:val="auto"/>
          <w:sz w:val="24"/>
          <w:lang w:eastAsia="zh-CN"/>
        </w:rPr>
        <w:t>已经和信会计师事务所（特殊普通合伙）出具和信验字（202</w:t>
      </w:r>
      <w:r>
        <w:rPr>
          <w:rFonts w:hint="eastAsia"/>
          <w:color w:val="auto"/>
          <w:sz w:val="24"/>
          <w:lang w:eastAsia="zh-CN"/>
        </w:rPr>
        <w:t>1</w:t>
      </w:r>
      <w:r>
        <w:rPr>
          <w:color w:val="auto"/>
          <w:sz w:val="24"/>
          <w:lang w:eastAsia="zh-CN"/>
        </w:rPr>
        <w:t>）第0000</w:t>
      </w:r>
      <w:r>
        <w:rPr>
          <w:rFonts w:hint="eastAsia"/>
          <w:color w:val="auto"/>
          <w:sz w:val="24"/>
          <w:lang w:eastAsia="zh-CN"/>
        </w:rPr>
        <w:t>51</w:t>
      </w:r>
      <w:r>
        <w:rPr>
          <w:color w:val="auto"/>
          <w:sz w:val="24"/>
          <w:lang w:eastAsia="zh-CN"/>
        </w:rPr>
        <w:t>号《验资报告》验证确认。</w:t>
      </w:r>
      <w:r>
        <w:rPr>
          <w:rFonts w:hint="eastAsia"/>
          <w:color w:val="auto"/>
          <w:sz w:val="24"/>
          <w:lang w:eastAsia="zh-CN"/>
        </w:rPr>
        <w:t>截至20</w:t>
      </w:r>
      <w:r>
        <w:rPr>
          <w:color w:val="auto"/>
          <w:sz w:val="24"/>
          <w:lang w:eastAsia="zh-CN"/>
        </w:rPr>
        <w:t>2</w:t>
      </w:r>
      <w:r>
        <w:rPr>
          <w:rFonts w:hint="eastAsia"/>
          <w:color w:val="auto"/>
          <w:sz w:val="24"/>
          <w:lang w:eastAsia="zh-CN"/>
        </w:rPr>
        <w:t>2年9月9日止，本次限制性股票激励计划未导致股本总额变动。</w:t>
      </w:r>
    </w:p>
    <w:p>
      <w:pPr>
        <w:pStyle w:val="2"/>
        <w:spacing w:afterLines="50"/>
        <w:ind w:left="0" w:firstLine="419" w:firstLineChars="183"/>
        <w:rPr>
          <w:color w:val="auto"/>
          <w:w w:val="95"/>
          <w:lang w:eastAsia="zh-CN"/>
        </w:rPr>
      </w:pPr>
      <w:r>
        <w:rPr>
          <w:color w:val="auto"/>
          <w:w w:val="95"/>
          <w:lang w:eastAsia="zh-CN"/>
        </w:rPr>
        <w:t>四、本次授予限制性股票的上市日期</w:t>
      </w:r>
    </w:p>
    <w:p>
      <w:pPr>
        <w:pStyle w:val="4"/>
        <w:spacing w:before="153" w:afterLines="50" w:line="338" w:lineRule="auto"/>
        <w:ind w:firstLine="424" w:firstLineChars="183"/>
        <w:jc w:val="both"/>
        <w:rPr>
          <w:color w:val="auto"/>
          <w:spacing w:val="-4"/>
          <w:lang w:eastAsia="zh-CN"/>
        </w:rPr>
      </w:pPr>
      <w:r>
        <w:rPr>
          <w:color w:val="auto"/>
          <w:spacing w:val="-4"/>
          <w:lang w:eastAsia="zh-CN"/>
        </w:rPr>
        <w:t>本次限制性股票激励计划</w:t>
      </w:r>
      <w:r>
        <w:rPr>
          <w:rFonts w:hint="eastAsia"/>
          <w:color w:val="auto"/>
          <w:spacing w:val="-4"/>
          <w:lang w:eastAsia="zh-CN"/>
        </w:rPr>
        <w:t>预留部分</w:t>
      </w:r>
      <w:r>
        <w:rPr>
          <w:color w:val="auto"/>
          <w:spacing w:val="-4"/>
          <w:lang w:eastAsia="zh-CN"/>
        </w:rPr>
        <w:t>的授予日为</w:t>
      </w:r>
      <w:r>
        <w:rPr>
          <w:rFonts w:hint="eastAsia"/>
          <w:color w:val="auto"/>
          <w:spacing w:val="-4"/>
          <w:lang w:eastAsia="zh-CN"/>
        </w:rPr>
        <w:t>2022</w:t>
      </w:r>
      <w:r>
        <w:rPr>
          <w:color w:val="auto"/>
          <w:spacing w:val="-4"/>
          <w:lang w:eastAsia="zh-CN"/>
        </w:rPr>
        <w:t>年</w:t>
      </w:r>
      <w:r>
        <w:rPr>
          <w:rFonts w:hint="eastAsia"/>
          <w:color w:val="auto"/>
          <w:spacing w:val="-4"/>
          <w:lang w:eastAsia="zh-CN"/>
        </w:rPr>
        <w:t>09</w:t>
      </w:r>
      <w:r>
        <w:rPr>
          <w:color w:val="auto"/>
          <w:spacing w:val="-4"/>
          <w:lang w:eastAsia="zh-CN"/>
        </w:rPr>
        <w:t>月</w:t>
      </w:r>
      <w:r>
        <w:rPr>
          <w:rFonts w:hint="eastAsia"/>
          <w:color w:val="auto"/>
          <w:spacing w:val="-4"/>
          <w:lang w:eastAsia="zh-CN"/>
        </w:rPr>
        <w:t>08</w:t>
      </w:r>
      <w:r>
        <w:rPr>
          <w:color w:val="auto"/>
          <w:spacing w:val="-4"/>
          <w:lang w:eastAsia="zh-CN"/>
        </w:rPr>
        <w:t>日，授予限制性股票的上市日期为</w:t>
      </w:r>
      <w:r>
        <w:rPr>
          <w:rFonts w:hint="eastAsia"/>
          <w:color w:val="auto"/>
          <w:spacing w:val="-4"/>
          <w:lang w:eastAsia="zh-CN"/>
        </w:rPr>
        <w:t>2022</w:t>
      </w:r>
      <w:r>
        <w:rPr>
          <w:color w:val="auto"/>
          <w:spacing w:val="-4"/>
          <w:lang w:eastAsia="zh-CN"/>
        </w:rPr>
        <w:t>年</w:t>
      </w:r>
      <w:r>
        <w:rPr>
          <w:rFonts w:hint="default"/>
          <w:color w:val="auto"/>
          <w:spacing w:val="-4"/>
          <w:lang w:val="en-US" w:eastAsia="zh-CN"/>
        </w:rPr>
        <w:t>09月22日</w:t>
      </w:r>
      <w:r>
        <w:rPr>
          <w:color w:val="auto"/>
          <w:spacing w:val="-4"/>
          <w:lang w:eastAsia="zh-CN"/>
        </w:rPr>
        <w:t>。</w:t>
      </w:r>
    </w:p>
    <w:p>
      <w:pPr>
        <w:pStyle w:val="2"/>
        <w:spacing w:afterLines="50"/>
        <w:ind w:left="0" w:firstLine="419" w:firstLineChars="183"/>
        <w:rPr>
          <w:color w:val="auto"/>
          <w:w w:val="95"/>
          <w:lang w:eastAsia="zh-CN"/>
        </w:rPr>
      </w:pPr>
      <w:bookmarkStart w:id="4" w:name="五、公司股份变动情况表"/>
      <w:bookmarkEnd w:id="4"/>
      <w:r>
        <w:rPr>
          <w:rFonts w:hint="eastAsia"/>
          <w:color w:val="auto"/>
          <w:w w:val="95"/>
          <w:lang w:eastAsia="zh-CN"/>
        </w:rPr>
        <w:t>五、</w:t>
      </w:r>
      <w:r>
        <w:rPr>
          <w:color w:val="auto"/>
          <w:w w:val="95"/>
          <w:lang w:eastAsia="zh-CN"/>
        </w:rPr>
        <w:t>公司股份变动情况表</w:t>
      </w:r>
    </w:p>
    <w:p>
      <w:pPr>
        <w:spacing w:afterLines="50"/>
        <w:rPr>
          <w:color w:val="auto"/>
          <w:lang w:eastAsia="zh-CN"/>
        </w:rPr>
      </w:pPr>
    </w:p>
    <w:tbl>
      <w:tblPr>
        <w:tblStyle w:val="9"/>
        <w:tblW w:w="8353" w:type="dxa"/>
        <w:tblInd w:w="93" w:type="dxa"/>
        <w:tblLayout w:type="fixed"/>
        <w:tblCellMar>
          <w:top w:w="0" w:type="dxa"/>
          <w:left w:w="108" w:type="dxa"/>
          <w:bottom w:w="0" w:type="dxa"/>
          <w:right w:w="108" w:type="dxa"/>
        </w:tblCellMar>
      </w:tblPr>
      <w:tblGrid>
        <w:gridCol w:w="1463"/>
        <w:gridCol w:w="1591"/>
        <w:gridCol w:w="1079"/>
        <w:gridCol w:w="1573"/>
        <w:gridCol w:w="1591"/>
        <w:gridCol w:w="1056"/>
      </w:tblGrid>
      <w:tr>
        <w:tblPrEx>
          <w:tblCellMar>
            <w:top w:w="0" w:type="dxa"/>
            <w:left w:w="108" w:type="dxa"/>
            <w:bottom w:w="0" w:type="dxa"/>
            <w:right w:w="108" w:type="dxa"/>
          </w:tblCellMar>
        </w:tblPrEx>
        <w:trPr>
          <w:trHeight w:val="525" w:hRule="atLeast"/>
        </w:trPr>
        <w:tc>
          <w:tcPr>
            <w:tcW w:w="1463" w:type="dxa"/>
            <w:vMerge w:val="restart"/>
            <w:tcBorders>
              <w:top w:val="single" w:color="000000" w:sz="8" w:space="0"/>
              <w:left w:val="single" w:color="000000" w:sz="8" w:space="0"/>
              <w:bottom w:val="single" w:color="000000" w:sz="8" w:space="0"/>
              <w:right w:val="single" w:color="000000" w:sz="8" w:space="0"/>
            </w:tcBorders>
            <w:shd w:val="pct25" w:color="auto" w:fill="auto"/>
            <w:noWrap/>
            <w:vAlign w:val="center"/>
          </w:tcPr>
          <w:p>
            <w:pPr>
              <w:jc w:val="center"/>
              <w:rPr>
                <w:color w:val="auto"/>
                <w:lang w:eastAsia="zh-CN"/>
              </w:rPr>
            </w:pPr>
          </w:p>
        </w:tc>
        <w:tc>
          <w:tcPr>
            <w:tcW w:w="2670" w:type="dxa"/>
            <w:gridSpan w:val="2"/>
            <w:tcBorders>
              <w:top w:val="single" w:color="000000" w:sz="8" w:space="0"/>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本次变动前</w:t>
            </w:r>
          </w:p>
        </w:tc>
        <w:tc>
          <w:tcPr>
            <w:tcW w:w="1573" w:type="dxa"/>
            <w:tcBorders>
              <w:top w:val="single" w:color="000000" w:sz="8" w:space="0"/>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本次变动增减</w:t>
            </w:r>
          </w:p>
        </w:tc>
        <w:tc>
          <w:tcPr>
            <w:tcW w:w="2647" w:type="dxa"/>
            <w:gridSpan w:val="2"/>
            <w:tcBorders>
              <w:top w:val="single" w:color="000000" w:sz="8" w:space="0"/>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本次变动后</w:t>
            </w:r>
          </w:p>
        </w:tc>
      </w:tr>
      <w:tr>
        <w:tblPrEx>
          <w:tblCellMar>
            <w:top w:w="0" w:type="dxa"/>
            <w:left w:w="108" w:type="dxa"/>
            <w:bottom w:w="0" w:type="dxa"/>
            <w:right w:w="108" w:type="dxa"/>
          </w:tblCellMar>
        </w:tblPrEx>
        <w:trPr>
          <w:trHeight w:val="525" w:hRule="atLeast"/>
        </w:trPr>
        <w:tc>
          <w:tcPr>
            <w:tcW w:w="1463" w:type="dxa"/>
            <w:vMerge w:val="continue"/>
            <w:tcBorders>
              <w:top w:val="single" w:color="000000" w:sz="8" w:space="0"/>
              <w:left w:val="single" w:color="000000" w:sz="8" w:space="0"/>
              <w:bottom w:val="single" w:color="000000" w:sz="8" w:space="0"/>
              <w:right w:val="single" w:color="000000" w:sz="8" w:space="0"/>
            </w:tcBorders>
            <w:shd w:val="pct25" w:color="auto" w:fill="auto"/>
            <w:noWrap/>
            <w:vAlign w:val="center"/>
          </w:tcPr>
          <w:p>
            <w:pPr>
              <w:jc w:val="center"/>
              <w:rPr>
                <w:color w:val="auto"/>
              </w:rPr>
            </w:pPr>
          </w:p>
        </w:tc>
        <w:tc>
          <w:tcPr>
            <w:tcW w:w="1591" w:type="dxa"/>
            <w:tcBorders>
              <w:top w:val="nil"/>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数量（股）</w:t>
            </w:r>
          </w:p>
        </w:tc>
        <w:tc>
          <w:tcPr>
            <w:tcW w:w="1079" w:type="dxa"/>
            <w:tcBorders>
              <w:top w:val="nil"/>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比例（%）</w:t>
            </w:r>
          </w:p>
        </w:tc>
        <w:tc>
          <w:tcPr>
            <w:tcW w:w="1573" w:type="dxa"/>
            <w:tcBorders>
              <w:top w:val="nil"/>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（股）</w:t>
            </w:r>
          </w:p>
        </w:tc>
        <w:tc>
          <w:tcPr>
            <w:tcW w:w="1591" w:type="dxa"/>
            <w:tcBorders>
              <w:top w:val="single" w:color="000000" w:sz="8" w:space="0"/>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数量（股）</w:t>
            </w:r>
          </w:p>
        </w:tc>
        <w:tc>
          <w:tcPr>
            <w:tcW w:w="1056" w:type="dxa"/>
            <w:tcBorders>
              <w:top w:val="single" w:color="000000" w:sz="8" w:space="0"/>
              <w:left w:val="single" w:color="000000" w:sz="8" w:space="0"/>
              <w:bottom w:val="single" w:color="000000" w:sz="8" w:space="0"/>
              <w:right w:val="single" w:color="000000" w:sz="8" w:space="0"/>
            </w:tcBorders>
            <w:shd w:val="pct25" w:color="auto" w:fill="auto"/>
            <w:vAlign w:val="center"/>
          </w:tcPr>
          <w:p>
            <w:pPr>
              <w:widowControl/>
              <w:jc w:val="center"/>
              <w:textAlignment w:val="top"/>
              <w:rPr>
                <w:b/>
                <w:bCs/>
                <w:color w:val="auto"/>
                <w:sz w:val="21"/>
                <w:szCs w:val="21"/>
              </w:rPr>
            </w:pPr>
            <w:r>
              <w:rPr>
                <w:rFonts w:hint="eastAsia"/>
                <w:b/>
                <w:bCs/>
                <w:color w:val="auto"/>
                <w:sz w:val="21"/>
                <w:szCs w:val="21"/>
                <w:lang w:eastAsia="zh-CN"/>
              </w:rPr>
              <w:t>比例（%）</w:t>
            </w:r>
          </w:p>
        </w:tc>
      </w:tr>
      <w:tr>
        <w:tblPrEx>
          <w:tblCellMar>
            <w:top w:w="0" w:type="dxa"/>
            <w:left w:w="108" w:type="dxa"/>
            <w:bottom w:w="0" w:type="dxa"/>
            <w:right w:w="108" w:type="dxa"/>
          </w:tblCellMar>
        </w:tblPrEx>
        <w:trPr>
          <w:trHeight w:val="525" w:hRule="atLeast"/>
        </w:trPr>
        <w:tc>
          <w:tcPr>
            <w:tcW w:w="14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b/>
                <w:bCs/>
                <w:color w:val="auto"/>
                <w:sz w:val="21"/>
                <w:szCs w:val="21"/>
              </w:rPr>
            </w:pPr>
            <w:r>
              <w:rPr>
                <w:rFonts w:hint="eastAsia"/>
                <w:b/>
                <w:bCs/>
                <w:color w:val="auto"/>
                <w:sz w:val="21"/>
                <w:szCs w:val="21"/>
                <w:lang w:eastAsia="zh-CN"/>
              </w:rPr>
              <w:t>一、限售流通股</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80,544,365</w:t>
            </w:r>
          </w:p>
        </w:tc>
        <w:tc>
          <w:tcPr>
            <w:tcW w:w="1079"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47.65%</w:t>
            </w:r>
          </w:p>
        </w:tc>
        <w:tc>
          <w:tcPr>
            <w:tcW w:w="1573"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427,626</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80,971,991</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47.90%</w:t>
            </w:r>
          </w:p>
        </w:tc>
      </w:tr>
      <w:tr>
        <w:tblPrEx>
          <w:tblCellMar>
            <w:top w:w="0" w:type="dxa"/>
            <w:left w:w="108" w:type="dxa"/>
            <w:bottom w:w="0" w:type="dxa"/>
            <w:right w:w="108" w:type="dxa"/>
          </w:tblCellMar>
        </w:tblPrEx>
        <w:trPr>
          <w:trHeight w:val="780" w:hRule="atLeast"/>
        </w:trPr>
        <w:tc>
          <w:tcPr>
            <w:tcW w:w="14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b/>
                <w:bCs/>
                <w:color w:val="auto"/>
                <w:sz w:val="21"/>
                <w:szCs w:val="21"/>
              </w:rPr>
            </w:pPr>
            <w:r>
              <w:rPr>
                <w:rFonts w:hint="eastAsia"/>
                <w:b/>
                <w:bCs/>
                <w:color w:val="auto"/>
                <w:sz w:val="21"/>
                <w:szCs w:val="21"/>
                <w:lang w:eastAsia="zh-CN"/>
              </w:rPr>
              <w:t>其中：高管锁定股份</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77,824,365</w:t>
            </w:r>
          </w:p>
        </w:tc>
        <w:tc>
          <w:tcPr>
            <w:tcW w:w="1079"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46.04%</w:t>
            </w:r>
          </w:p>
        </w:tc>
        <w:tc>
          <w:tcPr>
            <w:tcW w:w="1573"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77,824,365</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46.04%</w:t>
            </w:r>
          </w:p>
        </w:tc>
      </w:tr>
      <w:tr>
        <w:tblPrEx>
          <w:tblCellMar>
            <w:top w:w="0" w:type="dxa"/>
            <w:left w:w="108" w:type="dxa"/>
            <w:bottom w:w="0" w:type="dxa"/>
            <w:right w:w="108" w:type="dxa"/>
          </w:tblCellMar>
        </w:tblPrEx>
        <w:trPr>
          <w:trHeight w:val="1035" w:hRule="atLeast"/>
        </w:trPr>
        <w:tc>
          <w:tcPr>
            <w:tcW w:w="1463" w:type="dxa"/>
            <w:tcBorders>
              <w:top w:val="nil"/>
              <w:left w:val="single" w:color="000000" w:sz="8" w:space="0"/>
              <w:bottom w:val="single" w:color="000000" w:sz="8" w:space="0"/>
              <w:right w:val="single" w:color="000000" w:sz="8" w:space="0"/>
            </w:tcBorders>
            <w:shd w:val="clear" w:color="auto" w:fill="auto"/>
            <w:vAlign w:val="center"/>
          </w:tcPr>
          <w:p>
            <w:pPr>
              <w:widowControl/>
              <w:ind w:firstLine="422" w:firstLineChars="200"/>
              <w:jc w:val="center"/>
              <w:textAlignment w:val="top"/>
              <w:rPr>
                <w:b/>
                <w:bCs/>
                <w:color w:val="auto"/>
                <w:sz w:val="21"/>
                <w:szCs w:val="21"/>
              </w:rPr>
            </w:pPr>
            <w:r>
              <w:rPr>
                <w:rFonts w:hint="eastAsia"/>
                <w:b/>
                <w:bCs/>
                <w:color w:val="auto"/>
                <w:sz w:val="21"/>
                <w:szCs w:val="21"/>
                <w:lang w:eastAsia="zh-CN"/>
              </w:rPr>
              <w:t>股权激励限售股</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2,720,000</w:t>
            </w:r>
          </w:p>
        </w:tc>
        <w:tc>
          <w:tcPr>
            <w:tcW w:w="1079"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1.61%</w:t>
            </w:r>
          </w:p>
        </w:tc>
        <w:tc>
          <w:tcPr>
            <w:tcW w:w="1573"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427,626</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3,147,626</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1.86%</w:t>
            </w:r>
          </w:p>
        </w:tc>
      </w:tr>
      <w:tr>
        <w:tblPrEx>
          <w:tblCellMar>
            <w:top w:w="0" w:type="dxa"/>
            <w:left w:w="108" w:type="dxa"/>
            <w:bottom w:w="0" w:type="dxa"/>
            <w:right w:w="108" w:type="dxa"/>
          </w:tblCellMar>
        </w:tblPrEx>
        <w:trPr>
          <w:trHeight w:val="525" w:hRule="atLeast"/>
        </w:trPr>
        <w:tc>
          <w:tcPr>
            <w:tcW w:w="14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b/>
                <w:bCs/>
                <w:color w:val="auto"/>
                <w:sz w:val="21"/>
                <w:szCs w:val="21"/>
              </w:rPr>
            </w:pPr>
            <w:r>
              <w:rPr>
                <w:rFonts w:hint="eastAsia"/>
                <w:b/>
                <w:bCs/>
                <w:color w:val="auto"/>
                <w:sz w:val="21"/>
                <w:szCs w:val="21"/>
                <w:lang w:eastAsia="zh-CN"/>
              </w:rPr>
              <w:t>二、无限售流通股</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88,488,283</w:t>
            </w:r>
          </w:p>
        </w:tc>
        <w:tc>
          <w:tcPr>
            <w:tcW w:w="1079"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52.35%</w:t>
            </w:r>
          </w:p>
        </w:tc>
        <w:tc>
          <w:tcPr>
            <w:tcW w:w="1573"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-427,626</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88,060,657</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52.10%</w:t>
            </w:r>
          </w:p>
        </w:tc>
      </w:tr>
      <w:tr>
        <w:tblPrEx>
          <w:tblCellMar>
            <w:top w:w="0" w:type="dxa"/>
            <w:left w:w="108" w:type="dxa"/>
            <w:bottom w:w="0" w:type="dxa"/>
            <w:right w:w="108" w:type="dxa"/>
          </w:tblCellMar>
        </w:tblPrEx>
        <w:trPr>
          <w:trHeight w:val="525" w:hRule="atLeast"/>
        </w:trPr>
        <w:tc>
          <w:tcPr>
            <w:tcW w:w="14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b/>
                <w:bCs/>
                <w:color w:val="auto"/>
                <w:sz w:val="21"/>
                <w:szCs w:val="21"/>
              </w:rPr>
            </w:pPr>
            <w:r>
              <w:rPr>
                <w:rFonts w:hint="eastAsia"/>
                <w:b/>
                <w:bCs/>
                <w:color w:val="auto"/>
                <w:sz w:val="21"/>
                <w:szCs w:val="21"/>
                <w:lang w:eastAsia="zh-CN"/>
              </w:rPr>
              <w:t>三、总股本</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169,032,648</w:t>
            </w:r>
          </w:p>
        </w:tc>
        <w:tc>
          <w:tcPr>
            <w:tcW w:w="1079"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100%</w:t>
            </w:r>
          </w:p>
        </w:tc>
        <w:tc>
          <w:tcPr>
            <w:tcW w:w="1573"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w:t>
            </w:r>
          </w:p>
        </w:tc>
        <w:tc>
          <w:tcPr>
            <w:tcW w:w="1591" w:type="dxa"/>
            <w:tcBorders>
              <w:top w:val="nil"/>
              <w:left w:val="single" w:color="000000" w:sz="8" w:space="0"/>
              <w:bottom w:val="single" w:color="000000" w:sz="8" w:space="0"/>
              <w:right w:val="single" w:color="000000" w:sz="8" w:space="0"/>
            </w:tcBorders>
            <w:shd w:val="clear" w:color="auto" w:fill="auto"/>
            <w:vAlign w:val="center"/>
          </w:tcPr>
          <w:p>
            <w:pPr>
              <w:widowControl/>
              <w:ind w:firstLine="210" w:firstLineChars="100"/>
              <w:jc w:val="center"/>
              <w:textAlignment w:val="top"/>
              <w:rPr>
                <w:color w:val="auto"/>
                <w:sz w:val="21"/>
                <w:szCs w:val="21"/>
              </w:rPr>
            </w:pPr>
            <w:r>
              <w:rPr>
                <w:rFonts w:hint="eastAsia"/>
                <w:color w:val="auto"/>
                <w:sz w:val="21"/>
                <w:szCs w:val="21"/>
                <w:lang w:eastAsia="zh-CN"/>
              </w:rPr>
              <w:t>169,032,648</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top"/>
              <w:rPr>
                <w:color w:val="auto"/>
                <w:sz w:val="21"/>
                <w:szCs w:val="21"/>
              </w:rPr>
            </w:pPr>
            <w:r>
              <w:rPr>
                <w:rFonts w:hint="eastAsia"/>
                <w:color w:val="auto"/>
                <w:sz w:val="21"/>
                <w:szCs w:val="21"/>
                <w:lang w:eastAsia="zh-CN"/>
              </w:rPr>
              <w:t>100%</w:t>
            </w:r>
          </w:p>
        </w:tc>
      </w:tr>
    </w:tbl>
    <w:p>
      <w:pPr>
        <w:pStyle w:val="4"/>
        <w:spacing w:before="153" w:afterLines="50" w:line="338" w:lineRule="auto"/>
        <w:ind w:firstLine="384" w:firstLineChars="183"/>
        <w:jc w:val="both"/>
        <w:rPr>
          <w:rFonts w:asciiTheme="minorEastAsia" w:hAnsiTheme="minorEastAsia" w:eastAsiaTheme="minorEastAsia"/>
          <w:color w:val="auto"/>
          <w:spacing w:val="-4"/>
          <w:sz w:val="21"/>
          <w:szCs w:val="21"/>
          <w:lang w:eastAsia="zh-CN"/>
        </w:rPr>
      </w:pPr>
      <w:r>
        <w:rPr>
          <w:rFonts w:asciiTheme="minorEastAsia" w:hAnsiTheme="minorEastAsia" w:eastAsiaTheme="minorEastAsia"/>
          <w:color w:val="auto"/>
          <w:sz w:val="21"/>
          <w:szCs w:val="21"/>
          <w:lang w:eastAsia="zh-CN"/>
        </w:rPr>
        <w:t>注：因四舍五入原因，本表中各分项之和与合计可能存在尾差，最终以中国证券登记结算公司出具的数据为准。</w:t>
      </w:r>
    </w:p>
    <w:p>
      <w:pPr>
        <w:pStyle w:val="4"/>
        <w:spacing w:before="153" w:afterLines="50" w:line="338" w:lineRule="auto"/>
        <w:ind w:firstLine="424" w:firstLineChars="183"/>
        <w:jc w:val="both"/>
        <w:rPr>
          <w:color w:val="auto"/>
          <w:spacing w:val="-4"/>
          <w:lang w:eastAsia="zh-CN"/>
        </w:rPr>
      </w:pPr>
      <w:r>
        <w:rPr>
          <w:color w:val="auto"/>
          <w:spacing w:val="-4"/>
          <w:lang w:eastAsia="zh-CN"/>
        </w:rPr>
        <w:t>本次限制性股票</w:t>
      </w:r>
      <w:r>
        <w:rPr>
          <w:rFonts w:hint="eastAsia"/>
          <w:color w:val="auto"/>
          <w:spacing w:val="-4"/>
          <w:lang w:eastAsia="zh-CN"/>
        </w:rPr>
        <w:t>激励计划预留部分</w:t>
      </w:r>
      <w:r>
        <w:rPr>
          <w:color w:val="auto"/>
          <w:spacing w:val="-4"/>
          <w:lang w:eastAsia="zh-CN"/>
        </w:rPr>
        <w:t>授予完成后，公司股权分布仍具备上市条件。</w:t>
      </w:r>
      <w:bookmarkStart w:id="5" w:name="六、收益摊薄情况"/>
      <w:bookmarkEnd w:id="5"/>
    </w:p>
    <w:p>
      <w:pPr>
        <w:pStyle w:val="2"/>
        <w:spacing w:afterLines="50"/>
        <w:ind w:left="0" w:firstLine="419" w:firstLineChars="183"/>
        <w:rPr>
          <w:color w:val="auto"/>
          <w:w w:val="95"/>
          <w:lang w:eastAsia="zh-CN"/>
        </w:rPr>
      </w:pPr>
      <w:r>
        <w:rPr>
          <w:color w:val="auto"/>
          <w:w w:val="95"/>
          <w:lang w:eastAsia="zh-CN"/>
        </w:rPr>
        <w:t>六、收益摊薄情况</w:t>
      </w:r>
    </w:p>
    <w:p>
      <w:pPr>
        <w:pStyle w:val="4"/>
        <w:spacing w:before="153" w:afterLines="50" w:line="338" w:lineRule="auto"/>
        <w:ind w:firstLine="439" w:firstLineChars="183"/>
        <w:jc w:val="both"/>
        <w:rPr>
          <w:color w:val="auto"/>
          <w:lang w:eastAsia="zh-CN"/>
        </w:rPr>
      </w:pPr>
      <w:bookmarkStart w:id="6" w:name="七、控股股东及实际控制人持股比例变动情况"/>
      <w:bookmarkEnd w:id="6"/>
      <w:r>
        <w:rPr>
          <w:color w:val="auto"/>
          <w:lang w:eastAsia="zh-CN"/>
        </w:rPr>
        <w:t>本次授予的限制性股票</w:t>
      </w:r>
      <w:r>
        <w:rPr>
          <w:rFonts w:hint="eastAsia"/>
          <w:color w:val="auto"/>
          <w:spacing w:val="-4"/>
          <w:lang w:eastAsia="zh-CN"/>
        </w:rPr>
        <w:t>激励计划预留部分</w:t>
      </w:r>
      <w:r>
        <w:rPr>
          <w:color w:val="auto"/>
          <w:lang w:eastAsia="zh-CN"/>
        </w:rPr>
        <w:t>授予登记完成后，公司总股本未发生变化，每股收益情况不作调整。</w:t>
      </w:r>
    </w:p>
    <w:p>
      <w:pPr>
        <w:pStyle w:val="2"/>
        <w:spacing w:afterLines="50"/>
        <w:ind w:left="0" w:firstLine="419" w:firstLineChars="183"/>
        <w:rPr>
          <w:color w:val="auto"/>
          <w:w w:val="95"/>
          <w:lang w:eastAsia="zh-CN"/>
        </w:rPr>
      </w:pPr>
      <w:r>
        <w:rPr>
          <w:color w:val="auto"/>
          <w:w w:val="95"/>
          <w:lang w:eastAsia="zh-CN"/>
        </w:rPr>
        <w:t>七、控股股东及实际控制人持股比例变动情况</w:t>
      </w:r>
    </w:p>
    <w:p>
      <w:pPr>
        <w:pStyle w:val="4"/>
        <w:spacing w:before="153" w:afterLines="50" w:line="338" w:lineRule="auto"/>
        <w:ind w:firstLine="424" w:firstLineChars="183"/>
        <w:jc w:val="both"/>
        <w:rPr>
          <w:color w:val="auto"/>
          <w:spacing w:val="-4"/>
          <w:lang w:eastAsia="zh-CN"/>
        </w:rPr>
      </w:pPr>
      <w:bookmarkStart w:id="7" w:name="八、参与激励的董事、高级管理人员在授予日前6个月买卖公司股票情况的说明"/>
      <w:bookmarkEnd w:id="7"/>
      <w:r>
        <w:rPr>
          <w:color w:val="auto"/>
          <w:spacing w:val="-4"/>
          <w:lang w:eastAsia="zh-CN"/>
        </w:rPr>
        <w:t>本次授予的限制性股票</w:t>
      </w:r>
      <w:r>
        <w:rPr>
          <w:rFonts w:hint="eastAsia"/>
          <w:color w:val="auto"/>
          <w:spacing w:val="-4"/>
          <w:lang w:eastAsia="zh-CN"/>
        </w:rPr>
        <w:t>激励计划预留部分</w:t>
      </w:r>
      <w:r>
        <w:rPr>
          <w:color w:val="auto"/>
          <w:spacing w:val="-4"/>
          <w:lang w:eastAsia="zh-CN"/>
        </w:rPr>
        <w:t>授予登记完成后，公司总股本未发生变化，公司控股股东持股数量及持股比例均未发生变化，不会导致公司控制权发生变化。</w:t>
      </w:r>
    </w:p>
    <w:p>
      <w:pPr>
        <w:pStyle w:val="2"/>
        <w:spacing w:afterLines="50"/>
        <w:ind w:left="0" w:firstLine="419" w:firstLineChars="183"/>
        <w:rPr>
          <w:color w:val="auto"/>
          <w:w w:val="95"/>
          <w:lang w:eastAsia="zh-CN"/>
        </w:rPr>
      </w:pPr>
      <w:r>
        <w:rPr>
          <w:rFonts w:hint="eastAsia"/>
          <w:color w:val="auto"/>
          <w:w w:val="95"/>
          <w:lang w:eastAsia="zh-CN"/>
        </w:rPr>
        <w:t>八、参与激励的董事、高级管理人员在授予日前6个月买卖公司股票情况的说明</w:t>
      </w:r>
    </w:p>
    <w:p>
      <w:pPr>
        <w:pStyle w:val="4"/>
        <w:spacing w:before="153" w:afterLines="50" w:line="338" w:lineRule="auto"/>
        <w:ind w:firstLine="424" w:firstLineChars="183"/>
        <w:jc w:val="both"/>
        <w:rPr>
          <w:color w:val="auto"/>
          <w:lang w:eastAsia="zh-CN"/>
        </w:rPr>
      </w:pPr>
      <w:r>
        <w:rPr>
          <w:color w:val="auto"/>
          <w:spacing w:val="-4"/>
          <w:lang w:eastAsia="zh-CN"/>
        </w:rPr>
        <w:t>参与</w:t>
      </w:r>
      <w:r>
        <w:rPr>
          <w:rFonts w:hint="eastAsia"/>
          <w:color w:val="auto"/>
          <w:spacing w:val="-4"/>
          <w:lang w:eastAsia="zh-CN"/>
        </w:rPr>
        <w:t>2021</w:t>
      </w:r>
      <w:r>
        <w:rPr>
          <w:color w:val="auto"/>
          <w:spacing w:val="-4"/>
          <w:lang w:eastAsia="zh-CN"/>
        </w:rPr>
        <w:t>年限制性股票激励计划的公司董事、高级管理人员在授予日前6个月不存在买卖公司股票的情况。</w:t>
      </w:r>
    </w:p>
    <w:p>
      <w:pPr>
        <w:pStyle w:val="2"/>
        <w:spacing w:afterLines="50"/>
        <w:ind w:left="0" w:firstLine="419" w:firstLineChars="183"/>
        <w:rPr>
          <w:color w:val="auto"/>
          <w:lang w:eastAsia="zh-CN"/>
        </w:rPr>
      </w:pPr>
      <w:bookmarkStart w:id="8" w:name="九、授予限制性股票募集资金使用计划"/>
      <w:bookmarkEnd w:id="8"/>
      <w:r>
        <w:rPr>
          <w:color w:val="auto"/>
          <w:w w:val="95"/>
          <w:lang w:eastAsia="zh-CN"/>
        </w:rPr>
        <w:t>九、授予限制性股票募集资金使用计划</w:t>
      </w:r>
    </w:p>
    <w:p>
      <w:pPr>
        <w:pStyle w:val="4"/>
        <w:spacing w:before="153" w:afterLines="50" w:line="338" w:lineRule="auto"/>
        <w:ind w:firstLine="424" w:firstLineChars="183"/>
        <w:jc w:val="both"/>
        <w:rPr>
          <w:color w:val="auto"/>
          <w:spacing w:val="-4"/>
          <w:lang w:eastAsia="zh-CN"/>
        </w:rPr>
      </w:pPr>
      <w:r>
        <w:rPr>
          <w:color w:val="auto"/>
          <w:spacing w:val="-4"/>
          <w:lang w:eastAsia="zh-CN"/>
        </w:rPr>
        <w:t>本次授予激励对象限制性股票</w:t>
      </w:r>
      <w:r>
        <w:rPr>
          <w:rFonts w:hint="eastAsia"/>
          <w:color w:val="auto"/>
          <w:spacing w:val="-4"/>
          <w:lang w:eastAsia="zh-CN"/>
        </w:rPr>
        <w:t>激励计划预留部分</w:t>
      </w:r>
      <w:r>
        <w:rPr>
          <w:color w:val="auto"/>
          <w:spacing w:val="-4"/>
          <w:lang w:eastAsia="zh-CN"/>
        </w:rPr>
        <w:t>所筹集资金将用于补充公司流动资金。</w:t>
      </w:r>
    </w:p>
    <w:p>
      <w:pPr>
        <w:pStyle w:val="2"/>
        <w:spacing w:afterLines="50"/>
        <w:ind w:left="0" w:firstLine="419" w:firstLineChars="183"/>
        <w:rPr>
          <w:color w:val="auto"/>
          <w:w w:val="95"/>
          <w:lang w:eastAsia="zh-CN"/>
        </w:rPr>
      </w:pPr>
      <w:r>
        <w:rPr>
          <w:rFonts w:hint="eastAsia"/>
          <w:color w:val="auto"/>
          <w:w w:val="95"/>
          <w:lang w:eastAsia="zh-CN"/>
        </w:rPr>
        <w:t>十、</w:t>
      </w:r>
      <w:r>
        <w:rPr>
          <w:color w:val="auto"/>
          <w:w w:val="95"/>
          <w:lang w:eastAsia="zh-CN"/>
        </w:rPr>
        <w:t>公司已回购股份用于本次激励计划的情况说明</w:t>
      </w:r>
    </w:p>
    <w:p>
      <w:pPr>
        <w:pStyle w:val="4"/>
        <w:spacing w:before="153" w:afterLines="50" w:line="338" w:lineRule="auto"/>
        <w:ind w:firstLine="424" w:firstLineChars="183"/>
        <w:jc w:val="both"/>
        <w:rPr>
          <w:color w:val="auto"/>
          <w:spacing w:val="-4"/>
          <w:lang w:eastAsia="zh-CN"/>
        </w:rPr>
      </w:pPr>
      <w:r>
        <w:rPr>
          <w:color w:val="auto"/>
          <w:spacing w:val="-4"/>
          <w:lang w:eastAsia="zh-CN"/>
        </w:rPr>
        <w:t>1、回购股份的实施情况</w:t>
      </w:r>
    </w:p>
    <w:p>
      <w:pPr>
        <w:pStyle w:val="4"/>
        <w:spacing w:before="153" w:afterLines="50" w:line="338" w:lineRule="auto"/>
        <w:ind w:firstLine="424" w:firstLineChars="183"/>
        <w:jc w:val="both"/>
        <w:rPr>
          <w:color w:val="auto"/>
          <w:spacing w:val="-4"/>
          <w:lang w:eastAsia="zh-CN"/>
        </w:rPr>
      </w:pPr>
      <w:r>
        <w:rPr>
          <w:color w:val="auto"/>
          <w:spacing w:val="-4"/>
          <w:lang w:eastAsia="zh-CN"/>
        </w:rPr>
        <w:t>公司实施回购股份时间区间为20</w:t>
      </w:r>
      <w:r>
        <w:rPr>
          <w:rFonts w:hint="eastAsia"/>
          <w:color w:val="auto"/>
          <w:spacing w:val="-4"/>
          <w:lang w:eastAsia="zh-CN"/>
        </w:rPr>
        <w:t>21</w:t>
      </w:r>
      <w:r>
        <w:rPr>
          <w:color w:val="auto"/>
          <w:spacing w:val="-4"/>
          <w:lang w:eastAsia="zh-CN"/>
        </w:rPr>
        <w:t>年</w:t>
      </w:r>
      <w:r>
        <w:rPr>
          <w:rFonts w:hint="eastAsia"/>
          <w:color w:val="auto"/>
          <w:spacing w:val="-4"/>
          <w:lang w:eastAsia="zh-CN"/>
        </w:rPr>
        <w:t>6</w:t>
      </w:r>
      <w:r>
        <w:rPr>
          <w:color w:val="auto"/>
          <w:spacing w:val="-4"/>
          <w:lang w:eastAsia="zh-CN"/>
        </w:rPr>
        <w:t>月</w:t>
      </w:r>
      <w:r>
        <w:rPr>
          <w:rFonts w:hint="eastAsia"/>
          <w:color w:val="auto"/>
          <w:spacing w:val="-4"/>
          <w:lang w:eastAsia="zh-CN"/>
        </w:rPr>
        <w:t>29</w:t>
      </w:r>
      <w:r>
        <w:rPr>
          <w:color w:val="auto"/>
          <w:spacing w:val="-4"/>
          <w:lang w:eastAsia="zh-CN"/>
        </w:rPr>
        <w:t>日至20</w:t>
      </w:r>
      <w:r>
        <w:rPr>
          <w:rFonts w:hint="eastAsia"/>
          <w:color w:val="auto"/>
          <w:spacing w:val="-4"/>
          <w:lang w:eastAsia="zh-CN"/>
        </w:rPr>
        <w:t>21</w:t>
      </w:r>
      <w:r>
        <w:rPr>
          <w:color w:val="auto"/>
          <w:spacing w:val="-4"/>
          <w:lang w:eastAsia="zh-CN"/>
        </w:rPr>
        <w:t>年</w:t>
      </w:r>
      <w:r>
        <w:rPr>
          <w:rFonts w:hint="eastAsia"/>
          <w:color w:val="auto"/>
          <w:spacing w:val="-4"/>
          <w:lang w:eastAsia="zh-CN"/>
        </w:rPr>
        <w:t>9</w:t>
      </w:r>
      <w:r>
        <w:rPr>
          <w:color w:val="auto"/>
          <w:spacing w:val="-4"/>
          <w:lang w:eastAsia="zh-CN"/>
        </w:rPr>
        <w:t>月</w:t>
      </w:r>
      <w:r>
        <w:rPr>
          <w:rFonts w:hint="eastAsia"/>
          <w:color w:val="auto"/>
          <w:spacing w:val="-4"/>
          <w:lang w:eastAsia="zh-CN"/>
        </w:rPr>
        <w:t>18</w:t>
      </w:r>
      <w:r>
        <w:rPr>
          <w:color w:val="auto"/>
          <w:spacing w:val="-4"/>
          <w:lang w:eastAsia="zh-CN"/>
        </w:rPr>
        <w:t>日，公司累计</w:t>
      </w:r>
      <w:r>
        <w:rPr>
          <w:rFonts w:hint="eastAsia"/>
          <w:color w:val="auto"/>
          <w:lang w:eastAsia="zh-CN"/>
        </w:rPr>
        <w:t>通过回购专用证券账户以集中竞价方式回购</w:t>
      </w:r>
      <w:r>
        <w:rPr>
          <w:color w:val="auto"/>
          <w:spacing w:val="-4"/>
          <w:lang w:eastAsia="zh-CN"/>
        </w:rPr>
        <w:t>公司股份数量为</w:t>
      </w:r>
      <w:r>
        <w:rPr>
          <w:rFonts w:hint="eastAsia"/>
          <w:color w:val="auto"/>
          <w:lang w:eastAsia="zh-CN"/>
        </w:rPr>
        <w:t>3,147,626股</w:t>
      </w:r>
      <w:r>
        <w:rPr>
          <w:color w:val="auto"/>
          <w:spacing w:val="-4"/>
          <w:lang w:eastAsia="zh-CN"/>
        </w:rPr>
        <w:t>，成交的最高价为</w:t>
      </w:r>
      <w:r>
        <w:rPr>
          <w:rFonts w:hint="eastAsia"/>
          <w:color w:val="auto"/>
          <w:lang w:eastAsia="zh-CN"/>
        </w:rPr>
        <w:t>9.95</w:t>
      </w:r>
      <w:r>
        <w:rPr>
          <w:color w:val="auto"/>
          <w:spacing w:val="-4"/>
          <w:lang w:eastAsia="zh-CN"/>
        </w:rPr>
        <w:t>元/股，最低价为</w:t>
      </w:r>
      <w:r>
        <w:rPr>
          <w:rFonts w:hint="eastAsia"/>
          <w:color w:val="auto"/>
          <w:lang w:eastAsia="zh-CN"/>
        </w:rPr>
        <w:t>8.97</w:t>
      </w:r>
      <w:r>
        <w:rPr>
          <w:color w:val="auto"/>
          <w:spacing w:val="-4"/>
          <w:lang w:eastAsia="zh-CN"/>
        </w:rPr>
        <w:t>元/股，</w:t>
      </w:r>
      <w:r>
        <w:rPr>
          <w:rFonts w:hint="eastAsia"/>
          <w:color w:val="auto"/>
          <w:spacing w:val="-4"/>
          <w:lang w:eastAsia="zh-CN"/>
        </w:rPr>
        <w:t>均价为9.53元/股，</w:t>
      </w:r>
      <w:r>
        <w:rPr>
          <w:color w:val="auto"/>
          <w:spacing w:val="-4"/>
          <w:lang w:eastAsia="zh-CN"/>
        </w:rPr>
        <w:t>支付的总金额约为</w:t>
      </w:r>
      <w:r>
        <w:rPr>
          <w:rFonts w:hint="eastAsia"/>
          <w:color w:val="auto"/>
          <w:lang w:eastAsia="zh-CN"/>
        </w:rPr>
        <w:t>2</w:t>
      </w:r>
      <w:r>
        <w:rPr>
          <w:color w:val="auto"/>
          <w:lang w:eastAsia="zh-CN"/>
        </w:rPr>
        <w:t>,999.</w:t>
      </w:r>
      <w:r>
        <w:rPr>
          <w:rFonts w:hint="eastAsia"/>
          <w:color w:val="auto"/>
          <w:lang w:eastAsia="zh-CN"/>
        </w:rPr>
        <w:t>985万元（不含交易费用）</w:t>
      </w:r>
      <w:r>
        <w:rPr>
          <w:color w:val="auto"/>
          <w:spacing w:val="-4"/>
          <w:lang w:eastAsia="zh-CN"/>
        </w:rPr>
        <w:t>。</w:t>
      </w:r>
      <w:r>
        <w:rPr>
          <w:rFonts w:hint="eastAsia"/>
          <w:color w:val="auto"/>
          <w:spacing w:val="-4"/>
          <w:lang w:eastAsia="zh-CN"/>
        </w:rPr>
        <w:t xml:space="preserve"> 截至本公告日，</w:t>
      </w:r>
      <w:r>
        <w:rPr>
          <w:color w:val="auto"/>
          <w:spacing w:val="-4"/>
          <w:lang w:eastAsia="zh-CN"/>
        </w:rPr>
        <w:t>公司本次回购股份</w:t>
      </w:r>
      <w:r>
        <w:rPr>
          <w:rFonts w:hint="eastAsia"/>
          <w:color w:val="auto"/>
          <w:spacing w:val="-4"/>
          <w:lang w:eastAsia="zh-CN"/>
        </w:rPr>
        <w:t>用于本次限制性股票激励计划</w:t>
      </w:r>
      <w:r>
        <w:rPr>
          <w:color w:val="auto"/>
          <w:spacing w:val="-4"/>
          <w:lang w:eastAsia="zh-CN"/>
        </w:rPr>
        <w:t>已</w:t>
      </w:r>
      <w:r>
        <w:rPr>
          <w:rFonts w:hint="eastAsia"/>
          <w:color w:val="auto"/>
          <w:spacing w:val="-4"/>
          <w:lang w:eastAsia="zh-CN"/>
        </w:rPr>
        <w:t>全部</w:t>
      </w:r>
      <w:r>
        <w:rPr>
          <w:color w:val="auto"/>
          <w:spacing w:val="-4"/>
          <w:lang w:eastAsia="zh-CN"/>
        </w:rPr>
        <w:t>实施完毕。</w:t>
      </w:r>
    </w:p>
    <w:p>
      <w:pPr>
        <w:pStyle w:val="4"/>
        <w:numPr>
          <w:ilvl w:val="0"/>
          <w:numId w:val="2"/>
        </w:numPr>
        <w:spacing w:before="153" w:afterLines="50" w:line="338" w:lineRule="auto"/>
        <w:ind w:firstLine="424" w:firstLineChars="183"/>
        <w:jc w:val="both"/>
        <w:rPr>
          <w:color w:val="auto"/>
          <w:spacing w:val="-4"/>
          <w:lang w:eastAsia="zh-CN"/>
        </w:rPr>
      </w:pPr>
      <w:r>
        <w:rPr>
          <w:color w:val="auto"/>
          <w:spacing w:val="-4"/>
          <w:lang w:eastAsia="zh-CN"/>
        </w:rPr>
        <w:t>授予价格与回购均价差异处理</w:t>
      </w:r>
    </w:p>
    <w:p>
      <w:pPr>
        <w:pStyle w:val="4"/>
        <w:spacing w:before="153" w:afterLines="50" w:line="338" w:lineRule="auto"/>
        <w:ind w:firstLine="424" w:firstLineChars="183"/>
        <w:jc w:val="both"/>
        <w:rPr>
          <w:color w:val="auto"/>
          <w:spacing w:val="-4"/>
          <w:lang w:eastAsia="zh-CN"/>
        </w:rPr>
      </w:pPr>
      <w:r>
        <w:rPr>
          <w:color w:val="auto"/>
          <w:spacing w:val="-4"/>
          <w:lang w:eastAsia="zh-CN"/>
        </w:rPr>
        <w:t>根据《企业会计准则第37号——金融工具列报》第二十二条规定：金融工具或其组成部分属于权益工具的，其发行（含再融资）、回购、出售或注销时，发行方应当作为权益的变动处理。同时根据《企业会计准则第11号——股份支付》应用指南中对回购股份进行职工期权激励规定：企业应于职工行权购买本企业股份收到价款时，转销交付职工的库存股成本和等待期内资本公积（其他资本公积）累计金额，同时，按照其差额调整资本公积（股本溢价）。在等待期的每个资产负债表日，公司将按照限制性股票授予日的公允价值与员工认购价格之差计入成本费用，同时增加资本公积（其他资本公积）。</w:t>
      </w:r>
    </w:p>
    <w:p>
      <w:pPr>
        <w:pStyle w:val="2"/>
        <w:spacing w:afterLines="50"/>
        <w:ind w:left="0" w:firstLine="419" w:firstLineChars="183"/>
        <w:rPr>
          <w:color w:val="auto"/>
          <w:w w:val="95"/>
          <w:lang w:eastAsia="zh-CN"/>
        </w:rPr>
      </w:pPr>
      <w:r>
        <w:rPr>
          <w:rFonts w:hint="eastAsia"/>
          <w:color w:val="auto"/>
          <w:w w:val="95"/>
          <w:lang w:eastAsia="zh-CN"/>
        </w:rPr>
        <w:t>十一、备查文件</w:t>
      </w:r>
    </w:p>
    <w:p>
      <w:pPr>
        <w:pStyle w:val="4"/>
        <w:spacing w:before="153" w:afterLines="50" w:line="338" w:lineRule="auto"/>
        <w:ind w:firstLine="402" w:firstLineChars="183"/>
        <w:rPr>
          <w:color w:val="auto"/>
          <w:spacing w:val="-4"/>
          <w:lang w:eastAsia="zh-CN"/>
        </w:rPr>
      </w:pPr>
      <w:r>
        <w:rPr>
          <w:rFonts w:hint="eastAsia"/>
          <w:color w:val="auto"/>
          <w:spacing w:val="-10"/>
          <w:lang w:eastAsia="zh-CN"/>
        </w:rPr>
        <w:t>山东和信会计师事务所（特殊普通合伙）出具的和信验字（2022)第000043号《</w:t>
      </w:r>
      <w:r>
        <w:rPr>
          <w:rFonts w:hint="eastAsia"/>
          <w:color w:val="auto"/>
          <w:spacing w:val="-4"/>
          <w:lang w:eastAsia="zh-CN"/>
        </w:rPr>
        <w:t>青岛伟隆阀门股份有限公司</w:t>
      </w:r>
      <w:r>
        <w:rPr>
          <w:rFonts w:hint="eastAsia"/>
          <w:color w:val="auto"/>
          <w:spacing w:val="-10"/>
          <w:lang w:eastAsia="zh-CN"/>
        </w:rPr>
        <w:t>验资报告》</w:t>
      </w:r>
    </w:p>
    <w:p>
      <w:pPr>
        <w:pStyle w:val="4"/>
        <w:spacing w:before="153" w:afterLines="50" w:line="338" w:lineRule="auto"/>
        <w:ind w:firstLine="424" w:firstLineChars="183"/>
        <w:jc w:val="both"/>
        <w:rPr>
          <w:color w:val="auto"/>
          <w:spacing w:val="-4"/>
          <w:lang w:eastAsia="zh-CN"/>
        </w:rPr>
      </w:pPr>
      <w:r>
        <w:rPr>
          <w:color w:val="auto"/>
          <w:spacing w:val="-4"/>
          <w:lang w:eastAsia="zh-CN"/>
        </w:rPr>
        <w:t>特此公告。</w:t>
      </w:r>
    </w:p>
    <w:p>
      <w:pPr>
        <w:pStyle w:val="4"/>
        <w:spacing w:before="153" w:line="338" w:lineRule="auto"/>
        <w:ind w:right="-48" w:rightChars="-22" w:firstLine="424" w:firstLineChars="183"/>
        <w:jc w:val="right"/>
        <w:rPr>
          <w:color w:val="auto"/>
          <w:spacing w:val="-4"/>
          <w:lang w:eastAsia="zh-CN"/>
        </w:rPr>
      </w:pPr>
      <w:r>
        <w:rPr>
          <w:rFonts w:hint="eastAsia"/>
          <w:color w:val="auto"/>
          <w:spacing w:val="-4"/>
          <w:lang w:eastAsia="zh-CN"/>
        </w:rPr>
        <w:t>青岛伟隆阀门股份有限公司</w:t>
      </w:r>
    </w:p>
    <w:p>
      <w:pPr>
        <w:pStyle w:val="4"/>
        <w:wordWrap w:val="0"/>
        <w:spacing w:before="153" w:line="338" w:lineRule="auto"/>
        <w:ind w:right="-48" w:rightChars="-22" w:firstLine="424" w:firstLineChars="183"/>
        <w:jc w:val="right"/>
        <w:rPr>
          <w:color w:val="auto"/>
          <w:spacing w:val="-4"/>
          <w:lang w:eastAsia="zh-CN"/>
        </w:rPr>
      </w:pPr>
      <w:r>
        <w:rPr>
          <w:rFonts w:hint="eastAsia"/>
          <w:color w:val="auto"/>
          <w:spacing w:val="-4"/>
          <w:lang w:eastAsia="zh-CN"/>
        </w:rPr>
        <w:t xml:space="preserve">董事会        </w:t>
      </w:r>
    </w:p>
    <w:p>
      <w:pPr>
        <w:pStyle w:val="4"/>
        <w:wordWrap w:val="0"/>
        <w:spacing w:before="153" w:line="338" w:lineRule="auto"/>
        <w:ind w:right="-48" w:rightChars="-22" w:firstLine="424" w:firstLineChars="183"/>
        <w:jc w:val="right"/>
        <w:rPr>
          <w:color w:val="auto"/>
          <w:spacing w:val="-4"/>
          <w:lang w:eastAsia="zh-CN"/>
        </w:rPr>
      </w:pPr>
      <w:r>
        <w:rPr>
          <w:rFonts w:hint="eastAsia"/>
          <w:color w:val="auto"/>
          <w:spacing w:val="-4"/>
          <w:lang w:eastAsia="zh-CN"/>
        </w:rPr>
        <w:t>202</w:t>
      </w:r>
      <w:r>
        <w:rPr>
          <w:color w:val="auto"/>
          <w:spacing w:val="-4"/>
          <w:lang w:eastAsia="zh-CN"/>
        </w:rPr>
        <w:t>2</w:t>
      </w:r>
      <w:r>
        <w:rPr>
          <w:rFonts w:hint="eastAsia"/>
          <w:color w:val="auto"/>
          <w:spacing w:val="-4"/>
          <w:lang w:eastAsia="zh-CN"/>
        </w:rPr>
        <w:t>年</w:t>
      </w:r>
      <w:r>
        <w:rPr>
          <w:color w:val="auto"/>
          <w:spacing w:val="-4"/>
          <w:lang w:eastAsia="zh-CN"/>
        </w:rPr>
        <w:t>09</w:t>
      </w:r>
      <w:r>
        <w:rPr>
          <w:rFonts w:hint="eastAsia"/>
          <w:color w:val="auto"/>
          <w:spacing w:val="-4"/>
          <w:lang w:eastAsia="zh-CN"/>
        </w:rPr>
        <w:t>月</w:t>
      </w:r>
      <w:r>
        <w:rPr>
          <w:color w:val="auto"/>
          <w:spacing w:val="-4"/>
          <w:lang w:eastAsia="zh-CN"/>
        </w:rPr>
        <w:t>2</w:t>
      </w:r>
      <w:r>
        <w:rPr>
          <w:rFonts w:hint="default"/>
          <w:color w:val="auto"/>
          <w:spacing w:val="-4"/>
          <w:lang w:val="en-US" w:eastAsia="zh-CN"/>
        </w:rPr>
        <w:t>3</w:t>
      </w:r>
      <w:bookmarkStart w:id="9" w:name="_GoBack"/>
      <w:bookmarkEnd w:id="9"/>
      <w:r>
        <w:rPr>
          <w:rFonts w:hint="eastAsia"/>
          <w:color w:val="auto"/>
          <w:spacing w:val="-4"/>
          <w:lang w:eastAsia="zh-CN"/>
        </w:rPr>
        <w:t xml:space="preserve">日    </w:t>
      </w:r>
    </w:p>
    <w:sectPr>
      <w:footerReference r:id="rId3" w:type="default"/>
      <w:pgSz w:w="11910" w:h="16840"/>
      <w:pgMar w:top="1440" w:right="1800" w:bottom="1440" w:left="1800" w:header="0" w:footer="11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20"/>
      </w:rPr>
    </w:pPr>
    <w:r>
      <w:pict>
        <v:group id="_x0000_s1025" o:spid="_x0000_s1025" o:spt="203" style="position:absolute;left:0pt;margin-left:0pt;margin-top:799.9pt;height:42pt;width:595.35pt;mso-position-horizontal-relative:page;mso-position-vertical-relative:page;z-index:-251657216;mso-width-relative:page;mso-height-relative:page;" coordorigin="0,1" coordsize="1,84022203">
          <o:lock v:ext="edit"/>
          <v:shape id="_x0000_s1026" o:spid="_x0000_s1026" o:spt="75" type="#_x0000_t75" style="position:absolute;left:0;top:1;height:0;width:1;" filled="f" o:preferrelative="t" stroked="f" coordsize="21600,21600">
            <v:path/>
            <v:fill on="f" focussize="0,0"/>
            <v:stroke on="f" joinstyle="miter"/>
            <v:imagedata r:id="rId1" o:title=""/>
            <o:lock v:ext="edit" aspectratio="t"/>
          </v:shape>
          <v:shape id="_x0000_s1027" o:spid="_x0000_s1027" o:spt="75" type="#_x0000_t75" style="position:absolute;left:1;top:1;height:0;width:0;" filled="f" o:preferrelative="t" stroked="f" coordsize="21600,21600">
            <v:path/>
            <v:fill on="f" focussize="0,0"/>
            <v:stroke on="f" joinstyle="miter"/>
            <v:imagedata r:id="rId2" o:title=""/>
            <o:lock v:ext="edit" aspectratio="t"/>
          </v:shape>
        </v:group>
      </w:pict>
    </w:r>
    <w:r>
      <w:pict>
        <v:shape id="_x0000_s1028" o:spid="_x0000_s1028" o:spt="202" type="#_x0000_t202" style="position:absolute;left:0pt;margin-left:293.4pt;margin-top:771.2pt;height:11pt;width:8.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B5B2C"/>
    <w:multiLevelType w:val="singleLevel"/>
    <w:tmpl w:val="8C1B5B2C"/>
    <w:lvl w:ilvl="0" w:tentative="0">
      <w:start w:val="2"/>
      <w:numFmt w:val="decimal"/>
      <w:suff w:val="nothing"/>
      <w:lvlText w:val="%1、"/>
      <w:lvlJc w:val="left"/>
    </w:lvl>
  </w:abstractNum>
  <w:abstractNum w:abstractNumId="1">
    <w:nsid w:val="D6D25BBC"/>
    <w:multiLevelType w:val="singleLevel"/>
    <w:tmpl w:val="D6D25BB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C7D83"/>
    <w:rsid w:val="0017042D"/>
    <w:rsid w:val="00221FAF"/>
    <w:rsid w:val="0025455E"/>
    <w:rsid w:val="00376E35"/>
    <w:rsid w:val="00382F89"/>
    <w:rsid w:val="003E520C"/>
    <w:rsid w:val="004470A3"/>
    <w:rsid w:val="004A113A"/>
    <w:rsid w:val="004C3EE0"/>
    <w:rsid w:val="0055344F"/>
    <w:rsid w:val="00601126"/>
    <w:rsid w:val="00621B25"/>
    <w:rsid w:val="00645DA0"/>
    <w:rsid w:val="00691633"/>
    <w:rsid w:val="00713625"/>
    <w:rsid w:val="007C6BA0"/>
    <w:rsid w:val="00841670"/>
    <w:rsid w:val="00845061"/>
    <w:rsid w:val="00880E5C"/>
    <w:rsid w:val="00881145"/>
    <w:rsid w:val="008812A3"/>
    <w:rsid w:val="008C2530"/>
    <w:rsid w:val="008E2D9B"/>
    <w:rsid w:val="00933C67"/>
    <w:rsid w:val="009721BB"/>
    <w:rsid w:val="00A0066F"/>
    <w:rsid w:val="00A036A5"/>
    <w:rsid w:val="00AC0C84"/>
    <w:rsid w:val="00B24AE2"/>
    <w:rsid w:val="00B3610F"/>
    <w:rsid w:val="00BD0A03"/>
    <w:rsid w:val="00C64CA5"/>
    <w:rsid w:val="00C8245B"/>
    <w:rsid w:val="00C907CE"/>
    <w:rsid w:val="00CB3119"/>
    <w:rsid w:val="00D10B5E"/>
    <w:rsid w:val="00D701A9"/>
    <w:rsid w:val="00DC7D83"/>
    <w:rsid w:val="00DE5C85"/>
    <w:rsid w:val="00E2672B"/>
    <w:rsid w:val="00EB1D76"/>
    <w:rsid w:val="00EF1136"/>
    <w:rsid w:val="00F83C50"/>
    <w:rsid w:val="00FA0952"/>
    <w:rsid w:val="00FB264B"/>
    <w:rsid w:val="00FD6BAA"/>
    <w:rsid w:val="050C56F1"/>
    <w:rsid w:val="09316EEA"/>
    <w:rsid w:val="0DD02C2A"/>
    <w:rsid w:val="0F705212"/>
    <w:rsid w:val="133F697D"/>
    <w:rsid w:val="18180999"/>
    <w:rsid w:val="1850127B"/>
    <w:rsid w:val="18CF3F7A"/>
    <w:rsid w:val="1ACE6E17"/>
    <w:rsid w:val="1B221979"/>
    <w:rsid w:val="1C7C0B2B"/>
    <w:rsid w:val="1CE405F1"/>
    <w:rsid w:val="20B83B42"/>
    <w:rsid w:val="219403E0"/>
    <w:rsid w:val="26A87D8C"/>
    <w:rsid w:val="270F0DB7"/>
    <w:rsid w:val="2ACA50E4"/>
    <w:rsid w:val="2AF70BB5"/>
    <w:rsid w:val="2B5B383D"/>
    <w:rsid w:val="2E1F6E4C"/>
    <w:rsid w:val="30E3499D"/>
    <w:rsid w:val="347C46F0"/>
    <w:rsid w:val="39D74483"/>
    <w:rsid w:val="3CD3645C"/>
    <w:rsid w:val="3F335ED4"/>
    <w:rsid w:val="42786A9D"/>
    <w:rsid w:val="43740823"/>
    <w:rsid w:val="44C400F1"/>
    <w:rsid w:val="466F440B"/>
    <w:rsid w:val="4AB04203"/>
    <w:rsid w:val="4E28581D"/>
    <w:rsid w:val="50EF479F"/>
    <w:rsid w:val="515A2687"/>
    <w:rsid w:val="54347766"/>
    <w:rsid w:val="5A185218"/>
    <w:rsid w:val="5BB864DE"/>
    <w:rsid w:val="62C96794"/>
    <w:rsid w:val="68EE294E"/>
    <w:rsid w:val="6ADB2204"/>
    <w:rsid w:val="6B412DBC"/>
    <w:rsid w:val="71F918B8"/>
    <w:rsid w:val="756D5A84"/>
    <w:rsid w:val="75B65368"/>
    <w:rsid w:val="7D3C46C9"/>
    <w:rsid w:val="7E34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2282"/>
      <w:outlineLvl w:val="0"/>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style>
  <w:style w:type="paragraph" w:styleId="4">
    <w:name w:val="Body Text"/>
    <w:basedOn w:val="1"/>
    <w:qFormat/>
    <w:uiPriority w:val="1"/>
    <w:pPr>
      <w:spacing w:before="135"/>
    </w:pPr>
    <w:rPr>
      <w:sz w:val="24"/>
      <w:szCs w:val="24"/>
    </w:rPr>
  </w:style>
  <w:style w:type="paragraph" w:styleId="5">
    <w:name w:val="Balloon Text"/>
    <w:basedOn w:val="1"/>
    <w:link w:val="22"/>
    <w:qFormat/>
    <w:uiPriority w:val="0"/>
    <w:rPr>
      <w:sz w:val="18"/>
      <w:szCs w:val="18"/>
    </w:rPr>
  </w:style>
  <w:style w:type="paragraph" w:styleId="6">
    <w:name w:val="footer"/>
    <w:basedOn w:val="1"/>
    <w:link w:val="18"/>
    <w:qFormat/>
    <w:uiPriority w:val="0"/>
    <w:pPr>
      <w:tabs>
        <w:tab w:val="center" w:pos="4153"/>
        <w:tab w:val="right" w:pos="8306"/>
      </w:tabs>
      <w:snapToGrid w:val="0"/>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35"/>
      <w:ind w:left="2934" w:hanging="425"/>
    </w:pPr>
  </w:style>
  <w:style w:type="paragraph" w:customStyle="1" w:styleId="15">
    <w:name w:val="Table Paragraph"/>
    <w:basedOn w:val="1"/>
    <w:qFormat/>
    <w:uiPriority w:val="1"/>
    <w:pPr>
      <w:jc w:val="center"/>
    </w:pPr>
    <w:rPr>
      <w:rFonts w:ascii="Times New Roman" w:hAnsi="Times New Roman" w:eastAsia="Times New Roman" w:cs="Times New Roman"/>
    </w:rPr>
  </w:style>
  <w:style w:type="character" w:customStyle="1" w:styleId="16">
    <w:name w:val="fontstyle01"/>
    <w:basedOn w:val="11"/>
    <w:qFormat/>
    <w:uiPriority w:val="0"/>
    <w:rPr>
      <w:rFonts w:hint="eastAsia" w:ascii="仿宋" w:hAnsi="仿宋" w:eastAsia="仿宋"/>
      <w:color w:val="000000"/>
      <w:sz w:val="24"/>
      <w:szCs w:val="24"/>
    </w:rPr>
  </w:style>
  <w:style w:type="character" w:customStyle="1" w:styleId="17">
    <w:name w:val="页眉 Char"/>
    <w:basedOn w:val="11"/>
    <w:link w:val="7"/>
    <w:qFormat/>
    <w:uiPriority w:val="0"/>
    <w:rPr>
      <w:rFonts w:ascii="宋体" w:hAnsi="宋体" w:cs="宋体"/>
      <w:sz w:val="18"/>
      <w:szCs w:val="18"/>
      <w:lang w:eastAsia="en-US"/>
    </w:rPr>
  </w:style>
  <w:style w:type="character" w:customStyle="1" w:styleId="18">
    <w:name w:val="页脚 Char"/>
    <w:basedOn w:val="11"/>
    <w:link w:val="6"/>
    <w:qFormat/>
    <w:uiPriority w:val="0"/>
    <w:rPr>
      <w:rFonts w:ascii="宋体" w:hAnsi="宋体" w:cs="宋体"/>
      <w:sz w:val="18"/>
      <w:szCs w:val="18"/>
      <w:lang w:eastAsia="en-US"/>
    </w:rPr>
  </w:style>
  <w:style w:type="character" w:customStyle="1" w:styleId="19">
    <w:name w:val="批注文字 Char"/>
    <w:basedOn w:val="11"/>
    <w:link w:val="3"/>
    <w:qFormat/>
    <w:uiPriority w:val="0"/>
    <w:rPr>
      <w:rFonts w:ascii="宋体" w:hAnsi="宋体" w:cs="宋体"/>
      <w:sz w:val="22"/>
      <w:szCs w:val="22"/>
      <w:lang w:eastAsia="en-US"/>
    </w:rPr>
  </w:style>
  <w:style w:type="character" w:customStyle="1" w:styleId="20">
    <w:name w:val="批注主题 Char"/>
    <w:basedOn w:val="19"/>
    <w:link w:val="8"/>
    <w:qFormat/>
    <w:uiPriority w:val="0"/>
    <w:rPr>
      <w:rFonts w:ascii="宋体" w:hAnsi="宋体" w:cs="宋体"/>
      <w:b/>
      <w:bCs/>
      <w:sz w:val="22"/>
      <w:szCs w:val="22"/>
      <w:lang w:eastAsia="en-US"/>
    </w:rPr>
  </w:style>
  <w:style w:type="paragraph" w:customStyle="1" w:styleId="21">
    <w:name w:val="修订1"/>
    <w:hidden/>
    <w:unhideWhenUsed/>
    <w:qFormat/>
    <w:uiPriority w:val="99"/>
    <w:rPr>
      <w:rFonts w:ascii="宋体" w:hAnsi="宋体" w:eastAsia="宋体" w:cs="宋体"/>
      <w:sz w:val="22"/>
      <w:szCs w:val="22"/>
      <w:lang w:val="en-US" w:eastAsia="en-US" w:bidi="ar-SA"/>
    </w:rPr>
  </w:style>
  <w:style w:type="character" w:customStyle="1" w:styleId="22">
    <w:name w:val="批注框文本 Char"/>
    <w:basedOn w:val="11"/>
    <w:link w:val="5"/>
    <w:qFormat/>
    <w:uiPriority w:val="0"/>
    <w:rPr>
      <w:rFonts w:ascii="宋体" w:hAnsi="宋体" w:cs="宋体"/>
      <w:sz w:val="18"/>
      <w:szCs w:val="18"/>
      <w:lang w:eastAsia="en-US"/>
    </w:rPr>
  </w:style>
  <w:style w:type="paragraph" w:customStyle="1" w:styleId="23">
    <w:name w:val="修订2"/>
    <w:hidden/>
    <w:semiHidden/>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5825</Words>
  <Characters>6612</Characters>
  <Lines>48</Lines>
  <Paragraphs>13</Paragraphs>
  <TotalTime>97</TotalTime>
  <ScaleCrop>false</ScaleCrop>
  <LinksUpToDate>false</LinksUpToDate>
  <CharactersWithSpaces>6636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2018-11-26T11:48:00Z</dcterms:created>
  <dc:creator>微软用户</dc:creator>
  <cp:lastModifiedBy>Mr.翔</cp:lastModifiedBy>
  <dcterms:modified xsi:type="dcterms:W3CDTF">2022-09-20T03:04:14Z</dcterms:modified>
  <dc:title>浙江三花股份有限公司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Office Word 2007</vt:lpwstr>
  </property>
  <property fmtid="{D5CDD505-2E9C-101B-9397-08002B2CF9AE}" pid="4" name="LastSaved">
    <vt:filetime>2018-11-26T00:00:00Z</vt:filetime>
  </property>
  <property fmtid="{D5CDD505-2E9C-101B-9397-08002B2CF9AE}" pid="5" name="KSOProductBuildVer">
    <vt:lpwstr>2052-11.1.0.12358</vt:lpwstr>
  </property>
  <property fmtid="{D5CDD505-2E9C-101B-9397-08002B2CF9AE}" pid="6" name="ICV">
    <vt:lpwstr>02136D4CDB784FD3A9B8911E66431592</vt:lpwstr>
  </property>
</Properties>
</file>