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Times New Roman" w:hAnsi="Times New Roman" w:eastAsia="宋体" w:cs="Times New Roman"/>
          <w:sz w:val="24"/>
          <w:szCs w:val="23"/>
          <w:highlight w:val="yellow"/>
          <w:lang w:val="en-US" w:eastAsia="zh-CN" w:bidi="ar-SA"/>
        </w:rPr>
      </w:pPr>
      <w:r>
        <w:rPr>
          <w:rFonts w:hint="eastAsia" w:ascii="Times New Roman" w:hAnsi="Times New Roman" w:eastAsia="宋体" w:cs="Times New Roman"/>
          <w:sz w:val="24"/>
          <w:szCs w:val="23"/>
          <w:lang w:val="en-US" w:eastAsia="zh-CN" w:bidi="ar-SA"/>
        </w:rPr>
        <w:t>证券代码：002871               证券简称：伟隆股份                  公告编号：2022</w:t>
      </w:r>
      <w:r>
        <w:rPr>
          <w:rFonts w:hint="eastAsia" w:ascii="Times New Roman" w:hAnsi="Times New Roman" w:eastAsia="宋体" w:cs="Times New Roman"/>
          <w:sz w:val="24"/>
          <w:szCs w:val="23"/>
          <w:highlight w:val="none"/>
          <w:lang w:val="en-US" w:eastAsia="zh-CN" w:bidi="ar-SA"/>
        </w:rPr>
        <w:t>-0</w:t>
      </w:r>
      <w:r>
        <w:rPr>
          <w:rFonts w:hint="default" w:ascii="Times New Roman" w:hAnsi="Times New Roman" w:eastAsia="宋体" w:cs="Times New Roman"/>
          <w:sz w:val="24"/>
          <w:szCs w:val="23"/>
          <w:highlight w:val="none"/>
          <w:lang w:val="en-US" w:eastAsia="zh-CN" w:bidi="ar-SA"/>
        </w:rPr>
        <w:t>70</w:t>
      </w:r>
    </w:p>
    <w:p>
      <w:pPr>
        <w:spacing w:beforeLines="50" w:after="0"/>
        <w:jc w:val="center"/>
        <w:rPr>
          <w:rFonts w:ascii="宋体" w:hAnsi="宋体"/>
          <w:b/>
          <w:bCs/>
          <w:sz w:val="28"/>
          <w:szCs w:val="24"/>
        </w:rPr>
      </w:pPr>
      <w:r>
        <w:rPr>
          <w:rFonts w:hint="eastAsia" w:ascii="宋体" w:hAnsi="宋体"/>
          <w:b/>
          <w:bCs/>
          <w:sz w:val="28"/>
          <w:szCs w:val="24"/>
        </w:rPr>
        <w:t>青岛伟隆阀门股份有限公司</w:t>
      </w:r>
    </w:p>
    <w:p>
      <w:pPr>
        <w:spacing w:beforeLines="50" w:after="0"/>
        <w:jc w:val="center"/>
        <w:rPr>
          <w:rFonts w:hint="default" w:ascii="宋体" w:hAnsi="宋体"/>
          <w:b/>
          <w:bCs/>
          <w:sz w:val="28"/>
          <w:szCs w:val="24"/>
          <w:lang w:val="en-US" w:eastAsia="zh-CN"/>
        </w:rPr>
      </w:pPr>
      <w:r>
        <w:rPr>
          <w:rFonts w:hint="eastAsia" w:ascii="宋体" w:hAnsi="宋体"/>
          <w:b/>
          <w:bCs/>
          <w:sz w:val="28"/>
          <w:szCs w:val="24"/>
          <w:lang w:val="en-US" w:eastAsia="zh-CN"/>
        </w:rPr>
        <w:t>关于公司股票交易异常波动的公告</w:t>
      </w:r>
    </w:p>
    <w:p>
      <w:pPr>
        <w:spacing w:beforeLines="50" w:after="0"/>
        <w:jc w:val="center"/>
        <w:rPr>
          <w:rFonts w:hint="eastAsia" w:ascii="宋体" w:hAnsi="宋体"/>
          <w:b/>
          <w:bCs/>
          <w:sz w:val="18"/>
          <w:szCs w:val="16"/>
          <w:lang w:val="en-US" w:eastAsia="zh-CN"/>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line="360" w:lineRule="auto"/>
        <w:ind w:firstLine="570"/>
        <w:rPr>
          <w:rFonts w:ascii="宋体" w:hAnsi="宋体"/>
          <w:b/>
          <w:sz w:val="24"/>
          <w:szCs w:val="24"/>
        </w:rPr>
      </w:pPr>
    </w:p>
    <w:p>
      <w:pPr>
        <w:pStyle w:val="17"/>
        <w:numPr>
          <w:ilvl w:val="0"/>
          <w:numId w:val="1"/>
        </w:numPr>
        <w:spacing w:line="480" w:lineRule="auto"/>
        <w:ind w:firstLine="482" w:firstLineChars="200"/>
        <w:rPr>
          <w:rFonts w:hint="default"/>
          <w:b/>
          <w:bCs/>
          <w:sz w:val="24"/>
          <w:szCs w:val="23"/>
          <w:lang w:val="en-US" w:eastAsia="zh-CN"/>
        </w:rPr>
      </w:pPr>
      <w:r>
        <w:rPr>
          <w:rFonts w:hint="eastAsia" w:ascii="宋体" w:hAnsi="宋体" w:eastAsia="宋体" w:cs="宋体"/>
          <w:b/>
          <w:bCs/>
          <w:i w:val="0"/>
          <w:iCs w:val="0"/>
          <w:color w:val="000000"/>
          <w:sz w:val="24"/>
          <w:szCs w:val="24"/>
        </w:rPr>
        <w:t>股票交易异常波动的情况介绍</w:t>
      </w:r>
    </w:p>
    <w:p>
      <w:pPr>
        <w:pStyle w:val="17"/>
        <w:numPr>
          <w:ilvl w:val="0"/>
          <w:numId w:val="0"/>
        </w:numPr>
        <w:spacing w:line="480" w:lineRule="auto"/>
        <w:ind w:left="0" w:leftChars="0" w:firstLine="439" w:firstLineChars="183"/>
        <w:rPr>
          <w:rFonts w:hint="eastAsia" w:ascii="宋体" w:hAnsi="宋体" w:eastAsia="宋体" w:cs="宋体"/>
          <w:b w:val="0"/>
          <w:bCs w:val="0"/>
          <w:i w:val="0"/>
          <w:iCs w:val="0"/>
          <w:color w:val="000000"/>
          <w:sz w:val="24"/>
          <w:szCs w:val="24"/>
        </w:rPr>
      </w:pPr>
      <w:r>
        <w:rPr>
          <w:rFonts w:hint="eastAsia" w:ascii="宋体" w:hAnsi="宋体" w:cs="宋体"/>
          <w:b w:val="0"/>
          <w:bCs w:val="0"/>
          <w:i w:val="0"/>
          <w:iCs w:val="0"/>
          <w:color w:val="000000"/>
          <w:sz w:val="24"/>
          <w:szCs w:val="24"/>
          <w:lang w:val="en-US" w:eastAsia="zh-CN"/>
        </w:rPr>
        <w:t>青岛伟隆阀门股份有限公司</w:t>
      </w:r>
      <w:r>
        <w:rPr>
          <w:rFonts w:hint="eastAsia" w:ascii="宋体" w:hAnsi="宋体" w:eastAsia="宋体" w:cs="宋体"/>
          <w:b w:val="0"/>
          <w:bCs w:val="0"/>
          <w:i w:val="0"/>
          <w:iCs w:val="0"/>
          <w:color w:val="000000"/>
          <w:sz w:val="24"/>
          <w:szCs w:val="24"/>
        </w:rPr>
        <w:t>（以下简称“公司”）股票交易价格于2022年</w:t>
      </w:r>
      <w:r>
        <w:rPr>
          <w:rFonts w:hint="default" w:ascii="宋体" w:hAnsi="宋体" w:cs="宋体"/>
          <w:b w:val="0"/>
          <w:bCs w:val="0"/>
          <w:i w:val="0"/>
          <w:iCs w:val="0"/>
          <w:color w:val="000000"/>
          <w:sz w:val="24"/>
          <w:szCs w:val="24"/>
          <w:lang w:val="en-US"/>
        </w:rPr>
        <w:t>9</w:t>
      </w:r>
      <w:r>
        <w:rPr>
          <w:rFonts w:hint="eastAsia" w:ascii="宋体" w:hAnsi="宋体" w:eastAsia="宋体" w:cs="宋体"/>
          <w:b w:val="0"/>
          <w:bCs w:val="0"/>
          <w:i w:val="0"/>
          <w:iCs w:val="0"/>
          <w:color w:val="000000"/>
          <w:sz w:val="24"/>
          <w:szCs w:val="24"/>
        </w:rPr>
        <w:t>月</w:t>
      </w:r>
      <w:r>
        <w:rPr>
          <w:rFonts w:hint="default" w:ascii="宋体" w:hAnsi="宋体" w:cs="宋体"/>
          <w:b w:val="0"/>
          <w:bCs w:val="0"/>
          <w:i w:val="0"/>
          <w:iCs w:val="0"/>
          <w:color w:val="000000"/>
          <w:sz w:val="24"/>
          <w:szCs w:val="24"/>
          <w:lang w:val="en-US" w:eastAsia="zh-CN"/>
        </w:rPr>
        <w:t>13</w:t>
      </w:r>
      <w:r>
        <w:rPr>
          <w:rFonts w:hint="eastAsia" w:ascii="宋体" w:hAnsi="宋体" w:eastAsia="宋体" w:cs="宋体"/>
          <w:b w:val="0"/>
          <w:bCs w:val="0"/>
          <w:i w:val="0"/>
          <w:iCs w:val="0"/>
          <w:color w:val="000000"/>
          <w:sz w:val="24"/>
          <w:szCs w:val="24"/>
        </w:rPr>
        <w:t>日、2022年</w:t>
      </w:r>
      <w:r>
        <w:rPr>
          <w:rFonts w:hint="default" w:ascii="宋体" w:hAnsi="宋体" w:cs="宋体"/>
          <w:b w:val="0"/>
          <w:bCs w:val="0"/>
          <w:i w:val="0"/>
          <w:iCs w:val="0"/>
          <w:color w:val="000000"/>
          <w:sz w:val="24"/>
          <w:szCs w:val="24"/>
          <w:lang w:val="en-US"/>
        </w:rPr>
        <w:t>9</w:t>
      </w:r>
      <w:r>
        <w:rPr>
          <w:rFonts w:hint="eastAsia" w:ascii="宋体" w:hAnsi="宋体" w:eastAsia="宋体" w:cs="宋体"/>
          <w:b w:val="0"/>
          <w:bCs w:val="0"/>
          <w:i w:val="0"/>
          <w:iCs w:val="0"/>
          <w:color w:val="000000"/>
          <w:sz w:val="24"/>
          <w:szCs w:val="24"/>
        </w:rPr>
        <w:t>月</w:t>
      </w:r>
      <w:r>
        <w:rPr>
          <w:rFonts w:hint="default" w:ascii="宋体" w:hAnsi="宋体" w:cs="宋体"/>
          <w:b w:val="0"/>
          <w:bCs w:val="0"/>
          <w:i w:val="0"/>
          <w:iCs w:val="0"/>
          <w:color w:val="000000"/>
          <w:sz w:val="24"/>
          <w:szCs w:val="24"/>
          <w:lang w:val="en-US" w:eastAsia="zh-CN"/>
        </w:rPr>
        <w:t>14</w:t>
      </w:r>
      <w:r>
        <w:rPr>
          <w:rFonts w:hint="eastAsia" w:ascii="宋体" w:hAnsi="宋体" w:eastAsia="宋体" w:cs="宋体"/>
          <w:b w:val="0"/>
          <w:bCs w:val="0"/>
          <w:i w:val="0"/>
          <w:iCs w:val="0"/>
          <w:color w:val="000000"/>
          <w:sz w:val="24"/>
          <w:szCs w:val="24"/>
        </w:rPr>
        <w:t>日连续2个交易日收盘价格涨幅偏离值累计超过20%，根据《深圳证券交易所交易规则》的有关规定，属于股票交易异常波动的情况。</w:t>
      </w:r>
    </w:p>
    <w:p>
      <w:pPr>
        <w:pStyle w:val="17"/>
        <w:numPr>
          <w:ilvl w:val="0"/>
          <w:numId w:val="1"/>
        </w:numPr>
        <w:spacing w:line="480" w:lineRule="auto"/>
        <w:ind w:left="0" w:leftChars="0" w:firstLine="482" w:firstLineChars="200"/>
        <w:rPr>
          <w:rFonts w:hint="eastAsia" w:ascii="宋体" w:hAnsi="宋体" w:eastAsia="宋体" w:cs="宋体"/>
          <w:b/>
          <w:bCs/>
          <w:i w:val="0"/>
          <w:iCs w:val="0"/>
          <w:color w:val="000000"/>
          <w:sz w:val="24"/>
          <w:szCs w:val="24"/>
        </w:rPr>
      </w:pPr>
      <w:r>
        <w:rPr>
          <w:rFonts w:hint="eastAsia" w:ascii="宋体" w:hAnsi="宋体" w:eastAsia="宋体" w:cs="宋体"/>
          <w:b/>
          <w:bCs/>
          <w:i w:val="0"/>
          <w:iCs w:val="0"/>
          <w:color w:val="000000"/>
          <w:sz w:val="24"/>
          <w:szCs w:val="24"/>
        </w:rPr>
        <w:t>公司关注并核实相关情况</w:t>
      </w:r>
    </w:p>
    <w:p>
      <w:pPr>
        <w:pStyle w:val="17"/>
        <w:numPr>
          <w:ilvl w:val="0"/>
          <w:numId w:val="0"/>
        </w:numPr>
        <w:spacing w:line="480" w:lineRule="auto"/>
        <w:ind w:firstLine="480" w:firstLineChars="200"/>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针对公司股票异常波动，公司对有关事项进行了核查，并问询了公司控股股东及实际控制人，现将有关情况说明如下：</w:t>
      </w:r>
    </w:p>
    <w:p>
      <w:pPr>
        <w:pStyle w:val="17"/>
        <w:numPr>
          <w:ilvl w:val="0"/>
          <w:numId w:val="2"/>
        </w:numPr>
        <w:spacing w:line="480" w:lineRule="auto"/>
        <w:ind w:firstLine="480" w:firstLineChars="200"/>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公司前期披露的信息不存在需要更正、补充之处；</w:t>
      </w:r>
    </w:p>
    <w:p>
      <w:pPr>
        <w:pStyle w:val="17"/>
        <w:numPr>
          <w:ilvl w:val="0"/>
          <w:numId w:val="2"/>
        </w:numPr>
        <w:spacing w:line="480" w:lineRule="auto"/>
        <w:ind w:firstLine="480" w:firstLineChars="200"/>
        <w:rPr>
          <w:rFonts w:hint="default"/>
          <w:sz w:val="24"/>
          <w:szCs w:val="23"/>
          <w:lang w:val="en-US" w:eastAsia="zh-CN"/>
        </w:rPr>
      </w:pPr>
      <w:r>
        <w:rPr>
          <w:rFonts w:hint="eastAsia" w:ascii="宋体" w:hAnsi="宋体" w:eastAsia="宋体" w:cs="宋体"/>
          <w:b w:val="0"/>
          <w:bCs w:val="0"/>
          <w:i w:val="0"/>
          <w:iCs w:val="0"/>
          <w:color w:val="000000"/>
          <w:sz w:val="24"/>
          <w:szCs w:val="24"/>
        </w:rPr>
        <w:t>公司未发现近期公共传媒报道了可能或已经对公司股票交易价格产生较大影响的未公开重大信息；</w:t>
      </w:r>
    </w:p>
    <w:p>
      <w:pPr>
        <w:pStyle w:val="17"/>
        <w:numPr>
          <w:ilvl w:val="0"/>
          <w:numId w:val="2"/>
        </w:numPr>
        <w:spacing w:line="480" w:lineRule="auto"/>
        <w:ind w:firstLine="480" w:firstLineChars="200"/>
        <w:rPr>
          <w:rFonts w:hint="default"/>
          <w:sz w:val="24"/>
          <w:szCs w:val="23"/>
          <w:lang w:val="en-US" w:eastAsia="zh-CN"/>
        </w:rPr>
      </w:pPr>
      <w:r>
        <w:rPr>
          <w:rFonts w:hint="eastAsia" w:ascii="宋体" w:hAnsi="宋体" w:eastAsia="宋体" w:cs="宋体"/>
          <w:b w:val="0"/>
          <w:bCs w:val="0"/>
          <w:i w:val="0"/>
          <w:iCs w:val="0"/>
          <w:color w:val="000000"/>
          <w:sz w:val="24"/>
          <w:szCs w:val="24"/>
        </w:rPr>
        <w:t>近期公司经营情况正常，内外部经营环境未发生重大变化；</w:t>
      </w:r>
    </w:p>
    <w:p>
      <w:pPr>
        <w:pStyle w:val="17"/>
        <w:numPr>
          <w:ilvl w:val="0"/>
          <w:numId w:val="2"/>
        </w:numPr>
        <w:spacing w:line="480" w:lineRule="auto"/>
        <w:ind w:firstLine="480" w:firstLineChars="200"/>
        <w:rPr>
          <w:rFonts w:hint="default"/>
          <w:sz w:val="24"/>
          <w:szCs w:val="23"/>
          <w:lang w:val="en-US" w:eastAsia="zh-CN"/>
        </w:rPr>
      </w:pPr>
      <w:r>
        <w:rPr>
          <w:rFonts w:hint="eastAsia" w:ascii="宋体" w:hAnsi="宋体" w:eastAsia="宋体" w:cs="宋体"/>
          <w:b w:val="0"/>
          <w:bCs w:val="0"/>
          <w:i w:val="0"/>
          <w:iCs w:val="0"/>
          <w:color w:val="000000"/>
          <w:sz w:val="24"/>
          <w:szCs w:val="24"/>
        </w:rPr>
        <w:t>公司、控股股东和实际控制人不存在关于公司的应披露而未披露的重大事项，也不存在处于筹划阶段的重大事项；</w:t>
      </w:r>
    </w:p>
    <w:p>
      <w:pPr>
        <w:pStyle w:val="17"/>
        <w:numPr>
          <w:ilvl w:val="0"/>
          <w:numId w:val="2"/>
        </w:numPr>
        <w:spacing w:line="480" w:lineRule="auto"/>
        <w:ind w:firstLine="480" w:firstLineChars="200"/>
        <w:rPr>
          <w:rFonts w:hint="default"/>
          <w:sz w:val="24"/>
          <w:szCs w:val="23"/>
          <w:lang w:val="en-US" w:eastAsia="zh-CN"/>
        </w:rPr>
      </w:pPr>
      <w:r>
        <w:rPr>
          <w:rFonts w:hint="eastAsia" w:ascii="宋体" w:hAnsi="宋体" w:eastAsia="宋体" w:cs="宋体"/>
          <w:b w:val="0"/>
          <w:bCs w:val="0"/>
          <w:i w:val="0"/>
          <w:iCs w:val="0"/>
          <w:color w:val="000000"/>
          <w:sz w:val="24"/>
          <w:szCs w:val="24"/>
        </w:rPr>
        <w:t>公司控股股东和实际控制人在公司股票交易异常波动期间未买卖本公司股票。</w:t>
      </w:r>
    </w:p>
    <w:p>
      <w:pPr>
        <w:pStyle w:val="17"/>
        <w:numPr>
          <w:ilvl w:val="0"/>
          <w:numId w:val="1"/>
        </w:numPr>
        <w:spacing w:line="480" w:lineRule="auto"/>
        <w:ind w:left="0" w:leftChars="0" w:firstLine="482" w:firstLineChars="200"/>
        <w:rPr>
          <w:rFonts w:hint="eastAsia" w:ascii="宋体" w:hAnsi="宋体" w:eastAsia="宋体" w:cs="宋体"/>
          <w:b/>
          <w:bCs/>
          <w:i w:val="0"/>
          <w:iCs w:val="0"/>
          <w:color w:val="000000"/>
          <w:sz w:val="24"/>
          <w:szCs w:val="24"/>
        </w:rPr>
      </w:pPr>
      <w:r>
        <w:rPr>
          <w:rFonts w:hint="eastAsia" w:ascii="宋体" w:hAnsi="宋体" w:eastAsia="宋体" w:cs="宋体"/>
          <w:b/>
          <w:bCs/>
          <w:i w:val="0"/>
          <w:iCs w:val="0"/>
          <w:color w:val="000000"/>
          <w:sz w:val="24"/>
          <w:szCs w:val="24"/>
        </w:rPr>
        <w:t>是否存在应披露而未披露信息的说明</w:t>
      </w:r>
    </w:p>
    <w:p>
      <w:pPr>
        <w:pStyle w:val="17"/>
        <w:numPr>
          <w:ilvl w:val="0"/>
          <w:numId w:val="0"/>
        </w:numPr>
        <w:spacing w:line="480" w:lineRule="auto"/>
        <w:ind w:left="0" w:leftChars="0" w:firstLine="439" w:firstLineChars="183"/>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公司董事会确认：公司目前没有任何根据《深圳证券交易所股票上市规则》等有关规定应予以披露而未披露的事项或与该事项有关的筹划、商谈、意向、协议等；董事会也未获悉公司有其他根据《深圳证券交易所股票上市规则》等有关规定应予以披露而未披露的、对公司股票及其衍生品种交易价格产生较大影响的信息；公司前期披露的信息不存在需要更正、补充之处。</w:t>
      </w:r>
    </w:p>
    <w:p>
      <w:pPr>
        <w:pStyle w:val="17"/>
        <w:numPr>
          <w:ilvl w:val="0"/>
          <w:numId w:val="1"/>
        </w:numPr>
        <w:spacing w:line="480" w:lineRule="auto"/>
        <w:ind w:left="0" w:leftChars="0" w:firstLine="482" w:firstLineChars="200"/>
        <w:rPr>
          <w:rFonts w:hint="eastAsia" w:ascii="宋体" w:hAnsi="宋体" w:eastAsia="宋体" w:cs="宋体"/>
          <w:b/>
          <w:bCs/>
          <w:i w:val="0"/>
          <w:iCs w:val="0"/>
          <w:color w:val="000000"/>
          <w:sz w:val="24"/>
          <w:szCs w:val="24"/>
        </w:rPr>
      </w:pPr>
      <w:r>
        <w:rPr>
          <w:rFonts w:hint="eastAsia" w:ascii="宋体" w:hAnsi="宋体" w:eastAsia="宋体" w:cs="宋体"/>
          <w:b/>
          <w:bCs/>
          <w:i w:val="0"/>
          <w:iCs w:val="0"/>
          <w:color w:val="000000"/>
          <w:sz w:val="24"/>
          <w:szCs w:val="24"/>
        </w:rPr>
        <w:t>风险提示</w:t>
      </w:r>
    </w:p>
    <w:p>
      <w:pPr>
        <w:pStyle w:val="17"/>
        <w:numPr>
          <w:ilvl w:val="0"/>
          <w:numId w:val="3"/>
        </w:numPr>
        <w:spacing w:line="480" w:lineRule="auto"/>
        <w:ind w:left="0" w:leftChars="0" w:firstLine="439" w:firstLineChars="183"/>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经自查，公司不存在违反信息公平披露的情形。</w:t>
      </w:r>
    </w:p>
    <w:p>
      <w:pPr>
        <w:pStyle w:val="17"/>
        <w:numPr>
          <w:ilvl w:val="0"/>
          <w:numId w:val="3"/>
        </w:numPr>
        <w:spacing w:line="480" w:lineRule="auto"/>
        <w:ind w:left="0" w:leftChars="0" w:firstLine="439" w:firstLineChars="183"/>
        <w:rPr>
          <w:rFonts w:hint="default"/>
          <w:sz w:val="24"/>
          <w:szCs w:val="23"/>
          <w:lang w:val="en-US" w:eastAsia="zh-CN"/>
        </w:rPr>
      </w:pPr>
      <w:r>
        <w:rPr>
          <w:rFonts w:hint="eastAsia" w:ascii="宋体" w:hAnsi="宋体" w:eastAsia="宋体" w:cs="宋体"/>
          <w:b w:val="0"/>
          <w:bCs w:val="0"/>
          <w:i w:val="0"/>
          <w:iCs w:val="0"/>
          <w:color w:val="000000"/>
          <w:sz w:val="24"/>
          <w:szCs w:val="24"/>
        </w:rPr>
        <w:t>郑重提醒广大投资者：《中国证券报》、《证券时报》</w:t>
      </w:r>
      <w:r>
        <w:rPr>
          <w:rFonts w:hint="eastAsia" w:ascii="宋体" w:hAnsi="宋体" w:cs="宋体"/>
          <w:b w:val="0"/>
          <w:bCs w:val="0"/>
          <w:i w:val="0"/>
          <w:iCs w:val="0"/>
          <w:color w:val="000000"/>
          <w:sz w:val="24"/>
          <w:szCs w:val="24"/>
          <w:lang w:eastAsia="zh-CN"/>
        </w:rPr>
        <w:t>、《证券日报》</w:t>
      </w:r>
      <w:r>
        <w:rPr>
          <w:rFonts w:hint="eastAsia" w:ascii="宋体" w:hAnsi="宋体" w:eastAsia="宋体" w:cs="宋体"/>
          <w:b w:val="0"/>
          <w:bCs w:val="0"/>
          <w:i w:val="0"/>
          <w:iCs w:val="0"/>
          <w:color w:val="000000"/>
          <w:sz w:val="24"/>
          <w:szCs w:val="24"/>
        </w:rPr>
        <w:t>和巨潮资讯网（www.cninfo.com.cn）为公司选定的信息披露媒体，公司所有信息均以在上述媒体披露的信息为准</w:t>
      </w:r>
      <w:r>
        <w:rPr>
          <w:rFonts w:hint="default" w:ascii="宋体" w:hAnsi="宋体" w:cs="宋体"/>
          <w:b w:val="0"/>
          <w:bCs w:val="0"/>
          <w:i w:val="0"/>
          <w:iCs w:val="0"/>
          <w:color w:val="000000"/>
          <w:sz w:val="24"/>
          <w:szCs w:val="24"/>
          <w:lang w:val="en-US"/>
        </w:rPr>
        <w:t>.</w:t>
      </w:r>
    </w:p>
    <w:p>
      <w:pPr>
        <w:pStyle w:val="17"/>
        <w:numPr>
          <w:ilvl w:val="0"/>
          <w:numId w:val="3"/>
        </w:numPr>
        <w:spacing w:line="480" w:lineRule="auto"/>
        <w:ind w:left="0" w:leftChars="0" w:firstLine="439" w:firstLineChars="183"/>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公司将严格按照有关法律、法规的规定和要求，认真履行信息披露义务，及时</w:t>
      </w:r>
      <w:r>
        <w:rPr>
          <w:rFonts w:hint="default" w:ascii="宋体" w:hAnsi="宋体" w:eastAsia="宋体" w:cs="宋体"/>
          <w:b w:val="0"/>
          <w:bCs w:val="0"/>
          <w:i w:val="0"/>
          <w:iCs w:val="0"/>
          <w:color w:val="000000"/>
          <w:sz w:val="24"/>
          <w:szCs w:val="24"/>
        </w:rPr>
        <w:t>做好信息披露工作。</w:t>
      </w:r>
      <w:bookmarkStart w:id="0" w:name="_GoBack"/>
      <w:bookmarkEnd w:id="0"/>
    </w:p>
    <w:p>
      <w:pPr>
        <w:pStyle w:val="17"/>
        <w:numPr>
          <w:numId w:val="0"/>
        </w:numPr>
        <w:spacing w:line="480" w:lineRule="auto"/>
        <w:ind w:leftChars="183"/>
        <w:rPr>
          <w:rFonts w:hint="default"/>
          <w:sz w:val="24"/>
          <w:szCs w:val="23"/>
          <w:lang w:val="en-US" w:eastAsia="zh-CN"/>
        </w:rPr>
      </w:pPr>
      <w:r>
        <w:rPr>
          <w:rFonts w:hint="eastAsia" w:ascii="宋体" w:hAnsi="宋体" w:eastAsia="宋体" w:cs="宋体"/>
          <w:b w:val="0"/>
          <w:bCs w:val="0"/>
          <w:i w:val="0"/>
          <w:iCs w:val="0"/>
          <w:color w:val="000000"/>
          <w:sz w:val="24"/>
          <w:szCs w:val="24"/>
        </w:rPr>
        <w:t>请广大投资者理性投资，注意风险。</w:t>
      </w:r>
    </w:p>
    <w:p>
      <w:pPr>
        <w:pStyle w:val="17"/>
        <w:numPr>
          <w:ilvl w:val="0"/>
          <w:numId w:val="0"/>
        </w:numPr>
        <w:spacing w:line="480" w:lineRule="auto"/>
        <w:ind w:leftChars="183"/>
        <w:rPr>
          <w:rFonts w:hint="default"/>
          <w:sz w:val="24"/>
          <w:szCs w:val="23"/>
          <w:lang w:val="en-US" w:eastAsia="zh-CN"/>
        </w:rPr>
      </w:pPr>
      <w:r>
        <w:rPr>
          <w:rFonts w:hint="eastAsia" w:ascii="宋体" w:hAnsi="宋体" w:eastAsia="宋体" w:cs="宋体"/>
          <w:b w:val="0"/>
          <w:bCs w:val="0"/>
          <w:i w:val="0"/>
          <w:iCs w:val="0"/>
          <w:color w:val="000000"/>
          <w:sz w:val="24"/>
          <w:szCs w:val="24"/>
        </w:rPr>
        <w:t>特此公告。</w:t>
      </w:r>
    </w:p>
    <w:p>
      <w:pPr>
        <w:spacing w:line="360" w:lineRule="auto"/>
        <w:ind w:left="0" w:leftChars="0" w:firstLine="4620" w:firstLineChars="1925"/>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青岛伟隆阀门股份有限公司</w:t>
      </w:r>
    </w:p>
    <w:p>
      <w:pPr>
        <w:spacing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董事会</w:t>
      </w:r>
    </w:p>
    <w:p>
      <w:pPr>
        <w:spacing w:line="360" w:lineRule="auto"/>
        <w:ind w:firstLine="5059" w:firstLineChars="2108"/>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rPr>
        <w:t>20</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w:t>
      </w:r>
      <w:r>
        <w:rPr>
          <w:rFonts w:hint="default"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w:t>
      </w:r>
      <w:r>
        <w:rPr>
          <w:rFonts w:hint="default"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日</w:t>
      </w:r>
    </w:p>
    <w:p>
      <w:pPr>
        <w:rPr>
          <w:rFonts w:hint="eastAsia" w:asciiTheme="minorEastAsia" w:hAnsiTheme="minorEastAsia" w:eastAsiaTheme="minorEastAsia"/>
          <w:sz w:val="24"/>
          <w:szCs w:val="24"/>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1BF6C"/>
    <w:multiLevelType w:val="singleLevel"/>
    <w:tmpl w:val="D041BF6C"/>
    <w:lvl w:ilvl="0" w:tentative="0">
      <w:start w:val="1"/>
      <w:numFmt w:val="decimal"/>
      <w:suff w:val="nothing"/>
      <w:lvlText w:val="%1、"/>
      <w:lvlJc w:val="left"/>
    </w:lvl>
  </w:abstractNum>
  <w:abstractNum w:abstractNumId="1">
    <w:nsid w:val="FC4518FE"/>
    <w:multiLevelType w:val="singleLevel"/>
    <w:tmpl w:val="FC4518FE"/>
    <w:lvl w:ilvl="0" w:tentative="0">
      <w:start w:val="1"/>
      <w:numFmt w:val="chineseCounting"/>
      <w:suff w:val="nothing"/>
      <w:lvlText w:val="%1、"/>
      <w:lvlJc w:val="left"/>
      <w:rPr>
        <w:rFonts w:hint="eastAsia"/>
      </w:rPr>
    </w:lvl>
  </w:abstractNum>
  <w:abstractNum w:abstractNumId="2">
    <w:nsid w:val="136DDE39"/>
    <w:multiLevelType w:val="singleLevel"/>
    <w:tmpl w:val="136DDE3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133CD"/>
    <w:rsid w:val="00022A9E"/>
    <w:rsid w:val="00023BAC"/>
    <w:rsid w:val="00031AFA"/>
    <w:rsid w:val="00074DD9"/>
    <w:rsid w:val="00080C5D"/>
    <w:rsid w:val="00083826"/>
    <w:rsid w:val="000A0FB4"/>
    <w:rsid w:val="000B2414"/>
    <w:rsid w:val="000B5CC8"/>
    <w:rsid w:val="000B6DBF"/>
    <w:rsid w:val="000C6274"/>
    <w:rsid w:val="000D6589"/>
    <w:rsid w:val="000E3FA3"/>
    <w:rsid w:val="00100F35"/>
    <w:rsid w:val="0010482D"/>
    <w:rsid w:val="00105553"/>
    <w:rsid w:val="0010568E"/>
    <w:rsid w:val="001118CE"/>
    <w:rsid w:val="00115BE8"/>
    <w:rsid w:val="00121BA8"/>
    <w:rsid w:val="00123DE7"/>
    <w:rsid w:val="001306E7"/>
    <w:rsid w:val="00140D0E"/>
    <w:rsid w:val="0016383F"/>
    <w:rsid w:val="001840A0"/>
    <w:rsid w:val="00191D6D"/>
    <w:rsid w:val="001B33ED"/>
    <w:rsid w:val="001C0510"/>
    <w:rsid w:val="001C2D84"/>
    <w:rsid w:val="001C4F3D"/>
    <w:rsid w:val="001C59F6"/>
    <w:rsid w:val="001C72E9"/>
    <w:rsid w:val="001D4D05"/>
    <w:rsid w:val="001E4C2B"/>
    <w:rsid w:val="001E5BA2"/>
    <w:rsid w:val="001E7A4C"/>
    <w:rsid w:val="001F18B8"/>
    <w:rsid w:val="00205726"/>
    <w:rsid w:val="002268D0"/>
    <w:rsid w:val="00256DE7"/>
    <w:rsid w:val="00263DBE"/>
    <w:rsid w:val="002858DA"/>
    <w:rsid w:val="00285CE5"/>
    <w:rsid w:val="002B0EBD"/>
    <w:rsid w:val="002F0E27"/>
    <w:rsid w:val="00304F62"/>
    <w:rsid w:val="00315304"/>
    <w:rsid w:val="00320D5B"/>
    <w:rsid w:val="00322965"/>
    <w:rsid w:val="00323B43"/>
    <w:rsid w:val="00330707"/>
    <w:rsid w:val="00371FC3"/>
    <w:rsid w:val="003836CA"/>
    <w:rsid w:val="003861A5"/>
    <w:rsid w:val="00397139"/>
    <w:rsid w:val="003B4DB1"/>
    <w:rsid w:val="003D37D8"/>
    <w:rsid w:val="003E6E49"/>
    <w:rsid w:val="004026E7"/>
    <w:rsid w:val="004054E9"/>
    <w:rsid w:val="00405E3D"/>
    <w:rsid w:val="004164C3"/>
    <w:rsid w:val="00424778"/>
    <w:rsid w:val="00426133"/>
    <w:rsid w:val="00430C7C"/>
    <w:rsid w:val="004358AB"/>
    <w:rsid w:val="0044283A"/>
    <w:rsid w:val="004435DA"/>
    <w:rsid w:val="004543EA"/>
    <w:rsid w:val="004562BF"/>
    <w:rsid w:val="00461DAC"/>
    <w:rsid w:val="004A0AEE"/>
    <w:rsid w:val="004B5F5B"/>
    <w:rsid w:val="004D4CF5"/>
    <w:rsid w:val="004E1A97"/>
    <w:rsid w:val="00504912"/>
    <w:rsid w:val="00542EC3"/>
    <w:rsid w:val="00547A07"/>
    <w:rsid w:val="00556CA9"/>
    <w:rsid w:val="005673E7"/>
    <w:rsid w:val="005856B9"/>
    <w:rsid w:val="00596292"/>
    <w:rsid w:val="005A4475"/>
    <w:rsid w:val="005B32C7"/>
    <w:rsid w:val="005C0288"/>
    <w:rsid w:val="005C270C"/>
    <w:rsid w:val="005C3A4D"/>
    <w:rsid w:val="005C5AC8"/>
    <w:rsid w:val="005D4FA7"/>
    <w:rsid w:val="005D6C16"/>
    <w:rsid w:val="005F0BBF"/>
    <w:rsid w:val="005F36CE"/>
    <w:rsid w:val="005F3F03"/>
    <w:rsid w:val="00607D7B"/>
    <w:rsid w:val="00617684"/>
    <w:rsid w:val="006234A3"/>
    <w:rsid w:val="006234D3"/>
    <w:rsid w:val="00641D9C"/>
    <w:rsid w:val="006553C2"/>
    <w:rsid w:val="006B53EC"/>
    <w:rsid w:val="006B6A27"/>
    <w:rsid w:val="006E5BCD"/>
    <w:rsid w:val="006E7605"/>
    <w:rsid w:val="006F3AC2"/>
    <w:rsid w:val="006F4987"/>
    <w:rsid w:val="00702023"/>
    <w:rsid w:val="00706841"/>
    <w:rsid w:val="00712C1E"/>
    <w:rsid w:val="00723678"/>
    <w:rsid w:val="00736CCB"/>
    <w:rsid w:val="00745A00"/>
    <w:rsid w:val="007536C2"/>
    <w:rsid w:val="00760A31"/>
    <w:rsid w:val="00763722"/>
    <w:rsid w:val="00785158"/>
    <w:rsid w:val="007A72B5"/>
    <w:rsid w:val="007C4641"/>
    <w:rsid w:val="007E25F6"/>
    <w:rsid w:val="007F1020"/>
    <w:rsid w:val="00812732"/>
    <w:rsid w:val="00825861"/>
    <w:rsid w:val="008347DD"/>
    <w:rsid w:val="008424D8"/>
    <w:rsid w:val="00856162"/>
    <w:rsid w:val="00862320"/>
    <w:rsid w:val="00862530"/>
    <w:rsid w:val="00881A67"/>
    <w:rsid w:val="00882566"/>
    <w:rsid w:val="00885EF3"/>
    <w:rsid w:val="008948D7"/>
    <w:rsid w:val="00895B95"/>
    <w:rsid w:val="008A287C"/>
    <w:rsid w:val="008B7726"/>
    <w:rsid w:val="008C4867"/>
    <w:rsid w:val="008D17AC"/>
    <w:rsid w:val="008F2CD2"/>
    <w:rsid w:val="0090339E"/>
    <w:rsid w:val="0090559A"/>
    <w:rsid w:val="0091337C"/>
    <w:rsid w:val="00931492"/>
    <w:rsid w:val="00957604"/>
    <w:rsid w:val="00962038"/>
    <w:rsid w:val="0096231F"/>
    <w:rsid w:val="00970166"/>
    <w:rsid w:val="0097585D"/>
    <w:rsid w:val="009815D2"/>
    <w:rsid w:val="0098339F"/>
    <w:rsid w:val="0099464B"/>
    <w:rsid w:val="009A3A37"/>
    <w:rsid w:val="009B3B69"/>
    <w:rsid w:val="009B7A89"/>
    <w:rsid w:val="009C0906"/>
    <w:rsid w:val="009C376A"/>
    <w:rsid w:val="009C4655"/>
    <w:rsid w:val="009C73EF"/>
    <w:rsid w:val="009E2F97"/>
    <w:rsid w:val="009F58D5"/>
    <w:rsid w:val="009F71CF"/>
    <w:rsid w:val="00A02B6C"/>
    <w:rsid w:val="00A303AA"/>
    <w:rsid w:val="00A53A38"/>
    <w:rsid w:val="00A7113F"/>
    <w:rsid w:val="00AB6CA0"/>
    <w:rsid w:val="00AC779D"/>
    <w:rsid w:val="00AD053D"/>
    <w:rsid w:val="00AD12CF"/>
    <w:rsid w:val="00AE6BB7"/>
    <w:rsid w:val="00AF0BFB"/>
    <w:rsid w:val="00AF586F"/>
    <w:rsid w:val="00B022AB"/>
    <w:rsid w:val="00B20D1A"/>
    <w:rsid w:val="00B25E89"/>
    <w:rsid w:val="00B524CE"/>
    <w:rsid w:val="00B66B52"/>
    <w:rsid w:val="00B70156"/>
    <w:rsid w:val="00B77036"/>
    <w:rsid w:val="00BA2473"/>
    <w:rsid w:val="00BA2EED"/>
    <w:rsid w:val="00BA537F"/>
    <w:rsid w:val="00BA7825"/>
    <w:rsid w:val="00BB1843"/>
    <w:rsid w:val="00BC2A06"/>
    <w:rsid w:val="00BE2D68"/>
    <w:rsid w:val="00BE7F41"/>
    <w:rsid w:val="00C00963"/>
    <w:rsid w:val="00C05532"/>
    <w:rsid w:val="00C11DA5"/>
    <w:rsid w:val="00C12712"/>
    <w:rsid w:val="00C13DF9"/>
    <w:rsid w:val="00C31997"/>
    <w:rsid w:val="00C333B8"/>
    <w:rsid w:val="00C61EB3"/>
    <w:rsid w:val="00C62F24"/>
    <w:rsid w:val="00C66033"/>
    <w:rsid w:val="00C66AD0"/>
    <w:rsid w:val="00C75AA8"/>
    <w:rsid w:val="00C83CFB"/>
    <w:rsid w:val="00C843B3"/>
    <w:rsid w:val="00C87B02"/>
    <w:rsid w:val="00CB28D8"/>
    <w:rsid w:val="00CB4834"/>
    <w:rsid w:val="00CC0AED"/>
    <w:rsid w:val="00CD0469"/>
    <w:rsid w:val="00CD11B5"/>
    <w:rsid w:val="00CE3854"/>
    <w:rsid w:val="00CF39DB"/>
    <w:rsid w:val="00CF6812"/>
    <w:rsid w:val="00D007AE"/>
    <w:rsid w:val="00D031F8"/>
    <w:rsid w:val="00D117BF"/>
    <w:rsid w:val="00D31D50"/>
    <w:rsid w:val="00D352A3"/>
    <w:rsid w:val="00D50A86"/>
    <w:rsid w:val="00D60743"/>
    <w:rsid w:val="00D60E15"/>
    <w:rsid w:val="00D64A80"/>
    <w:rsid w:val="00D72B81"/>
    <w:rsid w:val="00D747D1"/>
    <w:rsid w:val="00D87CD3"/>
    <w:rsid w:val="00D93814"/>
    <w:rsid w:val="00DA1374"/>
    <w:rsid w:val="00DA2064"/>
    <w:rsid w:val="00DC0C8B"/>
    <w:rsid w:val="00DD1C68"/>
    <w:rsid w:val="00DD3E59"/>
    <w:rsid w:val="00DD54E8"/>
    <w:rsid w:val="00DE2901"/>
    <w:rsid w:val="00E117DE"/>
    <w:rsid w:val="00E16FB0"/>
    <w:rsid w:val="00E33C76"/>
    <w:rsid w:val="00E56877"/>
    <w:rsid w:val="00E65E91"/>
    <w:rsid w:val="00E71239"/>
    <w:rsid w:val="00E93451"/>
    <w:rsid w:val="00E97AF6"/>
    <w:rsid w:val="00EA1640"/>
    <w:rsid w:val="00EA2F11"/>
    <w:rsid w:val="00EB4454"/>
    <w:rsid w:val="00ED1A60"/>
    <w:rsid w:val="00ED2416"/>
    <w:rsid w:val="00ED41E8"/>
    <w:rsid w:val="00EE12F1"/>
    <w:rsid w:val="00F0022C"/>
    <w:rsid w:val="00F00B0B"/>
    <w:rsid w:val="00F05437"/>
    <w:rsid w:val="00F14B38"/>
    <w:rsid w:val="00F212C7"/>
    <w:rsid w:val="00F47D98"/>
    <w:rsid w:val="00F53072"/>
    <w:rsid w:val="00F5660A"/>
    <w:rsid w:val="00F63194"/>
    <w:rsid w:val="00F9053F"/>
    <w:rsid w:val="00F92E21"/>
    <w:rsid w:val="00FA6923"/>
    <w:rsid w:val="00FB4B02"/>
    <w:rsid w:val="00FC4AB2"/>
    <w:rsid w:val="00FF66DC"/>
    <w:rsid w:val="01877D02"/>
    <w:rsid w:val="02627D27"/>
    <w:rsid w:val="04582CCD"/>
    <w:rsid w:val="05216551"/>
    <w:rsid w:val="05AF6E68"/>
    <w:rsid w:val="0B56757B"/>
    <w:rsid w:val="0BBD5957"/>
    <w:rsid w:val="0C1E0BE2"/>
    <w:rsid w:val="1059425A"/>
    <w:rsid w:val="121C111E"/>
    <w:rsid w:val="14C00400"/>
    <w:rsid w:val="16454C4B"/>
    <w:rsid w:val="183F0D66"/>
    <w:rsid w:val="1D5A719B"/>
    <w:rsid w:val="202E3BE9"/>
    <w:rsid w:val="20781BFB"/>
    <w:rsid w:val="210943B7"/>
    <w:rsid w:val="235D3917"/>
    <w:rsid w:val="25FC664A"/>
    <w:rsid w:val="26C868E1"/>
    <w:rsid w:val="294E423C"/>
    <w:rsid w:val="2A0F5124"/>
    <w:rsid w:val="2AF87057"/>
    <w:rsid w:val="2D1402D8"/>
    <w:rsid w:val="2E523682"/>
    <w:rsid w:val="31E07C48"/>
    <w:rsid w:val="3C9D64F0"/>
    <w:rsid w:val="3CEA21E5"/>
    <w:rsid w:val="40462D82"/>
    <w:rsid w:val="43683470"/>
    <w:rsid w:val="46F8310E"/>
    <w:rsid w:val="49891460"/>
    <w:rsid w:val="50741BC8"/>
    <w:rsid w:val="509A04C8"/>
    <w:rsid w:val="54AE26CC"/>
    <w:rsid w:val="59884304"/>
    <w:rsid w:val="5ACB0A85"/>
    <w:rsid w:val="5B2B1DCF"/>
    <w:rsid w:val="623F40D9"/>
    <w:rsid w:val="627510F9"/>
    <w:rsid w:val="6379684E"/>
    <w:rsid w:val="66A357A5"/>
    <w:rsid w:val="673C0498"/>
    <w:rsid w:val="686A6131"/>
    <w:rsid w:val="6BA41121"/>
    <w:rsid w:val="6CF33B45"/>
    <w:rsid w:val="6DEA6169"/>
    <w:rsid w:val="6EEA2E97"/>
    <w:rsid w:val="6F6F473B"/>
    <w:rsid w:val="6FB4697E"/>
    <w:rsid w:val="7106478C"/>
    <w:rsid w:val="714E08D2"/>
    <w:rsid w:val="71D24943"/>
    <w:rsid w:val="72473AE6"/>
    <w:rsid w:val="732D703E"/>
    <w:rsid w:val="73D50C46"/>
    <w:rsid w:val="75826128"/>
    <w:rsid w:val="771B2FE0"/>
    <w:rsid w:val="775D2173"/>
    <w:rsid w:val="7CEB18EF"/>
    <w:rsid w:val="7DA46C1B"/>
    <w:rsid w:val="7E10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unhideWhenUsed/>
    <w:qFormat/>
    <w:uiPriority w:val="0"/>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ahoma" w:hAnsi="Tahoma"/>
      <w:sz w:val="18"/>
      <w:szCs w:val="18"/>
    </w:rPr>
  </w:style>
  <w:style w:type="character" w:customStyle="1" w:styleId="12">
    <w:name w:val="页脚 Char"/>
    <w:basedOn w:val="9"/>
    <w:link w:val="5"/>
    <w:semiHidden/>
    <w:qFormat/>
    <w:uiPriority w:val="99"/>
    <w:rPr>
      <w:rFonts w:ascii="Tahoma" w:hAnsi="Tahoma"/>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9"/>
    <w:link w:val="2"/>
    <w:semiHidden/>
    <w:qFormat/>
    <w:uiPriority w:val="99"/>
    <w:rPr>
      <w:rFonts w:ascii="Tahoma" w:hAnsi="Tahoma"/>
    </w:rPr>
  </w:style>
  <w:style w:type="character" w:customStyle="1" w:styleId="15">
    <w:name w:val="批注主题 Char"/>
    <w:basedOn w:val="14"/>
    <w:link w:val="7"/>
    <w:semiHidden/>
    <w:qFormat/>
    <w:uiPriority w:val="99"/>
    <w:rPr>
      <w:rFonts w:ascii="Tahoma" w:hAnsi="Tahoma"/>
      <w:b/>
      <w:bCs/>
    </w:rPr>
  </w:style>
  <w:style w:type="character" w:customStyle="1" w:styleId="16">
    <w:name w:val="批注框文本 Char"/>
    <w:basedOn w:val="9"/>
    <w:link w:val="4"/>
    <w:semiHidden/>
    <w:qFormat/>
    <w:uiPriority w:val="99"/>
    <w:rPr>
      <w:rFonts w:ascii="Tahoma" w:hAnsi="Tahoma"/>
      <w:sz w:val="18"/>
      <w:szCs w:val="18"/>
    </w:rPr>
  </w:style>
  <w:style w:type="paragraph" w:customStyle="1" w:styleId="17">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18">
    <w:name w:val="fontstyle01"/>
    <w:basedOn w:val="9"/>
    <w:qFormat/>
    <w:uiPriority w:val="0"/>
    <w:rPr>
      <w:rFonts w:hint="eastAsia" w:ascii="宋体" w:hAnsi="宋体" w:eastAsia="宋体"/>
      <w:color w:val="000000"/>
      <w:sz w:val="24"/>
      <w:szCs w:val="24"/>
    </w:rPr>
  </w:style>
  <w:style w:type="character" w:customStyle="1" w:styleId="19">
    <w:name w:val="fontstyle21"/>
    <w:basedOn w:val="9"/>
    <w:qFormat/>
    <w:uiPriority w:val="0"/>
    <w:rPr>
      <w:rFonts w:hint="default" w:ascii="Times New Roman" w:hAnsi="Times New Roman" w:cs="Times New Roman"/>
      <w:color w:val="000000"/>
      <w:sz w:val="24"/>
      <w:szCs w:val="24"/>
    </w:rPr>
  </w:style>
  <w:style w:type="character" w:customStyle="1" w:styleId="20">
    <w:name w:val="fontstyle11"/>
    <w:basedOn w:val="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900</Words>
  <Characters>977</Characters>
  <Lines>8</Lines>
  <Paragraphs>2</Paragraphs>
  <TotalTime>11</TotalTime>
  <ScaleCrop>false</ScaleCrop>
  <LinksUpToDate>false</LinksUpToDate>
  <CharactersWithSpaces>1010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2017-08-19T06:05:00Z</dcterms:created>
  <dc:creator>Administrator</dc:creator>
  <cp:lastModifiedBy>Mr.翔</cp:lastModifiedBy>
  <dcterms:modified xsi:type="dcterms:W3CDTF">2022-09-14T07:26:12Z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29635071C74A48CFBE18931AC91A7659</vt:lpwstr>
  </property>
</Properties>
</file>