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after="0" w:line="773" w:lineRule="exact"/>
        <w:jc w:val="center"/>
        <w:rPr>
          <w:rFonts w:ascii="宋体" w:hAnsi="宋体" w:eastAsia="宋体" w:cs="宋体"/>
          <w:b/>
          <w:bCs/>
          <w:sz w:val="36"/>
          <w:szCs w:val="36"/>
        </w:rPr>
      </w:pPr>
      <w:r>
        <w:rPr>
          <w:rFonts w:ascii="宋体" w:hAnsi="宋体" w:eastAsia="宋体" w:cs="宋体"/>
          <w:b/>
          <w:bCs/>
          <w:sz w:val="36"/>
          <w:szCs w:val="36"/>
        </w:rPr>
        <w:t>青岛伟隆阀门股份有限公司</w:t>
      </w:r>
    </w:p>
    <w:p>
      <w:pPr>
        <w:spacing w:before="1000" w:after="0" w:line="320" w:lineRule="exact"/>
        <w:jc w:val="center"/>
        <w:rPr>
          <w:rFonts w:ascii="宋体" w:hAnsi="宋体" w:eastAsia="宋体" w:cs="宋体"/>
          <w:b/>
          <w:bCs/>
          <w:sz w:val="32"/>
          <w:szCs w:val="32"/>
        </w:rPr>
      </w:pPr>
      <w:r>
        <w:rPr>
          <w:rFonts w:ascii="宋体" w:hAnsi="宋体" w:eastAsia="宋体" w:cs="宋体"/>
          <w:b/>
          <w:bCs/>
          <w:sz w:val="32"/>
          <w:szCs w:val="32"/>
        </w:rPr>
        <w:t>2022年半年度报告</w:t>
      </w:r>
    </w:p>
    <w:p>
      <w:pPr>
        <w:spacing w:before="1000" w:after="0" w:line="240" w:lineRule="exact"/>
        <w:jc w:val="center"/>
        <w:rPr>
          <w:rFonts w:ascii="宋体" w:hAnsi="宋体" w:eastAsia="宋体" w:cs="宋体"/>
          <w:b/>
          <w:bCs/>
          <w:sz w:val="21"/>
          <w:szCs w:val="21"/>
        </w:rPr>
      </w:pPr>
      <w:r>
        <w:rPr>
          <w:rFonts w:ascii="宋体" w:hAnsi="宋体" w:eastAsia="宋体" w:cs="宋体"/>
          <w:b/>
          <w:bCs/>
          <w:sz w:val="21"/>
          <w:szCs w:val="21"/>
        </w:rPr>
        <w:t>2022-058</w:t>
      </w:r>
    </w:p>
    <w:p>
      <w:pPr>
        <w:spacing w:before="1000" w:after="1000" w:line="0" w:lineRule="exact"/>
        <w:jc w:val="center"/>
        <w:rPr>
          <w:rFonts w:ascii="Times New Roman" w:hAnsi="Times New Roman" w:eastAsia="宋体" w:cs="Times New Roman"/>
        </w:rPr>
      </w:pPr>
      <w:r>
        <w:rPr>
          <w:rFonts w:ascii="Times New Roman" w:hAnsi="Times New Roman" w:eastAsia="宋体" w:cs="Times New Roman"/>
        </w:rPr>
        <w:drawing>
          <wp:inline distT="0" distB="0" distL="0" distR="0">
            <wp:extent cx="1800860" cy="4495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1800860" cy="449580"/>
                    </a:xfrm>
                    <a:prstGeom prst="rect">
                      <a:avLst/>
                    </a:prstGeom>
                  </pic:spPr>
                </pic:pic>
              </a:graphicData>
            </a:graphic>
          </wp:inline>
        </w:drawing>
      </w:r>
    </w:p>
    <w:p>
      <w:pPr>
        <w:spacing w:before="1000" w:after="0" w:line="320" w:lineRule="exact"/>
        <w:jc w:val="center"/>
      </w:pPr>
      <w:r>
        <w:rPr>
          <w:rFonts w:hint="eastAsia" w:ascii="宋体" w:hAnsi="宋体" w:eastAsia="宋体" w:cs="宋体"/>
          <w:b/>
          <w:bCs/>
          <w:sz w:val="32"/>
          <w:szCs w:val="32"/>
          <w:lang w:eastAsia="zh-CN"/>
        </w:rPr>
        <w:t>二零二二年八月</w:t>
      </w:r>
      <w:r>
        <w:rPr>
          <w:rFonts w:ascii="宋体" w:hAnsi="宋体" w:eastAsia="宋体" w:cs="宋体"/>
          <w:b/>
          <w:bCs/>
          <w:sz w:val="32"/>
          <w:szCs w:val="32"/>
        </w:rPr>
        <w:br w:type="page"/>
      </w:r>
    </w:p>
    <w:p/>
    <w:p>
      <w:pPr>
        <w:keepNext/>
        <w:keepLines/>
        <w:spacing w:before="340" w:after="330" w:line="773" w:lineRule="exact"/>
        <w:jc w:val="center"/>
        <w:outlineLvl w:val="0"/>
        <w:rPr>
          <w:rFonts w:ascii="宋体" w:hAnsi="宋体" w:eastAsia="宋体" w:cs="宋体"/>
          <w:b/>
          <w:bCs/>
          <w:sz w:val="32"/>
          <w:szCs w:val="32"/>
        </w:rPr>
      </w:pPr>
      <w:bookmarkStart w:id="0" w:name="_Toc988889"/>
      <w:r>
        <w:rPr>
          <w:rFonts w:ascii="宋体" w:hAnsi="宋体" w:eastAsia="宋体" w:cs="宋体"/>
          <w:b/>
          <w:bCs/>
          <w:sz w:val="32"/>
          <w:szCs w:val="32"/>
        </w:rPr>
        <w:t>第一节 重要提示、目录和释义</w:t>
      </w:r>
      <w:bookmarkEnd w:id="0"/>
    </w:p>
    <w:p>
      <w:pPr>
        <w:spacing w:before="40" w:after="4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公司董事会、监事会及董事、监事、高级管理人员保证半年度报告内容的真实、准确、完整，不存在虚假记载、误导性陈述或者重大遗漏，并承担个别和连带的法律责任。</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公司负责人范庆伟、主管会计工作负责人迟娜娜及会计机构负责人(会计主管人员)王涛声明：保证本半年度报告中财务报告的真实、准确、完整。</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所有董事均已出席了审议本报告的董事会会议。</w:t>
      </w:r>
    </w:p>
    <w:p>
      <w:pPr>
        <w:pStyle w:val="3"/>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本半年度报告涉及对公司未来发展的描述等前瞻性陈述，不构成公司对投资者的实质承诺，请投资者注意投资风险。</w:t>
      </w:r>
    </w:p>
    <w:p>
      <w:pPr>
        <w:pStyle w:val="3"/>
        <w:keepNext w:val="0"/>
        <w:keepLines w:val="0"/>
        <w:widowControl/>
        <w:suppressLineNumbers w:val="0"/>
        <w:spacing w:line="560" w:lineRule="atLeast"/>
        <w:ind w:left="0" w:firstLine="420"/>
        <w:rPr>
          <w:rFonts w:hint="eastAsia" w:ascii="宋体" w:hAnsi="宋体" w:eastAsia="宋体" w:cs="宋体"/>
          <w:b/>
          <w:bCs/>
          <w:sz w:val="28"/>
          <w:szCs w:val="28"/>
        </w:rPr>
      </w:pPr>
      <w:r>
        <w:rPr>
          <w:rFonts w:hint="eastAsia" w:ascii="宋体" w:hAnsi="宋体" w:eastAsia="宋体" w:cs="宋体"/>
          <w:b/>
          <w:bCs/>
          <w:sz w:val="28"/>
          <w:szCs w:val="28"/>
        </w:rPr>
        <w:t>公司日常经营中可能面临的风险因素详见“第三节管理层讨论与分析”之“十、公司面临的风险和应对措施”中公司面临的风险因素。</w:t>
      </w:r>
    </w:p>
    <w:p>
      <w:pPr>
        <w:spacing w:before="0" w:after="0" w:line="560" w:lineRule="exact"/>
        <w:ind w:firstLine="560" w:firstLineChars="200"/>
        <w:jc w:val="left"/>
        <w:rPr>
          <w:rFonts w:ascii="宋体" w:hAnsi="宋体" w:eastAsia="宋体" w:cs="宋体"/>
          <w:b/>
          <w:bCs/>
          <w:sz w:val="28"/>
          <w:szCs w:val="28"/>
        </w:rPr>
      </w:pPr>
      <w:r>
        <w:rPr>
          <w:rFonts w:ascii="宋体" w:hAnsi="宋体" w:eastAsia="宋体" w:cs="宋体"/>
          <w:b/>
          <w:bCs/>
          <w:sz w:val="28"/>
          <w:szCs w:val="28"/>
        </w:rPr>
        <w:t>公司计划不派发现金红利，不送红股，不以公积金转增股本。</w:t>
      </w:r>
    </w:p>
    <w:p>
      <w:r>
        <w:br w:type="page"/>
      </w:r>
    </w:p>
    <w:p>
      <w:pPr>
        <w:spacing w:before="0" w:after="0" w:line="480" w:lineRule="auto"/>
        <w:jc w:val="center"/>
        <w:rPr>
          <w:rFonts w:ascii="宋体" w:hAnsi="宋体" w:eastAsia="宋体" w:cs="宋体"/>
          <w:b/>
          <w:bCs/>
          <w:sz w:val="44"/>
          <w:szCs w:val="44"/>
        </w:rPr>
      </w:pPr>
      <w:r>
        <w:rPr>
          <w:rFonts w:ascii="宋体" w:hAnsi="宋体" w:eastAsia="宋体" w:cs="宋体"/>
          <w:b/>
          <w:bCs/>
          <w:sz w:val="44"/>
          <w:szCs w:val="44"/>
        </w:rPr>
        <w:t>目录</w:t>
      </w:r>
    </w:p>
    <w:p>
      <w:pPr>
        <w:spacing w:before="0" w:after="0" w:line="480" w:lineRule="auto"/>
        <w:jc w:val="center"/>
        <w:rPr>
          <w:rFonts w:ascii="宋体" w:hAnsi="宋体" w:eastAsia="宋体" w:cs="宋体"/>
          <w:b/>
          <w:bCs/>
          <w:sz w:val="44"/>
          <w:szCs w:val="44"/>
        </w:rPr>
      </w:pP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w:instrText>
      </w:r>
      <w:r>
        <w:rPr>
          <w:rFonts w:hint="eastAsia" w:ascii="宋体" w:hAnsi="宋体" w:eastAsia="宋体"/>
          <w:b/>
          <w:bCs/>
          <w:sz w:val="24"/>
          <w:szCs w:val="28"/>
        </w:rPr>
        <w:instrText xml:space="preserve">TOC \o "1-2" \h \z \u</w:instrText>
      </w:r>
      <w:r>
        <w:rPr>
          <w:b/>
          <w:bCs/>
          <w:sz w:val="24"/>
          <w:szCs w:val="28"/>
        </w:rPr>
        <w:instrText xml:space="preserve"> </w:instrText>
      </w:r>
      <w:r>
        <w:rPr>
          <w:b/>
          <w:bCs/>
          <w:sz w:val="24"/>
          <w:szCs w:val="28"/>
        </w:rPr>
        <w:fldChar w:fldCharType="separate"/>
      </w:r>
      <w:r>
        <w:rPr>
          <w:b/>
          <w:bCs/>
          <w:sz w:val="24"/>
          <w:szCs w:val="28"/>
        </w:rPr>
        <w:fldChar w:fldCharType="begin"/>
      </w:r>
      <w:r>
        <w:rPr>
          <w:b/>
          <w:bCs/>
          <w:sz w:val="24"/>
          <w:szCs w:val="28"/>
        </w:rPr>
        <w:instrText xml:space="preserve"> HYPERLINK \l "_Toc988889" </w:instrText>
      </w:r>
      <w:r>
        <w:rPr>
          <w:b/>
          <w:bCs/>
          <w:sz w:val="24"/>
          <w:szCs w:val="28"/>
        </w:rPr>
        <w:fldChar w:fldCharType="separate"/>
      </w:r>
      <w:r>
        <w:rPr>
          <w:rFonts w:hint="eastAsia" w:ascii="宋体" w:hAnsi="宋体" w:eastAsia="宋体"/>
          <w:b/>
          <w:bCs/>
          <w:sz w:val="32"/>
          <w:szCs w:val="28"/>
        </w:rPr>
        <w:t>第一节 重要提示、目录和释义</w:t>
      </w:r>
      <w:r>
        <w:rPr>
          <w:b/>
          <w:bCs/>
          <w:sz w:val="24"/>
          <w:szCs w:val="28"/>
        </w:rPr>
        <w:tab/>
      </w:r>
      <w:r>
        <w:rPr>
          <w:b/>
          <w:bCs/>
          <w:sz w:val="24"/>
          <w:szCs w:val="28"/>
        </w:rPr>
        <w:fldChar w:fldCharType="begin"/>
      </w:r>
      <w:r>
        <w:rPr>
          <w:b/>
          <w:bCs/>
          <w:sz w:val="24"/>
          <w:szCs w:val="28"/>
        </w:rPr>
        <w:instrText xml:space="preserve"> PAGEREF _Toc988889 \h </w:instrText>
      </w:r>
      <w:r>
        <w:rPr>
          <w:rFonts w:hint="eastAsia" w:ascii="宋体" w:hAnsi="宋体" w:eastAsia="宋体"/>
          <w:b/>
          <w:bCs/>
          <w:sz w:val="32"/>
          <w:szCs w:val="28"/>
        </w:rPr>
        <w:fldChar w:fldCharType="separate"/>
      </w:r>
      <w:r>
        <w:rPr>
          <w:b/>
          <w:bCs/>
          <w:sz w:val="24"/>
          <w:szCs w:val="28"/>
        </w:rPr>
        <w:t>2</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"_Toc988890" </w:instrText>
      </w:r>
      <w:r>
        <w:rPr>
          <w:b/>
          <w:bCs/>
          <w:sz w:val="24"/>
          <w:szCs w:val="28"/>
        </w:rPr>
        <w:fldChar w:fldCharType="separate"/>
      </w:r>
      <w:r>
        <w:rPr>
          <w:rFonts w:hint="eastAsia" w:ascii="宋体" w:hAnsi="宋体" w:eastAsia="宋体"/>
          <w:b/>
          <w:bCs/>
          <w:sz w:val="32"/>
          <w:szCs w:val="28"/>
        </w:rPr>
        <w:t>第二节 公司简介和主要财务指标</w:t>
      </w:r>
      <w:r>
        <w:rPr>
          <w:b/>
          <w:bCs/>
          <w:sz w:val="24"/>
          <w:szCs w:val="28"/>
        </w:rPr>
        <w:tab/>
      </w:r>
      <w:r>
        <w:rPr>
          <w:b/>
          <w:bCs/>
          <w:sz w:val="24"/>
          <w:szCs w:val="28"/>
        </w:rPr>
        <w:fldChar w:fldCharType="begin"/>
      </w:r>
      <w:r>
        <w:rPr>
          <w:b/>
          <w:bCs/>
          <w:sz w:val="24"/>
          <w:szCs w:val="28"/>
        </w:rPr>
        <w:instrText xml:space="preserve"> PAGEREF _Toc988890 \h </w:instrText>
      </w:r>
      <w:r>
        <w:rPr>
          <w:rFonts w:hint="eastAsia" w:ascii="宋体" w:hAnsi="宋体" w:eastAsia="宋体"/>
          <w:b/>
          <w:bCs/>
          <w:sz w:val="32"/>
          <w:szCs w:val="28"/>
        </w:rPr>
        <w:fldChar w:fldCharType="separate"/>
      </w:r>
      <w:r>
        <w:rPr>
          <w:b/>
          <w:bCs/>
          <w:sz w:val="24"/>
          <w:szCs w:val="28"/>
        </w:rPr>
        <w:t>6</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"_Toc988902" </w:instrText>
      </w:r>
      <w:r>
        <w:rPr>
          <w:b/>
          <w:bCs/>
          <w:sz w:val="24"/>
          <w:szCs w:val="28"/>
        </w:rPr>
        <w:fldChar w:fldCharType="separate"/>
      </w:r>
      <w:r>
        <w:rPr>
          <w:rFonts w:hint="eastAsia" w:ascii="宋体" w:hAnsi="宋体" w:eastAsia="宋体"/>
          <w:b/>
          <w:bCs/>
          <w:sz w:val="32"/>
          <w:szCs w:val="28"/>
        </w:rPr>
        <w:t>第三节 管理层讨论与分析</w:t>
      </w:r>
      <w:r>
        <w:rPr>
          <w:b/>
          <w:bCs/>
          <w:sz w:val="24"/>
          <w:szCs w:val="28"/>
        </w:rPr>
        <w:tab/>
      </w:r>
      <w:r>
        <w:rPr>
          <w:b/>
          <w:bCs/>
          <w:sz w:val="24"/>
          <w:szCs w:val="28"/>
        </w:rPr>
        <w:fldChar w:fldCharType="begin"/>
      </w:r>
      <w:r>
        <w:rPr>
          <w:b/>
          <w:bCs/>
          <w:sz w:val="24"/>
          <w:szCs w:val="28"/>
        </w:rPr>
        <w:instrText xml:space="preserve"> PAGEREF _Toc988902 \h </w:instrText>
      </w:r>
      <w:r>
        <w:rPr>
          <w:rFonts w:hint="eastAsia" w:ascii="宋体" w:hAnsi="宋体" w:eastAsia="宋体"/>
          <w:b/>
          <w:bCs/>
          <w:sz w:val="32"/>
          <w:szCs w:val="28"/>
        </w:rPr>
        <w:fldChar w:fldCharType="separate"/>
      </w:r>
      <w:r>
        <w:rPr>
          <w:b/>
          <w:bCs/>
          <w:sz w:val="24"/>
          <w:szCs w:val="28"/>
        </w:rPr>
        <w:t>9</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"_Toc988926" </w:instrText>
      </w:r>
      <w:r>
        <w:rPr>
          <w:b/>
          <w:bCs/>
          <w:sz w:val="24"/>
          <w:szCs w:val="28"/>
        </w:rPr>
        <w:fldChar w:fldCharType="separate"/>
      </w:r>
      <w:r>
        <w:rPr>
          <w:rFonts w:hint="eastAsia" w:ascii="宋体" w:hAnsi="宋体" w:eastAsia="宋体"/>
          <w:b/>
          <w:bCs/>
          <w:sz w:val="32"/>
          <w:szCs w:val="28"/>
        </w:rPr>
        <w:t>第四节 公司治理</w:t>
      </w:r>
      <w:r>
        <w:rPr>
          <w:b/>
          <w:bCs/>
          <w:sz w:val="24"/>
          <w:szCs w:val="28"/>
        </w:rPr>
        <w:tab/>
      </w:r>
      <w:r>
        <w:rPr>
          <w:b/>
          <w:bCs/>
          <w:sz w:val="24"/>
          <w:szCs w:val="28"/>
        </w:rPr>
        <w:fldChar w:fldCharType="begin"/>
      </w:r>
      <w:r>
        <w:rPr>
          <w:b/>
          <w:bCs/>
          <w:sz w:val="24"/>
          <w:szCs w:val="28"/>
        </w:rPr>
        <w:instrText xml:space="preserve"> PAGEREF _Toc988926 \h </w:instrText>
      </w:r>
      <w:r>
        <w:rPr>
          <w:rFonts w:hint="eastAsia" w:ascii="宋体" w:hAnsi="宋体" w:eastAsia="宋体"/>
          <w:b/>
          <w:bCs/>
          <w:sz w:val="32"/>
          <w:szCs w:val="28"/>
        </w:rPr>
        <w:fldChar w:fldCharType="separate"/>
      </w:r>
      <w:r>
        <w:rPr>
          <w:b/>
          <w:bCs/>
          <w:sz w:val="24"/>
          <w:szCs w:val="28"/>
        </w:rPr>
        <w:t>21</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"_Toc988933" </w:instrText>
      </w:r>
      <w:r>
        <w:rPr>
          <w:b/>
          <w:bCs/>
          <w:sz w:val="24"/>
          <w:szCs w:val="28"/>
        </w:rPr>
        <w:fldChar w:fldCharType="separate"/>
      </w:r>
      <w:r>
        <w:rPr>
          <w:rFonts w:hint="eastAsia" w:ascii="宋体" w:hAnsi="宋体" w:eastAsia="宋体"/>
          <w:b/>
          <w:bCs/>
          <w:sz w:val="32"/>
          <w:szCs w:val="28"/>
        </w:rPr>
        <w:t>第五节 环境和社会责任</w:t>
      </w:r>
      <w:r>
        <w:rPr>
          <w:b/>
          <w:bCs/>
          <w:sz w:val="24"/>
          <w:szCs w:val="28"/>
        </w:rPr>
        <w:tab/>
      </w:r>
      <w:r>
        <w:rPr>
          <w:b/>
          <w:bCs/>
          <w:sz w:val="24"/>
          <w:szCs w:val="28"/>
        </w:rPr>
        <w:fldChar w:fldCharType="begin"/>
      </w:r>
      <w:r>
        <w:rPr>
          <w:b/>
          <w:bCs/>
          <w:sz w:val="24"/>
          <w:szCs w:val="28"/>
        </w:rPr>
        <w:instrText xml:space="preserve"> PAGEREF _Toc988933 \h </w:instrText>
      </w:r>
      <w:r>
        <w:rPr>
          <w:rFonts w:hint="eastAsia" w:ascii="宋体" w:hAnsi="宋体" w:eastAsia="宋体"/>
          <w:b/>
          <w:bCs/>
          <w:sz w:val="32"/>
          <w:szCs w:val="28"/>
        </w:rPr>
        <w:fldChar w:fldCharType="separate"/>
      </w:r>
      <w:r>
        <w:rPr>
          <w:b/>
          <w:bCs/>
          <w:sz w:val="24"/>
          <w:szCs w:val="28"/>
        </w:rPr>
        <w:t>23</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"_Toc988936" </w:instrText>
      </w:r>
      <w:r>
        <w:rPr>
          <w:b/>
          <w:bCs/>
          <w:sz w:val="24"/>
          <w:szCs w:val="28"/>
        </w:rPr>
        <w:fldChar w:fldCharType="separate"/>
      </w:r>
      <w:r>
        <w:rPr>
          <w:rFonts w:hint="eastAsia" w:ascii="宋体" w:hAnsi="宋体" w:eastAsia="宋体"/>
          <w:b/>
          <w:bCs/>
          <w:sz w:val="32"/>
          <w:szCs w:val="28"/>
        </w:rPr>
        <w:t>第六节 重要事项</w:t>
      </w:r>
      <w:r>
        <w:rPr>
          <w:b/>
          <w:bCs/>
          <w:sz w:val="24"/>
          <w:szCs w:val="28"/>
        </w:rPr>
        <w:tab/>
      </w:r>
      <w:r>
        <w:rPr>
          <w:b/>
          <w:bCs/>
          <w:sz w:val="24"/>
          <w:szCs w:val="28"/>
        </w:rPr>
        <w:fldChar w:fldCharType="begin"/>
      </w:r>
      <w:r>
        <w:rPr>
          <w:b/>
          <w:bCs/>
          <w:sz w:val="24"/>
          <w:szCs w:val="28"/>
        </w:rPr>
        <w:instrText xml:space="preserve"> PAGEREF _Toc988936 \h </w:instrText>
      </w:r>
      <w:r>
        <w:rPr>
          <w:rFonts w:hint="eastAsia" w:ascii="宋体" w:hAnsi="宋体" w:eastAsia="宋体"/>
          <w:b/>
          <w:bCs/>
          <w:sz w:val="32"/>
          <w:szCs w:val="28"/>
        </w:rPr>
        <w:fldChar w:fldCharType="separate"/>
      </w:r>
      <w:r>
        <w:rPr>
          <w:b/>
          <w:bCs/>
          <w:sz w:val="24"/>
          <w:szCs w:val="28"/>
        </w:rPr>
        <w:t>25</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"_Toc988965" </w:instrText>
      </w:r>
      <w:r>
        <w:rPr>
          <w:b/>
          <w:bCs/>
          <w:sz w:val="24"/>
          <w:szCs w:val="28"/>
        </w:rPr>
        <w:fldChar w:fldCharType="separate"/>
      </w:r>
      <w:r>
        <w:rPr>
          <w:rFonts w:hint="eastAsia" w:ascii="宋体" w:hAnsi="宋体" w:eastAsia="宋体"/>
          <w:b/>
          <w:bCs/>
          <w:sz w:val="32"/>
          <w:szCs w:val="28"/>
        </w:rPr>
        <w:t>第七节 股份变动及股东情况</w:t>
      </w:r>
      <w:r>
        <w:rPr>
          <w:b/>
          <w:bCs/>
          <w:sz w:val="24"/>
          <w:szCs w:val="28"/>
        </w:rPr>
        <w:tab/>
      </w:r>
      <w:r>
        <w:rPr>
          <w:b/>
          <w:bCs/>
          <w:sz w:val="24"/>
          <w:szCs w:val="28"/>
        </w:rPr>
        <w:fldChar w:fldCharType="begin"/>
      </w:r>
      <w:r>
        <w:rPr>
          <w:b/>
          <w:bCs/>
          <w:sz w:val="24"/>
          <w:szCs w:val="28"/>
        </w:rPr>
        <w:instrText xml:space="preserve"> PAGEREF _Toc988965 \h </w:instrText>
      </w:r>
      <w:r>
        <w:rPr>
          <w:rFonts w:hint="eastAsia" w:ascii="宋体" w:hAnsi="宋体" w:eastAsia="宋体"/>
          <w:b/>
          <w:bCs/>
          <w:sz w:val="32"/>
          <w:szCs w:val="28"/>
        </w:rPr>
        <w:fldChar w:fldCharType="separate"/>
      </w:r>
      <w:r>
        <w:rPr>
          <w:b/>
          <w:bCs/>
          <w:sz w:val="24"/>
          <w:szCs w:val="28"/>
        </w:rPr>
        <w:t>31</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"_Toc988973" </w:instrText>
      </w:r>
      <w:r>
        <w:rPr>
          <w:b/>
          <w:bCs/>
          <w:sz w:val="24"/>
          <w:szCs w:val="28"/>
        </w:rPr>
        <w:fldChar w:fldCharType="separate"/>
      </w:r>
      <w:r>
        <w:rPr>
          <w:rFonts w:hint="eastAsia" w:ascii="宋体" w:hAnsi="宋体" w:eastAsia="宋体"/>
          <w:b/>
          <w:bCs/>
          <w:sz w:val="32"/>
          <w:szCs w:val="28"/>
        </w:rPr>
        <w:t>第八节 优先股相关情况</w:t>
      </w:r>
      <w:r>
        <w:rPr>
          <w:b/>
          <w:bCs/>
          <w:sz w:val="24"/>
          <w:szCs w:val="28"/>
        </w:rPr>
        <w:tab/>
      </w:r>
      <w:r>
        <w:rPr>
          <w:b/>
          <w:bCs/>
          <w:sz w:val="24"/>
          <w:szCs w:val="28"/>
        </w:rPr>
        <w:fldChar w:fldCharType="begin"/>
      </w:r>
      <w:r>
        <w:rPr>
          <w:b/>
          <w:bCs/>
          <w:sz w:val="24"/>
          <w:szCs w:val="28"/>
        </w:rPr>
        <w:instrText xml:space="preserve"> PAGEREF _Toc988973 \h </w:instrText>
      </w:r>
      <w:r>
        <w:rPr>
          <w:rFonts w:hint="eastAsia" w:ascii="宋体" w:hAnsi="宋体" w:eastAsia="宋体"/>
          <w:b/>
          <w:bCs/>
          <w:sz w:val="32"/>
          <w:szCs w:val="28"/>
        </w:rPr>
        <w:fldChar w:fldCharType="separate"/>
      </w:r>
      <w:r>
        <w:rPr>
          <w:b/>
          <w:bCs/>
          <w:sz w:val="24"/>
          <w:szCs w:val="28"/>
        </w:rPr>
        <w:t>37</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"_Toc988974" </w:instrText>
      </w:r>
      <w:r>
        <w:rPr>
          <w:b/>
          <w:bCs/>
          <w:sz w:val="24"/>
          <w:szCs w:val="28"/>
        </w:rPr>
        <w:fldChar w:fldCharType="separate"/>
      </w:r>
      <w:r>
        <w:rPr>
          <w:rFonts w:hint="eastAsia" w:ascii="宋体" w:hAnsi="宋体" w:eastAsia="宋体"/>
          <w:b/>
          <w:bCs/>
          <w:sz w:val="32"/>
          <w:szCs w:val="28"/>
        </w:rPr>
        <w:t>第九节 债券相关情况</w:t>
      </w:r>
      <w:r>
        <w:rPr>
          <w:b/>
          <w:bCs/>
          <w:sz w:val="24"/>
          <w:szCs w:val="28"/>
        </w:rPr>
        <w:tab/>
      </w:r>
      <w:r>
        <w:rPr>
          <w:b/>
          <w:bCs/>
          <w:sz w:val="24"/>
          <w:szCs w:val="28"/>
        </w:rPr>
        <w:fldChar w:fldCharType="begin"/>
      </w:r>
      <w:r>
        <w:rPr>
          <w:b/>
          <w:bCs/>
          <w:sz w:val="24"/>
          <w:szCs w:val="28"/>
        </w:rPr>
        <w:instrText xml:space="preserve"> PAGEREF _Toc988974 \h </w:instrText>
      </w:r>
      <w:r>
        <w:rPr>
          <w:rFonts w:hint="eastAsia" w:ascii="宋体" w:hAnsi="宋体" w:eastAsia="宋体"/>
          <w:b/>
          <w:bCs/>
          <w:sz w:val="32"/>
          <w:szCs w:val="28"/>
        </w:rPr>
        <w:fldChar w:fldCharType="separate"/>
      </w:r>
      <w:r>
        <w:rPr>
          <w:b/>
          <w:bCs/>
          <w:sz w:val="24"/>
          <w:szCs w:val="28"/>
        </w:rPr>
        <w:t>38</w:t>
      </w:r>
      <w:r>
        <w:rPr>
          <w:b/>
          <w:bCs/>
          <w:sz w:val="24"/>
          <w:szCs w:val="28"/>
        </w:rPr>
        <w:fldChar w:fldCharType="end"/>
      </w:r>
      <w:r>
        <w:rPr>
          <w:b/>
          <w:bCs/>
          <w:sz w:val="24"/>
          <w:szCs w:val="28"/>
        </w:rPr>
        <w:fldChar w:fldCharType="end"/>
      </w:r>
    </w:p>
    <w:p>
      <w:pPr>
        <w:tabs>
          <w:tab w:val="left" w:leader="dot" w:pos="9469"/>
        </w:tabs>
        <w:spacing w:line="720" w:lineRule="auto"/>
        <w:rPr>
          <w:b/>
          <w:bCs/>
          <w:sz w:val="24"/>
          <w:szCs w:val="28"/>
        </w:rPr>
      </w:pPr>
      <w:r>
        <w:rPr>
          <w:b/>
          <w:bCs/>
          <w:sz w:val="24"/>
          <w:szCs w:val="28"/>
        </w:rPr>
        <w:fldChar w:fldCharType="begin"/>
      </w:r>
      <w:r>
        <w:rPr>
          <w:b/>
          <w:bCs/>
          <w:sz w:val="24"/>
          <w:szCs w:val="28"/>
        </w:rPr>
        <w:instrText xml:space="preserve"> HYPERLINK \l "_Toc988975" </w:instrText>
      </w:r>
      <w:r>
        <w:rPr>
          <w:b/>
          <w:bCs/>
          <w:sz w:val="24"/>
          <w:szCs w:val="28"/>
        </w:rPr>
        <w:fldChar w:fldCharType="separate"/>
      </w:r>
      <w:r>
        <w:rPr>
          <w:rFonts w:hint="eastAsia" w:ascii="宋体" w:hAnsi="宋体" w:eastAsia="宋体"/>
          <w:b/>
          <w:bCs/>
          <w:sz w:val="32"/>
          <w:szCs w:val="28"/>
        </w:rPr>
        <w:t>第十节 财务报告</w:t>
      </w:r>
      <w:r>
        <w:rPr>
          <w:b/>
          <w:bCs/>
          <w:sz w:val="24"/>
          <w:szCs w:val="28"/>
        </w:rPr>
        <w:tab/>
      </w:r>
      <w:r>
        <w:rPr>
          <w:b/>
          <w:bCs/>
          <w:sz w:val="24"/>
          <w:szCs w:val="28"/>
        </w:rPr>
        <w:fldChar w:fldCharType="begin"/>
      </w:r>
      <w:r>
        <w:rPr>
          <w:b/>
          <w:bCs/>
          <w:sz w:val="24"/>
          <w:szCs w:val="28"/>
        </w:rPr>
        <w:instrText xml:space="preserve"> PAGEREF _Toc988975 \h </w:instrText>
      </w:r>
      <w:r>
        <w:rPr>
          <w:rFonts w:hint="eastAsia" w:ascii="宋体" w:hAnsi="宋体" w:eastAsia="宋体"/>
          <w:b/>
          <w:bCs/>
          <w:sz w:val="32"/>
          <w:szCs w:val="28"/>
        </w:rPr>
        <w:fldChar w:fldCharType="separate"/>
      </w:r>
      <w:r>
        <w:rPr>
          <w:b/>
          <w:bCs/>
          <w:sz w:val="24"/>
          <w:szCs w:val="28"/>
        </w:rPr>
        <w:t>39</w:t>
      </w:r>
      <w:r>
        <w:rPr>
          <w:b/>
          <w:bCs/>
          <w:sz w:val="24"/>
          <w:szCs w:val="28"/>
        </w:rPr>
        <w:fldChar w:fldCharType="end"/>
      </w:r>
      <w:r>
        <w:rPr>
          <w:b/>
          <w:bCs/>
          <w:sz w:val="24"/>
          <w:szCs w:val="28"/>
        </w:rPr>
        <w:fldChar w:fldCharType="end"/>
      </w:r>
      <w:r>
        <w:rPr>
          <w:b/>
          <w:bCs/>
          <w:sz w:val="24"/>
          <w:szCs w:val="28"/>
        </w:rPr>
        <w:fldChar w:fldCharType="end"/>
      </w:r>
    </w:p>
    <w:p>
      <w:pPr>
        <w:spacing w:line="720" w:lineRule="auto"/>
        <w:rPr>
          <w:b/>
          <w:bCs/>
          <w:sz w:val="24"/>
          <w:szCs w:val="28"/>
        </w:rPr>
      </w:pPr>
      <w:r>
        <w:rPr>
          <w:b/>
          <w:bCs/>
          <w:sz w:val="24"/>
          <w:szCs w:val="28"/>
        </w:rPr>
        <w:br w:type="page"/>
      </w:r>
    </w:p>
    <w:p>
      <w:pPr>
        <w:spacing w:before="0" w:after="0" w:line="640" w:lineRule="exact"/>
        <w:jc w:val="center"/>
        <w:rPr>
          <w:rFonts w:ascii="宋体" w:hAnsi="宋体" w:eastAsia="宋体" w:cs="宋体"/>
          <w:b/>
          <w:bCs/>
          <w:sz w:val="32"/>
          <w:szCs w:val="32"/>
        </w:rPr>
      </w:pPr>
      <w:r>
        <w:rPr>
          <w:rFonts w:ascii="宋体" w:hAnsi="宋体" w:eastAsia="宋体" w:cs="宋体"/>
          <w:b/>
          <w:bCs/>
          <w:sz w:val="32"/>
          <w:szCs w:val="32"/>
        </w:rPr>
        <w:t>备查文件目录</w:t>
      </w:r>
    </w:p>
    <w:p>
      <w:pPr>
        <w:pStyle w:val="3"/>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一、载有公司法定代表人范庆伟先生签名的 2022 年半年度报告文本。</w:t>
      </w:r>
    </w:p>
    <w:p>
      <w:pPr>
        <w:pStyle w:val="3"/>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二、载有公司法定代表人范庆伟、主管会计工作负责人迟娜娜、会计机构负责人（会计主管人员）王涛签名并盖章的财务报表。</w:t>
      </w:r>
    </w:p>
    <w:p>
      <w:pPr>
        <w:pStyle w:val="3"/>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三、报告期内在中国证监会指定报纸上公开披露过的所有公司文件的正本及公告的原稿。</w:t>
      </w:r>
    </w:p>
    <w:p>
      <w:pPr>
        <w:pStyle w:val="3"/>
        <w:keepNext w:val="0"/>
        <w:keepLines w:val="0"/>
        <w:widowControl/>
        <w:suppressLineNumbers w:val="0"/>
        <w:spacing w:line="560" w:lineRule="atLeast"/>
        <w:rPr>
          <w:rFonts w:hint="eastAsia" w:ascii="宋体" w:hAnsi="宋体" w:eastAsia="宋体" w:cs="宋体"/>
          <w:sz w:val="18"/>
          <w:szCs w:val="18"/>
        </w:rPr>
      </w:pPr>
      <w:r>
        <w:rPr>
          <w:rFonts w:hint="eastAsia" w:ascii="宋体" w:hAnsi="宋体" w:eastAsia="宋体" w:cs="宋体"/>
          <w:sz w:val="18"/>
          <w:szCs w:val="18"/>
        </w:rPr>
        <w:t>四、公司置备上述文件之原件于公司董事会办公室，青岛高新区春阳路789号。</w:t>
      </w:r>
    </w:p>
    <w:p>
      <w:r>
        <w:br w:type="page"/>
      </w:r>
    </w:p>
    <w:p>
      <w:pPr>
        <w:spacing w:before="40" w:after="40" w:line="640" w:lineRule="exact"/>
        <w:jc w:val="center"/>
        <w:rPr>
          <w:rFonts w:ascii="宋体" w:hAnsi="宋体" w:eastAsia="宋体" w:cs="宋体"/>
          <w:b/>
          <w:bCs/>
          <w:sz w:val="32"/>
          <w:szCs w:val="32"/>
        </w:rPr>
      </w:pPr>
      <w:r>
        <w:rPr>
          <w:rFonts w:ascii="宋体" w:hAnsi="宋体" w:eastAsia="宋体" w:cs="宋体"/>
          <w:b/>
          <w:bCs/>
          <w:sz w:val="32"/>
          <w:szCs w:val="32"/>
        </w:rPr>
        <w:t>释义</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伟隆股份、公司、本公司</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控股股东</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实际控制人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范庆伟、范玉隆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惠隆企管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本公司股东，江西惠隆企业管理有限公司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本公司全资子公司，莱州伟隆阀门有限公司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伟隆五金</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本公司全资子公司，青岛伟隆五金机械有限公司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COMPANY LIMITED）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美国伟隆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本公司全资子公司，伟隆阀门有限公司（WEFLO VALVE LLC）</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伟隆流体</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本公司全资子公司，青岛伟隆流体设备有限公司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即聚机电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曾为本公司全资子公司，青岛即聚机电有限责任公司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卓信检测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本公司全资子公司，青岛卓信检测技术有限责任公司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本公司全资子公司，伟隆（香港）实业有限公司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本公司控股子公司，海南伟隆投资有限公司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审计机构、申报会计师、山东和信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和信会计师事务所（特殊普通合伙）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A股</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在中国境内上市的人民币普通股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股东大会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青岛伟隆阀门股份有限公司股东大会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青岛伟隆阀门股份有限公司董事会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监事会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青岛伟隆阀门股份有限公司监事会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公司章程</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青岛伟隆阀门股份有限公司章程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《中华人民共和国公司法》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《证券法》</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《中华人民共和国证券法》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中国证监会、证监会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深交所、交易所</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元、万元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人民币元、人民币万元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报告期、本报告期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2022年1月1日-2022年6月30日</w:t>
            </w:r>
          </w:p>
        </w:tc>
      </w:tr>
    </w:tbl>
    <w:p>
      <w:r>
        <w:br w:type="page"/>
      </w:r>
    </w:p>
    <w:p>
      <w:pPr>
        <w:keepNext/>
        <w:keepLines/>
        <w:spacing w:before="340" w:after="330" w:line="773" w:lineRule="exact"/>
        <w:jc w:val="center"/>
        <w:outlineLvl w:val="0"/>
        <w:rPr>
          <w:rFonts w:ascii="宋体" w:hAnsi="宋体" w:eastAsia="宋体" w:cs="宋体"/>
          <w:b/>
          <w:bCs/>
          <w:sz w:val="32"/>
          <w:szCs w:val="32"/>
        </w:rPr>
      </w:pPr>
      <w:bookmarkStart w:id="1" w:name="_Toc988890"/>
      <w:r>
        <w:rPr>
          <w:rFonts w:ascii="宋体" w:hAnsi="宋体" w:eastAsia="宋体" w:cs="宋体"/>
          <w:b/>
          <w:bCs/>
          <w:sz w:val="32"/>
          <w:szCs w:val="32"/>
        </w:rPr>
        <w:t>第二节 公司简介和主要财务指标</w:t>
      </w:r>
      <w:bookmarkEnd w:id="1"/>
    </w:p>
    <w:p>
      <w:pPr>
        <w:keepNext/>
        <w:keepLines/>
        <w:spacing w:before="300" w:after="300" w:line="320" w:lineRule="exact"/>
        <w:jc w:val="left"/>
        <w:outlineLvl w:val="1"/>
        <w:rPr>
          <w:rFonts w:ascii="宋体" w:hAnsi="宋体" w:eastAsia="宋体" w:cs="宋体"/>
          <w:b/>
          <w:bCs/>
          <w:sz w:val="24"/>
          <w:szCs w:val="24"/>
        </w:rPr>
      </w:pPr>
      <w:bookmarkStart w:id="2" w:name="_Toc988891"/>
      <w:r>
        <w:rPr>
          <w:rFonts w:ascii="宋体" w:hAnsi="宋体" w:eastAsia="宋体" w:cs="宋体"/>
          <w:b/>
          <w:bCs/>
          <w:sz w:val="24"/>
          <w:szCs w:val="24"/>
        </w:rPr>
        <w:t>一、公司简介</w:t>
      </w:r>
      <w:bookmarkEnd w:id="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QINGDAO WEFLO VALVE CO., 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r>
    </w:tbl>
    <w:p>
      <w:pPr>
        <w:keepNext/>
        <w:keepLines/>
        <w:spacing w:before="300" w:after="300" w:line="320" w:lineRule="exact"/>
        <w:jc w:val="left"/>
        <w:outlineLvl w:val="1"/>
        <w:rPr>
          <w:rFonts w:ascii="宋体" w:hAnsi="宋体" w:eastAsia="宋体" w:cs="宋体"/>
          <w:b/>
          <w:bCs/>
          <w:sz w:val="24"/>
          <w:szCs w:val="24"/>
        </w:rPr>
      </w:pPr>
      <w:bookmarkStart w:id="3" w:name="_Toc988892"/>
      <w:r>
        <w:rPr>
          <w:rFonts w:ascii="宋体" w:hAnsi="宋体" w:eastAsia="宋体" w:cs="宋体"/>
          <w:b/>
          <w:bCs/>
          <w:sz w:val="24"/>
          <w:szCs w:val="24"/>
        </w:rPr>
        <w:t>二、联系人和联系方式</w:t>
      </w:r>
      <w:bookmarkEnd w:id="3"/>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FD@weflovalve.com</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Zhao.xiang@weflovalve.com</w:t>
            </w:r>
          </w:p>
        </w:tc>
      </w:tr>
    </w:tbl>
    <w:p>
      <w:pPr>
        <w:keepNext/>
        <w:keepLines/>
        <w:spacing w:before="300" w:after="300" w:line="320" w:lineRule="exact"/>
        <w:jc w:val="left"/>
        <w:outlineLvl w:val="1"/>
        <w:rPr>
          <w:rFonts w:ascii="宋体" w:hAnsi="宋体" w:eastAsia="宋体" w:cs="宋体"/>
          <w:b/>
          <w:bCs/>
          <w:sz w:val="24"/>
          <w:szCs w:val="24"/>
        </w:rPr>
      </w:pPr>
      <w:bookmarkStart w:id="4" w:name="_Toc988893"/>
      <w:r>
        <w:rPr>
          <w:rFonts w:ascii="宋体" w:hAnsi="宋体" w:eastAsia="宋体" w:cs="宋体"/>
          <w:b/>
          <w:bCs/>
          <w:sz w:val="24"/>
          <w:szCs w:val="24"/>
        </w:rPr>
        <w:t>三、其他情况</w:t>
      </w:r>
      <w:bookmarkEnd w:id="4"/>
    </w:p>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1、公司联系方式</w:t>
      </w:r>
      <w:bookmarkEnd w:id="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公司注册地址，公司办公地址及其邮政编码，公司网址、电子信箱报告期无变化，具体可参见2021年年报。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2、信息披露及备置地点</w:t>
      </w:r>
      <w:bookmarkEnd w:id="6"/>
    </w:p>
    <w:p>
      <w:pPr>
        <w:spacing w:before="100" w:after="100" w:line="240" w:lineRule="exact"/>
        <w:jc w:val="left"/>
        <w:rPr>
          <w:rFonts w:ascii="宋体" w:hAnsi="宋体" w:eastAsia="宋体" w:cs="宋体"/>
          <w:sz w:val="18"/>
          <w:szCs w:val="18"/>
        </w:rPr>
      </w:pPr>
      <w:r>
        <w:rPr>
          <w:rFonts w:ascii="宋体" w:hAnsi="宋体" w:eastAsia="宋体" w:cs="宋体"/>
          <w:sz w:val="18"/>
          <w:szCs w:val="18"/>
        </w:rPr>
        <w:t>信息披露及备置地点在报告期是否变化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公司选定的信息披露报纸的名称，登载半年度报告的中国证监会指定网站的网址，公司半年度报告备置地报告期无变化，具体可参见2021年年报。</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3、其他有关资料</w:t>
      </w:r>
      <w:bookmarkEnd w:id="7"/>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其他有关资料在报告期是否变更情况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四、主要会计数据和财务指标</w:t>
      </w:r>
      <w:bookmarkEnd w:id="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36,261,878.69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16,025,674.19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w:t>
            </w:r>
          </w:p>
        </w:tc>
      </w:tr>
    </w:tbl>
    <w:p>
      <w:pPr>
        <w:keepNext/>
        <w:keepLines/>
        <w:spacing w:before="300" w:after="300" w:line="320" w:lineRule="exact"/>
        <w:jc w:val="left"/>
        <w:outlineLvl w:val="1"/>
        <w:rPr>
          <w:rFonts w:ascii="宋体" w:hAnsi="宋体" w:eastAsia="宋体" w:cs="宋体"/>
          <w:b/>
          <w:bCs/>
          <w:sz w:val="24"/>
          <w:szCs w:val="24"/>
        </w:rPr>
      </w:pPr>
      <w:bookmarkStart w:id="9" w:name="_Toc988898"/>
      <w:r>
        <w:rPr>
          <w:rFonts w:ascii="宋体" w:hAnsi="宋体" w:eastAsia="宋体" w:cs="宋体"/>
          <w:b/>
          <w:bCs/>
          <w:sz w:val="24"/>
          <w:szCs w:val="24"/>
        </w:rPr>
        <w:t>五、境内外会计准则下会计数据差异</w:t>
      </w:r>
      <w:bookmarkEnd w:id="9"/>
    </w:p>
    <w:p>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1、同时按照国际会计准则与按照中国会计准则披露的财务报告中净利润和净资产差异情况</w:t>
      </w:r>
      <w:bookmarkEnd w:id="1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公司报告期不存在按照国际会计准则与按照中国会计准则披露的财务报告中净利润和净资产差异情况。</w:t>
      </w:r>
    </w:p>
    <w:p>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2、同时按照境外会计准则与按照中国会计准则披露的财务报告中净利润和净资产差异情况</w:t>
      </w:r>
      <w:bookmarkEnd w:id="1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公司报告期不存在按照境外会计准则与按照中国会计准则披露的财务报告中净利润和净资产差异情况。</w:t>
      </w:r>
    </w:p>
    <w:p>
      <w:pPr>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六、非经常性损益项目及金额</w:t>
      </w:r>
      <w:bookmarkEnd w:id="1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宋体" w:hAnsi="宋体" w:cs="宋体"/>
                <w:sz w:val="18"/>
                <w:szCs w:val="18"/>
              </w:rPr>
            </w:pPr>
            <w:r>
              <w:rPr>
                <w:rFonts w:ascii="宋体" w:hAnsi="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主要系本期处置</w:t>
            </w:r>
            <w:r>
              <w:rPr>
                <w:rFonts w:hint="eastAsia" w:ascii="宋体" w:hAnsi="宋体" w:cs="宋体"/>
                <w:sz w:val="18"/>
                <w:szCs w:val="18"/>
              </w:rPr>
              <w:t>固定</w:t>
            </w:r>
            <w:r>
              <w:rPr>
                <w:rFonts w:ascii="宋体" w:hAnsi="宋体" w:cs="宋体"/>
                <w:sz w:val="18"/>
                <w:szCs w:val="18"/>
              </w:rPr>
              <w:t>资产</w:t>
            </w:r>
            <w:r>
              <w:rPr>
                <w:rFonts w:hint="eastAsia" w:ascii="宋体" w:hAnsi="宋体" w:cs="宋体"/>
                <w:sz w:val="18"/>
                <w:szCs w:val="18"/>
              </w:rPr>
              <w:t>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4,852,850.52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主要系本期</w:t>
            </w:r>
            <w:r>
              <w:rPr>
                <w:rFonts w:hint="eastAsia" w:ascii="宋体" w:hAnsi="宋体" w:cs="宋体"/>
                <w:sz w:val="18"/>
                <w:szCs w:val="18"/>
              </w:rPr>
              <w:t>委托</w:t>
            </w:r>
            <w:r>
              <w:rPr>
                <w:rFonts w:ascii="宋体" w:hAnsi="宋体" w:cs="宋体"/>
                <w:sz w:val="18"/>
                <w:szCs w:val="18"/>
              </w:rPr>
              <w:t>理财</w:t>
            </w:r>
            <w:r>
              <w:rPr>
                <w:rFonts w:hint="eastAsia" w:ascii="宋体" w:hAnsi="宋体" w:cs="宋体"/>
                <w:sz w:val="18"/>
                <w:szCs w:val="18"/>
              </w:rPr>
              <w:t>投资收益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主要系投资基金预计收益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-258,040.13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主要系处置资产支出</w:t>
            </w:r>
            <w:r>
              <w:rPr>
                <w:rFonts w:hint="eastAsia" w:ascii="宋体" w:hAnsi="宋体" w:cs="宋体"/>
                <w:sz w:val="18"/>
                <w:szCs w:val="18"/>
              </w:rPr>
              <w:t>损益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处置子公司资产收益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r>
              <w:rPr>
                <w:rFonts w:ascii="宋体" w:hAnsi="宋体" w:cs="宋体"/>
                <w:sz w:val="18"/>
                <w:szCs w:val="18"/>
              </w:rPr>
              <w:t>主要系处置子公司股权</w:t>
            </w:r>
            <w:r>
              <w:rPr>
                <w:rFonts w:hint="eastAsia" w:ascii="宋体" w:hAnsi="宋体" w:cs="宋体"/>
                <w:sz w:val="18"/>
                <w:szCs w:val="18"/>
              </w:rPr>
              <w:t>转让收益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7,461,480.37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left"/>
              <w:rPr>
                <w:rFonts w:ascii="宋体" w:hAnsi="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left"/>
              <w:rPr>
                <w:rFonts w:ascii="宋体" w:hAnsi="宋体" w:cs="宋体"/>
                <w:sz w:val="18"/>
                <w:szCs w:val="18"/>
              </w:rPr>
            </w:pPr>
            <w:r>
              <w:rPr>
                <w:rFonts w:ascii="宋体" w:hAnsi="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宋体" w:hAnsi="宋体" w:cs="宋体"/>
                <w:sz w:val="18"/>
                <w:szCs w:val="18"/>
              </w:rPr>
            </w:pPr>
            <w:r>
              <w:rPr>
                <w:rFonts w:ascii="宋体" w:hAnsi="宋体" w:cs="宋体"/>
                <w:sz w:val="18"/>
                <w:szCs w:val="18"/>
              </w:rPr>
              <w:t>42,884,886.14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r>
        <w:br w:type="page"/>
      </w:r>
    </w:p>
    <w:p>
      <w:pPr>
        <w:keepNext/>
        <w:keepLines/>
        <w:spacing w:before="340" w:after="330" w:line="773" w:lineRule="exact"/>
        <w:jc w:val="center"/>
        <w:outlineLvl w:val="0"/>
        <w:rPr>
          <w:rFonts w:ascii="宋体" w:hAnsi="宋体" w:eastAsia="宋体" w:cs="宋体"/>
          <w:b/>
          <w:bCs/>
          <w:sz w:val="32"/>
          <w:szCs w:val="32"/>
        </w:rPr>
      </w:pPr>
      <w:bookmarkStart w:id="13" w:name="_Toc988902"/>
      <w:r>
        <w:rPr>
          <w:rFonts w:ascii="宋体" w:hAnsi="宋体" w:eastAsia="宋体" w:cs="宋体"/>
          <w:b/>
          <w:bCs/>
          <w:sz w:val="32"/>
          <w:szCs w:val="32"/>
        </w:rPr>
        <w:t>第三节 管理层讨论与分析</w:t>
      </w:r>
      <w:bookmarkEnd w:id="13"/>
    </w:p>
    <w:p>
      <w:pPr>
        <w:keepNext/>
        <w:keepLines/>
        <w:spacing w:before="300" w:after="300" w:line="320" w:lineRule="exact"/>
        <w:jc w:val="left"/>
        <w:outlineLvl w:val="1"/>
        <w:rPr>
          <w:rFonts w:ascii="宋体" w:hAnsi="宋体" w:eastAsia="宋体" w:cs="宋体"/>
          <w:b/>
          <w:bCs/>
          <w:sz w:val="24"/>
          <w:szCs w:val="24"/>
        </w:rPr>
      </w:pPr>
      <w:bookmarkStart w:id="14" w:name="_Toc988903"/>
      <w:r>
        <w:rPr>
          <w:rFonts w:ascii="宋体" w:hAnsi="宋体" w:eastAsia="宋体" w:cs="宋体"/>
          <w:b/>
          <w:bCs/>
          <w:sz w:val="24"/>
          <w:szCs w:val="24"/>
        </w:rPr>
        <w:t>一、报告期内公司从事的主要业务</w:t>
      </w:r>
      <w:bookmarkEnd w:id="14"/>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（一）主要业务、主要产品及用途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专业从事给排水阀门产品的设计研发、生产制造和销售服务的高新技术企业，为城镇给排水系统、消防给水系统、空调暖通系统以及污水处理系统等下游应用领域提供产品及解决方案。公司具有提供以闸阀、蝶阀、截止阀、调节阀、旋塞阀、止回阀、减压阀、报警阀、雨淋阀等为主的多个系列、共2,000多个规格产品的能力，能够满足客户一站式采购需求。 同时，全资子公司莱州伟隆募投项目建设的两条铸造自动生产线投产，已为汽车、农机企业承接铸造高质量铸件加工产品。2016年12月，公司取得中央军委装备发展部核发的《装备承制单位注册证书》，成为第三类装备承制单位，为部分海军舰艇装备、军事基地、造船厂等单位提供生产装备、生活设施配套所需的阀门产品。</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2020年9月成立的全资子公司“青岛卓信检测技术有限公司”，已于2021年6月获得了CMA检测资质认证证书，2022年3月获得中国合格评定国家认可委员会CNAS实验室认可证书，承接对外阀门检测技术业务。</w:t>
      </w:r>
    </w:p>
    <w:p>
      <w:pPr>
        <w:pStyle w:val="3"/>
        <w:keepNext w:val="0"/>
        <w:keepLines w:val="0"/>
        <w:widowControl/>
        <w:suppressLineNumbers w:val="0"/>
        <w:spacing w:before="0" w:beforeAutospacing="0" w:after="0" w:afterAutospacing="0" w:line="360" w:lineRule="auto"/>
        <w:ind w:left="0" w:right="0" w:firstLine="320"/>
        <w:jc w:val="both"/>
        <w:rPr>
          <w:rFonts w:hint="default" w:ascii="Times New Roman" w:hAnsi="Times New Roman" w:cs="Times New Roman"/>
          <w:sz w:val="21"/>
          <w:szCs w:val="21"/>
        </w:rPr>
      </w:pPr>
      <w:r>
        <w:rPr>
          <w:rFonts w:hint="eastAsia" w:ascii="宋体" w:hAnsi="宋体" w:eastAsia="宋体" w:cs="宋体"/>
          <w:sz w:val="18"/>
          <w:szCs w:val="18"/>
        </w:rPr>
        <w:t>2022年1月成立了“海南伟隆投资有限公司”合资企业，通过同专业投资机构合作以自有资金参与资本市场，以投资认购私募基金的方式分别参与实施了“000852-石化机械，002353-杰瑞股份，002838-道恩股份”的再融资定增新能源、新材料等股权投资项目。</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（二）经营模式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公司凭借二十多年的经营管理经验，结合产品特点和业务发展要求，采取的销售、研发、采购、生产、服务模式符合行业特点，满足公司业务发展需要。报告期内，公司经营模式未发生重大变化。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1、市场销售模式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公司在充分发挥现有客户资源和营销网络优势的基础上，进一步贴近终端客户，扩大自主品牌的销售力度，提高服务水平。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1）国内市场销售：采取由营销中心自有销售团队设立的合伙人销售平台和代理商销售相结合的业务模式。根据国内给排水系统及水利工程对阀门产品的需求，不断优化自主品牌“WEFLO”的产品结构，完善产品销售激励政策，调动销售人员的积极性，积极参与重点工程项目的招投标工作，取得了较好的销售业绩，提高了公司产品在国内的市场占有率和品牌影响力，已跻身于国内给排水阀门招投标项目主要参与竞争企业行列之中。</w:t>
      </w:r>
    </w:p>
    <w:p>
      <w:pPr>
        <w:pStyle w:val="3"/>
        <w:keepNext w:val="0"/>
        <w:keepLines w:val="0"/>
        <w:widowControl/>
        <w:suppressLineNumbers w:val="0"/>
        <w:spacing w:before="40" w:beforeAutospacing="0" w:after="40" w:afterAutospacing="0"/>
        <w:ind w:left="0" w:firstLine="450"/>
        <w:jc w:val="left"/>
        <w:rPr>
          <w:rFonts w:hint="default" w:ascii="Times New Roman" w:hAnsi="Times New Roman" w:cs="Times New Roman"/>
          <w:sz w:val="24"/>
          <w:szCs w:val="24"/>
        </w:rPr>
      </w:pPr>
      <w:r>
        <w:rPr>
          <w:rFonts w:hint="eastAsia" w:ascii="宋体" w:hAnsi="宋体" w:eastAsia="宋体" w:cs="宋体"/>
          <w:sz w:val="18"/>
          <w:szCs w:val="18"/>
        </w:rPr>
        <w:t>（2）国际市场销售：采取自有境内外销售团队和区域经销商代理销售相结合的业务模式。今年以来国际销售市场产品需求复苏，客户采购订单签订量和待交付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w:t>
      </w:r>
      <w:r>
        <w:rPr>
          <w:rFonts w:hint="default" w:ascii="Times New Roman" w:hAnsi="Times New Roman" w:eastAsia="宋体" w:cs="Times New Roman"/>
          <w:sz w:val="18"/>
          <w:szCs w:val="18"/>
        </w:rPr>
        <w:t>ARAMCO</w:t>
      </w:r>
      <w:r>
        <w:rPr>
          <w:rFonts w:hint="eastAsia" w:ascii="宋体" w:hAnsi="宋体" w:eastAsia="宋体" w:cs="宋体"/>
          <w:sz w:val="18"/>
          <w:szCs w:val="18"/>
        </w:rPr>
        <w:t>沙特阿美公司在国内阀门业给排水、消防产品首家供应商资质，并签订了首个百万美元级订单开始交付供货；已跻身于国际市场阀门产品的知名供应商企业行列之中。</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2、研发设计模式</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阀门行业在国际市场上不同国家和区域客户需求的多样化导致非标准化产品较多，因此产品研发设计的快速应对能力对缩短交货期、提高客户满意度具有非常重要的意义。公司通过引入“产品创新能力提升”咨询指导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3、采购供应模式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制定了严格的《采购管理程序》、《供应商产品质量考核办法》及《产品外协加工业务管理规范》等管理制度、流程。采购管理部负责编制采购计划并引入SRM供应商管理系统实施采购，工程技术部负责采购及外协用技术资料的发放、回收、控制，品质管理部负责外购、外协产品的进厂检验，仓储物流部负责外购产品检验合格后的入库、仓储、发运工作。</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所用的主要铸铁铸件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4、生产制造模式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主要采取“以销定产”的生产制造模式。根据客户订单绝大多数是以单件、多品种、小批量为主的特点，运营管理部按订单产品的规格、标准要求，落实了客户订单统一生产计划管理措施，通过MES生产系统制定铸件采购计划和生产计划，实施了</w:t>
      </w:r>
      <w:r>
        <w:rPr>
          <w:rFonts w:hint="eastAsia" w:ascii="宋体" w:hAnsi="宋体" w:eastAsia="宋体" w:cs="宋体"/>
          <w:sz w:val="18"/>
          <w:szCs w:val="18"/>
          <w:shd w:val="clear" w:fill="FFFFFF"/>
        </w:rPr>
        <w:t>“产品订单滚动计划方案”。</w:t>
      </w:r>
      <w:r>
        <w:rPr>
          <w:rFonts w:hint="eastAsia" w:ascii="宋体" w:hAnsi="宋体" w:eastAsia="宋体" w:cs="宋体"/>
          <w:sz w:val="18"/>
          <w:szCs w:val="18"/>
        </w:rPr>
        <w:t xml:space="preserve">其中对于非标准化产品和批量大、交货时间短的订单，由工程技术部和生产管理部根据订单图纸和技术参数进行技术、原材料等分析评审后确认销售订单。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及拉动式生产模式，通过开发实施MES制造执行系统加快数据信息处理传递，加强各部门的协同能力，提高工作效率、降低生产成本，优化生产制造管理模式，强化过程管理和控制，提升精益化生产管理水平。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5、客户服务模式 </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keepNext/>
        <w:keepLines/>
        <w:spacing w:before="300" w:after="300" w:line="320" w:lineRule="exact"/>
        <w:jc w:val="left"/>
        <w:outlineLvl w:val="1"/>
        <w:rPr>
          <w:rFonts w:ascii="宋体" w:hAnsi="宋体" w:eastAsia="宋体" w:cs="宋体"/>
          <w:b/>
          <w:bCs/>
          <w:sz w:val="24"/>
          <w:szCs w:val="24"/>
        </w:rPr>
      </w:pPr>
      <w:bookmarkStart w:id="15" w:name="_Toc988904"/>
      <w:r>
        <w:rPr>
          <w:rFonts w:ascii="宋体" w:hAnsi="宋体" w:eastAsia="宋体" w:cs="宋体"/>
          <w:b/>
          <w:bCs/>
          <w:sz w:val="24"/>
          <w:szCs w:val="24"/>
        </w:rPr>
        <w:t>二、核心竞争力分析</w:t>
      </w:r>
      <w:bookmarkEnd w:id="15"/>
    </w:p>
    <w:p>
      <w:pPr>
        <w:pStyle w:val="3"/>
        <w:keepNext w:val="0"/>
        <w:keepLines w:val="0"/>
        <w:widowControl/>
        <w:suppressLineNumbers w:val="0"/>
        <w:spacing w:before="40" w:beforeAutospacing="0" w:after="40" w:afterAutospacing="0"/>
        <w:ind w:left="0" w:right="0" w:firstLine="360"/>
        <w:jc w:val="both"/>
        <w:rPr>
          <w:rFonts w:hint="default" w:ascii="Times New Roman" w:hAnsi="Times New Roman" w:cs="Times New Roman"/>
          <w:sz w:val="24"/>
          <w:szCs w:val="24"/>
        </w:rPr>
      </w:pPr>
      <w:r>
        <w:rPr>
          <w:rFonts w:hint="eastAsia" w:ascii="宋体" w:hAnsi="宋体" w:eastAsia="宋体" w:cs="宋体"/>
          <w:sz w:val="18"/>
          <w:szCs w:val="18"/>
        </w:rPr>
        <w:t>公司经过二十多年的经营探索，致力于给排水阀门行业的深耕细作，专注于城镇给排水系统、消防给水系统、空调暖通系统及污水处理系统等四大应用领域。公司通过多年的技术积累和市场开拓，在研发设计能力、品牌影响力、资质认证、产品质量、大型工程给排水阀门开发及设计实施经验、客户资源等方面均具有明显的竞争优势。荣获2021年度第十九届水业企业评选的“供排水装备领域领先企业奖”。</w:t>
      </w:r>
    </w:p>
    <w:p>
      <w:pPr>
        <w:pStyle w:val="3"/>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）研发技术优势</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2012年以来经青岛市科技局、财政局、国税局和地税局认定的高新技术企业，技术中心于2012年被认定为青岛市级企业技术中心。公司成立了由总经理直接负责的技术管理委员会和由外聘专家组成的专家委员会，拥有86名专业技术人员，其中6名为高级工程师，长期从事阀门产品的研发设计，积累了丰富的研发设计和生产经验。公司及子公司现拥有40项专利，其中2项为国内发明专利。公司研发的不停水加装闸门技术工艺于2011年经中国水协科技委管道技术部专家组现场评审认为技术先进、实用性强、为国内首创，达到国际先进水平，于2018年12月获得国家知识产权局颁发的“中国专利优秀奖”证书。公司2021年研发的新产品“消防减压阀”为国内首家通过UL认证，并获得北京消防展“首家认证”荣誉。2022年公司通过了青岛市民营经济发展局组织开展的中小企业“专精特新”企业认定。</w:t>
      </w:r>
    </w:p>
    <w:p>
      <w:pPr>
        <w:pStyle w:val="3"/>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）国际市场开拓和客户资源优势</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多年专业从事国际市场给排水、消防阀门经营业务，拥有丰富的国际市场开拓和销售经验，培养了一批谙熟国际市场运作规则的专业营销人才，在英国、美国和香港设有全资子公司作为国际市场销售平台，并聘请了多名在国际市场具有多年专业销售经验的区域经理。凭借可靠的产品质量和稳定的产品性能，公司自主品牌“WEFLO”赢得了众多国际客户的信赖，在市场上的销售份额逐年提升；2021年以来，公司向</w:t>
      </w:r>
      <w:r>
        <w:rPr>
          <w:rFonts w:hint="default" w:ascii="Times New Roman" w:hAnsi="Times New Roman" w:eastAsia="宋体" w:cs="Times New Roman"/>
          <w:sz w:val="18"/>
          <w:szCs w:val="18"/>
        </w:rPr>
        <w:t>ARAMCO</w:t>
      </w:r>
      <w:r>
        <w:rPr>
          <w:rFonts w:hint="eastAsia" w:ascii="宋体" w:hAnsi="宋体" w:eastAsia="宋体" w:cs="宋体"/>
          <w:sz w:val="18"/>
          <w:szCs w:val="18"/>
        </w:rPr>
        <w:t>沙特阿美公司申请的消防闸阀、消防栓、雨淋阀等产品，先后通过了</w:t>
      </w:r>
      <w:r>
        <w:rPr>
          <w:rFonts w:hint="default" w:ascii="Times New Roman" w:hAnsi="Times New Roman" w:eastAsia="宋体" w:cs="Times New Roman"/>
          <w:sz w:val="18"/>
          <w:szCs w:val="18"/>
        </w:rPr>
        <w:t>ARAMCO</w:t>
      </w:r>
      <w:r>
        <w:rPr>
          <w:rFonts w:hint="eastAsia" w:ascii="宋体" w:hAnsi="宋体" w:eastAsia="宋体" w:cs="宋体"/>
          <w:sz w:val="18"/>
          <w:szCs w:val="18"/>
        </w:rPr>
        <w:t>供应资格审核认证，纳入供应名录并签单供货，是国内首家给排水阀门企业。公司在亚洲、欧洲、美洲、大洋洲及非洲等50多个国家和地区积累了一批优质的品牌客户，其中多数为长期战略客户，与公司形成了稳定的合作关系，保证了公司具有充裕、稳定的销售订单业务量和营业收入的稳步增长。</w:t>
      </w:r>
    </w:p>
    <w:p>
      <w:pPr>
        <w:pStyle w:val="3"/>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）产品质量管理优势</w:t>
      </w:r>
    </w:p>
    <w:p>
      <w:pPr>
        <w:pStyle w:val="3"/>
        <w:keepNext w:val="0"/>
        <w:keepLines w:val="0"/>
        <w:widowControl/>
        <w:suppressLineNumbers w:val="0"/>
        <w:spacing w:before="0" w:beforeAutospacing="0" w:after="0" w:afterAutospacing="0"/>
        <w:ind w:left="0" w:right="0" w:firstLine="360"/>
        <w:jc w:val="both"/>
        <w:rPr>
          <w:rFonts w:hint="default" w:ascii="Times New Roman" w:hAnsi="Times New Roman" w:cs="Times New Roman"/>
          <w:sz w:val="21"/>
          <w:szCs w:val="21"/>
        </w:rPr>
      </w:pPr>
      <w:r>
        <w:rPr>
          <w:rFonts w:hint="eastAsia" w:ascii="宋体" w:hAnsi="宋体" w:eastAsia="宋体" w:cs="宋体"/>
          <w:b w:val="0"/>
          <w:bCs w:val="0"/>
          <w:sz w:val="18"/>
          <w:szCs w:val="18"/>
        </w:rPr>
        <w:t>公司已建立起完整的质量管理体系，公司已获得ISO9001质量管理体系、GJB9001C武器装备质量管理体系、ISO14001环境管理体系、ISO45001职业健康安全管理体系、GB/T29490知识产权管理体系认证，IATF 16949 </w:t>
      </w:r>
      <w:r>
        <w:rPr>
          <w:rFonts w:hint="eastAsia" w:ascii="宋体" w:hAnsi="宋体" w:eastAsia="宋体" w:cs="宋体"/>
          <w:b w:val="0"/>
          <w:bCs w:val="0"/>
          <w:i w:val="0"/>
          <w:iCs w:val="0"/>
          <w:caps w:val="0"/>
          <w:spacing w:val="0"/>
          <w:sz w:val="19"/>
          <w:szCs w:val="19"/>
          <w:shd w:val="clear" w:fill="FFFFFF"/>
        </w:rPr>
        <w:t>汽车行业质量管理</w:t>
      </w:r>
      <w:r>
        <w:rPr>
          <w:rFonts w:hint="eastAsia" w:ascii="宋体" w:hAnsi="宋体" w:eastAsia="宋体" w:cs="宋体"/>
          <w:b w:val="0"/>
          <w:bCs w:val="0"/>
          <w:sz w:val="18"/>
          <w:szCs w:val="18"/>
        </w:rPr>
        <w:t>体系、安全生产标准化、高新技术企业等认证证书；公司产品取得了欧盟CE产品安全认证、欧盟ATEX防爆认证、欧盟标准</w:t>
      </w:r>
      <w:r>
        <w:rPr>
          <w:rFonts w:ascii="Arial" w:hAnsi="Arial" w:eastAsia="宋体" w:cs="Arial"/>
          <w:b w:val="0"/>
          <w:bCs w:val="0"/>
          <w:i w:val="0"/>
          <w:iCs w:val="0"/>
          <w:caps w:val="0"/>
          <w:spacing w:val="0"/>
          <w:sz w:val="19"/>
          <w:szCs w:val="19"/>
          <w:shd w:val="clear" w:fill="FFFFFF"/>
        </w:rPr>
        <w:t>EN1074</w:t>
      </w:r>
      <w:r>
        <w:rPr>
          <w:rFonts w:hint="eastAsia" w:ascii="宋体" w:hAnsi="宋体" w:eastAsia="宋体" w:cs="宋体"/>
          <w:b w:val="0"/>
          <w:bCs w:val="0"/>
          <w:i w:val="0"/>
          <w:iCs w:val="0"/>
          <w:caps w:val="0"/>
          <w:spacing w:val="0"/>
          <w:sz w:val="19"/>
          <w:szCs w:val="19"/>
          <w:shd w:val="clear" w:fill="FFFFFF"/>
        </w:rPr>
        <w:t>认证、</w:t>
      </w:r>
      <w:r>
        <w:rPr>
          <w:rFonts w:hint="eastAsia" w:ascii="宋体" w:hAnsi="宋体" w:eastAsia="宋体" w:cs="宋体"/>
          <w:b w:val="0"/>
          <w:bCs w:val="0"/>
          <w:sz w:val="18"/>
          <w:szCs w:val="18"/>
        </w:rPr>
        <w:t>美国UL认证、美国FM认证、美国饮用水NSF认证、英国WRAS饮用水认证、德国VDS认证、</w:t>
      </w:r>
      <w:r>
        <w:rPr>
          <w:rFonts w:hint="eastAsia" w:ascii="宋体" w:hAnsi="宋体" w:eastAsia="宋体" w:cs="宋体"/>
          <w:b w:val="0"/>
          <w:bCs w:val="0"/>
          <w:i w:val="0"/>
          <w:iCs w:val="0"/>
          <w:caps w:val="0"/>
          <w:spacing w:val="0"/>
          <w:sz w:val="19"/>
          <w:szCs w:val="19"/>
          <w:shd w:val="clear" w:fill="FFFFFF"/>
        </w:rPr>
        <w:t>法国</w:t>
      </w:r>
      <w:r>
        <w:rPr>
          <w:rFonts w:hint="default" w:ascii="Arial" w:hAnsi="Arial" w:eastAsia="宋体" w:cs="Arial"/>
          <w:b w:val="0"/>
          <w:bCs w:val="0"/>
          <w:i w:val="0"/>
          <w:iCs w:val="0"/>
          <w:caps w:val="0"/>
          <w:spacing w:val="0"/>
          <w:sz w:val="19"/>
          <w:szCs w:val="19"/>
          <w:shd w:val="clear" w:fill="FFFFFF"/>
        </w:rPr>
        <w:t>CNPP</w:t>
      </w:r>
      <w:r>
        <w:rPr>
          <w:rFonts w:hint="eastAsia" w:ascii="宋体" w:hAnsi="宋体" w:eastAsia="宋体" w:cs="宋体"/>
          <w:b w:val="0"/>
          <w:bCs w:val="0"/>
          <w:i w:val="0"/>
          <w:iCs w:val="0"/>
          <w:caps w:val="0"/>
          <w:spacing w:val="0"/>
          <w:sz w:val="19"/>
          <w:szCs w:val="19"/>
          <w:shd w:val="clear" w:fill="FFFFFF"/>
        </w:rPr>
        <w:t>认证、</w:t>
      </w:r>
      <w:r>
        <w:rPr>
          <w:rFonts w:hint="eastAsia" w:ascii="宋体" w:hAnsi="宋体" w:eastAsia="宋体" w:cs="宋体"/>
          <w:b w:val="0"/>
          <w:bCs w:val="0"/>
          <w:sz w:val="18"/>
          <w:szCs w:val="18"/>
        </w:rPr>
        <w:t>加拿大UL认证、澳大利亚WaterMark认证和AGA\OceanMark认证、俄罗斯和白俄罗斯EAC认证、波兰CNBOP认证、阿联酋Civil Denfense民防认证、香港水务署认证、中国船级社型式认可、中国消防产品认证、中国特种设备制造许可证等多项产品认证，获得中国贸促会《中国商品出口品牌证明书》，成为国内给排水阀门行业取得认证较多的企业之一。</w:t>
      </w:r>
    </w:p>
    <w:p>
      <w:pPr>
        <w:pStyle w:val="3"/>
        <w:keepNext w:val="0"/>
        <w:keepLines w:val="0"/>
        <w:widowControl/>
        <w:suppressLineNumbers w:val="0"/>
        <w:spacing w:before="40" w:beforeAutospacing="0" w:after="40" w:afterAutospacing="0"/>
        <w:ind w:left="0" w:right="0" w:firstLine="271"/>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）产品产业链、品类齐全的优势</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成立以来一致专注于给排水阀门细分领域，产品类别涵盖阀门分类的多个系列、2,000多个规格，包括闸阀、蝶阀、止回阀、调节阀、球阀、偏心阀、截止阀、排气阀等，具备生产公称通径2.2M的闸阀、4M蝶阀等大规格阀门的生产能力。公司组建了专业的国内外市场销售、自主研发设计、模具开发、模具加工中心、技术工艺、质量控制、原材料采购、铸件铸造、橡胶配件硫化、生产数控加工、涂装装配试验、仓储物流等管理部门及生产团队。生产配套能力较强，形成了较完整的产品生产产业链。公司产品类别、结构齐全及规格、型号众多、快速高效的交货能力有效满足下游客户的一站式采购要求，提高客户的采购效率，为公司与客户建立良好合作关系奠定了优势。</w:t>
      </w:r>
    </w:p>
    <w:p>
      <w:pPr>
        <w:pStyle w:val="3"/>
        <w:keepNext w:val="0"/>
        <w:keepLines w:val="0"/>
        <w:widowControl/>
        <w:suppressLineNumbers w:val="0"/>
        <w:spacing w:before="40" w:beforeAutospacing="0" w:after="40" w:afterAutospacing="0"/>
        <w:ind w:left="0" w:right="0" w:firstLine="361"/>
        <w:jc w:val="both"/>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5</w:t>
      </w:r>
      <w:r>
        <w:rPr>
          <w:rFonts w:hint="eastAsia" w:ascii="宋体" w:hAnsi="宋体" w:eastAsia="宋体" w:cs="宋体"/>
          <w:sz w:val="18"/>
          <w:szCs w:val="18"/>
        </w:rPr>
        <w:t>）原材料供应体系优势</w:t>
      </w:r>
    </w:p>
    <w:p>
      <w:pPr>
        <w:pStyle w:val="3"/>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公司拥有十多年铸造生产经验的专业阀门铸件配套企业</w:t>
      </w:r>
      <w:r>
        <w:rPr>
          <w:rFonts w:hint="default" w:ascii="Times New Roman" w:hAnsi="Times New Roman" w:eastAsia="宋体" w:cs="Times New Roman"/>
          <w:sz w:val="18"/>
          <w:szCs w:val="18"/>
        </w:rPr>
        <w:t>—</w:t>
      </w:r>
      <w:r>
        <w:rPr>
          <w:rFonts w:hint="eastAsia" w:ascii="宋体" w:hAnsi="宋体" w:eastAsia="宋体" w:cs="宋体"/>
          <w:sz w:val="18"/>
          <w:szCs w:val="18"/>
        </w:rPr>
        <w:t>全资子公司莱州伟隆，新投产的两条自动化铸造生产线具有充足的铸件生产能力，为保证公司阀门产品质量、减少对铸件供应商的依赖起到了保障作用。公司建有先进的模具加工中心和橡胶制品配件自动化生产硫化车间，实现了主要模具开发加工配套能力，保证了橡胶配件的质量、数量自给自足能力。其它各类辅助配件如铜件、不锈钢件、标准件等，公司与周边各类配件供应商建立了长期稳定的合作关系，拥有高效的配件供应体系。公司稳定可靠的产品质量及较短的交货周期所体现出来的履约能力，主要得益于阀门铸件生产的垂直供应以及高效的配件供应体系，从而在产品质量和采购原材料履约能力方面形成了公司独特的竞争优势。</w:t>
      </w:r>
    </w:p>
    <w:p>
      <w:pPr>
        <w:pStyle w:val="3"/>
        <w:keepNext w:val="0"/>
        <w:keepLines w:val="0"/>
        <w:widowControl/>
        <w:suppressLineNumbers w:val="0"/>
        <w:spacing w:before="40" w:beforeAutospacing="0" w:after="40" w:afterAutospacing="0"/>
        <w:ind w:left="0" w:righ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报告期内，公司核心竞争力未发生重大变化。</w:t>
      </w:r>
    </w:p>
    <w:p>
      <w:pPr>
        <w:keepNext/>
        <w:keepLines/>
        <w:spacing w:before="300" w:after="300" w:line="320" w:lineRule="exact"/>
        <w:jc w:val="left"/>
        <w:outlineLvl w:val="1"/>
        <w:rPr>
          <w:rFonts w:ascii="宋体" w:hAnsi="宋体" w:eastAsia="宋体" w:cs="宋体"/>
          <w:b/>
          <w:bCs/>
          <w:sz w:val="24"/>
          <w:szCs w:val="24"/>
        </w:rPr>
      </w:pPr>
      <w:bookmarkStart w:id="16" w:name="_Toc988905"/>
      <w:r>
        <w:rPr>
          <w:rFonts w:ascii="宋体" w:hAnsi="宋体" w:eastAsia="宋体" w:cs="宋体"/>
          <w:b/>
          <w:bCs/>
          <w:sz w:val="24"/>
          <w:szCs w:val="24"/>
        </w:rPr>
        <w:t>三、主营业务分析</w:t>
      </w:r>
      <w:bookmarkEnd w:id="16"/>
    </w:p>
    <w:p>
      <w:pPr>
        <w:spacing w:before="100" w:after="100" w:line="240" w:lineRule="exact"/>
        <w:jc w:val="left"/>
        <w:rPr>
          <w:rFonts w:ascii="宋体" w:hAnsi="宋体" w:eastAsia="宋体" w:cs="宋体"/>
          <w:sz w:val="18"/>
          <w:szCs w:val="18"/>
        </w:rPr>
      </w:pPr>
      <w:r>
        <w:rPr>
          <w:rFonts w:ascii="宋体" w:hAnsi="宋体" w:eastAsia="宋体" w:cs="宋体"/>
          <w:sz w:val="18"/>
          <w:szCs w:val="18"/>
        </w:rPr>
        <w:t>概述</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参见“一、报告期内公司从事的主要业务”相关内容。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主要财务数据同比变动情况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主要系汇兑收益增加所致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主要系研发人员激励增加所致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主要系收入增加货款相应增加所致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-34,676,119.52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91,329,180.34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-137.97%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主要系用于理财资金增加所致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-526,896.59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主要系偿还信用证减少所致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主要系经营活动与筹资活动净现金增加所致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公司报告期利润构成或利润来源发生重大变动</w:t>
      </w:r>
    </w:p>
    <w:p>
      <w:pPr>
        <w:spacing w:before="100" w:after="100" w:line="0" w:lineRule="exact"/>
        <w:jc w:val="left"/>
      </w:pPr>
    </w:p>
    <w:p>
      <w:pPr>
        <w:pStyle w:val="3"/>
        <w:keepNext w:val="0"/>
        <w:keepLines w:val="0"/>
        <w:widowControl/>
        <w:suppressLineNumbers w:val="0"/>
        <w:spacing w:before="100" w:beforeAutospacing="0" w:after="100" w:afterAutospacing="0" w:line="240" w:lineRule="atLeast"/>
        <w:ind w:left="0" w:right="0"/>
        <w:jc w:val="left"/>
        <w:rPr>
          <w:rFonts w:hint="default" w:ascii="Times New Roman" w:hAnsi="Times New Roman" w:cs="Times New Roman"/>
          <w:sz w:val="21"/>
          <w:szCs w:val="21"/>
        </w:rPr>
      </w:pPr>
      <w:r>
        <w:rPr>
          <w:rFonts w:hint="eastAsia" w:ascii="宋体" w:hAnsi="宋体" w:eastAsia="宋体" w:cs="宋体"/>
          <w:sz w:val="18"/>
          <w:szCs w:val="18"/>
        </w:rPr>
        <w:t>报告期内利润为79,146,764.83元，较去年同期增长239.84%，主要系处置子公司股权收益35</w:t>
      </w:r>
      <w:r>
        <w:rPr>
          <w:rFonts w:hint="default" w:ascii="宋体" w:hAnsi="宋体" w:cs="宋体"/>
          <w:sz w:val="18"/>
          <w:szCs w:val="18"/>
          <w:lang w:val="en-US"/>
        </w:rPr>
        <w:t>,</w:t>
      </w:r>
      <w:r>
        <w:rPr>
          <w:rFonts w:hint="eastAsia" w:ascii="宋体" w:hAnsi="宋体" w:eastAsia="宋体" w:cs="宋体"/>
          <w:sz w:val="18"/>
          <w:szCs w:val="18"/>
        </w:rPr>
        <w:t>394</w:t>
      </w:r>
      <w:r>
        <w:rPr>
          <w:rFonts w:hint="default" w:ascii="宋体" w:hAnsi="宋体" w:cs="宋体"/>
          <w:sz w:val="18"/>
          <w:szCs w:val="18"/>
          <w:lang w:val="en-US"/>
        </w:rPr>
        <w:t>,</w:t>
      </w:r>
      <w:r>
        <w:rPr>
          <w:rFonts w:hint="eastAsia" w:ascii="宋体" w:hAnsi="宋体" w:eastAsia="宋体" w:cs="宋体"/>
          <w:sz w:val="18"/>
          <w:szCs w:val="18"/>
        </w:rPr>
        <w:t>987.58元所致。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营业收入构成</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宋体" w:hAnsi="宋体" w:eastAsia="宋体" w:cs="宋体"/>
                <w:sz w:val="18"/>
                <w:szCs w:val="18"/>
                <w:shd w:val="clear" w:color="auto" w:fill="D3D3D3"/>
              </w:rPr>
            </w:pPr>
            <w:r>
              <w:rPr>
                <w:rFonts w:ascii="宋体" w:hAnsi="宋体" w:eastAsia="宋体" w:cs="宋体"/>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179,280,105.10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2,881,638.76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132,114,240.23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9,108,278.29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15,040,251.06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23,017,335.52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57,625,879.78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122,597,795.48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68.03%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占公司营业收入或营业利润10%以上的行业、产品或地区情况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146,093,254.95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125,373,555.44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28,048,773.59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118,044,481.36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公司主营业务数据统计口径在报告期发生调整的情况下，公司最近1期按报告期末口径调整后的主营业务数据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7" w:name="_Toc988906"/>
      <w:r>
        <w:rPr>
          <w:rFonts w:ascii="宋体" w:hAnsi="宋体" w:eastAsia="宋体" w:cs="宋体"/>
          <w:b/>
          <w:bCs/>
          <w:sz w:val="24"/>
          <w:szCs w:val="24"/>
        </w:rPr>
        <w:t>四、非主营业务分析</w:t>
      </w:r>
      <w:bookmarkEnd w:id="1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占利润总额比例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形成原因说明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是否具有可持续性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主要系处置子公司股权收益41,641,161.86元所致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r>
    </w:tbl>
    <w:p>
      <w:pPr>
        <w:keepNext/>
        <w:keepLines/>
        <w:spacing w:before="300" w:after="300" w:line="320" w:lineRule="exact"/>
        <w:jc w:val="left"/>
        <w:outlineLvl w:val="1"/>
        <w:rPr>
          <w:rFonts w:ascii="宋体" w:hAnsi="宋体" w:eastAsia="宋体" w:cs="宋体"/>
          <w:b/>
          <w:bCs/>
          <w:sz w:val="24"/>
          <w:szCs w:val="24"/>
        </w:rPr>
      </w:pPr>
      <w:bookmarkStart w:id="18" w:name="_Toc988907"/>
      <w:r>
        <w:rPr>
          <w:rFonts w:ascii="宋体" w:hAnsi="宋体" w:eastAsia="宋体" w:cs="宋体"/>
          <w:b/>
          <w:bCs/>
          <w:sz w:val="24"/>
          <w:szCs w:val="24"/>
        </w:rPr>
        <w:t>五、资产及负债状况分析</w:t>
      </w:r>
      <w:bookmarkEnd w:id="18"/>
    </w:p>
    <w:p>
      <w:pPr>
        <w:keepNext/>
        <w:keepLines/>
        <w:spacing w:before="300" w:after="300" w:line="280" w:lineRule="exact"/>
        <w:jc w:val="left"/>
        <w:outlineLvl w:val="2"/>
        <w:rPr>
          <w:rFonts w:ascii="宋体" w:hAnsi="宋体" w:eastAsia="宋体" w:cs="宋体"/>
          <w:b/>
          <w:bCs/>
          <w:sz w:val="21"/>
          <w:szCs w:val="21"/>
        </w:rPr>
      </w:pPr>
      <w:bookmarkStart w:id="19" w:name="_Toc988908"/>
      <w:r>
        <w:rPr>
          <w:rFonts w:ascii="宋体" w:hAnsi="宋体" w:eastAsia="宋体" w:cs="宋体"/>
          <w:b/>
          <w:bCs/>
          <w:sz w:val="21"/>
          <w:szCs w:val="21"/>
        </w:rPr>
        <w:t>1、资产构成重大变动情况</w:t>
      </w:r>
      <w:bookmarkEnd w:id="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占总资产比例</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10.77%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短期借款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合同负债</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0.56%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20" w:name="_Toc988909"/>
      <w:r>
        <w:rPr>
          <w:rFonts w:ascii="宋体" w:hAnsi="宋体" w:eastAsia="宋体" w:cs="宋体"/>
          <w:b/>
          <w:bCs/>
          <w:sz w:val="21"/>
          <w:szCs w:val="21"/>
        </w:rPr>
        <w:t>2、主要境外资产情况</w:t>
      </w:r>
      <w:bookmarkEnd w:id="2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1" w:name="_Toc988910"/>
      <w:r>
        <w:rPr>
          <w:rFonts w:ascii="宋体" w:hAnsi="宋体" w:eastAsia="宋体" w:cs="宋体"/>
          <w:b/>
          <w:bCs/>
          <w:sz w:val="21"/>
          <w:szCs w:val="21"/>
        </w:rPr>
        <w:t>3、以公允价值计量的资产和负债</w:t>
      </w:r>
      <w:bookmarkEnd w:id="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计入权益的累计公允价值变动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本期计提的减值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本期购买金额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本期出售金额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金融资产</w:t>
            </w:r>
          </w:p>
        </w:tc>
        <w:tc>
          <w:tcPr>
            <w:tcW w:w="8568"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1.交易性金融资产（不含衍生金融资产）</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3,696,400.99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-168,956.42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5.基金投资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2,397,841.94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2,397,841.94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6.应收款项融资</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11,120,991.38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200,191,030.67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6,094,242.93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219,800,000.00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158,120,991.38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264,098,924.81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金融负债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其他变动的内容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报告期内公司主要资产计量属性是否发生重大变化</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2"/>
        <w:rPr>
          <w:rFonts w:ascii="宋体" w:hAnsi="宋体" w:eastAsia="宋体" w:cs="宋体"/>
          <w:b/>
          <w:bCs/>
          <w:sz w:val="21"/>
          <w:szCs w:val="21"/>
        </w:rPr>
      </w:pPr>
      <w:bookmarkStart w:id="22" w:name="_Toc988911"/>
      <w:r>
        <w:rPr>
          <w:rFonts w:ascii="宋体" w:hAnsi="宋体" w:eastAsia="宋体" w:cs="宋体"/>
          <w:b/>
          <w:bCs/>
          <w:sz w:val="21"/>
          <w:szCs w:val="21"/>
        </w:rPr>
        <w:t>4、截至报告期末的资产权利受限情况</w:t>
      </w:r>
      <w:bookmarkEnd w:id="22"/>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83"/>
        <w:gridCol w:w="3161"/>
        <w:gridCol w:w="33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single" w:color="auto" w:sz="8" w:space="0"/>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项目</w:t>
            </w:r>
          </w:p>
        </w:tc>
        <w:tc>
          <w:tcPr>
            <w:tcW w:w="1630" w:type="pct"/>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期末账面价值</w:t>
            </w:r>
          </w:p>
        </w:tc>
        <w:tc>
          <w:tcPr>
            <w:tcW w:w="1729" w:type="pct"/>
            <w:tcBorders>
              <w:top w:val="single" w:color="auto" w:sz="8" w:space="0"/>
              <w:left w:val="nil"/>
              <w:bottom w:val="single" w:color="auto" w:sz="8" w:space="0"/>
              <w:right w:val="single" w:color="auto" w:sz="8" w:space="0"/>
            </w:tcBorders>
            <w:shd w:val="clear" w:color="auto" w:fill="auto"/>
            <w:tcMar>
              <w:top w:w="0" w:type="dxa"/>
              <w:left w:w="30" w:type="dxa"/>
              <w:bottom w:w="0" w:type="dxa"/>
              <w:right w:w="30"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货币资金</w:t>
            </w:r>
          </w:p>
        </w:tc>
        <w:tc>
          <w:tcPr>
            <w:tcW w:w="1630"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11,680,331.03</w:t>
            </w:r>
          </w:p>
        </w:tc>
        <w:tc>
          <w:tcPr>
            <w:tcW w:w="1729"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票据保证金、保函保证金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1641" w:type="pct"/>
            <w:tcBorders>
              <w:top w:val="nil"/>
              <w:left w:val="single" w:color="auto" w:sz="8" w:space="0"/>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合计</w:t>
            </w:r>
          </w:p>
        </w:tc>
        <w:tc>
          <w:tcPr>
            <w:tcW w:w="1630"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11,680,331.03</w:t>
            </w:r>
          </w:p>
        </w:tc>
        <w:tc>
          <w:tcPr>
            <w:tcW w:w="1729" w:type="pct"/>
            <w:tcBorders>
              <w:top w:val="nil"/>
              <w:left w:val="nil"/>
              <w:bottom w:val="single" w:color="auto" w:sz="8" w:space="0"/>
              <w:right w:val="single" w:color="auto" w:sz="8" w:space="0"/>
            </w:tcBorders>
            <w:shd w:val="clear" w:color="auto" w:fill="auto"/>
            <w:tcMar>
              <w:top w:w="0" w:type="dxa"/>
              <w:left w:w="30" w:type="dxa"/>
              <w:bottom w:w="0" w:type="dxa"/>
              <w:right w:w="30"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320" w:lineRule="exact"/>
        <w:jc w:val="left"/>
        <w:outlineLvl w:val="1"/>
        <w:rPr>
          <w:rFonts w:ascii="宋体" w:hAnsi="宋体" w:eastAsia="宋体" w:cs="宋体"/>
          <w:b/>
          <w:bCs/>
          <w:sz w:val="24"/>
          <w:szCs w:val="24"/>
        </w:rPr>
      </w:pPr>
      <w:bookmarkStart w:id="23" w:name="_Toc988912"/>
      <w:r>
        <w:rPr>
          <w:rFonts w:ascii="宋体" w:hAnsi="宋体" w:eastAsia="宋体" w:cs="宋体"/>
          <w:b/>
          <w:bCs/>
          <w:sz w:val="24"/>
          <w:szCs w:val="24"/>
        </w:rPr>
        <w:t>六、投资状况分析</w:t>
      </w:r>
      <w:bookmarkEnd w:id="23"/>
    </w:p>
    <w:p>
      <w:pPr>
        <w:keepNext/>
        <w:keepLines/>
        <w:spacing w:before="300" w:after="300" w:line="280" w:lineRule="exact"/>
        <w:jc w:val="left"/>
        <w:outlineLvl w:val="2"/>
        <w:rPr>
          <w:rFonts w:ascii="宋体" w:hAnsi="宋体" w:eastAsia="宋体" w:cs="宋体"/>
          <w:b/>
          <w:bCs/>
          <w:sz w:val="21"/>
          <w:szCs w:val="21"/>
        </w:rPr>
      </w:pPr>
      <w:bookmarkStart w:id="24" w:name="_Toc988913"/>
      <w:r>
        <w:rPr>
          <w:rFonts w:ascii="宋体" w:hAnsi="宋体" w:eastAsia="宋体" w:cs="宋体"/>
          <w:b/>
          <w:bCs/>
          <w:sz w:val="21"/>
          <w:szCs w:val="21"/>
        </w:rPr>
        <w:t>1、总体情况</w:t>
      </w:r>
      <w:bookmarkEnd w:id="2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上年同期投资额（元）</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变动幅度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keepNext/>
        <w:keepLines/>
        <w:spacing w:before="300" w:after="300" w:line="280" w:lineRule="exact"/>
        <w:jc w:val="left"/>
        <w:outlineLvl w:val="2"/>
        <w:rPr>
          <w:rFonts w:ascii="宋体" w:hAnsi="宋体" w:eastAsia="宋体" w:cs="宋体"/>
          <w:b/>
          <w:bCs/>
          <w:sz w:val="21"/>
          <w:szCs w:val="21"/>
        </w:rPr>
      </w:pPr>
      <w:bookmarkStart w:id="25" w:name="_Toc988914"/>
      <w:r>
        <w:rPr>
          <w:rFonts w:ascii="宋体" w:hAnsi="宋体" w:eastAsia="宋体" w:cs="宋体"/>
          <w:b/>
          <w:bCs/>
          <w:sz w:val="21"/>
          <w:szCs w:val="21"/>
        </w:rPr>
        <w:t>2、报告期内获取的重大的股权投资情况</w:t>
      </w:r>
      <w:bookmarkEnd w:id="25"/>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合作方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投资期限</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产品类型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截至资产负债表日的进展情况</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预计收益</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本期投资盈亏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是否涉诉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披露日期（如有）</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披露索引（如有）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自有资金从事投资活动；创业投资（限投资未上市公司）；资产评估；招投标代理服务；非融资担保服务；认证咨询；企业管理咨询；社会经济咨询服务；融资咨询服务；个人商务服务（处许可业务外，可自主依法经营法律法规非禁止或限制的项目）</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新设</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青岛天诚股权投资基金管理有限公司、上海天诚东泰投资有限公司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长期</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2022年01月24日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26" w:name="_Toc988915"/>
      <w:r>
        <w:rPr>
          <w:rFonts w:ascii="宋体" w:hAnsi="宋体" w:eastAsia="宋体" w:cs="宋体"/>
          <w:b/>
          <w:bCs/>
          <w:sz w:val="21"/>
          <w:szCs w:val="21"/>
        </w:rPr>
        <w:t>3、报告期内正在进行的重大的非股权投资情况</w:t>
      </w:r>
      <w:bookmarkEnd w:id="2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7" w:name="_Toc988916"/>
      <w:r>
        <w:rPr>
          <w:rFonts w:ascii="宋体" w:hAnsi="宋体" w:eastAsia="宋体" w:cs="宋体"/>
          <w:b/>
          <w:bCs/>
          <w:sz w:val="21"/>
          <w:szCs w:val="21"/>
        </w:rPr>
        <w:t>4、金融资产投资</w:t>
      </w:r>
      <w:bookmarkEnd w:id="27"/>
    </w:p>
    <w:p>
      <w:pPr>
        <w:keepNext/>
        <w:keepLines/>
        <w:spacing w:before="300" w:after="300" w:line="280" w:lineRule="exact"/>
        <w:jc w:val="left"/>
        <w:outlineLvl w:val="3"/>
        <w:rPr>
          <w:rFonts w:ascii="宋体" w:hAnsi="宋体" w:eastAsia="宋体" w:cs="宋体"/>
          <w:b/>
          <w:bCs/>
          <w:sz w:val="18"/>
          <w:szCs w:val="18"/>
        </w:rPr>
      </w:pPr>
      <w:bookmarkStart w:id="28" w:name="_Toc988917"/>
      <w:r>
        <w:rPr>
          <w:rFonts w:ascii="宋体" w:hAnsi="宋体" w:eastAsia="宋体" w:cs="宋体"/>
          <w:b/>
          <w:bCs/>
          <w:sz w:val="18"/>
          <w:szCs w:val="18"/>
        </w:rPr>
        <w:t>（1） 证券投资情况</w:t>
      </w:r>
      <w:bookmarkEnd w:id="2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公司报告期不存在证券投资。</w:t>
      </w:r>
    </w:p>
    <w:p>
      <w:pPr>
        <w:keepNext/>
        <w:keepLines/>
        <w:spacing w:before="300" w:after="300" w:line="280" w:lineRule="exact"/>
        <w:jc w:val="left"/>
        <w:outlineLvl w:val="3"/>
        <w:rPr>
          <w:rFonts w:ascii="宋体" w:hAnsi="宋体" w:eastAsia="宋体" w:cs="宋体"/>
          <w:b/>
          <w:bCs/>
          <w:sz w:val="18"/>
          <w:szCs w:val="18"/>
        </w:rPr>
      </w:pPr>
      <w:bookmarkStart w:id="29" w:name="_Toc988918"/>
      <w:r>
        <w:rPr>
          <w:rFonts w:ascii="宋体" w:hAnsi="宋体" w:eastAsia="宋体" w:cs="宋体"/>
          <w:b/>
          <w:bCs/>
          <w:sz w:val="18"/>
          <w:szCs w:val="18"/>
        </w:rPr>
        <w:t>（2） 衍生品投资情况</w:t>
      </w:r>
      <w:bookmarkEnd w:id="2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公司报告期不存在衍生品投资。</w:t>
      </w:r>
    </w:p>
    <w:p>
      <w:pPr>
        <w:keepNext/>
        <w:keepLines/>
        <w:spacing w:before="300" w:after="300" w:line="280" w:lineRule="exact"/>
        <w:jc w:val="left"/>
        <w:outlineLvl w:val="2"/>
        <w:rPr>
          <w:rFonts w:ascii="宋体" w:hAnsi="宋体" w:eastAsia="宋体" w:cs="宋体"/>
          <w:b/>
          <w:bCs/>
          <w:sz w:val="21"/>
          <w:szCs w:val="21"/>
        </w:rPr>
      </w:pPr>
      <w:bookmarkStart w:id="30" w:name="_Toc988919"/>
      <w:r>
        <w:rPr>
          <w:rFonts w:ascii="宋体" w:hAnsi="宋体" w:eastAsia="宋体" w:cs="宋体"/>
          <w:b/>
          <w:bCs/>
          <w:sz w:val="21"/>
          <w:szCs w:val="21"/>
        </w:rPr>
        <w:t>5、募集资金使用情况</w:t>
      </w:r>
      <w:bookmarkEnd w:id="3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公司报告期无募集资金使用情况。</w:t>
      </w:r>
    </w:p>
    <w:p>
      <w:pPr>
        <w:keepNext/>
        <w:keepLines/>
        <w:spacing w:before="300" w:after="300" w:line="320" w:lineRule="exact"/>
        <w:jc w:val="left"/>
        <w:outlineLvl w:val="1"/>
        <w:rPr>
          <w:rFonts w:ascii="宋体" w:hAnsi="宋体" w:eastAsia="宋体" w:cs="宋体"/>
          <w:b/>
          <w:bCs/>
          <w:sz w:val="24"/>
          <w:szCs w:val="24"/>
        </w:rPr>
      </w:pPr>
      <w:bookmarkStart w:id="31" w:name="_Toc988920"/>
      <w:r>
        <w:rPr>
          <w:rFonts w:ascii="宋体" w:hAnsi="宋体" w:eastAsia="宋体" w:cs="宋体"/>
          <w:b/>
          <w:bCs/>
          <w:sz w:val="24"/>
          <w:szCs w:val="24"/>
        </w:rPr>
        <w:t>七、重大资产和股权出售</w:t>
      </w:r>
      <w:bookmarkEnd w:id="31"/>
    </w:p>
    <w:p>
      <w:pPr>
        <w:keepNext/>
        <w:keepLines/>
        <w:spacing w:before="300" w:after="300" w:line="280" w:lineRule="exact"/>
        <w:jc w:val="left"/>
        <w:outlineLvl w:val="2"/>
        <w:rPr>
          <w:rFonts w:ascii="宋体" w:hAnsi="宋体" w:eastAsia="宋体" w:cs="宋体"/>
          <w:b/>
          <w:bCs/>
          <w:sz w:val="21"/>
          <w:szCs w:val="21"/>
        </w:rPr>
      </w:pPr>
      <w:bookmarkStart w:id="32" w:name="_Toc988921"/>
      <w:r>
        <w:rPr>
          <w:rFonts w:ascii="宋体" w:hAnsi="宋体" w:eastAsia="宋体" w:cs="宋体"/>
          <w:b/>
          <w:bCs/>
          <w:sz w:val="21"/>
          <w:szCs w:val="21"/>
        </w:rPr>
        <w:t>1、出售重大资产情况</w:t>
      </w:r>
      <w:bookmarkEnd w:id="32"/>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公司报告期未出售重大资产。</w:t>
      </w:r>
    </w:p>
    <w:p>
      <w:pPr>
        <w:keepNext/>
        <w:keepLines/>
        <w:spacing w:before="300" w:after="300" w:line="280" w:lineRule="exact"/>
        <w:jc w:val="left"/>
        <w:outlineLvl w:val="2"/>
        <w:rPr>
          <w:rFonts w:ascii="宋体" w:hAnsi="宋体" w:eastAsia="宋体" w:cs="宋体"/>
          <w:b/>
          <w:bCs/>
          <w:sz w:val="21"/>
          <w:szCs w:val="21"/>
        </w:rPr>
      </w:pPr>
      <w:bookmarkStart w:id="33" w:name="_Toc988922"/>
      <w:r>
        <w:rPr>
          <w:rFonts w:ascii="宋体" w:hAnsi="宋体" w:eastAsia="宋体" w:cs="宋体"/>
          <w:b/>
          <w:bCs/>
          <w:sz w:val="21"/>
          <w:szCs w:val="21"/>
        </w:rPr>
        <w:t>2、出售重大股权情况</w:t>
      </w:r>
      <w:bookmarkEnd w:id="33"/>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89"/>
        <w:gridCol w:w="689"/>
        <w:gridCol w:w="689"/>
        <w:gridCol w:w="689"/>
        <w:gridCol w:w="689"/>
        <w:gridCol w:w="689"/>
        <w:gridCol w:w="689"/>
        <w:gridCol w:w="689"/>
        <w:gridCol w:w="689"/>
        <w:gridCol w:w="689"/>
        <w:gridCol w:w="689"/>
        <w:gridCol w:w="689"/>
        <w:gridCol w:w="689"/>
        <w:gridCol w:w="68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交易对方</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被出售股权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出售日</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交易价格（万元）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本期初起至出售日该股权为上市公司贡献的净利润（万元）</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出售对公司的影响</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股权出售为上市公司贡献的净利润占净利润总额的比例</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股权出售定价原则</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是否为关联交易</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与交易对方的关联关系</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所涉及的股权是否已全部过户</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是否按计划如期实施，如未按计划实施，应当说明原因及公司已采取的措施</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68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吕仁红</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2022-01-10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2,450.00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无</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否</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不适用</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否</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2021-12-11</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2021-111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吕仁红、宫相开</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2022-05-14</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2,550.00</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-1.09</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对公司本期利润总额影响较大，增加4164.12万元，其他无影响。</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-0.01%</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青岛即聚机电有限责任公司的参股股东</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是</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2022-05-14</w:t>
            </w:r>
          </w:p>
        </w:tc>
        <w:tc>
          <w:tcPr>
            <w:tcW w:w="68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2022-040</w:t>
            </w:r>
          </w:p>
        </w:tc>
      </w:tr>
    </w:tbl>
    <w:p>
      <w:pPr>
        <w:keepNext/>
        <w:keepLines/>
        <w:spacing w:before="300" w:after="300" w:line="320" w:lineRule="exact"/>
        <w:jc w:val="left"/>
        <w:outlineLvl w:val="1"/>
        <w:rPr>
          <w:rFonts w:ascii="宋体" w:hAnsi="宋体" w:eastAsia="宋体" w:cs="宋体"/>
          <w:b/>
          <w:bCs/>
          <w:sz w:val="24"/>
          <w:szCs w:val="24"/>
        </w:rPr>
      </w:pPr>
      <w:bookmarkStart w:id="34" w:name="_Toc988923"/>
      <w:r>
        <w:rPr>
          <w:rFonts w:ascii="宋体" w:hAnsi="宋体" w:eastAsia="宋体" w:cs="宋体"/>
          <w:b/>
          <w:bCs/>
          <w:sz w:val="24"/>
          <w:szCs w:val="24"/>
        </w:rPr>
        <w:t>八、主要控股参股公司分析</w:t>
      </w:r>
      <w:bookmarkEnd w:id="34"/>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主要子公司及对公司净利润影响达10%以上的参股公司情况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主要业务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总资产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报告期内取得和处置子公司的情况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降低公司管理成本、优化资源配置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设立合资子公司是公司实施拓展资本市场发展战略的重要举措，对公司未来发展具有积极意义和推动作用。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主要控股参股公司情况说明</w:t>
      </w:r>
    </w:p>
    <w:p>
      <w:pPr>
        <w:keepNext/>
        <w:keepLines/>
        <w:spacing w:before="300" w:after="300" w:line="320" w:lineRule="exact"/>
        <w:jc w:val="left"/>
        <w:outlineLvl w:val="1"/>
        <w:rPr>
          <w:rFonts w:ascii="宋体" w:hAnsi="宋体" w:eastAsia="宋体" w:cs="宋体"/>
          <w:b/>
          <w:bCs/>
          <w:sz w:val="24"/>
          <w:szCs w:val="24"/>
        </w:rPr>
      </w:pPr>
      <w:bookmarkStart w:id="35" w:name="_Toc988924"/>
      <w:r>
        <w:rPr>
          <w:rFonts w:ascii="宋体" w:hAnsi="宋体" w:eastAsia="宋体" w:cs="宋体"/>
          <w:b/>
          <w:bCs/>
          <w:sz w:val="24"/>
          <w:szCs w:val="24"/>
        </w:rPr>
        <w:t>九、公司控制的结构化主体情况</w:t>
      </w:r>
      <w:bookmarkEnd w:id="3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36" w:name="_Toc988925"/>
      <w:r>
        <w:rPr>
          <w:rFonts w:ascii="宋体" w:hAnsi="宋体" w:eastAsia="宋体" w:cs="宋体"/>
          <w:b/>
          <w:bCs/>
          <w:sz w:val="24"/>
          <w:szCs w:val="24"/>
        </w:rPr>
        <w:t>十、公司面临的风险和应对措施</w:t>
      </w:r>
      <w:bookmarkEnd w:id="36"/>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1</w:t>
      </w:r>
      <w:r>
        <w:rPr>
          <w:rFonts w:hint="eastAsia" w:ascii="宋体" w:hAnsi="宋体" w:eastAsia="宋体" w:cs="宋体"/>
          <w:sz w:val="18"/>
          <w:szCs w:val="18"/>
        </w:rPr>
        <w:t>、市场风险</w:t>
      </w:r>
      <w:r>
        <w:rPr>
          <w:rFonts w:hint="default" w:ascii="Times New Roman" w:hAnsi="Times New Roman" w:eastAsia="宋体" w:cs="Times New Roman"/>
          <w:sz w:val="18"/>
          <w:szCs w:val="18"/>
        </w:rPr>
        <w:t> </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）海外市场拓展及贸易政策变化的风险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公司产品主要以出口为主，报告期内公司产品出口收入在</w:t>
      </w:r>
      <w:r>
        <w:rPr>
          <w:rFonts w:hint="default" w:ascii="Times New Roman" w:hAnsi="Times New Roman" w:eastAsia="宋体" w:cs="Times New Roman"/>
          <w:sz w:val="18"/>
          <w:szCs w:val="18"/>
        </w:rPr>
        <w:t>80%</w:t>
      </w:r>
      <w:r>
        <w:rPr>
          <w:rFonts w:hint="eastAsia" w:ascii="宋体" w:hAnsi="宋体" w:eastAsia="宋体" w:cs="宋体"/>
          <w:sz w:val="18"/>
          <w:szCs w:val="18"/>
        </w:rPr>
        <w:t>以上。产品主要销往欧洲、美国、亚洲、大洋洲等国际市场。随着国际地缘动乱政治不稳定、全球经济发展受新冠肺炎疫情影响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）国内市场竞争加剧的风险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据中国通用机械协会阀门分会统计，国内阀门生产企业销售规模以上的企业数量达到</w:t>
      </w:r>
      <w:r>
        <w:rPr>
          <w:rFonts w:hint="default" w:ascii="Times New Roman" w:hAnsi="Times New Roman" w:eastAsia="宋体" w:cs="Times New Roman"/>
          <w:sz w:val="18"/>
          <w:szCs w:val="18"/>
        </w:rPr>
        <w:t>2,000</w:t>
      </w:r>
      <w:r>
        <w:rPr>
          <w:rFonts w:hint="eastAsia" w:ascii="宋体" w:hAnsi="宋体" w:eastAsia="宋体" w:cs="宋体"/>
          <w:sz w:val="18"/>
          <w:szCs w:val="18"/>
        </w:rPr>
        <w:t>余家，国内阀门市场尤其是中低端给排水阀门市场竞争较为激烈。公司虽然是目前国内较大的给排水阀门生产企业之一，但随着国内阀门企业生产规模的逐渐扩大和国外资金、先进技术的不断转移，面临着市场竞争将进一步加剧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2</w:t>
      </w:r>
      <w:r>
        <w:rPr>
          <w:rFonts w:hint="eastAsia" w:ascii="宋体" w:hAnsi="宋体" w:eastAsia="宋体" w:cs="宋体"/>
          <w:sz w:val="18"/>
          <w:szCs w:val="18"/>
        </w:rPr>
        <w:t>、经营风险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）原材料价格波动的风险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公司阀门产品的主要原材料为铸件、生铁和废钢及有色金属，其中铸件价格的变化主要取决于钢铁价格的变化情况。报告期内，原材料成本占公司主营业务成本的比例在</w:t>
      </w:r>
      <w:r>
        <w:rPr>
          <w:rFonts w:hint="default" w:ascii="Times New Roman" w:hAnsi="Times New Roman" w:eastAsia="宋体" w:cs="Times New Roman"/>
          <w:sz w:val="18"/>
          <w:szCs w:val="18"/>
        </w:rPr>
        <w:t>60%-70%</w:t>
      </w:r>
      <w:r>
        <w:rPr>
          <w:rFonts w:hint="eastAsia" w:ascii="宋体" w:hAnsi="宋体" w:eastAsia="宋体" w:cs="宋体"/>
          <w:sz w:val="18"/>
          <w:szCs w:val="18"/>
        </w:rPr>
        <w:t>。</w:t>
      </w:r>
      <w:r>
        <w:rPr>
          <w:rFonts w:hint="default" w:ascii="Times New Roman" w:hAnsi="Times New Roman" w:eastAsia="宋体" w:cs="Times New Roman"/>
          <w:sz w:val="18"/>
          <w:szCs w:val="18"/>
        </w:rPr>
        <w:t>2022</w:t>
      </w:r>
      <w:r>
        <w:rPr>
          <w:rFonts w:hint="eastAsia" w:ascii="宋体" w:hAnsi="宋体" w:eastAsia="宋体" w:cs="宋体"/>
          <w:sz w:val="18"/>
          <w:szCs w:val="18"/>
        </w:rPr>
        <w:t>年以来，钢铁、有色金属等大宗物资价格趋于高位波动略降态势，未来若主要原材料价格仍然趋于上行周期，将引起公司产品成本增加的波动，公司面临着原材料价格波动上涨的风险。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）产品质量稳定性的风险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3</w:t>
      </w:r>
      <w:r>
        <w:rPr>
          <w:rFonts w:hint="eastAsia" w:ascii="宋体" w:hAnsi="宋体" w:eastAsia="宋体" w:cs="宋体"/>
          <w:sz w:val="18"/>
          <w:szCs w:val="18"/>
        </w:rPr>
        <w:t>）人力资源风险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公司所属阀门行业是一个集资金、技术、劳动力相对密集的产业。经过</w:t>
      </w:r>
      <w:r>
        <w:rPr>
          <w:rFonts w:hint="default" w:ascii="Times New Roman" w:hAnsi="Times New Roman" w:eastAsia="宋体" w:cs="Times New Roman"/>
          <w:sz w:val="18"/>
          <w:szCs w:val="18"/>
        </w:rPr>
        <w:t>20</w:t>
      </w:r>
      <w:r>
        <w:rPr>
          <w:rFonts w:hint="eastAsia" w:ascii="宋体" w:hAnsi="宋体" w:eastAsia="宋体" w:cs="宋体"/>
          <w:sz w:val="18"/>
          <w:szCs w:val="18"/>
        </w:rPr>
        <w:t>多年的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r>
        <w:rPr>
          <w:rFonts w:hint="default" w:ascii="Times New Roman" w:hAnsi="Times New Roman" w:eastAsia="宋体" w:cs="Times New Roman"/>
          <w:sz w:val="18"/>
          <w:szCs w:val="18"/>
        </w:rPr>
        <w:t> </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4</w:t>
      </w:r>
      <w:r>
        <w:rPr>
          <w:rFonts w:hint="eastAsia" w:ascii="宋体" w:hAnsi="宋体" w:eastAsia="宋体" w:cs="宋体"/>
          <w:sz w:val="18"/>
          <w:szCs w:val="18"/>
        </w:rPr>
        <w:t>）劳动力成本上升的风险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随着我国工业化、城镇化进程的持续推进和劳动力素质的不断提高，新时代就业群体加入传统制造业人员愈来愈少，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3</w:t>
      </w:r>
      <w:r>
        <w:rPr>
          <w:rFonts w:hint="eastAsia" w:ascii="宋体" w:hAnsi="宋体" w:eastAsia="宋体" w:cs="宋体"/>
          <w:sz w:val="18"/>
          <w:szCs w:val="18"/>
        </w:rPr>
        <w:t>、汇率波动风险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1"/>
          <w:szCs w:val="21"/>
        </w:rPr>
      </w:pPr>
      <w:r>
        <w:rPr>
          <w:rFonts w:hint="eastAsia" w:ascii="宋体" w:hAnsi="宋体" w:eastAsia="宋体" w:cs="宋体"/>
          <w:sz w:val="18"/>
          <w:szCs w:val="18"/>
        </w:rPr>
        <w:t>自国家汇率制度改革以来，人民币汇率（兑美元）波动幅度较大，由于公司出口产品主要以美元作为结算货币以及出口收入存在结算周期，</w:t>
      </w:r>
      <w:r>
        <w:rPr>
          <w:rFonts w:hint="default" w:ascii="Times New Roman" w:hAnsi="Times New Roman" w:eastAsia="宋体" w:cs="Times New Roman"/>
          <w:sz w:val="18"/>
          <w:szCs w:val="18"/>
        </w:rPr>
        <w:t>2022</w:t>
      </w:r>
      <w:r>
        <w:rPr>
          <w:rFonts w:hint="eastAsia" w:ascii="宋体" w:hAnsi="宋体" w:eastAsia="宋体" w:cs="宋体"/>
          <w:sz w:val="18"/>
          <w:szCs w:val="18"/>
        </w:rPr>
        <w:t>年以来人民币兑美元汇率持续贬值的波动较大，将对公司经营业绩产生一定的影响。</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4</w:t>
      </w:r>
      <w:r>
        <w:rPr>
          <w:rFonts w:hint="eastAsia" w:ascii="宋体" w:hAnsi="宋体" w:eastAsia="宋体" w:cs="宋体"/>
          <w:sz w:val="18"/>
          <w:szCs w:val="18"/>
        </w:rPr>
        <w:t>、政策风险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1</w:t>
      </w:r>
      <w:r>
        <w:rPr>
          <w:rFonts w:hint="eastAsia" w:ascii="宋体" w:hAnsi="宋体" w:eastAsia="宋体" w:cs="宋体"/>
          <w:sz w:val="18"/>
          <w:szCs w:val="18"/>
        </w:rPr>
        <w:t>）出口退税率下调或者取消的风险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公司出口产品享受增值税</w:t>
      </w:r>
      <w:r>
        <w:rPr>
          <w:rFonts w:hint="default" w:ascii="Times New Roman" w:hAnsi="Times New Roman" w:eastAsia="宋体" w:cs="Times New Roman"/>
          <w:sz w:val="18"/>
          <w:szCs w:val="18"/>
        </w:rPr>
        <w:t>“</w:t>
      </w:r>
      <w:r>
        <w:rPr>
          <w:rFonts w:hint="eastAsia" w:ascii="宋体" w:hAnsi="宋体" w:eastAsia="宋体" w:cs="宋体"/>
          <w:sz w:val="18"/>
          <w:szCs w:val="18"/>
        </w:rPr>
        <w:t>免、抵、退</w:t>
      </w:r>
      <w:r>
        <w:rPr>
          <w:rFonts w:hint="default" w:ascii="Times New Roman" w:hAnsi="Times New Roman" w:eastAsia="宋体" w:cs="Times New Roman"/>
          <w:sz w:val="18"/>
          <w:szCs w:val="18"/>
        </w:rPr>
        <w:t>”</w:t>
      </w:r>
      <w:r>
        <w:rPr>
          <w:rFonts w:hint="eastAsia" w:ascii="宋体" w:hAnsi="宋体" w:eastAsia="宋体" w:cs="宋体"/>
          <w:sz w:val="18"/>
          <w:szCs w:val="18"/>
        </w:rPr>
        <w:t>政策，报告期内，公司产品执行国家规定调整的出口退税率。从长期来看，出口退税作为一种政府补贴手段，随着我国企业竞争实力的增强以及经济环境的变化，未来出口退税率的调整将对公司经营业绩产生一定影响。</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w:t>
      </w:r>
      <w:r>
        <w:rPr>
          <w:rFonts w:hint="default" w:ascii="Times New Roman" w:hAnsi="Times New Roman" w:eastAsia="宋体" w:cs="Times New Roman"/>
          <w:sz w:val="18"/>
          <w:szCs w:val="18"/>
        </w:rPr>
        <w:t>2</w:t>
      </w:r>
      <w:r>
        <w:rPr>
          <w:rFonts w:hint="eastAsia" w:ascii="宋体" w:hAnsi="宋体" w:eastAsia="宋体" w:cs="宋体"/>
          <w:sz w:val="18"/>
          <w:szCs w:val="18"/>
        </w:rPr>
        <w:t>）税收优惠政策变化的风险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 xml:space="preserve">5 </w:t>
      </w:r>
      <w:r>
        <w:rPr>
          <w:rFonts w:hint="eastAsia" w:ascii="宋体" w:hAnsi="宋体" w:eastAsia="宋体" w:cs="宋体"/>
          <w:sz w:val="18"/>
          <w:szCs w:val="18"/>
        </w:rPr>
        <w:t>、新冠疫情持续的风险</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全球性的新冠疫情已持续进入第三年，各国采取的疫情防控政策尤其对国际贸易活动造成了巨大影响。疫情导致部分建设工程项目暂停或取消，导致客户产品采购和收货、付款进度减缓，增加了公司库存积压风险和资金压力。虽然目前全球新冠肺炎疫情不利影响趋于减缓，但国内外疫情多点式散发，仍可能对公司的供应链产品生产、物流发运等产生较大的影响。</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default" w:ascii="Times New Roman" w:hAnsi="Times New Roman" w:eastAsia="宋体" w:cs="Times New Roman"/>
          <w:sz w:val="18"/>
          <w:szCs w:val="18"/>
        </w:rPr>
        <w:t>6</w:t>
      </w:r>
      <w:r>
        <w:rPr>
          <w:rFonts w:hint="eastAsia" w:ascii="宋体" w:hAnsi="宋体" w:eastAsia="宋体" w:cs="宋体"/>
          <w:sz w:val="18"/>
          <w:szCs w:val="18"/>
        </w:rPr>
        <w:t>、应对风险的措施</w:t>
      </w:r>
    </w:p>
    <w:p>
      <w:pPr>
        <w:pStyle w:val="3"/>
        <w:keepNext w:val="0"/>
        <w:keepLines w:val="0"/>
        <w:widowControl/>
        <w:suppressLineNumbers w:val="0"/>
        <w:spacing w:before="40" w:beforeAutospacing="0" w:after="40" w:afterAutospacing="0"/>
        <w:ind w:left="0" w:firstLine="360"/>
        <w:jc w:val="left"/>
        <w:rPr>
          <w:rFonts w:hint="default" w:ascii="Times New Roman" w:hAnsi="Times New Roman" w:cs="Times New Roman"/>
          <w:sz w:val="24"/>
          <w:szCs w:val="24"/>
        </w:rPr>
      </w:pPr>
      <w:r>
        <w:rPr>
          <w:rFonts w:hint="eastAsia" w:ascii="宋体" w:hAnsi="宋体" w:eastAsia="宋体" w:cs="宋体"/>
          <w:sz w:val="18"/>
          <w:szCs w:val="18"/>
        </w:rPr>
        <w:t>近年来国家在支持实体经济、民营企业发展方面出台了一系列优惠政策及激励措施，公司将进一步加快</w:t>
      </w:r>
      <w:r>
        <w:rPr>
          <w:rFonts w:hint="default" w:ascii="Times New Roman" w:hAnsi="Times New Roman" w:eastAsia="宋体" w:cs="Times New Roman"/>
          <w:sz w:val="18"/>
          <w:szCs w:val="18"/>
        </w:rPr>
        <w:t>“</w:t>
      </w:r>
      <w:r>
        <w:rPr>
          <w:rFonts w:hint="eastAsia" w:ascii="宋体" w:hAnsi="宋体" w:eastAsia="宋体" w:cs="宋体"/>
          <w:sz w:val="18"/>
          <w:szCs w:val="18"/>
        </w:rPr>
        <w:t>传统制造型</w:t>
      </w:r>
      <w:r>
        <w:rPr>
          <w:rFonts w:hint="default" w:ascii="Times New Roman" w:hAnsi="Times New Roman" w:eastAsia="宋体" w:cs="Times New Roman"/>
          <w:sz w:val="18"/>
          <w:szCs w:val="18"/>
        </w:rPr>
        <w:t>”</w:t>
      </w:r>
      <w:r>
        <w:rPr>
          <w:rFonts w:hint="eastAsia" w:ascii="宋体" w:hAnsi="宋体" w:eastAsia="宋体" w:cs="宋体"/>
          <w:sz w:val="18"/>
          <w:szCs w:val="18"/>
        </w:rPr>
        <w:t>向</w:t>
      </w:r>
      <w:r>
        <w:rPr>
          <w:rFonts w:hint="default" w:ascii="Times New Roman" w:hAnsi="Times New Roman" w:eastAsia="宋体" w:cs="Times New Roman"/>
          <w:sz w:val="18"/>
          <w:szCs w:val="18"/>
        </w:rPr>
        <w:t>“</w:t>
      </w:r>
      <w:r>
        <w:rPr>
          <w:rFonts w:hint="eastAsia" w:ascii="宋体" w:hAnsi="宋体" w:eastAsia="宋体" w:cs="宋体"/>
          <w:sz w:val="18"/>
          <w:szCs w:val="18"/>
        </w:rPr>
        <w:t>智能制造型</w:t>
      </w:r>
      <w:r>
        <w:rPr>
          <w:rFonts w:hint="default" w:ascii="Times New Roman" w:hAnsi="Times New Roman" w:eastAsia="宋体" w:cs="Times New Roman"/>
          <w:sz w:val="18"/>
          <w:szCs w:val="18"/>
        </w:rPr>
        <w:t>”</w:t>
      </w:r>
      <w:r>
        <w:rPr>
          <w:rFonts w:hint="eastAsia" w:ascii="宋体" w:hAnsi="宋体" w:eastAsia="宋体" w:cs="宋体"/>
          <w:sz w:val="18"/>
          <w:szCs w:val="18"/>
        </w:rPr>
        <w:t>企业的转型；将2022年作为经营管理“精益改革年”，成立了“精益改善项目组”， 通过引进聘请外部专家每月来现场做“精益改善”咨询授课、指导解决问题方案，推进精益化生产改善行动方案落地；加大研发技术投入，加快技术研发中心检测试验能力建设，提升产品的研发竞争能力；加大阀门生产专机化、智能化设备设施节能增效改造，提升产品生产的自动化水平；加大市场营销力度，开拓新兴市场；通过规范内控管理，进一步强化内控体系建设和规范运作，实施预算管理办法，合理压缩成本和控制费用支出，实现公司经营的降本增效；实施优化产品成本分析核算措施，向精细化管理要效益；落实可持续发展的人才战略，实施了校企合作应届毕业生实训培养和新员工岗前技能培训方案，实现人才队伍的梯队建设，采取有效措施调动员工的积极性和创造性，提升整体综合竞争能力，实现公司及投资者的整体利益最大化。</w:t>
      </w:r>
    </w:p>
    <w:p>
      <w:r>
        <w:br w:type="page"/>
      </w:r>
    </w:p>
    <w:p>
      <w:pPr>
        <w:keepNext/>
        <w:keepLines/>
        <w:spacing w:before="340" w:after="330" w:line="773" w:lineRule="exact"/>
        <w:jc w:val="center"/>
        <w:outlineLvl w:val="0"/>
        <w:rPr>
          <w:rFonts w:ascii="宋体" w:hAnsi="宋体" w:eastAsia="宋体" w:cs="宋体"/>
          <w:b/>
          <w:bCs/>
          <w:sz w:val="32"/>
          <w:szCs w:val="32"/>
        </w:rPr>
      </w:pPr>
      <w:bookmarkStart w:id="37" w:name="_Toc988926"/>
      <w:r>
        <w:rPr>
          <w:rFonts w:ascii="宋体" w:hAnsi="宋体" w:eastAsia="宋体" w:cs="宋体"/>
          <w:b/>
          <w:bCs/>
          <w:sz w:val="32"/>
          <w:szCs w:val="32"/>
        </w:rPr>
        <w:t>第四节 公司治理</w:t>
      </w:r>
      <w:bookmarkEnd w:id="37"/>
    </w:p>
    <w:p>
      <w:pPr>
        <w:keepNext/>
        <w:keepLines/>
        <w:spacing w:before="300" w:after="300" w:line="320" w:lineRule="exact"/>
        <w:jc w:val="left"/>
        <w:outlineLvl w:val="1"/>
        <w:rPr>
          <w:rFonts w:ascii="宋体" w:hAnsi="宋体" w:eastAsia="宋体" w:cs="宋体"/>
          <w:b/>
          <w:bCs/>
          <w:sz w:val="24"/>
          <w:szCs w:val="24"/>
        </w:rPr>
      </w:pPr>
      <w:bookmarkStart w:id="38" w:name="_Toc988927"/>
      <w:r>
        <w:rPr>
          <w:rFonts w:ascii="宋体" w:hAnsi="宋体" w:eastAsia="宋体" w:cs="宋体"/>
          <w:b/>
          <w:bCs/>
          <w:sz w:val="24"/>
          <w:szCs w:val="24"/>
        </w:rPr>
        <w:t>一、报告期内召开的年度股东大会和临时股东大会的有关情况</w:t>
      </w:r>
      <w:bookmarkEnd w:id="38"/>
    </w:p>
    <w:p>
      <w:pPr>
        <w:keepNext/>
        <w:keepLines/>
        <w:spacing w:before="300" w:after="300" w:line="280" w:lineRule="exact"/>
        <w:jc w:val="left"/>
        <w:outlineLvl w:val="2"/>
        <w:rPr>
          <w:rFonts w:ascii="宋体" w:hAnsi="宋体" w:eastAsia="宋体" w:cs="宋体"/>
          <w:b/>
          <w:bCs/>
          <w:sz w:val="21"/>
          <w:szCs w:val="21"/>
        </w:rPr>
      </w:pPr>
      <w:bookmarkStart w:id="39" w:name="_Toc988928"/>
      <w:r>
        <w:rPr>
          <w:rFonts w:ascii="宋体" w:hAnsi="宋体" w:eastAsia="宋体" w:cs="宋体"/>
          <w:b/>
          <w:bCs/>
          <w:sz w:val="21"/>
          <w:szCs w:val="21"/>
        </w:rPr>
        <w:t>1、本报告期股东大会情况</w:t>
      </w:r>
      <w:bookmarkEnd w:id="39"/>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会议届次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投资者参与比例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召开日期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2022年第一次临时股东大会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2022年02月11日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2022年02月12日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披露于巨潮资讯网（www.cninfo.com.cn）的2022年第一次临时股东大会决议公告（公告编号：2022-016）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2022年第二次临时股东大会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临时股东大会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2022年03月04日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2022年03月05日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披露于巨潮资讯网（www.cninfo.com.cn）的2022年第二次临时股东大会决议公告（公告编号：2022-023）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年度股东大会</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2022年05月18日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2022年05月19日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披露于巨潮资讯网（www.cninfo.com.cn）的2021年年度股东大会决议公告（公告编号：2022-041）</w:t>
            </w:r>
          </w:p>
        </w:tc>
      </w:tr>
    </w:tbl>
    <w:p>
      <w:pPr>
        <w:keepNext/>
        <w:keepLines/>
        <w:spacing w:before="300" w:after="300" w:line="280" w:lineRule="exact"/>
        <w:jc w:val="left"/>
        <w:outlineLvl w:val="2"/>
        <w:rPr>
          <w:rFonts w:ascii="宋体" w:hAnsi="宋体" w:eastAsia="宋体" w:cs="宋体"/>
          <w:b/>
          <w:bCs/>
          <w:sz w:val="21"/>
          <w:szCs w:val="21"/>
        </w:rPr>
      </w:pPr>
      <w:bookmarkStart w:id="40" w:name="_Toc988929"/>
      <w:r>
        <w:rPr>
          <w:rFonts w:ascii="宋体" w:hAnsi="宋体" w:eastAsia="宋体" w:cs="宋体"/>
          <w:b/>
          <w:bCs/>
          <w:sz w:val="21"/>
          <w:szCs w:val="21"/>
        </w:rPr>
        <w:t>2、表决权恢复的优先股股东请求召开临时股东大会</w:t>
      </w:r>
      <w:bookmarkEnd w:id="4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41" w:name="_Toc988930"/>
      <w:r>
        <w:rPr>
          <w:rFonts w:ascii="宋体" w:hAnsi="宋体" w:eastAsia="宋体" w:cs="宋体"/>
          <w:b/>
          <w:bCs/>
          <w:sz w:val="24"/>
          <w:szCs w:val="24"/>
        </w:rPr>
        <w:t>二、公司董事、监事、高级管理人员变动情况</w:t>
      </w:r>
      <w:bookmarkEnd w:id="4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刘克平</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董事会秘书/副总经理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解聘</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因达到退休年龄退休，辞去副总经理、董事会秘书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董事/董事会秘书/财务总监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2022年06月01日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在聘任新的董事会秘书前，董事会指定迟娜娜女士代行董事会秘书职务。</w:t>
            </w:r>
          </w:p>
        </w:tc>
      </w:tr>
    </w:tbl>
    <w:p>
      <w:pPr>
        <w:keepNext/>
        <w:keepLines/>
        <w:spacing w:before="300" w:after="300" w:line="320" w:lineRule="exact"/>
        <w:jc w:val="left"/>
        <w:outlineLvl w:val="1"/>
        <w:rPr>
          <w:rFonts w:ascii="宋体" w:hAnsi="宋体" w:eastAsia="宋体" w:cs="宋体"/>
          <w:b/>
          <w:bCs/>
          <w:sz w:val="24"/>
          <w:szCs w:val="24"/>
        </w:rPr>
      </w:pPr>
      <w:bookmarkStart w:id="42" w:name="_Toc988931"/>
      <w:r>
        <w:rPr>
          <w:rFonts w:ascii="宋体" w:hAnsi="宋体" w:eastAsia="宋体" w:cs="宋体"/>
          <w:b/>
          <w:bCs/>
          <w:sz w:val="24"/>
          <w:szCs w:val="24"/>
        </w:rPr>
        <w:t>三、本报告期利润分配及资本公积金转增股本情况</w:t>
      </w:r>
      <w:bookmarkEnd w:id="42"/>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公司计划半年度不派发现金红利，不送红股，不以公积金转增股本。</w:t>
      </w:r>
    </w:p>
    <w:p>
      <w:pPr>
        <w:keepNext/>
        <w:keepLines/>
        <w:spacing w:before="300" w:after="300" w:line="320" w:lineRule="exact"/>
        <w:jc w:val="left"/>
        <w:outlineLvl w:val="1"/>
        <w:rPr>
          <w:rFonts w:ascii="宋体" w:hAnsi="宋体" w:eastAsia="宋体" w:cs="宋体"/>
          <w:b/>
          <w:bCs/>
          <w:sz w:val="24"/>
          <w:szCs w:val="24"/>
        </w:rPr>
      </w:pPr>
      <w:bookmarkStart w:id="43" w:name="_Toc988932"/>
      <w:r>
        <w:rPr>
          <w:rFonts w:ascii="宋体" w:hAnsi="宋体" w:eastAsia="宋体" w:cs="宋体"/>
          <w:b/>
          <w:bCs/>
          <w:sz w:val="24"/>
          <w:szCs w:val="24"/>
        </w:rPr>
        <w:t>四、公司股权激励计划、员工持股计划或其他员工激励措施的实施情况</w:t>
      </w:r>
      <w:bookmarkEnd w:id="4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公司报告期无股权激励计划、员工持股计划或其他员工激励措施及其实施情况。</w:t>
      </w:r>
    </w:p>
    <w:p>
      <w:r>
        <w:br w:type="page"/>
      </w:r>
    </w:p>
    <w:p>
      <w:pPr>
        <w:keepNext/>
        <w:keepLines/>
        <w:spacing w:before="340" w:after="330" w:line="773" w:lineRule="exact"/>
        <w:jc w:val="center"/>
        <w:outlineLvl w:val="0"/>
        <w:rPr>
          <w:rFonts w:ascii="宋体" w:hAnsi="宋体" w:eastAsia="宋体" w:cs="宋体"/>
          <w:b/>
          <w:bCs/>
          <w:sz w:val="32"/>
          <w:szCs w:val="32"/>
        </w:rPr>
      </w:pPr>
      <w:bookmarkStart w:id="44" w:name="_Toc988933"/>
      <w:r>
        <w:rPr>
          <w:rFonts w:ascii="宋体" w:hAnsi="宋体" w:eastAsia="宋体" w:cs="宋体"/>
          <w:b/>
          <w:bCs/>
          <w:sz w:val="32"/>
          <w:szCs w:val="32"/>
        </w:rPr>
        <w:t>第五节 环境和社会责任</w:t>
      </w:r>
      <w:bookmarkEnd w:id="44"/>
    </w:p>
    <w:p>
      <w:pPr>
        <w:keepNext/>
        <w:keepLines/>
        <w:spacing w:before="300" w:after="300" w:line="320" w:lineRule="exact"/>
        <w:jc w:val="left"/>
        <w:outlineLvl w:val="1"/>
        <w:rPr>
          <w:rFonts w:ascii="宋体" w:hAnsi="宋体" w:eastAsia="宋体" w:cs="宋体"/>
          <w:b/>
          <w:bCs/>
          <w:sz w:val="24"/>
          <w:szCs w:val="24"/>
        </w:rPr>
      </w:pPr>
      <w:bookmarkStart w:id="45" w:name="_Toc988934"/>
      <w:r>
        <w:rPr>
          <w:rFonts w:ascii="宋体" w:hAnsi="宋体" w:eastAsia="宋体" w:cs="宋体"/>
          <w:b/>
          <w:bCs/>
          <w:sz w:val="24"/>
          <w:szCs w:val="24"/>
        </w:rPr>
        <w:t>一、重大环保问题情况</w:t>
      </w:r>
      <w:bookmarkEnd w:id="45"/>
    </w:p>
    <w:p>
      <w:pPr>
        <w:spacing w:before="40" w:after="40" w:line="240" w:lineRule="exact"/>
        <w:jc w:val="left"/>
        <w:rPr>
          <w:rFonts w:ascii="宋体" w:hAnsi="宋体" w:eastAsia="宋体" w:cs="宋体"/>
          <w:sz w:val="18"/>
          <w:szCs w:val="18"/>
        </w:rPr>
      </w:pPr>
      <w:r>
        <w:rPr>
          <w:rFonts w:ascii="宋体" w:hAnsi="宋体" w:eastAsia="宋体" w:cs="宋体"/>
          <w:sz w:val="18"/>
          <w:szCs w:val="18"/>
        </w:rPr>
        <w:t>上市公司及其子公司是否属于环境保护部门公布的重点排污单位</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报告期内因环境问题受到行政处罚的情况</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参照重点排污单位披露的其他环境信息</w:t>
      </w:r>
    </w:p>
    <w:p>
      <w:pPr>
        <w:pStyle w:val="3"/>
        <w:keepNext w:val="0"/>
        <w:keepLines w:val="0"/>
        <w:widowControl/>
        <w:suppressLineNumbers w:val="0"/>
      </w:pPr>
      <w:r>
        <w:rPr>
          <w:rFonts w:hint="eastAsia" w:ascii="宋体" w:hAnsi="宋体" w:eastAsia="宋体" w:cs="宋体"/>
          <w:sz w:val="18"/>
          <w:szCs w:val="18"/>
        </w:rPr>
        <w:t>无</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在报告期内为减少其碳排放所采取的措施及效果</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未披露其他环境信息的原因</w:t>
      </w:r>
    </w:p>
    <w:p>
      <w:pPr>
        <w:pStyle w:val="3"/>
        <w:keepNext w:val="0"/>
        <w:keepLines w:val="0"/>
        <w:widowControl/>
        <w:suppressLineNumbers w:val="0"/>
        <w:ind w:left="0" w:firstLine="450"/>
        <w:jc w:val="left"/>
        <w:rPr>
          <w:rFonts w:hint="default" w:ascii="Times New Roman" w:hAnsi="Times New Roman" w:cs="Times New Roman"/>
          <w:sz w:val="24"/>
          <w:szCs w:val="24"/>
        </w:rPr>
      </w:pPr>
      <w:r>
        <w:rPr>
          <w:rFonts w:hint="eastAsia" w:ascii="宋体" w:hAnsi="宋体" w:eastAsia="宋体" w:cs="宋体"/>
          <w:sz w:val="18"/>
          <w:szCs w:val="18"/>
        </w:rPr>
        <w:t>根据公司及相关子公司建立的</w:t>
      </w:r>
      <w:r>
        <w:rPr>
          <w:rFonts w:hint="default" w:ascii="Times New Roman" w:hAnsi="Times New Roman" w:eastAsia="宋体" w:cs="Times New Roman"/>
          <w:sz w:val="18"/>
          <w:szCs w:val="18"/>
        </w:rPr>
        <w:t>ISO14001</w:t>
      </w:r>
      <w:r>
        <w:rPr>
          <w:rFonts w:hint="eastAsia" w:ascii="宋体" w:hAnsi="宋体" w:eastAsia="宋体" w:cs="宋体"/>
          <w:sz w:val="18"/>
          <w:szCs w:val="18"/>
        </w:rPr>
        <w:t>环境管理体系以及ISO45001职业健康安全管理体系的规定，任命了环境管理体系管理者代表，负责公司环境保护的全面管理工作，并设立公司环境保护工作领导小组，负责公司环境保护、职业健康、安全生产监督、检查的日常管理等工作，建立了现场</w:t>
      </w:r>
      <w:r>
        <w:rPr>
          <w:rFonts w:hint="default" w:ascii="Times New Roman" w:hAnsi="Times New Roman" w:eastAsia="宋体" w:cs="Times New Roman"/>
          <w:sz w:val="18"/>
          <w:szCs w:val="18"/>
        </w:rPr>
        <w:t>6S</w:t>
      </w:r>
      <w:r>
        <w:rPr>
          <w:rFonts w:hint="eastAsia" w:ascii="宋体" w:hAnsi="宋体" w:eastAsia="宋体" w:cs="宋体"/>
          <w:sz w:val="18"/>
          <w:szCs w:val="18"/>
        </w:rPr>
        <w:t>管理考核指标，在主要部门内指定了兼职管理人员，负责部门内部的环境保护和安全生产管理工作，以及环境治理设施的日常管理和运行。公司每年定期组织环境管理体系内审，对审查中发现的问题进行整改。同时，公司邀请第三方认证机构定期对公司的环境管理体系进行监督审核，做好环境因素识别、评价与控制，积极采用高效、节能、环保的新设备、新工艺，最大限度减少污染物排放，全面推进清洁生产，以促进环保管理能力的完善和提升，确保公司的环境保护政策符合国家环保要求，实现达标排放。公司及子公司不属于环境保护部门重点监管的排污企业。</w:t>
      </w:r>
    </w:p>
    <w:p>
      <w:pPr>
        <w:keepNext/>
        <w:keepLines/>
        <w:spacing w:before="300" w:after="300" w:line="320" w:lineRule="exact"/>
        <w:jc w:val="left"/>
        <w:outlineLvl w:val="1"/>
        <w:rPr>
          <w:rFonts w:ascii="宋体" w:hAnsi="宋体" w:eastAsia="宋体" w:cs="宋体"/>
          <w:b/>
          <w:bCs/>
          <w:sz w:val="24"/>
          <w:szCs w:val="24"/>
        </w:rPr>
      </w:pPr>
      <w:bookmarkStart w:id="46" w:name="_Toc988935"/>
      <w:r>
        <w:rPr>
          <w:rFonts w:ascii="宋体" w:hAnsi="宋体" w:eastAsia="宋体" w:cs="宋体"/>
          <w:b/>
          <w:bCs/>
          <w:sz w:val="24"/>
          <w:szCs w:val="24"/>
        </w:rPr>
        <w:t>二、社会责任情况</w:t>
      </w:r>
      <w:bookmarkEnd w:id="46"/>
    </w:p>
    <w:p>
      <w:pPr>
        <w:pStyle w:val="3"/>
        <w:keepNext w:val="0"/>
        <w:keepLines w:val="0"/>
        <w:widowControl/>
        <w:suppressLineNumbers w:val="0"/>
        <w:ind w:left="0" w:firstLine="360"/>
        <w:jc w:val="left"/>
        <w:rPr>
          <w:rFonts w:hint="default" w:ascii="Times New Roman" w:hAnsi="Times New Roman" w:cs="Times New Roman"/>
          <w:sz w:val="24"/>
          <w:szCs w:val="24"/>
        </w:rPr>
      </w:pPr>
      <w:r>
        <w:rPr>
          <w:rFonts w:hint="eastAsia" w:ascii="宋体" w:hAnsi="宋体" w:eastAsia="宋体" w:cs="宋体"/>
          <w:sz w:val="18"/>
          <w:szCs w:val="18"/>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pStyle w:val="3"/>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股东和债权人权益保护方面，公司严格按照《公司法》、《证券法》、《公司章程》、《深交所上市公司自律监管指引第1号-主板上市公司规范运作》等有关法律、法规、制度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2018-2019年度连续两年被深交所评定为信息披露质量A级企业，2020-2021年度被深交所评定为信息披露质量B级企业。公司自2017年5月上市以来，根据《公司章程》等规定，每年进行一次利润分配方案，已累计分红20,779.11万元，使广大投资者享有公司经营发展成果，维护广大投资者和债权人的利益。2022年6月公司入选中国上市公司协会2021年度A股上市公司现金分红榜单真诚回报榜。</w:t>
      </w:r>
    </w:p>
    <w:p>
      <w:pPr>
        <w:pStyle w:val="3"/>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在职工权益保护方面，公司建立并获得了</w:t>
      </w:r>
      <w:r>
        <w:rPr>
          <w:rFonts w:hint="default" w:ascii="Times New Roman" w:hAnsi="Times New Roman" w:eastAsia="宋体" w:cs="Times New Roman"/>
          <w:sz w:val="18"/>
          <w:szCs w:val="18"/>
        </w:rPr>
        <w:t>ISO45001</w:t>
      </w:r>
      <w:r>
        <w:rPr>
          <w:rFonts w:hint="eastAsia" w:ascii="宋体" w:hAnsi="宋体" w:eastAsia="宋体" w:cs="宋体"/>
          <w:sz w:val="18"/>
          <w:szCs w:val="18"/>
        </w:rPr>
        <w:t>职业健康安全管理体系认证，不断完善劳动用工与福利保障的相关管理制度，尊重和维护员工的个人权益，对人员录用、员工培训、工资薪酬、福利保障等进行了规定，建立了较为完善的薪酬管理和绩效考核体系。公司建有工会组织，积极组织员工开展合理化建议和劳动竞赛活动，做好患病员工、困难员工送温暖慰问及重要节日福利活动；开放员工图书阅览室；组织员工福利健康和职业健康体检，租赁人才公寓及改善员工值班休息室和员工食堂就餐条件。工会积极参与公司文化建设和员工业务培训，组织会员履行义务和责任，对经营管理、违规违纪等方面的问题监督反馈，教育员工热爱公司，尊纪守法，协调解决公司与员工之间产生的问题，维护员工和公司两者的合法权益及凝聚力。公司通过多种途径改善员工工作环境和生活环境，重视人才培训和培养，实现员工与公司的共同成长，切实维护员工的合法权益。</w:t>
      </w:r>
    </w:p>
    <w:p>
      <w:pPr>
        <w:pStyle w:val="3"/>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供应商、客户和消费者权益保护方面，公司建立了原材料采购供应商质量信誉评价合作、货款定期结算机制和客户产品质量销售服务体系，确保原材料采购、生产制造过程及销售服务过程的产品质量保障性，获得了较高的客户满意度和忠诚度。公司设有专门的客户产品售后服务组织体系，完善了销售服务管理制度和运行机制，配备有专业的售后服务人员，做到服务与经营工作同步推进，完善了客户意见反馈机制、投诉处理机制和快速响应机制。</w:t>
      </w:r>
    </w:p>
    <w:p>
      <w:pPr>
        <w:pStyle w:val="3"/>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宋体" w:cs="Times New Roman"/>
          <w:sz w:val="18"/>
          <w:szCs w:val="18"/>
        </w:rPr>
        <w:t>     </w:t>
      </w:r>
      <w:r>
        <w:rPr>
          <w:rFonts w:hint="eastAsia" w:ascii="宋体" w:hAnsi="宋体" w:eastAsia="宋体" w:cs="宋体"/>
          <w:sz w:val="18"/>
          <w:szCs w:val="18"/>
        </w:rPr>
        <w:t>在环境保护与可持续发展方面，公司及相关子公司在日常生产经营中，认真执行《中华人民共和国环境保护法》、《中华人民共和国水污染防治法》、《中华人民共和国大气污染防治法》、《中华人民共和国环境噪声污染防治法》、《中华人民共和国固体废物污染防治法》等法律法规。公司建立了</w:t>
      </w:r>
      <w:r>
        <w:rPr>
          <w:rFonts w:hint="default" w:ascii="Times New Roman" w:hAnsi="Times New Roman" w:eastAsia="宋体" w:cs="Times New Roman"/>
          <w:sz w:val="18"/>
          <w:szCs w:val="18"/>
        </w:rPr>
        <w:t>ISO14001</w:t>
      </w:r>
      <w:r>
        <w:rPr>
          <w:rFonts w:hint="eastAsia" w:ascii="宋体" w:hAnsi="宋体" w:eastAsia="宋体" w:cs="宋体"/>
          <w:sz w:val="18"/>
          <w:szCs w:val="18"/>
        </w:rPr>
        <w:t>环境管理体系以及</w:t>
      </w:r>
      <w:r>
        <w:rPr>
          <w:rFonts w:hint="default" w:ascii="Times New Roman" w:hAnsi="Times New Roman" w:eastAsia="宋体" w:cs="Times New Roman"/>
          <w:sz w:val="18"/>
          <w:szCs w:val="18"/>
        </w:rPr>
        <w:t>ISO45001</w:t>
      </w:r>
      <w:r>
        <w:rPr>
          <w:rFonts w:hint="eastAsia" w:ascii="宋体" w:hAnsi="宋体" w:eastAsia="宋体" w:cs="宋体"/>
          <w:sz w:val="18"/>
          <w:szCs w:val="18"/>
        </w:rPr>
        <w:t>职业健康安全管理体系，并设立公司环境保护工作领导小组及主管部门，负责公司环境保护、职业健康、安全生产监督、检查的日常管理工作和运行，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并通过了企业三级安全标准化建设验收，全资子公司莱州伟隆取得了黑色金属铸造</w:t>
      </w:r>
      <w:r>
        <w:rPr>
          <w:rFonts w:hint="default" w:ascii="Times New Roman" w:hAnsi="Times New Roman" w:eastAsia="宋体" w:cs="Times New Roman"/>
          <w:sz w:val="18"/>
          <w:szCs w:val="18"/>
        </w:rPr>
        <w:t>“</w:t>
      </w:r>
      <w:r>
        <w:rPr>
          <w:rFonts w:hint="eastAsia" w:ascii="宋体" w:hAnsi="宋体" w:eastAsia="宋体" w:cs="宋体"/>
          <w:sz w:val="18"/>
          <w:szCs w:val="18"/>
        </w:rPr>
        <w:t>排污许可证</w:t>
      </w:r>
      <w:r>
        <w:rPr>
          <w:rFonts w:hint="default" w:ascii="Times New Roman" w:hAnsi="Times New Roman" w:eastAsia="宋体" w:cs="Times New Roman"/>
          <w:sz w:val="18"/>
          <w:szCs w:val="18"/>
        </w:rPr>
        <w:t>”</w:t>
      </w:r>
      <w:r>
        <w:rPr>
          <w:rFonts w:hint="eastAsia" w:ascii="宋体" w:hAnsi="宋体" w:eastAsia="宋体" w:cs="宋体"/>
          <w:sz w:val="18"/>
          <w:szCs w:val="18"/>
        </w:rPr>
        <w:t>。报告期内，公司未发生重大安全、环保事故问题。</w:t>
      </w:r>
    </w:p>
    <w:p>
      <w:r>
        <w:br w:type="page"/>
      </w:r>
    </w:p>
    <w:p>
      <w:pPr>
        <w:keepNext/>
        <w:keepLines/>
        <w:spacing w:before="340" w:after="330" w:line="773" w:lineRule="exact"/>
        <w:jc w:val="center"/>
        <w:outlineLvl w:val="0"/>
        <w:rPr>
          <w:rFonts w:ascii="宋体" w:hAnsi="宋体" w:eastAsia="宋体" w:cs="宋体"/>
          <w:b/>
          <w:bCs/>
          <w:sz w:val="32"/>
          <w:szCs w:val="32"/>
        </w:rPr>
      </w:pPr>
      <w:bookmarkStart w:id="47" w:name="_Toc988936"/>
      <w:r>
        <w:rPr>
          <w:rFonts w:ascii="宋体" w:hAnsi="宋体" w:eastAsia="宋体" w:cs="宋体"/>
          <w:b/>
          <w:bCs/>
          <w:sz w:val="32"/>
          <w:szCs w:val="32"/>
        </w:rPr>
        <w:t>第六节 重要事项</w:t>
      </w:r>
      <w:bookmarkEnd w:id="47"/>
    </w:p>
    <w:p>
      <w:pPr>
        <w:keepNext/>
        <w:keepLines/>
        <w:spacing w:before="300" w:after="300" w:line="320" w:lineRule="exact"/>
        <w:jc w:val="left"/>
        <w:outlineLvl w:val="1"/>
        <w:rPr>
          <w:rFonts w:ascii="宋体" w:hAnsi="宋体" w:eastAsia="宋体" w:cs="宋体"/>
          <w:b/>
          <w:bCs/>
          <w:sz w:val="24"/>
          <w:szCs w:val="24"/>
        </w:rPr>
      </w:pPr>
      <w:bookmarkStart w:id="48" w:name="_Toc988937"/>
      <w:r>
        <w:rPr>
          <w:rFonts w:ascii="宋体" w:hAnsi="宋体" w:eastAsia="宋体" w:cs="宋体"/>
          <w:b/>
          <w:bCs/>
          <w:sz w:val="24"/>
          <w:szCs w:val="24"/>
        </w:rPr>
        <w:t>一、公司实际控制人、股东、关联方、收购人以及公司等承诺相关方在报告期内履行完毕及截至报告期末超期未履行完毕的承诺事项</w:t>
      </w:r>
      <w:bookmarkEnd w:id="4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公司报告期不存在由公司实际控制人、股东、关联方、收购人以及公司等承诺相关方在报告期内履行完毕及截至报告期末超期未履行完毕的承诺事项。</w:t>
      </w:r>
    </w:p>
    <w:p>
      <w:pPr>
        <w:keepNext/>
        <w:keepLines/>
        <w:spacing w:before="300" w:after="300" w:line="320" w:lineRule="exact"/>
        <w:jc w:val="left"/>
        <w:outlineLvl w:val="1"/>
        <w:rPr>
          <w:rFonts w:ascii="宋体" w:hAnsi="宋体" w:eastAsia="宋体" w:cs="宋体"/>
          <w:b/>
          <w:bCs/>
          <w:sz w:val="24"/>
          <w:szCs w:val="24"/>
        </w:rPr>
      </w:pPr>
      <w:bookmarkStart w:id="49" w:name="_Toc988938"/>
      <w:r>
        <w:rPr>
          <w:rFonts w:ascii="宋体" w:hAnsi="宋体" w:eastAsia="宋体" w:cs="宋体"/>
          <w:b/>
          <w:bCs/>
          <w:sz w:val="24"/>
          <w:szCs w:val="24"/>
        </w:rPr>
        <w:t>二、控股股东及其他关联方对上市公司的非经营性占用资金情况</w:t>
      </w:r>
      <w:bookmarkEnd w:id="4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公司报告期不存在控股股东及其他关联方对上市公司的非经营性占用资金。</w:t>
      </w:r>
    </w:p>
    <w:p>
      <w:pPr>
        <w:keepNext/>
        <w:keepLines/>
        <w:spacing w:before="300" w:after="300" w:line="320" w:lineRule="exact"/>
        <w:jc w:val="left"/>
        <w:outlineLvl w:val="1"/>
        <w:rPr>
          <w:rFonts w:ascii="宋体" w:hAnsi="宋体" w:eastAsia="宋体" w:cs="宋体"/>
          <w:b/>
          <w:bCs/>
          <w:sz w:val="24"/>
          <w:szCs w:val="24"/>
        </w:rPr>
      </w:pPr>
      <w:bookmarkStart w:id="50" w:name="_Toc988939"/>
      <w:r>
        <w:rPr>
          <w:rFonts w:ascii="宋体" w:hAnsi="宋体" w:eastAsia="宋体" w:cs="宋体"/>
          <w:b/>
          <w:bCs/>
          <w:sz w:val="24"/>
          <w:szCs w:val="24"/>
        </w:rPr>
        <w:t>三、违规对外担保情况</w:t>
      </w:r>
      <w:bookmarkEnd w:id="5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公司报告期无违规对外担保情况。</w:t>
      </w:r>
    </w:p>
    <w:p>
      <w:pPr>
        <w:keepNext/>
        <w:keepLines/>
        <w:spacing w:before="300" w:after="300" w:line="320" w:lineRule="exact"/>
        <w:jc w:val="left"/>
        <w:outlineLvl w:val="1"/>
        <w:rPr>
          <w:rFonts w:ascii="宋体" w:hAnsi="宋体" w:eastAsia="宋体" w:cs="宋体"/>
          <w:b/>
          <w:bCs/>
          <w:sz w:val="24"/>
          <w:szCs w:val="24"/>
        </w:rPr>
      </w:pPr>
      <w:bookmarkStart w:id="51" w:name="_Toc988940"/>
      <w:r>
        <w:rPr>
          <w:rFonts w:ascii="宋体" w:hAnsi="宋体" w:eastAsia="宋体" w:cs="宋体"/>
          <w:b/>
          <w:bCs/>
          <w:sz w:val="24"/>
          <w:szCs w:val="24"/>
        </w:rPr>
        <w:t>四、聘任、解聘会计师事务所情况</w:t>
      </w:r>
      <w:bookmarkEnd w:id="51"/>
    </w:p>
    <w:p>
      <w:pPr>
        <w:spacing w:before="100" w:after="100" w:line="240" w:lineRule="exact"/>
        <w:jc w:val="left"/>
        <w:rPr>
          <w:rFonts w:ascii="宋体" w:hAnsi="宋体" w:eastAsia="宋体" w:cs="宋体"/>
          <w:sz w:val="18"/>
          <w:szCs w:val="18"/>
        </w:rPr>
      </w:pPr>
      <w:r>
        <w:rPr>
          <w:rFonts w:ascii="宋体" w:hAnsi="宋体" w:eastAsia="宋体" w:cs="宋体"/>
          <w:sz w:val="18"/>
          <w:szCs w:val="18"/>
        </w:rPr>
        <w:t>半年度财务报告是否已经审计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公司半年度报告未经审计。</w:t>
      </w:r>
    </w:p>
    <w:p>
      <w:pPr>
        <w:keepNext/>
        <w:keepLines/>
        <w:spacing w:before="300" w:after="300" w:line="320" w:lineRule="exact"/>
        <w:jc w:val="left"/>
        <w:outlineLvl w:val="1"/>
        <w:rPr>
          <w:rFonts w:ascii="宋体" w:hAnsi="宋体" w:eastAsia="宋体" w:cs="宋体"/>
          <w:b/>
          <w:bCs/>
          <w:sz w:val="24"/>
          <w:szCs w:val="24"/>
        </w:rPr>
      </w:pPr>
      <w:bookmarkStart w:id="52" w:name="_Toc988941"/>
      <w:r>
        <w:rPr>
          <w:rFonts w:ascii="宋体" w:hAnsi="宋体" w:eastAsia="宋体" w:cs="宋体"/>
          <w:b/>
          <w:bCs/>
          <w:sz w:val="24"/>
          <w:szCs w:val="24"/>
        </w:rPr>
        <w:t>五、董事会、监事会对会计师事务所本报告期“非标准审计报告”的说明</w:t>
      </w:r>
      <w:bookmarkEnd w:id="5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3" w:name="_Toc988942"/>
      <w:r>
        <w:rPr>
          <w:rFonts w:ascii="宋体" w:hAnsi="宋体" w:eastAsia="宋体" w:cs="宋体"/>
          <w:b/>
          <w:bCs/>
          <w:sz w:val="24"/>
          <w:szCs w:val="24"/>
        </w:rPr>
        <w:t>六、董事会对上年度“非标准审计报告”相关情况的说明</w:t>
      </w:r>
      <w:bookmarkEnd w:id="5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4" w:name="_Toc988943"/>
      <w:r>
        <w:rPr>
          <w:rFonts w:ascii="宋体" w:hAnsi="宋体" w:eastAsia="宋体" w:cs="宋体"/>
          <w:b/>
          <w:bCs/>
          <w:sz w:val="24"/>
          <w:szCs w:val="24"/>
        </w:rPr>
        <w:t>七、破产重整相关事项</w:t>
      </w:r>
      <w:bookmarkEnd w:id="5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公司报告期未发生破产重整相关事项。</w:t>
      </w:r>
    </w:p>
    <w:p>
      <w:pPr>
        <w:keepNext/>
        <w:keepLines/>
        <w:spacing w:before="300" w:after="300" w:line="320" w:lineRule="exact"/>
        <w:jc w:val="left"/>
        <w:outlineLvl w:val="1"/>
        <w:rPr>
          <w:rFonts w:ascii="宋体" w:hAnsi="宋体" w:eastAsia="宋体" w:cs="宋体"/>
          <w:b/>
          <w:bCs/>
          <w:sz w:val="24"/>
          <w:szCs w:val="24"/>
        </w:rPr>
      </w:pPr>
      <w:bookmarkStart w:id="55" w:name="_Toc988944"/>
      <w:r>
        <w:rPr>
          <w:rFonts w:ascii="宋体" w:hAnsi="宋体" w:eastAsia="宋体" w:cs="宋体"/>
          <w:b/>
          <w:bCs/>
          <w:sz w:val="24"/>
          <w:szCs w:val="24"/>
        </w:rPr>
        <w:t>八、诉讼事项</w:t>
      </w:r>
      <w:bookmarkEnd w:id="55"/>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本报告期公司无重大诉讼、仲裁事项。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其他诉讼事项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诉讼(仲裁)基本情况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涉案金额（万元）</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是否形成预计负债</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诉讼(仲裁)进展</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诉讼(仲裁)审理结果及影响</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诉讼(仲裁)判决执行情况</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赵志刚诉莱州伟隆阀门有限公司民间借贷纠纷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是</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一审结束</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判令莱州伟隆承担连带责任，支付借款100万元及利息，承担诉讼费13800元</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未执行，公司提起上诉，待二审开庭审理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王鲁松诉莱州伟隆阀门有限公司民间借贷纠纷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和解</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由相关责任人支付</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已执行</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郑州创伟阀门有限公司诉青岛伟隆阀门股份有限公司买卖合同纠纷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公司提起管辖权异议</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青岛伟隆阀门股份有限公司诉中国建筑第八工程局有限公司买卖合同菊粉</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青岛伟隆阀门有限公司诉宋立刚劳动纠纷</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13.31</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仲裁结束</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裁决判青岛伟隆阀门股份有限公司支付宋立刚解除劳动合同经济补偿金27500元</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未执行，公司提起上诉，待开庭审理</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bl>
    <w:p>
      <w:pPr>
        <w:keepNext/>
        <w:keepLines/>
        <w:spacing w:before="300" w:after="300" w:line="320" w:lineRule="exact"/>
        <w:jc w:val="left"/>
        <w:outlineLvl w:val="1"/>
        <w:rPr>
          <w:rFonts w:ascii="宋体" w:hAnsi="宋体" w:eastAsia="宋体" w:cs="宋体"/>
          <w:b/>
          <w:bCs/>
          <w:sz w:val="24"/>
          <w:szCs w:val="24"/>
        </w:rPr>
      </w:pPr>
      <w:bookmarkStart w:id="56" w:name="_Toc988945"/>
      <w:r>
        <w:rPr>
          <w:rFonts w:ascii="宋体" w:hAnsi="宋体" w:eastAsia="宋体" w:cs="宋体"/>
          <w:b/>
          <w:bCs/>
          <w:sz w:val="24"/>
          <w:szCs w:val="24"/>
        </w:rPr>
        <w:t>九、处罚及整改情况</w:t>
      </w:r>
      <w:bookmarkEnd w:id="56"/>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7" w:name="_Toc988946"/>
      <w:r>
        <w:rPr>
          <w:rFonts w:ascii="宋体" w:hAnsi="宋体" w:eastAsia="宋体" w:cs="宋体"/>
          <w:b/>
          <w:bCs/>
          <w:sz w:val="24"/>
          <w:szCs w:val="24"/>
        </w:rPr>
        <w:t>十、公司及其控股股东、实际控制人的诚信状况</w:t>
      </w:r>
      <w:bookmarkEnd w:id="57"/>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58" w:name="_Toc988947"/>
      <w:r>
        <w:rPr>
          <w:rFonts w:ascii="宋体" w:hAnsi="宋体" w:eastAsia="宋体" w:cs="宋体"/>
          <w:b/>
          <w:bCs/>
          <w:sz w:val="24"/>
          <w:szCs w:val="24"/>
        </w:rPr>
        <w:t>十一、重大关联交易</w:t>
      </w:r>
      <w:bookmarkEnd w:id="58"/>
    </w:p>
    <w:p>
      <w:pPr>
        <w:keepNext/>
        <w:keepLines/>
        <w:spacing w:before="300" w:after="300" w:line="280" w:lineRule="exact"/>
        <w:jc w:val="left"/>
        <w:outlineLvl w:val="2"/>
        <w:rPr>
          <w:rFonts w:ascii="宋体" w:hAnsi="宋体" w:eastAsia="宋体" w:cs="宋体"/>
          <w:b/>
          <w:bCs/>
          <w:sz w:val="21"/>
          <w:szCs w:val="21"/>
        </w:rPr>
      </w:pPr>
      <w:bookmarkStart w:id="59" w:name="_Toc988948"/>
      <w:r>
        <w:rPr>
          <w:rFonts w:ascii="宋体" w:hAnsi="宋体" w:eastAsia="宋体" w:cs="宋体"/>
          <w:b/>
          <w:bCs/>
          <w:sz w:val="21"/>
          <w:szCs w:val="21"/>
        </w:rPr>
        <w:t>1、与日常经营相关的关联交易</w:t>
      </w:r>
      <w:bookmarkEnd w:id="5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公司报告期未发生与日常经营相关的关联交易。</w:t>
      </w:r>
    </w:p>
    <w:p>
      <w:pPr>
        <w:keepNext/>
        <w:keepLines/>
        <w:spacing w:before="300" w:after="300" w:line="280" w:lineRule="exact"/>
        <w:jc w:val="left"/>
        <w:outlineLvl w:val="2"/>
        <w:rPr>
          <w:rFonts w:ascii="宋体" w:hAnsi="宋体" w:eastAsia="宋体" w:cs="宋体"/>
          <w:b/>
          <w:bCs/>
          <w:sz w:val="21"/>
          <w:szCs w:val="21"/>
        </w:rPr>
      </w:pPr>
      <w:bookmarkStart w:id="60" w:name="_Toc988949"/>
      <w:r>
        <w:rPr>
          <w:rFonts w:ascii="宋体" w:hAnsi="宋体" w:eastAsia="宋体" w:cs="宋体"/>
          <w:b/>
          <w:bCs/>
          <w:sz w:val="21"/>
          <w:szCs w:val="21"/>
        </w:rPr>
        <w:t>2、资产或股权收购、出售发生的关联交易</w:t>
      </w:r>
      <w:bookmarkEnd w:id="6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关联关系</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关联交易类型</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关联交易定价原则</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转让资产的账面价值（万元）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转让资产的评估价值（万元）（如有）</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转让价格（万元）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关联交易结算方式</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交易损益（万元）</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披露索引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吕仁红、宫相开</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青岛即聚机电有限责任公司参股人</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股权收购</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控股子公司青岛即聚机电有限责任公司51%的股权</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华宇信德（北京）资产评估有限公司于2021年12月2日出具的《青岛即聚机电有限责任公司拟进行股权转让事宜涉及的股东全部权益价值项目资产评估报告》（华宇信德评字[2021]第Z-3470号）中载明的目标公司股东全部权益评估价值</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836.32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根据协议约定</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4,164.12</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转让价格与账面价值或评估价值差异较大的原因（如有）</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对公司经营成果与财务状况的影响情况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公司转让子公司青岛即聚机电有限责任公司全部股权，本期确认收益41,641,161.86元，有助于提升公司资产运营效率，增强抗风险能力,对公司的财务状况及经营成果产生较大影响。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如相关交易涉及业绩约定的，报告期内的业绩实现情况</w:t>
            </w:r>
          </w:p>
        </w:tc>
        <w:tc>
          <w:tcPr>
            <w:tcW w:w="6426" w:type="dxa"/>
            <w:gridSpan w:val="8"/>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2"/>
        <w:rPr>
          <w:rFonts w:ascii="宋体" w:hAnsi="宋体" w:eastAsia="宋体" w:cs="宋体"/>
          <w:b/>
          <w:bCs/>
          <w:sz w:val="21"/>
          <w:szCs w:val="21"/>
        </w:rPr>
      </w:pPr>
      <w:bookmarkStart w:id="61" w:name="_Toc988950"/>
      <w:r>
        <w:rPr>
          <w:rFonts w:ascii="宋体" w:hAnsi="宋体" w:eastAsia="宋体" w:cs="宋体"/>
          <w:b/>
          <w:bCs/>
          <w:sz w:val="21"/>
          <w:szCs w:val="21"/>
        </w:rPr>
        <w:t>3、共同对外投资的关联交易</w:t>
      </w:r>
      <w:bookmarkEnd w:id="6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公司报告期未发生共同对外投资的关联交易。</w:t>
      </w:r>
    </w:p>
    <w:p>
      <w:pPr>
        <w:keepNext/>
        <w:keepLines/>
        <w:spacing w:before="300" w:after="300" w:line="280" w:lineRule="exact"/>
        <w:jc w:val="left"/>
        <w:outlineLvl w:val="2"/>
        <w:rPr>
          <w:rFonts w:ascii="宋体" w:hAnsi="宋体" w:eastAsia="宋体" w:cs="宋体"/>
          <w:b/>
          <w:bCs/>
          <w:sz w:val="21"/>
          <w:szCs w:val="21"/>
        </w:rPr>
      </w:pPr>
      <w:bookmarkStart w:id="62" w:name="_Toc988951"/>
      <w:r>
        <w:rPr>
          <w:rFonts w:ascii="宋体" w:hAnsi="宋体" w:eastAsia="宋体" w:cs="宋体"/>
          <w:b/>
          <w:bCs/>
          <w:sz w:val="21"/>
          <w:szCs w:val="21"/>
        </w:rPr>
        <w:t>4、关联债权债务往来</w:t>
      </w:r>
      <w:bookmarkEnd w:id="62"/>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公司报告期不存在关联债权债务往来。</w:t>
      </w:r>
    </w:p>
    <w:p>
      <w:pPr>
        <w:keepNext/>
        <w:keepLines/>
        <w:spacing w:before="300" w:after="300" w:line="280" w:lineRule="exact"/>
        <w:jc w:val="left"/>
        <w:outlineLvl w:val="2"/>
        <w:rPr>
          <w:rFonts w:ascii="宋体" w:hAnsi="宋体" w:eastAsia="宋体" w:cs="宋体"/>
          <w:b/>
          <w:bCs/>
          <w:sz w:val="21"/>
          <w:szCs w:val="21"/>
        </w:rPr>
      </w:pPr>
      <w:bookmarkStart w:id="63" w:name="_Toc988952"/>
      <w:r>
        <w:rPr>
          <w:rFonts w:ascii="宋体" w:hAnsi="宋体" w:eastAsia="宋体" w:cs="宋体"/>
          <w:b/>
          <w:bCs/>
          <w:sz w:val="21"/>
          <w:szCs w:val="21"/>
        </w:rPr>
        <w:t>5、与存在关联关系的财务公司的往来情况</w:t>
      </w:r>
      <w:bookmarkEnd w:id="6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公司与存在关联关系的财务公司与关联方之间不存在存款、贷款、授信或其他金融业务。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4" w:name="_Toc988953"/>
      <w:r>
        <w:rPr>
          <w:rFonts w:ascii="宋体" w:hAnsi="宋体" w:eastAsia="宋体" w:cs="宋体"/>
          <w:b/>
          <w:bCs/>
          <w:sz w:val="21"/>
          <w:szCs w:val="21"/>
        </w:rPr>
        <w:t>6、公司控股的财务公司与关联方的往来情况</w:t>
      </w:r>
      <w:bookmarkEnd w:id="6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公司控股的财务公司与关联方之间不存在存款、贷款、授信或其他金融业务。</w:t>
      </w:r>
    </w:p>
    <w:p>
      <w:pPr>
        <w:keepNext/>
        <w:keepLines/>
        <w:spacing w:before="300" w:after="300" w:line="280" w:lineRule="exact"/>
        <w:jc w:val="left"/>
        <w:outlineLvl w:val="2"/>
        <w:rPr>
          <w:rFonts w:ascii="宋体" w:hAnsi="宋体" w:eastAsia="宋体" w:cs="宋体"/>
          <w:b/>
          <w:bCs/>
          <w:sz w:val="21"/>
          <w:szCs w:val="21"/>
        </w:rPr>
      </w:pPr>
      <w:bookmarkStart w:id="65" w:name="_Toc988954"/>
      <w:r>
        <w:rPr>
          <w:rFonts w:ascii="宋体" w:hAnsi="宋体" w:eastAsia="宋体" w:cs="宋体"/>
          <w:b/>
          <w:bCs/>
          <w:sz w:val="21"/>
          <w:szCs w:val="21"/>
        </w:rPr>
        <w:t>7、其他重大关联交易</w:t>
      </w:r>
      <w:bookmarkEnd w:id="6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widowControl/>
        <w:suppressLineNumbers w:val="0"/>
        <w:spacing w:before="100" w:beforeAutospacing="0" w:after="100" w:afterAutospacing="0" w:line="560" w:lineRule="atLeast"/>
        <w:ind w:left="0" w:right="0" w:firstLine="419"/>
        <w:jc w:val="left"/>
        <w:rPr>
          <w:rFonts w:hint="default" w:ascii="Times New Roman" w:hAnsi="Times New Roman" w:cs="Times New Roman"/>
          <w:sz w:val="24"/>
          <w:szCs w:val="24"/>
        </w:rPr>
      </w:pPr>
      <w:r>
        <w:rPr>
          <w:rFonts w:hint="eastAsia" w:ascii="宋体" w:hAnsi="宋体" w:eastAsia="宋体" w:cs="宋体"/>
          <w:sz w:val="18"/>
          <w:szCs w:val="18"/>
        </w:rPr>
        <w:t>公司控股子公司海南伟隆为进一步提高公司资金使用效率和收益水平，降低公司的资金成本，在保证公司正常生产经营的资金需求及资金安全的前提下，将出资10,000万元认购益安地风5号私募证券投资基金。公司分别于2022年2月16日、2022年3月4日召开第四届董事会第十一次会议、第四届监事会第九次会议及2022年第二次临时股东大会审议并通过了《关于公司控股子公司购买私募基金暨关联交易的议案》，同意控股子公司海南伟隆出资10,000万元认购益安地风5号私募证券投资基金。</w:t>
      </w:r>
    </w:p>
    <w:p>
      <w:pPr>
        <w:pStyle w:val="3"/>
        <w:keepNext w:val="0"/>
        <w:keepLines w:val="0"/>
        <w:widowControl/>
        <w:suppressLineNumbers w:val="0"/>
        <w:spacing w:before="100" w:beforeAutospacing="0" w:after="100" w:afterAutospacing="0" w:line="560" w:lineRule="atLeast"/>
        <w:ind w:left="0" w:right="0" w:firstLine="419"/>
        <w:jc w:val="left"/>
        <w:rPr>
          <w:rFonts w:hint="default" w:ascii="Times New Roman" w:hAnsi="Times New Roman" w:cs="Times New Roman"/>
          <w:sz w:val="24"/>
          <w:szCs w:val="24"/>
        </w:rPr>
      </w:pPr>
      <w:r>
        <w:rPr>
          <w:rFonts w:hint="eastAsia" w:ascii="宋体" w:hAnsi="宋体" w:eastAsia="宋体" w:cs="宋体"/>
          <w:sz w:val="18"/>
          <w:szCs w:val="18"/>
        </w:rPr>
        <w:t>具体事项详见 2022 年2月17日、2022年3月5日刊载于《中国证券报》、《证券时报》、《证券日报》及巨潮资讯网（www.cninfo.com.cn）的《关于公司控股子公司购买私募基金暨关联交易的公告》（公告编号：2022-018）、《关于2022年第二次临时股东大会决议的公告》（公告编号：2022-23）。</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重大关联交易临时报告披露网站相关查询</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临时公告披露日期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临时公告披露网站名称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关于公司控股子公司购买私募基金暨关联交易的公告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2022年02月17日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关于控股子公司购买私募基金暨关联交易的进展公告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2022年03月09日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关于转让控股子公司股权暨关联交易的公</w:t>
            </w:r>
          </w:p>
          <w:p>
            <w:pPr>
              <w:spacing w:before="0" w:after="0" w:line="240" w:lineRule="exact"/>
              <w:jc w:val="left"/>
              <w:rPr>
                <w:rFonts w:ascii="宋体" w:hAnsi="宋体" w:eastAsia="宋体" w:cs="宋体"/>
                <w:sz w:val="18"/>
                <w:szCs w:val="18"/>
              </w:rPr>
            </w:pPr>
            <w:r>
              <w:rPr>
                <w:rFonts w:ascii="宋体" w:hAnsi="宋体" w:eastAsia="宋体" w:cs="宋体"/>
                <w:sz w:val="18"/>
                <w:szCs w:val="18"/>
              </w:rPr>
              <w:t>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2022年04月28日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关于转让控股子公司股权暨关联交易的进展公</w:t>
            </w:r>
          </w:p>
          <w:p>
            <w:pPr>
              <w:spacing w:before="0" w:after="0" w:line="240" w:lineRule="exact"/>
              <w:jc w:val="left"/>
              <w:rPr>
                <w:rFonts w:ascii="宋体" w:hAnsi="宋体" w:eastAsia="宋体" w:cs="宋体"/>
                <w:sz w:val="18"/>
                <w:szCs w:val="18"/>
              </w:rPr>
            </w:pPr>
            <w:r>
              <w:rPr>
                <w:rFonts w:ascii="宋体" w:hAnsi="宋体" w:eastAsia="宋体" w:cs="宋体"/>
                <w:sz w:val="18"/>
                <w:szCs w:val="18"/>
              </w:rPr>
              <w:t>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2022年05月14日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《中国证券报》、《证券时报》、《证券日报》及巨潮资讯网（www.cninfo.com.cn）</w:t>
            </w:r>
          </w:p>
        </w:tc>
      </w:tr>
    </w:tbl>
    <w:p>
      <w:pPr>
        <w:keepNext/>
        <w:keepLines/>
        <w:spacing w:before="300" w:after="300" w:line="320" w:lineRule="exact"/>
        <w:jc w:val="left"/>
        <w:outlineLvl w:val="1"/>
        <w:rPr>
          <w:rFonts w:ascii="宋体" w:hAnsi="宋体" w:eastAsia="宋体" w:cs="宋体"/>
          <w:b/>
          <w:bCs/>
          <w:sz w:val="24"/>
          <w:szCs w:val="24"/>
        </w:rPr>
      </w:pPr>
      <w:bookmarkStart w:id="66" w:name="_Toc988955"/>
      <w:r>
        <w:rPr>
          <w:rFonts w:ascii="宋体" w:hAnsi="宋体" w:eastAsia="宋体" w:cs="宋体"/>
          <w:b/>
          <w:bCs/>
          <w:sz w:val="24"/>
          <w:szCs w:val="24"/>
        </w:rPr>
        <w:t>十二、重大合同及其履行情况</w:t>
      </w:r>
      <w:bookmarkEnd w:id="66"/>
    </w:p>
    <w:p>
      <w:pPr>
        <w:keepNext/>
        <w:keepLines/>
        <w:spacing w:before="300" w:after="300" w:line="280" w:lineRule="exact"/>
        <w:jc w:val="left"/>
        <w:outlineLvl w:val="2"/>
        <w:rPr>
          <w:rFonts w:ascii="宋体" w:hAnsi="宋体" w:eastAsia="宋体" w:cs="宋体"/>
          <w:b/>
          <w:bCs/>
          <w:sz w:val="21"/>
          <w:szCs w:val="21"/>
        </w:rPr>
      </w:pPr>
      <w:bookmarkStart w:id="67" w:name="_Toc988956"/>
      <w:r>
        <w:rPr>
          <w:rFonts w:ascii="宋体" w:hAnsi="宋体" w:eastAsia="宋体" w:cs="宋体"/>
          <w:b/>
          <w:bCs/>
          <w:sz w:val="21"/>
          <w:szCs w:val="21"/>
        </w:rPr>
        <w:t>1、托管、承包、租赁事项情况</w:t>
      </w:r>
      <w:bookmarkEnd w:id="67"/>
    </w:p>
    <w:p>
      <w:pPr>
        <w:keepNext/>
        <w:keepLines/>
        <w:spacing w:before="300" w:after="300" w:line="280" w:lineRule="exact"/>
        <w:jc w:val="left"/>
        <w:outlineLvl w:val="3"/>
        <w:rPr>
          <w:rFonts w:ascii="宋体" w:hAnsi="宋体" w:eastAsia="宋体" w:cs="宋体"/>
          <w:b/>
          <w:bCs/>
          <w:sz w:val="18"/>
          <w:szCs w:val="18"/>
        </w:rPr>
      </w:pPr>
      <w:bookmarkStart w:id="68" w:name="_Toc988957"/>
      <w:r>
        <w:rPr>
          <w:rFonts w:ascii="宋体" w:hAnsi="宋体" w:eastAsia="宋体" w:cs="宋体"/>
          <w:b/>
          <w:bCs/>
          <w:sz w:val="18"/>
          <w:szCs w:val="18"/>
        </w:rPr>
        <w:t>（1） 托管情况</w:t>
      </w:r>
      <w:bookmarkEnd w:id="68"/>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公司报告期不存在托管情况。</w:t>
      </w:r>
    </w:p>
    <w:p>
      <w:pPr>
        <w:keepNext/>
        <w:keepLines/>
        <w:spacing w:before="300" w:after="300" w:line="280" w:lineRule="exact"/>
        <w:jc w:val="left"/>
        <w:outlineLvl w:val="3"/>
        <w:rPr>
          <w:rFonts w:ascii="宋体" w:hAnsi="宋体" w:eastAsia="宋体" w:cs="宋体"/>
          <w:b/>
          <w:bCs/>
          <w:sz w:val="18"/>
          <w:szCs w:val="18"/>
        </w:rPr>
      </w:pPr>
      <w:bookmarkStart w:id="69" w:name="_Toc988958"/>
      <w:r>
        <w:rPr>
          <w:rFonts w:ascii="宋体" w:hAnsi="宋体" w:eastAsia="宋体" w:cs="宋体"/>
          <w:b/>
          <w:bCs/>
          <w:sz w:val="18"/>
          <w:szCs w:val="18"/>
        </w:rPr>
        <w:t>（2） 承包情况</w:t>
      </w:r>
      <w:bookmarkEnd w:id="6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公司报告期不存在承包情况。</w:t>
      </w:r>
    </w:p>
    <w:p>
      <w:pPr>
        <w:keepNext/>
        <w:keepLines/>
        <w:spacing w:before="300" w:after="300" w:line="280" w:lineRule="exact"/>
        <w:jc w:val="left"/>
        <w:outlineLvl w:val="3"/>
        <w:rPr>
          <w:rFonts w:ascii="宋体" w:hAnsi="宋体" w:eastAsia="宋体" w:cs="宋体"/>
          <w:b/>
          <w:bCs/>
          <w:sz w:val="18"/>
          <w:szCs w:val="18"/>
        </w:rPr>
      </w:pPr>
      <w:bookmarkStart w:id="70" w:name="_Toc988959"/>
      <w:r>
        <w:rPr>
          <w:rFonts w:ascii="宋体" w:hAnsi="宋体" w:eastAsia="宋体" w:cs="宋体"/>
          <w:b/>
          <w:bCs/>
          <w:sz w:val="18"/>
          <w:szCs w:val="18"/>
        </w:rPr>
        <w:t>（3） 租赁情况</w:t>
      </w:r>
      <w:bookmarkEnd w:id="70"/>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租赁情况说明</w:t>
      </w:r>
    </w:p>
    <w:p>
      <w:pPr>
        <w:pStyle w:val="3"/>
        <w:keepNext w:val="0"/>
        <w:keepLines w:val="0"/>
        <w:widowControl/>
        <w:suppressLineNumbers w:val="0"/>
        <w:spacing w:before="40" w:beforeAutospacing="0" w:after="40" w:afterAutospacing="0"/>
        <w:jc w:val="left"/>
        <w:rPr>
          <w:rFonts w:hint="eastAsia" w:ascii="宋体" w:hAnsi="宋体" w:eastAsia="宋体" w:cs="宋体"/>
          <w:sz w:val="18"/>
          <w:szCs w:val="18"/>
        </w:rPr>
      </w:pPr>
      <w:r>
        <w:rPr>
          <w:rFonts w:hint="default" w:ascii="Times New Roman" w:hAnsi="Times New Roman" w:eastAsia="宋体" w:cs="Times New Roman"/>
          <w:sz w:val="18"/>
          <w:szCs w:val="18"/>
        </w:rPr>
        <w:t>2014</w:t>
      </w:r>
      <w:r>
        <w:rPr>
          <w:rFonts w:hint="eastAsia" w:ascii="宋体" w:hAnsi="宋体" w:eastAsia="宋体" w:cs="宋体"/>
          <w:sz w:val="18"/>
          <w:szCs w:val="18"/>
        </w:rPr>
        <w:t>年</w:t>
      </w:r>
      <w:r>
        <w:rPr>
          <w:rFonts w:hint="default" w:ascii="Times New Roman" w:hAnsi="Times New Roman" w:eastAsia="宋体" w:cs="Times New Roman"/>
          <w:sz w:val="18"/>
          <w:szCs w:val="18"/>
        </w:rPr>
        <w:t xml:space="preserve">10 </w:t>
      </w:r>
      <w:r>
        <w:rPr>
          <w:rFonts w:hint="eastAsia" w:ascii="宋体" w:hAnsi="宋体" w:eastAsia="宋体" w:cs="宋体"/>
          <w:sz w:val="18"/>
          <w:szCs w:val="18"/>
        </w:rPr>
        <w:t>月公司全资子公司伟隆五金将其土地房屋租赁给青岛利和萃取科技有限公司。</w:t>
      </w:r>
      <w:r>
        <w:rPr>
          <w:rFonts w:hint="default" w:ascii="Times New Roman" w:hAnsi="Times New Roman" w:eastAsia="宋体" w:cs="Times New Roman"/>
          <w:sz w:val="18"/>
          <w:szCs w:val="18"/>
        </w:rPr>
        <w:t>2019</w:t>
      </w:r>
      <w:r>
        <w:rPr>
          <w:rFonts w:hint="eastAsia" w:ascii="宋体" w:hAnsi="宋体" w:eastAsia="宋体" w:cs="宋体"/>
          <w:sz w:val="18"/>
          <w:szCs w:val="18"/>
        </w:rPr>
        <w:t>年，公司全资子公司莱州伟隆将其位于莱州市沙河镇海郑村东房屋分别租赁给莱州市沙河镇庆霖阀门厂、莱州市沙河镇邹鑫机械加工厂、莱州市沙河镇金璇机械加工厂及莱州市沙河镇海磊德机械厂等用于生产经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为公司带来的损益达到公司报告期利润总额10%以上的项目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公司报告期不存在为公司带来的损益达到公司报告期利润总额10%以上的租赁项目。</w:t>
      </w:r>
    </w:p>
    <w:p>
      <w:pPr>
        <w:keepNext/>
        <w:keepLines/>
        <w:spacing w:before="300" w:after="300" w:line="280" w:lineRule="exact"/>
        <w:jc w:val="left"/>
        <w:outlineLvl w:val="2"/>
        <w:rPr>
          <w:rFonts w:ascii="宋体" w:hAnsi="宋体" w:eastAsia="宋体" w:cs="宋体"/>
          <w:b/>
          <w:bCs/>
          <w:sz w:val="21"/>
          <w:szCs w:val="21"/>
        </w:rPr>
      </w:pPr>
      <w:bookmarkStart w:id="71" w:name="_Toc988960"/>
      <w:r>
        <w:rPr>
          <w:rFonts w:ascii="宋体" w:hAnsi="宋体" w:eastAsia="宋体" w:cs="宋体"/>
          <w:b/>
          <w:bCs/>
          <w:sz w:val="21"/>
          <w:szCs w:val="21"/>
        </w:rPr>
        <w:t>2、重大担保</w:t>
      </w:r>
      <w:bookmarkEnd w:id="71"/>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公司报告期不存在重大担保情况。</w:t>
      </w:r>
    </w:p>
    <w:p>
      <w:pPr>
        <w:keepNext/>
        <w:keepLines/>
        <w:spacing w:before="300" w:after="300" w:line="280" w:lineRule="exact"/>
        <w:jc w:val="left"/>
        <w:outlineLvl w:val="2"/>
        <w:rPr>
          <w:rFonts w:ascii="宋体" w:hAnsi="宋体" w:eastAsia="宋体" w:cs="宋体"/>
          <w:b/>
          <w:bCs/>
          <w:sz w:val="21"/>
          <w:szCs w:val="21"/>
          <w:highlight w:val="none"/>
        </w:rPr>
      </w:pPr>
      <w:bookmarkStart w:id="72" w:name="_Toc988961"/>
      <w:r>
        <w:rPr>
          <w:rFonts w:ascii="宋体" w:hAnsi="宋体" w:eastAsia="宋体" w:cs="宋体"/>
          <w:b/>
          <w:bCs/>
          <w:sz w:val="21"/>
          <w:szCs w:val="21"/>
          <w:highlight w:val="none"/>
        </w:rPr>
        <w:t>3、委托理财</w:t>
      </w:r>
      <w:bookmarkEnd w:id="72"/>
      <w:bookmarkStart w:id="495" w:name="_GoBack"/>
      <w:bookmarkEnd w:id="495"/>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单位：万元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具体类型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委托理财的资金来源</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委托理财发生额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未到期余额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逾期未收回的金额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逾期未收回理财已计提减值金额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银行理财产品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19</w:t>
            </w:r>
            <w:r>
              <w:rPr>
                <w:rFonts w:hint="eastAsia" w:ascii="宋体" w:hAnsi="宋体" w:eastAsia="宋体" w:cs="宋体"/>
                <w:b/>
                <w:bCs/>
                <w:sz w:val="18"/>
                <w:szCs w:val="18"/>
                <w:lang w:val="en-US" w:eastAsia="zh-CN"/>
              </w:rPr>
              <w:t>,</w:t>
            </w:r>
            <w:r>
              <w:rPr>
                <w:rFonts w:ascii="宋体" w:hAnsi="宋体" w:eastAsia="宋体" w:cs="宋体"/>
                <w:b/>
                <w:bCs/>
                <w:sz w:val="18"/>
                <w:szCs w:val="18"/>
              </w:rPr>
              <w:t>880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15</w:t>
            </w:r>
            <w:r>
              <w:rPr>
                <w:rFonts w:hint="eastAsia" w:ascii="宋体" w:hAnsi="宋体" w:eastAsia="宋体" w:cs="宋体"/>
                <w:b/>
                <w:bCs/>
                <w:sz w:val="18"/>
                <w:szCs w:val="18"/>
                <w:lang w:val="en-US" w:eastAsia="zh-CN"/>
              </w:rPr>
              <w:t>,</w:t>
            </w:r>
            <w:r>
              <w:rPr>
                <w:rFonts w:ascii="宋体" w:hAnsi="宋体" w:eastAsia="宋体" w:cs="宋体"/>
                <w:b/>
                <w:bCs/>
                <w:sz w:val="18"/>
                <w:szCs w:val="18"/>
              </w:rPr>
              <w:t>880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信托理财产品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6</w:t>
            </w:r>
            <w:r>
              <w:rPr>
                <w:rFonts w:hint="eastAsia" w:ascii="宋体" w:hAnsi="宋体" w:eastAsia="宋体" w:cs="宋体"/>
                <w:b/>
                <w:bCs/>
                <w:sz w:val="18"/>
                <w:szCs w:val="18"/>
                <w:lang w:val="en-US" w:eastAsia="zh-CN"/>
              </w:rPr>
              <w:t>,</w:t>
            </w:r>
            <w:r>
              <w:rPr>
                <w:rFonts w:ascii="宋体" w:hAnsi="宋体" w:eastAsia="宋体" w:cs="宋体"/>
                <w:b/>
                <w:bCs/>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3</w:t>
            </w:r>
            <w:r>
              <w:rPr>
                <w:rFonts w:hint="eastAsia" w:ascii="宋体" w:hAnsi="宋体" w:eastAsia="宋体" w:cs="宋体"/>
                <w:b/>
                <w:bCs/>
                <w:sz w:val="18"/>
                <w:szCs w:val="18"/>
                <w:lang w:val="en-US" w:eastAsia="zh-CN"/>
              </w:rPr>
              <w:t>,</w:t>
            </w:r>
            <w:r>
              <w:rPr>
                <w:rFonts w:ascii="宋体" w:hAnsi="宋体" w:eastAsia="宋体" w:cs="宋体"/>
                <w:b/>
                <w:bCs/>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其他类</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自有资金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10</w:t>
            </w:r>
            <w:r>
              <w:rPr>
                <w:rFonts w:hint="eastAsia" w:ascii="宋体" w:hAnsi="宋体" w:eastAsia="宋体" w:cs="宋体"/>
                <w:b/>
                <w:bCs/>
                <w:sz w:val="18"/>
                <w:szCs w:val="18"/>
                <w:lang w:val="en-US" w:eastAsia="zh-CN"/>
              </w:rPr>
              <w:t>,</w:t>
            </w:r>
            <w:r>
              <w:rPr>
                <w:rFonts w:ascii="宋体" w:hAnsi="宋体" w:eastAsia="宋体" w:cs="宋体"/>
                <w:b/>
                <w:bCs/>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10</w:t>
            </w:r>
            <w:r>
              <w:rPr>
                <w:rFonts w:hint="eastAsia" w:ascii="宋体" w:hAnsi="宋体" w:eastAsia="宋体" w:cs="宋体"/>
                <w:b/>
                <w:bCs/>
                <w:sz w:val="18"/>
                <w:szCs w:val="18"/>
                <w:lang w:val="en-US" w:eastAsia="zh-CN"/>
              </w:rPr>
              <w:t>,</w:t>
            </w:r>
            <w:r>
              <w:rPr>
                <w:rFonts w:ascii="宋体" w:hAnsi="宋体" w:eastAsia="宋体" w:cs="宋体"/>
                <w:b/>
                <w:bCs/>
                <w:sz w:val="18"/>
                <w:szCs w:val="18"/>
              </w:rPr>
              <w:t>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35</w:t>
            </w:r>
            <w:r>
              <w:rPr>
                <w:rFonts w:hint="eastAsia" w:ascii="宋体" w:hAnsi="宋体" w:eastAsia="宋体" w:cs="宋体"/>
                <w:b/>
                <w:bCs/>
                <w:sz w:val="18"/>
                <w:szCs w:val="18"/>
                <w:lang w:val="en-US" w:eastAsia="zh-CN"/>
              </w:rPr>
              <w:t>,</w:t>
            </w:r>
            <w:r>
              <w:rPr>
                <w:rFonts w:ascii="宋体" w:hAnsi="宋体" w:eastAsia="宋体" w:cs="宋体"/>
                <w:b/>
                <w:bCs/>
                <w:sz w:val="18"/>
                <w:szCs w:val="18"/>
              </w:rPr>
              <w:t>880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b/>
                <w:bCs/>
                <w:sz w:val="18"/>
                <w:szCs w:val="18"/>
              </w:rPr>
            </w:pPr>
            <w:r>
              <w:rPr>
                <w:rFonts w:ascii="宋体" w:hAnsi="宋体" w:eastAsia="宋体" w:cs="宋体"/>
                <w:b/>
                <w:bCs/>
                <w:sz w:val="18"/>
                <w:szCs w:val="18"/>
              </w:rPr>
              <w:t>28</w:t>
            </w:r>
            <w:r>
              <w:rPr>
                <w:rFonts w:hint="eastAsia" w:ascii="宋体" w:hAnsi="宋体" w:eastAsia="宋体" w:cs="宋体"/>
                <w:b/>
                <w:bCs/>
                <w:sz w:val="18"/>
                <w:szCs w:val="18"/>
                <w:lang w:val="en-US" w:eastAsia="zh-CN"/>
              </w:rPr>
              <w:t>,</w:t>
            </w:r>
            <w:r>
              <w:rPr>
                <w:rFonts w:ascii="宋体" w:hAnsi="宋体" w:eastAsia="宋体" w:cs="宋体"/>
                <w:b/>
                <w:bCs/>
                <w:sz w:val="18"/>
                <w:szCs w:val="18"/>
              </w:rPr>
              <w:t>880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单项金额重大或安全性较低、流动性较差、不保本的高风险委托理财具体情况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委托理财出现预期无法收回本金或存在其他可能导致减值的情形</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3" w:name="_Toc988962"/>
      <w:r>
        <w:rPr>
          <w:rFonts w:ascii="宋体" w:hAnsi="宋体" w:eastAsia="宋体" w:cs="宋体"/>
          <w:b/>
          <w:bCs/>
          <w:sz w:val="21"/>
          <w:szCs w:val="21"/>
        </w:rPr>
        <w:t>4、其他重大合同</w:t>
      </w:r>
      <w:bookmarkEnd w:id="73"/>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公司报告期不存在其他重大合同。</w:t>
      </w:r>
    </w:p>
    <w:p>
      <w:pPr>
        <w:keepNext/>
        <w:keepLines/>
        <w:spacing w:before="300" w:after="300" w:line="320" w:lineRule="exact"/>
        <w:jc w:val="left"/>
        <w:outlineLvl w:val="1"/>
        <w:rPr>
          <w:rFonts w:ascii="宋体" w:hAnsi="宋体" w:eastAsia="宋体" w:cs="宋体"/>
          <w:b/>
          <w:bCs/>
          <w:sz w:val="24"/>
          <w:szCs w:val="24"/>
        </w:rPr>
      </w:pPr>
      <w:bookmarkStart w:id="74" w:name="_Toc988963"/>
      <w:r>
        <w:rPr>
          <w:rFonts w:ascii="宋体" w:hAnsi="宋体" w:eastAsia="宋体" w:cs="宋体"/>
          <w:b/>
          <w:bCs/>
          <w:sz w:val="24"/>
          <w:szCs w:val="24"/>
        </w:rPr>
        <w:t>十三、其他重大事项的说明</w:t>
      </w:r>
      <w:bookmarkEnd w:id="74"/>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公司报告期不存在需要说明的其他重大事项。</w:t>
      </w:r>
    </w:p>
    <w:p>
      <w:pPr>
        <w:keepNext/>
        <w:keepLines/>
        <w:spacing w:before="300" w:after="300" w:line="320" w:lineRule="exact"/>
        <w:jc w:val="left"/>
        <w:outlineLvl w:val="1"/>
        <w:rPr>
          <w:rFonts w:ascii="宋体" w:hAnsi="宋体" w:eastAsia="宋体" w:cs="宋体"/>
          <w:b/>
          <w:bCs/>
          <w:sz w:val="24"/>
          <w:szCs w:val="24"/>
        </w:rPr>
      </w:pPr>
      <w:bookmarkStart w:id="75" w:name="_Toc988964"/>
      <w:r>
        <w:rPr>
          <w:rFonts w:ascii="宋体" w:hAnsi="宋体" w:eastAsia="宋体" w:cs="宋体"/>
          <w:b/>
          <w:bCs/>
          <w:sz w:val="24"/>
          <w:szCs w:val="24"/>
        </w:rPr>
        <w:t>十四、公司子公司重大事项</w:t>
      </w:r>
      <w:bookmarkEnd w:id="75"/>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76" w:name="_Toc988965"/>
      <w:r>
        <w:rPr>
          <w:rFonts w:ascii="宋体" w:hAnsi="宋体" w:eastAsia="宋体" w:cs="宋体"/>
          <w:b/>
          <w:bCs/>
          <w:sz w:val="32"/>
          <w:szCs w:val="32"/>
        </w:rPr>
        <w:t>第七节 股份变动及股东情况</w:t>
      </w:r>
      <w:bookmarkEnd w:id="76"/>
    </w:p>
    <w:p>
      <w:pPr>
        <w:keepNext/>
        <w:keepLines/>
        <w:spacing w:before="300" w:after="300" w:line="320" w:lineRule="exact"/>
        <w:jc w:val="left"/>
        <w:outlineLvl w:val="1"/>
        <w:rPr>
          <w:rFonts w:ascii="宋体" w:hAnsi="宋体" w:eastAsia="宋体" w:cs="宋体"/>
          <w:b/>
          <w:bCs/>
          <w:sz w:val="24"/>
          <w:szCs w:val="24"/>
        </w:rPr>
      </w:pPr>
      <w:bookmarkStart w:id="77" w:name="_Toc988966"/>
      <w:r>
        <w:rPr>
          <w:rFonts w:ascii="宋体" w:hAnsi="宋体" w:eastAsia="宋体" w:cs="宋体"/>
          <w:b/>
          <w:bCs/>
          <w:sz w:val="24"/>
          <w:szCs w:val="24"/>
        </w:rPr>
        <w:t>一、股份变动情况</w:t>
      </w:r>
      <w:bookmarkEnd w:id="77"/>
    </w:p>
    <w:p>
      <w:pPr>
        <w:keepNext/>
        <w:keepLines/>
        <w:spacing w:before="300" w:after="300" w:line="280" w:lineRule="exact"/>
        <w:jc w:val="left"/>
        <w:outlineLvl w:val="2"/>
        <w:rPr>
          <w:rFonts w:ascii="宋体" w:hAnsi="宋体" w:eastAsia="宋体" w:cs="宋体"/>
          <w:b/>
          <w:bCs/>
          <w:sz w:val="21"/>
          <w:szCs w:val="21"/>
        </w:rPr>
      </w:pPr>
      <w:bookmarkStart w:id="78" w:name="_Toc988967"/>
      <w:r>
        <w:rPr>
          <w:rFonts w:ascii="宋体" w:hAnsi="宋体" w:eastAsia="宋体" w:cs="宋体"/>
          <w:b/>
          <w:bCs/>
          <w:sz w:val="21"/>
          <w:szCs w:val="21"/>
        </w:rPr>
        <w:t>1、股份变动情况</w:t>
      </w:r>
      <w:bookmarkEnd w:id="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单位：股
</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本次变动前</w:t>
            </w:r>
          </w:p>
        </w:tc>
        <w:tc>
          <w:tcPr>
            <w:tcW w:w="4820"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92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一、有限售条件股份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49.23%</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1、国家持股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2、国有法人持股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3、其他内资持股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其中：境内法人持股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境内自然人持股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83,297,057.00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-5,656,229.00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77,640,828.00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4、外资持股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其中：境外法人持股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境外自然人持股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二、无限售条件股份</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85,888,943.00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50.77%</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91,391,820.00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1、人民币普通股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85,888,943.00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5,502,877.00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91,391,820.00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2、境内上市的外资股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3、境外上市的外资股</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4、其他</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三、股份总数</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-153,352.00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widowControl/>
        <w:suppressLineNumbers w:val="0"/>
      </w:pPr>
      <w:r>
        <w:rPr>
          <w:rFonts w:hint="eastAsia" w:ascii="宋体" w:hAnsi="宋体" w:eastAsia="宋体" w:cs="宋体"/>
          <w:sz w:val="18"/>
          <w:szCs w:val="18"/>
        </w:rPr>
        <w:t xml:space="preserve">（1）中国结算深圳分公司以公司董监高在上年最后一个交易日登记在其名下的公司股份总数为基数，按25%计算本年度可转让法定额度，同时，对该人员所持的在本年度可转让股份额度内的无限售条件的流通股进行解锁。 </w:t>
      </w:r>
      <w:r>
        <w:rPr>
          <w:rFonts w:hint="eastAsia" w:ascii="宋体" w:hAnsi="宋体" w:eastAsia="宋体" w:cs="宋体"/>
          <w:sz w:val="18"/>
          <w:szCs w:val="18"/>
        </w:rPr>
        <w:br w:type="textWrapping"/>
      </w:r>
      <w:r>
        <w:rPr>
          <w:rFonts w:hint="eastAsia" w:ascii="宋体" w:hAnsi="宋体" w:eastAsia="宋体" w:cs="宋体"/>
          <w:sz w:val="18"/>
          <w:szCs w:val="18"/>
        </w:rPr>
        <w:t>（2）2022年1月6日，公司原激励对象3人因个人原因离职，其所持有的未解禁部分股票全部回购；同时，根据《激励计划》的相关规定，以2015年-2017年营业收入的平均值275,976,684.14元为基数，公司2020年营业收入为344,590,024.63元，增长率为24.86%，增长率高于20%，低于30%；或以2015年-2017年净利润的平均值51,008,755.21元为基数，公司2020年净利润为57,968,093.00元，增长率为13.64%，增长率高于10%，低于20%，本期限售股份解锁比例为80%，上述人员已不符合激励条件，根据2018年第三次临时股东大会的授权，公司应将其持有的已获授但尚未解除限售的限制性股票回购注销。</w:t>
      </w:r>
      <w:r>
        <w:rPr>
          <w:rFonts w:hint="eastAsia" w:ascii="宋体" w:hAnsi="宋体" w:eastAsia="宋体" w:cs="宋体"/>
          <w:sz w:val="18"/>
          <w:szCs w:val="18"/>
        </w:rPr>
        <w:br w:type="textWrapping"/>
      </w:r>
      <w:r>
        <w:rPr>
          <w:rFonts w:hint="eastAsia" w:ascii="宋体" w:hAnsi="宋体" w:eastAsia="宋体" w:cs="宋体"/>
          <w:sz w:val="18"/>
          <w:szCs w:val="18"/>
        </w:rPr>
        <w:t>回购注销将导致公司股份总数减少153,352股，公司总股本将由16,918.6万股变更为16,903.2648万股。</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股份变动的批准情况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pStyle w:val="3"/>
        <w:keepNext w:val="0"/>
        <w:keepLines w:val="0"/>
        <w:widowControl/>
        <w:suppressLineNumbers w:val="0"/>
      </w:pPr>
      <w:r>
        <w:rPr>
          <w:rFonts w:hint="eastAsia" w:ascii="宋体" w:hAnsi="宋体" w:eastAsia="宋体" w:cs="宋体"/>
          <w:sz w:val="18"/>
          <w:szCs w:val="18"/>
        </w:rPr>
        <w:t>1、2018年8月23日，公司分别召开了第三届董事会第五次会议和第三届监事会第四次会议，审议通过了《关于〈公司2018年限制性股票激励计划（草案） 及其摘要〉的议案》、《关于〈公司2018 年限制性股票激励计划实施考核管理办法〉的议案》以及《关于提请股东大会授权董事会办理公司2018年限制性股票激励计划有关事项的议案》。公司独立董事对此发表了独立意见。</w:t>
      </w:r>
      <w:r>
        <w:rPr>
          <w:rFonts w:hint="eastAsia" w:ascii="宋体" w:hAnsi="宋体" w:eastAsia="宋体" w:cs="宋体"/>
          <w:sz w:val="18"/>
          <w:szCs w:val="18"/>
        </w:rPr>
        <w:br w:type="textWrapping"/>
      </w:r>
      <w:r>
        <w:rPr>
          <w:rFonts w:hint="eastAsia" w:ascii="宋体" w:hAnsi="宋体" w:eastAsia="宋体" w:cs="宋体"/>
          <w:sz w:val="18"/>
          <w:szCs w:val="18"/>
        </w:rPr>
        <w:t>2、2018年8月24日至 2018年9月3日，公司对2018年限制性股票激励计划授予激励对象名单进行了内部公示。公示期内，公司监事会未收到与激励计划拟激励对象有关的任何异议；公示期满，监事会对2018年限制性股票激励计划授予部分激励对象名单进行了核查并对公示情况进行了说明，于2018年9月7日公告了《监事会关于2018年限制性股票激励计划授予部分激励对象名单的审核及公示情况说明》。</w:t>
      </w:r>
      <w:r>
        <w:rPr>
          <w:rFonts w:hint="eastAsia" w:ascii="宋体" w:hAnsi="宋体" w:eastAsia="宋体" w:cs="宋体"/>
          <w:sz w:val="18"/>
          <w:szCs w:val="18"/>
        </w:rPr>
        <w:br w:type="textWrapping"/>
      </w:r>
      <w:r>
        <w:rPr>
          <w:rFonts w:hint="eastAsia" w:ascii="宋体" w:hAnsi="宋体" w:eastAsia="宋体" w:cs="宋体"/>
          <w:sz w:val="18"/>
          <w:szCs w:val="18"/>
        </w:rPr>
        <w:t>3、2018年9月11日，公司召开 2018年第三次临时股东大会，审议通过了《关于〈公司2018年限制性股票激励计划（草案）及其摘要〉的议案》、《关于〈公司2018年限制性股票激励计划实施考核管理办法〉的议案》以及《关于提请股东大会授权董事会办理公司2018年限制性股票激励计划有关事项的议案》。公司独立董事向全体股东公开征集了委托投票权。</w:t>
      </w:r>
      <w:r>
        <w:rPr>
          <w:rFonts w:hint="eastAsia" w:ascii="宋体" w:hAnsi="宋体" w:eastAsia="宋体" w:cs="宋体"/>
          <w:sz w:val="18"/>
          <w:szCs w:val="18"/>
        </w:rPr>
        <w:br w:type="textWrapping"/>
      </w:r>
      <w:r>
        <w:rPr>
          <w:rFonts w:hint="eastAsia" w:ascii="宋体" w:hAnsi="宋体" w:eastAsia="宋体" w:cs="宋体"/>
          <w:sz w:val="18"/>
          <w:szCs w:val="18"/>
        </w:rPr>
        <w:t>4、2018年11月20日，公司召开第三届董事会第七次会议审议通过了《关于向2018年限制性股票激励计划激励对象授予限制性股票的议案》，董事会认为激励计划规定的授予条件已经成就，同意以2018年11月20日为授予日，向符合条件的39名激励对象授予114.2万股限制性股票。公司独立董事对此发表了独立意见。</w:t>
      </w:r>
      <w:r>
        <w:rPr>
          <w:rFonts w:hint="eastAsia" w:ascii="宋体" w:hAnsi="宋体" w:eastAsia="宋体" w:cs="宋体"/>
          <w:sz w:val="18"/>
          <w:szCs w:val="18"/>
        </w:rPr>
        <w:br w:type="textWrapping"/>
      </w:r>
      <w:r>
        <w:rPr>
          <w:rFonts w:hint="eastAsia" w:ascii="宋体" w:hAnsi="宋体" w:eastAsia="宋体" w:cs="宋体"/>
          <w:sz w:val="18"/>
          <w:szCs w:val="18"/>
        </w:rPr>
        <w:t>5、2018年11月20日，公司召开第三届监事会第六次会议审议通过了《关于向2018年限制性股票激励计划激励对象授予限制性股票的议案》，并出具《青岛伟隆阀门股份有限公司监事会关于2018年限制性股票激励计划激励对象名单（授予日）的审核意见》，监事会认为激励计划规定的授予条件已经成就，同意以2018年11月20日为授予日，向符合条件的39名激励对象授予114.2万股限制性股票，授予价格为9.03元/股。</w:t>
      </w:r>
      <w:r>
        <w:rPr>
          <w:rFonts w:hint="eastAsia" w:ascii="宋体" w:hAnsi="宋体" w:eastAsia="宋体" w:cs="宋体"/>
          <w:sz w:val="18"/>
          <w:szCs w:val="18"/>
        </w:rPr>
        <w:br w:type="textWrapping"/>
      </w:r>
      <w:r>
        <w:rPr>
          <w:rFonts w:hint="eastAsia" w:ascii="宋体" w:hAnsi="宋体" w:eastAsia="宋体" w:cs="宋体"/>
          <w:sz w:val="18"/>
          <w:szCs w:val="18"/>
        </w:rPr>
        <w:t>6、2018年12月5日，公司发布了《关于 2018 年限制性股票激励计划授予登记完成的公告》，本激励计划实际向39名激励对象授予限制性股票共计114.20万股。授予限制性股票的上市日期为2018年12月6日。</w:t>
      </w:r>
      <w:r>
        <w:rPr>
          <w:rFonts w:hint="eastAsia" w:ascii="宋体" w:hAnsi="宋体" w:eastAsia="宋体" w:cs="宋体"/>
          <w:sz w:val="18"/>
          <w:szCs w:val="18"/>
        </w:rPr>
        <w:br w:type="textWrapping"/>
      </w:r>
      <w:r>
        <w:rPr>
          <w:rFonts w:hint="eastAsia" w:ascii="宋体" w:hAnsi="宋体" w:eastAsia="宋体" w:cs="宋体"/>
          <w:sz w:val="18"/>
          <w:szCs w:val="18"/>
        </w:rPr>
        <w:t xml:space="preserve">7、2019年11月27日，公司第三届董事会第十二次会议通过了《关于2018年限制性股票激励计划第一个解锁期解锁条件成就的议案》、《关于调整限制性股票回购价格的议案》、《关于回购注销部分限制性股票的议案》等议案。经董事会审议，认为公司本次股权激励计划第一个解除限售期解除限售条件已成就，同意为激励对象统一办理符合解除限售条件的限制性股票的解除限售事宜。同时，董事会同意将已不符合激励条件的激励对象已获授但尚未解除限售的限制性股票20,000股进行回购注销。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8、2019年11月27日，公司第三届监事会第十一次会议通过了《关于2018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已获授但尚未解除限售的限制性股票符合《上市公司股权激励管理办法》等法律、法规和规范性文件及《激励计划》的规定，同意第一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 xml:space="preserve">9、2020年11月25日，公司第三届董事会第二十次会议通过了《关于2018年限制性股票激励计划第二个解锁期解锁条件成就的议案》、《关于调整限制性股票回购价格的议案》、《关于回购注销部分限制性股票的议案》等议案。经董事会审议，认为公司本次股权激励计划第二个解除限售期解除限售条件已成就，同意为激励对象统一办理符合解除限售条件的限制性股票的解除限售事宜。同时，董事会同意将已不符合激励条件的激励对象已获授但尚未解除限售的限制性股票42,000股进行回购注销。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10、2020年11月25日，公司第三届监事会第十五次会议通过了《关于2018年限制性股票激励计划第二个解锁期解锁条件成就的议案》、《关于调整限制性股票回购价格的议案》、《关于回购注销部分限制性股票的议案》等议案，认为本次股权激励计划第二次解除限售和回购注销已不符合激励条件的激励对象已获授但尚未解除限售的限制性股票符合《上市公司股权激励管理办法》等法律、法规和规范性文件及《激励计划》的规定，同意第二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 xml:space="preserve">11、2020年11月27日，公司第三届董事会第二十一次临时会议通过了《关于修订2018年限制性股票激励计划公司层面业绩考核指标的议案》等议案。经董事会审议，同意修订2018年限制性股票激励计划公司层面业绩考核指标。公司独立董事对此分别发表了同意的独立意见。 </w:t>
      </w:r>
      <w:r>
        <w:rPr>
          <w:rFonts w:hint="eastAsia" w:ascii="宋体" w:hAnsi="宋体" w:eastAsia="宋体" w:cs="宋体"/>
          <w:sz w:val="18"/>
          <w:szCs w:val="18"/>
        </w:rPr>
        <w:br w:type="textWrapping"/>
      </w:r>
      <w:r>
        <w:rPr>
          <w:rFonts w:hint="eastAsia" w:ascii="宋体" w:hAnsi="宋体" w:eastAsia="宋体" w:cs="宋体"/>
          <w:sz w:val="18"/>
          <w:szCs w:val="18"/>
        </w:rPr>
        <w:t>12、2020年11月27日，公司第三届监事会第十六次临时会议通过了《关于修订2018年限制性股票激励计划公司层面业绩考核指标的议案》的议案，认为鉴于2020年初全球经济受新冠疫情的影响，公司结合实际经营情况，董事会会议审议修订2018年限制性股票激励计划公司层面业绩考核指标相关议案的程序和决策合法、有效；修订后的业绩考核指标符合《公司法》、《证券法》、《上市公司股权激励管理办法》等有关法律、法规及规范性文件的规定，履行了相关的法定程序，有利于公司的持续发展，不存在损害公司及全体股东利益的情形。</w:t>
      </w:r>
      <w:r>
        <w:rPr>
          <w:rFonts w:hint="eastAsia" w:ascii="宋体" w:hAnsi="宋体" w:eastAsia="宋体" w:cs="宋体"/>
          <w:sz w:val="18"/>
          <w:szCs w:val="18"/>
        </w:rPr>
        <w:br w:type="textWrapping"/>
      </w:r>
      <w:r>
        <w:rPr>
          <w:rFonts w:hint="eastAsia" w:ascii="宋体" w:hAnsi="宋体" w:eastAsia="宋体" w:cs="宋体"/>
          <w:sz w:val="18"/>
          <w:szCs w:val="18"/>
        </w:rPr>
        <w:t>13、2021年11月24日，公司第四届董事会第七次会议通过了《关于2018年限制性股票激励计划第三个解锁期解锁条件成就的议案》、《关于调整限制性股票回购价格的议案》、《关于回购注销部分限制性股票的议案》等议案，认为本次股权激励计划第三次解除限售和回购注销已不符合激励条件的激励对象已获授但尚未解除限售的限制性股票符合《上市公司股权激励管理办法》等法律、法规和规范性文件及《激励计划》的规定，同意第三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14、2021年11月24日，公司第四届监事会第六次会议通过了《关于2018年限制性股票激励计划第三个解锁期解锁条件成就的议案》、《关于调整限制性股票回购价格的议案》、《关于回购注销部分限制性股票的议案》等议案，认为本次股权激励计划第三次解除限售和回购注销已不符合激励条件的激励对象已获授但尚未解除限售的限制性股票符合《上市公司股权激励管理办法》等法律、法规和规范性文件及《激励计划》的规定，同意第三次解除限售和回购注销已不符合激励条件的激励对象已获授但尚未解除限售的限制性股票事项。</w:t>
      </w:r>
      <w:r>
        <w:rPr>
          <w:rFonts w:hint="eastAsia" w:ascii="宋体" w:hAnsi="宋体" w:eastAsia="宋体" w:cs="宋体"/>
          <w:sz w:val="18"/>
          <w:szCs w:val="18"/>
        </w:rPr>
        <w:br w:type="textWrapping"/>
      </w:r>
      <w:r>
        <w:rPr>
          <w:rFonts w:hint="eastAsia" w:ascii="宋体" w:hAnsi="宋体" w:eastAsia="宋体" w:cs="宋体"/>
          <w:sz w:val="18"/>
          <w:szCs w:val="18"/>
        </w:rPr>
        <w:t>15、2021年12月10日，公司召开了2021年第三次临时股东大会，审议通过了《关于回购注销部分限制性股票的议案》。</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股份变动的过户情况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股份回购的实施进展情况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采用集中竞价方式减持回购股份的实施进展情况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股份变动对最近一年和最近一期基本每股收益和稀释每股收益、归属于公司普通股股东的每股净资产等财务指标的影响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公司认为必要或证券监管机构要求披露的其他内容</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79" w:name="_Toc988968"/>
      <w:r>
        <w:rPr>
          <w:rFonts w:ascii="宋体" w:hAnsi="宋体" w:eastAsia="宋体" w:cs="宋体"/>
          <w:b/>
          <w:bCs/>
          <w:sz w:val="21"/>
          <w:szCs w:val="21"/>
        </w:rPr>
        <w:t>2、限售股份变动情况</w:t>
      </w:r>
      <w:bookmarkEnd w:id="79"/>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0" w:name="_Toc988969"/>
      <w:r>
        <w:rPr>
          <w:rFonts w:ascii="宋体" w:hAnsi="宋体" w:eastAsia="宋体" w:cs="宋体"/>
          <w:b/>
          <w:bCs/>
          <w:sz w:val="24"/>
          <w:szCs w:val="24"/>
        </w:rPr>
        <w:t>二、证券发行与上市情况</w:t>
      </w:r>
      <w:bookmarkEnd w:id="80"/>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1" w:name="_Toc988970"/>
      <w:r>
        <w:rPr>
          <w:rFonts w:ascii="宋体" w:hAnsi="宋体" w:eastAsia="宋体" w:cs="宋体"/>
          <w:b/>
          <w:bCs/>
          <w:sz w:val="24"/>
          <w:szCs w:val="24"/>
        </w:rPr>
        <w:t>三、公司股东数量及持股情况</w:t>
      </w:r>
      <w:bookmarkEnd w:id="8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9,217</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报告期末表决权恢复的优先股股东总数（如有）（参见注8）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持股5%以上的普通股股东或前10名普通股股东持股情况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报告期内增减变动情况</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持有有限售条件的普通股数量</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持有无限售条件的普通股数量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55.73%</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-3,035,355.00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-240,172.00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4,214,455.00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103,500.00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德邦基金－益安地风2号私募证券投资基金－德邦基金北京益安一号单一资产管理计划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274,300.00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谢莉</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601,466.00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徐青威</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UBS   AG</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-549,247.00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战略投资者或一般法人因配售新股成为前10名普通股股东的情况（如有）（参见注3）</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上述股东涉及委托/受托表决权、放弃表决权情况的说明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前10名股东中存在回购专户的特别说明（如有）（参见注11）</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前10名无限售条件普通股股东持股情况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5355"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报告期末持有无限售条件普通股股份数量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355"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21,273,484.00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1,571,438.00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德邦基金－益安地风2号私募证券投资基金－德邦基金北京益安一号单一资产管理计划</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谢莉</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徐青威</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UBS   AG</w:t>
            </w:r>
          </w:p>
        </w:tc>
        <w:tc>
          <w:tcPr>
            <w:tcW w:w="5355" w:type="dxa"/>
            <w:gridSpan w:val="5"/>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前10名无限售条件普通股股东之间，以及前10名无限售条件普通股股东和前10名普通股股东之间关联关系或一致行动的说明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前10名普通股股东参与融资融券业务情况说明（如有）（参见注4）</w:t>
            </w:r>
          </w:p>
        </w:tc>
        <w:tc>
          <w:tcPr>
            <w:tcW w:w="7497" w:type="dxa"/>
            <w:gridSpan w:val="7"/>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公司前10名普通股股东、前10名无限售条件普通股股东在报告期内是否进行约定购回交易</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公司前10名普通股股东、前10名无限售条件普通股股东在报告期内未进行约定购回交易。</w:t>
      </w:r>
    </w:p>
    <w:p>
      <w:pPr>
        <w:keepNext/>
        <w:keepLines/>
        <w:spacing w:before="300" w:after="300" w:line="320" w:lineRule="exact"/>
        <w:jc w:val="left"/>
        <w:outlineLvl w:val="1"/>
        <w:rPr>
          <w:rFonts w:ascii="宋体" w:hAnsi="宋体" w:eastAsia="宋体" w:cs="宋体"/>
          <w:b/>
          <w:bCs/>
          <w:sz w:val="24"/>
          <w:szCs w:val="24"/>
        </w:rPr>
      </w:pPr>
      <w:bookmarkStart w:id="82" w:name="_Toc988971"/>
      <w:r>
        <w:rPr>
          <w:rFonts w:ascii="宋体" w:hAnsi="宋体" w:eastAsia="宋体" w:cs="宋体"/>
          <w:b/>
          <w:bCs/>
          <w:sz w:val="24"/>
          <w:szCs w:val="24"/>
        </w:rPr>
        <w:t>四、董事、监事和高级管理人员持股变动</w:t>
      </w:r>
      <w:bookmarkEnd w:id="82"/>
    </w:p>
    <w:p>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4"/>
        <w:gridCol w:w="964"/>
        <w:gridCol w:w="9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姓名</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职务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任职状态</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期末被授予的限制性股票数量（股）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董事长</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97,235,355.00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3,035,355.00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bl>
    <w:p>
      <w:pPr>
        <w:keepNext/>
        <w:keepLines/>
        <w:spacing w:before="300" w:after="300" w:line="320" w:lineRule="exact"/>
        <w:jc w:val="left"/>
        <w:outlineLvl w:val="1"/>
        <w:rPr>
          <w:rFonts w:ascii="宋体" w:hAnsi="宋体" w:eastAsia="宋体" w:cs="宋体"/>
          <w:b/>
          <w:bCs/>
          <w:sz w:val="24"/>
          <w:szCs w:val="24"/>
        </w:rPr>
      </w:pPr>
      <w:bookmarkStart w:id="83" w:name="_Toc988972"/>
      <w:r>
        <w:rPr>
          <w:rFonts w:ascii="宋体" w:hAnsi="宋体" w:eastAsia="宋体" w:cs="宋体"/>
          <w:b/>
          <w:bCs/>
          <w:sz w:val="24"/>
          <w:szCs w:val="24"/>
        </w:rPr>
        <w:t>五、控股股东或实际控制人变更情况</w:t>
      </w:r>
      <w:bookmarkEnd w:id="83"/>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r>
        <w:br w:type="page"/>
      </w:r>
    </w:p>
    <w:p>
      <w:pPr>
        <w:keepNext/>
        <w:keepLines/>
        <w:spacing w:before="340" w:after="330" w:line="773" w:lineRule="exact"/>
        <w:jc w:val="center"/>
        <w:outlineLvl w:val="0"/>
        <w:rPr>
          <w:rFonts w:ascii="宋体" w:hAnsi="宋体" w:eastAsia="宋体" w:cs="宋体"/>
          <w:b/>
          <w:bCs/>
          <w:sz w:val="32"/>
          <w:szCs w:val="32"/>
        </w:rPr>
      </w:pPr>
      <w:bookmarkStart w:id="84" w:name="_Toc988973"/>
      <w:r>
        <w:rPr>
          <w:rFonts w:ascii="宋体" w:hAnsi="宋体" w:eastAsia="宋体" w:cs="宋体"/>
          <w:b/>
          <w:bCs/>
          <w:sz w:val="32"/>
          <w:szCs w:val="32"/>
        </w:rPr>
        <w:t>第八节 优先股相关情况</w:t>
      </w:r>
      <w:bookmarkEnd w:id="8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0" w:after="0" w:line="240" w:lineRule="exact"/>
        <w:jc w:val="left"/>
        <w:rPr>
          <w:rFonts w:ascii="宋体" w:hAnsi="宋体" w:eastAsia="宋体" w:cs="宋体"/>
          <w:sz w:val="18"/>
          <w:szCs w:val="18"/>
        </w:rPr>
      </w:pPr>
      <w:r>
        <w:rPr>
          <w:rFonts w:ascii="宋体" w:hAnsi="宋体" w:eastAsia="宋体" w:cs="宋体"/>
          <w:sz w:val="18"/>
          <w:szCs w:val="18"/>
        </w:rPr>
        <w:t>报告期公司不存在优先股。</w:t>
      </w:r>
    </w:p>
    <w:p>
      <w:r>
        <w:br w:type="page"/>
      </w:r>
    </w:p>
    <w:p>
      <w:pPr>
        <w:keepNext/>
        <w:keepLines/>
        <w:spacing w:before="340" w:after="330" w:line="773" w:lineRule="exact"/>
        <w:jc w:val="center"/>
        <w:outlineLvl w:val="0"/>
        <w:rPr>
          <w:rFonts w:ascii="宋体" w:hAnsi="宋体" w:eastAsia="宋体" w:cs="宋体"/>
          <w:b/>
          <w:bCs/>
          <w:sz w:val="32"/>
          <w:szCs w:val="32"/>
        </w:rPr>
      </w:pPr>
      <w:bookmarkStart w:id="85" w:name="_Toc988974"/>
      <w:r>
        <w:rPr>
          <w:rFonts w:ascii="宋体" w:hAnsi="宋体" w:eastAsia="宋体" w:cs="宋体"/>
          <w:b/>
          <w:bCs/>
          <w:sz w:val="32"/>
          <w:szCs w:val="32"/>
        </w:rPr>
        <w:t>第九节 债券相关情况</w:t>
      </w:r>
      <w:bookmarkEnd w:id="85"/>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r>
        <w:br w:type="page"/>
      </w:r>
    </w:p>
    <w:p>
      <w:pPr>
        <w:keepNext/>
        <w:keepLines/>
        <w:spacing w:before="340" w:after="330" w:line="773" w:lineRule="exact"/>
        <w:jc w:val="center"/>
        <w:outlineLvl w:val="0"/>
        <w:rPr>
          <w:rFonts w:ascii="宋体" w:hAnsi="宋体" w:eastAsia="宋体" w:cs="宋体"/>
          <w:b/>
          <w:bCs/>
          <w:sz w:val="32"/>
          <w:szCs w:val="32"/>
        </w:rPr>
      </w:pPr>
      <w:bookmarkStart w:id="86" w:name="_Toc988975"/>
      <w:r>
        <w:rPr>
          <w:rFonts w:ascii="宋体" w:hAnsi="宋体" w:eastAsia="宋体" w:cs="宋体"/>
          <w:b/>
          <w:bCs/>
          <w:sz w:val="32"/>
          <w:szCs w:val="32"/>
        </w:rPr>
        <w:t>第十节 财务报告</w:t>
      </w:r>
      <w:bookmarkEnd w:id="86"/>
    </w:p>
    <w:p>
      <w:pPr>
        <w:keepNext/>
        <w:keepLines/>
        <w:spacing w:before="300" w:after="300" w:line="320" w:lineRule="exact"/>
        <w:jc w:val="left"/>
        <w:outlineLvl w:val="1"/>
        <w:rPr>
          <w:rFonts w:ascii="宋体" w:hAnsi="宋体" w:eastAsia="宋体" w:cs="宋体"/>
          <w:b/>
          <w:bCs/>
          <w:sz w:val="24"/>
          <w:szCs w:val="24"/>
        </w:rPr>
      </w:pPr>
      <w:bookmarkStart w:id="87" w:name="_Toc988976"/>
      <w:r>
        <w:rPr>
          <w:rFonts w:ascii="宋体" w:hAnsi="宋体" w:eastAsia="宋体" w:cs="宋体"/>
          <w:b/>
          <w:bCs/>
          <w:sz w:val="24"/>
          <w:szCs w:val="24"/>
        </w:rPr>
        <w:t>一、审计报告</w:t>
      </w:r>
      <w:bookmarkEnd w:id="87"/>
    </w:p>
    <w:p>
      <w:pPr>
        <w:spacing w:before="40" w:after="40" w:line="240" w:lineRule="exact"/>
        <w:jc w:val="left"/>
        <w:rPr>
          <w:rFonts w:ascii="宋体" w:hAnsi="宋体" w:eastAsia="宋体" w:cs="宋体"/>
          <w:sz w:val="18"/>
          <w:szCs w:val="18"/>
        </w:rPr>
      </w:pPr>
      <w:r>
        <w:rPr>
          <w:rFonts w:ascii="宋体" w:hAnsi="宋体" w:eastAsia="宋体" w:cs="宋体"/>
          <w:sz w:val="18"/>
          <w:szCs w:val="18"/>
        </w:rPr>
        <w:t>半年度报告是否经过审计</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公司半年度财务报告未经审计。</w:t>
      </w:r>
    </w:p>
    <w:p>
      <w:pPr>
        <w:keepNext/>
        <w:keepLines/>
        <w:spacing w:before="300" w:after="300" w:line="320" w:lineRule="exact"/>
        <w:jc w:val="left"/>
        <w:outlineLvl w:val="1"/>
        <w:rPr>
          <w:rFonts w:ascii="宋体" w:hAnsi="宋体" w:eastAsia="宋体" w:cs="宋体"/>
          <w:b/>
          <w:bCs/>
          <w:sz w:val="24"/>
          <w:szCs w:val="24"/>
        </w:rPr>
      </w:pPr>
      <w:bookmarkStart w:id="88" w:name="_Toc988977"/>
      <w:r>
        <w:rPr>
          <w:rFonts w:ascii="宋体" w:hAnsi="宋体" w:eastAsia="宋体" w:cs="宋体"/>
          <w:b/>
          <w:bCs/>
          <w:sz w:val="24"/>
          <w:szCs w:val="24"/>
        </w:rPr>
        <w:t>二、财务报表</w:t>
      </w:r>
      <w:bookmarkEnd w:id="88"/>
    </w:p>
    <w:p>
      <w:pPr>
        <w:spacing w:before="40" w:after="40" w:line="240" w:lineRule="exact"/>
        <w:jc w:val="left"/>
        <w:rPr>
          <w:rFonts w:ascii="宋体" w:hAnsi="宋体" w:eastAsia="宋体" w:cs="宋体"/>
          <w:sz w:val="18"/>
          <w:szCs w:val="18"/>
        </w:rPr>
      </w:pPr>
      <w:r>
        <w:rPr>
          <w:rFonts w:ascii="宋体" w:hAnsi="宋体" w:eastAsia="宋体" w:cs="宋体"/>
          <w:sz w:val="18"/>
          <w:szCs w:val="18"/>
        </w:rPr>
        <w:t>财务附注中报表的单位为：元</w:t>
      </w:r>
    </w:p>
    <w:p>
      <w:pPr>
        <w:keepNext/>
        <w:keepLines/>
        <w:spacing w:before="300" w:after="300" w:line="280" w:lineRule="exact"/>
        <w:jc w:val="left"/>
        <w:outlineLvl w:val="2"/>
        <w:rPr>
          <w:rFonts w:ascii="宋体" w:hAnsi="宋体" w:eastAsia="宋体" w:cs="宋体"/>
          <w:b/>
          <w:bCs/>
          <w:sz w:val="21"/>
          <w:szCs w:val="21"/>
        </w:rPr>
      </w:pPr>
      <w:bookmarkStart w:id="89" w:name="_Toc988978"/>
      <w:r>
        <w:rPr>
          <w:rFonts w:ascii="宋体" w:hAnsi="宋体" w:eastAsia="宋体" w:cs="宋体"/>
          <w:b/>
          <w:bCs/>
          <w:sz w:val="21"/>
          <w:szCs w:val="21"/>
        </w:rPr>
        <w:t>1、合并资产负债表</w:t>
      </w:r>
      <w:bookmarkEnd w:id="89"/>
    </w:p>
    <w:p>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编制单位：青岛伟隆阀门股份有限公司</w:t>
      </w:r>
    </w:p>
    <w:p>
      <w:pPr>
        <w:spacing w:before="0" w:after="0" w:line="240" w:lineRule="exact"/>
        <w:jc w:val="center"/>
        <w:rPr>
          <w:rFonts w:ascii="宋体" w:hAnsi="宋体" w:eastAsia="宋体" w:cs="宋体"/>
          <w:sz w:val="18"/>
          <w:szCs w:val="18"/>
        </w:rPr>
      </w:pPr>
      <w:r>
        <w:rPr>
          <w:rFonts w:ascii="宋体" w:hAnsi="宋体" w:eastAsia="宋体" w:cs="宋体"/>
          <w:sz w:val="18"/>
          <w:szCs w:val="18"/>
        </w:rPr>
        <w:t>2022年06月30日</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654,184,203.95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296,513,942.69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226,222,907.43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14,312,535.81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240,535,443.24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320" w:lineRule="exact"/>
        <w:jc w:val="left"/>
        <w:outlineLvl w:val="2"/>
        <w:rPr>
          <w:rFonts w:ascii="宋体" w:hAnsi="宋体" w:eastAsia="宋体" w:cs="宋体"/>
          <w:b/>
          <w:bCs/>
          <w:sz w:val="24"/>
          <w:szCs w:val="24"/>
        </w:rPr>
      </w:pPr>
      <w:bookmarkStart w:id="90" w:name="_Toc988979"/>
      <w:r>
        <w:rPr>
          <w:rFonts w:ascii="宋体" w:hAnsi="宋体" w:eastAsia="宋体" w:cs="宋体"/>
          <w:b/>
          <w:bCs/>
          <w:sz w:val="24"/>
          <w:szCs w:val="24"/>
        </w:rPr>
        <w:t>2、母公司资产负债表</w:t>
      </w:r>
      <w:bookmarkEnd w:id="9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96,864,828.71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80,940,458.50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152,545,949.59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93,881,591.39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100,243,210.24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70,896,974.21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53,048,934.32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81,130,425.52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567,538,758.27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599,344,727.06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23,076,286.15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22,622,415.40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863,382.86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3,438,543.53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2,534,543.28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2,290,899.59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321,299,455.65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271,337,970.85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29,406,460.71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34,404,416.59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22,588,403.76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16,281,610.35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8,874,583.91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9,180,636.07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14,736,602.03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3,661,870.25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22,449,348.31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31,948,076.53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290,062.49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360,232.58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186,728,683.36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190,123,325.72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2,859,488.29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3,500,784.62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6,360,272.91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6,450,406.72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193,088,956.27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196,573,732.44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888,838,213.92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870,682,697.91</w:t>
            </w:r>
          </w:p>
        </w:tc>
      </w:tr>
    </w:tbl>
    <w:p>
      <w:pPr>
        <w:keepNext/>
        <w:keepLines/>
        <w:spacing w:before="300" w:after="300" w:line="280" w:lineRule="exact"/>
        <w:jc w:val="left"/>
        <w:outlineLvl w:val="2"/>
        <w:rPr>
          <w:rFonts w:ascii="宋体" w:hAnsi="宋体" w:eastAsia="宋体" w:cs="宋体"/>
          <w:b/>
          <w:bCs/>
          <w:sz w:val="21"/>
          <w:szCs w:val="21"/>
        </w:rPr>
      </w:pPr>
      <w:bookmarkStart w:id="91" w:name="_Toc988980"/>
      <w:r>
        <w:rPr>
          <w:rFonts w:ascii="宋体" w:hAnsi="宋体" w:eastAsia="宋体" w:cs="宋体"/>
          <w:b/>
          <w:bCs/>
          <w:sz w:val="21"/>
          <w:szCs w:val="21"/>
        </w:rPr>
        <w:t>3、合并利润表</w:t>
      </w:r>
      <w:bookmarkEnd w:id="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189,174,657.24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160,314,446.32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156,481.44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94,174,999.82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26,556,714.17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27,069,277.98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80,081,851.21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79,133,255.09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23,322,853.38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本期发生同一控制下企业合并的，被合并方在合并前实现的净利润为：元，上期被合并方实现的净利润为：元。</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sz w:val="21"/>
          <w:szCs w:val="21"/>
        </w:rPr>
      </w:pPr>
      <w:bookmarkStart w:id="92" w:name="_Toc988981"/>
      <w:r>
        <w:rPr>
          <w:rFonts w:ascii="宋体" w:hAnsi="宋体" w:eastAsia="宋体" w:cs="宋体"/>
          <w:b/>
          <w:bCs/>
          <w:sz w:val="21"/>
          <w:szCs w:val="21"/>
        </w:rPr>
        <w:t>4、母公司利润表</w:t>
      </w:r>
      <w:bookmarkEnd w:id="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1,292,720.89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940,577.94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12,267,345.22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11,606,961.34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8,823,059.16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6,523,767.71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8,283,524.16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6,762,319.65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-1,613,523.80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561,738.27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181,643.13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134,127.14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1,014,375.06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805,770.08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sz w:val="18"/>
                <w:szCs w:val="18"/>
              </w:rPr>
            </w:pPr>
            <w:r>
              <w:rPr>
                <w:rFonts w:ascii="宋体" w:hAnsi="宋体" w:eastAsia="宋体" w:cs="宋体"/>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-260,081.08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-3,134,176.64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797,883.04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-51,909.91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-421,114.51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-312,588.76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93,414,878.04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30,686,576.08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34,194.87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468,208.01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1,807,366.66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91,641,706.25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31,154,784.09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14,155,056.39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4,964,256.70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2"/>
        <w:rPr>
          <w:rFonts w:ascii="宋体" w:hAnsi="宋体" w:eastAsia="宋体" w:cs="宋体"/>
          <w:b/>
          <w:bCs/>
          <w:sz w:val="21"/>
          <w:szCs w:val="21"/>
        </w:rPr>
      </w:pPr>
      <w:bookmarkStart w:id="93" w:name="_Toc988982"/>
      <w:r>
        <w:rPr>
          <w:rFonts w:ascii="宋体" w:hAnsi="宋体" w:eastAsia="宋体" w:cs="宋体"/>
          <w:b/>
          <w:bCs/>
          <w:sz w:val="21"/>
          <w:szCs w:val="21"/>
        </w:rPr>
        <w:t>5、合并现金流量表</w:t>
      </w:r>
      <w:bookmarkEnd w:id="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249,682,490.83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172,855,223.60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16,666,865.96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9,202,324.49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267,897,829.92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183,714,531.87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164,508,278.43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148,629,717.75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40,367,959.69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32,584,647.29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6,704,522.74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5,216,291.80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224,066,677.02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200,808,890.36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219,057,039.99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10,102,770.94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472,663.88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247,763,552.23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250,233,336.94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12,029,655.98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264,800,000.00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146,874,500.62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282,439,671.75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158,904,156.60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-34,676,119.52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91,329,180.34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1,120,086.40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-110,100.58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bl>
    <w:p>
      <w:pPr>
        <w:keepNext/>
        <w:keepLines/>
        <w:spacing w:before="300" w:after="300" w:line="280" w:lineRule="exact"/>
        <w:jc w:val="left"/>
        <w:outlineLvl w:val="2"/>
        <w:rPr>
          <w:rFonts w:ascii="宋体" w:hAnsi="宋体" w:eastAsia="宋体" w:cs="宋体"/>
          <w:b/>
          <w:bCs/>
          <w:sz w:val="21"/>
          <w:szCs w:val="21"/>
        </w:rPr>
      </w:pPr>
      <w:bookmarkStart w:id="94" w:name="_Toc988983"/>
      <w:r>
        <w:rPr>
          <w:rFonts w:ascii="宋体" w:hAnsi="宋体" w:eastAsia="宋体" w:cs="宋体"/>
          <w:b/>
          <w:bCs/>
          <w:sz w:val="21"/>
          <w:szCs w:val="21"/>
        </w:rPr>
        <w:t>6、母公司现金流量表</w:t>
      </w:r>
      <w:bookmarkEnd w:id="94"/>
    </w:p>
    <w:p>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236,273,030.90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147,262,849.24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15,778,545.76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8,831,278.93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1,043,000.97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3,792,874.21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253,094,577.63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159,887,002.38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171,533,824.93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153,117,190.39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20,719,226.95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18,758,047.24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4,457,711.18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3,406,388.94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11,113,355.25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11,047,076.57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207,824,118.31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186,328,703.14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45,270,459.32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-26,441,700.76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4,443,091.65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9,972,270.32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241,947,591.65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249,975,327.15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3,017,349.28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141,744,000.00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228,025,182.35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144,761,349.28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13,922,409.30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105,213,977.87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48,868,119.10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53,068,627.38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-40,526,896.59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-83,936,746.48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1,103,151.40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-140,270.43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19,769,123.43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-5,304,739.80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65,415,374.25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32,120,211.70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85,184,497.68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26,815,471.90</w:t>
            </w:r>
          </w:p>
        </w:tc>
      </w:tr>
    </w:tbl>
    <w:p>
      <w:pPr>
        <w:keepNext/>
        <w:keepLines/>
        <w:spacing w:before="300" w:after="300" w:line="280" w:lineRule="exact"/>
        <w:jc w:val="left"/>
        <w:outlineLvl w:val="2"/>
        <w:rPr>
          <w:rFonts w:ascii="宋体" w:hAnsi="宋体" w:eastAsia="宋体" w:cs="宋体"/>
          <w:b/>
          <w:bCs/>
          <w:sz w:val="21"/>
          <w:szCs w:val="21"/>
        </w:rPr>
      </w:pPr>
      <w:bookmarkStart w:id="95" w:name="_Toc988984"/>
      <w:r>
        <w:rPr>
          <w:rFonts w:ascii="宋体" w:hAnsi="宋体" w:eastAsia="宋体" w:cs="宋体"/>
          <w:b/>
          <w:bCs/>
          <w:sz w:val="21"/>
          <w:szCs w:val="21"/>
        </w:rPr>
        <w:t>7、合并所有者权益变动表</w:t>
      </w:r>
      <w:bookmarkEnd w:id="95"/>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20,135,007.13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23,230,142.13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64,184,098.84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79,076,499.81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80,025,095.93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43,170,760.61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710,162,703.40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563"/>
        <w:gridCol w:w="563"/>
        <w:gridCol w:w="563"/>
        <w:gridCol w:w="563"/>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245,900,770.45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16,734.39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-29,216,349.15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-28,238,417.01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16,468.14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23,306,118.99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194,356,234.45</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33,202.53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223,282,228.81</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634,994,315.53</w:t>
            </w:r>
          </w:p>
        </w:tc>
      </w:tr>
    </w:tbl>
    <w:p>
      <w:pPr>
        <w:keepNext/>
        <w:keepLines/>
        <w:spacing w:before="300" w:after="300" w:line="280" w:lineRule="exact"/>
        <w:jc w:val="left"/>
        <w:outlineLvl w:val="2"/>
        <w:rPr>
          <w:rFonts w:ascii="宋体" w:hAnsi="宋体" w:eastAsia="宋体" w:cs="宋体"/>
          <w:b/>
          <w:bCs/>
          <w:sz w:val="21"/>
          <w:szCs w:val="21"/>
        </w:rPr>
      </w:pPr>
      <w:bookmarkStart w:id="96" w:name="_Toc988985"/>
      <w:r>
        <w:rPr>
          <w:rFonts w:ascii="宋体" w:hAnsi="宋体" w:eastAsia="宋体" w:cs="宋体"/>
          <w:b/>
          <w:bCs/>
          <w:sz w:val="21"/>
          <w:szCs w:val="21"/>
        </w:rPr>
        <w:t>8、母公司所有者权益变动表</w:t>
      </w:r>
      <w:bookmarkEnd w:id="96"/>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179,252,645.34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285,094,946.78</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18,474,892.16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21,640,292.18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77,486,649.86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182,418,045.36</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303,569,838.94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695,749,257.65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上年金额</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3"/>
        <w:gridCol w:w="703"/>
        <w:gridCol w:w="703"/>
        <w:gridCol w:w="703"/>
        <w:gridCol w:w="703"/>
        <w:gridCol w:w="703"/>
        <w:gridCol w:w="703"/>
        <w:gridCol w:w="703"/>
        <w:gridCol w:w="7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2021年半年度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03" w:type="dxa"/>
            <w:vMerge w:val="continue"/>
            <w:tcBorders>
              <w:top w:val="single" w:color="auto" w:sz="2" w:space="0"/>
              <w:left w:val="single" w:color="auto" w:sz="2" w:space="0"/>
              <w:bottom w:val="single" w:color="auto" w:sz="2" w:space="0"/>
              <w:right w:val="single" w:color="auto" w:sz="2" w:space="0"/>
            </w:tcBorders>
            <w:vAlign w:val="center"/>
          </w:tc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116,680,000.00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243,558,895.15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279,702,943.61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-51,544,536.00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-26,315,472.61</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-25,354,008.61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26,190,527.39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961,464.00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-52,506,000.00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169,186,000.00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192,014,359.15</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3,835,944.00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51,972,593.74</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253,387,471.00</w:t>
            </w: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662,724,479.89</w:t>
            </w:r>
          </w:p>
        </w:tc>
      </w:tr>
    </w:tbl>
    <w:p>
      <w:pPr>
        <w:keepNext/>
        <w:keepLines/>
        <w:spacing w:before="300" w:after="300" w:line="320" w:lineRule="exact"/>
        <w:jc w:val="left"/>
        <w:outlineLvl w:val="1"/>
        <w:rPr>
          <w:rFonts w:ascii="宋体" w:hAnsi="宋体" w:eastAsia="宋体" w:cs="宋体"/>
          <w:b/>
          <w:bCs/>
          <w:sz w:val="24"/>
          <w:szCs w:val="24"/>
        </w:rPr>
      </w:pPr>
      <w:bookmarkStart w:id="97" w:name="_Toc988986"/>
      <w:r>
        <w:rPr>
          <w:rFonts w:ascii="宋体" w:hAnsi="宋体" w:eastAsia="宋体" w:cs="宋体"/>
          <w:b/>
          <w:bCs/>
          <w:sz w:val="24"/>
          <w:szCs w:val="24"/>
        </w:rPr>
        <w:t>三、公司基本情况</w:t>
      </w:r>
      <w:bookmarkEnd w:id="97"/>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（一）公司概况</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青岛伟隆阀门股份有限公司（以下简称“本公司”或“公司”）系于2012年3月31日由青岛伟隆阀门有限公司整体变更设立的股份有限公司。</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2019年12月13日召开2019年第一次临时股东大会，会议审议通过了《关于回购注销部分限制性股票的议案》、《关于变更公司注册资本与修改〈公司章程〉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2020年12月11日召开2020年第一次临时股东大会，会议审议通过了《关于回购注销部分限制性股票的议案》、《关于变更公司注册资本与修改〈公司章程〉的议案》。由于公司2名原激励对象因个人原因离职，公司决定对该对象所持已获授但尚未解除限售的42,000.00股限制性股票进行回购注销。减少股本人民币42,000.00元，变更后的股本为人民币116,680,000.00元。</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公司章程〉的议案》，由于人员离职及不满足解锁条件回购注销153,352.00股，变更后的注册资本为人民币169,032,648.00元。</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公司2022年度5月18日召开的2021年度股东大会审议通过了《关于2021年度利润分配议案》。以 2021年12月31日公司总股本169,032,648.00股，扣除存放于公司回购专用证券账户的427,626.00股，即以168,605,022.00股为基数，向全体股东每10股派息3.50元（含税）,共派发现金红利59,011,757.70元。</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公司住所为青岛即墨市蓝村镇兴和路45号，公司法定代表人为范庆伟。</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公司经营范围：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公司主营业务：阀门及其配件、汽车配件铸件、管件的生产、销售及相关业务。</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公司所属行业：制造行业。</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本公司实际控制人为范庆伟家族，持有本公司64.73%的股权。</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本财务报表由公司董事会决议批准于2022年8月30日报出。</w:t>
      </w:r>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（二）合并报表范围</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截止2022年6月30日，公司合并财务报表范围内子公司如下：</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544"/>
        <w:gridCol w:w="45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45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公司名称</w:t>
            </w:r>
          </w:p>
        </w:tc>
        <w:tc>
          <w:tcPr>
            <w:tcW w:w="45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子公司类型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莱州伟隆阀门有限公司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青岛伟隆流体设备有限公司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Company Limited（英国公司）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WEFLO VALVE LLC（美国公司）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青岛卓信检测技术有限责任公司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偉隆（香港）實業有限公司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海南伟隆投资有限公司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控股子公司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45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青岛伟隆五金机械有限公司</w:t>
            </w:r>
          </w:p>
        </w:tc>
        <w:tc>
          <w:tcPr>
            <w:tcW w:w="4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全资子公司</w:t>
            </w:r>
          </w:p>
        </w:tc>
      </w:tr>
    </w:tbl>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（三）本期合并财务报表范围发生变更的情况</w:t>
      </w:r>
    </w:p>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6"/>
          <w:rFonts w:hint="eastAsia" w:ascii="宋体" w:hAnsi="宋体" w:eastAsia="宋体" w:cs="宋体"/>
          <w:sz w:val="21"/>
          <w:szCs w:val="21"/>
        </w:rPr>
        <w:t>    </w:t>
      </w:r>
      <w:r>
        <w:rPr>
          <w:rFonts w:hint="eastAsia" w:ascii="宋体" w:hAnsi="宋体" w:eastAsia="宋体" w:cs="宋体"/>
          <w:sz w:val="24"/>
          <w:szCs w:val="24"/>
        </w:rPr>
        <w:t>2022年4月27日召开了第四届董事会第十二次会议，审议通过了《关于转让控股子公司股权暨关联交易的议案》，同意将公司持有的青岛即聚机电有限责任公司（以下简称“即聚机电”）的51%股权分别转让给自然人吕仁红11%、宫相开40%，转让价格分别为550万元、2,000万元。本次股权转让完成后，公司将不再持有即聚机电的股权，不再列入合并报表范围。于2022年5月13日完成工商变更手续。</w:t>
      </w:r>
    </w:p>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4"/>
          <w:szCs w:val="24"/>
        </w:rPr>
        <w:t>   2022年1月19日召开第四届董事会第九次会议，审议通过了《关于与专业投资机构对外投资设立合资公司的议案》，同意公司</w:t>
      </w:r>
      <w:r>
        <w:rPr>
          <w:rFonts w:hint="eastAsia" w:ascii="宋体" w:hAnsi="宋体" w:eastAsia="宋体" w:cs="宋体"/>
          <w:color w:val="000000"/>
          <w:sz w:val="24"/>
          <w:szCs w:val="24"/>
        </w:rPr>
        <w:t>与上海天诚东泰投资有限公司（以下简称“天诚东泰”）、青岛天诚股权投资基金管理有限公司（以下简称“青岛天诚”）</w:t>
      </w:r>
      <w:r>
        <w:rPr>
          <w:rFonts w:hint="eastAsia" w:ascii="宋体" w:hAnsi="宋体" w:eastAsia="宋体" w:cs="宋体"/>
          <w:sz w:val="24"/>
          <w:szCs w:val="24"/>
        </w:rPr>
        <w:t>合作成立</w:t>
      </w:r>
      <w:r>
        <w:rPr>
          <w:rFonts w:hint="eastAsia" w:ascii="宋体" w:hAnsi="宋体" w:eastAsia="宋体" w:cs="宋体"/>
          <w:color w:val="000000"/>
          <w:sz w:val="24"/>
          <w:szCs w:val="24"/>
        </w:rPr>
        <w:t>海南伟隆投资有限公司。于2022年1月21日办理工商营业执照。</w:t>
      </w:r>
    </w:p>
    <w:p>
      <w:pPr>
        <w:keepNext/>
        <w:keepLines/>
        <w:spacing w:before="300" w:after="300" w:line="320" w:lineRule="exact"/>
        <w:jc w:val="left"/>
        <w:outlineLvl w:val="1"/>
        <w:rPr>
          <w:rFonts w:ascii="宋体" w:hAnsi="宋体" w:eastAsia="宋体" w:cs="宋体"/>
          <w:b/>
          <w:bCs/>
          <w:sz w:val="24"/>
          <w:szCs w:val="24"/>
        </w:rPr>
      </w:pPr>
      <w:bookmarkStart w:id="98" w:name="_Toc988987"/>
      <w:r>
        <w:rPr>
          <w:rFonts w:ascii="宋体" w:hAnsi="宋体" w:eastAsia="宋体" w:cs="宋体"/>
          <w:b/>
          <w:bCs/>
          <w:sz w:val="24"/>
          <w:szCs w:val="24"/>
        </w:rPr>
        <w:t>四、财务报表的编制基础</w:t>
      </w:r>
      <w:bookmarkEnd w:id="98"/>
    </w:p>
    <w:p>
      <w:pPr>
        <w:keepNext/>
        <w:keepLines/>
        <w:spacing w:before="300" w:after="300" w:line="280" w:lineRule="exact"/>
        <w:jc w:val="left"/>
        <w:outlineLvl w:val="2"/>
        <w:rPr>
          <w:rFonts w:ascii="宋体" w:hAnsi="宋体" w:eastAsia="宋体" w:cs="宋体"/>
          <w:b/>
          <w:bCs/>
          <w:sz w:val="21"/>
          <w:szCs w:val="21"/>
        </w:rPr>
      </w:pPr>
      <w:bookmarkStart w:id="99" w:name="_Toc988988"/>
      <w:r>
        <w:rPr>
          <w:rFonts w:ascii="宋体" w:hAnsi="宋体" w:eastAsia="宋体" w:cs="宋体"/>
          <w:b/>
          <w:bCs/>
          <w:sz w:val="21"/>
          <w:szCs w:val="21"/>
        </w:rPr>
        <w:t>1、编制基础</w:t>
      </w:r>
      <w:bookmarkEnd w:id="99"/>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财务报表以持续经营为基础，根据实际发生的交易和事项，按照财政部颁布的《企业会计准则》及相关规定以及中国证券监督管理委员会《公开发行证券的公司信息披露编报规则第15号——财务报告的一般规定》（2014年修订）的披露规定，并基于以下所述重要会计政策、会计估计进行编制。</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本公司会计核算以权责发生制为基础。除某些金融工具以外，本财务报表均以历史成本为计量基础。资产如果发生减值，则按照相关规定计提相应的减值准备。</w:t>
      </w:r>
    </w:p>
    <w:p>
      <w:pPr>
        <w:keepNext/>
        <w:keepLines/>
        <w:spacing w:before="300" w:after="300" w:line="280" w:lineRule="exact"/>
        <w:jc w:val="left"/>
        <w:outlineLvl w:val="2"/>
        <w:rPr>
          <w:rFonts w:ascii="宋体" w:hAnsi="宋体" w:eastAsia="宋体" w:cs="宋体"/>
          <w:b/>
          <w:bCs/>
          <w:sz w:val="21"/>
          <w:szCs w:val="21"/>
        </w:rPr>
      </w:pPr>
      <w:bookmarkStart w:id="100" w:name="_Toc988989"/>
      <w:r>
        <w:rPr>
          <w:rFonts w:ascii="宋体" w:hAnsi="宋体" w:eastAsia="宋体" w:cs="宋体"/>
          <w:b/>
          <w:bCs/>
          <w:sz w:val="21"/>
          <w:szCs w:val="21"/>
        </w:rPr>
        <w:t>2、持续经营</w:t>
      </w:r>
      <w:bookmarkEnd w:id="100"/>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报告期内及报告期末起至少十二个月，公司业务稳定，资产负债结构合理，具备持续经营能力，不存在影响持续经营能力的重大不利风险。</w:t>
      </w:r>
    </w:p>
    <w:p>
      <w:pPr>
        <w:keepNext/>
        <w:keepLines/>
        <w:spacing w:before="300" w:after="300" w:line="560" w:lineRule="exact"/>
        <w:jc w:val="left"/>
        <w:outlineLvl w:val="1"/>
        <w:rPr>
          <w:rFonts w:ascii="宋体" w:hAnsi="宋体" w:eastAsia="宋体" w:cs="宋体"/>
          <w:b/>
          <w:bCs/>
          <w:sz w:val="24"/>
          <w:szCs w:val="24"/>
        </w:rPr>
      </w:pPr>
      <w:bookmarkStart w:id="101" w:name="_Toc988990"/>
      <w:r>
        <w:rPr>
          <w:rFonts w:ascii="宋体" w:hAnsi="宋体" w:eastAsia="宋体" w:cs="宋体"/>
          <w:b/>
          <w:bCs/>
          <w:sz w:val="24"/>
          <w:szCs w:val="24"/>
        </w:rPr>
        <w:t>五、重要会计政策及会计估计</w:t>
      </w:r>
      <w:bookmarkEnd w:id="10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具体会计政策和会计估计提示：</w:t>
      </w:r>
    </w:p>
    <w:p>
      <w:pPr>
        <w:pStyle w:val="3"/>
        <w:keepNext w:val="0"/>
        <w:keepLines w:val="0"/>
        <w:widowControl/>
        <w:suppressLineNumbers w:val="0"/>
        <w:spacing w:before="0" w:beforeAutospacing="0" w:after="0" w:afterAutospacing="0"/>
        <w:ind w:left="0" w:firstLine="436"/>
        <w:jc w:val="both"/>
        <w:rPr>
          <w:rFonts w:hint="eastAsia" w:ascii="宋体" w:hAnsi="宋体" w:eastAsia="宋体" w:cs="宋体"/>
          <w:sz w:val="18"/>
          <w:szCs w:val="18"/>
        </w:rPr>
      </w:pPr>
      <w:r>
        <w:rPr>
          <w:rFonts w:hint="eastAsia" w:ascii="宋体" w:hAnsi="宋体" w:eastAsia="宋体" w:cs="宋体"/>
          <w:sz w:val="21"/>
          <w:szCs w:val="21"/>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keepNext/>
        <w:keepLines/>
        <w:spacing w:before="300" w:after="300" w:line="280" w:lineRule="exact"/>
        <w:jc w:val="left"/>
        <w:outlineLvl w:val="2"/>
        <w:rPr>
          <w:rFonts w:ascii="宋体" w:hAnsi="宋体" w:eastAsia="宋体" w:cs="宋体"/>
          <w:b/>
          <w:bCs/>
          <w:sz w:val="21"/>
          <w:szCs w:val="21"/>
        </w:rPr>
      </w:pPr>
      <w:bookmarkStart w:id="102" w:name="_Toc988991"/>
      <w:r>
        <w:rPr>
          <w:rFonts w:ascii="宋体" w:hAnsi="宋体" w:eastAsia="宋体" w:cs="宋体"/>
          <w:b/>
          <w:bCs/>
          <w:sz w:val="21"/>
          <w:szCs w:val="21"/>
        </w:rPr>
        <w:t>1、遵循企业会计准则的声明</w:t>
      </w:r>
      <w:bookmarkEnd w:id="102"/>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本公司编制的财务报表符合企业会计准则的要求，真实、完整地反映了本公司2022年1-6月的财务状况及2022年1-6月的经营成果和现金流量等有关信息。</w:t>
      </w:r>
    </w:p>
    <w:p>
      <w:pPr>
        <w:keepNext/>
        <w:keepLines/>
        <w:spacing w:before="300" w:after="300" w:line="280" w:lineRule="exact"/>
        <w:jc w:val="left"/>
        <w:outlineLvl w:val="2"/>
        <w:rPr>
          <w:rFonts w:ascii="宋体" w:hAnsi="宋体" w:eastAsia="宋体" w:cs="宋体"/>
          <w:b/>
          <w:bCs/>
          <w:sz w:val="21"/>
          <w:szCs w:val="21"/>
        </w:rPr>
      </w:pPr>
      <w:bookmarkStart w:id="103" w:name="_Toc988992"/>
      <w:r>
        <w:rPr>
          <w:rFonts w:ascii="宋体" w:hAnsi="宋体" w:eastAsia="宋体" w:cs="宋体"/>
          <w:b/>
          <w:bCs/>
          <w:sz w:val="21"/>
          <w:szCs w:val="21"/>
        </w:rPr>
        <w:t>2、会计期间</w:t>
      </w:r>
      <w:bookmarkEnd w:id="103"/>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本公司会计年度为公历年度，即每年1月1日起至12月31日止。</w:t>
      </w:r>
    </w:p>
    <w:p>
      <w:pPr>
        <w:keepNext/>
        <w:keepLines/>
        <w:spacing w:before="300" w:after="300" w:line="280" w:lineRule="exact"/>
        <w:jc w:val="left"/>
        <w:outlineLvl w:val="2"/>
        <w:rPr>
          <w:rFonts w:ascii="宋体" w:hAnsi="宋体" w:eastAsia="宋体" w:cs="宋体"/>
          <w:b/>
          <w:bCs/>
          <w:sz w:val="21"/>
          <w:szCs w:val="21"/>
        </w:rPr>
      </w:pPr>
      <w:bookmarkStart w:id="104" w:name="_Toc988993"/>
      <w:r>
        <w:rPr>
          <w:rFonts w:ascii="宋体" w:hAnsi="宋体" w:eastAsia="宋体" w:cs="宋体"/>
          <w:b/>
          <w:bCs/>
          <w:sz w:val="21"/>
          <w:szCs w:val="21"/>
        </w:rPr>
        <w:t>3、营业周期</w:t>
      </w:r>
      <w:bookmarkEnd w:id="104"/>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正常营业周期，是指公司从购买用于加工的资产起至实现现金或现金等价物的期间。本公司以12个月作为正常营业周期，并以其作为资产与负债流动性划分的标准。</w:t>
      </w:r>
    </w:p>
    <w:p>
      <w:pPr>
        <w:keepNext/>
        <w:keepLines/>
        <w:spacing w:before="300" w:after="300" w:line="280" w:lineRule="exact"/>
        <w:jc w:val="left"/>
        <w:outlineLvl w:val="2"/>
        <w:rPr>
          <w:rFonts w:ascii="宋体" w:hAnsi="宋体" w:eastAsia="宋体" w:cs="宋体"/>
          <w:b/>
          <w:bCs/>
          <w:sz w:val="21"/>
          <w:szCs w:val="21"/>
        </w:rPr>
      </w:pPr>
      <w:bookmarkStart w:id="105" w:name="_Toc988994"/>
      <w:r>
        <w:rPr>
          <w:rFonts w:ascii="宋体" w:hAnsi="宋体" w:eastAsia="宋体" w:cs="宋体"/>
          <w:b/>
          <w:bCs/>
          <w:sz w:val="21"/>
          <w:szCs w:val="21"/>
        </w:rPr>
        <w:t>4、记账本位币</w:t>
      </w:r>
      <w:bookmarkEnd w:id="105"/>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公司及境内子公司以人民币为记账本位币。公司之境外子公司根据其经营所处的主要经济环境中的货币决定其记账本位币，编制财务报表时折算成人民币。</w:t>
      </w:r>
    </w:p>
    <w:p>
      <w:pPr>
        <w:keepNext/>
        <w:keepLines/>
        <w:spacing w:before="300" w:after="300" w:line="280" w:lineRule="exact"/>
        <w:jc w:val="left"/>
        <w:outlineLvl w:val="2"/>
        <w:rPr>
          <w:rFonts w:ascii="宋体" w:hAnsi="宋体" w:eastAsia="宋体" w:cs="宋体"/>
          <w:b/>
          <w:bCs/>
          <w:sz w:val="21"/>
          <w:szCs w:val="21"/>
        </w:rPr>
      </w:pPr>
      <w:bookmarkStart w:id="106" w:name="_Toc988995"/>
      <w:r>
        <w:rPr>
          <w:rFonts w:ascii="宋体" w:hAnsi="宋体" w:eastAsia="宋体" w:cs="宋体"/>
          <w:b/>
          <w:bCs/>
          <w:sz w:val="21"/>
          <w:szCs w:val="21"/>
        </w:rPr>
        <w:t>5、同一控制下和非同一控制下企业合并的会计处理方法</w:t>
      </w:r>
      <w:bookmarkEnd w:id="106"/>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企业合并，是指将两个或两个以上单独的企业合并形成一个报告主体的交易或事项。企业合并分为同一控制下企业合并和非同一控制下企业合并。</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（1）同一控制下的企业合并</w:t>
      </w:r>
    </w:p>
    <w:p>
      <w:pPr>
        <w:pStyle w:val="3"/>
        <w:keepNext w:val="0"/>
        <w:keepLines w:val="0"/>
        <w:widowControl/>
        <w:suppressLineNumbers w:val="0"/>
        <w:spacing w:before="0" w:beforeAutospacing="0" w:after="0" w:afterAutospacing="0" w:line="360" w:lineRule="auto"/>
        <w:ind w:left="0" w:firstLine="459"/>
        <w:jc w:val="left"/>
        <w:rPr>
          <w:rFonts w:hint="eastAsia" w:ascii="宋体" w:hAnsi="宋体" w:eastAsia="宋体" w:cs="宋体"/>
          <w:color w:val="000000"/>
          <w:sz w:val="24"/>
          <w:szCs w:val="24"/>
        </w:rPr>
      </w:pPr>
      <w:r>
        <w:rPr>
          <w:rFonts w:hint="eastAsia" w:ascii="宋体" w:hAnsi="宋体" w:eastAsia="宋体" w:cs="宋体"/>
          <w:color w:val="000000"/>
          <w:sz w:val="21"/>
          <w:szCs w:val="21"/>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（2）非同一控制下的企业合并</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通过多次交易分步实现非同一控制下企业合并的，在母公司财务报表中，以购买日之前所持被购买方的股权投资的账面价值与购买日新增投资成本之和，作为该项投资的初始投资成本。</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keepNext/>
        <w:keepLines/>
        <w:spacing w:before="300" w:after="300" w:line="280" w:lineRule="exact"/>
        <w:jc w:val="left"/>
        <w:outlineLvl w:val="2"/>
        <w:rPr>
          <w:rFonts w:ascii="宋体" w:hAnsi="宋体" w:eastAsia="宋体" w:cs="宋体"/>
          <w:b/>
          <w:bCs/>
          <w:sz w:val="21"/>
          <w:szCs w:val="21"/>
        </w:rPr>
      </w:pPr>
      <w:bookmarkStart w:id="107" w:name="_Toc988996"/>
      <w:r>
        <w:rPr>
          <w:rFonts w:ascii="宋体" w:hAnsi="宋体" w:eastAsia="宋体" w:cs="宋体"/>
          <w:b/>
          <w:bCs/>
          <w:sz w:val="21"/>
          <w:szCs w:val="21"/>
        </w:rPr>
        <w:t>6、合并财务报表的编制方法</w:t>
      </w:r>
      <w:bookmarkEnd w:id="107"/>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（1）合并财务报表范围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公司对合并财务报表的合并范围以控制为基础予以确定。本公司将全部子公司纳入合并财务报表范围。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（2）统一母子公司的会计政策、统一母子公司的资产负债表日及会计期间</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（3）合并财务报表抵销事项</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子公司持有母公司的长期股权投资，视为企业集团的库存股，作为所有者权益的减项，在合并资产负债表中所有者权益项目下以“减：库存股”项目列示。</w:t>
      </w:r>
    </w:p>
    <w:p>
      <w:pPr>
        <w:pStyle w:val="3"/>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Style w:val="6"/>
          <w:rFonts w:hint="eastAsia" w:ascii="宋体" w:hAnsi="宋体" w:eastAsia="宋体" w:cs="宋体"/>
          <w:b/>
          <w:bCs/>
          <w:sz w:val="21"/>
          <w:szCs w:val="21"/>
        </w:rPr>
        <w:t>（4）</w:t>
      </w:r>
      <w:r>
        <w:rPr>
          <w:rStyle w:val="6"/>
          <w:rFonts w:hint="eastAsia" w:ascii="宋体" w:hAnsi="宋体" w:eastAsia="宋体" w:cs="宋体"/>
          <w:sz w:val="21"/>
          <w:szCs w:val="21"/>
        </w:rPr>
        <w:t>合并取得子公司会计处理</w:t>
      </w:r>
    </w:p>
    <w:p>
      <w:pPr>
        <w:pStyle w:val="3"/>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pStyle w:val="3"/>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对于因非同一控制企业合并形成的子公司，合并成本大于合并中取得的子公司可辨认净资产公允价值份额的差额，不调整投资成本，在合并财务报表中列作商誉。</w:t>
      </w:r>
    </w:p>
    <w:p>
      <w:pPr>
        <w:pStyle w:val="3"/>
        <w:keepNext w:val="0"/>
        <w:keepLines w:val="0"/>
        <w:widowControl/>
        <w:suppressLineNumbers w:val="0"/>
        <w:spacing w:before="0" w:beforeAutospacing="0" w:after="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（5）分步处置子公司股权至丧失控制权的会计处理方法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①不属于“一揽子交易”的分步处置股权至丧失控制权的各项交易在母公司财务报表和合并财务报表中的会计处理方法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②属于“一揽子交易”的分步处置股权至丧失控制权的各项交易在母公司财务报表和合并财务报表中的会计处理方法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keepNext/>
        <w:keepLines/>
        <w:spacing w:before="300" w:after="300" w:line="280" w:lineRule="exact"/>
        <w:jc w:val="left"/>
        <w:outlineLvl w:val="2"/>
        <w:rPr>
          <w:rFonts w:ascii="宋体" w:hAnsi="宋体" w:eastAsia="宋体" w:cs="宋体"/>
          <w:b/>
          <w:bCs/>
          <w:sz w:val="21"/>
          <w:szCs w:val="21"/>
        </w:rPr>
      </w:pPr>
      <w:bookmarkStart w:id="108" w:name="_Toc988997"/>
      <w:r>
        <w:rPr>
          <w:rFonts w:ascii="宋体" w:hAnsi="宋体" w:eastAsia="宋体" w:cs="宋体"/>
          <w:b/>
          <w:bCs/>
          <w:sz w:val="21"/>
          <w:szCs w:val="21"/>
        </w:rPr>
        <w:t>7、合营安排分类及共同经营会计处理方法</w:t>
      </w:r>
      <w:bookmarkEnd w:id="108"/>
    </w:p>
    <w:p>
      <w:pPr>
        <w:pStyle w:val="3"/>
        <w:keepNext w:val="0"/>
        <w:keepLines w:val="0"/>
        <w:widowControl/>
        <w:suppressLineNumbers w:val="0"/>
        <w:spacing w:before="0" w:beforeAutospacing="0" w:after="0" w:afterAutospacing="0" w:line="360" w:lineRule="auto"/>
        <w:ind w:left="0" w:right="0" w:firstLine="436"/>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合营安排，是指一项由两个或两个以上的参与方共同控制的安排。本公司根据在合营安排中享有的权利和承担的义务，将合营安排分为共同经营和合营企业。</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（1）共同经营</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当本公司是合营安排的合营方，享有该安排相关资产且承担该安排相关负债时，为共同经营。</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本公司确认与共同经营中利益份额相关的下列项目，并按照相关企业会计准则的规定进行会计处理：</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①确认本公司单独所持有的资产，以及按本公司份额确认共同持有的资产；</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②确认本公司单独所承担的负债，以及按本公司份额确认共同承担的负债；</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③确认出售本公司享有的共同经营产出份额所产生的收入；</w:t>
      </w:r>
    </w:p>
    <w:p>
      <w:pPr>
        <w:pStyle w:val="3"/>
        <w:keepNext w:val="0"/>
        <w:keepLines w:val="0"/>
        <w:widowControl/>
        <w:suppressLineNumbers w:val="0"/>
        <w:spacing w:before="0" w:beforeAutospacing="0" w:after="0" w:afterAutospacing="0" w:line="360" w:lineRule="auto"/>
        <w:ind w:left="0" w:right="0" w:firstLine="420"/>
        <w:jc w:val="both"/>
        <w:textAlignment w:val="baseline"/>
        <w:rPr>
          <w:rFonts w:hint="eastAsia" w:ascii="宋体" w:hAnsi="宋体" w:eastAsia="宋体" w:cs="宋体"/>
          <w:sz w:val="21"/>
          <w:szCs w:val="21"/>
        </w:rPr>
      </w:pPr>
      <w:r>
        <w:rPr>
          <w:rFonts w:hint="eastAsia" w:ascii="宋体" w:hAnsi="宋体" w:eastAsia="宋体" w:cs="宋体"/>
          <w:sz w:val="21"/>
          <w:szCs w:val="21"/>
          <w:vertAlign w:val="baseline"/>
        </w:rPr>
        <w:t>④按本公司份额确认共同经营因出售产出所产生的收入；⑤确认单独所发生的费用，以及按本公司份额确认共同经营发生的费用。</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w:t>
      </w:r>
      <w:r>
        <w:rPr>
          <w:rFonts w:hint="default" w:ascii="Times New Roman" w:hAnsi="Times New Roman" w:eastAsia="宋体" w:cs="Times New Roman"/>
          <w:sz w:val="21"/>
          <w:szCs w:val="21"/>
        </w:rPr>
        <w:t xml:space="preserve"> 8 </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 xml:space="preserve">资产减值》等规定的资产减值损失的，对于由本公司向共同经营投出或出售资产的情况，本公司全额确认该损失；对于本公司自共同经营购买资产的情况，本公司按承担的份额确认该损失。 </w:t>
      </w:r>
    </w:p>
    <w:p>
      <w:pPr>
        <w:pStyle w:val="3"/>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（2）合营企业</w:t>
      </w:r>
    </w:p>
    <w:p>
      <w:pPr>
        <w:pStyle w:val="3"/>
        <w:keepNext w:val="0"/>
        <w:keepLines w:val="0"/>
        <w:widowControl/>
        <w:suppressLineNumbers w:val="0"/>
        <w:spacing w:before="0" w:beforeAutospacing="1" w:after="0" w:afterAutospacing="1" w:line="360" w:lineRule="auto"/>
        <w:ind w:left="0" w:right="0" w:firstLine="420"/>
      </w:pPr>
      <w:r>
        <w:rPr>
          <w:rFonts w:hint="eastAsia" w:ascii="宋体" w:hAnsi="宋体" w:eastAsia="宋体" w:cs="宋体"/>
          <w:sz w:val="21"/>
          <w:szCs w:val="21"/>
        </w:rPr>
        <w:t>合营企业，是指本公司仅对该安排的净资产享有权利的合营安排。本公司对合营企业的投资采用权益法核算，相关会计政策见本附注“三、（十九）长期股权投资”。</w:t>
      </w:r>
    </w:p>
    <w:p>
      <w:pPr>
        <w:keepNext/>
        <w:keepLines/>
        <w:spacing w:before="300" w:after="300" w:line="280" w:lineRule="exact"/>
        <w:jc w:val="left"/>
        <w:outlineLvl w:val="2"/>
        <w:rPr>
          <w:rFonts w:ascii="宋体" w:hAnsi="宋体" w:eastAsia="宋体" w:cs="宋体"/>
          <w:b/>
          <w:bCs/>
          <w:sz w:val="21"/>
          <w:szCs w:val="21"/>
        </w:rPr>
      </w:pPr>
      <w:bookmarkStart w:id="109" w:name="_Toc988998"/>
      <w:r>
        <w:rPr>
          <w:rFonts w:ascii="宋体" w:hAnsi="宋体" w:eastAsia="宋体" w:cs="宋体"/>
          <w:b/>
          <w:bCs/>
          <w:sz w:val="21"/>
          <w:szCs w:val="21"/>
        </w:rPr>
        <w:t>8、现金及现金等价物的确定标准</w:t>
      </w:r>
      <w:bookmarkEnd w:id="109"/>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本公司在编制现金流量表时所确定的现金，是指本公司库存现金以及可以随时用于支付的存款。</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本公司在编制现金流量表时所确定的现金等价物，是指本公司持有的期限短、流动性强、易于转换为已知金额现金、价值变动风险很小的投资。</w:t>
      </w:r>
    </w:p>
    <w:p>
      <w:pPr>
        <w:keepNext/>
        <w:keepLines/>
        <w:spacing w:before="300" w:after="300" w:line="280" w:lineRule="exact"/>
        <w:jc w:val="left"/>
        <w:outlineLvl w:val="2"/>
        <w:rPr>
          <w:rFonts w:ascii="宋体" w:hAnsi="宋体" w:eastAsia="宋体" w:cs="宋体"/>
          <w:b/>
          <w:bCs/>
          <w:sz w:val="21"/>
          <w:szCs w:val="21"/>
        </w:rPr>
      </w:pPr>
      <w:bookmarkStart w:id="110" w:name="_Toc988999"/>
      <w:r>
        <w:rPr>
          <w:rFonts w:ascii="宋体" w:hAnsi="宋体" w:eastAsia="宋体" w:cs="宋体"/>
          <w:b/>
          <w:bCs/>
          <w:sz w:val="21"/>
          <w:szCs w:val="21"/>
        </w:rPr>
        <w:t>9、外币业务和外币报表折算</w:t>
      </w:r>
      <w:bookmarkEnd w:id="110"/>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（1）外币业务折算</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本公司对发生的外币交易，采用交易发生日的即期汇率折算人民币入账。</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（2）外币财务报表折算</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本公司的控股子公司、合营企业、联营企业等，若采用与本公司不同的记账本位币，需对其外币财务报表折算后，再进行会计核算及合并财务报表的编报。</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外币现金流量按照系统合理方法确定的，采用交易发生日的即期汇率折算。汇率变动对现金的影响额，在现金流量表中单独列示。</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处置境外经营时，与该境外经营有关的外币报表折算差额，全部或按处置该境外经营的比例转入处置当期损益。</w:t>
      </w:r>
    </w:p>
    <w:p>
      <w:pPr>
        <w:keepNext/>
        <w:keepLines/>
        <w:spacing w:before="300" w:after="300" w:line="280" w:lineRule="exact"/>
        <w:jc w:val="left"/>
        <w:outlineLvl w:val="2"/>
        <w:rPr>
          <w:rFonts w:ascii="宋体" w:hAnsi="宋体" w:eastAsia="宋体" w:cs="宋体"/>
          <w:b/>
          <w:bCs/>
          <w:sz w:val="21"/>
          <w:szCs w:val="21"/>
        </w:rPr>
      </w:pPr>
      <w:bookmarkStart w:id="111" w:name="_Toc989000"/>
      <w:r>
        <w:rPr>
          <w:rFonts w:ascii="宋体" w:hAnsi="宋体" w:eastAsia="宋体" w:cs="宋体"/>
          <w:b/>
          <w:bCs/>
          <w:sz w:val="21"/>
          <w:szCs w:val="21"/>
        </w:rPr>
        <w:t>10、金融工具</w:t>
      </w:r>
      <w:bookmarkEnd w:id="111"/>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金融工具，是指形成一方的金融资产并形成其他方的金融负债或权益工具的合同。在本公司成为金融工具合同的一方时确认一项金融资产或金融负债、权益工具。</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1、金融资产的分类、确认和计量</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债务工具：</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①以摊余成本计量的金融资产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②以公允价值计量且其变动计入其他综合收益的金融资产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③以公允价值计量且其变动计入当期损益的金融资产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权益工具：</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2、金融负债的分类、确认和计量</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本公司根据所发行金融工具的合同条款及其所反映的经济实质而非仅以法律形式，结合金融负债和权益工具的定义，在初始确认时将该金融工具或其组成部分分类为金融负债或权益工具。</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当金融负债的现时义务全部或部分已经解除时，本集团终止确认该金融负债或义务已解除的部分。终止确认部分的账面价值与支付的对价之间的差额，计入当期损益。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3、金融负债与权益工具的区分及相关处理方法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本公司按照以下原则区分金融负债与权益工具：（</w:t>
      </w:r>
      <w:r>
        <w:rPr>
          <w:rFonts w:hint="default" w:ascii="Times New Roman" w:hAnsi="Times New Roman" w:eastAsia="宋体" w:cs="Times New Roman"/>
          <w:sz w:val="21"/>
          <w:szCs w:val="21"/>
        </w:rPr>
        <w:t>1</w:t>
      </w:r>
      <w:r>
        <w:rPr>
          <w:rFonts w:hint="eastAsia" w:ascii="宋体" w:hAnsi="宋体" w:eastAsia="宋体" w:cs="宋体"/>
          <w:sz w:val="21"/>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r>
        <w:rPr>
          <w:rFonts w:hint="default" w:ascii="Times New Roman" w:hAnsi="Times New Roman" w:eastAsia="宋体" w:cs="Times New Roman"/>
          <w:sz w:val="21"/>
          <w:szCs w:val="21"/>
        </w:rPr>
        <w:t>2</w:t>
      </w:r>
      <w:r>
        <w:rPr>
          <w:rFonts w:hint="eastAsia" w:ascii="宋体" w:hAnsi="宋体" w:eastAsia="宋体" w:cs="宋体"/>
          <w:sz w:val="21"/>
          <w:szCs w:val="21"/>
        </w:rPr>
        <w:t>）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金融工具或其组成部分属于金融负债的，相关利息、股利（或股息）、利得或损失，以及赎回或再融资产生的利得或损失等，本公司计入当期损益。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4、金融资产转移的确认依据和计量方法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5、金融负债的终止确认</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金融负债（或其一部分）终止确认的，本公司将其账面价值与支付的对价（包括转出的非现金资产或承担的负债）之间的差额，计入当期损益。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6、金融资产和金融负债的抵销</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7、金融资产和金融负债的公允价值确定方法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 xml:space="preserve">8、金融资产减值 </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本公司对于以摊余成本计量的金融资产、以公允价值计量且其变动计入其他综合收益的债务工具投资等，以预期信用损失为基础确认损失准备。</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①预期信用损失的计量</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本公司考虑有关过去事项、当前状况以及对未来经济状况的预测等合理且有依据的信息，确认预期信用损失。</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对于在资产负债表日具有较低信用风险的金融工具，本公司假设其信用风险自初始确认后并未显著增加，按照未来12 个月内的预期信用损失计量损失准备。</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对于因销售商品、提供劳务等日常经营活动形成的应收票据和应收账款，无论是否存在重大融资成分，本公司均按照整个存续期的预期信用损失计量损失准备。</w:t>
      </w:r>
    </w:p>
    <w:p>
      <w:pPr>
        <w:pStyle w:val="3"/>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应收款项：</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a、应收票据确定组合的依据如下：</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应收票据组合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对于划分为组合的应收票据，本公司参考历史信用损失经验，结合当前状况以及对未来经济状况的预测，通过违约风险敞口和整个存续期预期信用损失率，计算预期信用损失。</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b、应收账款确定组合的依据如下：</w:t>
      </w:r>
    </w:p>
    <w:tbl>
      <w:tblPr>
        <w:tblStyle w:val="4"/>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应收账款组合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c、其他应收款确定组合的依据如下：</w:t>
      </w:r>
    </w:p>
    <w:tbl>
      <w:tblPr>
        <w:tblStyle w:val="4"/>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应收股利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应收利息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3</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4</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其他应收款组合</w:t>
            </w:r>
            <w:r>
              <w:rPr>
                <w:rFonts w:hint="default" w:ascii="Times New Roman" w:hAnsi="Times New Roman" w:eastAsia="宋体" w:cs="Times New Roman"/>
                <w:sz w:val="21"/>
                <w:szCs w:val="21"/>
              </w:rPr>
              <w:t>5</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应收其他单位款项</w:t>
            </w:r>
          </w:p>
        </w:tc>
      </w:tr>
    </w:tbl>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对于划分为组合的其他应收款，本公司参考历史信用损失经验，结合当前状况以及对未来经济状况的预测，通过违约风险敞口和未来</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d、应收款项融资确定组合的依据如下：</w:t>
      </w:r>
    </w:p>
    <w:tbl>
      <w:tblPr>
        <w:tblStyle w:val="4"/>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1--</w:t>
            </w:r>
            <w:r>
              <w:rPr>
                <w:rFonts w:hint="eastAsia" w:ascii="宋体" w:hAnsi="宋体" w:eastAsia="宋体" w:cs="宋体"/>
                <w:sz w:val="21"/>
                <w:szCs w:val="21"/>
              </w:rPr>
              <w:t>银行承兑汇票</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信用风险较低的银行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应收款项融资组合</w:t>
            </w:r>
            <w:r>
              <w:rPr>
                <w:rFonts w:hint="default" w:ascii="Times New Roman" w:hAnsi="Times New Roman" w:eastAsia="宋体" w:cs="Times New Roman"/>
                <w:sz w:val="21"/>
                <w:szCs w:val="21"/>
              </w:rPr>
              <w:t>2--</w:t>
            </w:r>
            <w:r>
              <w:rPr>
                <w:rFonts w:hint="eastAsia" w:ascii="宋体" w:hAnsi="宋体" w:eastAsia="宋体" w:cs="宋体"/>
                <w:sz w:val="21"/>
                <w:szCs w:val="21"/>
              </w:rPr>
              <w:t>商业承兑汇票</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信用风险较高的企业</w:t>
            </w:r>
          </w:p>
        </w:tc>
      </w:tr>
    </w:tbl>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对于划分为组合的应收款项融资，本公司参考历史信用损失经验，结合当前状况以及对未来经济状况的预测，通过违约风险敞口和整个存续期预期信用损失率，计算预期信用损失。   e、合同资产确定组合的依据如下：</w:t>
      </w:r>
    </w:p>
    <w:tbl>
      <w:tblPr>
        <w:tblStyle w:val="4"/>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644"/>
        <w:gridCol w:w="4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464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1</w:t>
            </w:r>
          </w:p>
        </w:tc>
        <w:tc>
          <w:tcPr>
            <w:tcW w:w="46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应收第三方款项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464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合同资产组合</w:t>
            </w:r>
            <w:r>
              <w:rPr>
                <w:rFonts w:hint="default" w:ascii="Times New Roman" w:hAnsi="Times New Roman" w:eastAsia="宋体" w:cs="Times New Roman"/>
                <w:sz w:val="21"/>
                <w:szCs w:val="21"/>
              </w:rPr>
              <w:t>2</w:t>
            </w:r>
          </w:p>
        </w:tc>
        <w:tc>
          <w:tcPr>
            <w:tcW w:w="46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firstLine="545"/>
              <w:jc w:val="center"/>
              <w:rPr>
                <w:rFonts w:hint="default" w:ascii="Times New Roman" w:hAnsi="Times New Roman" w:cs="Times New Roman"/>
                <w:sz w:val="21"/>
                <w:szCs w:val="21"/>
              </w:rPr>
            </w:pPr>
            <w:r>
              <w:rPr>
                <w:rFonts w:hint="eastAsia" w:ascii="宋体" w:hAnsi="宋体" w:eastAsia="宋体" w:cs="宋体"/>
                <w:sz w:val="21"/>
                <w:szCs w:val="21"/>
              </w:rPr>
              <w:t>应收关联方款项</w:t>
            </w:r>
          </w:p>
        </w:tc>
      </w:tr>
    </w:tbl>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对于划分为组合的合同资产，本公司参考历史信用损失经验，结合当前状况以及对未来经济状况的预测，通过违约风险敞口和整个存续期预期信用损失率，计算预期信用损失。     </w:t>
      </w:r>
      <w:r>
        <w:rPr>
          <w:rFonts w:hint="default" w:ascii="Times New Roman" w:hAnsi="Times New Roman" w:eastAsia="宋体" w:cs="Times New Roman"/>
          <w:sz w:val="21"/>
          <w:szCs w:val="21"/>
        </w:rPr>
        <w:t xml:space="preserve">B </w:t>
      </w:r>
      <w:r>
        <w:rPr>
          <w:rFonts w:hint="eastAsia" w:ascii="宋体" w:hAnsi="宋体" w:eastAsia="宋体" w:cs="宋体"/>
          <w:sz w:val="21"/>
          <w:szCs w:val="21"/>
        </w:rPr>
        <w:t>债权投资、其他债权投资</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对于债权投资和其他债权投资，本公司按照投资的性质，根据交易对手和风险敞口的各种类型，通过违约风险敞口和未来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个月内或整个存续期预期信用损失率，计算预期信用损失。</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②具有较低的信用风险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③信用风险显著增加</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在确定信用风险自初始确认后是否显著增加时，本公司考虑无须付出不必要的额外成本 或努力即可获得的合理且有依据的信息，包括前瞻性信息。本公司考虑的信息包括：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 xml:space="preserve"> 信用风险变化所导致的内部价格指标是否发生显著变化；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 xml:space="preserve"> 预期将导致债务人履行其偿债义务的能力是否发生显著变化的业务、财务或经济状 况的不利变化；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 xml:space="preserve"> 债务人经营成果实际或预期是否发生显著变化；债务人所处的监管、经济或技术环 境是否发生显著不利变化；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 xml:space="preserve"> 作为债务抵押的担保物价值或第三方提供的担保或信用增级质量是否发生显著变 化。这些变化预期将降低债务人按合同规定期限还款的经济动机或者影响违约概率；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E.</w:t>
      </w:r>
      <w:r>
        <w:rPr>
          <w:rFonts w:hint="eastAsia" w:ascii="宋体" w:hAnsi="宋体" w:eastAsia="宋体" w:cs="宋体"/>
          <w:sz w:val="21"/>
          <w:szCs w:val="21"/>
        </w:rPr>
        <w:t xml:space="preserve"> 预期将降低债务人按合同约定期限还款的经济动机是否发生显著变化；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F.</w:t>
      </w:r>
      <w:r>
        <w:rPr>
          <w:rFonts w:hint="eastAsia" w:ascii="宋体" w:hAnsi="宋体" w:eastAsia="宋体" w:cs="宋体"/>
          <w:sz w:val="21"/>
          <w:szCs w:val="21"/>
        </w:rPr>
        <w:t xml:space="preserve"> 借款合同的预期变更，包括预计违反合同的行为是否可能导致的合同义务的免除或 修订、给予免息期、利率跳升、要求追加抵押品或担保或者对金融工具的合同框架做出其他 变更；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G.</w:t>
      </w:r>
      <w:r>
        <w:rPr>
          <w:rFonts w:hint="eastAsia" w:ascii="宋体" w:hAnsi="宋体" w:eastAsia="宋体" w:cs="宋体"/>
          <w:sz w:val="21"/>
          <w:szCs w:val="21"/>
        </w:rPr>
        <w:t xml:space="preserve"> 债务人预期表现和还款行为是否发生显著变化；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H.</w:t>
      </w:r>
      <w:r>
        <w:rPr>
          <w:rFonts w:hint="eastAsia" w:ascii="宋体" w:hAnsi="宋体" w:eastAsia="宋体" w:cs="宋体"/>
          <w:sz w:val="21"/>
          <w:szCs w:val="21"/>
        </w:rPr>
        <w:t xml:space="preserve"> 合同付款是否发生逾期超过（含）</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通常情况下，如果逾期超过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 xml:space="preserve">日，本公司确定金融工具的信用风险已经显著增加。除非本公司无需付出过多成本或努力即可获得合理且有依据的信息，证明虽然超过合同约定的 付款期限 </w:t>
      </w:r>
      <w:r>
        <w:rPr>
          <w:rFonts w:hint="default" w:ascii="Times New Roman" w:hAnsi="Times New Roman" w:eastAsia="宋体" w:cs="Times New Roman"/>
          <w:sz w:val="21"/>
          <w:szCs w:val="21"/>
        </w:rPr>
        <w:t xml:space="preserve">30 </w:t>
      </w:r>
      <w:r>
        <w:rPr>
          <w:rFonts w:hint="eastAsia" w:ascii="宋体" w:hAnsi="宋体" w:eastAsia="宋体" w:cs="宋体"/>
          <w:sz w:val="21"/>
          <w:szCs w:val="21"/>
        </w:rPr>
        <w:t>天，但信用风险自初始确认以来并未显著增加。</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④已发生信用减值的金融资产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发行方或债务人财务困难导致该金融资产的活跃市场消失；以大幅折扣购买或源生一项金融 资产，该折扣反映了发生信用损失的事实。</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⑤预期信用损失准备的列报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⑥核销</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keepNext/>
        <w:keepLines/>
        <w:spacing w:before="300" w:after="300" w:line="280" w:lineRule="exact"/>
        <w:jc w:val="left"/>
        <w:outlineLvl w:val="2"/>
        <w:rPr>
          <w:rFonts w:ascii="宋体" w:hAnsi="宋体" w:eastAsia="宋体" w:cs="宋体"/>
          <w:b/>
          <w:bCs/>
          <w:sz w:val="21"/>
          <w:szCs w:val="21"/>
        </w:rPr>
      </w:pPr>
      <w:bookmarkStart w:id="112" w:name="_Toc989001"/>
      <w:r>
        <w:rPr>
          <w:rFonts w:ascii="宋体" w:hAnsi="宋体" w:eastAsia="宋体" w:cs="宋体"/>
          <w:b/>
          <w:bCs/>
          <w:sz w:val="21"/>
          <w:szCs w:val="21"/>
        </w:rPr>
        <w:t>11、应收票据</w:t>
      </w:r>
      <w:bookmarkEnd w:id="112"/>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4"/>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银行承兑汇票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承兑人为信用风险较小的银行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商业承兑汇票</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承兑人为信用风险较高的公司</w:t>
            </w:r>
          </w:p>
        </w:tc>
      </w:tr>
    </w:tbl>
    <w:p>
      <w:pPr>
        <w:keepNext/>
        <w:keepLines/>
        <w:spacing w:before="300" w:after="300" w:line="280" w:lineRule="exact"/>
        <w:jc w:val="left"/>
        <w:outlineLvl w:val="2"/>
        <w:rPr>
          <w:rFonts w:ascii="宋体" w:hAnsi="宋体" w:eastAsia="宋体" w:cs="宋体"/>
          <w:b/>
          <w:bCs/>
          <w:sz w:val="21"/>
          <w:szCs w:val="21"/>
        </w:rPr>
      </w:pPr>
      <w:bookmarkStart w:id="113" w:name="_Toc989002"/>
      <w:r>
        <w:rPr>
          <w:rFonts w:ascii="宋体" w:hAnsi="宋体" w:eastAsia="宋体" w:cs="宋体"/>
          <w:b/>
          <w:bCs/>
          <w:sz w:val="21"/>
          <w:szCs w:val="21"/>
        </w:rPr>
        <w:t>12、应收账款</w:t>
      </w:r>
      <w:bookmarkEnd w:id="113"/>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对于不含重大融资成分的应收账款，本公司按照相当于整个存续期内的预期信用损失金额计量损失准备。</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对于包含重大融资成分的应收账款，本公司选择始终按照相当于存续期内预期信用损失的金额计量损失准备。</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除了单项评估信用风险的应收账款外，基于其信用风险特征，将其划分为不同组合：</w:t>
      </w:r>
    </w:p>
    <w:tbl>
      <w:tblPr>
        <w:tblStyle w:val="4"/>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91"/>
        <w:gridCol w:w="506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trPr>
        <w:tc>
          <w:tcPr>
            <w:tcW w:w="243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21"/>
                <w:szCs w:val="21"/>
              </w:rPr>
              <w:t>项目</w:t>
            </w:r>
          </w:p>
        </w:tc>
        <w:tc>
          <w:tcPr>
            <w:tcW w:w="2569"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21"/>
                <w:szCs w:val="21"/>
              </w:rPr>
              <w:t>确定组合的依据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应收第三方款项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本组合为风险较低应收关联方的应收款项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trPr>
        <w:tc>
          <w:tcPr>
            <w:tcW w:w="243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21"/>
                <w:szCs w:val="21"/>
              </w:rPr>
              <w:t>应收关联方款项</w:t>
            </w:r>
          </w:p>
        </w:tc>
        <w:tc>
          <w:tcPr>
            <w:tcW w:w="2569"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21"/>
                <w:szCs w:val="21"/>
              </w:rPr>
              <w:t>本组合以应收款项账龄作为信用风险特征</w:t>
            </w:r>
          </w:p>
        </w:tc>
      </w:tr>
    </w:tbl>
    <w:p>
      <w:pPr>
        <w:pStyle w:val="3"/>
        <w:keepNext w:val="0"/>
        <w:keepLines w:val="0"/>
        <w:widowControl/>
        <w:suppressLineNumbers w:val="0"/>
        <w:spacing w:before="15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对于划分为组合的应收账款，本公司参考历史信用损失经验，结合当前状况以及对未来经济状况的预测，编制应收账款逾期天数与整个存续期预期信用损失率对照表，计算预期信用损失。</w:t>
      </w:r>
    </w:p>
    <w:p>
      <w:pPr>
        <w:keepNext/>
        <w:keepLines/>
        <w:spacing w:before="300" w:after="300" w:line="280" w:lineRule="exact"/>
        <w:jc w:val="left"/>
        <w:outlineLvl w:val="2"/>
        <w:rPr>
          <w:rFonts w:ascii="宋体" w:hAnsi="宋体" w:eastAsia="宋体" w:cs="宋体"/>
          <w:b/>
          <w:bCs/>
          <w:sz w:val="21"/>
          <w:szCs w:val="21"/>
        </w:rPr>
      </w:pPr>
      <w:bookmarkStart w:id="114" w:name="_Toc989003"/>
      <w:r>
        <w:rPr>
          <w:rFonts w:ascii="宋体" w:hAnsi="宋体" w:eastAsia="宋体" w:cs="宋体"/>
          <w:b/>
          <w:bCs/>
          <w:sz w:val="21"/>
          <w:szCs w:val="21"/>
        </w:rPr>
        <w:t>13、应收款项融资</w:t>
      </w:r>
      <w:bookmarkEnd w:id="114"/>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当应收票据和应收账款同时满足以下条件时，本公司将其划分为以公允价值计量且其变动计入其他综</w:t>
      </w:r>
    </w:p>
    <w:p>
      <w:pPr>
        <w:pStyle w:val="3"/>
        <w:keepNext w:val="0"/>
        <w:keepLines w:val="0"/>
        <w:widowControl/>
        <w:suppressLineNumbers w:val="0"/>
        <w:spacing w:before="0" w:beforeAutospacing="0" w:after="0" w:afterAutospacing="0" w:line="360" w:lineRule="auto"/>
        <w:ind w:left="0" w:right="0" w:firstLine="200"/>
        <w:jc w:val="left"/>
        <w:rPr>
          <w:rFonts w:hint="default" w:ascii="Times New Roman" w:hAnsi="Times New Roman" w:cs="Times New Roman"/>
          <w:sz w:val="21"/>
          <w:szCs w:val="21"/>
        </w:rPr>
      </w:pPr>
      <w:r>
        <w:rPr>
          <w:rFonts w:hint="eastAsia" w:ascii="宋体" w:hAnsi="宋体" w:eastAsia="宋体" w:cs="宋体"/>
          <w:sz w:val="21"/>
          <w:szCs w:val="21"/>
        </w:rPr>
        <w:t>合收益的金融资产，相关具体会计处理方式见金融工具，在报表中列示为应收款项融资：</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（1）合同现金流量为对本金和以未偿付本金金额为基础的利息的支付；</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（2）本公司管理应收票据和应收账款的业务模式既以收取合同现金流量为目标又以出售为目标。</w:t>
      </w:r>
    </w:p>
    <w:p>
      <w:pPr>
        <w:keepNext/>
        <w:keepLines/>
        <w:spacing w:before="300" w:after="300" w:line="280" w:lineRule="exact"/>
        <w:jc w:val="left"/>
        <w:outlineLvl w:val="2"/>
        <w:rPr>
          <w:rFonts w:ascii="宋体" w:hAnsi="宋体" w:eastAsia="宋体" w:cs="宋体"/>
          <w:b/>
          <w:bCs/>
          <w:sz w:val="21"/>
          <w:szCs w:val="21"/>
        </w:rPr>
      </w:pPr>
      <w:bookmarkStart w:id="115" w:name="_Toc989004"/>
      <w:r>
        <w:rPr>
          <w:rFonts w:ascii="宋体" w:hAnsi="宋体" w:eastAsia="宋体" w:cs="宋体"/>
          <w:b/>
          <w:bCs/>
          <w:sz w:val="21"/>
          <w:szCs w:val="21"/>
        </w:rPr>
        <w:t>14、其他应收款</w:t>
      </w:r>
      <w:bookmarkEnd w:id="115"/>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其他应收款的预期信用损失的确定方法及会计处理方法</w:t>
      </w:r>
    </w:p>
    <w:p>
      <w:pPr>
        <w:pStyle w:val="3"/>
        <w:keepNext w:val="0"/>
        <w:keepLines w:val="0"/>
        <w:widowControl/>
        <w:suppressLineNumbers w:val="0"/>
        <w:spacing w:before="150" w:beforeAutospacing="0" w:after="150" w:afterAutospacing="0" w:line="360" w:lineRule="auto"/>
        <w:ind w:left="40" w:right="0" w:firstLine="456"/>
        <w:jc w:val="both"/>
        <w:rPr>
          <w:rFonts w:hint="default" w:ascii="Times New Roman" w:hAnsi="Times New Roman" w:cs="Times New Roman"/>
          <w:sz w:val="21"/>
          <w:szCs w:val="21"/>
        </w:rPr>
      </w:pPr>
      <w:r>
        <w:rPr>
          <w:rFonts w:hint="eastAsia" w:ascii="宋体" w:hAnsi="宋体" w:eastAsia="宋体" w:cs="宋体"/>
          <w:sz w:val="21"/>
          <w:szCs w:val="21"/>
        </w:rPr>
        <w:t>其他应收款的预期信用损失的确定方法及会计处理方法详见三、（十）金融工具。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16" w:name="_Toc989005"/>
      <w:r>
        <w:rPr>
          <w:rFonts w:ascii="宋体" w:hAnsi="宋体" w:eastAsia="宋体" w:cs="宋体"/>
          <w:b/>
          <w:bCs/>
          <w:sz w:val="21"/>
          <w:szCs w:val="21"/>
        </w:rPr>
        <w:t>15、存货</w:t>
      </w:r>
      <w:bookmarkEnd w:id="116"/>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1、存货分类</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2、存货取得和发出的计价方法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（1）公司存货按实际成本进行初始计量，存货成本包括采购成本、加工成本和其他使存货达到目前场所和状态所发生的支出。存货发出时，采用加权平均法确定其实际成本。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（2）低值易耗品及周转材料采用五五摊销法核算。</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（3）包装物采用一次摊销法核算。</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3、存货数量的盘存方法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公司存货数量的盘存方法采用永续盘存制。</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4、存货跌价准备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资产负债表日，本公司存货按照成本与可变现净值孰低计量。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keepNext/>
        <w:keepLines/>
        <w:spacing w:before="300" w:after="300" w:line="280" w:lineRule="exact"/>
        <w:jc w:val="left"/>
        <w:outlineLvl w:val="2"/>
        <w:rPr>
          <w:rFonts w:ascii="宋体" w:hAnsi="宋体" w:eastAsia="宋体" w:cs="宋体"/>
          <w:b/>
          <w:bCs/>
          <w:sz w:val="21"/>
          <w:szCs w:val="21"/>
        </w:rPr>
      </w:pPr>
      <w:bookmarkStart w:id="117" w:name="_Toc989006"/>
      <w:r>
        <w:rPr>
          <w:rFonts w:ascii="宋体" w:hAnsi="宋体" w:eastAsia="宋体" w:cs="宋体"/>
          <w:b/>
          <w:bCs/>
          <w:sz w:val="21"/>
          <w:szCs w:val="21"/>
        </w:rPr>
        <w:t>16、合同资产</w:t>
      </w:r>
      <w:bookmarkEnd w:id="117"/>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pStyle w:val="3"/>
        <w:keepNext w:val="0"/>
        <w:keepLines w:val="0"/>
        <w:widowControl/>
        <w:suppressLineNumbers w:val="0"/>
      </w:pPr>
      <w:r>
        <w:rPr>
          <w:rFonts w:hint="eastAsia" w:ascii="宋体" w:hAnsi="宋体" w:eastAsia="宋体" w:cs="宋体"/>
          <w:sz w:val="21"/>
          <w:szCs w:val="21"/>
        </w:rPr>
        <w:t>本公司对于因销售商品、提供劳务等日常经营活动形成的合同资产，无论是否存在重大融资成分，均按照整个存续期的预期信用损失计量损失准备。本公司对合同资产的预期信用</w:t>
      </w:r>
      <w:r>
        <w:rPr>
          <w:rFonts w:hint="default" w:ascii="Times New Roman" w:hAnsi="Times New Roman" w:eastAsia="宋体" w:cs="Times New Roman"/>
          <w:sz w:val="21"/>
          <w:szCs w:val="21"/>
        </w:rPr>
        <w:t> </w:t>
      </w:r>
      <w:r>
        <w:rPr>
          <w:rFonts w:hint="eastAsia" w:ascii="宋体" w:hAnsi="宋体" w:eastAsia="宋体" w:cs="宋体"/>
          <w:sz w:val="21"/>
          <w:szCs w:val="21"/>
        </w:rPr>
        <w:t>损失的确定方法及会计处理方法详见三、（十）金融工具。</w:t>
      </w:r>
    </w:p>
    <w:p>
      <w:pPr>
        <w:keepNext/>
        <w:keepLines/>
        <w:spacing w:before="300" w:after="300" w:line="280" w:lineRule="exact"/>
        <w:jc w:val="left"/>
        <w:outlineLvl w:val="2"/>
        <w:rPr>
          <w:rFonts w:ascii="宋体" w:hAnsi="宋体" w:eastAsia="宋体" w:cs="宋体"/>
          <w:b/>
          <w:bCs/>
          <w:sz w:val="21"/>
          <w:szCs w:val="21"/>
        </w:rPr>
      </w:pPr>
      <w:bookmarkStart w:id="118" w:name="_Toc989007"/>
      <w:r>
        <w:rPr>
          <w:rFonts w:ascii="宋体" w:hAnsi="宋体" w:eastAsia="宋体" w:cs="宋体"/>
          <w:b/>
          <w:bCs/>
          <w:sz w:val="21"/>
          <w:szCs w:val="21"/>
        </w:rPr>
        <w:t>17、合同成本</w:t>
      </w:r>
      <w:bookmarkEnd w:id="118"/>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、合同履约成本，是指本公司为履行合同发生的成本，该成本不属于收入准则以外的其他准则规范范围且同时满足下列条件：</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）该成本与一份当前或预期取得的合同直接相关，包括直接人工、直接材料、制造费用（或类似费用）、明确由客户承担的成本以及仅因该合同而发生的其他成本；</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）该成本增加了本公司未来用于履行履约义务的资源；</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）该成本预期能够收回。</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本公司的下列支出于发生时，计入当期损益：</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）管理费用。</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）非正常消耗的直接材料、直接人工和制造费用（或类似费用），这些支出为履行合同发生，但未反映在合同价格中。</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）与履约义务中已履行部分相关的支出。</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）无法在尚未履行的与已履行的履约义务之间区分的相关支出。</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、本公司与合同成本有关的资产，应当采用与该资产相关的商品收入确认相同的基础进行摊销，计入当期损益。</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4</w:t>
      </w:r>
      <w:r>
        <w:rPr>
          <w:rFonts w:hint="eastAsia" w:ascii="宋体" w:hAnsi="宋体" w:eastAsia="宋体" w:cs="宋体"/>
          <w:sz w:val="21"/>
          <w:szCs w:val="21"/>
        </w:rPr>
        <w:t>、本公司与合同成本有关的资产，其账面价值高于下列两项的差额的，超出部分计提减值准备，并确认为资产减值损失：</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）本公司因转让与该资产相关的商品预期能够取得的剩余对价；</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）为转让该相关商品估计将要发生的成本。</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以前期间减值的因素之后发生变化，使得上述</w:t>
      </w:r>
      <w:r>
        <w:rPr>
          <w:rFonts w:hint="default" w:ascii="Times New Roman" w:hAnsi="Times New Roman" w:eastAsia="宋体" w:cs="Times New Roman"/>
          <w:sz w:val="21"/>
          <w:szCs w:val="21"/>
        </w:rPr>
        <w:t>1)</w:t>
      </w:r>
      <w:r>
        <w:rPr>
          <w:rFonts w:hint="eastAsia" w:ascii="宋体" w:hAnsi="宋体" w:eastAsia="宋体" w:cs="宋体"/>
          <w:sz w:val="21"/>
          <w:szCs w:val="21"/>
        </w:rPr>
        <w:t>减</w:t>
      </w:r>
      <w:r>
        <w:rPr>
          <w:rFonts w:hint="default" w:ascii="Times New Roman" w:hAnsi="Times New Roman" w:eastAsia="宋体" w:cs="Times New Roman"/>
          <w:sz w:val="21"/>
          <w:szCs w:val="21"/>
        </w:rPr>
        <w:t>2)</w:t>
      </w:r>
      <w:r>
        <w:rPr>
          <w:rFonts w:hint="eastAsia" w:ascii="宋体" w:hAnsi="宋体" w:eastAsia="宋体" w:cs="宋体"/>
          <w:sz w:val="21"/>
          <w:szCs w:val="21"/>
        </w:rPr>
        <w:t>的差额高于该资产账面价值的，本公司转回原已计提的资产减值准备，并计入当期损益，但转回后的资产账面价值不超过假定不计提减值准备情况下该资产在转回日的账面价值。</w:t>
      </w:r>
    </w:p>
    <w:p>
      <w:pPr>
        <w:keepNext/>
        <w:keepLines/>
        <w:spacing w:before="300" w:after="300" w:line="280" w:lineRule="exact"/>
        <w:jc w:val="left"/>
        <w:outlineLvl w:val="2"/>
        <w:rPr>
          <w:rFonts w:ascii="宋体" w:hAnsi="宋体" w:eastAsia="宋体" w:cs="宋体"/>
          <w:b/>
          <w:bCs/>
          <w:sz w:val="21"/>
          <w:szCs w:val="21"/>
        </w:rPr>
      </w:pPr>
      <w:bookmarkStart w:id="119" w:name="_Toc989008"/>
      <w:r>
        <w:rPr>
          <w:rFonts w:ascii="宋体" w:hAnsi="宋体" w:eastAsia="宋体" w:cs="宋体"/>
          <w:b/>
          <w:bCs/>
          <w:sz w:val="21"/>
          <w:szCs w:val="21"/>
        </w:rPr>
        <w:t>18、持有待售资产</w:t>
      </w:r>
      <w:bookmarkEnd w:id="119"/>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6"/>
          <w:rFonts w:hint="eastAsia" w:ascii="宋体" w:hAnsi="宋体" w:eastAsia="宋体" w:cs="宋体"/>
          <w:sz w:val="21"/>
          <w:szCs w:val="21"/>
        </w:rPr>
        <w:t>1、持有待售的非流动资产或处置组的分类与计量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本公司主要通过出售（包括具有商业实质的非货币性资产交换）而非持续使用一项非流动资产或处置组收回其账面价值时，该非流动资产或处置组被划分为持有待售类别。</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持有待售的非流动资产和持有待售的处置组中的资产不计提折旧或进行摊销；持有待售的处置组中负债的利息和其他费用继续予以确认。</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某项非流动资产或处置组被划分为持有待售类别，但后来不再满足持有待售类别划分条件的，本公司停止将其划分为持有待售类别，并按照下列两项金额中较低者计量：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①该资产或处置组被划分为持有待售类别之前的账面价值，按照其假定在没有被划分为持有待售类别的情况下本应确认的折旧、摊销或减值进行调整后的金额；</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②可收回金额。</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6"/>
          <w:rFonts w:hint="eastAsia" w:ascii="宋体" w:hAnsi="宋体" w:eastAsia="宋体" w:cs="宋体"/>
          <w:sz w:val="21"/>
          <w:szCs w:val="21"/>
        </w:rPr>
        <w:t>2、终止经营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终止经营，是指满足下列条件之一的已被本公司处置或被本公司划分为持有待售类别的、能够单独区分的组成部分：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①该组成部分代表一项独立的主要业务或一个单独的主要经营地区。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②该组成部分是拟对一项独立的主要业务或一个单独的主要经营地区进行处置的一项相关联计划的一部分。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③该组成部分是专为转售而取得的子公司。</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Style w:val="6"/>
          <w:rFonts w:hint="eastAsia" w:ascii="宋体" w:hAnsi="宋体" w:eastAsia="宋体" w:cs="宋体"/>
          <w:sz w:val="21"/>
          <w:szCs w:val="21"/>
        </w:rPr>
        <w:t>3、列报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本公司在资产负债表中将持有待售的非流动资产或持有待售的处置组中的资产列报于“持有待售资产”，将持有待售的处置组中的负债列报于“持有待售负债”。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拟结束使用而非出售且满足终止经营定义中有关组成部分的条件的处置组，自其停止使用日起作为终止经营列报。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keepNext/>
        <w:keepLines/>
        <w:spacing w:before="300" w:after="300" w:line="280" w:lineRule="exact"/>
        <w:jc w:val="left"/>
        <w:outlineLvl w:val="2"/>
        <w:rPr>
          <w:rFonts w:ascii="宋体" w:hAnsi="宋体" w:eastAsia="宋体" w:cs="宋体"/>
          <w:b/>
          <w:bCs/>
          <w:sz w:val="21"/>
          <w:szCs w:val="21"/>
        </w:rPr>
      </w:pPr>
      <w:bookmarkStart w:id="120" w:name="_Toc989009"/>
      <w:r>
        <w:rPr>
          <w:rFonts w:ascii="宋体" w:hAnsi="宋体" w:eastAsia="宋体" w:cs="宋体"/>
          <w:b/>
          <w:bCs/>
          <w:sz w:val="21"/>
          <w:szCs w:val="21"/>
        </w:rPr>
        <w:t>19、债权投资</w:t>
      </w:r>
      <w:bookmarkEnd w:id="120"/>
    </w:p>
    <w:p>
      <w:pPr>
        <w:keepNext/>
        <w:keepLines/>
        <w:spacing w:before="300" w:after="300" w:line="280" w:lineRule="exact"/>
        <w:jc w:val="left"/>
        <w:outlineLvl w:val="2"/>
        <w:rPr>
          <w:rFonts w:ascii="宋体" w:hAnsi="宋体" w:eastAsia="宋体" w:cs="宋体"/>
          <w:b/>
          <w:bCs/>
          <w:sz w:val="21"/>
          <w:szCs w:val="21"/>
        </w:rPr>
      </w:pPr>
      <w:bookmarkStart w:id="121" w:name="_Toc989010"/>
      <w:r>
        <w:rPr>
          <w:rFonts w:ascii="宋体" w:hAnsi="宋体" w:eastAsia="宋体" w:cs="宋体"/>
          <w:b/>
          <w:bCs/>
          <w:sz w:val="21"/>
          <w:szCs w:val="21"/>
        </w:rPr>
        <w:t>20、其他债权投资</w:t>
      </w:r>
      <w:bookmarkEnd w:id="121"/>
    </w:p>
    <w:p>
      <w:pPr>
        <w:keepNext/>
        <w:keepLines/>
        <w:spacing w:before="300" w:after="300" w:line="280" w:lineRule="exact"/>
        <w:jc w:val="left"/>
        <w:outlineLvl w:val="2"/>
        <w:rPr>
          <w:rFonts w:ascii="宋体" w:hAnsi="宋体" w:eastAsia="宋体" w:cs="宋体"/>
          <w:b/>
          <w:bCs/>
          <w:sz w:val="21"/>
          <w:szCs w:val="21"/>
        </w:rPr>
      </w:pPr>
      <w:bookmarkStart w:id="122" w:name="_Toc989011"/>
      <w:r>
        <w:rPr>
          <w:rFonts w:ascii="宋体" w:hAnsi="宋体" w:eastAsia="宋体" w:cs="宋体"/>
          <w:b/>
          <w:bCs/>
          <w:sz w:val="21"/>
          <w:szCs w:val="21"/>
        </w:rPr>
        <w:t>21、长期应收款</w:t>
      </w:r>
      <w:bookmarkEnd w:id="122"/>
    </w:p>
    <w:p>
      <w:pPr>
        <w:keepNext/>
        <w:keepLines/>
        <w:spacing w:before="300" w:after="300" w:line="280" w:lineRule="exact"/>
        <w:jc w:val="left"/>
        <w:outlineLvl w:val="2"/>
        <w:rPr>
          <w:rFonts w:ascii="宋体" w:hAnsi="宋体" w:eastAsia="宋体" w:cs="宋体"/>
          <w:b/>
          <w:bCs/>
          <w:sz w:val="21"/>
          <w:szCs w:val="21"/>
        </w:rPr>
      </w:pPr>
      <w:bookmarkStart w:id="123" w:name="_Toc989012"/>
      <w:r>
        <w:rPr>
          <w:rFonts w:ascii="宋体" w:hAnsi="宋体" w:eastAsia="宋体" w:cs="宋体"/>
          <w:b/>
          <w:bCs/>
          <w:sz w:val="21"/>
          <w:szCs w:val="21"/>
        </w:rPr>
        <w:t>22、长期股权投资</w:t>
      </w:r>
      <w:bookmarkEnd w:id="123"/>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长期股权投资是指本公司对被投资单位具有控制、共同控制或重大影响的长期股权投资。</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1、初始投资成本确定</w:t>
      </w:r>
    </w:p>
    <w:p>
      <w:pPr>
        <w:pStyle w:val="3"/>
        <w:keepNext w:val="0"/>
        <w:keepLines w:val="0"/>
        <w:widowControl/>
        <w:suppressLineNumbers w:val="0"/>
        <w:spacing w:before="0" w:beforeAutospacing="0" w:after="0" w:afterAutospacing="0" w:line="460" w:lineRule="atLeast"/>
        <w:ind w:left="0" w:right="0" w:firstLine="436"/>
        <w:jc w:val="both"/>
        <w:rPr>
          <w:rFonts w:hint="eastAsia" w:ascii="宋体" w:hAnsi="宋体" w:eastAsia="宋体" w:cs="宋体"/>
          <w:sz w:val="21"/>
          <w:szCs w:val="21"/>
        </w:rPr>
      </w:pPr>
      <w:r>
        <w:rPr>
          <w:rFonts w:hint="eastAsia" w:ascii="宋体" w:hAnsi="宋体" w:eastAsia="宋体" w:cs="宋体"/>
          <w:sz w:val="21"/>
          <w:szCs w:val="21"/>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债务重组》的有关规定确定；非货币性资产交换取得，初始投资成本根据准则相关规定确定。</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2、后续计量及损益确认方法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（1）成本法核算</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（2）权益法核算</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3、长期股权投资核算方法的转换</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w:t>
      </w:r>
      <w:r>
        <w:rPr>
          <w:rFonts w:ascii="Courier New" w:hAnsi="Courier New" w:eastAsia="宋体" w:cs="Courier New"/>
          <w:sz w:val="21"/>
          <w:szCs w:val="21"/>
        </w:rPr>
        <w:t>——</w:t>
      </w:r>
      <w:r>
        <w:rPr>
          <w:rFonts w:hint="eastAsia" w:ascii="宋体" w:hAnsi="宋体" w:eastAsia="宋体" w:cs="宋体"/>
          <w:sz w:val="21"/>
          <w:szCs w:val="21"/>
        </w:rPr>
        <w:t>金融工具确认和计量》的有关规定进行会计处理，其在丧失控制之日的公允价值与账面价值间的差额计入当期损益。在编制合并财务报表时，应当按照《企业会计准则第33号</w:t>
      </w:r>
      <w:r>
        <w:rPr>
          <w:rFonts w:hint="default" w:ascii="Courier New" w:hAnsi="Courier New" w:eastAsia="宋体" w:cs="Courier New"/>
          <w:sz w:val="21"/>
          <w:szCs w:val="21"/>
        </w:rPr>
        <w:t>——</w:t>
      </w:r>
      <w:r>
        <w:rPr>
          <w:rFonts w:hint="eastAsia" w:ascii="宋体" w:hAnsi="宋体" w:eastAsia="宋体" w:cs="宋体"/>
          <w:sz w:val="21"/>
          <w:szCs w:val="21"/>
        </w:rPr>
        <w:t>合并财务报表》的有关规定进行会计处理。</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4、确定对被投资单位具有共同控制、重大影响的依据</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本公司通常通过以下一种或几种情形来判断是否对被投资单位具有重大影响：</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①在被投资单位的董事会或类似权力机构中派有代表。</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②参与被投资单位财务和经营政策制定过程。</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③与被投资单位之间发生重要交易。</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④向被投资单位派出管理人员。</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⑤向被投资单位提供关键技术资料。</w:t>
      </w:r>
    </w:p>
    <w:p>
      <w:pPr>
        <w:pStyle w:val="3"/>
        <w:keepNext w:val="0"/>
        <w:keepLines w:val="0"/>
        <w:widowControl/>
        <w:suppressLineNumbers w:val="0"/>
        <w:spacing w:before="0" w:beforeAutospacing="0" w:after="0" w:afterAutospacing="0" w:line="360" w:lineRule="auto"/>
        <w:ind w:left="0" w:right="0" w:firstLine="420"/>
        <w:jc w:val="both"/>
        <w:rPr>
          <w:rFonts w:hint="default" w:ascii="Times New Roman" w:hAnsi="Times New Roman" w:cs="Times New Roman"/>
          <w:sz w:val="21"/>
          <w:szCs w:val="21"/>
        </w:rPr>
      </w:pPr>
      <w:r>
        <w:rPr>
          <w:rFonts w:hint="eastAsia" w:ascii="宋体" w:hAnsi="宋体" w:eastAsia="宋体" w:cs="宋体"/>
          <w:sz w:val="21"/>
          <w:szCs w:val="21"/>
        </w:rPr>
        <w:t>存在上述一种或多种情形并不意味着本公司一定对被投资单位具有重大影响，本公司需要综合考虑所有事实和情况来做出恰当的判断。</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5、减值测试方法及减值准备计提方法</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可收回金额按照长期股权投资出售的公允价值净额与预计未来现金流量的现值之间孰高确定。</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6、长期股权投资处置</w:t>
      </w:r>
    </w:p>
    <w:p>
      <w:pPr>
        <w:pStyle w:val="3"/>
        <w:keepNext w:val="0"/>
        <w:keepLines w:val="0"/>
        <w:widowControl/>
        <w:suppressLineNumbers w:val="0"/>
        <w:spacing w:before="0" w:beforeAutospacing="0" w:after="0" w:afterAutospacing="0" w:line="460" w:lineRule="atLeast"/>
        <w:ind w:left="0" w:right="0" w:firstLine="459"/>
        <w:jc w:val="both"/>
        <w:rPr>
          <w:rFonts w:hint="eastAsia" w:ascii="宋体" w:hAnsi="宋体" w:eastAsia="宋体" w:cs="宋体"/>
          <w:sz w:val="21"/>
          <w:szCs w:val="21"/>
        </w:rPr>
      </w:pPr>
      <w:r>
        <w:rPr>
          <w:rFonts w:hint="eastAsia" w:ascii="宋体" w:hAnsi="宋体" w:eastAsia="宋体" w:cs="宋体"/>
          <w:sz w:val="21"/>
          <w:szCs w:val="21"/>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keepNext/>
        <w:keepLines/>
        <w:spacing w:before="300" w:after="300" w:line="280" w:lineRule="exact"/>
        <w:jc w:val="left"/>
        <w:outlineLvl w:val="2"/>
        <w:rPr>
          <w:rFonts w:ascii="宋体" w:hAnsi="宋体" w:eastAsia="宋体" w:cs="宋体"/>
          <w:b/>
          <w:bCs/>
          <w:sz w:val="21"/>
          <w:szCs w:val="21"/>
        </w:rPr>
      </w:pPr>
      <w:bookmarkStart w:id="124" w:name="_Toc989013"/>
      <w:r>
        <w:rPr>
          <w:rFonts w:ascii="宋体" w:hAnsi="宋体" w:eastAsia="宋体" w:cs="宋体"/>
          <w:b/>
          <w:bCs/>
          <w:sz w:val="21"/>
          <w:szCs w:val="21"/>
        </w:rPr>
        <w:t>23、投资性房地产</w:t>
      </w:r>
      <w:bookmarkEnd w:id="124"/>
    </w:p>
    <w:p>
      <w:pPr>
        <w:spacing w:before="40" w:after="40" w:line="240" w:lineRule="exact"/>
        <w:jc w:val="left"/>
        <w:rPr>
          <w:rFonts w:ascii="宋体" w:hAnsi="宋体" w:eastAsia="宋体" w:cs="宋体"/>
          <w:sz w:val="18"/>
          <w:szCs w:val="18"/>
        </w:rPr>
      </w:pPr>
      <w:r>
        <w:rPr>
          <w:rFonts w:ascii="宋体" w:hAnsi="宋体" w:eastAsia="宋体" w:cs="宋体"/>
          <w:sz w:val="18"/>
          <w:szCs w:val="18"/>
        </w:rPr>
        <w:t>投资性房地产计量模式</w:t>
      </w:r>
    </w:p>
    <w:p>
      <w:pPr>
        <w:spacing w:before="0" w:after="0" w:line="240" w:lineRule="exact"/>
        <w:jc w:val="left"/>
        <w:rPr>
          <w:rFonts w:ascii="宋体" w:hAnsi="宋体" w:eastAsia="宋体" w:cs="宋体"/>
          <w:sz w:val="18"/>
          <w:szCs w:val="18"/>
        </w:rPr>
      </w:pPr>
      <w:r>
        <w:rPr>
          <w:rFonts w:ascii="宋体" w:hAnsi="宋体" w:eastAsia="宋体" w:cs="宋体"/>
          <w:sz w:val="18"/>
          <w:szCs w:val="18"/>
        </w:rPr>
        <w:t>成本法计量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折旧或摊销方法</w:t>
      </w:r>
    </w:p>
    <w:p>
      <w:pPr>
        <w:pStyle w:val="3"/>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6"/>
          <w:rFonts w:hint="eastAsia" w:ascii="宋体" w:hAnsi="宋体" w:eastAsia="宋体" w:cs="宋体"/>
          <w:sz w:val="21"/>
          <w:szCs w:val="21"/>
        </w:rPr>
        <w:t>1、投资性房地产的种类和计量模式</w:t>
      </w:r>
    </w:p>
    <w:p>
      <w:pPr>
        <w:pStyle w:val="3"/>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本公司投资性房地产的种类：出租的土地使用权、出租的建筑物、持有并准备增值后转让的土地使用权。</w:t>
      </w:r>
    </w:p>
    <w:p>
      <w:pPr>
        <w:pStyle w:val="3"/>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本公司投资性房地产按照成本进行初始计量，采用成本模式进行后续计量。</w:t>
      </w:r>
    </w:p>
    <w:p>
      <w:pPr>
        <w:pStyle w:val="3"/>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Style w:val="6"/>
          <w:rFonts w:hint="eastAsia" w:ascii="宋体" w:hAnsi="宋体" w:eastAsia="宋体" w:cs="宋体"/>
          <w:sz w:val="21"/>
          <w:szCs w:val="21"/>
        </w:rPr>
        <w:t>2、采用成本模式核算政策</w:t>
      </w:r>
    </w:p>
    <w:p>
      <w:pPr>
        <w:pStyle w:val="3"/>
        <w:keepNext w:val="0"/>
        <w:keepLines w:val="0"/>
        <w:widowControl/>
        <w:suppressLineNumbers w:val="0"/>
        <w:spacing w:before="0" w:beforeAutospacing="0" w:after="0" w:afterAutospacing="0" w:line="360" w:lineRule="auto"/>
        <w:ind w:left="0" w:right="0" w:firstLine="422"/>
        <w:jc w:val="both"/>
        <w:rPr>
          <w:rFonts w:hint="eastAsia" w:ascii="宋体" w:hAnsi="宋体" w:eastAsia="宋体" w:cs="宋体"/>
          <w:sz w:val="21"/>
          <w:szCs w:val="21"/>
        </w:rPr>
      </w:pPr>
      <w:r>
        <w:rPr>
          <w:rFonts w:hint="eastAsia" w:ascii="宋体" w:hAnsi="宋体" w:eastAsia="宋体" w:cs="宋体"/>
          <w:sz w:val="21"/>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keepNext/>
        <w:keepLines/>
        <w:spacing w:before="300" w:after="300" w:line="280" w:lineRule="exact"/>
        <w:jc w:val="left"/>
        <w:outlineLvl w:val="2"/>
        <w:rPr>
          <w:rFonts w:ascii="宋体" w:hAnsi="宋体" w:eastAsia="宋体" w:cs="宋体"/>
          <w:b/>
          <w:bCs/>
          <w:sz w:val="21"/>
          <w:szCs w:val="21"/>
        </w:rPr>
      </w:pPr>
      <w:bookmarkStart w:id="125" w:name="_Toc989014"/>
      <w:r>
        <w:rPr>
          <w:rFonts w:ascii="宋体" w:hAnsi="宋体" w:eastAsia="宋体" w:cs="宋体"/>
          <w:b/>
          <w:bCs/>
          <w:sz w:val="21"/>
          <w:szCs w:val="21"/>
        </w:rPr>
        <w:t>24、固定资产</w:t>
      </w:r>
      <w:bookmarkEnd w:id="125"/>
    </w:p>
    <w:p>
      <w:pPr>
        <w:keepNext/>
        <w:keepLines/>
        <w:spacing w:before="300" w:after="300" w:line="280" w:lineRule="exact"/>
        <w:jc w:val="left"/>
        <w:outlineLvl w:val="3"/>
        <w:rPr>
          <w:rFonts w:ascii="宋体" w:hAnsi="宋体" w:eastAsia="宋体" w:cs="宋体"/>
          <w:b/>
          <w:bCs/>
          <w:sz w:val="21"/>
          <w:szCs w:val="21"/>
        </w:rPr>
      </w:pPr>
      <w:bookmarkStart w:id="126" w:name="_Toc989015"/>
      <w:r>
        <w:rPr>
          <w:rFonts w:ascii="宋体" w:hAnsi="宋体" w:eastAsia="宋体" w:cs="宋体"/>
          <w:b/>
          <w:bCs/>
          <w:sz w:val="21"/>
          <w:szCs w:val="21"/>
        </w:rPr>
        <w:t>（1） 确认条件</w:t>
      </w:r>
      <w:bookmarkEnd w:id="126"/>
    </w:p>
    <w:p>
      <w:pPr>
        <w:pStyle w:val="3"/>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公司的固定资产是指为生产商品、提供劳务、出租或经营管理而持有且使用寿命超过一个会计年度的有形资产。同时满足下列条件的，确认为固定资产：</w:t>
      </w:r>
    </w:p>
    <w:p>
      <w:pPr>
        <w:pStyle w:val="3"/>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（1）与该固定资产有关的经济利益很可能流入企业；</w:t>
      </w:r>
    </w:p>
    <w:p>
      <w:pPr>
        <w:pStyle w:val="3"/>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（2）该固定资产的成本能够可靠计量。</w:t>
      </w:r>
    </w:p>
    <w:p>
      <w:pPr>
        <w:pStyle w:val="3"/>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与固定资产有关的后续支出，符合上述确认条件的，计入固定资产成本，并终止确认被替换部分的账面价值；否则，在发生时计入当期损益。</w:t>
      </w:r>
    </w:p>
    <w:p>
      <w:pPr>
        <w:pStyle w:val="3"/>
        <w:keepNext w:val="0"/>
        <w:keepLines w:val="0"/>
        <w:widowControl/>
        <w:suppressLineNumbers w:val="0"/>
        <w:spacing w:line="240" w:lineRule="atLeast"/>
        <w:rPr>
          <w:rFonts w:hint="eastAsia" w:ascii="宋体" w:hAnsi="宋体" w:eastAsia="宋体" w:cs="宋体"/>
          <w:sz w:val="18"/>
          <w:szCs w:val="18"/>
        </w:rPr>
      </w:pPr>
      <w:r>
        <w:rPr>
          <w:rFonts w:hint="eastAsia" w:ascii="宋体" w:hAnsi="宋体" w:eastAsia="宋体" w:cs="宋体"/>
          <w:sz w:val="18"/>
          <w:szCs w:val="18"/>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keepNext/>
        <w:keepLines/>
        <w:spacing w:before="300" w:after="300" w:line="280" w:lineRule="exact"/>
        <w:jc w:val="left"/>
        <w:outlineLvl w:val="3"/>
        <w:rPr>
          <w:rFonts w:ascii="宋体" w:hAnsi="宋体" w:eastAsia="宋体" w:cs="宋体"/>
          <w:b/>
          <w:bCs/>
          <w:sz w:val="21"/>
          <w:szCs w:val="21"/>
        </w:rPr>
      </w:pPr>
      <w:bookmarkStart w:id="127" w:name="_Toc989016"/>
      <w:r>
        <w:rPr>
          <w:rFonts w:ascii="宋体" w:hAnsi="宋体" w:eastAsia="宋体" w:cs="宋体"/>
          <w:b/>
          <w:bCs/>
          <w:sz w:val="21"/>
          <w:szCs w:val="21"/>
        </w:rPr>
        <w:t>（2） 折旧方法</w:t>
      </w:r>
      <w:bookmarkEnd w:id="127"/>
    </w:p>
    <w:p>
      <w:pPr>
        <w:spacing w:before="0" w:after="0" w:line="0" w:lineRule="exact"/>
        <w:jc w:val="left"/>
      </w:pP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6.33%—19.00%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19.00%—23.75%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电子设备及其他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19.00%—31.67%</w:t>
            </w:r>
          </w:p>
        </w:tc>
      </w:tr>
    </w:tbl>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（3）固定资产的减值测试方法、减值准备计提方法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（4）固定资产处置</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当固定资产处置时或预期通过使用或处置不能产生经济利益时，终止确认该固定资产。固定资产出售、转让、报废或毁损的处置收入扣除其账面价值和相关税费后的差额计入当期损益。</w:t>
      </w:r>
    </w:p>
    <w:p>
      <w:pPr>
        <w:keepNext/>
        <w:keepLines/>
        <w:spacing w:before="300" w:after="300" w:line="280" w:lineRule="exact"/>
        <w:jc w:val="left"/>
        <w:outlineLvl w:val="3"/>
        <w:rPr>
          <w:rFonts w:ascii="宋体" w:hAnsi="宋体" w:eastAsia="宋体" w:cs="宋体"/>
          <w:b/>
          <w:bCs/>
          <w:sz w:val="21"/>
          <w:szCs w:val="21"/>
        </w:rPr>
      </w:pPr>
      <w:bookmarkStart w:id="128" w:name="_Toc989017"/>
      <w:r>
        <w:rPr>
          <w:rFonts w:ascii="宋体" w:hAnsi="宋体" w:eastAsia="宋体" w:cs="宋体"/>
          <w:b/>
          <w:bCs/>
          <w:sz w:val="21"/>
          <w:szCs w:val="21"/>
        </w:rPr>
        <w:t>（3） 融资租入固定资产的认定依据、计价和折旧方法</w:t>
      </w:r>
      <w:bookmarkEnd w:id="128"/>
    </w:p>
    <w:p>
      <w:pPr>
        <w:keepNext/>
        <w:keepLines/>
        <w:spacing w:before="300" w:after="300" w:line="280" w:lineRule="exact"/>
        <w:jc w:val="left"/>
        <w:outlineLvl w:val="2"/>
        <w:rPr>
          <w:rFonts w:ascii="宋体" w:hAnsi="宋体" w:eastAsia="宋体" w:cs="宋体"/>
          <w:b/>
          <w:bCs/>
          <w:sz w:val="21"/>
          <w:szCs w:val="21"/>
        </w:rPr>
      </w:pPr>
      <w:bookmarkStart w:id="129" w:name="_Toc989018"/>
      <w:r>
        <w:rPr>
          <w:rFonts w:ascii="宋体" w:hAnsi="宋体" w:eastAsia="宋体" w:cs="宋体"/>
          <w:b/>
          <w:bCs/>
          <w:sz w:val="21"/>
          <w:szCs w:val="21"/>
        </w:rPr>
        <w:t>25、在建工程</w:t>
      </w:r>
      <w:bookmarkEnd w:id="129"/>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1、在建工程的计量</w:t>
      </w:r>
    </w:p>
    <w:p>
      <w:pPr>
        <w:pStyle w:val="3"/>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在建工程成本按实际工程支出确定﹐包括在建期间发生的各项必要工程支出、工程达到预定可使用状态前的应予资本化的借款费用以及其他相关费用等。</w:t>
      </w:r>
    </w:p>
    <w:p>
      <w:pPr>
        <w:pStyle w:val="3"/>
        <w:keepNext w:val="0"/>
        <w:keepLines w:val="0"/>
        <w:widowControl/>
        <w:suppressLineNumbers w:val="0"/>
        <w:spacing w:before="0" w:beforeAutospacing="0" w:after="15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2、在建工程结转固定资产的标准和时点</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本公司在建工程在工程完工达到预定可使用状态时，结转固定资产。预定可使用状态的判断标准，应符合下列情况之一：</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（1）固定资产的实体建造（包括安装）工作已经全部完成或实质上已经全部完成；</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（2）已经试生产或试运行，并且其结果表明资产能够正常运行或能够稳定地生产出合格产品，或者试运行结果表明其能够正常运转或营业；</w:t>
      </w:r>
    </w:p>
    <w:p>
      <w:pPr>
        <w:pStyle w:val="3"/>
        <w:keepNext w:val="0"/>
        <w:keepLines w:val="0"/>
        <w:widowControl/>
        <w:suppressLineNumbers w:val="0"/>
        <w:spacing w:before="15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（3）该项建造的固定资产上的支出金额很少或者几乎不再发生；</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（4）所购建的固定资产已经达到设计或合同要求，或与设计或合同要求基本相符。</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pStyle w:val="3"/>
        <w:keepNext w:val="0"/>
        <w:keepLines w:val="0"/>
        <w:widowControl/>
        <w:suppressLineNumbers w:val="0"/>
        <w:spacing w:before="0" w:beforeAutospacing="0" w:after="0" w:afterAutospacing="0" w:line="460" w:lineRule="atLeast"/>
        <w:ind w:left="0" w:right="0" w:firstLine="420"/>
        <w:jc w:val="both"/>
        <w:rPr>
          <w:rFonts w:hint="eastAsia" w:ascii="宋体" w:hAnsi="宋体" w:eastAsia="宋体" w:cs="宋体"/>
          <w:sz w:val="21"/>
          <w:szCs w:val="21"/>
        </w:rPr>
      </w:pPr>
      <w:r>
        <w:rPr>
          <w:rStyle w:val="6"/>
          <w:rFonts w:hint="eastAsia" w:ascii="宋体" w:hAnsi="宋体" w:eastAsia="宋体" w:cs="宋体"/>
          <w:sz w:val="21"/>
          <w:szCs w:val="21"/>
        </w:rPr>
        <w:t>3、在建工程减值测试方法、减值准备计提方法</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pStyle w:val="3"/>
        <w:keepNext w:val="0"/>
        <w:keepLines w:val="0"/>
        <w:widowControl/>
        <w:suppressLineNumbers w:val="0"/>
        <w:spacing w:before="15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在建工程可收回金额根据资产公允价值减去处置费用后的净额与资产预计未来现金流量的现值两者孰高确定。</w:t>
      </w:r>
    </w:p>
    <w:p>
      <w:pPr>
        <w:keepNext/>
        <w:keepLines/>
        <w:spacing w:before="300" w:after="300" w:line="280" w:lineRule="exact"/>
        <w:jc w:val="left"/>
        <w:outlineLvl w:val="2"/>
        <w:rPr>
          <w:rFonts w:ascii="宋体" w:hAnsi="宋体" w:eastAsia="宋体" w:cs="宋体"/>
          <w:b/>
          <w:bCs/>
          <w:sz w:val="21"/>
          <w:szCs w:val="21"/>
        </w:rPr>
      </w:pPr>
      <w:bookmarkStart w:id="130" w:name="_Toc989019"/>
      <w:r>
        <w:rPr>
          <w:rFonts w:ascii="宋体" w:hAnsi="宋体" w:eastAsia="宋体" w:cs="宋体"/>
          <w:b/>
          <w:bCs/>
          <w:sz w:val="21"/>
          <w:szCs w:val="21"/>
        </w:rPr>
        <w:t>26、借款费用</w:t>
      </w:r>
      <w:bookmarkEnd w:id="130"/>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1、借款费用资本化的确认原则</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2、资本化金额的计算方法</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资本化期间：指从借款费用开始资本化时点到停止资本化时点的期间。借款费用暂停资本化的期间不包括在内。</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当购建或者生产符合资本化条件的资产达到预定可使用或者可销售状态时，本公司借款费用停止资本化。</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暂停资本化期间：在购建或生产过程中发生非正常中断、且中断时间连续超过3个月的，本公司暂停借款费用的资本化。</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keepNext/>
        <w:keepLines/>
        <w:spacing w:before="300" w:after="300" w:line="280" w:lineRule="exact"/>
        <w:jc w:val="left"/>
        <w:outlineLvl w:val="2"/>
        <w:rPr>
          <w:rFonts w:ascii="宋体" w:hAnsi="宋体" w:eastAsia="宋体" w:cs="宋体"/>
          <w:b/>
          <w:bCs/>
          <w:sz w:val="21"/>
          <w:szCs w:val="21"/>
        </w:rPr>
      </w:pPr>
      <w:bookmarkStart w:id="131" w:name="_Toc989020"/>
      <w:r>
        <w:rPr>
          <w:rFonts w:ascii="宋体" w:hAnsi="宋体" w:eastAsia="宋体" w:cs="宋体"/>
          <w:b/>
          <w:bCs/>
          <w:sz w:val="21"/>
          <w:szCs w:val="21"/>
        </w:rPr>
        <w:t>27、生物资产</w:t>
      </w:r>
      <w:bookmarkEnd w:id="131"/>
    </w:p>
    <w:p>
      <w:pPr>
        <w:keepNext/>
        <w:keepLines/>
        <w:spacing w:before="300" w:after="300" w:line="280" w:lineRule="exact"/>
        <w:jc w:val="left"/>
        <w:outlineLvl w:val="2"/>
        <w:rPr>
          <w:rFonts w:ascii="宋体" w:hAnsi="宋体" w:eastAsia="宋体" w:cs="宋体"/>
          <w:b/>
          <w:bCs/>
          <w:sz w:val="21"/>
          <w:szCs w:val="21"/>
        </w:rPr>
      </w:pPr>
      <w:bookmarkStart w:id="132" w:name="_Toc989021"/>
      <w:r>
        <w:rPr>
          <w:rFonts w:ascii="宋体" w:hAnsi="宋体" w:eastAsia="宋体" w:cs="宋体"/>
          <w:b/>
          <w:bCs/>
          <w:sz w:val="21"/>
          <w:szCs w:val="21"/>
        </w:rPr>
        <w:t>28、油气资产</w:t>
      </w:r>
      <w:bookmarkEnd w:id="132"/>
    </w:p>
    <w:p>
      <w:pPr>
        <w:keepNext/>
        <w:keepLines/>
        <w:spacing w:before="300" w:after="300" w:line="280" w:lineRule="exact"/>
        <w:jc w:val="left"/>
        <w:outlineLvl w:val="2"/>
        <w:rPr>
          <w:rFonts w:ascii="宋体" w:hAnsi="宋体" w:eastAsia="宋体" w:cs="宋体"/>
          <w:b/>
          <w:bCs/>
          <w:sz w:val="21"/>
          <w:szCs w:val="21"/>
        </w:rPr>
      </w:pPr>
      <w:bookmarkStart w:id="133" w:name="_Toc989022"/>
      <w:r>
        <w:rPr>
          <w:rFonts w:ascii="宋体" w:hAnsi="宋体" w:eastAsia="宋体" w:cs="宋体"/>
          <w:b/>
          <w:bCs/>
          <w:sz w:val="21"/>
          <w:szCs w:val="21"/>
        </w:rPr>
        <w:t>29、使用权资产</w:t>
      </w:r>
      <w:bookmarkEnd w:id="133"/>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3"/>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1</w:t>
      </w:r>
      <w:r>
        <w:rPr>
          <w:rFonts w:hint="eastAsia" w:ascii="宋体" w:hAnsi="宋体" w:eastAsia="宋体" w:cs="宋体"/>
          <w:sz w:val="21"/>
          <w:szCs w:val="21"/>
        </w:rPr>
        <w:t>）租赁负债的初始计量金额；</w:t>
      </w:r>
    </w:p>
    <w:p>
      <w:pPr>
        <w:pStyle w:val="3"/>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2</w:t>
      </w:r>
      <w:r>
        <w:rPr>
          <w:rFonts w:hint="eastAsia" w:ascii="宋体" w:hAnsi="宋体" w:eastAsia="宋体" w:cs="宋体"/>
          <w:sz w:val="21"/>
          <w:szCs w:val="21"/>
        </w:rPr>
        <w:t>）在租赁期开始日或之前支付的租赁付款额，存在租赁激励的，扣除已享受的租赁激励相关金额；</w:t>
      </w:r>
    </w:p>
    <w:p>
      <w:pPr>
        <w:pStyle w:val="3"/>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3</w:t>
      </w:r>
      <w:r>
        <w:rPr>
          <w:rFonts w:hint="eastAsia" w:ascii="宋体" w:hAnsi="宋体" w:eastAsia="宋体" w:cs="宋体"/>
          <w:sz w:val="21"/>
          <w:szCs w:val="21"/>
        </w:rPr>
        <w:t>）本公司作为承租人发生的初始直接费用；</w:t>
      </w:r>
    </w:p>
    <w:p>
      <w:pPr>
        <w:pStyle w:val="3"/>
        <w:keepNext w:val="0"/>
        <w:keepLines w:val="0"/>
        <w:widowControl/>
        <w:suppressLineNumbers w:val="0"/>
        <w:spacing w:before="0" w:beforeAutospacing="0" w:after="0" w:afterAutospacing="0" w:line="360" w:lineRule="auto"/>
        <w:ind w:left="-61" w:right="0" w:firstLine="436"/>
        <w:jc w:val="both"/>
        <w:rPr>
          <w:rFonts w:hint="default" w:ascii="Times New Roman" w:hAnsi="Times New Roman" w:cs="Times New Roman"/>
          <w:sz w:val="21"/>
          <w:szCs w:val="21"/>
        </w:rPr>
      </w:pPr>
      <w:r>
        <w:rPr>
          <w:rFonts w:hint="eastAsia" w:ascii="宋体" w:hAnsi="宋体" w:eastAsia="宋体" w:cs="宋体"/>
          <w:sz w:val="21"/>
          <w:szCs w:val="21"/>
        </w:rPr>
        <w:t>（</w:t>
      </w:r>
      <w:r>
        <w:rPr>
          <w:rFonts w:hint="default" w:ascii="Times New Roman" w:hAnsi="Times New Roman" w:eastAsia="宋体" w:cs="Times New Roman"/>
          <w:sz w:val="21"/>
          <w:szCs w:val="21"/>
        </w:rPr>
        <w:t>4</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w:t>
      </w:r>
      <w:r>
        <w:rPr>
          <w:rFonts w:hint="default" w:ascii="Times New Roman" w:hAnsi="Times New Roman" w:eastAsia="宋体" w:cs="Times New Roman"/>
          <w:sz w:val="21"/>
          <w:szCs w:val="21"/>
        </w:rPr>
        <w:t>——</w:t>
      </w:r>
      <w:r>
        <w:rPr>
          <w:rFonts w:hint="eastAsia" w:ascii="宋体" w:hAnsi="宋体" w:eastAsia="宋体" w:cs="宋体"/>
          <w:sz w:val="21"/>
          <w:szCs w:val="21"/>
        </w:rPr>
        <w:t>资产减值》的规定，确定使用权资产是否发生减值，并对已识别的减值损失进行会计处理。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keepNext/>
        <w:keepLines/>
        <w:spacing w:before="300" w:after="300" w:line="280" w:lineRule="exact"/>
        <w:jc w:val="left"/>
        <w:outlineLvl w:val="2"/>
        <w:rPr>
          <w:rFonts w:ascii="宋体" w:hAnsi="宋体" w:eastAsia="宋体" w:cs="宋体"/>
          <w:b/>
          <w:bCs/>
          <w:sz w:val="21"/>
          <w:szCs w:val="21"/>
        </w:rPr>
      </w:pPr>
      <w:bookmarkStart w:id="134" w:name="_Toc989023"/>
      <w:r>
        <w:rPr>
          <w:rFonts w:ascii="宋体" w:hAnsi="宋体" w:eastAsia="宋体" w:cs="宋体"/>
          <w:b/>
          <w:bCs/>
          <w:sz w:val="21"/>
          <w:szCs w:val="21"/>
        </w:rPr>
        <w:t>30、无形资产</w:t>
      </w:r>
      <w:bookmarkEnd w:id="134"/>
    </w:p>
    <w:p>
      <w:pPr>
        <w:keepNext/>
        <w:keepLines/>
        <w:spacing w:before="300" w:after="300" w:line="280" w:lineRule="exact"/>
        <w:jc w:val="left"/>
        <w:outlineLvl w:val="3"/>
        <w:rPr>
          <w:rFonts w:ascii="宋体" w:hAnsi="宋体" w:eastAsia="宋体" w:cs="宋体"/>
          <w:b/>
          <w:bCs/>
          <w:sz w:val="21"/>
          <w:szCs w:val="21"/>
        </w:rPr>
      </w:pPr>
      <w:bookmarkStart w:id="135" w:name="_Toc989024"/>
      <w:r>
        <w:rPr>
          <w:rFonts w:ascii="宋体" w:hAnsi="宋体" w:eastAsia="宋体" w:cs="宋体"/>
          <w:b/>
          <w:bCs/>
          <w:sz w:val="21"/>
          <w:szCs w:val="21"/>
        </w:rPr>
        <w:t>（1） 计价方法、使用寿命、减值测试</w:t>
      </w:r>
      <w:bookmarkEnd w:id="135"/>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无形资产是指本公司拥有或者控制的没有实物形态的可辨认非货币性资产。无形资产是指本公司拥有或者控制的没有实物形态的可辨认非货币性资产，在同时满足以下条件时予以确认：</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①与该无形资产有关的经济利益很可能流入本公司；</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②该无形资产的成本能够可靠地计量。</w:t>
      </w:r>
    </w:p>
    <w:p>
      <w:pPr>
        <w:pStyle w:val="3"/>
        <w:keepNext w:val="0"/>
        <w:keepLines w:val="0"/>
        <w:widowControl/>
        <w:suppressLineNumbers w:val="0"/>
        <w:spacing w:before="0" w:beforeAutospacing="1" w:after="0" w:afterAutospacing="1" w:line="360" w:lineRule="auto"/>
        <w:ind w:left="0" w:right="0" w:firstLine="436"/>
        <w:jc w:val="both"/>
      </w:pPr>
      <w:r>
        <w:rPr>
          <w:rStyle w:val="6"/>
          <w:rFonts w:hint="eastAsia" w:ascii="宋体" w:hAnsi="宋体" w:eastAsia="宋体" w:cs="宋体"/>
          <w:sz w:val="21"/>
          <w:szCs w:val="21"/>
        </w:rPr>
        <w:t>1、无形资产的计量</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3"/>
        <w:keepNext w:val="0"/>
        <w:keepLines w:val="0"/>
        <w:widowControl/>
        <w:suppressLineNumbers w:val="0"/>
        <w:spacing w:before="0" w:beforeAutospacing="1" w:after="0" w:afterAutospacing="1" w:line="360" w:lineRule="auto"/>
        <w:ind w:left="0" w:right="0" w:firstLine="436"/>
      </w:pPr>
      <w:r>
        <w:rPr>
          <w:rStyle w:val="6"/>
          <w:rFonts w:hint="eastAsia" w:ascii="宋体" w:hAnsi="宋体" w:eastAsia="宋体" w:cs="宋体"/>
          <w:sz w:val="21"/>
          <w:szCs w:val="21"/>
        </w:rPr>
        <w:t>2、使用寿命不确定的判断依据</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本公司将无法预见该资产为公司带来经济利益的期限，或使用期限不确定等无形资产确定为使用寿命不确定的无形资产。</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使用寿命不确定的判断依据：①来源于合同性权利或其他法定权利，但合同规定或法律规定无明确使用年限；②综合同行业情况或相关专家论证等，仍无法判断无形资产为公司带来经济利益的期限。</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每年年末，本公司对使用寿命不确定无形资产使用寿命进行复核，主要采取自下而上的方式，由无形资产使用相关部门进行基础复核，评价使用寿命不确定判断依据是否存在变化等。</w:t>
      </w:r>
    </w:p>
    <w:p>
      <w:pPr>
        <w:pStyle w:val="3"/>
        <w:keepNext w:val="0"/>
        <w:keepLines w:val="0"/>
        <w:widowControl/>
        <w:suppressLineNumbers w:val="0"/>
        <w:spacing w:before="0" w:beforeAutospacing="1" w:after="0" w:afterAutospacing="1" w:line="360" w:lineRule="auto"/>
        <w:ind w:left="0" w:right="0" w:firstLine="436"/>
        <w:jc w:val="both"/>
      </w:pPr>
      <w:r>
        <w:rPr>
          <w:rStyle w:val="6"/>
          <w:rFonts w:hint="eastAsia" w:ascii="宋体" w:hAnsi="宋体" w:eastAsia="宋体" w:cs="宋体"/>
          <w:sz w:val="21"/>
          <w:szCs w:val="21"/>
        </w:rPr>
        <w:t>3、无形资产的减值测试方法及减值准备计提方法</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pStyle w:val="3"/>
        <w:keepNext w:val="0"/>
        <w:keepLines w:val="0"/>
        <w:widowControl/>
        <w:suppressLineNumbers w:val="0"/>
        <w:spacing w:before="0" w:beforeAutospacing="1" w:after="0" w:afterAutospacing="1" w:line="360" w:lineRule="auto"/>
        <w:ind w:left="0" w:right="0" w:firstLine="420"/>
        <w:jc w:val="both"/>
      </w:pPr>
      <w:r>
        <w:rPr>
          <w:rFonts w:hint="eastAsia" w:ascii="宋体" w:hAnsi="宋体" w:eastAsia="宋体" w:cs="宋体"/>
          <w:sz w:val="21"/>
          <w:szCs w:val="21"/>
        </w:rPr>
        <w:t>无形资产可收回金额根据资产公允价值减去处置费用后的净额与资产预计未来现金流量的现值两者孰高确定。</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18"/>
          <w:szCs w:val="18"/>
        </w:rPr>
        <w:t> </w:t>
      </w:r>
    </w:p>
    <w:p>
      <w:pPr>
        <w:keepNext/>
        <w:keepLines/>
        <w:spacing w:before="300" w:after="300" w:line="280" w:lineRule="exact"/>
        <w:jc w:val="left"/>
        <w:outlineLvl w:val="3"/>
        <w:rPr>
          <w:rFonts w:ascii="宋体" w:hAnsi="宋体" w:eastAsia="宋体" w:cs="宋体"/>
          <w:b/>
          <w:bCs/>
          <w:sz w:val="21"/>
          <w:szCs w:val="21"/>
        </w:rPr>
      </w:pPr>
      <w:bookmarkStart w:id="136" w:name="_Toc989025"/>
      <w:r>
        <w:rPr>
          <w:rFonts w:ascii="宋体" w:hAnsi="宋体" w:eastAsia="宋体" w:cs="宋体"/>
          <w:b/>
          <w:bCs/>
          <w:sz w:val="21"/>
          <w:szCs w:val="21"/>
        </w:rPr>
        <w:t>（2） 内部研究开发支出会计政策</w:t>
      </w:r>
      <w:bookmarkEnd w:id="136"/>
    </w:p>
    <w:p>
      <w:pPr>
        <w:pStyle w:val="3"/>
        <w:keepNext w:val="0"/>
        <w:keepLines w:val="0"/>
        <w:widowControl/>
        <w:suppressLineNumbers w:val="0"/>
        <w:spacing w:before="0" w:beforeAutospacing="1" w:after="0" w:afterAutospacing="1" w:line="360" w:lineRule="auto"/>
        <w:ind w:left="0" w:right="0" w:firstLine="436"/>
      </w:pPr>
      <w:r>
        <w:rPr>
          <w:rStyle w:val="6"/>
          <w:rFonts w:hint="eastAsia" w:ascii="宋体" w:hAnsi="宋体" w:eastAsia="宋体" w:cs="宋体"/>
          <w:sz w:val="21"/>
          <w:szCs w:val="21"/>
        </w:rPr>
        <w:t>内部研究开发项目的研究阶段和开发阶段具体标准，以及开发阶段支出符合资本化条件的具体标准</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keepNext/>
        <w:keepLines/>
        <w:spacing w:before="300" w:after="300" w:line="280" w:lineRule="exact"/>
        <w:jc w:val="left"/>
        <w:outlineLvl w:val="2"/>
        <w:rPr>
          <w:rFonts w:ascii="宋体" w:hAnsi="宋体" w:eastAsia="宋体" w:cs="宋体"/>
          <w:b/>
          <w:bCs/>
          <w:sz w:val="21"/>
          <w:szCs w:val="21"/>
        </w:rPr>
      </w:pPr>
      <w:bookmarkStart w:id="137" w:name="_Toc989026"/>
      <w:r>
        <w:rPr>
          <w:rFonts w:ascii="宋体" w:hAnsi="宋体" w:eastAsia="宋体" w:cs="宋体"/>
          <w:b/>
          <w:bCs/>
          <w:sz w:val="21"/>
          <w:szCs w:val="21"/>
        </w:rPr>
        <w:t>31、长期资产减值</w:t>
      </w:r>
      <w:bookmarkEnd w:id="137"/>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本公司对因企业合并所形成的商誉和使用寿命不确定的无形资产，无论是否存在减值迹象，至少于每年末进行减值测试。对于尚未达到可使用状态的无形资产，也每年进行减值测试。</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上述资产减值损失一经确认，本公司在以后会计期间不予转回。</w:t>
      </w:r>
    </w:p>
    <w:p>
      <w:pPr>
        <w:keepNext/>
        <w:keepLines/>
        <w:spacing w:before="300" w:after="300" w:line="280" w:lineRule="exact"/>
        <w:jc w:val="left"/>
        <w:outlineLvl w:val="2"/>
        <w:rPr>
          <w:rFonts w:ascii="宋体" w:hAnsi="宋体" w:eastAsia="宋体" w:cs="宋体"/>
          <w:b/>
          <w:bCs/>
          <w:sz w:val="21"/>
          <w:szCs w:val="21"/>
        </w:rPr>
      </w:pPr>
      <w:bookmarkStart w:id="138" w:name="_Toc989027"/>
      <w:r>
        <w:rPr>
          <w:rFonts w:ascii="宋体" w:hAnsi="宋体" w:eastAsia="宋体" w:cs="宋体"/>
          <w:b/>
          <w:bCs/>
          <w:sz w:val="21"/>
          <w:szCs w:val="21"/>
        </w:rPr>
        <w:t>32、长期待摊费用</w:t>
      </w:r>
      <w:bookmarkEnd w:id="138"/>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keepNext/>
        <w:keepLines/>
        <w:spacing w:before="300" w:after="300" w:line="280" w:lineRule="exact"/>
        <w:jc w:val="left"/>
        <w:outlineLvl w:val="2"/>
        <w:rPr>
          <w:rFonts w:ascii="宋体" w:hAnsi="宋体" w:eastAsia="宋体" w:cs="宋体"/>
          <w:b/>
          <w:bCs/>
          <w:sz w:val="21"/>
          <w:szCs w:val="21"/>
        </w:rPr>
      </w:pPr>
      <w:bookmarkStart w:id="139" w:name="_Toc989028"/>
      <w:r>
        <w:rPr>
          <w:rFonts w:ascii="宋体" w:hAnsi="宋体" w:eastAsia="宋体" w:cs="宋体"/>
          <w:b/>
          <w:bCs/>
          <w:sz w:val="21"/>
          <w:szCs w:val="21"/>
        </w:rPr>
        <w:t>33、合同负债</w:t>
      </w:r>
      <w:bookmarkEnd w:id="139"/>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keepNext/>
        <w:keepLines/>
        <w:spacing w:before="300" w:after="300" w:line="280" w:lineRule="exact"/>
        <w:jc w:val="left"/>
        <w:outlineLvl w:val="2"/>
        <w:rPr>
          <w:rFonts w:ascii="宋体" w:hAnsi="宋体" w:eastAsia="宋体" w:cs="宋体"/>
          <w:b/>
          <w:bCs/>
          <w:sz w:val="21"/>
          <w:szCs w:val="21"/>
        </w:rPr>
      </w:pPr>
      <w:bookmarkStart w:id="140" w:name="_Toc989029"/>
      <w:r>
        <w:rPr>
          <w:rFonts w:ascii="宋体" w:hAnsi="宋体" w:eastAsia="宋体" w:cs="宋体"/>
          <w:b/>
          <w:bCs/>
          <w:sz w:val="21"/>
          <w:szCs w:val="21"/>
        </w:rPr>
        <w:t>34、职工薪酬</w:t>
      </w:r>
      <w:bookmarkEnd w:id="140"/>
    </w:p>
    <w:p>
      <w:pPr>
        <w:keepNext/>
        <w:keepLines/>
        <w:spacing w:before="300" w:after="300" w:line="280" w:lineRule="exact"/>
        <w:jc w:val="left"/>
        <w:outlineLvl w:val="3"/>
        <w:rPr>
          <w:rFonts w:ascii="宋体" w:hAnsi="宋体" w:eastAsia="宋体" w:cs="宋体"/>
          <w:b/>
          <w:bCs/>
          <w:sz w:val="21"/>
          <w:szCs w:val="21"/>
        </w:rPr>
      </w:pPr>
      <w:bookmarkStart w:id="141" w:name="_Toc989030"/>
      <w:r>
        <w:rPr>
          <w:rFonts w:ascii="宋体" w:hAnsi="宋体" w:eastAsia="宋体" w:cs="宋体"/>
          <w:b/>
          <w:bCs/>
          <w:sz w:val="21"/>
          <w:szCs w:val="21"/>
        </w:rPr>
        <w:t>（1） 短期薪酬的会计处理方法</w:t>
      </w:r>
      <w:bookmarkEnd w:id="141"/>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职工薪酬是本公司为获得职工提供的服务而给予的各种形式报酬以及其他相关支出，包括短期薪酬、离职后福利、辞退福利和其他长期福利。</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p>
      <w:pPr>
        <w:keepNext/>
        <w:keepLines/>
        <w:spacing w:before="300" w:after="300" w:line="280" w:lineRule="exact"/>
        <w:jc w:val="left"/>
        <w:outlineLvl w:val="3"/>
        <w:rPr>
          <w:rFonts w:ascii="宋体" w:hAnsi="宋体" w:eastAsia="宋体" w:cs="宋体"/>
          <w:b/>
          <w:bCs/>
          <w:sz w:val="21"/>
          <w:szCs w:val="21"/>
        </w:rPr>
      </w:pPr>
      <w:bookmarkStart w:id="142" w:name="_Toc989031"/>
      <w:r>
        <w:rPr>
          <w:rFonts w:ascii="宋体" w:hAnsi="宋体" w:eastAsia="宋体" w:cs="宋体"/>
          <w:b/>
          <w:bCs/>
          <w:sz w:val="21"/>
          <w:szCs w:val="21"/>
        </w:rPr>
        <w:t>（2） 离职后福利的会计处理方法</w:t>
      </w:r>
      <w:bookmarkEnd w:id="142"/>
    </w:p>
    <w:p>
      <w:pPr>
        <w:pStyle w:val="3"/>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离职后福利主要包括基本养老保险费、企业年金等，按照公司承担的风险和义务，分类为设定提存计划、设定受益计划。</w:t>
      </w:r>
    </w:p>
    <w:p>
      <w:pPr>
        <w:pStyle w:val="3"/>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设定提存计划：在根据在资产负债表日为换取职工在会计期间提供的服务而向单独主体缴存的提存金确认为负债，并按照受益对象计入当期损益或相关资产成本。</w:t>
      </w:r>
    </w:p>
    <w:p>
      <w:pPr>
        <w:pStyle w:val="3"/>
        <w:keepNext w:val="0"/>
        <w:keepLines w:val="0"/>
        <w:widowControl/>
        <w:suppressLineNumbers w:val="0"/>
        <w:spacing w:before="0" w:beforeAutospacing="0" w:after="0" w:afterAutospacing="0" w:line="360" w:lineRule="auto"/>
        <w:ind w:left="0" w:right="0" w:firstLine="440"/>
        <w:jc w:val="both"/>
        <w:rPr>
          <w:rFonts w:hint="eastAsia" w:ascii="宋体" w:hAnsi="宋体" w:eastAsia="宋体" w:cs="宋体"/>
          <w:sz w:val="21"/>
          <w:szCs w:val="21"/>
        </w:rPr>
      </w:pPr>
      <w:r>
        <w:rPr>
          <w:rFonts w:hint="eastAsia" w:ascii="宋体" w:hAnsi="宋体" w:eastAsia="宋体" w:cs="宋体"/>
          <w:sz w:val="21"/>
          <w:szCs w:val="21"/>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keepNext/>
        <w:keepLines/>
        <w:spacing w:before="300" w:after="300" w:line="280" w:lineRule="exact"/>
        <w:jc w:val="left"/>
        <w:outlineLvl w:val="3"/>
        <w:rPr>
          <w:rFonts w:ascii="宋体" w:hAnsi="宋体" w:eastAsia="宋体" w:cs="宋体"/>
          <w:b/>
          <w:bCs/>
          <w:sz w:val="21"/>
          <w:szCs w:val="21"/>
        </w:rPr>
      </w:pPr>
      <w:bookmarkStart w:id="143" w:name="_Toc989032"/>
      <w:r>
        <w:rPr>
          <w:rFonts w:ascii="宋体" w:hAnsi="宋体" w:eastAsia="宋体" w:cs="宋体"/>
          <w:b/>
          <w:bCs/>
          <w:sz w:val="21"/>
          <w:szCs w:val="21"/>
        </w:rPr>
        <w:t>（3） 辞退福利的会计处理方法</w:t>
      </w:r>
      <w:bookmarkEnd w:id="143"/>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keepNext/>
        <w:keepLines/>
        <w:spacing w:before="300" w:after="300" w:line="280" w:lineRule="exact"/>
        <w:jc w:val="left"/>
        <w:outlineLvl w:val="3"/>
        <w:rPr>
          <w:rFonts w:ascii="宋体" w:hAnsi="宋体" w:eastAsia="宋体" w:cs="宋体"/>
          <w:b/>
          <w:bCs/>
          <w:sz w:val="21"/>
          <w:szCs w:val="21"/>
        </w:rPr>
      </w:pPr>
      <w:bookmarkStart w:id="144" w:name="_Toc989033"/>
      <w:r>
        <w:rPr>
          <w:rFonts w:ascii="宋体" w:hAnsi="宋体" w:eastAsia="宋体" w:cs="宋体"/>
          <w:b/>
          <w:bCs/>
          <w:sz w:val="21"/>
          <w:szCs w:val="21"/>
        </w:rPr>
        <w:t>（4） 其他长期职工福利的会计处理方法</w:t>
      </w:r>
      <w:bookmarkEnd w:id="144"/>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145" w:name="_Toc989034"/>
      <w:r>
        <w:rPr>
          <w:rFonts w:ascii="宋体" w:hAnsi="宋体" w:eastAsia="宋体" w:cs="宋体"/>
          <w:b/>
          <w:bCs/>
          <w:sz w:val="21"/>
          <w:szCs w:val="21"/>
        </w:rPr>
        <w:t>35、租赁负债</w:t>
      </w:r>
      <w:bookmarkEnd w:id="145"/>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在租赁期开始日，本公司作为承租人对租赁确认使用权资产和租赁负债。本公司的租赁负债按照租赁期开始日尚未支付的租赁付款额的现值进行初始计量。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keepNext/>
        <w:keepLines/>
        <w:spacing w:before="300" w:after="300" w:line="280" w:lineRule="exact"/>
        <w:jc w:val="left"/>
        <w:outlineLvl w:val="2"/>
        <w:rPr>
          <w:rFonts w:ascii="宋体" w:hAnsi="宋体" w:eastAsia="宋体" w:cs="宋体"/>
          <w:b/>
          <w:bCs/>
          <w:sz w:val="21"/>
          <w:szCs w:val="21"/>
        </w:rPr>
      </w:pPr>
      <w:bookmarkStart w:id="146" w:name="_Toc989035"/>
      <w:r>
        <w:rPr>
          <w:rFonts w:ascii="宋体" w:hAnsi="宋体" w:eastAsia="宋体" w:cs="宋体"/>
          <w:b/>
          <w:bCs/>
          <w:sz w:val="21"/>
          <w:szCs w:val="21"/>
        </w:rPr>
        <w:t>36、预计负债</w:t>
      </w:r>
      <w:bookmarkEnd w:id="146"/>
    </w:p>
    <w:p>
      <w:pPr>
        <w:pStyle w:val="3"/>
        <w:keepNext w:val="0"/>
        <w:keepLines w:val="0"/>
        <w:widowControl/>
        <w:suppressLineNumbers w:val="0"/>
        <w:spacing w:before="0" w:beforeAutospacing="1" w:after="0" w:afterAutospacing="1" w:line="360" w:lineRule="auto"/>
        <w:ind w:left="0" w:right="306" w:firstLine="436"/>
        <w:jc w:val="both"/>
      </w:pPr>
      <w:r>
        <w:rPr>
          <w:rStyle w:val="6"/>
          <w:rFonts w:hint="eastAsia" w:ascii="宋体" w:hAnsi="宋体" w:eastAsia="宋体" w:cs="宋体"/>
          <w:sz w:val="21"/>
          <w:szCs w:val="21"/>
        </w:rPr>
        <w:t>1、预计负债的确认标准</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当与或有事项相关的义务是本公司承担的现时义务，且履行该义务很可能导致经济利益流出，同时其金额能够可靠地计量时确认该义务为预计负债。</w:t>
      </w:r>
    </w:p>
    <w:p>
      <w:pPr>
        <w:pStyle w:val="3"/>
        <w:keepNext w:val="0"/>
        <w:keepLines w:val="0"/>
        <w:widowControl/>
        <w:suppressLineNumbers w:val="0"/>
        <w:spacing w:before="0" w:beforeAutospacing="1" w:after="0" w:afterAutospacing="1" w:line="360" w:lineRule="auto"/>
        <w:ind w:left="0" w:right="306" w:firstLine="436"/>
        <w:jc w:val="both"/>
      </w:pPr>
      <w:r>
        <w:rPr>
          <w:rStyle w:val="6"/>
          <w:rFonts w:hint="eastAsia" w:ascii="宋体" w:hAnsi="宋体" w:eastAsia="宋体" w:cs="宋体"/>
          <w:sz w:val="21"/>
          <w:szCs w:val="21"/>
        </w:rPr>
        <w:t>2、预计负债的计量方法</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pStyle w:val="3"/>
        <w:keepNext w:val="0"/>
        <w:keepLines w:val="0"/>
        <w:widowControl/>
        <w:suppressLineNumbers w:val="0"/>
        <w:spacing w:before="0" w:beforeAutospacing="0" w:after="0" w:afterAutospacing="0" w:line="360" w:lineRule="auto"/>
        <w:ind w:left="0" w:right="0" w:firstLine="436"/>
        <w:jc w:val="both"/>
        <w:rPr>
          <w:rFonts w:hint="eastAsia" w:ascii="宋体" w:hAnsi="宋体" w:eastAsia="宋体" w:cs="宋体"/>
          <w:sz w:val="21"/>
          <w:szCs w:val="21"/>
        </w:rPr>
      </w:pPr>
      <w:r>
        <w:rPr>
          <w:rFonts w:hint="eastAsia" w:ascii="宋体" w:hAnsi="宋体" w:eastAsia="宋体" w:cs="宋体"/>
          <w:sz w:val="21"/>
          <w:szCs w:val="21"/>
        </w:rPr>
        <w:t>本公司于资产负债表日对预计负债账面价值进行复核，有确凿证据表明该账面价值不能真实反映当前最佳估计数，按照当前最佳估计数对该账面价值进行调整。</w:t>
      </w:r>
    </w:p>
    <w:p>
      <w:pPr>
        <w:pStyle w:val="3"/>
        <w:keepNext w:val="0"/>
        <w:keepLines w:val="0"/>
        <w:widowControl/>
        <w:suppressLineNumbers w:val="0"/>
        <w:spacing w:before="0" w:beforeAutospacing="0" w:after="0" w:afterAutospacing="0" w:line="360" w:lineRule="auto"/>
        <w:ind w:left="0" w:right="0" w:firstLine="420"/>
        <w:jc w:val="both"/>
        <w:rPr>
          <w:rFonts w:hint="eastAsia" w:ascii="宋体" w:hAnsi="宋体" w:eastAsia="宋体" w:cs="宋体"/>
          <w:sz w:val="21"/>
          <w:szCs w:val="21"/>
        </w:rPr>
      </w:pPr>
      <w:r>
        <w:rPr>
          <w:rFonts w:hint="eastAsia" w:ascii="宋体" w:hAnsi="宋体" w:eastAsia="宋体" w:cs="宋体"/>
          <w:sz w:val="21"/>
          <w:szCs w:val="21"/>
        </w:rPr>
        <w:t>如果清偿预计负债所需支出全部或部分预期由第三方补偿的，补偿金额在基本确定能够收到时，作为资产单独确认，且确认的补偿金额不超过预计负债的账面价值。</w:t>
      </w:r>
    </w:p>
    <w:p>
      <w:pPr>
        <w:keepNext/>
        <w:keepLines/>
        <w:spacing w:before="300" w:after="300" w:line="280" w:lineRule="exact"/>
        <w:jc w:val="left"/>
        <w:outlineLvl w:val="2"/>
        <w:rPr>
          <w:rFonts w:ascii="宋体" w:hAnsi="宋体" w:eastAsia="宋体" w:cs="宋体"/>
          <w:b/>
          <w:bCs/>
          <w:sz w:val="21"/>
          <w:szCs w:val="21"/>
        </w:rPr>
      </w:pPr>
      <w:bookmarkStart w:id="147" w:name="_Toc989036"/>
      <w:r>
        <w:rPr>
          <w:rFonts w:ascii="宋体" w:hAnsi="宋体" w:eastAsia="宋体" w:cs="宋体"/>
          <w:b/>
          <w:bCs/>
          <w:sz w:val="21"/>
          <w:szCs w:val="21"/>
        </w:rPr>
        <w:t>37、股份支付</w:t>
      </w:r>
      <w:bookmarkEnd w:id="147"/>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本公司的股份支付是为了获取职工[或其他方]提供服务而授予权益工具或者承担以权益工具为基础确定的负债的交易。本公司的股份支付分为以权益结算的股份支付和以现金结算的股份支付。</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keepNext/>
        <w:keepLines/>
        <w:spacing w:before="300" w:after="300" w:line="280" w:lineRule="exact"/>
        <w:jc w:val="left"/>
        <w:outlineLvl w:val="2"/>
        <w:rPr>
          <w:rFonts w:ascii="宋体" w:hAnsi="宋体" w:eastAsia="宋体" w:cs="宋体"/>
          <w:b/>
          <w:bCs/>
          <w:sz w:val="21"/>
          <w:szCs w:val="21"/>
        </w:rPr>
      </w:pPr>
      <w:bookmarkStart w:id="148" w:name="_Toc989037"/>
      <w:r>
        <w:rPr>
          <w:rFonts w:ascii="宋体" w:hAnsi="宋体" w:eastAsia="宋体" w:cs="宋体"/>
          <w:b/>
          <w:bCs/>
          <w:sz w:val="21"/>
          <w:szCs w:val="21"/>
        </w:rPr>
        <w:t>38、优先股、永续债等其他金融工具</w:t>
      </w:r>
      <w:bookmarkEnd w:id="148"/>
    </w:p>
    <w:p>
      <w:pPr>
        <w:keepNext/>
        <w:keepLines/>
        <w:spacing w:before="300" w:after="300" w:line="280" w:lineRule="exact"/>
        <w:jc w:val="left"/>
        <w:outlineLvl w:val="2"/>
        <w:rPr>
          <w:rFonts w:ascii="宋体" w:hAnsi="宋体" w:eastAsia="宋体" w:cs="宋体"/>
          <w:b/>
          <w:bCs/>
          <w:sz w:val="21"/>
          <w:szCs w:val="21"/>
        </w:rPr>
      </w:pPr>
      <w:bookmarkStart w:id="149" w:name="_Toc989038"/>
      <w:r>
        <w:rPr>
          <w:rFonts w:ascii="宋体" w:hAnsi="宋体" w:eastAsia="宋体" w:cs="宋体"/>
          <w:b/>
          <w:bCs/>
          <w:sz w:val="21"/>
          <w:szCs w:val="21"/>
        </w:rPr>
        <w:t>39、收入</w:t>
      </w:r>
      <w:bookmarkEnd w:id="149"/>
    </w:p>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收入确认和计量所采用的会计政策</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pStyle w:val="3"/>
        <w:keepNext w:val="0"/>
        <w:keepLines w:val="0"/>
        <w:widowControl/>
        <w:suppressLineNumbers w:val="0"/>
        <w:spacing w:before="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公司销售商品收入确认的具体原则为：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外销销售收入确认：</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pStyle w:val="3"/>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国内销售收入确认：</w:t>
      </w:r>
    </w:p>
    <w:p>
      <w:pPr>
        <w:pStyle w:val="3"/>
        <w:keepNext w:val="0"/>
        <w:keepLines w:val="0"/>
        <w:widowControl/>
        <w:suppressLineNumbers w:val="0"/>
        <w:spacing w:before="0" w:beforeAutospacing="0" w:after="0" w:afterAutospacing="0" w:line="360" w:lineRule="auto"/>
        <w:ind w:left="0" w:right="0" w:firstLine="327"/>
        <w:jc w:val="both"/>
        <w:rPr>
          <w:rFonts w:hint="default" w:ascii="Times New Roman" w:hAnsi="Times New Roman" w:cs="Times New Roman"/>
          <w:sz w:val="21"/>
          <w:szCs w:val="21"/>
        </w:rPr>
      </w:pPr>
      <w:r>
        <w:rPr>
          <w:rFonts w:hint="eastAsia" w:ascii="宋体" w:hAnsi="宋体" w:eastAsia="宋体" w:cs="宋体"/>
          <w:sz w:val="21"/>
          <w:szCs w:val="21"/>
        </w:rPr>
        <w:t>如需要检验或安装的，在客户接受商品并且检验或安装完毕时控制权发生转移，确认销售收入；无需检验或安装的，在产品出库且对方确认收到产品时控制权发生转移，确认销售收入。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同类业务采用不同经营模式导致收入确认会计政策存在差异的情况</w:t>
      </w:r>
    </w:p>
    <w:p>
      <w:pPr>
        <w:keepNext/>
        <w:keepLines/>
        <w:spacing w:before="300" w:after="300" w:line="280" w:lineRule="exact"/>
        <w:jc w:val="left"/>
        <w:outlineLvl w:val="2"/>
        <w:rPr>
          <w:rFonts w:ascii="宋体" w:hAnsi="宋体" w:eastAsia="宋体" w:cs="宋体"/>
          <w:b/>
          <w:bCs/>
          <w:sz w:val="21"/>
          <w:szCs w:val="21"/>
        </w:rPr>
      </w:pPr>
      <w:bookmarkStart w:id="150" w:name="_Toc989039"/>
      <w:r>
        <w:rPr>
          <w:rFonts w:ascii="宋体" w:hAnsi="宋体" w:eastAsia="宋体" w:cs="宋体"/>
          <w:b/>
          <w:bCs/>
          <w:sz w:val="21"/>
          <w:szCs w:val="21"/>
        </w:rPr>
        <w:t>40、政府补助</w:t>
      </w:r>
      <w:bookmarkEnd w:id="150"/>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1、政府补助类型</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2、与资产相关的政府补助的会计处理方法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3、与收益相关的政府补助的会计处理方法</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本公司取得的政策性优惠贷款贴息，区分以下两种情况，分别进行会计处理：</w:t>
      </w:r>
    </w:p>
    <w:p>
      <w:pPr>
        <w:pStyle w:val="3"/>
        <w:keepNext w:val="0"/>
        <w:keepLines w:val="0"/>
        <w:widowControl/>
        <w:suppressLineNumbers w:val="0"/>
        <w:spacing w:before="0" w:beforeAutospacing="1" w:after="0" w:afterAutospacing="1" w:line="360" w:lineRule="auto"/>
        <w:ind w:left="0" w:right="0" w:firstLine="436"/>
      </w:pPr>
      <w:r>
        <w:rPr>
          <w:rFonts w:hint="eastAsia" w:ascii="宋体" w:hAnsi="宋体" w:eastAsia="宋体" w:cs="宋体"/>
          <w:sz w:val="21"/>
          <w:szCs w:val="21"/>
        </w:rPr>
        <w:t>（1）财政将贴息资金拨付给贷款银行，由贷款银行以政策性优惠利率向本公司提供贷款的，本公司以实际收到的借款金额作为借款的入账价值，按照借款本金和该政策性优惠利率计算相关借款费用。</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（2）财政将贴息资金直接拨付给本公司的，本公司将对应的贴息冲减相关借款费用。</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4、区分与资产相关政府补助和与收益相关政府补助的具体标准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企业取得的政府补助，用于补助长期资产购置、建造等直接相关支出，为与资产相关的政府补助。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企业取得的政府补助，用于补助补偿的期间费用或损失的，为与收益相关的政府补助。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企业取得的综合性项目补助，依据批准文件或申请文件将其划分为与资产相关的政府补助和与收益相关的政府补助。难以区分的，将政府补助整体归类为与收益相关的政府补助。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sz w:val="21"/>
          <w:szCs w:val="21"/>
        </w:rPr>
        <w:t>5、政府补助的确认时点</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按照应收金额计量的政府补助，本公司在期末有确凿证据表明能够符合财政扶持政策规定的相关条件且预计能够收到财政扶持资金时予以确认。</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除按照应收金额计量的政府补助外的其他政府补助，本公司在实际收到补助款项时予以确认。</w:t>
      </w:r>
    </w:p>
    <w:p>
      <w:pPr>
        <w:keepNext/>
        <w:keepLines/>
        <w:spacing w:before="300" w:after="300" w:line="280" w:lineRule="exact"/>
        <w:jc w:val="left"/>
        <w:outlineLvl w:val="2"/>
        <w:rPr>
          <w:rFonts w:ascii="宋体" w:hAnsi="宋体" w:eastAsia="宋体" w:cs="宋体"/>
          <w:b/>
          <w:bCs/>
          <w:sz w:val="21"/>
          <w:szCs w:val="21"/>
        </w:rPr>
      </w:pPr>
      <w:bookmarkStart w:id="151" w:name="_Toc989040"/>
      <w:r>
        <w:rPr>
          <w:rFonts w:ascii="宋体" w:hAnsi="宋体" w:eastAsia="宋体" w:cs="宋体"/>
          <w:b/>
          <w:bCs/>
          <w:sz w:val="21"/>
          <w:szCs w:val="21"/>
        </w:rPr>
        <w:t>41、递延所得税资产/递延所得税负债</w:t>
      </w:r>
      <w:bookmarkEnd w:id="151"/>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6、同时满足下列条件的递延所得税资产和递延所得税负债以抵销后的净额列示：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（1）递延所得税资产和递延所得税负债与同一税收征管部门对本公司内同一纳税主体征收的所得税相关；</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（2）本公司内该纳税主体拥有以净额结算当期所得税资产及当期所得税负债的法定权利。</w:t>
      </w:r>
    </w:p>
    <w:p>
      <w:pPr>
        <w:keepNext/>
        <w:keepLines/>
        <w:spacing w:before="300" w:after="300" w:line="280" w:lineRule="exact"/>
        <w:jc w:val="left"/>
        <w:outlineLvl w:val="2"/>
        <w:rPr>
          <w:rFonts w:ascii="宋体" w:hAnsi="宋体" w:eastAsia="宋体" w:cs="宋体"/>
          <w:b/>
          <w:bCs/>
          <w:sz w:val="21"/>
          <w:szCs w:val="21"/>
        </w:rPr>
      </w:pPr>
      <w:bookmarkStart w:id="152" w:name="_Toc989041"/>
      <w:r>
        <w:rPr>
          <w:rFonts w:ascii="宋体" w:hAnsi="宋体" w:eastAsia="宋体" w:cs="宋体"/>
          <w:b/>
          <w:bCs/>
          <w:sz w:val="21"/>
          <w:szCs w:val="21"/>
        </w:rPr>
        <w:t>42、租赁</w:t>
      </w:r>
      <w:bookmarkEnd w:id="152"/>
    </w:p>
    <w:p>
      <w:pPr>
        <w:keepNext/>
        <w:keepLines/>
        <w:spacing w:before="300" w:after="300" w:line="280" w:lineRule="exact"/>
        <w:jc w:val="left"/>
        <w:outlineLvl w:val="3"/>
        <w:rPr>
          <w:rFonts w:ascii="宋体" w:hAnsi="宋体" w:eastAsia="宋体" w:cs="宋体"/>
          <w:b/>
          <w:bCs/>
          <w:sz w:val="21"/>
          <w:szCs w:val="21"/>
        </w:rPr>
      </w:pPr>
      <w:bookmarkStart w:id="153" w:name="_Toc989042"/>
      <w:r>
        <w:rPr>
          <w:rFonts w:ascii="宋体" w:hAnsi="宋体" w:eastAsia="宋体" w:cs="宋体"/>
          <w:b/>
          <w:bCs/>
          <w:sz w:val="21"/>
          <w:szCs w:val="21"/>
        </w:rPr>
        <w:t>（1） 经营租赁的会计处理方法</w:t>
      </w:r>
      <w:bookmarkEnd w:id="153"/>
    </w:p>
    <w:p>
      <w:pPr>
        <w:pStyle w:val="3"/>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租赁，是指在一定期间内，出租人将资产的使用权让与承租人以获取对价的合同。</w:t>
      </w:r>
    </w:p>
    <w:p>
      <w:pPr>
        <w:pStyle w:val="3"/>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在合同开始日</w:t>
      </w:r>
      <w:r>
        <w:rPr>
          <w:rFonts w:hint="default" w:ascii="Times New Roman" w:hAnsi="Times New Roman" w:eastAsia="宋体" w:cs="Times New Roman"/>
          <w:sz w:val="21"/>
          <w:szCs w:val="21"/>
        </w:rPr>
        <w:t>/</w:t>
      </w:r>
      <w:r>
        <w:rPr>
          <w:rFonts w:hint="eastAsia" w:ascii="宋体" w:hAnsi="宋体" w:eastAsia="宋体" w:cs="宋体"/>
          <w:sz w:val="21"/>
          <w:szCs w:val="21"/>
        </w:rPr>
        <w:t>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pStyle w:val="3"/>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合同中同时包含多项单独租赁的，承租人和出租人将合同予以分拆，并分别各项单独租赁进行会计处理。合同中同时包含租赁和非租赁部分的，承租人和出租人将租赁和非租赁部分进行分拆。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、本公司作为承租人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、使用权资产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使用权资产，是指本公司作为承租人可在租赁期内使用租赁资产的权利。在租赁期开始日，本公司作为承租人对租赁确认使用权资产和租赁负债，但简化处理的短期租赁和低价值资产租赁除外。</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本公司的使用权资产按照成本进行初始计量，该成本包括：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租赁负债的初始计量金额；</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在租赁期开始日或之前支付的租赁付款额，存在租赁激励的，扣除已享受的租赁激励相关金额；</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本公司作为承租人发生的初始直接费用；</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本公司为拆卸及移除租赁资产、复原租赁资产所在场地或将租赁资产恢复至租赁条款约定状态预计将发生的成本。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本公司按照《企业会计准则第</w:t>
      </w:r>
      <w:r>
        <w:rPr>
          <w:rFonts w:hint="default" w:ascii="Times New Roman" w:hAnsi="Times New Roman" w:eastAsia="宋体" w:cs="Times New Roman"/>
          <w:sz w:val="21"/>
          <w:szCs w:val="21"/>
        </w:rPr>
        <w:t>8</w:t>
      </w:r>
      <w:r>
        <w:rPr>
          <w:rFonts w:hint="eastAsia" w:ascii="宋体" w:hAnsi="宋体" w:eastAsia="宋体" w:cs="宋体"/>
          <w:sz w:val="21"/>
          <w:szCs w:val="21"/>
        </w:rPr>
        <w:t>号——资产减值》的规定，确定使用权资产是否发生减值，并对已识别的减值损失进行会计处理。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本公司根据准则重新计量租赁负债时，相应调整使用权资产的账面价值。如使用权资产的账面价值已调减至零，但租赁负债仍需进一步调减的，将剩余金额计入当期损益。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在计算租赁付款额的现值时，本公司采用租赁内含利率作为折现率；无法确定租赁内含利率的，采用本公司（即承租人）增量借款利率作为折现率。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本公司按照固定的周期性利率计算租赁负债在租赁期内各期间的利息费用，并计入当期损益或资产成本。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在租赁期开始日后，本公司续租选择权、终止租赁选择权或购买选择权评估结果发生变化的，重新确定租赁付款额，并按变动后租赁付款额和修订后的折现率计算的现值重新计量租赁负债：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、短期租赁和低价值资产租赁</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xml:space="preserve">本公司对短期租赁以及低价值资产租赁，选择不确认使用权资产和租赁负债。短期租赁，是指在租赁期开始日，租赁期不超过 </w:t>
      </w:r>
      <w:r>
        <w:rPr>
          <w:rFonts w:hint="default" w:ascii="Times New Roman" w:hAnsi="Times New Roman" w:eastAsia="宋体" w:cs="Times New Roman"/>
          <w:sz w:val="21"/>
          <w:szCs w:val="21"/>
        </w:rPr>
        <w:t xml:space="preserve">12 </w:t>
      </w:r>
      <w:r>
        <w:rPr>
          <w:rFonts w:hint="eastAsia" w:ascii="宋体" w:hAnsi="宋体" w:eastAsia="宋体" w:cs="宋体"/>
          <w:sz w:val="21"/>
          <w:szCs w:val="21"/>
        </w:rPr>
        <w:t>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租赁发生变更且同时符合下列条件的，本公司将该租赁变更作为一项单独租赁进行会计处理：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、该租赁变更通过增加一项或多项租赁资产的使用权而扩大了租赁范围；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、租赁的分类</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、本公司作为出租人记录经营租赁业务</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C</w:t>
      </w:r>
      <w:r>
        <w:rPr>
          <w:rFonts w:hint="eastAsia" w:ascii="宋体" w:hAnsi="宋体" w:eastAsia="宋体" w:cs="宋体"/>
          <w:sz w:val="21"/>
          <w:szCs w:val="21"/>
        </w:rPr>
        <w:t>、融资租赁的会计处理方法</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D</w:t>
      </w:r>
      <w:r>
        <w:rPr>
          <w:rFonts w:hint="eastAsia" w:ascii="宋体" w:hAnsi="宋体" w:eastAsia="宋体" w:cs="宋体"/>
          <w:sz w:val="21"/>
          <w:szCs w:val="21"/>
        </w:rPr>
        <w:t>租赁变更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本公司作为出租人的融资租赁发生变更且同时符合下列条件的，本公司将该变更作为一项单独租赁进行会计处理：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该变更通过增加一项或多项租赁资产的使用权而扩大了租赁范围；</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增加的对价与租赁范围扩大部分的单独价格按该合同情况调整后的金额相当。</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融资租赁的变更未作为一项单独租赁进行会计处理的，本公司作为出租人分别下列情形对变更后的租赁进行处理：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w:t>
      </w:r>
      <w:r>
        <w:rPr>
          <w:rFonts w:hint="eastAsia" w:ascii="宋体" w:hAnsi="宋体" w:eastAsia="宋体" w:cs="宋体"/>
          <w:sz w:val="21"/>
          <w:szCs w:val="21"/>
        </w:rPr>
        <w:t>假如变更在租赁开始日生效，该租赁会被分类为经营租赁的，本公司作为出租人自租赁变更生效日开始将其作为一项新租赁进行会计处理，并以租赁变更生效日前的租赁投资净额作为租赁资产的账面价值；</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w:t>
      </w:r>
      <w:r>
        <w:rPr>
          <w:rFonts w:hint="eastAsia" w:ascii="宋体" w:hAnsi="宋体" w:eastAsia="宋体" w:cs="宋体"/>
          <w:sz w:val="21"/>
          <w:szCs w:val="21"/>
        </w:rPr>
        <w:t>假如变更在租赁开始日生效，该租赁会被分类为融资租赁的，本公司作为出租人按照《企业会计准则第</w:t>
      </w:r>
      <w:r>
        <w:rPr>
          <w:rFonts w:hint="default" w:ascii="Times New Roman" w:hAnsi="Times New Roman" w:eastAsia="宋体" w:cs="Times New Roman"/>
          <w:sz w:val="21"/>
          <w:szCs w:val="21"/>
        </w:rPr>
        <w:t>22</w:t>
      </w:r>
      <w:r>
        <w:rPr>
          <w:rFonts w:hint="eastAsia" w:ascii="宋体" w:hAnsi="宋体" w:eastAsia="宋体" w:cs="宋体"/>
          <w:sz w:val="21"/>
          <w:szCs w:val="21"/>
        </w:rPr>
        <w:t>号——金融工具确认和计量》关于修改或重新议定合同的规定进行会计处理。即，修改或重新议定租赁合同，未导致应收融资租赁款终止确认</w:t>
      </w:r>
      <w:r>
        <w:rPr>
          <w:rFonts w:hint="default" w:ascii="Times New Roman" w:hAnsi="Times New Roman" w:eastAsia="宋体" w:cs="Times New Roman"/>
          <w:sz w:val="21"/>
          <w:szCs w:val="21"/>
        </w:rPr>
        <w:t>,</w:t>
      </w:r>
      <w:r>
        <w:rPr>
          <w:rFonts w:hint="eastAsia" w:ascii="宋体" w:hAnsi="宋体" w:eastAsia="宋体" w:cs="宋体"/>
          <w:sz w:val="21"/>
          <w:szCs w:val="21"/>
        </w:rPr>
        <w:t>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w:t>
      </w:r>
      <w:r>
        <w:rPr>
          <w:rFonts w:hint="default" w:ascii="Times New Roman" w:hAnsi="Times New Roman" w:eastAsia="宋体" w:cs="Times New Roman"/>
          <w:sz w:val="21"/>
          <w:szCs w:val="21"/>
        </w:rPr>
        <w:t>24</w:t>
      </w:r>
      <w:r>
        <w:rPr>
          <w:rFonts w:hint="eastAsia" w:ascii="宋体" w:hAnsi="宋体" w:eastAsia="宋体" w:cs="宋体"/>
          <w:sz w:val="21"/>
          <w:szCs w:val="21"/>
        </w:rPr>
        <w:t>号一套期会计》</w:t>
      </w:r>
      <w:r>
        <w:rPr>
          <w:rFonts w:hint="default" w:ascii="Times New Roman" w:hAnsi="Times New Roman" w:eastAsia="宋体" w:cs="Times New Roman"/>
          <w:sz w:val="21"/>
          <w:szCs w:val="21"/>
        </w:rPr>
        <w:t>(2017)</w:t>
      </w:r>
      <w:r>
        <w:rPr>
          <w:rFonts w:hint="eastAsia" w:ascii="宋体" w:hAnsi="宋体" w:eastAsia="宋体" w:cs="宋体"/>
          <w:sz w:val="21"/>
          <w:szCs w:val="21"/>
        </w:rPr>
        <w:t>第二十三条规定重新计算的折现率</w:t>
      </w:r>
      <w:r>
        <w:rPr>
          <w:rFonts w:hint="default" w:ascii="Times New Roman" w:hAnsi="Times New Roman" w:eastAsia="宋体" w:cs="Times New Roman"/>
          <w:sz w:val="21"/>
          <w:szCs w:val="21"/>
        </w:rPr>
        <w:t>(</w:t>
      </w:r>
      <w:r>
        <w:rPr>
          <w:rFonts w:hint="eastAsia" w:ascii="宋体" w:hAnsi="宋体" w:eastAsia="宋体" w:cs="宋体"/>
          <w:sz w:val="21"/>
          <w:szCs w:val="21"/>
        </w:rPr>
        <w:t>如适用</w:t>
      </w:r>
      <w:r>
        <w:rPr>
          <w:rFonts w:hint="default" w:ascii="Times New Roman" w:hAnsi="Times New Roman" w:eastAsia="宋体" w:cs="Times New Roman"/>
          <w:sz w:val="21"/>
          <w:szCs w:val="21"/>
        </w:rPr>
        <w:t>)</w:t>
      </w:r>
      <w:r>
        <w:rPr>
          <w:rFonts w:hint="eastAsia" w:ascii="宋体" w:hAnsi="宋体" w:eastAsia="宋体" w:cs="宋体"/>
          <w:sz w:val="21"/>
          <w:szCs w:val="21"/>
        </w:rPr>
        <w:t>折现的现值确定。对于修改或重新议定租赁合同所产生的所有成本和费用，本公司调整修改后的应收融资租赁款的账面价值，并在修改后应收融资租赁款的剩余期限内进行摊销。</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本公司作为出租人的经营租赁发生变更的，本公司自变更生效日起将其作为一项新租赁进行会计处理，与变更前租赁有关的预收或应收租赁收款额视为新租赁的收款额。</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、售后租回交易</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本公司按照本附注“三、（三十三）收入”所述原则评估确定售后租回交易中的资产转让是否属于销售。</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A  </w:t>
      </w:r>
      <w:r>
        <w:rPr>
          <w:rFonts w:hint="eastAsia" w:ascii="宋体" w:hAnsi="宋体" w:eastAsia="宋体" w:cs="宋体"/>
          <w:sz w:val="21"/>
          <w:szCs w:val="21"/>
        </w:rPr>
        <w:t>本公司作为卖方及承租人：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B  </w:t>
      </w:r>
      <w:r>
        <w:rPr>
          <w:rFonts w:hint="eastAsia" w:ascii="宋体" w:hAnsi="宋体" w:eastAsia="宋体" w:cs="宋体"/>
          <w:sz w:val="21"/>
          <w:szCs w:val="21"/>
        </w:rPr>
        <w:t>本公司作为买方及出租人</w:t>
      </w:r>
    </w:p>
    <w:p>
      <w:pPr>
        <w:pStyle w:val="3"/>
        <w:keepNext w:val="0"/>
        <w:keepLines w:val="0"/>
        <w:widowControl/>
        <w:suppressLineNumbers w:val="0"/>
        <w:spacing w:before="0" w:beforeAutospacing="0" w:after="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售后租回交易中的资产转让属于销售的，公司作为出租人对资产购买进行会计处理，并根据前述“（</w:t>
      </w:r>
      <w:r>
        <w:rPr>
          <w:rFonts w:hint="default" w:ascii="Times New Roman" w:hAnsi="Times New Roman" w:eastAsia="宋体" w:cs="Times New Roman"/>
          <w:sz w:val="21"/>
          <w:szCs w:val="21"/>
        </w:rPr>
        <w:t>2</w:t>
      </w:r>
      <w:r>
        <w:rPr>
          <w:rFonts w:hint="eastAsia" w:ascii="宋体" w:hAnsi="宋体" w:eastAsia="宋体" w:cs="宋体"/>
          <w:sz w:val="21"/>
          <w:szCs w:val="21"/>
        </w:rPr>
        <w:t>）本公司作为出租人”的政策对资产出租进行会计处理；售后租回交易中的资产转让不属于销售的，公司作为出租人不确认被转让资产，但确认一项与转让收入等额的金融资产。金融资产的会计处理详见本附注“（十）金融工具”。</w:t>
      </w:r>
    </w:p>
    <w:p>
      <w:pPr>
        <w:keepNext/>
        <w:keepLines/>
        <w:spacing w:before="300" w:after="300" w:line="280" w:lineRule="exact"/>
        <w:jc w:val="left"/>
        <w:outlineLvl w:val="3"/>
        <w:rPr>
          <w:rFonts w:ascii="宋体" w:hAnsi="宋体" w:eastAsia="宋体" w:cs="宋体"/>
          <w:b/>
          <w:bCs/>
          <w:sz w:val="21"/>
          <w:szCs w:val="21"/>
        </w:rPr>
      </w:pPr>
      <w:bookmarkStart w:id="154" w:name="_Toc989043"/>
      <w:r>
        <w:rPr>
          <w:rFonts w:ascii="宋体" w:hAnsi="宋体" w:eastAsia="宋体" w:cs="宋体"/>
          <w:b/>
          <w:bCs/>
          <w:sz w:val="21"/>
          <w:szCs w:val="21"/>
        </w:rPr>
        <w:t>（2） 融资租赁的会计处理方法</w:t>
      </w:r>
      <w:bookmarkEnd w:id="154"/>
    </w:p>
    <w:p>
      <w:pPr>
        <w:keepNext/>
        <w:keepLines/>
        <w:spacing w:before="300" w:after="300" w:line="280" w:lineRule="exact"/>
        <w:jc w:val="left"/>
        <w:outlineLvl w:val="2"/>
        <w:rPr>
          <w:rFonts w:ascii="宋体" w:hAnsi="宋体" w:eastAsia="宋体" w:cs="宋体"/>
          <w:b/>
          <w:bCs/>
          <w:sz w:val="21"/>
          <w:szCs w:val="21"/>
        </w:rPr>
      </w:pPr>
      <w:bookmarkStart w:id="155" w:name="_Toc989044"/>
      <w:r>
        <w:rPr>
          <w:rFonts w:ascii="宋体" w:hAnsi="宋体" w:eastAsia="宋体" w:cs="宋体"/>
          <w:b/>
          <w:bCs/>
          <w:sz w:val="21"/>
          <w:szCs w:val="21"/>
        </w:rPr>
        <w:t>43、其他重要的会计政策和会计估计</w:t>
      </w:r>
      <w:bookmarkEnd w:id="155"/>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6"/>
          <w:rFonts w:hint="eastAsia" w:ascii="宋体" w:hAnsi="宋体" w:eastAsia="宋体" w:cs="宋体"/>
          <w:sz w:val="21"/>
          <w:szCs w:val="21"/>
        </w:rPr>
        <w:t>1、股份回购</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股份回购中支付的对价和交易费用减少股东权益，回购、转让或注销本公司股份时，不确认利得或损失。</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转让库存股，按实际收到的金额与库存股账面金额的差额，计入资本公积，资本公积不足冲减的，冲减盈余公积和未分配利润。</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注销库存股，按股票面值和注销股数减少股本，按注销库存股的账面余额与面值的差额，冲减资本公积，资本公积不足冲减的，冲减盈余公积和未分配利润。</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6"/>
          <w:rFonts w:hint="eastAsia" w:ascii="宋体" w:hAnsi="宋体" w:eastAsia="宋体" w:cs="宋体"/>
          <w:sz w:val="21"/>
          <w:szCs w:val="21"/>
        </w:rPr>
        <w:t>2、债务重组</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债务重组，是指在不改变交易对手方的情况下，经债权人和债务人协定或法院裁定，就清偿债务的时间、金额或方式等重新达成协议的交易。</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（1）本公司作为债务人记录债务重组</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本公司以资产清偿债务的债务重组，在相关资产和所清偿债务符合终止确认条件时予以终止确认，所清偿债务账面价值与转让资产账面价值之间的差额计入当期损益。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号——金融工具的确认和计量》、《企业会计准则第 37 号——金融工具列报》的规定，确认和计量重组债务。</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（2）本公司作为债权人记录债务重组</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债务人以资产清偿债务或者将债务转为权益工具方式进行债务重组的，本公司在相关资产符合其定义和确认条件时予以确认。</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采用修改其他条款方式进行债务重组的，本公司按照《企业会计准则第 22 号——金融工具的确认和计量》的规定，确认和计量重组债权。</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Style w:val="6"/>
          <w:rFonts w:hint="eastAsia" w:ascii="宋体" w:hAnsi="宋体" w:eastAsia="宋体" w:cs="宋体"/>
          <w:sz w:val="21"/>
          <w:szCs w:val="21"/>
        </w:rPr>
        <w:t>3、非货币性资产交换</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pStyle w:val="3"/>
        <w:keepNext w:val="0"/>
        <w:keepLines w:val="0"/>
        <w:widowControl/>
        <w:suppressLineNumbers w:val="0"/>
        <w:spacing w:before="0" w:beforeAutospacing="0" w:after="0" w:afterAutospacing="0" w:line="360" w:lineRule="auto"/>
        <w:ind w:left="0" w:right="34" w:firstLine="436"/>
        <w:jc w:val="both"/>
        <w:rPr>
          <w:rFonts w:hint="default" w:ascii="Times New Roman" w:hAnsi="Times New Roman" w:cs="Times New Roman"/>
          <w:sz w:val="21"/>
          <w:szCs w:val="21"/>
        </w:rPr>
      </w:pPr>
      <w:r>
        <w:rPr>
          <w:rFonts w:hint="eastAsia" w:ascii="宋体" w:hAnsi="宋体" w:eastAsia="宋体" w:cs="宋体"/>
          <w:sz w:val="21"/>
          <w:szCs w:val="2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keepNext/>
        <w:keepLines/>
        <w:spacing w:before="300" w:after="300" w:line="280" w:lineRule="exact"/>
        <w:jc w:val="left"/>
        <w:outlineLvl w:val="2"/>
        <w:rPr>
          <w:rFonts w:ascii="宋体" w:hAnsi="宋体" w:eastAsia="宋体" w:cs="宋体"/>
          <w:b/>
          <w:bCs/>
          <w:sz w:val="21"/>
          <w:szCs w:val="21"/>
        </w:rPr>
      </w:pPr>
      <w:bookmarkStart w:id="156" w:name="_Toc989045"/>
      <w:r>
        <w:rPr>
          <w:rFonts w:ascii="宋体" w:hAnsi="宋体" w:eastAsia="宋体" w:cs="宋体"/>
          <w:b/>
          <w:bCs/>
          <w:sz w:val="21"/>
          <w:szCs w:val="21"/>
        </w:rPr>
        <w:t>44、重要会计政策和会计估计变更</w:t>
      </w:r>
      <w:bookmarkEnd w:id="156"/>
    </w:p>
    <w:p>
      <w:pPr>
        <w:keepNext/>
        <w:keepLines/>
        <w:spacing w:before="300" w:after="300" w:line="280" w:lineRule="exact"/>
        <w:jc w:val="left"/>
        <w:outlineLvl w:val="3"/>
        <w:rPr>
          <w:rFonts w:ascii="宋体" w:hAnsi="宋体" w:eastAsia="宋体" w:cs="宋体"/>
          <w:b/>
          <w:bCs/>
          <w:sz w:val="18"/>
          <w:szCs w:val="18"/>
        </w:rPr>
      </w:pPr>
      <w:bookmarkStart w:id="157" w:name="_Toc989046"/>
      <w:r>
        <w:rPr>
          <w:rFonts w:ascii="宋体" w:hAnsi="宋体" w:eastAsia="宋体" w:cs="宋体"/>
          <w:b/>
          <w:bCs/>
          <w:sz w:val="18"/>
          <w:szCs w:val="18"/>
        </w:rPr>
        <w:t>（1） 重要会计政策变更</w:t>
      </w:r>
      <w:bookmarkEnd w:id="157"/>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会计政策变更的内容和原因</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审批程序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财政部修订《企业会计准则第21号——租赁》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2021年4月27日公司第四届董事会第二次会议决议、第四届监事会第二次会议决议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说明:</w:t>
      </w:r>
    </w:p>
    <w:p>
      <w:pPr>
        <w:pStyle w:val="3"/>
        <w:keepNext w:val="0"/>
        <w:keepLines w:val="0"/>
        <w:widowControl/>
        <w:suppressLineNumbers w:val="0"/>
        <w:spacing w:before="3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财政部于2018年度修订了《企业会计准则第21号——租赁》（简称“新租赁准则”），本公司自2021年1月1日起施行。根据准则规定，对于首次执行日（即2021年1月1日）前已存在的合同，本公司在首次执行日选择不重新评估其是否为租赁或者包含租赁。</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①本公司作为承租人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本公司选择根据首次执行新租赁准则的累积影响数，调整首次执行新租赁准则当年年初留存收益及财务报表其他相关项目金额，不调整可比期间信息。</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对于首次执行日前已存在的融资租赁，本公司在首次执行日按照融资租入资产和应付融资租赁款的原账面价值，分别计量使用权资产和租赁负债。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对于首次执行日前已存在的经营租赁，本公司在首次执行日根据剩余租赁付款额按首次执行日本公司的增量借款利率折现的现值计量租赁负债。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②本公司作为出租人</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除转租赁外，本公司无需对其作为出租人的租赁调整首次执行新租赁准则当年期初留存收益及财务报表其他相关项目金额。本公司自首次执行日起按照新租赁准则进行会计处理。</w:t>
      </w:r>
    </w:p>
    <w:p>
      <w:pPr>
        <w:pStyle w:val="3"/>
        <w:keepNext w:val="0"/>
        <w:keepLines w:val="0"/>
        <w:widowControl/>
        <w:suppressLineNumbers w:val="0"/>
        <w:spacing w:before="0" w:beforeAutospacing="0" w:after="0" w:afterAutospacing="0" w:line="460" w:lineRule="atLeast"/>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（2）上述会计政策变更经本公司于 2021 年 4 月 27 日召开的第四届董事会第二次会议批准。</w:t>
      </w:r>
    </w:p>
    <w:p>
      <w:pPr>
        <w:pStyle w:val="3"/>
        <w:keepNext w:val="0"/>
        <w:keepLines w:val="0"/>
        <w:widowControl/>
        <w:suppressLineNumbers w:val="0"/>
        <w:spacing w:before="150" w:beforeAutospacing="0" w:after="150" w:afterAutospacing="0" w:line="460" w:lineRule="atLeast"/>
        <w:ind w:left="0" w:right="0" w:firstLine="436"/>
        <w:jc w:val="both"/>
        <w:rPr>
          <w:rFonts w:ascii="幼圆" w:hAnsi="幼圆" w:eastAsia="幼圆" w:cs="幼圆"/>
          <w:sz w:val="21"/>
          <w:szCs w:val="21"/>
        </w:rPr>
      </w:pPr>
      <w:r>
        <w:rPr>
          <w:rFonts w:hint="eastAsia" w:ascii="宋体" w:hAnsi="宋体" w:eastAsia="宋体" w:cs="宋体"/>
          <w:sz w:val="21"/>
          <w:szCs w:val="21"/>
        </w:rPr>
        <w:t>（3）首次执行新租赁准则调整首次执行当年年初财务报表相关项目情况：</w:t>
      </w:r>
    </w:p>
    <w:p>
      <w:pPr>
        <w:pStyle w:val="3"/>
        <w:keepNext w:val="0"/>
        <w:keepLines w:val="0"/>
        <w:widowControl/>
        <w:suppressLineNumbers w:val="0"/>
        <w:spacing w:before="150" w:beforeAutospacing="0" w:after="150" w:afterAutospacing="0" w:line="460" w:lineRule="atLeast"/>
        <w:ind w:left="0" w:right="0" w:firstLine="436"/>
        <w:jc w:val="both"/>
        <w:rPr>
          <w:rFonts w:hint="default" w:ascii="幼圆" w:hAnsi="幼圆" w:eastAsia="幼圆" w:cs="幼圆"/>
          <w:sz w:val="21"/>
          <w:szCs w:val="21"/>
        </w:rPr>
      </w:pPr>
      <w:r>
        <w:rPr>
          <w:rFonts w:hint="eastAsia" w:ascii="宋体" w:hAnsi="宋体" w:eastAsia="宋体" w:cs="宋体"/>
          <w:sz w:val="21"/>
          <w:szCs w:val="21"/>
        </w:rPr>
        <w:t>无</w:t>
      </w:r>
    </w:p>
    <w:p>
      <w:pPr>
        <w:keepNext/>
        <w:keepLines/>
        <w:spacing w:before="300" w:after="300" w:line="280" w:lineRule="exact"/>
        <w:jc w:val="left"/>
        <w:outlineLvl w:val="3"/>
        <w:rPr>
          <w:rFonts w:ascii="宋体" w:hAnsi="宋体" w:eastAsia="宋体" w:cs="宋体"/>
          <w:b/>
          <w:bCs/>
          <w:sz w:val="18"/>
          <w:szCs w:val="18"/>
        </w:rPr>
      </w:pPr>
      <w:bookmarkStart w:id="158" w:name="_Toc989047"/>
      <w:r>
        <w:rPr>
          <w:rFonts w:ascii="宋体" w:hAnsi="宋体" w:eastAsia="宋体" w:cs="宋体"/>
          <w:b/>
          <w:bCs/>
          <w:sz w:val="18"/>
          <w:szCs w:val="18"/>
        </w:rPr>
        <w:t>（2） 重要会计估计变更</w:t>
      </w:r>
      <w:bookmarkEnd w:id="15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159" w:name="_Toc989048"/>
      <w:r>
        <w:rPr>
          <w:rFonts w:ascii="宋体" w:hAnsi="宋体" w:eastAsia="宋体" w:cs="宋体"/>
          <w:b/>
          <w:bCs/>
          <w:sz w:val="21"/>
          <w:szCs w:val="21"/>
        </w:rPr>
        <w:t>45、其他</w:t>
      </w:r>
      <w:bookmarkEnd w:id="159"/>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320" w:lineRule="exact"/>
        <w:jc w:val="left"/>
        <w:outlineLvl w:val="1"/>
        <w:rPr>
          <w:rFonts w:ascii="宋体" w:hAnsi="宋体" w:eastAsia="宋体" w:cs="宋体"/>
          <w:b/>
          <w:bCs/>
          <w:sz w:val="24"/>
          <w:szCs w:val="24"/>
        </w:rPr>
      </w:pPr>
      <w:bookmarkStart w:id="160" w:name="_Toc989049"/>
      <w:r>
        <w:rPr>
          <w:rFonts w:ascii="宋体" w:hAnsi="宋体" w:eastAsia="宋体" w:cs="宋体"/>
          <w:b/>
          <w:bCs/>
          <w:sz w:val="24"/>
          <w:szCs w:val="24"/>
        </w:rPr>
        <w:t>六、税项</w:t>
      </w:r>
      <w:bookmarkEnd w:id="160"/>
    </w:p>
    <w:p>
      <w:pPr>
        <w:keepNext/>
        <w:keepLines/>
        <w:spacing w:before="300" w:after="300" w:line="280" w:lineRule="exact"/>
        <w:jc w:val="left"/>
        <w:outlineLvl w:val="2"/>
        <w:rPr>
          <w:rFonts w:ascii="宋体" w:hAnsi="宋体" w:eastAsia="宋体" w:cs="宋体"/>
          <w:b/>
          <w:bCs/>
          <w:sz w:val="21"/>
          <w:szCs w:val="21"/>
        </w:rPr>
      </w:pPr>
      <w:bookmarkStart w:id="161" w:name="_Toc989050"/>
      <w:r>
        <w:rPr>
          <w:rFonts w:ascii="宋体" w:hAnsi="宋体" w:eastAsia="宋体" w:cs="宋体"/>
          <w:b/>
          <w:bCs/>
          <w:sz w:val="21"/>
          <w:szCs w:val="21"/>
        </w:rPr>
        <w:t>1、主要税种及税率</w:t>
      </w:r>
      <w:bookmarkEnd w:id="161"/>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13%、9%、6%、5%、3%、1%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应纳税所得额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15%、20%、25%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应交流转税额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存在不同企业所得税税率纳税主体的，披露情况说明</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青岛伟隆流体设备有限公司、海南伟隆投资有限公司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青岛伟隆五金机械有限公司、青岛卓信检测技术有限公司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2021年1月1日至2022年12月31日，对小型微利企业年应纳税所得额不超过100万元的部分，减按12.5%计入应纳税所得额，按20%的税率缴纳企业所得税；对年应纳税所得额超过100万元但不超过300万元的部分，减按50%计入应纳税所得额，按20%的税率缴纳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LLC（美国公司）、偉隆（香港）實業有限公司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超额累进税率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青岛伟隆阀门股份有限公司、莱州伟隆阀门有限公司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15%</w:t>
            </w:r>
          </w:p>
        </w:tc>
      </w:tr>
    </w:tbl>
    <w:p>
      <w:pPr>
        <w:keepNext/>
        <w:keepLines/>
        <w:spacing w:before="300" w:after="300" w:line="280" w:lineRule="exact"/>
        <w:jc w:val="left"/>
        <w:outlineLvl w:val="2"/>
        <w:rPr>
          <w:rFonts w:ascii="宋体" w:hAnsi="宋体" w:eastAsia="宋体" w:cs="宋体"/>
          <w:b/>
          <w:bCs/>
          <w:sz w:val="21"/>
          <w:szCs w:val="21"/>
        </w:rPr>
      </w:pPr>
      <w:bookmarkStart w:id="162" w:name="_Toc989051"/>
      <w:r>
        <w:rPr>
          <w:rFonts w:ascii="宋体" w:hAnsi="宋体" w:eastAsia="宋体" w:cs="宋体"/>
          <w:b/>
          <w:bCs/>
          <w:sz w:val="21"/>
          <w:szCs w:val="21"/>
        </w:rPr>
        <w:t>2、税收优惠</w:t>
      </w:r>
      <w:bookmarkEnd w:id="162"/>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公司2021年进行高新技术企业重新认定，2021年12月14日，取得编号为GR202137101903的高新技术企业证书，自2021至2023年度执行15%的企业所得税率。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公司子公司莱州伟隆阀门有限公司2019年11月28日被认定为高新技术企业，取得编号为GR201937000844的高新技术企业证书，自2019至2021年度执行15%的企业所得税率。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shd w:val="clear" w:fill="FFFFFF"/>
        </w:rPr>
        <w:t>根据《</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7"/>
          <w:rFonts w:hint="eastAsia" w:ascii="宋体" w:hAnsi="宋体" w:eastAsia="宋体" w:cs="宋体"/>
          <w:sz w:val="21"/>
          <w:szCs w:val="21"/>
          <w:shd w:val="clear" w:fill="FFFFFF"/>
        </w:rPr>
        <w:t>国家税务总局关于实施高新技术企业所得税优惠政策有关问题的公告</w:t>
      </w:r>
      <w:r>
        <w:rPr>
          <w:rFonts w:hint="default" w:ascii="Times New Roman" w:hAnsi="Times New Roman" w:eastAsia="宋体" w:cs="Times New Roman"/>
          <w:sz w:val="21"/>
          <w:szCs w:val="21"/>
        </w:rPr>
        <w:fldChar w:fldCharType="end"/>
      </w:r>
      <w:r>
        <w:rPr>
          <w:rFonts w:hint="eastAsia" w:ascii="宋体" w:hAnsi="宋体" w:eastAsia="宋体" w:cs="宋体"/>
          <w:sz w:val="21"/>
          <w:szCs w:val="21"/>
          <w:shd w:val="clear" w:fill="FFFFFF"/>
        </w:rPr>
        <w:t>》（</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HYPERLINK "http://www.shui5.cn/article/23/112760.html" </w:instrText>
      </w:r>
      <w:r>
        <w:rPr>
          <w:rFonts w:hint="default" w:ascii="Times New Roman" w:hAnsi="Times New Roman" w:eastAsia="宋体" w:cs="Times New Roman"/>
          <w:sz w:val="21"/>
          <w:szCs w:val="21"/>
        </w:rPr>
        <w:fldChar w:fldCharType="separate"/>
      </w:r>
      <w:r>
        <w:rPr>
          <w:rStyle w:val="7"/>
          <w:rFonts w:hint="eastAsia" w:ascii="宋体" w:hAnsi="宋体" w:eastAsia="宋体" w:cs="宋体"/>
          <w:sz w:val="21"/>
          <w:szCs w:val="21"/>
          <w:shd w:val="clear" w:fill="FFFFFF"/>
        </w:rPr>
        <w:t>国家税务总局公告</w:t>
      </w:r>
      <w:r>
        <w:rPr>
          <w:rStyle w:val="7"/>
          <w:rFonts w:hint="default" w:ascii="Times New Roman" w:hAnsi="Times New Roman" w:eastAsia="宋体" w:cs="Times New Roman"/>
          <w:sz w:val="21"/>
          <w:szCs w:val="21"/>
          <w:shd w:val="clear" w:fill="FFFFFF"/>
        </w:rPr>
        <w:t>2017</w:t>
      </w:r>
      <w:r>
        <w:rPr>
          <w:rStyle w:val="7"/>
          <w:rFonts w:hint="eastAsia" w:ascii="宋体" w:hAnsi="宋体" w:eastAsia="宋体" w:cs="宋体"/>
          <w:sz w:val="21"/>
          <w:szCs w:val="21"/>
          <w:shd w:val="clear" w:fill="FFFFFF"/>
        </w:rPr>
        <w:t>年第</w:t>
      </w:r>
      <w:r>
        <w:rPr>
          <w:rStyle w:val="7"/>
          <w:rFonts w:hint="default" w:ascii="Times New Roman" w:hAnsi="Times New Roman" w:eastAsia="宋体" w:cs="Times New Roman"/>
          <w:sz w:val="21"/>
          <w:szCs w:val="21"/>
          <w:shd w:val="clear" w:fill="FFFFFF"/>
        </w:rPr>
        <w:t>24</w:t>
      </w:r>
      <w:r>
        <w:rPr>
          <w:rStyle w:val="7"/>
          <w:rFonts w:hint="eastAsia" w:ascii="宋体" w:hAnsi="宋体" w:eastAsia="宋体" w:cs="宋体"/>
          <w:sz w:val="21"/>
          <w:szCs w:val="21"/>
          <w:shd w:val="clear" w:fill="FFFFFF"/>
        </w:rPr>
        <w:t>号</w:t>
      </w:r>
      <w:r>
        <w:rPr>
          <w:rFonts w:hint="default" w:ascii="Times New Roman" w:hAnsi="Times New Roman" w:eastAsia="宋体" w:cs="Times New Roman"/>
          <w:sz w:val="21"/>
          <w:szCs w:val="21"/>
        </w:rPr>
        <w:fldChar w:fldCharType="end"/>
      </w:r>
      <w:r>
        <w:rPr>
          <w:rFonts w:hint="eastAsia" w:ascii="宋体" w:hAnsi="宋体" w:eastAsia="宋体" w:cs="宋体"/>
          <w:color w:val="333333"/>
          <w:sz w:val="21"/>
          <w:szCs w:val="21"/>
          <w:shd w:val="clear" w:fill="FFFFFF"/>
        </w:rPr>
        <w:t>）的规定，企业的高新技术企业资格期满当年，在通过重新认定前，其企业所得税暂按</w:t>
      </w:r>
      <w:r>
        <w:rPr>
          <w:rFonts w:hint="default" w:ascii="Times New Roman" w:hAnsi="Times New Roman" w:eastAsia="宋体" w:cs="Times New Roman"/>
          <w:color w:val="333333"/>
          <w:sz w:val="21"/>
          <w:szCs w:val="21"/>
          <w:shd w:val="clear" w:fill="FFFFFF"/>
        </w:rPr>
        <w:t>15%</w:t>
      </w:r>
      <w:r>
        <w:rPr>
          <w:rFonts w:hint="eastAsia" w:ascii="宋体" w:hAnsi="宋体" w:eastAsia="宋体" w:cs="宋体"/>
          <w:color w:val="333333"/>
          <w:sz w:val="21"/>
          <w:szCs w:val="21"/>
          <w:shd w:val="clear" w:fill="FFFFFF"/>
        </w:rPr>
        <w:t>的税率预缴，在年底前仍未取得高新技术企业资格的，应按规定补缴相应期间的税款</w:t>
      </w:r>
      <w:r>
        <w:rPr>
          <w:rFonts w:hint="eastAsia" w:ascii="宋体" w:hAnsi="宋体" w:eastAsia="宋体" w:cs="宋体"/>
          <w:sz w:val="21"/>
          <w:szCs w:val="21"/>
        </w:rPr>
        <w:t>。</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国家税务总局关于小规模纳税人免征增值税政策有关征管问题的公告》（国家税务总局公告2022年第6号）“一、小规模纳税人发生增值税应税销售行为，合计月销售额未超过15万元（以1个季度为1个纳税期的，季度销售额未超过45万元）的，免征增值税。” 公司子公司青岛伟隆五金机械有限公司免征增值税。</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青财税（2022）1号</w:t>
      </w:r>
      <w:r>
        <w:rPr>
          <w:rFonts w:hint="eastAsia" w:ascii="宋体" w:hAnsi="宋体" w:eastAsia="宋体" w:cs="宋体"/>
          <w:spacing w:val="8"/>
          <w:sz w:val="21"/>
          <w:szCs w:val="21"/>
          <w:shd w:val="clear" w:fill="FFFFFF"/>
        </w:rPr>
        <w:t>《青岛市财政局国家税务总局青岛市税务局关于明确疫情期间城镇土地使用税、房产税困难减免税政策的通知》（青财税〔2020〕5号）和《青岛市财政局国家税务总局青岛市税务局关于继续延续实施城镇土地使用税、房产税减免政策的通知》（青财税〔2021〕7号）中规定增值税小规模纳税人免征城镇土地使用税、房产税的期限，延长至2022年12月31日。</w:t>
      </w:r>
      <w:r>
        <w:rPr>
          <w:rFonts w:hint="eastAsia" w:ascii="宋体" w:hAnsi="宋体" w:eastAsia="宋体" w:cs="宋体"/>
          <w:sz w:val="21"/>
          <w:szCs w:val="21"/>
        </w:rPr>
        <w:t>公司子公司青岛伟隆五金机械有限公司免征</w:t>
      </w:r>
      <w:r>
        <w:rPr>
          <w:rFonts w:hint="eastAsia" w:ascii="宋体" w:hAnsi="宋体" w:eastAsia="宋体" w:cs="宋体"/>
          <w:spacing w:val="8"/>
          <w:sz w:val="21"/>
          <w:szCs w:val="21"/>
          <w:shd w:val="clear" w:fill="FFFFFF"/>
        </w:rPr>
        <w:t>土地使用税、房产税。</w:t>
      </w:r>
    </w:p>
    <w:p>
      <w:pPr>
        <w:keepNext/>
        <w:keepLines/>
        <w:spacing w:before="300" w:after="300" w:line="280" w:lineRule="exact"/>
        <w:jc w:val="left"/>
        <w:outlineLvl w:val="2"/>
        <w:rPr>
          <w:rFonts w:ascii="宋体" w:hAnsi="宋体" w:eastAsia="宋体" w:cs="宋体"/>
          <w:b/>
          <w:bCs/>
          <w:sz w:val="21"/>
          <w:szCs w:val="21"/>
        </w:rPr>
      </w:pPr>
      <w:bookmarkStart w:id="163" w:name="_Toc989052"/>
      <w:r>
        <w:rPr>
          <w:rFonts w:ascii="宋体" w:hAnsi="宋体" w:eastAsia="宋体" w:cs="宋体"/>
          <w:b/>
          <w:bCs/>
          <w:sz w:val="21"/>
          <w:szCs w:val="21"/>
        </w:rPr>
        <w:t>3、其他</w:t>
      </w:r>
      <w:bookmarkEnd w:id="163"/>
    </w:p>
    <w:p>
      <w:pPr>
        <w:keepNext/>
        <w:keepLines/>
        <w:spacing w:before="300" w:after="300" w:line="320" w:lineRule="exact"/>
        <w:jc w:val="left"/>
        <w:outlineLvl w:val="1"/>
        <w:rPr>
          <w:rFonts w:ascii="宋体" w:hAnsi="宋体" w:eastAsia="宋体" w:cs="宋体"/>
          <w:b/>
          <w:bCs/>
          <w:sz w:val="24"/>
          <w:szCs w:val="24"/>
        </w:rPr>
      </w:pPr>
      <w:bookmarkStart w:id="164" w:name="_Toc989053"/>
      <w:r>
        <w:rPr>
          <w:rFonts w:ascii="宋体" w:hAnsi="宋体" w:eastAsia="宋体" w:cs="宋体"/>
          <w:b/>
          <w:bCs/>
          <w:sz w:val="24"/>
          <w:szCs w:val="24"/>
        </w:rPr>
        <w:t>七、合并财务报表项目注释</w:t>
      </w:r>
      <w:bookmarkEnd w:id="164"/>
    </w:p>
    <w:p>
      <w:pPr>
        <w:keepNext/>
        <w:keepLines/>
        <w:spacing w:before="300" w:after="300" w:line="280" w:lineRule="exact"/>
        <w:jc w:val="left"/>
        <w:outlineLvl w:val="2"/>
        <w:rPr>
          <w:rFonts w:ascii="宋体" w:hAnsi="宋体" w:eastAsia="宋体" w:cs="宋体"/>
          <w:b/>
          <w:bCs/>
          <w:sz w:val="21"/>
          <w:szCs w:val="21"/>
        </w:rPr>
      </w:pPr>
      <w:bookmarkStart w:id="165" w:name="_Toc989054"/>
      <w:r>
        <w:rPr>
          <w:rFonts w:ascii="宋体" w:hAnsi="宋体" w:eastAsia="宋体" w:cs="宋体"/>
          <w:b/>
          <w:bCs/>
          <w:sz w:val="21"/>
          <w:szCs w:val="21"/>
        </w:rPr>
        <w:t>1、货币资金</w:t>
      </w:r>
      <w:bookmarkEnd w:id="1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255,358.54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90,484,433.37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15,525,084.25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102,420,122.94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96,516,652.97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（2）其他货币资金按明细项目列示：</w:t>
      </w:r>
    </w:p>
    <w:tbl>
      <w:tblPr>
        <w:tblStyle w:val="4"/>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753"/>
        <w:gridCol w:w="2916"/>
        <w:gridCol w:w="3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1" w:hRule="atLeast"/>
        </w:trPr>
        <w:tc>
          <w:tcPr>
            <w:tcW w:w="29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项   目</w:t>
            </w:r>
          </w:p>
        </w:tc>
        <w:tc>
          <w:tcPr>
            <w:tcW w:w="264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期末余额</w:t>
            </w:r>
          </w:p>
        </w:tc>
        <w:tc>
          <w:tcPr>
            <w:tcW w:w="330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1"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银行承兑汇票保证金</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保函保证金</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合计</w:t>
            </w:r>
          </w:p>
        </w:tc>
        <w:tc>
          <w:tcPr>
            <w:tcW w:w="2647"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xml:space="preserve">   11,680,331.03 </w:t>
            </w:r>
          </w:p>
        </w:tc>
        <w:tc>
          <w:tcPr>
            <w:tcW w:w="330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xml:space="preserve">   15,525,084.25 </w:t>
            </w:r>
          </w:p>
        </w:tc>
      </w:tr>
    </w:tbl>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（3）因抵押、质押或冻结等对使用有限制的货币资金明细如下：</w:t>
      </w:r>
    </w:p>
    <w:tbl>
      <w:tblPr>
        <w:tblStyle w:val="4"/>
        <w:tblW w:w="491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67"/>
        <w:gridCol w:w="3258"/>
        <w:gridCol w:w="32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firstLine="1003"/>
              <w:jc w:val="both"/>
              <w:rPr>
                <w:rFonts w:hint="default" w:ascii="Times New Roman" w:hAnsi="Times New Roman" w:cs="Times New Roman"/>
                <w:sz w:val="21"/>
                <w:szCs w:val="21"/>
              </w:rPr>
            </w:pPr>
            <w:r>
              <w:rPr>
                <w:rStyle w:val="6"/>
                <w:rFonts w:hint="eastAsia" w:ascii="宋体" w:hAnsi="宋体" w:eastAsia="宋体" w:cs="宋体"/>
                <w:sz w:val="18"/>
                <w:szCs w:val="18"/>
              </w:rPr>
              <w:t>项目</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期末余额</w:t>
            </w:r>
          </w:p>
        </w:tc>
        <w:tc>
          <w:tcPr>
            <w:tcW w:w="1682" w:type="pct"/>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银行承兑汇票保证金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11,675,424.73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15,520,177.95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pacing w:val="4"/>
                <w:sz w:val="18"/>
                <w:szCs w:val="18"/>
              </w:rPr>
              <w:t>保函保证金</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xml:space="preserve">           4,906.30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6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合计</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xml:space="preserve">   11,680,331.03 </w:t>
            </w:r>
          </w:p>
        </w:tc>
        <w:tc>
          <w:tcPr>
            <w:tcW w:w="168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xml:space="preserve">   15,525,084.25 </w:t>
            </w:r>
          </w:p>
        </w:tc>
      </w:tr>
    </w:tbl>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除上述款项,报告期内无其他因抵押、质押或冻结等对使用有限制、存放在境外、有潜在回收风险的款项。</w:t>
      </w:r>
    </w:p>
    <w:p>
      <w:pPr>
        <w:keepNext/>
        <w:keepLines/>
        <w:spacing w:before="300" w:after="300" w:line="280" w:lineRule="exact"/>
        <w:jc w:val="left"/>
        <w:outlineLvl w:val="2"/>
        <w:rPr>
          <w:rFonts w:ascii="宋体" w:hAnsi="宋体" w:eastAsia="宋体" w:cs="宋体"/>
          <w:b/>
          <w:bCs/>
          <w:sz w:val="21"/>
          <w:szCs w:val="21"/>
        </w:rPr>
      </w:pPr>
      <w:bookmarkStart w:id="166" w:name="_Toc989055"/>
      <w:r>
        <w:rPr>
          <w:rFonts w:ascii="宋体" w:hAnsi="宋体" w:eastAsia="宋体" w:cs="宋体"/>
          <w:b/>
          <w:bCs/>
          <w:sz w:val="21"/>
          <w:szCs w:val="21"/>
        </w:rPr>
        <w:t>2、交易性金融资产</w:t>
      </w:r>
      <w:bookmarkEnd w:id="16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以公允价值计量且其变动计入当期损益的金融资产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理财类产品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188,606,030.67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7" w:name="_Toc989056"/>
      <w:r>
        <w:rPr>
          <w:rFonts w:ascii="宋体" w:hAnsi="宋体" w:eastAsia="宋体" w:cs="宋体"/>
          <w:b/>
          <w:bCs/>
          <w:sz w:val="21"/>
          <w:szCs w:val="21"/>
        </w:rPr>
        <w:t>3、衍生金融资产</w:t>
      </w:r>
      <w:bookmarkEnd w:id="1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68" w:name="_Toc989057"/>
      <w:r>
        <w:rPr>
          <w:rFonts w:ascii="宋体" w:hAnsi="宋体" w:eastAsia="宋体" w:cs="宋体"/>
          <w:b/>
          <w:bCs/>
          <w:sz w:val="21"/>
          <w:szCs w:val="21"/>
        </w:rPr>
        <w:t>4、应收票据</w:t>
      </w:r>
      <w:bookmarkEnd w:id="168"/>
    </w:p>
    <w:p>
      <w:pPr>
        <w:keepNext/>
        <w:keepLines/>
        <w:spacing w:before="300" w:after="300" w:line="280" w:lineRule="exact"/>
        <w:jc w:val="left"/>
        <w:outlineLvl w:val="3"/>
        <w:rPr>
          <w:rFonts w:ascii="宋体" w:hAnsi="宋体" w:eastAsia="宋体" w:cs="宋体"/>
          <w:b/>
          <w:bCs/>
          <w:sz w:val="21"/>
          <w:szCs w:val="21"/>
        </w:rPr>
      </w:pPr>
      <w:bookmarkStart w:id="169" w:name="_Toc989058"/>
      <w:r>
        <w:rPr>
          <w:rFonts w:ascii="宋体" w:hAnsi="宋体" w:eastAsia="宋体" w:cs="宋体"/>
          <w:b/>
          <w:bCs/>
          <w:sz w:val="21"/>
          <w:szCs w:val="21"/>
        </w:rPr>
        <w:t>（1） 应收票据分类列示</w:t>
      </w:r>
      <w:bookmarkEnd w:id="1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如是按照预期信用损失一般模型计提应收票据坏账准备，请参照其他应收款的披露方式披露坏账准备的相关信息：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0" w:name="_Toc989059"/>
      <w:r>
        <w:rPr>
          <w:rFonts w:ascii="宋体" w:hAnsi="宋体" w:eastAsia="宋体" w:cs="宋体"/>
          <w:b/>
          <w:bCs/>
          <w:sz w:val="21"/>
          <w:szCs w:val="21"/>
        </w:rPr>
        <w:t>（2） 本期计提、收回或转回的坏账准备情况</w:t>
      </w:r>
      <w:bookmarkEnd w:id="170"/>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71" w:name="_Toc989060"/>
      <w:r>
        <w:rPr>
          <w:rFonts w:ascii="宋体" w:hAnsi="宋体" w:eastAsia="宋体" w:cs="宋体"/>
          <w:b/>
          <w:bCs/>
          <w:sz w:val="21"/>
          <w:szCs w:val="21"/>
        </w:rPr>
        <w:t>（3） 期末公司已质押的应收票据</w:t>
      </w:r>
      <w:bookmarkEnd w:id="1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期末已质押金额</w:t>
            </w:r>
          </w:p>
        </w:tc>
      </w:tr>
    </w:tbl>
    <w:p>
      <w:pPr>
        <w:keepNext/>
        <w:keepLines/>
        <w:spacing w:before="300" w:after="300" w:line="280" w:lineRule="exact"/>
        <w:jc w:val="left"/>
        <w:outlineLvl w:val="3"/>
        <w:rPr>
          <w:rFonts w:ascii="宋体" w:hAnsi="宋体" w:eastAsia="宋体" w:cs="宋体"/>
          <w:b/>
          <w:bCs/>
          <w:sz w:val="21"/>
          <w:szCs w:val="21"/>
        </w:rPr>
      </w:pPr>
      <w:bookmarkStart w:id="172" w:name="_Toc989061"/>
      <w:r>
        <w:rPr>
          <w:rFonts w:ascii="宋体" w:hAnsi="宋体" w:eastAsia="宋体" w:cs="宋体"/>
          <w:b/>
          <w:bCs/>
          <w:sz w:val="21"/>
          <w:szCs w:val="21"/>
        </w:rPr>
        <w:t>（4） 期末公司已背书或贴现且在资产负债表日尚未到期的应收票据</w:t>
      </w:r>
      <w:bookmarkEnd w:id="1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期末未终止确认金额</w:t>
            </w:r>
          </w:p>
        </w:tc>
      </w:tr>
    </w:tbl>
    <w:p>
      <w:pPr>
        <w:keepNext/>
        <w:keepLines/>
        <w:spacing w:before="300" w:after="300" w:line="280" w:lineRule="exact"/>
        <w:jc w:val="left"/>
        <w:outlineLvl w:val="3"/>
        <w:rPr>
          <w:rFonts w:ascii="宋体" w:hAnsi="宋体" w:eastAsia="宋体" w:cs="宋体"/>
          <w:b/>
          <w:bCs/>
          <w:sz w:val="21"/>
          <w:szCs w:val="21"/>
        </w:rPr>
      </w:pPr>
      <w:bookmarkStart w:id="173" w:name="_Toc989062"/>
      <w:r>
        <w:rPr>
          <w:rFonts w:ascii="宋体" w:hAnsi="宋体" w:eastAsia="宋体" w:cs="宋体"/>
          <w:b/>
          <w:bCs/>
          <w:sz w:val="21"/>
          <w:szCs w:val="21"/>
        </w:rPr>
        <w:t>（5） 期末公司因出票人未履约而将其转应收账款的票据</w:t>
      </w:r>
      <w:bookmarkEnd w:id="1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期末转应收账款金额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74" w:name="_Toc989063"/>
      <w:r>
        <w:rPr>
          <w:rFonts w:ascii="宋体" w:hAnsi="宋体" w:eastAsia="宋体" w:cs="宋体"/>
          <w:b/>
          <w:bCs/>
          <w:sz w:val="21"/>
          <w:szCs w:val="21"/>
        </w:rPr>
        <w:t>（6） 本期实际核销的应收票据情况</w:t>
      </w:r>
      <w:bookmarkEnd w:id="1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其中重要的应收票据核销情况：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应收票据核销说明：</w:t>
      </w:r>
    </w:p>
    <w:p>
      <w:pPr>
        <w:keepNext/>
        <w:keepLines/>
        <w:spacing w:before="300" w:after="300" w:line="280" w:lineRule="exact"/>
        <w:jc w:val="left"/>
        <w:outlineLvl w:val="2"/>
        <w:rPr>
          <w:rFonts w:ascii="宋体" w:hAnsi="宋体" w:eastAsia="宋体" w:cs="宋体"/>
          <w:b/>
          <w:bCs/>
          <w:sz w:val="21"/>
          <w:szCs w:val="21"/>
        </w:rPr>
      </w:pPr>
      <w:bookmarkStart w:id="175" w:name="_Toc989064"/>
      <w:r>
        <w:rPr>
          <w:rFonts w:ascii="宋体" w:hAnsi="宋体" w:eastAsia="宋体" w:cs="宋体"/>
          <w:b/>
          <w:bCs/>
          <w:sz w:val="21"/>
          <w:szCs w:val="21"/>
        </w:rPr>
        <w:t>5、应收账款</w:t>
      </w:r>
      <w:bookmarkEnd w:id="175"/>
    </w:p>
    <w:p>
      <w:pPr>
        <w:keepNext/>
        <w:keepLines/>
        <w:spacing w:before="300" w:after="300" w:line="280" w:lineRule="exact"/>
        <w:jc w:val="left"/>
        <w:outlineLvl w:val="3"/>
        <w:rPr>
          <w:rFonts w:ascii="宋体" w:hAnsi="宋体" w:eastAsia="宋体" w:cs="宋体"/>
          <w:b/>
          <w:bCs/>
          <w:sz w:val="21"/>
          <w:szCs w:val="21"/>
        </w:rPr>
      </w:pPr>
      <w:bookmarkStart w:id="176" w:name="_Toc989065"/>
      <w:r>
        <w:rPr>
          <w:rFonts w:ascii="宋体" w:hAnsi="宋体" w:eastAsia="宋体" w:cs="宋体"/>
          <w:b/>
          <w:bCs/>
          <w:sz w:val="21"/>
          <w:szCs w:val="21"/>
        </w:rPr>
        <w:t>（1） 应收账款分类披露</w:t>
      </w:r>
      <w:bookmarkEnd w:id="1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78,403,898.49</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79,110,419.14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71,854,562.96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按组合计提坏账准备：1,486,689.32</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3,812,490.04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76,249,800.58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86,419,679.24</w:t>
            </w:r>
          </w:p>
        </w:tc>
      </w:tr>
    </w:tbl>
    <w:p>
      <w:pPr>
        <w:keepNext/>
        <w:keepLines/>
        <w:spacing w:before="300" w:after="300" w:line="280" w:lineRule="exact"/>
        <w:jc w:val="left"/>
        <w:outlineLvl w:val="3"/>
        <w:rPr>
          <w:rFonts w:ascii="宋体" w:hAnsi="宋体" w:eastAsia="宋体" w:cs="宋体"/>
          <w:b/>
          <w:bCs/>
          <w:sz w:val="21"/>
          <w:szCs w:val="21"/>
        </w:rPr>
      </w:pPr>
      <w:bookmarkStart w:id="177" w:name="_Toc989066"/>
      <w:r>
        <w:rPr>
          <w:rFonts w:ascii="宋体" w:hAnsi="宋体" w:eastAsia="宋体" w:cs="宋体"/>
          <w:b/>
          <w:bCs/>
          <w:sz w:val="21"/>
          <w:szCs w:val="21"/>
        </w:rPr>
        <w:t>（2） 本期计提、收回或转回的坏账准备情况</w:t>
      </w:r>
      <w:bookmarkEnd w:id="177"/>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7,255,856.18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1,486,689.32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726,764.75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8,015,780.75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178" w:name="_Toc989067"/>
      <w:r>
        <w:rPr>
          <w:rFonts w:ascii="宋体" w:hAnsi="宋体" w:eastAsia="宋体" w:cs="宋体"/>
          <w:b/>
          <w:bCs/>
          <w:sz w:val="21"/>
          <w:szCs w:val="21"/>
        </w:rPr>
        <w:t>（3） 本期实际核销的应收账款情况</w:t>
      </w:r>
      <w:bookmarkEnd w:id="17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keepNext/>
        <w:keepLines/>
        <w:spacing w:before="300" w:after="300" w:line="280" w:lineRule="exact"/>
        <w:jc w:val="left"/>
        <w:outlineLvl w:val="3"/>
        <w:rPr>
          <w:rFonts w:ascii="宋体" w:hAnsi="宋体" w:eastAsia="宋体" w:cs="宋体"/>
          <w:b/>
          <w:bCs/>
          <w:sz w:val="21"/>
          <w:szCs w:val="21"/>
        </w:rPr>
      </w:pPr>
      <w:bookmarkStart w:id="179" w:name="_Toc989068"/>
      <w:r>
        <w:rPr>
          <w:rFonts w:ascii="宋体" w:hAnsi="宋体" w:eastAsia="宋体" w:cs="宋体"/>
          <w:b/>
          <w:bCs/>
          <w:sz w:val="21"/>
          <w:szCs w:val="21"/>
        </w:rPr>
        <w:t>（4） 按欠款方归集的期末余额前五名的应收账款情况</w:t>
      </w:r>
      <w:bookmarkEnd w:id="1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28.97%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180" w:name="_Toc989069"/>
      <w:r>
        <w:rPr>
          <w:rFonts w:ascii="宋体" w:hAnsi="宋体" w:eastAsia="宋体" w:cs="宋体"/>
          <w:b/>
          <w:bCs/>
          <w:sz w:val="21"/>
          <w:szCs w:val="21"/>
        </w:rPr>
        <w:t>（5） 因金融资产转移而终止确认的应收账款</w:t>
      </w:r>
      <w:bookmarkEnd w:id="180"/>
    </w:p>
    <w:p>
      <w:pPr>
        <w:keepNext/>
        <w:keepLines/>
        <w:spacing w:before="300" w:after="300" w:line="280" w:lineRule="exact"/>
        <w:jc w:val="left"/>
        <w:outlineLvl w:val="3"/>
        <w:rPr>
          <w:rFonts w:ascii="宋体" w:hAnsi="宋体" w:eastAsia="宋体" w:cs="宋体"/>
          <w:b/>
          <w:bCs/>
          <w:sz w:val="21"/>
          <w:szCs w:val="21"/>
        </w:rPr>
      </w:pPr>
      <w:bookmarkStart w:id="181" w:name="_Toc989070"/>
      <w:r>
        <w:rPr>
          <w:rFonts w:ascii="宋体" w:hAnsi="宋体" w:eastAsia="宋体" w:cs="宋体"/>
          <w:b/>
          <w:bCs/>
          <w:sz w:val="21"/>
          <w:szCs w:val="21"/>
        </w:rPr>
        <w:t>（6） 转移应收账款且继续涉入形成的资产、负债金额</w:t>
      </w:r>
      <w:bookmarkEnd w:id="18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182" w:name="_Toc989071"/>
      <w:r>
        <w:rPr>
          <w:rFonts w:ascii="宋体" w:hAnsi="宋体" w:eastAsia="宋体" w:cs="宋体"/>
          <w:b/>
          <w:bCs/>
          <w:sz w:val="21"/>
          <w:szCs w:val="21"/>
        </w:rPr>
        <w:t>6、应收款项融资</w:t>
      </w:r>
      <w:bookmarkEnd w:id="1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以公允价值计量且其变动计入其他综合收益的应收票据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11,585,000.00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应收款项融资本期增减变动及公允价值变动情况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如是按照预期信用损失一般模型计提应收款项融资减值准备，请参照其他应收款的披露方式披露减值准备的相关信息：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（2）期末公司已背书或贴现且在资产负债表日尚未到期的应收款项融资：</w:t>
      </w: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09"/>
        <w:gridCol w:w="3017"/>
        <w:gridCol w:w="3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90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项目</w:t>
            </w:r>
          </w:p>
        </w:tc>
        <w:tc>
          <w:tcPr>
            <w:tcW w:w="301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期末终止确认金额</w:t>
            </w:r>
          </w:p>
        </w:tc>
        <w:tc>
          <w:tcPr>
            <w:tcW w:w="301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期末未终止确认金额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银行承兑汇票</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9,530,848.84</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90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合计</w:t>
            </w:r>
          </w:p>
        </w:tc>
        <w:tc>
          <w:tcPr>
            <w:tcW w:w="301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9,530,848.84</w:t>
            </w:r>
          </w:p>
        </w:tc>
        <w:tc>
          <w:tcPr>
            <w:tcW w:w="301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default" w:ascii="Times New Roman" w:hAnsi="Times New Roman" w:cs="Times New Roman"/>
                <w:sz w:val="21"/>
                <w:szCs w:val="21"/>
              </w:rPr>
              <w:t> </w:t>
            </w:r>
          </w:p>
        </w:tc>
      </w:tr>
    </w:tbl>
    <w:p>
      <w:pPr>
        <w:keepNext/>
        <w:keepLines/>
        <w:spacing w:before="300" w:after="300" w:line="280" w:lineRule="exact"/>
        <w:jc w:val="left"/>
        <w:outlineLvl w:val="2"/>
        <w:rPr>
          <w:rFonts w:ascii="宋体" w:hAnsi="宋体" w:eastAsia="宋体" w:cs="宋体"/>
          <w:b/>
          <w:bCs/>
          <w:sz w:val="21"/>
          <w:szCs w:val="21"/>
        </w:rPr>
      </w:pPr>
      <w:bookmarkStart w:id="183" w:name="_Toc989072"/>
      <w:r>
        <w:rPr>
          <w:rFonts w:ascii="宋体" w:hAnsi="宋体" w:eastAsia="宋体" w:cs="宋体"/>
          <w:b/>
          <w:bCs/>
          <w:sz w:val="21"/>
          <w:szCs w:val="21"/>
        </w:rPr>
        <w:t>7、预付款项</w:t>
      </w:r>
      <w:bookmarkEnd w:id="183"/>
    </w:p>
    <w:p>
      <w:pPr>
        <w:keepNext/>
        <w:keepLines/>
        <w:spacing w:before="300" w:after="300" w:line="280" w:lineRule="exact"/>
        <w:jc w:val="left"/>
        <w:outlineLvl w:val="3"/>
        <w:rPr>
          <w:rFonts w:ascii="宋体" w:hAnsi="宋体" w:eastAsia="宋体" w:cs="宋体"/>
          <w:b/>
          <w:bCs/>
          <w:sz w:val="21"/>
          <w:szCs w:val="21"/>
        </w:rPr>
      </w:pPr>
      <w:bookmarkStart w:id="184" w:name="_Toc989073"/>
      <w:r>
        <w:rPr>
          <w:rFonts w:ascii="宋体" w:hAnsi="宋体" w:eastAsia="宋体" w:cs="宋体"/>
          <w:b/>
          <w:bCs/>
          <w:sz w:val="21"/>
          <w:szCs w:val="21"/>
        </w:rPr>
        <w:t>（1） 预付款项按账龄列示</w:t>
      </w:r>
      <w:bookmarkEnd w:id="1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4,632,818.95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3,528,029.53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15,557.80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47,760.00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4,736,136.75</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3,615,789.53</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账龄超过1年且金额重要的预付款项未及时结算原因的说明：</w:t>
      </w:r>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3"/>
        <w:rPr>
          <w:rFonts w:ascii="宋体" w:hAnsi="宋体" w:eastAsia="宋体" w:cs="宋体"/>
          <w:b/>
          <w:bCs/>
          <w:sz w:val="21"/>
          <w:szCs w:val="21"/>
        </w:rPr>
      </w:pPr>
      <w:bookmarkStart w:id="185" w:name="_Toc989074"/>
      <w:r>
        <w:rPr>
          <w:rFonts w:ascii="宋体" w:hAnsi="宋体" w:eastAsia="宋体" w:cs="宋体"/>
          <w:b/>
          <w:bCs/>
          <w:sz w:val="21"/>
          <w:szCs w:val="21"/>
        </w:rPr>
        <w:t>（2） 按预付对象归集的期末余额前五名的预付款情况</w:t>
      </w:r>
      <w:bookmarkEnd w:id="185"/>
    </w:p>
    <w:p>
      <w:pPr>
        <w:pStyle w:val="3"/>
        <w:keepNext w:val="0"/>
        <w:keepLines w:val="0"/>
        <w:widowControl/>
        <w:suppressLineNumbers w:val="0"/>
        <w:spacing w:before="150" w:beforeAutospacing="0" w:after="150" w:afterAutospacing="0" w:line="360" w:lineRule="auto"/>
        <w:ind w:left="0" w:right="0" w:firstLine="425"/>
        <w:jc w:val="both"/>
        <w:rPr>
          <w:rFonts w:hint="default" w:ascii="Times New Roman" w:hAnsi="Times New Roman" w:cs="Times New Roman"/>
          <w:sz w:val="21"/>
          <w:szCs w:val="21"/>
        </w:rPr>
      </w:pPr>
      <w:r>
        <w:rPr>
          <w:rFonts w:hint="eastAsia" w:ascii="宋体" w:hAnsi="宋体" w:eastAsia="宋体" w:cs="宋体"/>
          <w:sz w:val="21"/>
          <w:szCs w:val="21"/>
        </w:rPr>
        <w:t>（2）期末预付款项中金额前五名的单位明细情况如下：</w:t>
      </w:r>
    </w:p>
    <w:tbl>
      <w:tblPr>
        <w:tblStyle w:val="4"/>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77"/>
        <w:gridCol w:w="1559"/>
        <w:gridCol w:w="1134"/>
        <w:gridCol w:w="1418"/>
        <w:gridCol w:w="18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trPr>
        <w:tc>
          <w:tcPr>
            <w:tcW w:w="297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单位名称</w:t>
            </w:r>
          </w:p>
        </w:tc>
        <w:tc>
          <w:tcPr>
            <w:tcW w:w="155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金额</w:t>
            </w:r>
          </w:p>
        </w:tc>
        <w:tc>
          <w:tcPr>
            <w:tcW w:w="113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年限</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占预付款项总 额的比例（%）</w:t>
            </w:r>
          </w:p>
        </w:tc>
        <w:tc>
          <w:tcPr>
            <w:tcW w:w="18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未结算原因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供应商一</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1,567,849.69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33.1</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供应商二</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797,878.20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16.85</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供应商三</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529,029.81</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11.17</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供应商四</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510,195.39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10.77</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供应商五</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260,000.00</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1年以内</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5.49</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未到结算期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297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合计</w:t>
            </w:r>
          </w:p>
        </w:tc>
        <w:tc>
          <w:tcPr>
            <w:tcW w:w="155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3,664,953.09</w:t>
            </w:r>
          </w:p>
        </w:tc>
        <w:tc>
          <w:tcPr>
            <w:tcW w:w="113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77.38</w:t>
            </w:r>
          </w:p>
        </w:tc>
        <w:tc>
          <w:tcPr>
            <w:tcW w:w="184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 </w:t>
            </w:r>
          </w:p>
        </w:tc>
      </w:tr>
    </w:tbl>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default" w:ascii="Times New Roman" w:hAnsi="Times New Roman" w:eastAsia="宋体" w:cs="Times New Roman"/>
          <w:sz w:val="21"/>
          <w:szCs w:val="21"/>
        </w:rPr>
        <w:t> </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pPr>
      <w:r>
        <w:rPr>
          <w:rFonts w:hint="eastAsia" w:ascii="宋体" w:hAnsi="宋体" w:eastAsia="宋体" w:cs="宋体"/>
          <w:sz w:val="18"/>
          <w:szCs w:val="18"/>
        </w:rPr>
        <w:t>（3）报告期末预付款项中无预付持公司5%（含5%）以上表决权股份的股东单位的款项。</w:t>
      </w:r>
    </w:p>
    <w:p>
      <w:pPr>
        <w:keepNext/>
        <w:keepLines/>
        <w:spacing w:before="300" w:after="300" w:line="280" w:lineRule="exact"/>
        <w:jc w:val="left"/>
        <w:outlineLvl w:val="2"/>
        <w:rPr>
          <w:rFonts w:ascii="宋体" w:hAnsi="宋体" w:eastAsia="宋体" w:cs="宋体"/>
          <w:b/>
          <w:bCs/>
          <w:sz w:val="21"/>
          <w:szCs w:val="21"/>
        </w:rPr>
      </w:pPr>
      <w:bookmarkStart w:id="186" w:name="_Toc989075"/>
      <w:r>
        <w:rPr>
          <w:rFonts w:ascii="宋体" w:hAnsi="宋体" w:eastAsia="宋体" w:cs="宋体"/>
          <w:b/>
          <w:bCs/>
          <w:sz w:val="21"/>
          <w:szCs w:val="21"/>
        </w:rPr>
        <w:t>8、其他应收款</w:t>
      </w:r>
      <w:bookmarkEnd w:id="18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3"/>
        <w:rPr>
          <w:rFonts w:ascii="宋体" w:hAnsi="宋体" w:eastAsia="宋体" w:cs="宋体"/>
          <w:b/>
          <w:bCs/>
          <w:sz w:val="21"/>
          <w:szCs w:val="21"/>
        </w:rPr>
      </w:pPr>
      <w:bookmarkStart w:id="187" w:name="_Toc989076"/>
      <w:r>
        <w:rPr>
          <w:rFonts w:ascii="宋体" w:hAnsi="宋体" w:eastAsia="宋体" w:cs="宋体"/>
          <w:b/>
          <w:bCs/>
          <w:sz w:val="21"/>
          <w:szCs w:val="21"/>
        </w:rPr>
        <w:t>（1） 应收利息</w:t>
      </w:r>
      <w:bookmarkEnd w:id="187"/>
    </w:p>
    <w:p>
      <w:pPr>
        <w:keepNext/>
        <w:keepLines/>
        <w:spacing w:before="300" w:after="300" w:line="280" w:lineRule="exact"/>
        <w:jc w:val="left"/>
        <w:outlineLvl w:val="4"/>
        <w:rPr>
          <w:rFonts w:ascii="宋体" w:hAnsi="宋体" w:eastAsia="宋体" w:cs="宋体"/>
          <w:b/>
          <w:bCs/>
          <w:sz w:val="21"/>
          <w:szCs w:val="21"/>
        </w:rPr>
      </w:pPr>
      <w:bookmarkStart w:id="188" w:name="_Toc989077"/>
      <w:r>
        <w:rPr>
          <w:rFonts w:ascii="宋体" w:hAnsi="宋体" w:eastAsia="宋体" w:cs="宋体"/>
          <w:b/>
          <w:bCs/>
          <w:sz w:val="21"/>
          <w:szCs w:val="21"/>
        </w:rPr>
        <w:t>1） 应收利息分类</w:t>
      </w:r>
      <w:bookmarkEnd w:id="1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89" w:name="_Toc989078"/>
      <w:r>
        <w:rPr>
          <w:rFonts w:ascii="宋体" w:hAnsi="宋体" w:eastAsia="宋体" w:cs="宋体"/>
          <w:b/>
          <w:bCs/>
          <w:sz w:val="21"/>
          <w:szCs w:val="21"/>
        </w:rPr>
        <w:t>2） 重要逾期利息</w:t>
      </w:r>
      <w:bookmarkEnd w:id="18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21"/>
          <w:szCs w:val="21"/>
        </w:rPr>
      </w:pPr>
      <w:bookmarkStart w:id="190" w:name="_Toc989079"/>
      <w:r>
        <w:rPr>
          <w:rFonts w:ascii="宋体" w:hAnsi="宋体" w:eastAsia="宋体" w:cs="宋体"/>
          <w:b/>
          <w:bCs/>
          <w:sz w:val="21"/>
          <w:szCs w:val="21"/>
        </w:rPr>
        <w:t>3） 坏账准备计提情况</w:t>
      </w:r>
      <w:bookmarkEnd w:id="19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191" w:name="_Toc989080"/>
      <w:r>
        <w:rPr>
          <w:rFonts w:ascii="宋体" w:hAnsi="宋体" w:eastAsia="宋体" w:cs="宋体"/>
          <w:b/>
          <w:bCs/>
          <w:sz w:val="21"/>
          <w:szCs w:val="21"/>
        </w:rPr>
        <w:t>（2） 应收股利</w:t>
      </w:r>
      <w:bookmarkEnd w:id="191"/>
    </w:p>
    <w:p>
      <w:pPr>
        <w:keepNext/>
        <w:keepLines/>
        <w:spacing w:before="300" w:after="300" w:line="280" w:lineRule="exact"/>
        <w:jc w:val="left"/>
        <w:outlineLvl w:val="4"/>
        <w:rPr>
          <w:rFonts w:ascii="宋体" w:hAnsi="宋体" w:eastAsia="宋体" w:cs="宋体"/>
          <w:b/>
          <w:bCs/>
          <w:sz w:val="21"/>
          <w:szCs w:val="21"/>
        </w:rPr>
      </w:pPr>
      <w:bookmarkStart w:id="192" w:name="_Toc989081"/>
      <w:r>
        <w:rPr>
          <w:rFonts w:ascii="宋体" w:hAnsi="宋体" w:eastAsia="宋体" w:cs="宋体"/>
          <w:b/>
          <w:bCs/>
          <w:sz w:val="21"/>
          <w:szCs w:val="21"/>
        </w:rPr>
        <w:t>1） 应收股利分类</w:t>
      </w:r>
      <w:bookmarkEnd w:id="1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21"/>
          <w:szCs w:val="21"/>
        </w:rPr>
      </w:pPr>
      <w:bookmarkStart w:id="193" w:name="_Toc989082"/>
      <w:r>
        <w:rPr>
          <w:rFonts w:ascii="宋体" w:hAnsi="宋体" w:eastAsia="宋体" w:cs="宋体"/>
          <w:b/>
          <w:bCs/>
          <w:sz w:val="21"/>
          <w:szCs w:val="21"/>
        </w:rPr>
        <w:t>2） 重要的账龄超过1年的应收股利</w:t>
      </w:r>
      <w:bookmarkEnd w:id="1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21"/>
          <w:szCs w:val="21"/>
        </w:rPr>
      </w:pPr>
      <w:bookmarkStart w:id="194" w:name="_Toc989083"/>
      <w:r>
        <w:rPr>
          <w:rFonts w:ascii="宋体" w:hAnsi="宋体" w:eastAsia="宋体" w:cs="宋体"/>
          <w:b/>
          <w:bCs/>
          <w:sz w:val="21"/>
          <w:szCs w:val="21"/>
        </w:rPr>
        <w:t>3） 坏账准备计提情况</w:t>
      </w:r>
      <w:bookmarkEnd w:id="194"/>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195" w:name="_Toc989084"/>
      <w:r>
        <w:rPr>
          <w:rFonts w:ascii="宋体" w:hAnsi="宋体" w:eastAsia="宋体" w:cs="宋体"/>
          <w:b/>
          <w:bCs/>
          <w:sz w:val="21"/>
          <w:szCs w:val="21"/>
        </w:rPr>
        <w:t>（3） 其他应收款</w:t>
      </w:r>
      <w:bookmarkEnd w:id="195"/>
    </w:p>
    <w:p>
      <w:pPr>
        <w:keepNext/>
        <w:keepLines/>
        <w:spacing w:before="300" w:after="300" w:line="280" w:lineRule="exact"/>
        <w:jc w:val="left"/>
        <w:outlineLvl w:val="4"/>
        <w:rPr>
          <w:rFonts w:ascii="宋体" w:hAnsi="宋体" w:eastAsia="宋体" w:cs="宋体"/>
          <w:b/>
          <w:bCs/>
          <w:sz w:val="21"/>
          <w:szCs w:val="21"/>
        </w:rPr>
      </w:pPr>
      <w:bookmarkStart w:id="196" w:name="_Toc989085"/>
      <w:r>
        <w:rPr>
          <w:rFonts w:ascii="宋体" w:hAnsi="宋体" w:eastAsia="宋体" w:cs="宋体"/>
          <w:b/>
          <w:bCs/>
          <w:sz w:val="21"/>
          <w:szCs w:val="21"/>
        </w:rPr>
        <w:t>1） 其他应收款按款项性质分类情况</w:t>
      </w:r>
      <w:bookmarkEnd w:id="1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4,872,250.78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6,012,212.39</w:t>
            </w:r>
          </w:p>
        </w:tc>
      </w:tr>
    </w:tbl>
    <w:p>
      <w:pPr>
        <w:keepNext/>
        <w:keepLines/>
        <w:spacing w:before="300" w:after="300" w:line="280" w:lineRule="exact"/>
        <w:jc w:val="left"/>
        <w:outlineLvl w:val="4"/>
        <w:rPr>
          <w:rFonts w:ascii="宋体" w:hAnsi="宋体" w:eastAsia="宋体" w:cs="宋体"/>
          <w:b/>
          <w:bCs/>
          <w:sz w:val="21"/>
          <w:szCs w:val="21"/>
        </w:rPr>
      </w:pPr>
      <w:bookmarkStart w:id="197" w:name="_Toc989086"/>
      <w:r>
        <w:rPr>
          <w:rFonts w:ascii="宋体" w:hAnsi="宋体" w:eastAsia="宋体" w:cs="宋体"/>
          <w:b/>
          <w:bCs/>
          <w:sz w:val="21"/>
          <w:szCs w:val="21"/>
        </w:rPr>
        <w:t>2） 坏账准备计提情况</w:t>
      </w:r>
      <w:bookmarkEnd w:id="19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4,244,455.65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922,242.13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5,216,697.78</w:t>
            </w:r>
          </w:p>
        </w:tc>
      </w:tr>
    </w:tbl>
    <w:p>
      <w:pPr>
        <w:keepNext/>
        <w:keepLines/>
        <w:spacing w:before="300" w:after="300" w:line="280" w:lineRule="exact"/>
        <w:jc w:val="left"/>
        <w:outlineLvl w:val="4"/>
        <w:rPr>
          <w:rFonts w:ascii="宋体" w:hAnsi="宋体" w:eastAsia="宋体" w:cs="宋体"/>
          <w:b/>
          <w:bCs/>
          <w:sz w:val="21"/>
          <w:szCs w:val="21"/>
        </w:rPr>
      </w:pPr>
      <w:bookmarkStart w:id="198" w:name="_Toc989087"/>
      <w:r>
        <w:rPr>
          <w:rFonts w:ascii="宋体" w:hAnsi="宋体" w:eastAsia="宋体" w:cs="宋体"/>
          <w:b/>
          <w:bCs/>
          <w:sz w:val="21"/>
          <w:szCs w:val="21"/>
        </w:rPr>
        <w:t>3） 本期计提、收回或转回的坏账准备情况</w:t>
      </w:r>
      <w:bookmarkEnd w:id="198"/>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470,904.59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126,457.60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344,446.99</w:t>
            </w:r>
          </w:p>
        </w:tc>
      </w:tr>
    </w:tbl>
    <w:p>
      <w:pPr>
        <w:spacing w:before="100" w:after="100" w:line="0" w:lineRule="exact"/>
        <w:jc w:val="left"/>
      </w:pP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4"/>
        <w:rPr>
          <w:rFonts w:ascii="宋体" w:hAnsi="宋体" w:eastAsia="宋体" w:cs="宋体"/>
          <w:b/>
          <w:bCs/>
          <w:sz w:val="21"/>
          <w:szCs w:val="21"/>
        </w:rPr>
      </w:pPr>
      <w:bookmarkStart w:id="199" w:name="_Toc989088"/>
      <w:r>
        <w:rPr>
          <w:rFonts w:ascii="宋体" w:hAnsi="宋体" w:eastAsia="宋体" w:cs="宋体"/>
          <w:b/>
          <w:bCs/>
          <w:sz w:val="21"/>
          <w:szCs w:val="21"/>
        </w:rPr>
        <w:t>4） 本期实际核销的其他应收款情况</w:t>
      </w:r>
      <w:bookmarkEnd w:id="1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21"/>
          <w:szCs w:val="21"/>
        </w:rPr>
      </w:pPr>
      <w:bookmarkStart w:id="200" w:name="_Toc989089"/>
      <w:r>
        <w:rPr>
          <w:rFonts w:ascii="宋体" w:hAnsi="宋体" w:eastAsia="宋体" w:cs="宋体"/>
          <w:b/>
          <w:bCs/>
          <w:sz w:val="21"/>
          <w:szCs w:val="21"/>
        </w:rPr>
        <w:t>5） 按欠款方归集的期末余额前五名的其他应收款情况</w:t>
      </w:r>
      <w:bookmarkEnd w:id="2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35.31%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138,176.21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常州名源全过程工程咨询有限公司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青岛泰能高新燃气有限公司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燃气押金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南京市溧水区自来水有限公司材料销售分公司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0.96%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5,118,350.03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302,004.61</w:t>
            </w:r>
          </w:p>
        </w:tc>
      </w:tr>
    </w:tbl>
    <w:p>
      <w:pPr>
        <w:keepNext/>
        <w:keepLines/>
        <w:spacing w:before="300" w:after="300" w:line="280" w:lineRule="exact"/>
        <w:jc w:val="left"/>
        <w:outlineLvl w:val="4"/>
        <w:rPr>
          <w:rFonts w:ascii="宋体" w:hAnsi="宋体" w:eastAsia="宋体" w:cs="宋体"/>
          <w:b/>
          <w:bCs/>
          <w:sz w:val="21"/>
          <w:szCs w:val="21"/>
        </w:rPr>
      </w:pPr>
      <w:bookmarkStart w:id="201" w:name="_Toc989090"/>
      <w:r>
        <w:rPr>
          <w:rFonts w:ascii="宋体" w:hAnsi="宋体" w:eastAsia="宋体" w:cs="宋体"/>
          <w:b/>
          <w:bCs/>
          <w:sz w:val="21"/>
          <w:szCs w:val="21"/>
        </w:rPr>
        <w:t>6） 涉及政府补助的应收款项</w:t>
      </w:r>
      <w:bookmarkEnd w:id="2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应收残疾人就业增值税优惠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残疾人即征即退增值税</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1,841,781.98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r>
    </w:tbl>
    <w:p>
      <w:pPr>
        <w:keepNext/>
        <w:keepLines/>
        <w:spacing w:before="300" w:after="300" w:line="280" w:lineRule="exact"/>
        <w:jc w:val="left"/>
        <w:outlineLvl w:val="4"/>
        <w:rPr>
          <w:rFonts w:ascii="宋体" w:hAnsi="宋体" w:eastAsia="宋体" w:cs="宋体"/>
          <w:b/>
          <w:bCs/>
          <w:sz w:val="21"/>
          <w:szCs w:val="21"/>
        </w:rPr>
      </w:pPr>
      <w:bookmarkStart w:id="202" w:name="_Toc989091"/>
      <w:r>
        <w:rPr>
          <w:rFonts w:ascii="宋体" w:hAnsi="宋体" w:eastAsia="宋体" w:cs="宋体"/>
          <w:b/>
          <w:bCs/>
          <w:sz w:val="21"/>
          <w:szCs w:val="21"/>
        </w:rPr>
        <w:t>7） 因金融资产转移而终止确认的其他应收款</w:t>
      </w:r>
      <w:bookmarkEnd w:id="202"/>
    </w:p>
    <w:p>
      <w:pPr>
        <w:keepNext/>
        <w:keepLines/>
        <w:spacing w:before="300" w:after="300" w:line="280" w:lineRule="exact"/>
        <w:jc w:val="left"/>
        <w:outlineLvl w:val="4"/>
        <w:rPr>
          <w:rFonts w:ascii="宋体" w:hAnsi="宋体" w:eastAsia="宋体" w:cs="宋体"/>
          <w:b/>
          <w:bCs/>
          <w:sz w:val="21"/>
          <w:szCs w:val="21"/>
        </w:rPr>
      </w:pPr>
      <w:bookmarkStart w:id="203" w:name="_Toc989092"/>
      <w:r>
        <w:rPr>
          <w:rFonts w:ascii="宋体" w:hAnsi="宋体" w:eastAsia="宋体" w:cs="宋体"/>
          <w:b/>
          <w:bCs/>
          <w:sz w:val="21"/>
          <w:szCs w:val="21"/>
        </w:rPr>
        <w:t>8） 转移其他应收款且继续涉入形成的资产、负债金额</w:t>
      </w:r>
      <w:bookmarkEnd w:id="203"/>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04" w:name="_Toc989093"/>
      <w:r>
        <w:rPr>
          <w:rFonts w:ascii="宋体" w:hAnsi="宋体" w:eastAsia="宋体" w:cs="宋体"/>
          <w:b/>
          <w:bCs/>
          <w:sz w:val="21"/>
          <w:szCs w:val="21"/>
        </w:rPr>
        <w:t>9、存货</w:t>
      </w:r>
      <w:bookmarkEnd w:id="204"/>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公司是否需要遵守房地产行业的披露要求</w:t>
      </w:r>
    </w:p>
    <w:p>
      <w:pPr>
        <w:spacing w:before="0" w:after="0" w:line="240" w:lineRule="exact"/>
        <w:jc w:val="left"/>
        <w:rPr>
          <w:rFonts w:ascii="宋体" w:hAnsi="宋体" w:eastAsia="宋体" w:cs="宋体"/>
          <w:sz w:val="18"/>
          <w:szCs w:val="18"/>
        </w:rPr>
      </w:pP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21"/>
          <w:szCs w:val="21"/>
        </w:rPr>
      </w:pPr>
      <w:bookmarkStart w:id="205" w:name="_Toc989094"/>
      <w:r>
        <w:rPr>
          <w:rFonts w:ascii="宋体" w:hAnsi="宋体" w:eastAsia="宋体" w:cs="宋体"/>
          <w:b/>
          <w:bCs/>
          <w:sz w:val="21"/>
          <w:szCs w:val="21"/>
        </w:rPr>
        <w:t>（1） 存货分类</w:t>
      </w:r>
      <w:bookmarkEnd w:id="2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19,331,559.86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19,308,562.52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19,568,066.19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19,500,355.69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18,317,592.32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11,836,276.95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39,924,397.23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38,827,791.27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29,253,554.96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27,386,741.90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12,295,227.08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12,604,986.27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发出商品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13,061,515.62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7,507,069.83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委托加工物资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4,148,867.57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2,879,776.75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34,261,812.66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33,276,230.43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31,955,125.17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30,806,978.72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141,340,972.34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139,235,786.81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115,604,856.12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112,522,186.11</w:t>
            </w:r>
          </w:p>
        </w:tc>
      </w:tr>
    </w:tbl>
    <w:p>
      <w:pPr>
        <w:keepNext/>
        <w:keepLines/>
        <w:spacing w:before="300" w:after="300" w:line="280" w:lineRule="exact"/>
        <w:jc w:val="left"/>
        <w:outlineLvl w:val="3"/>
        <w:rPr>
          <w:rFonts w:ascii="宋体" w:hAnsi="宋体" w:eastAsia="宋体" w:cs="宋体"/>
          <w:b/>
          <w:bCs/>
          <w:sz w:val="21"/>
          <w:szCs w:val="21"/>
        </w:rPr>
      </w:pPr>
      <w:bookmarkStart w:id="206" w:name="_Toc989095"/>
      <w:r>
        <w:rPr>
          <w:rFonts w:ascii="宋体" w:hAnsi="宋体" w:eastAsia="宋体" w:cs="宋体"/>
          <w:b/>
          <w:bCs/>
          <w:sz w:val="21"/>
          <w:szCs w:val="21"/>
        </w:rPr>
        <w:t>（2） 存货跌价准备和合同履约成本减值准备</w:t>
      </w:r>
      <w:bookmarkEnd w:id="2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67,710.50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5,703.48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50,416.64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22,997.34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1,866,813.06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176,902.17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947,109.27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1,096,605.96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自制半成品</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1,148,146.45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477,216.07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639,780.29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985,582.23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1,637,306.20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2,105,185.53</w:t>
            </w:r>
          </w:p>
        </w:tc>
      </w:tr>
    </w:tbl>
    <w:p>
      <w:pPr>
        <w:spacing w:before="60" w:after="60" w:line="0" w:lineRule="exact"/>
        <w:jc w:val="left"/>
      </w:pPr>
    </w:p>
    <w:tbl>
      <w:tblPr>
        <w:tblStyle w:val="4"/>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10"/>
        <w:gridCol w:w="2196"/>
        <w:gridCol w:w="2523"/>
        <w:gridCol w:w="27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trPr>
        <w:tc>
          <w:tcPr>
            <w:tcW w:w="1410" w:type="dxa"/>
            <w:tcBorders>
              <w:top w:val="single" w:color="auto" w:sz="8" w:space="0"/>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项目</w:t>
            </w:r>
          </w:p>
        </w:tc>
        <w:tc>
          <w:tcPr>
            <w:tcW w:w="2196"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计提存货跌价准备的依据</w:t>
            </w:r>
          </w:p>
        </w:tc>
        <w:tc>
          <w:tcPr>
            <w:tcW w:w="2523"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本期转回存货跌价准备的原因</w:t>
            </w:r>
          </w:p>
        </w:tc>
        <w:tc>
          <w:tcPr>
            <w:tcW w:w="2737" w:type="dxa"/>
            <w:tcBorders>
              <w:top w:val="single" w:color="auto" w:sz="8" w:space="0"/>
              <w:left w:val="nil"/>
              <w:bottom w:val="single" w:color="auto" w:sz="8" w:space="0"/>
              <w:right w:val="single" w:color="auto" w:sz="8" w:space="0"/>
            </w:tcBorders>
            <w:shd w:val="clear" w:color="auto" w:fill="auto"/>
            <w:tcMar>
              <w:top w:w="0" w:type="dxa"/>
              <w:left w:w="31" w:type="dxa"/>
              <w:bottom w:w="0" w:type="dxa"/>
              <w:right w:w="31"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本期转销存货跌价准备的原因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原材料</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原材料的可变现净值低于原材料成本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库存商品</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库存商品的可变现净值低于库存商品成本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本期已销售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trPr>
        <w:tc>
          <w:tcPr>
            <w:tcW w:w="1410" w:type="dxa"/>
            <w:tcBorders>
              <w:top w:val="nil"/>
              <w:left w:val="single" w:color="auto" w:sz="8" w:space="0"/>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自制半成品</w:t>
            </w:r>
          </w:p>
        </w:tc>
        <w:tc>
          <w:tcPr>
            <w:tcW w:w="2196"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自制半成品的可变现净值低于自制半成品成本</w:t>
            </w:r>
          </w:p>
        </w:tc>
        <w:tc>
          <w:tcPr>
            <w:tcW w:w="2523"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本期无转回</w:t>
            </w:r>
          </w:p>
        </w:tc>
        <w:tc>
          <w:tcPr>
            <w:tcW w:w="2737" w:type="dxa"/>
            <w:tcBorders>
              <w:top w:val="nil"/>
              <w:left w:val="nil"/>
              <w:bottom w:val="single" w:color="auto" w:sz="8" w:space="0"/>
              <w:right w:val="single" w:color="auto" w:sz="8" w:space="0"/>
            </w:tcBorders>
            <w:shd w:val="clear" w:color="auto" w:fill="auto"/>
            <w:tcMar>
              <w:top w:w="0" w:type="dxa"/>
              <w:left w:w="31" w:type="dxa"/>
              <w:bottom w:w="0" w:type="dxa"/>
              <w:right w:w="31"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本期生产完成并销售</w:t>
            </w:r>
          </w:p>
        </w:tc>
      </w:tr>
    </w:tbl>
    <w:p>
      <w:pPr>
        <w:keepNext/>
        <w:keepLines/>
        <w:spacing w:before="300" w:after="300" w:line="280" w:lineRule="exact"/>
        <w:jc w:val="left"/>
        <w:outlineLvl w:val="3"/>
        <w:rPr>
          <w:rFonts w:ascii="宋体" w:hAnsi="宋体" w:eastAsia="宋体" w:cs="宋体"/>
          <w:b/>
          <w:bCs/>
          <w:sz w:val="21"/>
          <w:szCs w:val="21"/>
        </w:rPr>
      </w:pPr>
      <w:bookmarkStart w:id="207" w:name="_Toc989096"/>
      <w:r>
        <w:rPr>
          <w:rFonts w:ascii="宋体" w:hAnsi="宋体" w:eastAsia="宋体" w:cs="宋体"/>
          <w:b/>
          <w:bCs/>
          <w:sz w:val="21"/>
          <w:szCs w:val="21"/>
        </w:rPr>
        <w:t>（3） 存货期末余额含有借款费用资本化金额的说明</w:t>
      </w:r>
      <w:bookmarkEnd w:id="207"/>
    </w:p>
    <w:p>
      <w:pPr>
        <w:keepNext/>
        <w:keepLines/>
        <w:spacing w:before="300" w:after="300" w:line="280" w:lineRule="exact"/>
        <w:jc w:val="left"/>
        <w:outlineLvl w:val="3"/>
        <w:rPr>
          <w:rFonts w:ascii="宋体" w:hAnsi="宋体" w:eastAsia="宋体" w:cs="宋体"/>
          <w:b/>
          <w:bCs/>
          <w:sz w:val="21"/>
          <w:szCs w:val="21"/>
        </w:rPr>
      </w:pPr>
      <w:bookmarkStart w:id="208" w:name="_Toc989097"/>
      <w:r>
        <w:rPr>
          <w:rFonts w:ascii="宋体" w:hAnsi="宋体" w:eastAsia="宋体" w:cs="宋体"/>
          <w:b/>
          <w:bCs/>
          <w:sz w:val="21"/>
          <w:szCs w:val="21"/>
        </w:rPr>
        <w:t>（4） 合同履约成本本期摊销金额的说明</w:t>
      </w:r>
      <w:bookmarkEnd w:id="208"/>
    </w:p>
    <w:p>
      <w:pPr>
        <w:keepNext/>
        <w:keepLines/>
        <w:spacing w:before="300" w:after="300" w:line="280" w:lineRule="exact"/>
        <w:jc w:val="left"/>
        <w:outlineLvl w:val="2"/>
        <w:rPr>
          <w:rFonts w:ascii="宋体" w:hAnsi="宋体" w:eastAsia="宋体" w:cs="宋体"/>
          <w:b/>
          <w:bCs/>
          <w:sz w:val="21"/>
          <w:szCs w:val="21"/>
        </w:rPr>
      </w:pPr>
      <w:bookmarkStart w:id="209" w:name="_Toc989098"/>
      <w:r>
        <w:rPr>
          <w:rFonts w:ascii="宋体" w:hAnsi="宋体" w:eastAsia="宋体" w:cs="宋体"/>
          <w:b/>
          <w:bCs/>
          <w:sz w:val="21"/>
          <w:szCs w:val="21"/>
        </w:rPr>
        <w:t>10、合同资产</w:t>
      </w:r>
      <w:bookmarkEnd w:id="2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合同资产的账面价值在本期内发生的重大变动金额和原因：</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如是按照预期信用损失一般模型计提合同资产减值准备，请参照其他应收款的披露方式披露减值准备的相关信息：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本期合同资产计提减值准备情况：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0" w:name="_Toc989099"/>
      <w:r>
        <w:rPr>
          <w:rFonts w:ascii="宋体" w:hAnsi="宋体" w:eastAsia="宋体" w:cs="宋体"/>
          <w:b/>
          <w:bCs/>
          <w:sz w:val="21"/>
          <w:szCs w:val="21"/>
        </w:rPr>
        <w:t>11、持有待售资产</w:t>
      </w:r>
      <w:bookmarkEnd w:id="2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预计处置时间</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1" w:name="_Toc989100"/>
      <w:r>
        <w:rPr>
          <w:rFonts w:ascii="宋体" w:hAnsi="宋体" w:eastAsia="宋体" w:cs="宋体"/>
          <w:b/>
          <w:bCs/>
          <w:sz w:val="21"/>
          <w:szCs w:val="21"/>
        </w:rPr>
        <w:t>12、一年内到期的非流动资产</w:t>
      </w:r>
      <w:bookmarkEnd w:id="2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2" w:name="_Toc989101"/>
      <w:r>
        <w:rPr>
          <w:rFonts w:ascii="宋体" w:hAnsi="宋体" w:eastAsia="宋体" w:cs="宋体"/>
          <w:b/>
          <w:bCs/>
          <w:sz w:val="21"/>
          <w:szCs w:val="21"/>
        </w:rPr>
        <w:t>13、其他流动资产</w:t>
      </w:r>
      <w:bookmarkEnd w:id="2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待抵扣增值税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7,324.49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1,108,201.67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待摊的财产保险费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136,501.88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已赎回未到账的银行理财产品</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27,220,011.38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大额定期存单</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60,409,758.87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60,066,366.64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60,417,083.36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88,531,081.57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3" w:name="_Toc989102"/>
      <w:r>
        <w:rPr>
          <w:rFonts w:ascii="宋体" w:hAnsi="宋体" w:eastAsia="宋体" w:cs="宋体"/>
          <w:b/>
          <w:bCs/>
          <w:sz w:val="21"/>
          <w:szCs w:val="21"/>
        </w:rPr>
        <w:t>14、债权投资</w:t>
      </w:r>
      <w:bookmarkEnd w:id="2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4" w:name="_Toc989103"/>
      <w:r>
        <w:rPr>
          <w:rFonts w:ascii="宋体" w:hAnsi="宋体" w:eastAsia="宋体" w:cs="宋体"/>
          <w:b/>
          <w:bCs/>
          <w:sz w:val="21"/>
          <w:szCs w:val="21"/>
        </w:rPr>
        <w:t>15、其他债权投资</w:t>
      </w:r>
      <w:bookmarkEnd w:id="2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应计利息</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累计在其他综合收益中确认的损失准备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重要的其他债权投资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减值准备计提情况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5" w:name="_Toc989104"/>
      <w:r>
        <w:rPr>
          <w:rFonts w:ascii="宋体" w:hAnsi="宋体" w:eastAsia="宋体" w:cs="宋体"/>
          <w:b/>
          <w:bCs/>
          <w:sz w:val="21"/>
          <w:szCs w:val="21"/>
        </w:rPr>
        <w:t>16、长期应收款</w:t>
      </w:r>
      <w:bookmarkEnd w:id="215"/>
    </w:p>
    <w:p>
      <w:pPr>
        <w:keepNext/>
        <w:keepLines/>
        <w:spacing w:before="300" w:after="300" w:line="280" w:lineRule="exact"/>
        <w:jc w:val="left"/>
        <w:outlineLvl w:val="3"/>
        <w:rPr>
          <w:rFonts w:ascii="宋体" w:hAnsi="宋体" w:eastAsia="宋体" w:cs="宋体"/>
          <w:b/>
          <w:bCs/>
          <w:sz w:val="21"/>
          <w:szCs w:val="21"/>
        </w:rPr>
      </w:pPr>
      <w:bookmarkStart w:id="216" w:name="_Toc989105"/>
      <w:r>
        <w:rPr>
          <w:rFonts w:ascii="宋体" w:hAnsi="宋体" w:eastAsia="宋体" w:cs="宋体"/>
          <w:b/>
          <w:bCs/>
          <w:sz w:val="21"/>
          <w:szCs w:val="21"/>
        </w:rPr>
        <w:t>（1） 长期应收款情况</w:t>
      </w:r>
      <w:bookmarkEnd w:id="2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坏账准备减值情况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17" w:name="_Toc989106"/>
      <w:r>
        <w:rPr>
          <w:rFonts w:ascii="宋体" w:hAnsi="宋体" w:eastAsia="宋体" w:cs="宋体"/>
          <w:b/>
          <w:bCs/>
          <w:sz w:val="21"/>
          <w:szCs w:val="21"/>
        </w:rPr>
        <w:t>（2） 因金融资产转移而终止确认的长期应收款</w:t>
      </w:r>
      <w:bookmarkEnd w:id="217"/>
    </w:p>
    <w:p>
      <w:pPr>
        <w:keepNext/>
        <w:keepLines/>
        <w:spacing w:before="300" w:after="300" w:line="280" w:lineRule="exact"/>
        <w:jc w:val="left"/>
        <w:outlineLvl w:val="3"/>
        <w:rPr>
          <w:rFonts w:ascii="宋体" w:hAnsi="宋体" w:eastAsia="宋体" w:cs="宋体"/>
          <w:b/>
          <w:bCs/>
          <w:sz w:val="21"/>
          <w:szCs w:val="21"/>
        </w:rPr>
      </w:pPr>
      <w:bookmarkStart w:id="218" w:name="_Toc989107"/>
      <w:r>
        <w:rPr>
          <w:rFonts w:ascii="宋体" w:hAnsi="宋体" w:eastAsia="宋体" w:cs="宋体"/>
          <w:b/>
          <w:bCs/>
          <w:sz w:val="21"/>
          <w:szCs w:val="21"/>
        </w:rPr>
        <w:t>（3） 转移长期应收款且继续涉入形成的资产、负债金额</w:t>
      </w:r>
      <w:bookmarkEnd w:id="218"/>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19" w:name="_Toc989108"/>
      <w:r>
        <w:rPr>
          <w:rFonts w:ascii="宋体" w:hAnsi="宋体" w:eastAsia="宋体" w:cs="宋体"/>
          <w:b/>
          <w:bCs/>
          <w:sz w:val="21"/>
          <w:szCs w:val="21"/>
        </w:rPr>
        <w:t>17、长期股权投资</w:t>
      </w:r>
      <w:bookmarkEnd w:id="2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0" w:name="_Toc989109"/>
      <w:r>
        <w:rPr>
          <w:rFonts w:ascii="宋体" w:hAnsi="宋体" w:eastAsia="宋体" w:cs="宋体"/>
          <w:b/>
          <w:bCs/>
          <w:sz w:val="21"/>
          <w:szCs w:val="21"/>
        </w:rPr>
        <w:t>18、其他权益工具投资</w:t>
      </w:r>
      <w:bookmarkEnd w:id="2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分项披露本期非交易性权益工具投资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其他综合收益转入留存收益的原因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1" w:name="_Toc989110"/>
      <w:r>
        <w:rPr>
          <w:rFonts w:ascii="宋体" w:hAnsi="宋体" w:eastAsia="宋体" w:cs="宋体"/>
          <w:b/>
          <w:bCs/>
          <w:sz w:val="21"/>
          <w:szCs w:val="21"/>
        </w:rPr>
        <w:t>19、其他非流动金融资产</w:t>
      </w:r>
      <w:bookmarkEnd w:id="2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2" w:name="_Toc989111"/>
      <w:r>
        <w:rPr>
          <w:rFonts w:ascii="宋体" w:hAnsi="宋体" w:eastAsia="宋体" w:cs="宋体"/>
          <w:b/>
          <w:bCs/>
          <w:sz w:val="21"/>
          <w:szCs w:val="21"/>
        </w:rPr>
        <w:t>20、投资性房地产</w:t>
      </w:r>
      <w:bookmarkEnd w:id="222"/>
    </w:p>
    <w:p>
      <w:pPr>
        <w:keepNext/>
        <w:keepLines/>
        <w:spacing w:before="300" w:after="300" w:line="280" w:lineRule="exact"/>
        <w:jc w:val="left"/>
        <w:outlineLvl w:val="3"/>
        <w:rPr>
          <w:rFonts w:ascii="宋体" w:hAnsi="宋体" w:eastAsia="宋体" w:cs="宋体"/>
          <w:b/>
          <w:bCs/>
          <w:sz w:val="18"/>
          <w:szCs w:val="18"/>
        </w:rPr>
      </w:pPr>
      <w:bookmarkStart w:id="223" w:name="_Toc989112"/>
      <w:r>
        <w:rPr>
          <w:rFonts w:ascii="宋体" w:hAnsi="宋体" w:eastAsia="宋体" w:cs="宋体"/>
          <w:b/>
          <w:bCs/>
          <w:sz w:val="18"/>
          <w:szCs w:val="18"/>
        </w:rPr>
        <w:t>（1） 采用成本计量模式的投资性房地产</w:t>
      </w:r>
      <w:bookmarkEnd w:id="223"/>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房屋、建筑物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在建工程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13,485,783.49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2,253,604.32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15,739,387.81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（1）外购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（2）存货\固定资产\在建工程转入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4,048,389.81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5,058,692.41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3,829,395.75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1,010,302.60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4,839,698.35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9,437,393.68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1,243,301.72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10,680,695.40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二、累计折旧和累计摊销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9,296,674.05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864,051.98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10,160,726.03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（1）计提或摊销</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84,730.74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8,152.92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92,883.66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914,774.21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974,423.21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722,224.15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59,649.00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781,873.15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（3）转入固定资产及无形资产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8,466,630.58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812,555.90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9,279,186.48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（2）其他转出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970,763.10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430,745.82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1,401,508.92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4,189,109.44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1,389,552.34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5,578,661.78</w:t>
            </w:r>
          </w:p>
        </w:tc>
      </w:tr>
    </w:tbl>
    <w:p>
      <w:pPr>
        <w:keepNext/>
        <w:keepLines/>
        <w:spacing w:before="300" w:after="300" w:line="280" w:lineRule="exact"/>
        <w:jc w:val="left"/>
        <w:outlineLvl w:val="3"/>
        <w:rPr>
          <w:rFonts w:ascii="宋体" w:hAnsi="宋体" w:eastAsia="宋体" w:cs="宋体"/>
          <w:b/>
          <w:bCs/>
          <w:sz w:val="18"/>
          <w:szCs w:val="18"/>
        </w:rPr>
      </w:pPr>
      <w:bookmarkStart w:id="224" w:name="_Toc989113"/>
      <w:r>
        <w:rPr>
          <w:rFonts w:ascii="宋体" w:hAnsi="宋体" w:eastAsia="宋体" w:cs="宋体"/>
          <w:b/>
          <w:bCs/>
          <w:sz w:val="18"/>
          <w:szCs w:val="18"/>
        </w:rPr>
        <w:t>（2） 采用公允价值计量模式的投资性房地产</w:t>
      </w:r>
      <w:bookmarkEnd w:id="224"/>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225" w:name="_Toc989114"/>
      <w:r>
        <w:rPr>
          <w:rFonts w:ascii="宋体" w:hAnsi="宋体" w:eastAsia="宋体" w:cs="宋体"/>
          <w:b/>
          <w:bCs/>
          <w:sz w:val="18"/>
          <w:szCs w:val="18"/>
        </w:rPr>
        <w:t>（3） 未办妥产权证书的投资性房地产情况</w:t>
      </w:r>
      <w:bookmarkEnd w:id="2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26" w:name="_Toc989115"/>
      <w:r>
        <w:rPr>
          <w:rFonts w:ascii="宋体" w:hAnsi="宋体" w:eastAsia="宋体" w:cs="宋体"/>
          <w:b/>
          <w:bCs/>
          <w:sz w:val="21"/>
          <w:szCs w:val="21"/>
        </w:rPr>
        <w:t>21、固定资产</w:t>
      </w:r>
      <w:bookmarkEnd w:id="22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27" w:name="_Toc989116"/>
      <w:r>
        <w:rPr>
          <w:rFonts w:ascii="宋体" w:hAnsi="宋体" w:eastAsia="宋体" w:cs="宋体"/>
          <w:b/>
          <w:bCs/>
          <w:sz w:val="21"/>
          <w:szCs w:val="21"/>
        </w:rPr>
        <w:t>（1） 固定资产情况</w:t>
      </w:r>
      <w:bookmarkEnd w:id="2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房屋及建筑物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机器设备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运输工具</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电子设备及其他</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160,806,010.18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193,974,502.82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5,793,251.72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11,618,162.76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372,191,927.48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374,590.44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1,725,222.37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3,241,710.46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5,471,434.77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170,796.46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129,911.50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365,679.63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666,387.59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1,554,425.91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2,876,030.83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218,994.06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2,495,283.60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1,518,425.07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196,337.73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4,210,046.40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158,685,317.02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194,181,300.12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5,923,163.22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14,663,535.49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373,453,315.85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53,999,886.06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56,726,230.26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4,524,190.55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6,728,748.62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121,979,055.49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3,860,105.67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12,998,840.37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3,667,555.61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7,021,158.21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201,498.78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1,916,077.71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12,806,290.31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（2）投资性房地产转入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192,550.06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588,141.05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937,253.12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211,880.36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1,737,274.53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57,271,850.68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62,810,135.35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4,725,689.33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8,432,945.97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133,240,621.33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（1）处置或报废</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101,413,466.34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131,371,164.77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1,197,473.89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6,230,589.52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240,212,694.52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106,806,124.12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137,248,272.56</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1,269,061.17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4,889,414.14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250,212,871.99</w:t>
            </w:r>
          </w:p>
        </w:tc>
      </w:tr>
    </w:tbl>
    <w:p>
      <w:pPr>
        <w:keepNext/>
        <w:keepLines/>
        <w:spacing w:before="300" w:after="300" w:line="280" w:lineRule="exact"/>
        <w:jc w:val="left"/>
        <w:outlineLvl w:val="3"/>
        <w:rPr>
          <w:rFonts w:ascii="宋体" w:hAnsi="宋体" w:eastAsia="宋体" w:cs="宋体"/>
          <w:b/>
          <w:bCs/>
          <w:sz w:val="21"/>
          <w:szCs w:val="21"/>
        </w:rPr>
      </w:pPr>
      <w:bookmarkStart w:id="228" w:name="_Toc989117"/>
      <w:r>
        <w:rPr>
          <w:rFonts w:ascii="宋体" w:hAnsi="宋体" w:eastAsia="宋体" w:cs="宋体"/>
          <w:b/>
          <w:bCs/>
          <w:sz w:val="21"/>
          <w:szCs w:val="21"/>
        </w:rPr>
        <w:t>（2） 暂时闲置的固定资产情况</w:t>
      </w:r>
      <w:bookmarkEnd w:id="2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bl>
    <w:p>
      <w:pPr>
        <w:keepNext/>
        <w:keepLines/>
        <w:spacing w:before="300" w:after="300" w:line="280" w:lineRule="exact"/>
        <w:jc w:val="left"/>
        <w:outlineLvl w:val="3"/>
        <w:rPr>
          <w:rFonts w:ascii="宋体" w:hAnsi="宋体" w:eastAsia="宋体" w:cs="宋体"/>
          <w:b/>
          <w:bCs/>
          <w:sz w:val="21"/>
          <w:szCs w:val="21"/>
        </w:rPr>
      </w:pPr>
      <w:bookmarkStart w:id="229" w:name="_Toc989118"/>
      <w:r>
        <w:rPr>
          <w:rFonts w:ascii="宋体" w:hAnsi="宋体" w:eastAsia="宋体" w:cs="宋体"/>
          <w:b/>
          <w:bCs/>
          <w:sz w:val="21"/>
          <w:szCs w:val="21"/>
        </w:rPr>
        <w:t>（3） 通过经营租赁租出的固定资产</w:t>
      </w:r>
      <w:bookmarkEnd w:id="22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r>
    </w:tbl>
    <w:p>
      <w:pPr>
        <w:keepNext/>
        <w:keepLines/>
        <w:spacing w:before="300" w:after="300" w:line="280" w:lineRule="exact"/>
        <w:jc w:val="left"/>
        <w:outlineLvl w:val="3"/>
        <w:rPr>
          <w:rFonts w:ascii="宋体" w:hAnsi="宋体" w:eastAsia="宋体" w:cs="宋体"/>
          <w:b/>
          <w:bCs/>
          <w:sz w:val="21"/>
          <w:szCs w:val="21"/>
        </w:rPr>
      </w:pPr>
      <w:bookmarkStart w:id="230" w:name="_Toc989119"/>
      <w:r>
        <w:rPr>
          <w:rFonts w:ascii="宋体" w:hAnsi="宋体" w:eastAsia="宋体" w:cs="宋体"/>
          <w:b/>
          <w:bCs/>
          <w:sz w:val="21"/>
          <w:szCs w:val="21"/>
        </w:rPr>
        <w:t>（4） 未办妥产权证书的固定资产情况</w:t>
      </w:r>
      <w:bookmarkEnd w:id="23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莱州伟隆新厂3#车间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3,068,807.34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莱州伟隆新厂4#车间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4,843,508.98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正在办理</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1" w:name="_Toc989120"/>
      <w:r>
        <w:rPr>
          <w:rFonts w:ascii="宋体" w:hAnsi="宋体" w:eastAsia="宋体" w:cs="宋体"/>
          <w:b/>
          <w:bCs/>
          <w:sz w:val="21"/>
          <w:szCs w:val="21"/>
        </w:rPr>
        <w:t>（5） 固定资产清理</w:t>
      </w:r>
      <w:bookmarkEnd w:id="2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2" w:name="_Toc989121"/>
      <w:r>
        <w:rPr>
          <w:rFonts w:ascii="宋体" w:hAnsi="宋体" w:eastAsia="宋体" w:cs="宋体"/>
          <w:b/>
          <w:bCs/>
          <w:sz w:val="21"/>
          <w:szCs w:val="21"/>
        </w:rPr>
        <w:t>22、在建工程</w:t>
      </w:r>
      <w:bookmarkEnd w:id="2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33" w:name="_Toc989122"/>
      <w:r>
        <w:rPr>
          <w:rFonts w:ascii="宋体" w:hAnsi="宋体" w:eastAsia="宋体" w:cs="宋体"/>
          <w:b/>
          <w:bCs/>
          <w:sz w:val="21"/>
          <w:szCs w:val="21"/>
        </w:rPr>
        <w:t>（1） 在建工程情况</w:t>
      </w:r>
      <w:bookmarkEnd w:id="2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r>
    </w:tbl>
    <w:p>
      <w:pPr>
        <w:keepNext/>
        <w:keepLines/>
        <w:spacing w:before="300" w:after="300" w:line="280" w:lineRule="exact"/>
        <w:jc w:val="left"/>
        <w:outlineLvl w:val="3"/>
        <w:rPr>
          <w:rFonts w:ascii="宋体" w:hAnsi="宋体" w:eastAsia="宋体" w:cs="宋体"/>
          <w:b/>
          <w:bCs/>
          <w:sz w:val="21"/>
          <w:szCs w:val="21"/>
        </w:rPr>
      </w:pPr>
      <w:bookmarkStart w:id="234" w:name="_Toc989123"/>
      <w:r>
        <w:rPr>
          <w:rFonts w:ascii="宋体" w:hAnsi="宋体" w:eastAsia="宋体" w:cs="宋体"/>
          <w:b/>
          <w:bCs/>
          <w:sz w:val="21"/>
          <w:szCs w:val="21"/>
        </w:rPr>
        <w:t>（2） 重要在建工程项目本期变动情况</w:t>
      </w:r>
      <w:bookmarkEnd w:id="2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待安装设备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3,567,107.44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1,876,117.58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4,430,456.74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939,183.37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厂房及零星工程等</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3,031,252.27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155,596.38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2,875,655.89</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4,649,676.26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4,907,369.85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4,586,053.12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1,156,153.73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3,814,839.26</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235" w:name="_Toc989124"/>
      <w:r>
        <w:rPr>
          <w:rFonts w:ascii="宋体" w:hAnsi="宋体" w:eastAsia="宋体" w:cs="宋体"/>
          <w:b/>
          <w:bCs/>
          <w:sz w:val="21"/>
          <w:szCs w:val="21"/>
        </w:rPr>
        <w:t>（3） 本期计提在建工程减值准备情况</w:t>
      </w:r>
      <w:bookmarkEnd w:id="2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236" w:name="_Toc989125"/>
      <w:r>
        <w:rPr>
          <w:rFonts w:ascii="宋体" w:hAnsi="宋体" w:eastAsia="宋体" w:cs="宋体"/>
          <w:b/>
          <w:bCs/>
          <w:sz w:val="21"/>
          <w:szCs w:val="21"/>
        </w:rPr>
        <w:t>（4） 工程物资</w:t>
      </w:r>
      <w:bookmarkEnd w:id="2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37" w:name="_Toc989126"/>
      <w:r>
        <w:rPr>
          <w:rFonts w:ascii="宋体" w:hAnsi="宋体" w:eastAsia="宋体" w:cs="宋体"/>
          <w:b/>
          <w:bCs/>
          <w:sz w:val="21"/>
          <w:szCs w:val="21"/>
        </w:rPr>
        <w:t>23、生产性生物资产</w:t>
      </w:r>
      <w:bookmarkEnd w:id="237"/>
    </w:p>
    <w:p>
      <w:pPr>
        <w:keepNext/>
        <w:keepLines/>
        <w:spacing w:before="300" w:after="300" w:line="280" w:lineRule="exact"/>
        <w:jc w:val="left"/>
        <w:outlineLvl w:val="3"/>
        <w:rPr>
          <w:rFonts w:ascii="宋体" w:hAnsi="宋体" w:eastAsia="宋体" w:cs="宋体"/>
          <w:b/>
          <w:bCs/>
          <w:sz w:val="21"/>
          <w:szCs w:val="21"/>
        </w:rPr>
      </w:pPr>
      <w:bookmarkStart w:id="238" w:name="_Toc989127"/>
      <w:r>
        <w:rPr>
          <w:rFonts w:ascii="宋体" w:hAnsi="宋体" w:eastAsia="宋体" w:cs="宋体"/>
          <w:b/>
          <w:bCs/>
          <w:sz w:val="21"/>
          <w:szCs w:val="21"/>
        </w:rPr>
        <w:t>（1） 采用成本计量模式的生产性生物资产</w:t>
      </w:r>
      <w:bookmarkEnd w:id="238"/>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239" w:name="_Toc989128"/>
      <w:r>
        <w:rPr>
          <w:rFonts w:ascii="宋体" w:hAnsi="宋体" w:eastAsia="宋体" w:cs="宋体"/>
          <w:b/>
          <w:bCs/>
          <w:sz w:val="21"/>
          <w:szCs w:val="21"/>
        </w:rPr>
        <w:t>（2） 采用公允价值计量模式的生产性生物资产</w:t>
      </w:r>
      <w:bookmarkEnd w:id="239"/>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0" w:name="_Toc989129"/>
      <w:r>
        <w:rPr>
          <w:rFonts w:ascii="宋体" w:hAnsi="宋体" w:eastAsia="宋体" w:cs="宋体"/>
          <w:b/>
          <w:bCs/>
          <w:sz w:val="21"/>
          <w:szCs w:val="21"/>
        </w:rPr>
        <w:t>24、油气资产</w:t>
      </w:r>
      <w:bookmarkEnd w:id="24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241" w:name="_Toc989130"/>
      <w:r>
        <w:rPr>
          <w:rFonts w:ascii="宋体" w:hAnsi="宋体" w:eastAsia="宋体" w:cs="宋体"/>
          <w:b/>
          <w:bCs/>
          <w:sz w:val="21"/>
          <w:szCs w:val="21"/>
        </w:rPr>
        <w:t>25、使用权资产</w:t>
      </w:r>
      <w:bookmarkEnd w:id="2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2" w:name="_Toc989131"/>
      <w:r>
        <w:rPr>
          <w:rFonts w:ascii="宋体" w:hAnsi="宋体" w:eastAsia="宋体" w:cs="宋体"/>
          <w:b/>
          <w:bCs/>
          <w:sz w:val="21"/>
          <w:szCs w:val="21"/>
        </w:rPr>
        <w:t>26、无形资产</w:t>
      </w:r>
      <w:bookmarkEnd w:id="242"/>
    </w:p>
    <w:p>
      <w:pPr>
        <w:keepNext/>
        <w:keepLines/>
        <w:spacing w:before="300" w:after="300" w:line="280" w:lineRule="exact"/>
        <w:jc w:val="left"/>
        <w:outlineLvl w:val="3"/>
        <w:rPr>
          <w:rFonts w:ascii="宋体" w:hAnsi="宋体" w:eastAsia="宋体" w:cs="宋体"/>
          <w:b/>
          <w:bCs/>
          <w:sz w:val="21"/>
          <w:szCs w:val="21"/>
        </w:rPr>
      </w:pPr>
      <w:bookmarkStart w:id="243" w:name="_Toc989132"/>
      <w:r>
        <w:rPr>
          <w:rFonts w:ascii="宋体" w:hAnsi="宋体" w:eastAsia="宋体" w:cs="宋体"/>
          <w:b/>
          <w:bCs/>
          <w:sz w:val="21"/>
          <w:szCs w:val="21"/>
        </w:rPr>
        <w:t>（1） 无形资产情况</w:t>
      </w:r>
      <w:bookmarkEnd w:id="2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土地使用权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专利权</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非专利技术</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计算机软件</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一、账面原值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41,527,794.83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1,382,790.21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42,910,585.04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（1）购置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（2）内部研发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（3）企业合并增加</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（4）在建工程转入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73,584.91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580,824.14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40,946,970.69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1,569,375.12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42,516,345.81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二、累计摊销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7,635,533.14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759,404.13</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8,394,937.27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437,796.60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99,617.01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537,413.61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8,039,153.14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859,021.14</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8,898,174.28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三、减值准备</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1.期初余额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2.本期增加金额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（1）计提</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3.本期减少金额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（1）处置</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4.期末余额</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四、账面价值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1.期末账面价值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32,907,817.55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710,353.98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33,618,171.53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2.期初账面价值</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33,892,261.69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623,386.08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34,515,647.77</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本期末通过公司内部研发形成的无形资产占无形资产余额的比例</w:t>
      </w:r>
    </w:p>
    <w:p>
      <w:pPr>
        <w:keepNext/>
        <w:keepLines/>
        <w:spacing w:before="300" w:after="300" w:line="280" w:lineRule="exact"/>
        <w:jc w:val="left"/>
        <w:outlineLvl w:val="3"/>
        <w:rPr>
          <w:rFonts w:ascii="宋体" w:hAnsi="宋体" w:eastAsia="宋体" w:cs="宋体"/>
          <w:b/>
          <w:bCs/>
          <w:sz w:val="21"/>
          <w:szCs w:val="21"/>
        </w:rPr>
      </w:pPr>
      <w:bookmarkStart w:id="244" w:name="_Toc989133"/>
      <w:r>
        <w:rPr>
          <w:rFonts w:ascii="宋体" w:hAnsi="宋体" w:eastAsia="宋体" w:cs="宋体"/>
          <w:b/>
          <w:bCs/>
          <w:sz w:val="21"/>
          <w:szCs w:val="21"/>
        </w:rPr>
        <w:t>（2） 未办妥产权证书的土地使用权情况</w:t>
      </w:r>
      <w:bookmarkEnd w:id="24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未办妥产权证书的原因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5" w:name="_Toc989134"/>
      <w:r>
        <w:rPr>
          <w:rFonts w:ascii="宋体" w:hAnsi="宋体" w:eastAsia="宋体" w:cs="宋体"/>
          <w:b/>
          <w:bCs/>
          <w:sz w:val="21"/>
          <w:szCs w:val="21"/>
        </w:rPr>
        <w:t>27、开发支出</w:t>
      </w:r>
      <w:bookmarkEnd w:id="2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6" w:name="_Toc989135"/>
      <w:r>
        <w:rPr>
          <w:rFonts w:ascii="宋体" w:hAnsi="宋体" w:eastAsia="宋体" w:cs="宋体"/>
          <w:b/>
          <w:bCs/>
          <w:sz w:val="21"/>
          <w:szCs w:val="21"/>
        </w:rPr>
        <w:t>28、商誉</w:t>
      </w:r>
      <w:bookmarkEnd w:id="246"/>
    </w:p>
    <w:p>
      <w:pPr>
        <w:keepNext/>
        <w:keepLines/>
        <w:spacing w:before="300" w:after="300" w:line="280" w:lineRule="exact"/>
        <w:jc w:val="left"/>
        <w:outlineLvl w:val="3"/>
        <w:rPr>
          <w:rFonts w:ascii="宋体" w:hAnsi="宋体" w:eastAsia="宋体" w:cs="宋体"/>
          <w:b/>
          <w:bCs/>
          <w:sz w:val="21"/>
          <w:szCs w:val="21"/>
        </w:rPr>
      </w:pPr>
      <w:bookmarkStart w:id="247" w:name="_Toc989136"/>
      <w:r>
        <w:rPr>
          <w:rFonts w:ascii="宋体" w:hAnsi="宋体" w:eastAsia="宋体" w:cs="宋体"/>
          <w:b/>
          <w:bCs/>
          <w:sz w:val="21"/>
          <w:szCs w:val="21"/>
        </w:rPr>
        <w:t>（1） 商誉账面原值</w:t>
      </w:r>
      <w:bookmarkEnd w:id="24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48" w:name="_Toc989137"/>
      <w:r>
        <w:rPr>
          <w:rFonts w:ascii="宋体" w:hAnsi="宋体" w:eastAsia="宋体" w:cs="宋体"/>
          <w:b/>
          <w:bCs/>
          <w:sz w:val="21"/>
          <w:szCs w:val="21"/>
        </w:rPr>
        <w:t>（2） 商誉减值准备</w:t>
      </w:r>
      <w:bookmarkEnd w:id="24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被投资单位名称或形成商誉的事项</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商誉所在资产组或资产组组合的相关信息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说明商誉减值测试过程、关键参数（如预计未来现金流量现值时的预测期增长率、稳定期增长率、利润率、折现率、预测期等）及商誉减值损失的确认方法：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商誉减值测试的影响</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49" w:name="_Toc989138"/>
      <w:r>
        <w:rPr>
          <w:rFonts w:ascii="宋体" w:hAnsi="宋体" w:eastAsia="宋体" w:cs="宋体"/>
          <w:b/>
          <w:bCs/>
          <w:sz w:val="21"/>
          <w:szCs w:val="21"/>
        </w:rPr>
        <w:t>29、长期待摊费用</w:t>
      </w:r>
      <w:bookmarkEnd w:id="2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本期摊销金额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其他减少金额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房屋改造费用</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1,212,383.99</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1,082,568.82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83,424.12</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2,211,528.69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0" w:name="_Toc989139"/>
      <w:r>
        <w:rPr>
          <w:rFonts w:ascii="宋体" w:hAnsi="宋体" w:eastAsia="宋体" w:cs="宋体"/>
          <w:b/>
          <w:bCs/>
          <w:sz w:val="21"/>
          <w:szCs w:val="21"/>
        </w:rPr>
        <w:t>30、递延所得税资产/递延所得税负债</w:t>
      </w:r>
      <w:bookmarkEnd w:id="250"/>
    </w:p>
    <w:p>
      <w:pPr>
        <w:keepNext/>
        <w:keepLines/>
        <w:spacing w:before="300" w:after="300" w:line="280" w:lineRule="exact"/>
        <w:jc w:val="left"/>
        <w:outlineLvl w:val="3"/>
        <w:rPr>
          <w:rFonts w:ascii="宋体" w:hAnsi="宋体" w:eastAsia="宋体" w:cs="宋体"/>
          <w:b/>
          <w:bCs/>
          <w:sz w:val="21"/>
          <w:szCs w:val="21"/>
        </w:rPr>
      </w:pPr>
      <w:bookmarkStart w:id="251" w:name="_Toc989140"/>
      <w:r>
        <w:rPr>
          <w:rFonts w:ascii="宋体" w:hAnsi="宋体" w:eastAsia="宋体" w:cs="宋体"/>
          <w:b/>
          <w:bCs/>
          <w:sz w:val="21"/>
          <w:szCs w:val="21"/>
        </w:rPr>
        <w:t>（1） 未经抵销的递延所得税资产</w:t>
      </w:r>
      <w:bookmarkEnd w:id="25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62,159,174.91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9,340,470.41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59,889,232.49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8,983,541.90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存货跌价准备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1,645,884.71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181,979.09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3,082,670.01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462,400.50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8,360,227.77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1,268,183.59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7,726,760.77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1,178,106.36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2,294,177.08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2,367,685.29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633,080.00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1,055,133.34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158,270.00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448,902.31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66,899.37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333,459.03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50,454.83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环保设备抵税额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6,808,734.80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1,021,310.22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6,798,823.27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1,019,823.49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94,452,930.95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90,128,953.59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bl>
    <w:p>
      <w:pPr>
        <w:keepNext/>
        <w:keepLines/>
        <w:spacing w:before="300" w:after="300" w:line="280" w:lineRule="exact"/>
        <w:jc w:val="left"/>
        <w:outlineLvl w:val="3"/>
        <w:rPr>
          <w:rFonts w:ascii="宋体" w:hAnsi="宋体" w:eastAsia="宋体" w:cs="宋体"/>
          <w:b/>
          <w:bCs/>
          <w:sz w:val="21"/>
          <w:szCs w:val="21"/>
        </w:rPr>
      </w:pPr>
      <w:bookmarkStart w:id="252" w:name="_Toc989141"/>
      <w:r>
        <w:rPr>
          <w:rFonts w:ascii="宋体" w:hAnsi="宋体" w:eastAsia="宋体" w:cs="宋体"/>
          <w:b/>
          <w:bCs/>
          <w:sz w:val="21"/>
          <w:szCs w:val="21"/>
        </w:rPr>
        <w:t>（2） 未经抵销的递延所得税负债</w:t>
      </w:r>
      <w:bookmarkEnd w:id="25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固定资产税前一次性扣除</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20,992,614.51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3,148,892.18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19,572,647.07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2,935,897.06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交易性金融资产公允价值变动</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2,437,074.40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354,170.56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2,606,030.67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390,904.60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23,429,688.91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22,178,677.74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253" w:name="_Toc989142"/>
      <w:r>
        <w:rPr>
          <w:rFonts w:ascii="宋体" w:hAnsi="宋体" w:eastAsia="宋体" w:cs="宋体"/>
          <w:b/>
          <w:bCs/>
          <w:sz w:val="21"/>
          <w:szCs w:val="21"/>
        </w:rPr>
        <w:t>（3） 以抵销后净额列示的递延所得税资产或负债</w:t>
      </w:r>
      <w:bookmarkEnd w:id="25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14,806,099.77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3,503,062.74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3,326,801.66</w:t>
            </w:r>
          </w:p>
        </w:tc>
      </w:tr>
    </w:tbl>
    <w:p>
      <w:pPr>
        <w:keepNext/>
        <w:keepLines/>
        <w:spacing w:before="300" w:after="300" w:line="280" w:lineRule="exact"/>
        <w:jc w:val="left"/>
        <w:outlineLvl w:val="3"/>
        <w:rPr>
          <w:rFonts w:ascii="宋体" w:hAnsi="宋体" w:eastAsia="宋体" w:cs="宋体"/>
          <w:b/>
          <w:bCs/>
          <w:sz w:val="21"/>
          <w:szCs w:val="21"/>
        </w:rPr>
      </w:pPr>
      <w:bookmarkStart w:id="254" w:name="_Toc989143"/>
      <w:r>
        <w:rPr>
          <w:rFonts w:ascii="宋体" w:hAnsi="宋体" w:eastAsia="宋体" w:cs="宋体"/>
          <w:b/>
          <w:bCs/>
          <w:sz w:val="21"/>
          <w:szCs w:val="21"/>
        </w:rPr>
        <w:t>（4） 未确认递延所得税资产明细</w:t>
      </w:r>
      <w:bookmarkEnd w:id="2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r>
    </w:tbl>
    <w:p>
      <w:pPr>
        <w:keepNext/>
        <w:keepLines/>
        <w:spacing w:before="300" w:after="300" w:line="280" w:lineRule="exact"/>
        <w:jc w:val="left"/>
        <w:outlineLvl w:val="3"/>
        <w:rPr>
          <w:rFonts w:ascii="宋体" w:hAnsi="宋体" w:eastAsia="宋体" w:cs="宋体"/>
          <w:b/>
          <w:bCs/>
          <w:sz w:val="21"/>
          <w:szCs w:val="21"/>
        </w:rPr>
      </w:pPr>
      <w:bookmarkStart w:id="255" w:name="_Toc989144"/>
      <w:r>
        <w:rPr>
          <w:rFonts w:ascii="宋体" w:hAnsi="宋体" w:eastAsia="宋体" w:cs="宋体"/>
          <w:b/>
          <w:bCs/>
          <w:sz w:val="21"/>
          <w:szCs w:val="21"/>
        </w:rPr>
        <w:t>（5） 未确认递延所得税资产的可抵扣亏损将于以下年度到期</w:t>
      </w:r>
      <w:bookmarkEnd w:id="2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661,691.64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170,764.33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3,910.97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3,852.43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2026年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3,764.34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843,983.71</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6" w:name="_Toc989145"/>
      <w:r>
        <w:rPr>
          <w:rFonts w:ascii="宋体" w:hAnsi="宋体" w:eastAsia="宋体" w:cs="宋体"/>
          <w:b/>
          <w:bCs/>
          <w:sz w:val="21"/>
          <w:szCs w:val="21"/>
        </w:rPr>
        <w:t>31、其他非流动资产</w:t>
      </w:r>
      <w:bookmarkEnd w:id="2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预付设备款</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247,500.00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57" w:name="_Toc989146"/>
      <w:r>
        <w:rPr>
          <w:rFonts w:ascii="宋体" w:hAnsi="宋体" w:eastAsia="宋体" w:cs="宋体"/>
          <w:b/>
          <w:bCs/>
          <w:sz w:val="21"/>
          <w:szCs w:val="21"/>
        </w:rPr>
        <w:t>32、短期借款</w:t>
      </w:r>
      <w:bookmarkEnd w:id="257"/>
    </w:p>
    <w:p>
      <w:pPr>
        <w:keepNext/>
        <w:keepLines/>
        <w:spacing w:before="300" w:after="300" w:line="280" w:lineRule="exact"/>
        <w:jc w:val="left"/>
        <w:outlineLvl w:val="3"/>
        <w:rPr>
          <w:rFonts w:ascii="宋体" w:hAnsi="宋体" w:eastAsia="宋体" w:cs="宋体"/>
          <w:b/>
          <w:bCs/>
          <w:sz w:val="21"/>
          <w:szCs w:val="21"/>
        </w:rPr>
      </w:pPr>
      <w:bookmarkStart w:id="258" w:name="_Toc989147"/>
      <w:r>
        <w:rPr>
          <w:rFonts w:ascii="宋体" w:hAnsi="宋体" w:eastAsia="宋体" w:cs="宋体"/>
          <w:b/>
          <w:bCs/>
          <w:sz w:val="21"/>
          <w:szCs w:val="21"/>
        </w:rPr>
        <w:t>（1） 短期借款分类</w:t>
      </w:r>
      <w:bookmarkEnd w:id="2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信用证融资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31,000,000.00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短期借款分类的说明：</w:t>
      </w:r>
    </w:p>
    <w:p>
      <w:pPr>
        <w:keepNext/>
        <w:keepLines/>
        <w:spacing w:before="300" w:after="300" w:line="280" w:lineRule="exact"/>
        <w:jc w:val="left"/>
        <w:outlineLvl w:val="3"/>
        <w:rPr>
          <w:rFonts w:ascii="宋体" w:hAnsi="宋体" w:eastAsia="宋体" w:cs="宋体"/>
          <w:b/>
          <w:bCs/>
          <w:sz w:val="21"/>
          <w:szCs w:val="21"/>
        </w:rPr>
      </w:pPr>
      <w:bookmarkStart w:id="259" w:name="_Toc989148"/>
      <w:r>
        <w:rPr>
          <w:rFonts w:ascii="宋体" w:hAnsi="宋体" w:eastAsia="宋体" w:cs="宋体"/>
          <w:b/>
          <w:bCs/>
          <w:sz w:val="21"/>
          <w:szCs w:val="21"/>
        </w:rPr>
        <w:t>（2） 已逾期未偿还的短期借款情况</w:t>
      </w:r>
      <w:bookmarkEnd w:id="259"/>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本期末已逾期未偿还的短期借款总额为元，其中重要的已逾期未偿还的短期借款情况如下：</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逾期利率</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0" w:name="_Toc989149"/>
      <w:r>
        <w:rPr>
          <w:rFonts w:ascii="宋体" w:hAnsi="宋体" w:eastAsia="宋体" w:cs="宋体"/>
          <w:b/>
          <w:bCs/>
          <w:sz w:val="21"/>
          <w:szCs w:val="21"/>
        </w:rPr>
        <w:t>33、交易性金融负债</w:t>
      </w:r>
      <w:bookmarkEnd w:id="26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1" w:name="_Toc989150"/>
      <w:r>
        <w:rPr>
          <w:rFonts w:ascii="宋体" w:hAnsi="宋体" w:eastAsia="宋体" w:cs="宋体"/>
          <w:b/>
          <w:bCs/>
          <w:sz w:val="21"/>
          <w:szCs w:val="21"/>
        </w:rPr>
        <w:t>34、衍生金融负债</w:t>
      </w:r>
      <w:bookmarkEnd w:id="261"/>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2" w:name="_Toc989151"/>
      <w:r>
        <w:rPr>
          <w:rFonts w:ascii="宋体" w:hAnsi="宋体" w:eastAsia="宋体" w:cs="宋体"/>
          <w:b/>
          <w:bCs/>
          <w:sz w:val="21"/>
          <w:szCs w:val="21"/>
        </w:rPr>
        <w:t>35、应付票据</w:t>
      </w:r>
      <w:bookmarkEnd w:id="2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38,383,222.15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38,786,483.35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本期末已到期未支付的应付票据总额为元。</w:t>
      </w:r>
    </w:p>
    <w:p>
      <w:pPr>
        <w:keepNext/>
        <w:keepLines/>
        <w:spacing w:before="300" w:after="300" w:line="280" w:lineRule="exact"/>
        <w:jc w:val="left"/>
        <w:outlineLvl w:val="2"/>
        <w:rPr>
          <w:rFonts w:ascii="宋体" w:hAnsi="宋体" w:eastAsia="宋体" w:cs="宋体"/>
          <w:b/>
          <w:bCs/>
          <w:sz w:val="21"/>
          <w:szCs w:val="21"/>
        </w:rPr>
      </w:pPr>
      <w:bookmarkStart w:id="263" w:name="_Toc989152"/>
      <w:r>
        <w:rPr>
          <w:rFonts w:ascii="宋体" w:hAnsi="宋体" w:eastAsia="宋体" w:cs="宋体"/>
          <w:b/>
          <w:bCs/>
          <w:sz w:val="21"/>
          <w:szCs w:val="21"/>
        </w:rPr>
        <w:t>36、应付账款</w:t>
      </w:r>
      <w:bookmarkEnd w:id="263"/>
    </w:p>
    <w:p>
      <w:pPr>
        <w:keepNext/>
        <w:keepLines/>
        <w:spacing w:before="300" w:after="300" w:line="280" w:lineRule="exact"/>
        <w:jc w:val="left"/>
        <w:outlineLvl w:val="3"/>
        <w:rPr>
          <w:rFonts w:ascii="宋体" w:hAnsi="宋体" w:eastAsia="宋体" w:cs="宋体"/>
          <w:b/>
          <w:bCs/>
          <w:sz w:val="18"/>
          <w:szCs w:val="18"/>
        </w:rPr>
      </w:pPr>
      <w:bookmarkStart w:id="264" w:name="_Toc989153"/>
      <w:r>
        <w:rPr>
          <w:rFonts w:ascii="宋体" w:hAnsi="宋体" w:eastAsia="宋体" w:cs="宋体"/>
          <w:b/>
          <w:bCs/>
          <w:sz w:val="18"/>
          <w:szCs w:val="18"/>
        </w:rPr>
        <w:t>（1） 应付账款列示</w:t>
      </w:r>
      <w:bookmarkEnd w:id="2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53,072,201.78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56,901,566.04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117,552.21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179,915.56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184,101.16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161,333.56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3年以上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346,874.08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53,583,947.06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57,589,689.24</w:t>
            </w:r>
          </w:p>
        </w:tc>
      </w:tr>
    </w:tbl>
    <w:p>
      <w:pPr>
        <w:keepNext/>
        <w:keepLines/>
        <w:spacing w:before="300" w:after="300" w:line="280" w:lineRule="exact"/>
        <w:jc w:val="left"/>
        <w:outlineLvl w:val="3"/>
        <w:rPr>
          <w:rFonts w:ascii="宋体" w:hAnsi="宋体" w:eastAsia="宋体" w:cs="宋体"/>
          <w:b/>
          <w:bCs/>
          <w:sz w:val="18"/>
          <w:szCs w:val="18"/>
        </w:rPr>
      </w:pPr>
      <w:bookmarkStart w:id="265" w:name="_Toc989154"/>
      <w:r>
        <w:rPr>
          <w:rFonts w:ascii="宋体" w:hAnsi="宋体" w:eastAsia="宋体" w:cs="宋体"/>
          <w:b/>
          <w:bCs/>
          <w:sz w:val="18"/>
          <w:szCs w:val="18"/>
        </w:rPr>
        <w:t>（2） 账龄超过1年的重要应付账款</w:t>
      </w:r>
      <w:bookmarkEnd w:id="2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6" w:name="_Toc989155"/>
      <w:r>
        <w:rPr>
          <w:rFonts w:ascii="宋体" w:hAnsi="宋体" w:eastAsia="宋体" w:cs="宋体"/>
          <w:b/>
          <w:bCs/>
          <w:sz w:val="21"/>
          <w:szCs w:val="21"/>
        </w:rPr>
        <w:t>37、预收款项</w:t>
      </w:r>
      <w:bookmarkEnd w:id="266"/>
    </w:p>
    <w:p>
      <w:pPr>
        <w:keepNext/>
        <w:keepLines/>
        <w:spacing w:before="300" w:after="300" w:line="280" w:lineRule="exact"/>
        <w:jc w:val="left"/>
        <w:outlineLvl w:val="3"/>
        <w:rPr>
          <w:rFonts w:ascii="宋体" w:hAnsi="宋体" w:eastAsia="宋体" w:cs="宋体"/>
          <w:b/>
          <w:bCs/>
          <w:sz w:val="18"/>
          <w:szCs w:val="18"/>
        </w:rPr>
      </w:pPr>
      <w:bookmarkStart w:id="267" w:name="_Toc989156"/>
      <w:r>
        <w:rPr>
          <w:rFonts w:ascii="宋体" w:hAnsi="宋体" w:eastAsia="宋体" w:cs="宋体"/>
          <w:b/>
          <w:bCs/>
          <w:sz w:val="18"/>
          <w:szCs w:val="18"/>
        </w:rPr>
        <w:t>（1） 预收款项列示</w:t>
      </w:r>
      <w:bookmarkEnd w:id="26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预收股权转让款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r>
    </w:tbl>
    <w:p>
      <w:pPr>
        <w:keepNext/>
        <w:keepLines/>
        <w:spacing w:before="300" w:after="300" w:line="280" w:lineRule="exact"/>
        <w:jc w:val="left"/>
        <w:outlineLvl w:val="3"/>
        <w:rPr>
          <w:rFonts w:ascii="宋体" w:hAnsi="宋体" w:eastAsia="宋体" w:cs="宋体"/>
          <w:b/>
          <w:bCs/>
          <w:sz w:val="18"/>
          <w:szCs w:val="18"/>
        </w:rPr>
      </w:pPr>
      <w:bookmarkStart w:id="268" w:name="_Toc989157"/>
      <w:r>
        <w:rPr>
          <w:rFonts w:ascii="宋体" w:hAnsi="宋体" w:eastAsia="宋体" w:cs="宋体"/>
          <w:b/>
          <w:bCs/>
          <w:sz w:val="18"/>
          <w:szCs w:val="18"/>
        </w:rPr>
        <w:t>（2） 账龄超过1年的重要预收款项</w:t>
      </w:r>
      <w:bookmarkEnd w:id="2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69" w:name="_Toc989158"/>
      <w:r>
        <w:rPr>
          <w:rFonts w:ascii="宋体" w:hAnsi="宋体" w:eastAsia="宋体" w:cs="宋体"/>
          <w:b/>
          <w:bCs/>
          <w:sz w:val="21"/>
          <w:szCs w:val="21"/>
        </w:rPr>
        <w:t>38、合同负债</w:t>
      </w:r>
      <w:bookmarkEnd w:id="2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23,047,380.31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16,522,851.95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报告期内账面价值发生重大变动的金额和原因</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80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变动原因</w:t>
            </w:r>
          </w:p>
        </w:tc>
      </w:tr>
    </w:tbl>
    <w:p>
      <w:pPr>
        <w:keepNext/>
        <w:keepLines/>
        <w:spacing w:before="300" w:after="300" w:line="280" w:lineRule="exact"/>
        <w:jc w:val="left"/>
        <w:outlineLvl w:val="2"/>
        <w:rPr>
          <w:rFonts w:ascii="宋体" w:hAnsi="宋体" w:eastAsia="宋体" w:cs="宋体"/>
          <w:b/>
          <w:bCs/>
          <w:sz w:val="21"/>
          <w:szCs w:val="21"/>
        </w:rPr>
      </w:pPr>
      <w:bookmarkStart w:id="270" w:name="_Toc989159"/>
      <w:r>
        <w:rPr>
          <w:rFonts w:ascii="宋体" w:hAnsi="宋体" w:eastAsia="宋体" w:cs="宋体"/>
          <w:b/>
          <w:bCs/>
          <w:sz w:val="21"/>
          <w:szCs w:val="21"/>
        </w:rPr>
        <w:t>39、应付职工薪酬</w:t>
      </w:r>
      <w:bookmarkEnd w:id="270"/>
    </w:p>
    <w:p>
      <w:pPr>
        <w:keepNext/>
        <w:keepLines/>
        <w:spacing w:before="300" w:after="300" w:line="280" w:lineRule="exact"/>
        <w:jc w:val="left"/>
        <w:outlineLvl w:val="3"/>
        <w:rPr>
          <w:rFonts w:ascii="宋体" w:hAnsi="宋体" w:eastAsia="宋体" w:cs="宋体"/>
          <w:b/>
          <w:bCs/>
          <w:sz w:val="21"/>
          <w:szCs w:val="21"/>
        </w:rPr>
      </w:pPr>
      <w:bookmarkStart w:id="271" w:name="_Toc989160"/>
      <w:r>
        <w:rPr>
          <w:rFonts w:ascii="宋体" w:hAnsi="宋体" w:eastAsia="宋体" w:cs="宋体"/>
          <w:b/>
          <w:bCs/>
          <w:sz w:val="21"/>
          <w:szCs w:val="21"/>
        </w:rPr>
        <w:t>（1） 应付职工薪酬列示</w:t>
      </w:r>
      <w:bookmarkEnd w:id="2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37,838,504.03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40,365,335.05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272" w:name="_Toc989161"/>
      <w:r>
        <w:rPr>
          <w:rFonts w:ascii="宋体" w:hAnsi="宋体" w:eastAsia="宋体" w:cs="宋体"/>
          <w:b/>
          <w:bCs/>
          <w:sz w:val="21"/>
          <w:szCs w:val="21"/>
        </w:rPr>
        <w:t>（2） 短期薪酬列示</w:t>
      </w:r>
      <w:bookmarkEnd w:id="2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8,102,172.48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30,566,462.89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33,064,757.73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5,603,877.64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960,649.57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1,249,506.00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111,624.82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医疗及生育保险费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1,137,881.18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859,374.70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13,360,137.58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348,082.76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376,618.94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13,331,601.40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8、补充医疗保险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21,462,310.06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35,204,075.92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37,730,906.94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18,935,479.04</w:t>
            </w:r>
          </w:p>
        </w:tc>
      </w:tr>
    </w:tbl>
    <w:p>
      <w:pPr>
        <w:keepNext/>
        <w:keepLines/>
        <w:spacing w:before="300" w:after="300" w:line="280" w:lineRule="exact"/>
        <w:jc w:val="left"/>
        <w:outlineLvl w:val="3"/>
        <w:rPr>
          <w:rFonts w:ascii="宋体" w:hAnsi="宋体" w:eastAsia="宋体" w:cs="宋体"/>
          <w:b/>
          <w:bCs/>
          <w:sz w:val="21"/>
          <w:szCs w:val="21"/>
        </w:rPr>
      </w:pPr>
      <w:bookmarkStart w:id="273" w:name="_Toc989162"/>
      <w:r>
        <w:rPr>
          <w:rFonts w:ascii="宋体" w:hAnsi="宋体" w:eastAsia="宋体" w:cs="宋体"/>
          <w:b/>
          <w:bCs/>
          <w:sz w:val="21"/>
          <w:szCs w:val="21"/>
        </w:rPr>
        <w:t>（3） 设定提存计划列示</w:t>
      </w:r>
      <w:bookmarkEnd w:id="2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2,523,532.82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110,895.29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2,634,428.11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4" w:name="_Toc989163"/>
      <w:r>
        <w:rPr>
          <w:rFonts w:ascii="宋体" w:hAnsi="宋体" w:eastAsia="宋体" w:cs="宋体"/>
          <w:b/>
          <w:bCs/>
          <w:sz w:val="21"/>
          <w:szCs w:val="21"/>
        </w:rPr>
        <w:t>40、应交税费</w:t>
      </w:r>
      <w:bookmarkEnd w:id="27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2,438,281.56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762,702.05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13,620,652.39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3,209,214.34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83,400.11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80,982.79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666,469.79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248,547.85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47,396.40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43,412.00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338,212.23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321,150.31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城镇土地使用税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117,428.85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285,629.92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106,520.51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190,419.96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71,013.68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17,788,560.81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4,962,868.65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75" w:name="_Toc989164"/>
      <w:r>
        <w:rPr>
          <w:rFonts w:ascii="宋体" w:hAnsi="宋体" w:eastAsia="宋体" w:cs="宋体"/>
          <w:b/>
          <w:bCs/>
          <w:sz w:val="21"/>
          <w:szCs w:val="21"/>
        </w:rPr>
        <w:t>41、其他应付款</w:t>
      </w:r>
      <w:bookmarkEnd w:id="2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3"/>
        <w:rPr>
          <w:rFonts w:ascii="宋体" w:hAnsi="宋体" w:eastAsia="宋体" w:cs="宋体"/>
          <w:b/>
          <w:bCs/>
          <w:sz w:val="18"/>
          <w:szCs w:val="18"/>
        </w:rPr>
      </w:pPr>
      <w:bookmarkStart w:id="276" w:name="_Toc989165"/>
      <w:r>
        <w:rPr>
          <w:rFonts w:ascii="宋体" w:hAnsi="宋体" w:eastAsia="宋体" w:cs="宋体"/>
          <w:b/>
          <w:bCs/>
          <w:sz w:val="18"/>
          <w:szCs w:val="18"/>
        </w:rPr>
        <w:t>（1） 应付利息</w:t>
      </w:r>
      <w:bookmarkEnd w:id="2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重要的已逾期未支付的利息情况：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77" w:name="_Toc989166"/>
      <w:r>
        <w:rPr>
          <w:rFonts w:ascii="宋体" w:hAnsi="宋体" w:eastAsia="宋体" w:cs="宋体"/>
          <w:b/>
          <w:bCs/>
          <w:sz w:val="18"/>
          <w:szCs w:val="18"/>
        </w:rPr>
        <w:t>（2） 应付股利</w:t>
      </w:r>
      <w:bookmarkEnd w:id="2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其他说明，包括重要的超过1年未支付的应付股利，应披露未支付原因：</w:t>
      </w:r>
    </w:p>
    <w:p>
      <w:pPr>
        <w:keepNext/>
        <w:keepLines/>
        <w:spacing w:before="300" w:after="300" w:line="280" w:lineRule="exact"/>
        <w:jc w:val="left"/>
        <w:outlineLvl w:val="3"/>
        <w:rPr>
          <w:rFonts w:ascii="宋体" w:hAnsi="宋体" w:eastAsia="宋体" w:cs="宋体"/>
          <w:b/>
          <w:bCs/>
          <w:sz w:val="18"/>
          <w:szCs w:val="18"/>
        </w:rPr>
      </w:pPr>
      <w:bookmarkStart w:id="278" w:name="_Toc989167"/>
      <w:r>
        <w:rPr>
          <w:rFonts w:ascii="宋体" w:hAnsi="宋体" w:eastAsia="宋体" w:cs="宋体"/>
          <w:b/>
          <w:bCs/>
          <w:sz w:val="18"/>
          <w:szCs w:val="18"/>
        </w:rPr>
        <w:t>（3） 其他应付款</w:t>
      </w:r>
      <w:bookmarkEnd w:id="278"/>
    </w:p>
    <w:p>
      <w:pPr>
        <w:keepNext/>
        <w:keepLines/>
        <w:spacing w:before="300" w:after="300" w:line="280" w:lineRule="exact"/>
        <w:jc w:val="left"/>
        <w:outlineLvl w:val="4"/>
        <w:rPr>
          <w:rFonts w:ascii="宋体" w:hAnsi="宋体" w:eastAsia="宋体" w:cs="宋体"/>
          <w:b/>
          <w:bCs/>
          <w:sz w:val="18"/>
          <w:szCs w:val="18"/>
        </w:rPr>
      </w:pPr>
      <w:bookmarkStart w:id="279" w:name="_Toc989168"/>
      <w:r>
        <w:rPr>
          <w:rFonts w:ascii="宋体" w:hAnsi="宋体" w:eastAsia="宋体" w:cs="宋体"/>
          <w:b/>
          <w:bCs/>
          <w:sz w:val="18"/>
          <w:szCs w:val="18"/>
        </w:rPr>
        <w:t>1） 按款项性质列示其他应付款</w:t>
      </w:r>
      <w:bookmarkEnd w:id="27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质保金及押金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9,382,806.12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16,353,836.98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单位间往来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1,068,773.89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4,104,016.34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个人往来及其他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86,666.44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58,608.90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限制性股票回购义务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24,138,246.45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34,116,462.22</w:t>
            </w:r>
          </w:p>
        </w:tc>
      </w:tr>
    </w:tbl>
    <w:p>
      <w:pPr>
        <w:keepNext/>
        <w:keepLines/>
        <w:spacing w:before="300" w:after="300" w:line="280" w:lineRule="exact"/>
        <w:jc w:val="left"/>
        <w:outlineLvl w:val="4"/>
        <w:rPr>
          <w:rFonts w:ascii="宋体" w:hAnsi="宋体" w:eastAsia="宋体" w:cs="宋体"/>
          <w:b/>
          <w:bCs/>
          <w:sz w:val="18"/>
          <w:szCs w:val="18"/>
        </w:rPr>
      </w:pPr>
      <w:bookmarkStart w:id="280" w:name="_Toc989169"/>
      <w:r>
        <w:rPr>
          <w:rFonts w:ascii="宋体" w:hAnsi="宋体" w:eastAsia="宋体" w:cs="宋体"/>
          <w:b/>
          <w:bCs/>
          <w:sz w:val="18"/>
          <w:szCs w:val="18"/>
        </w:rPr>
        <w:t>2） 账龄超过1年的重要其他应付款</w:t>
      </w:r>
      <w:bookmarkEnd w:id="2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未偿还或结转的原因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按账龄列示：</w:t>
      </w:r>
    </w:p>
    <w:tbl>
      <w:tblPr>
        <w:tblStyle w:val="4"/>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36"/>
        <w:gridCol w:w="2443"/>
        <w:gridCol w:w="1403"/>
        <w:gridCol w:w="2291"/>
        <w:gridCol w:w="147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账龄</w:t>
            </w:r>
          </w:p>
        </w:tc>
        <w:tc>
          <w:tcPr>
            <w:tcW w:w="1951"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期末余额</w:t>
            </w:r>
          </w:p>
        </w:tc>
        <w:tc>
          <w:tcPr>
            <w:tcW w:w="1913" w:type="pct"/>
            <w:gridSpan w:val="2"/>
            <w:tcBorders>
              <w:top w:val="single" w:color="auto" w:sz="8" w:space="0"/>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期初余额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rPr>
                <w:rFonts w:hint="default" w:ascii="Times New Roman" w:hAnsi="Times New Roman" w:cs="Times New Roman"/>
                <w:sz w:val="20"/>
                <w:szCs w:val="20"/>
              </w:rPr>
            </w:pPr>
          </w:p>
        </w:tc>
        <w:tc>
          <w:tcPr>
            <w:tcW w:w="1240"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金额</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比例（%）</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金额</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比例（%）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1年以内（含1年）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19,389,250.62</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80.33</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29,196,877.47</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85.58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1至2年（含2年）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1,035,414.07</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4.29</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849,664.98</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2至3年（含3年）</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471,546.84</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1.95</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2,281,581.53</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6.69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3年以上</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3,242,034.92</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13.43</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1,788,338.24</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1135" w:type="pct"/>
            <w:tcBorders>
              <w:top w:val="nil"/>
              <w:left w:val="single" w:color="auto" w:sz="8" w:space="0"/>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b/>
                <w:bCs/>
                <w:sz w:val="18"/>
                <w:szCs w:val="18"/>
              </w:rPr>
              <w:t>合计</w:t>
            </w:r>
          </w:p>
        </w:tc>
        <w:tc>
          <w:tcPr>
            <w:tcW w:w="124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24,138,246.45</w:t>
            </w:r>
          </w:p>
        </w:tc>
        <w:tc>
          <w:tcPr>
            <w:tcW w:w="712"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xml:space="preserve">100.00 </w:t>
            </w:r>
          </w:p>
        </w:tc>
        <w:tc>
          <w:tcPr>
            <w:tcW w:w="1163"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34,116,462.22</w:t>
            </w:r>
          </w:p>
        </w:tc>
        <w:tc>
          <w:tcPr>
            <w:tcW w:w="750" w:type="pct"/>
            <w:tcBorders>
              <w:top w:val="nil"/>
              <w:left w:val="nil"/>
              <w:bottom w:val="single" w:color="auto" w:sz="8" w:space="0"/>
              <w:right w:val="single" w:color="auto" w:sz="8" w:space="0"/>
            </w:tcBorders>
            <w:shd w:val="clear" w:color="auto" w:fill="auto"/>
            <w:tcMar>
              <w:top w:w="0" w:type="dxa"/>
              <w:left w:w="107" w:type="dxa"/>
              <w:bottom w:w="0" w:type="dxa"/>
              <w:right w:w="107"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sz w:val="18"/>
                <w:szCs w:val="18"/>
              </w:rPr>
              <w:t>100.00</w:t>
            </w:r>
          </w:p>
        </w:tc>
      </w:tr>
    </w:tbl>
    <w:p>
      <w:pPr>
        <w:pStyle w:val="3"/>
        <w:keepNext w:val="0"/>
        <w:keepLines w:val="0"/>
        <w:widowControl/>
        <w:suppressLineNumbers w:val="0"/>
        <w:jc w:val="both"/>
        <w:rPr>
          <w:rFonts w:hint="default" w:ascii="Times New Roman" w:hAnsi="Times New Roman" w:cs="Times New Roman"/>
          <w:sz w:val="24"/>
          <w:szCs w:val="24"/>
        </w:rPr>
      </w:pPr>
      <w:r>
        <w:rPr>
          <w:rFonts w:hint="eastAsia" w:ascii="宋体" w:hAnsi="宋体" w:eastAsia="宋体" w:cs="宋体"/>
          <w:sz w:val="21"/>
          <w:szCs w:val="21"/>
        </w:rPr>
        <w:t>2022年6月30日公司其他应付款中账龄超过1年的款项主要为供应商质量保证金。</w:t>
      </w:r>
    </w:p>
    <w:p>
      <w:pPr>
        <w:keepNext/>
        <w:keepLines/>
        <w:spacing w:before="300" w:after="300" w:line="280" w:lineRule="exact"/>
        <w:jc w:val="left"/>
        <w:outlineLvl w:val="2"/>
        <w:rPr>
          <w:rFonts w:ascii="宋体" w:hAnsi="宋体" w:eastAsia="宋体" w:cs="宋体"/>
          <w:b/>
          <w:bCs/>
          <w:sz w:val="21"/>
          <w:szCs w:val="21"/>
        </w:rPr>
      </w:pPr>
      <w:bookmarkStart w:id="281" w:name="_Toc989170"/>
      <w:r>
        <w:rPr>
          <w:rFonts w:ascii="宋体" w:hAnsi="宋体" w:eastAsia="宋体" w:cs="宋体"/>
          <w:b/>
          <w:bCs/>
          <w:sz w:val="21"/>
          <w:szCs w:val="21"/>
        </w:rPr>
        <w:t>42、持有待售负债</w:t>
      </w:r>
      <w:bookmarkEnd w:id="2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2" w:name="_Toc989171"/>
      <w:r>
        <w:rPr>
          <w:rFonts w:ascii="宋体" w:hAnsi="宋体" w:eastAsia="宋体" w:cs="宋体"/>
          <w:b/>
          <w:bCs/>
          <w:sz w:val="21"/>
          <w:szCs w:val="21"/>
        </w:rPr>
        <w:t>43、一年内到期的非流动负债</w:t>
      </w:r>
      <w:bookmarkEnd w:id="2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3" w:name="_Toc989172"/>
      <w:r>
        <w:rPr>
          <w:rFonts w:ascii="宋体" w:hAnsi="宋体" w:eastAsia="宋体" w:cs="宋体"/>
          <w:b/>
          <w:bCs/>
          <w:sz w:val="21"/>
          <w:szCs w:val="21"/>
        </w:rPr>
        <w:t>44、其他流动负债</w:t>
      </w:r>
      <w:bookmarkEnd w:id="28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待转销项税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346,071.61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391,593.99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短期应付债券的增减变动：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84" w:name="_Toc989173"/>
      <w:r>
        <w:rPr>
          <w:rFonts w:ascii="宋体" w:hAnsi="宋体" w:eastAsia="宋体" w:cs="宋体"/>
          <w:b/>
          <w:bCs/>
          <w:sz w:val="21"/>
          <w:szCs w:val="21"/>
        </w:rPr>
        <w:t>45、长期借款</w:t>
      </w:r>
      <w:bookmarkEnd w:id="284"/>
    </w:p>
    <w:p>
      <w:pPr>
        <w:keepNext/>
        <w:keepLines/>
        <w:spacing w:before="300" w:after="300" w:line="280" w:lineRule="exact"/>
        <w:jc w:val="left"/>
        <w:outlineLvl w:val="3"/>
        <w:rPr>
          <w:rFonts w:ascii="宋体" w:hAnsi="宋体" w:eastAsia="宋体" w:cs="宋体"/>
          <w:b/>
          <w:bCs/>
          <w:sz w:val="18"/>
          <w:szCs w:val="18"/>
        </w:rPr>
      </w:pPr>
      <w:bookmarkStart w:id="285" w:name="_Toc989174"/>
      <w:r>
        <w:rPr>
          <w:rFonts w:ascii="宋体" w:hAnsi="宋体" w:eastAsia="宋体" w:cs="宋体"/>
          <w:b/>
          <w:bCs/>
          <w:sz w:val="18"/>
          <w:szCs w:val="18"/>
        </w:rPr>
        <w:t>（1） 长期借款分类</w:t>
      </w:r>
      <w:bookmarkEnd w:id="2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长期借款分类的说明：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其他说明，包括利率区间：</w:t>
      </w:r>
    </w:p>
    <w:p>
      <w:pPr>
        <w:keepNext/>
        <w:keepLines/>
        <w:spacing w:before="300" w:after="300" w:line="280" w:lineRule="exact"/>
        <w:jc w:val="left"/>
        <w:outlineLvl w:val="2"/>
        <w:rPr>
          <w:rFonts w:ascii="宋体" w:hAnsi="宋体" w:eastAsia="宋体" w:cs="宋体"/>
          <w:b/>
          <w:bCs/>
          <w:sz w:val="21"/>
          <w:szCs w:val="21"/>
        </w:rPr>
      </w:pPr>
      <w:bookmarkStart w:id="286" w:name="_Toc989175"/>
      <w:r>
        <w:rPr>
          <w:rFonts w:ascii="宋体" w:hAnsi="宋体" w:eastAsia="宋体" w:cs="宋体"/>
          <w:b/>
          <w:bCs/>
          <w:sz w:val="21"/>
          <w:szCs w:val="21"/>
        </w:rPr>
        <w:t>46、应付债券</w:t>
      </w:r>
      <w:bookmarkEnd w:id="286"/>
    </w:p>
    <w:p>
      <w:pPr>
        <w:keepNext/>
        <w:keepLines/>
        <w:spacing w:before="300" w:after="300" w:line="280" w:lineRule="exact"/>
        <w:jc w:val="left"/>
        <w:outlineLvl w:val="3"/>
        <w:rPr>
          <w:rFonts w:ascii="宋体" w:hAnsi="宋体" w:eastAsia="宋体" w:cs="宋体"/>
          <w:b/>
          <w:bCs/>
          <w:sz w:val="21"/>
          <w:szCs w:val="21"/>
        </w:rPr>
      </w:pPr>
      <w:bookmarkStart w:id="287" w:name="_Toc989176"/>
      <w:r>
        <w:rPr>
          <w:rFonts w:ascii="宋体" w:hAnsi="宋体" w:eastAsia="宋体" w:cs="宋体"/>
          <w:b/>
          <w:bCs/>
          <w:sz w:val="21"/>
          <w:szCs w:val="21"/>
        </w:rPr>
        <w:t>（1） 应付债券</w:t>
      </w:r>
      <w:bookmarkEnd w:id="28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21"/>
          <w:szCs w:val="21"/>
        </w:rPr>
      </w:pPr>
      <w:bookmarkStart w:id="288" w:name="_Toc989177"/>
      <w:r>
        <w:rPr>
          <w:rFonts w:ascii="宋体" w:hAnsi="宋体" w:eastAsia="宋体" w:cs="宋体"/>
          <w:b/>
          <w:bCs/>
          <w:sz w:val="21"/>
          <w:szCs w:val="21"/>
        </w:rPr>
        <w:t>（2） 应付债券的增减变动（不包括划分为金融负债的优先股、永续债等其他金融工具）</w:t>
      </w:r>
      <w:bookmarkEnd w:id="28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289" w:name="_Toc989178"/>
      <w:r>
        <w:rPr>
          <w:rFonts w:ascii="宋体" w:hAnsi="宋体" w:eastAsia="宋体" w:cs="宋体"/>
          <w:b/>
          <w:bCs/>
          <w:sz w:val="21"/>
          <w:szCs w:val="21"/>
        </w:rPr>
        <w:t>（3） 可转换公司债券的转股条件、转股时间说明</w:t>
      </w:r>
      <w:bookmarkEnd w:id="289"/>
    </w:p>
    <w:p>
      <w:pPr>
        <w:keepNext/>
        <w:keepLines/>
        <w:spacing w:before="300" w:after="300" w:line="280" w:lineRule="exact"/>
        <w:jc w:val="left"/>
        <w:outlineLvl w:val="3"/>
        <w:rPr>
          <w:rFonts w:ascii="宋体" w:hAnsi="宋体" w:eastAsia="宋体" w:cs="宋体"/>
          <w:b/>
          <w:bCs/>
          <w:sz w:val="21"/>
          <w:szCs w:val="21"/>
        </w:rPr>
      </w:pPr>
      <w:bookmarkStart w:id="290" w:name="_Toc989179"/>
      <w:r>
        <w:rPr>
          <w:rFonts w:ascii="宋体" w:hAnsi="宋体" w:eastAsia="宋体" w:cs="宋体"/>
          <w:b/>
          <w:bCs/>
          <w:sz w:val="21"/>
          <w:szCs w:val="21"/>
        </w:rPr>
        <w:t>（4） 划分为金融负债的其他金融工具说明</w:t>
      </w:r>
      <w:bookmarkEnd w:id="290"/>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期末发行在外的优先股、永续债等其他金融工具基本情况</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期末发行在外的优先股、永续债等金融工具变动情况表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其他金融工具划分为金融负债的依据说明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1" w:name="_Toc989180"/>
      <w:r>
        <w:rPr>
          <w:rFonts w:ascii="宋体" w:hAnsi="宋体" w:eastAsia="宋体" w:cs="宋体"/>
          <w:b/>
          <w:bCs/>
          <w:sz w:val="21"/>
          <w:szCs w:val="21"/>
        </w:rPr>
        <w:t>47、租赁负债</w:t>
      </w:r>
      <w:bookmarkEnd w:id="29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2" w:name="_Toc989181"/>
      <w:r>
        <w:rPr>
          <w:rFonts w:ascii="宋体" w:hAnsi="宋体" w:eastAsia="宋体" w:cs="宋体"/>
          <w:b/>
          <w:bCs/>
          <w:sz w:val="21"/>
          <w:szCs w:val="21"/>
        </w:rPr>
        <w:t>48、长期应付款</w:t>
      </w:r>
      <w:bookmarkEnd w:id="2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93" w:name="_Toc989182"/>
      <w:r>
        <w:rPr>
          <w:rFonts w:ascii="宋体" w:hAnsi="宋体" w:eastAsia="宋体" w:cs="宋体"/>
          <w:b/>
          <w:bCs/>
          <w:sz w:val="18"/>
          <w:szCs w:val="18"/>
        </w:rPr>
        <w:t>（1） 按款项性质列示长期应付款</w:t>
      </w:r>
      <w:bookmarkEnd w:id="29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294" w:name="_Toc989183"/>
      <w:r>
        <w:rPr>
          <w:rFonts w:ascii="宋体" w:hAnsi="宋体" w:eastAsia="宋体" w:cs="宋体"/>
          <w:b/>
          <w:bCs/>
          <w:sz w:val="18"/>
          <w:szCs w:val="18"/>
        </w:rPr>
        <w:t>（2） 专项应付款</w:t>
      </w:r>
      <w:bookmarkEnd w:id="29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5" w:name="_Toc989184"/>
      <w:r>
        <w:rPr>
          <w:rFonts w:ascii="宋体" w:hAnsi="宋体" w:eastAsia="宋体" w:cs="宋体"/>
          <w:b/>
          <w:bCs/>
          <w:sz w:val="21"/>
          <w:szCs w:val="21"/>
        </w:rPr>
        <w:t>49、长期应付职工薪酬</w:t>
      </w:r>
      <w:bookmarkEnd w:id="295"/>
    </w:p>
    <w:p>
      <w:pPr>
        <w:keepNext/>
        <w:keepLines/>
        <w:spacing w:before="300" w:after="300" w:line="280" w:lineRule="exact"/>
        <w:jc w:val="left"/>
        <w:outlineLvl w:val="3"/>
        <w:rPr>
          <w:rFonts w:ascii="宋体" w:hAnsi="宋体" w:eastAsia="宋体" w:cs="宋体"/>
          <w:b/>
          <w:bCs/>
          <w:sz w:val="18"/>
          <w:szCs w:val="18"/>
        </w:rPr>
      </w:pPr>
      <w:bookmarkStart w:id="296" w:name="_Toc989185"/>
      <w:r>
        <w:rPr>
          <w:rFonts w:ascii="宋体" w:hAnsi="宋体" w:eastAsia="宋体" w:cs="宋体"/>
          <w:b/>
          <w:bCs/>
          <w:sz w:val="18"/>
          <w:szCs w:val="18"/>
        </w:rPr>
        <w:t>（1） 长期应付职工薪酬表</w:t>
      </w:r>
      <w:bookmarkEnd w:id="29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3"/>
        <w:rPr>
          <w:rFonts w:ascii="宋体" w:hAnsi="宋体" w:eastAsia="宋体" w:cs="宋体"/>
          <w:b/>
          <w:bCs/>
          <w:sz w:val="18"/>
          <w:szCs w:val="18"/>
        </w:rPr>
      </w:pPr>
      <w:bookmarkStart w:id="297" w:name="_Toc989186"/>
      <w:r>
        <w:rPr>
          <w:rFonts w:ascii="宋体" w:hAnsi="宋体" w:eastAsia="宋体" w:cs="宋体"/>
          <w:b/>
          <w:bCs/>
          <w:sz w:val="18"/>
          <w:szCs w:val="18"/>
        </w:rPr>
        <w:t>（2） 设定受益计划变动情况</w:t>
      </w:r>
      <w:bookmarkEnd w:id="297"/>
    </w:p>
    <w:p>
      <w:pPr>
        <w:spacing w:before="120" w:after="120" w:line="240" w:lineRule="exact"/>
        <w:jc w:val="left"/>
        <w:rPr>
          <w:rFonts w:ascii="宋体" w:hAnsi="宋体" w:eastAsia="宋体" w:cs="宋体"/>
          <w:sz w:val="18"/>
          <w:szCs w:val="18"/>
        </w:rPr>
      </w:pPr>
      <w:r>
        <w:rPr>
          <w:rFonts w:ascii="宋体" w:hAnsi="宋体" w:eastAsia="宋体" w:cs="宋体"/>
          <w:sz w:val="18"/>
          <w:szCs w:val="18"/>
        </w:rPr>
        <w:t>设定受益计划义务现值：</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计划资产：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设定受益计划净负债（净资产）</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设定受益计划的内容及与之相关风险、对公司未来现金流量、时间和不确定性的影响说明：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设定受益计划重大精算假设及敏感性分析结果说明：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298" w:name="_Toc989187"/>
      <w:r>
        <w:rPr>
          <w:rFonts w:ascii="宋体" w:hAnsi="宋体" w:eastAsia="宋体" w:cs="宋体"/>
          <w:b/>
          <w:bCs/>
          <w:sz w:val="21"/>
          <w:szCs w:val="21"/>
        </w:rPr>
        <w:t>50、预计负债</w:t>
      </w:r>
      <w:bookmarkEnd w:id="29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其他说明，包括重要预计负债的相关重要假设、估计说明：</w:t>
      </w:r>
    </w:p>
    <w:p>
      <w:pPr>
        <w:keepNext/>
        <w:keepLines/>
        <w:spacing w:before="300" w:after="300" w:line="280" w:lineRule="exact"/>
        <w:jc w:val="left"/>
        <w:outlineLvl w:val="2"/>
        <w:rPr>
          <w:rFonts w:ascii="宋体" w:hAnsi="宋体" w:eastAsia="宋体" w:cs="宋体"/>
          <w:b/>
          <w:bCs/>
          <w:sz w:val="21"/>
          <w:szCs w:val="21"/>
        </w:rPr>
      </w:pPr>
      <w:bookmarkStart w:id="299" w:name="_Toc989188"/>
      <w:r>
        <w:rPr>
          <w:rFonts w:ascii="宋体" w:hAnsi="宋体" w:eastAsia="宋体" w:cs="宋体"/>
          <w:b/>
          <w:bCs/>
          <w:sz w:val="21"/>
          <w:szCs w:val="21"/>
        </w:rPr>
        <w:t>51、递延收益</w:t>
      </w:r>
      <w:bookmarkEnd w:id="29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政府补助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11,242,874.68</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10,809,473.07</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涉及政府补助的项目：</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基础设施建设补助</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6,812,540.90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84,979.74</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6,727,561.16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年产45万支新型阀门制造建设项目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1,306,728.72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84,305.10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1,222,423.62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企业技术改造综合奖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3,123,605.06</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3,689,488.29</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0" w:name="_Toc989189"/>
      <w:r>
        <w:rPr>
          <w:rFonts w:ascii="宋体" w:hAnsi="宋体" w:eastAsia="宋体" w:cs="宋体"/>
          <w:b/>
          <w:bCs/>
          <w:sz w:val="21"/>
          <w:szCs w:val="21"/>
        </w:rPr>
        <w:t>52、其他非流动负债</w:t>
      </w:r>
      <w:bookmarkEnd w:id="30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1" w:name="_Toc989190"/>
      <w:r>
        <w:rPr>
          <w:rFonts w:ascii="宋体" w:hAnsi="宋体" w:eastAsia="宋体" w:cs="宋体"/>
          <w:b/>
          <w:bCs/>
          <w:sz w:val="21"/>
          <w:szCs w:val="21"/>
        </w:rPr>
        <w:t>53、股本</w:t>
      </w:r>
      <w:bookmarkEnd w:id="30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169,032,648.00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2" w:name="_Toc989191"/>
      <w:r>
        <w:rPr>
          <w:rFonts w:ascii="宋体" w:hAnsi="宋体" w:eastAsia="宋体" w:cs="宋体"/>
          <w:b/>
          <w:bCs/>
          <w:sz w:val="21"/>
          <w:szCs w:val="21"/>
        </w:rPr>
        <w:t>54、其他权益工具</w:t>
      </w:r>
      <w:bookmarkEnd w:id="302"/>
    </w:p>
    <w:p>
      <w:pPr>
        <w:keepNext/>
        <w:keepLines/>
        <w:spacing w:before="300" w:after="300" w:line="280" w:lineRule="exact"/>
        <w:jc w:val="left"/>
        <w:outlineLvl w:val="3"/>
        <w:rPr>
          <w:rFonts w:ascii="宋体" w:hAnsi="宋体" w:eastAsia="宋体" w:cs="宋体"/>
          <w:b/>
          <w:bCs/>
          <w:sz w:val="18"/>
          <w:szCs w:val="18"/>
        </w:rPr>
      </w:pPr>
      <w:bookmarkStart w:id="303" w:name="_Toc989192"/>
      <w:r>
        <w:rPr>
          <w:rFonts w:ascii="宋体" w:hAnsi="宋体" w:eastAsia="宋体" w:cs="宋体"/>
          <w:b/>
          <w:bCs/>
          <w:sz w:val="18"/>
          <w:szCs w:val="18"/>
        </w:rPr>
        <w:t>（1） 期末发行在外的优先股、永续债等其他金融工具基本情况</w:t>
      </w:r>
      <w:bookmarkEnd w:id="303"/>
    </w:p>
    <w:p>
      <w:pPr>
        <w:keepNext/>
        <w:keepLines/>
        <w:spacing w:before="300" w:after="300" w:line="280" w:lineRule="exact"/>
        <w:jc w:val="left"/>
        <w:outlineLvl w:val="3"/>
        <w:rPr>
          <w:rFonts w:ascii="宋体" w:hAnsi="宋体" w:eastAsia="宋体" w:cs="宋体"/>
          <w:b/>
          <w:bCs/>
          <w:sz w:val="18"/>
          <w:szCs w:val="18"/>
        </w:rPr>
      </w:pPr>
      <w:bookmarkStart w:id="304" w:name="_Toc989193"/>
      <w:r>
        <w:rPr>
          <w:rFonts w:ascii="宋体" w:hAnsi="宋体" w:eastAsia="宋体" w:cs="宋体"/>
          <w:b/>
          <w:bCs/>
          <w:sz w:val="18"/>
          <w:szCs w:val="18"/>
        </w:rPr>
        <w:t>（2） 期末发行在外的优先股、永续债等金融工具变动情况表</w:t>
      </w:r>
      <w:bookmarkEnd w:id="30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其他权益工具本期增减变动情况、变动原因说明，以及相关会计处理的依据：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05" w:name="_Toc989194"/>
      <w:r>
        <w:rPr>
          <w:rFonts w:ascii="宋体" w:hAnsi="宋体" w:eastAsia="宋体" w:cs="宋体"/>
          <w:b/>
          <w:bCs/>
          <w:sz w:val="21"/>
          <w:szCs w:val="21"/>
        </w:rPr>
        <w:t>55、资本公积</w:t>
      </w:r>
      <w:bookmarkEnd w:id="30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178,294,431.93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3,300,088.71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6,465,488.73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181,594,520.64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184,759,920.66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pStyle w:val="3"/>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股本溢价：无</w:t>
      </w:r>
    </w:p>
    <w:p>
      <w:pPr>
        <w:pStyle w:val="3"/>
        <w:keepNext w:val="0"/>
        <w:keepLines w:val="0"/>
        <w:widowControl/>
        <w:suppressLineNumbers w:val="0"/>
        <w:spacing w:before="150" w:beforeAutospacing="0" w:after="15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其他资本公积：</w:t>
      </w:r>
    </w:p>
    <w:p>
      <w:pPr>
        <w:pStyle w:val="3"/>
        <w:keepNext w:val="0"/>
        <w:keepLines w:val="0"/>
        <w:widowControl/>
        <w:suppressLineNumbers w:val="0"/>
        <w:spacing w:before="0" w:beforeAutospacing="1" w:after="0" w:afterAutospacing="1" w:line="360" w:lineRule="auto"/>
        <w:ind w:left="0" w:right="0" w:firstLine="436"/>
        <w:jc w:val="both"/>
      </w:pPr>
      <w:r>
        <w:rPr>
          <w:rFonts w:hint="eastAsia" w:ascii="宋体" w:hAnsi="宋体" w:eastAsia="宋体" w:cs="宋体"/>
          <w:sz w:val="21"/>
          <w:szCs w:val="21"/>
        </w:rPr>
        <w:t>公司向限制性股票股权激励对象授予限制性股票，2022年1-6月确认股份支付费用增加资本公积3,165,400.02元。</w:t>
      </w:r>
    </w:p>
    <w:p>
      <w:pPr>
        <w:keepNext/>
        <w:keepLines/>
        <w:spacing w:before="300" w:after="300" w:line="280" w:lineRule="exact"/>
        <w:jc w:val="left"/>
        <w:outlineLvl w:val="2"/>
        <w:rPr>
          <w:rFonts w:ascii="宋体" w:hAnsi="宋体" w:eastAsia="宋体" w:cs="宋体"/>
          <w:b/>
          <w:bCs/>
          <w:sz w:val="21"/>
          <w:szCs w:val="21"/>
        </w:rPr>
      </w:pPr>
      <w:bookmarkStart w:id="306" w:name="_Toc989195"/>
      <w:r>
        <w:rPr>
          <w:rFonts w:ascii="宋体" w:hAnsi="宋体" w:eastAsia="宋体" w:cs="宋体"/>
          <w:b/>
          <w:bCs/>
          <w:sz w:val="21"/>
          <w:szCs w:val="21"/>
        </w:rPr>
        <w:t>56、库存股</w:t>
      </w:r>
      <w:bookmarkEnd w:id="30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股份回购</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限制性股票股权激励</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17,675,679.85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07" w:name="_Toc989196"/>
      <w:r>
        <w:rPr>
          <w:rFonts w:ascii="宋体" w:hAnsi="宋体" w:eastAsia="宋体" w:cs="宋体"/>
          <w:b/>
          <w:bCs/>
          <w:sz w:val="21"/>
          <w:szCs w:val="21"/>
        </w:rPr>
        <w:t>57、其他综合收益</w:t>
      </w:r>
      <w:bookmarkEnd w:id="30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外币财务报表折算差额</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56,755.28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-70,265.02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-13,509.74</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其他说明，包括对现金流量套期损益的有效部分转为被套期项目初始确认金额调整：</w:t>
      </w:r>
    </w:p>
    <w:p>
      <w:pPr>
        <w:keepNext/>
        <w:keepLines/>
        <w:spacing w:before="300" w:after="300" w:line="280" w:lineRule="exact"/>
        <w:jc w:val="left"/>
        <w:outlineLvl w:val="2"/>
        <w:rPr>
          <w:rFonts w:ascii="宋体" w:hAnsi="宋体" w:eastAsia="宋体" w:cs="宋体"/>
          <w:b/>
          <w:bCs/>
          <w:sz w:val="21"/>
          <w:szCs w:val="21"/>
        </w:rPr>
      </w:pPr>
      <w:bookmarkStart w:id="308" w:name="_Toc989197"/>
      <w:r>
        <w:rPr>
          <w:rFonts w:ascii="宋体" w:hAnsi="宋体" w:eastAsia="宋体" w:cs="宋体"/>
          <w:b/>
          <w:bCs/>
          <w:sz w:val="21"/>
          <w:szCs w:val="21"/>
        </w:rPr>
        <w:t>58、专项储备</w:t>
      </w:r>
      <w:bookmarkEnd w:id="30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09" w:name="_Toc989198"/>
      <w:r>
        <w:rPr>
          <w:rFonts w:ascii="宋体" w:hAnsi="宋体" w:eastAsia="宋体" w:cs="宋体"/>
          <w:b/>
          <w:bCs/>
          <w:sz w:val="21"/>
          <w:szCs w:val="21"/>
        </w:rPr>
        <w:t>59、盈余公积</w:t>
      </w:r>
      <w:bookmarkEnd w:id="30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58,404,405.20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盈余公积说明，包括本期增减变动情况、变动原因说明：</w:t>
      </w:r>
    </w:p>
    <w:p>
      <w:pPr>
        <w:keepNext/>
        <w:keepLines/>
        <w:spacing w:before="300" w:after="300" w:line="280" w:lineRule="exact"/>
        <w:jc w:val="left"/>
        <w:outlineLvl w:val="2"/>
        <w:rPr>
          <w:rFonts w:ascii="宋体" w:hAnsi="宋体" w:eastAsia="宋体" w:cs="宋体"/>
          <w:b/>
          <w:bCs/>
          <w:sz w:val="21"/>
          <w:szCs w:val="21"/>
        </w:rPr>
      </w:pPr>
      <w:bookmarkStart w:id="310" w:name="_Toc989199"/>
      <w:r>
        <w:rPr>
          <w:rFonts w:ascii="宋体" w:hAnsi="宋体" w:eastAsia="宋体" w:cs="宋体"/>
          <w:b/>
          <w:bCs/>
          <w:sz w:val="21"/>
          <w:szCs w:val="21"/>
        </w:rPr>
        <w:t>60、未分配利润</w:t>
      </w:r>
      <w:bookmarkEnd w:id="31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252,498,577.96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减：提取法定盈余公积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6,431,811.46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应付普通股股利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59,011,757.70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274,700,962.42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254,565,955.29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调整期初未分配利润明细：</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1)、由于《企业会计准则》及其相关新规定进行追溯调整，影响期初未分配利润元。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2)、由于会计政策变更，影响期初未分配利润元。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3)、由于重大会计差错更正，影响期初未分配利润元。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4)、由于同一控制导致的合并范围变更，影响期初未分配利润元。</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5)、其他调整合计影响期初未分配利润元。</w:t>
      </w:r>
    </w:p>
    <w:p>
      <w:pPr>
        <w:keepNext/>
        <w:keepLines/>
        <w:spacing w:before="300" w:after="300" w:line="280" w:lineRule="exact"/>
        <w:jc w:val="left"/>
        <w:outlineLvl w:val="2"/>
        <w:rPr>
          <w:rFonts w:ascii="宋体" w:hAnsi="宋体" w:eastAsia="宋体" w:cs="宋体"/>
          <w:b/>
          <w:bCs/>
          <w:sz w:val="21"/>
          <w:szCs w:val="21"/>
        </w:rPr>
      </w:pPr>
      <w:bookmarkStart w:id="311" w:name="_Toc989200"/>
      <w:r>
        <w:rPr>
          <w:rFonts w:ascii="宋体" w:hAnsi="宋体" w:eastAsia="宋体" w:cs="宋体"/>
          <w:b/>
          <w:bCs/>
          <w:sz w:val="21"/>
          <w:szCs w:val="21"/>
        </w:rPr>
        <w:t>61、营业收入和营业成本</w:t>
      </w:r>
      <w:bookmarkEnd w:id="3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231,176,900.35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146,093,254.95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179,280,105.10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124,263,016.24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2,881,638.76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2,120,951.22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943,570.16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364,375.46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148,214,206.17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124,627,391.70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191,104,635.94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13,050,138.38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21,635,563.33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5,179,911.77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3,088,289.69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41,024,726.65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193,033,812.46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3"/>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pPr>
      <w:r>
        <w:rPr>
          <w:rFonts w:hint="eastAsia" w:ascii="宋体" w:hAnsi="宋体" w:eastAsia="宋体" w:cs="宋体"/>
          <w:sz w:val="18"/>
          <w:szCs w:val="18"/>
        </w:rPr>
        <w:t>无</w:t>
      </w:r>
    </w:p>
    <w:p>
      <w:pPr>
        <w:keepNext/>
        <w:keepLines/>
        <w:spacing w:before="300" w:after="300" w:line="280" w:lineRule="exact"/>
        <w:jc w:val="left"/>
        <w:outlineLvl w:val="2"/>
        <w:rPr>
          <w:rFonts w:ascii="宋体" w:hAnsi="宋体" w:eastAsia="宋体" w:cs="宋体"/>
          <w:b/>
          <w:bCs/>
          <w:sz w:val="21"/>
          <w:szCs w:val="21"/>
        </w:rPr>
      </w:pPr>
      <w:bookmarkStart w:id="312" w:name="_Toc989201"/>
      <w:r>
        <w:rPr>
          <w:rFonts w:ascii="宋体" w:hAnsi="宋体" w:eastAsia="宋体" w:cs="宋体"/>
          <w:b/>
          <w:bCs/>
          <w:sz w:val="21"/>
          <w:szCs w:val="21"/>
        </w:rPr>
        <w:t>62、税金及附加</w:t>
      </w:r>
      <w:bookmarkEnd w:id="3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755,617.73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602,211.31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323,836.16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246,684.72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676,298.89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618,640.69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234,857.70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5,040.00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122,746.18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30,018.03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215,890.78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164,456.50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地方水利建设基金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5,367.40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5,539.97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2,339,827.41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1,906,136.35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3" w:name="_Toc989202"/>
      <w:r>
        <w:rPr>
          <w:rFonts w:ascii="宋体" w:hAnsi="宋体" w:eastAsia="宋体" w:cs="宋体"/>
          <w:b/>
          <w:bCs/>
          <w:sz w:val="21"/>
          <w:szCs w:val="21"/>
        </w:rPr>
        <w:t>63、销售费用</w:t>
      </w:r>
      <w:bookmarkEnd w:id="3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1,225,008.76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84,363.32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2,484,166.90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1,586,844.72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业务宣传费及展位费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171,301.16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360,465.55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检验费及认证费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2,108,768.54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2,800,851.89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佣金及咨询费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5,952,178.90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5,953,615.25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水电费、通讯费及其他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296,556.85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819,390.33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12,237,981.11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11,605,531.06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4" w:name="_Toc989203"/>
      <w:r>
        <w:rPr>
          <w:rFonts w:ascii="宋体" w:hAnsi="宋体" w:eastAsia="宋体" w:cs="宋体"/>
          <w:b/>
          <w:bCs/>
          <w:sz w:val="21"/>
          <w:szCs w:val="21"/>
        </w:rPr>
        <w:t>64、管理费用</w:t>
      </w:r>
      <w:bookmarkEnd w:id="31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办公费及差旅费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150,263.14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230,488.83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业务招待费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66,326.09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102,112.32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7,636,053.65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6,460,834.76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折旧及摊销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1,989,020.89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1,751,023.91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股权激励费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2,222,762.52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606,573.36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2,224,580.43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2,380,856.40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14,289,006.72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11,531,889.58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5" w:name="_Toc989204"/>
      <w:r>
        <w:rPr>
          <w:rFonts w:ascii="宋体" w:hAnsi="宋体" w:eastAsia="宋体" w:cs="宋体"/>
          <w:b/>
          <w:bCs/>
          <w:sz w:val="21"/>
          <w:szCs w:val="21"/>
        </w:rPr>
        <w:t>65、研发费用</w:t>
      </w:r>
      <w:bookmarkEnd w:id="31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工资及附加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6,863,830.56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5,619,877.94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761,318.23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580,787.72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材料及调试费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6,224,635.47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3,720,904.56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12,688.06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126,244.93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13,862,472.32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10,047,815.15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6" w:name="_Toc989205"/>
      <w:r>
        <w:rPr>
          <w:rFonts w:ascii="宋体" w:hAnsi="宋体" w:eastAsia="宋体" w:cs="宋体"/>
          <w:b/>
          <w:bCs/>
          <w:sz w:val="21"/>
          <w:szCs w:val="21"/>
        </w:rPr>
        <w:t>66、财务费用</w:t>
      </w:r>
      <w:bookmarkEnd w:id="3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515,138.89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753,787.38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224,810.18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300,804.30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181,944.26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-2,359,969.50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-192,542.94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-1,768,836.49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595,682.48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7" w:name="_Toc989206"/>
      <w:r>
        <w:rPr>
          <w:rFonts w:ascii="宋体" w:hAnsi="宋体" w:eastAsia="宋体" w:cs="宋体"/>
          <w:b/>
          <w:bCs/>
          <w:sz w:val="21"/>
          <w:szCs w:val="21"/>
        </w:rPr>
        <w:t>67、其他收益</w:t>
      </w:r>
      <w:bookmarkEnd w:id="3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与资产相关的政府补助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579,401.61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380,492.60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与收益相关的政府补助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1,007,639.53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44,931.21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51,401.30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税收减免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27,739.94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41,585.99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1,481,119.42</w:t>
            </w:r>
          </w:p>
        </w:tc>
      </w:tr>
    </w:tbl>
    <w:p>
      <w:pPr>
        <w:keepNext/>
        <w:keepLines/>
        <w:spacing w:before="300" w:after="300" w:line="280" w:lineRule="exact"/>
        <w:jc w:val="left"/>
        <w:outlineLvl w:val="2"/>
        <w:rPr>
          <w:rFonts w:ascii="宋体" w:hAnsi="宋体" w:eastAsia="宋体" w:cs="宋体"/>
          <w:b/>
          <w:bCs/>
          <w:sz w:val="21"/>
          <w:szCs w:val="21"/>
        </w:rPr>
      </w:pPr>
      <w:bookmarkStart w:id="318" w:name="_Toc989207"/>
      <w:r>
        <w:rPr>
          <w:rFonts w:ascii="宋体" w:hAnsi="宋体" w:eastAsia="宋体" w:cs="宋体"/>
          <w:b/>
          <w:bCs/>
          <w:sz w:val="21"/>
          <w:szCs w:val="21"/>
        </w:rPr>
        <w:t>68、投资收益</w:t>
      </w:r>
      <w:bookmarkEnd w:id="31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处置交易性金融资产取得的投资收益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10,089,636.02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大额存单在持有期间取得的收益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46,494,012.38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10,144,886.02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19" w:name="_Toc989208"/>
      <w:r>
        <w:rPr>
          <w:rFonts w:ascii="宋体" w:hAnsi="宋体" w:eastAsia="宋体" w:cs="宋体"/>
          <w:b/>
          <w:bCs/>
          <w:sz w:val="21"/>
          <w:szCs w:val="21"/>
        </w:rPr>
        <w:t>69、净敞口套期收益</w:t>
      </w:r>
      <w:bookmarkEnd w:id="31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0" w:name="_Toc989209"/>
      <w:r>
        <w:rPr>
          <w:rFonts w:ascii="宋体" w:hAnsi="宋体" w:eastAsia="宋体" w:cs="宋体"/>
          <w:b/>
          <w:bCs/>
          <w:sz w:val="21"/>
          <w:szCs w:val="21"/>
        </w:rPr>
        <w:t>70、公允价值变动收益</w:t>
      </w:r>
      <w:bookmarkEnd w:id="32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其中：衍生金融工具产生的公允价值变动收益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-3,089,631.80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1" w:name="_Toc989210"/>
      <w:r>
        <w:rPr>
          <w:rFonts w:ascii="宋体" w:hAnsi="宋体" w:eastAsia="宋体" w:cs="宋体"/>
          <w:b/>
          <w:bCs/>
          <w:sz w:val="21"/>
          <w:szCs w:val="21"/>
        </w:rPr>
        <w:t>71、信用减值损失</w:t>
      </w:r>
      <w:bookmarkEnd w:id="32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-1,184,799.18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-16,616.92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应收账款坏账损失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531,332.21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-1,290,029.56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-653,466.97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-1,306,646.48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2" w:name="_Toc989211"/>
      <w:r>
        <w:rPr>
          <w:rFonts w:ascii="宋体" w:hAnsi="宋体" w:eastAsia="宋体" w:cs="宋体"/>
          <w:b/>
          <w:bCs/>
          <w:sz w:val="21"/>
          <w:szCs w:val="21"/>
        </w:rPr>
        <w:t>72、资产减值损失</w:t>
      </w:r>
      <w:bookmarkEnd w:id="32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-659,821.72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-659,689.82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3" w:name="_Toc989212"/>
      <w:r>
        <w:rPr>
          <w:rFonts w:ascii="宋体" w:hAnsi="宋体" w:eastAsia="宋体" w:cs="宋体"/>
          <w:b/>
          <w:bCs/>
          <w:sz w:val="21"/>
          <w:szCs w:val="21"/>
        </w:rPr>
        <w:t>73、资产处置收益</w:t>
      </w:r>
      <w:bookmarkEnd w:id="32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处置固定资产收益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bl>
    <w:p>
      <w:pPr>
        <w:keepNext/>
        <w:keepLines/>
        <w:spacing w:before="300" w:after="300" w:line="280" w:lineRule="exact"/>
        <w:jc w:val="left"/>
        <w:outlineLvl w:val="2"/>
        <w:rPr>
          <w:rFonts w:ascii="宋体" w:hAnsi="宋体" w:eastAsia="宋体" w:cs="宋体"/>
          <w:b/>
          <w:bCs/>
          <w:sz w:val="21"/>
          <w:szCs w:val="21"/>
        </w:rPr>
      </w:pPr>
      <w:bookmarkStart w:id="324" w:name="_Toc989213"/>
      <w:r>
        <w:rPr>
          <w:rFonts w:ascii="宋体" w:hAnsi="宋体" w:eastAsia="宋体" w:cs="宋体"/>
          <w:b/>
          <w:bCs/>
          <w:sz w:val="21"/>
          <w:szCs w:val="21"/>
        </w:rPr>
        <w:t>74、营业外收入</w:t>
      </w:r>
      <w:bookmarkEnd w:id="32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非货币性资产交换利得</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9,767.74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57,644.21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507,518.47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46,287.49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517,286.21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103,931.70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计入当期损益的政府补助：</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与资产相关/与收益相关</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5" w:name="_Toc989214"/>
      <w:r>
        <w:rPr>
          <w:rFonts w:ascii="宋体" w:hAnsi="宋体" w:eastAsia="宋体" w:cs="宋体"/>
          <w:b/>
          <w:bCs/>
          <w:sz w:val="21"/>
          <w:szCs w:val="21"/>
        </w:rPr>
        <w:t>75、营业外支出</w:t>
      </w:r>
      <w:bookmarkEnd w:id="32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非货币性资产交换损失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4,722.36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68,445.30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4,722.40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361,934.98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6" w:name="_Toc989215"/>
      <w:r>
        <w:rPr>
          <w:rFonts w:ascii="宋体" w:hAnsi="宋体" w:eastAsia="宋体" w:cs="宋体"/>
          <w:b/>
          <w:bCs/>
          <w:sz w:val="21"/>
          <w:szCs w:val="21"/>
        </w:rPr>
        <w:t>76、所得税费用</w:t>
      </w:r>
      <w:bookmarkEnd w:id="326"/>
    </w:p>
    <w:p>
      <w:pPr>
        <w:keepNext/>
        <w:keepLines/>
        <w:spacing w:before="300" w:after="300" w:line="280" w:lineRule="exact"/>
        <w:jc w:val="left"/>
        <w:outlineLvl w:val="3"/>
        <w:rPr>
          <w:rFonts w:ascii="宋体" w:hAnsi="宋体" w:eastAsia="宋体" w:cs="宋体"/>
          <w:b/>
          <w:bCs/>
          <w:sz w:val="21"/>
          <w:szCs w:val="21"/>
        </w:rPr>
      </w:pPr>
      <w:bookmarkStart w:id="327" w:name="_Toc989216"/>
      <w:r>
        <w:rPr>
          <w:rFonts w:ascii="宋体" w:hAnsi="宋体" w:eastAsia="宋体" w:cs="宋体"/>
          <w:b/>
          <w:bCs/>
          <w:sz w:val="21"/>
          <w:szCs w:val="21"/>
        </w:rPr>
        <w:t>（1） 所得税费用表</w:t>
      </w:r>
      <w:bookmarkEnd w:id="32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14,231,691.91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5,877,516.98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-410,056.32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-2,097,889.85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3,779,627.13</w:t>
            </w:r>
          </w:p>
        </w:tc>
      </w:tr>
    </w:tbl>
    <w:p>
      <w:pPr>
        <w:keepNext/>
        <w:keepLines/>
        <w:spacing w:before="300" w:after="300" w:line="280" w:lineRule="exact"/>
        <w:jc w:val="left"/>
        <w:outlineLvl w:val="3"/>
        <w:rPr>
          <w:rFonts w:ascii="宋体" w:hAnsi="宋体" w:eastAsia="宋体" w:cs="宋体"/>
          <w:b/>
          <w:bCs/>
          <w:sz w:val="21"/>
          <w:szCs w:val="21"/>
        </w:rPr>
      </w:pPr>
      <w:bookmarkStart w:id="328" w:name="_Toc989217"/>
      <w:r>
        <w:rPr>
          <w:rFonts w:ascii="宋体" w:hAnsi="宋体" w:eastAsia="宋体" w:cs="宋体"/>
          <w:b/>
          <w:bCs/>
          <w:sz w:val="21"/>
          <w:szCs w:val="21"/>
        </w:rPr>
        <w:t>（2） 会计利润与所得税费用调整过程</w:t>
      </w:r>
      <w:bookmarkEnd w:id="32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93,916,996.54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14,104,199.67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213,911.74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432,889.03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-264,137.69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-665,227.16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13,821,635.59</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29" w:name="_Toc989218"/>
      <w:r>
        <w:rPr>
          <w:rFonts w:ascii="宋体" w:hAnsi="宋体" w:eastAsia="宋体" w:cs="宋体"/>
          <w:b/>
          <w:bCs/>
          <w:sz w:val="21"/>
          <w:szCs w:val="21"/>
        </w:rPr>
        <w:t>77、其他综合收益</w:t>
      </w:r>
      <w:bookmarkEnd w:id="329"/>
    </w:p>
    <w:p>
      <w:pPr>
        <w:spacing w:before="40" w:after="40" w:line="240" w:lineRule="exact"/>
        <w:jc w:val="left"/>
        <w:rPr>
          <w:rFonts w:ascii="宋体" w:hAnsi="宋体" w:eastAsia="宋体" w:cs="宋体"/>
          <w:sz w:val="18"/>
          <w:szCs w:val="18"/>
        </w:rPr>
      </w:pPr>
      <w:r>
        <w:rPr>
          <w:rFonts w:ascii="宋体" w:hAnsi="宋体" w:eastAsia="宋体" w:cs="宋体"/>
          <w:sz w:val="18"/>
          <w:szCs w:val="18"/>
        </w:rPr>
        <w:t>详见附注</w:t>
      </w:r>
    </w:p>
    <w:p>
      <w:pPr>
        <w:keepNext/>
        <w:keepLines/>
        <w:spacing w:before="300" w:after="300" w:line="280" w:lineRule="exact"/>
        <w:jc w:val="left"/>
        <w:outlineLvl w:val="2"/>
        <w:rPr>
          <w:rFonts w:ascii="宋体" w:hAnsi="宋体" w:eastAsia="宋体" w:cs="宋体"/>
          <w:b/>
          <w:bCs/>
          <w:sz w:val="21"/>
          <w:szCs w:val="21"/>
        </w:rPr>
      </w:pPr>
      <w:bookmarkStart w:id="330" w:name="_Toc989219"/>
      <w:r>
        <w:rPr>
          <w:rFonts w:ascii="宋体" w:hAnsi="宋体" w:eastAsia="宋体" w:cs="宋体"/>
          <w:b/>
          <w:bCs/>
          <w:sz w:val="21"/>
          <w:szCs w:val="21"/>
        </w:rPr>
        <w:t>78、现金流量表项目</w:t>
      </w:r>
      <w:bookmarkEnd w:id="330"/>
    </w:p>
    <w:p>
      <w:pPr>
        <w:keepNext/>
        <w:keepLines/>
        <w:spacing w:before="300" w:after="300" w:line="280" w:lineRule="exact"/>
        <w:jc w:val="left"/>
        <w:outlineLvl w:val="3"/>
        <w:rPr>
          <w:rFonts w:ascii="宋体" w:hAnsi="宋体" w:eastAsia="宋体" w:cs="宋体"/>
          <w:b/>
          <w:bCs/>
          <w:sz w:val="21"/>
          <w:szCs w:val="21"/>
        </w:rPr>
      </w:pPr>
      <w:bookmarkStart w:id="331" w:name="_Toc989220"/>
      <w:r>
        <w:rPr>
          <w:rFonts w:ascii="宋体" w:hAnsi="宋体" w:eastAsia="宋体" w:cs="宋体"/>
          <w:b/>
          <w:bCs/>
          <w:sz w:val="21"/>
          <w:szCs w:val="21"/>
        </w:rPr>
        <w:t>（1） 收到的其他与经营活动有关的现金</w:t>
      </w:r>
      <w:bookmarkEnd w:id="33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补贴收入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901,656.89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1,430,258.15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278,011.43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147,506.22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368,804.81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79,219.41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1,548,473.13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1,656,983.78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2" w:name="_Toc989221"/>
      <w:r>
        <w:rPr>
          <w:rFonts w:ascii="宋体" w:hAnsi="宋体" w:eastAsia="宋体" w:cs="宋体"/>
          <w:b/>
          <w:bCs/>
          <w:sz w:val="21"/>
          <w:szCs w:val="21"/>
        </w:rPr>
        <w:t>（2） 支付的其他与经营活动有关的现金</w:t>
      </w:r>
      <w:bookmarkEnd w:id="33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管理费用及研发费用中的现金支出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1,722,711.73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2,565,211.56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销售费用中的现金支出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4,349,604.38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11,074,271.49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往来款及其他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6,413,600.05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738,750.47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12,485,916.16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14,378,233.52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支付的其他与经营活动有关的现金说明：</w:t>
      </w:r>
    </w:p>
    <w:p>
      <w:pPr>
        <w:keepNext/>
        <w:keepLines/>
        <w:spacing w:before="300" w:after="300" w:line="280" w:lineRule="exact"/>
        <w:jc w:val="left"/>
        <w:outlineLvl w:val="3"/>
        <w:rPr>
          <w:rFonts w:ascii="宋体" w:hAnsi="宋体" w:eastAsia="宋体" w:cs="宋体"/>
          <w:b/>
          <w:bCs/>
          <w:sz w:val="21"/>
          <w:szCs w:val="21"/>
        </w:rPr>
      </w:pPr>
      <w:bookmarkStart w:id="333" w:name="_Toc989222"/>
      <w:r>
        <w:rPr>
          <w:rFonts w:ascii="宋体" w:hAnsi="宋体" w:eastAsia="宋体" w:cs="宋体"/>
          <w:b/>
          <w:bCs/>
          <w:sz w:val="21"/>
          <w:szCs w:val="21"/>
        </w:rPr>
        <w:t>（3） 收到的其他与投资活动有关的现金</w:t>
      </w:r>
      <w:bookmarkEnd w:id="3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4" w:name="_Toc989223"/>
      <w:r>
        <w:rPr>
          <w:rFonts w:ascii="宋体" w:hAnsi="宋体" w:eastAsia="宋体" w:cs="宋体"/>
          <w:b/>
          <w:bCs/>
          <w:sz w:val="21"/>
          <w:szCs w:val="21"/>
        </w:rPr>
        <w:t>（4） 支付的其他与投资活动有关的现金</w:t>
      </w:r>
      <w:bookmarkEnd w:id="3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退回股权转让押金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支付的其他与投资活动有关的现金说明：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5" w:name="_Toc989224"/>
      <w:r>
        <w:rPr>
          <w:rFonts w:ascii="宋体" w:hAnsi="宋体" w:eastAsia="宋体" w:cs="宋体"/>
          <w:b/>
          <w:bCs/>
          <w:sz w:val="21"/>
          <w:szCs w:val="21"/>
        </w:rPr>
        <w:t>（5） 收到的其他与筹资活动有关的现金</w:t>
      </w:r>
      <w:bookmarkEnd w:id="33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收到的其他与筹资活动有关的现金说明：</w:t>
      </w:r>
    </w:p>
    <w:p>
      <w:pPr>
        <w:keepNext/>
        <w:keepLines/>
        <w:spacing w:before="300" w:after="300" w:line="280" w:lineRule="exact"/>
        <w:jc w:val="left"/>
        <w:outlineLvl w:val="3"/>
        <w:rPr>
          <w:rFonts w:ascii="宋体" w:hAnsi="宋体" w:eastAsia="宋体" w:cs="宋体"/>
          <w:b/>
          <w:bCs/>
          <w:sz w:val="21"/>
          <w:szCs w:val="21"/>
        </w:rPr>
      </w:pPr>
      <w:bookmarkStart w:id="336" w:name="_Toc989225"/>
      <w:r>
        <w:rPr>
          <w:rFonts w:ascii="宋体" w:hAnsi="宋体" w:eastAsia="宋体" w:cs="宋体"/>
          <w:b/>
          <w:bCs/>
          <w:sz w:val="21"/>
          <w:szCs w:val="21"/>
        </w:rPr>
        <w:t>（6） 支付的其他与筹资活动有关的现金</w:t>
      </w:r>
      <w:bookmarkEnd w:id="33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支付的其他与筹资活动有关的现金说明：</w:t>
      </w:r>
    </w:p>
    <w:p>
      <w:pPr>
        <w:keepNext/>
        <w:keepLines/>
        <w:spacing w:before="300" w:after="300" w:line="280" w:lineRule="exact"/>
        <w:jc w:val="left"/>
        <w:outlineLvl w:val="2"/>
        <w:rPr>
          <w:rFonts w:ascii="宋体" w:hAnsi="宋体" w:eastAsia="宋体" w:cs="宋体"/>
          <w:b/>
          <w:bCs/>
          <w:sz w:val="21"/>
          <w:szCs w:val="21"/>
        </w:rPr>
      </w:pPr>
      <w:bookmarkStart w:id="337" w:name="_Toc989226"/>
      <w:r>
        <w:rPr>
          <w:rFonts w:ascii="宋体" w:hAnsi="宋体" w:eastAsia="宋体" w:cs="宋体"/>
          <w:b/>
          <w:bCs/>
          <w:sz w:val="21"/>
          <w:szCs w:val="21"/>
        </w:rPr>
        <w:t>79、现金流量表补充资料</w:t>
      </w:r>
      <w:bookmarkEnd w:id="337"/>
    </w:p>
    <w:p>
      <w:pPr>
        <w:keepNext/>
        <w:keepLines/>
        <w:spacing w:before="300" w:after="300" w:line="280" w:lineRule="exact"/>
        <w:jc w:val="left"/>
        <w:outlineLvl w:val="3"/>
        <w:rPr>
          <w:rFonts w:ascii="宋体" w:hAnsi="宋体" w:eastAsia="宋体" w:cs="宋体"/>
          <w:b/>
          <w:bCs/>
          <w:sz w:val="21"/>
          <w:szCs w:val="21"/>
        </w:rPr>
      </w:pPr>
      <w:bookmarkStart w:id="338" w:name="_Toc989227"/>
      <w:r>
        <w:rPr>
          <w:rFonts w:ascii="宋体" w:hAnsi="宋体" w:eastAsia="宋体" w:cs="宋体"/>
          <w:b/>
          <w:bCs/>
          <w:sz w:val="21"/>
          <w:szCs w:val="21"/>
        </w:rPr>
        <w:t>（1） 现金流量表补充资料</w:t>
      </w:r>
      <w:bookmarkEnd w:id="33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80,095,360.95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1,307,807.61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1,966,336.30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13,050,026.41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11,424,748.61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561,204.13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671,382.18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3,163,844.40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116,078.70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-44,951.26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-58,497.89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293,489.68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-2,672,558.38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3,070,681.80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745,738.89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561,244.44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-46,593,355.58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-10,229,865.76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-585,817.40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-1,456,011.01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176,261.08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-641,878.84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-27,274,579.22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-34,256,584.89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4,134,855.93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-26,599,865.92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17,737,942.43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13,894,456.03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-264,116.77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1,153,040.10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31,845,387.34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9,748,223.19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-9,812,025.21</w:t>
            </w:r>
          </w:p>
        </w:tc>
      </w:tr>
    </w:tbl>
    <w:p>
      <w:pPr>
        <w:keepNext/>
        <w:keepLines/>
        <w:spacing w:before="300" w:after="300" w:line="280" w:lineRule="exact"/>
        <w:jc w:val="left"/>
        <w:outlineLvl w:val="3"/>
        <w:rPr>
          <w:rFonts w:ascii="宋体" w:hAnsi="宋体" w:eastAsia="宋体" w:cs="宋体"/>
          <w:b/>
          <w:bCs/>
          <w:sz w:val="21"/>
          <w:szCs w:val="21"/>
        </w:rPr>
      </w:pPr>
      <w:bookmarkStart w:id="339" w:name="_Toc989228"/>
      <w:r>
        <w:rPr>
          <w:rFonts w:ascii="宋体" w:hAnsi="宋体" w:eastAsia="宋体" w:cs="宋体"/>
          <w:b/>
          <w:bCs/>
          <w:sz w:val="21"/>
          <w:szCs w:val="21"/>
        </w:rPr>
        <w:t>（2） 本期支付的取得子公司的现金净额</w:t>
      </w:r>
      <w:bookmarkEnd w:id="3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0" w:name="_Toc989229"/>
      <w:r>
        <w:rPr>
          <w:rFonts w:ascii="宋体" w:hAnsi="宋体" w:eastAsia="宋体" w:cs="宋体"/>
          <w:b/>
          <w:bCs/>
          <w:sz w:val="21"/>
          <w:szCs w:val="21"/>
        </w:rPr>
        <w:t>（3） 本期收到的处置子公司的现金净额</w:t>
      </w:r>
      <w:bookmarkEnd w:id="34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41" w:name="_Toc989230"/>
      <w:r>
        <w:rPr>
          <w:rFonts w:ascii="宋体" w:hAnsi="宋体" w:eastAsia="宋体" w:cs="宋体"/>
          <w:b/>
          <w:bCs/>
          <w:sz w:val="21"/>
          <w:szCs w:val="21"/>
        </w:rPr>
        <w:t>（4） 现金和现金等价物的构成</w:t>
      </w:r>
      <w:bookmarkEnd w:id="34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254,625.42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1,416,007.24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90,485,166.49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79,575,561.48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90,739,791.91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80,991,568.72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2" w:name="_Toc989231"/>
      <w:r>
        <w:rPr>
          <w:rFonts w:ascii="宋体" w:hAnsi="宋体" w:eastAsia="宋体" w:cs="宋体"/>
          <w:b/>
          <w:bCs/>
          <w:sz w:val="21"/>
          <w:szCs w:val="21"/>
        </w:rPr>
        <w:t>80、所有者权益变动表项目注释</w:t>
      </w:r>
      <w:bookmarkEnd w:id="342"/>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说明对上年期末余额进行调整的“其他”项目名称及调整金额等事项：</w:t>
      </w:r>
    </w:p>
    <w:p>
      <w:pPr>
        <w:keepNext/>
        <w:keepLines/>
        <w:spacing w:before="300" w:after="300" w:line="280" w:lineRule="exact"/>
        <w:jc w:val="left"/>
        <w:outlineLvl w:val="2"/>
        <w:rPr>
          <w:rFonts w:ascii="宋体" w:hAnsi="宋体" w:eastAsia="宋体" w:cs="宋体"/>
          <w:b/>
          <w:bCs/>
          <w:sz w:val="21"/>
          <w:szCs w:val="21"/>
        </w:rPr>
      </w:pPr>
      <w:bookmarkStart w:id="343" w:name="_Toc989232"/>
      <w:r>
        <w:rPr>
          <w:rFonts w:ascii="宋体" w:hAnsi="宋体" w:eastAsia="宋体" w:cs="宋体"/>
          <w:b/>
          <w:bCs/>
          <w:sz w:val="21"/>
          <w:szCs w:val="21"/>
        </w:rPr>
        <w:t>81、所有权或使用权受到限制的资产</w:t>
      </w:r>
      <w:bookmarkEnd w:id="34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票据保证金、保函保证金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11,680,331.03</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44" w:name="_Toc989233"/>
      <w:r>
        <w:rPr>
          <w:rFonts w:ascii="宋体" w:hAnsi="宋体" w:eastAsia="宋体" w:cs="宋体"/>
          <w:b/>
          <w:bCs/>
          <w:sz w:val="21"/>
          <w:szCs w:val="21"/>
        </w:rPr>
        <w:t>82、外币货币性项目</w:t>
      </w:r>
      <w:bookmarkEnd w:id="344"/>
    </w:p>
    <w:p>
      <w:pPr>
        <w:keepNext/>
        <w:keepLines/>
        <w:spacing w:before="300" w:after="300" w:line="280" w:lineRule="exact"/>
        <w:jc w:val="left"/>
        <w:outlineLvl w:val="3"/>
        <w:rPr>
          <w:rFonts w:ascii="宋体" w:hAnsi="宋体" w:eastAsia="宋体" w:cs="宋体"/>
          <w:b/>
          <w:bCs/>
          <w:sz w:val="21"/>
          <w:szCs w:val="21"/>
        </w:rPr>
      </w:pPr>
      <w:bookmarkStart w:id="345" w:name="_Toc989234"/>
      <w:r>
        <w:rPr>
          <w:rFonts w:ascii="宋体" w:hAnsi="宋体" w:eastAsia="宋体" w:cs="宋体"/>
          <w:b/>
          <w:bCs/>
          <w:sz w:val="21"/>
          <w:szCs w:val="21"/>
        </w:rPr>
        <w:t>（1） 外币货币性项目</w:t>
      </w:r>
      <w:bookmarkEnd w:id="34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6,199,326.88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41,624,760.40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90,719.11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635,795.81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其中：英镑</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386.53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8.1365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3,145.00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5,304,364.40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35,615,624.35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应付账款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10,983.96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73,750.70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65,964.69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7.0084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462,306.93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其他应付款</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147,573.00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6.7144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990,864.15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（2）外币交易及境外经营实体主要报表项目的折算汇率</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本公司的外币交易及境外经营实体主要报表项目的折算汇率情况详见附注三、（九）外币业务和外币报表折算。</w:t>
      </w:r>
    </w:p>
    <w:p>
      <w:pPr>
        <w:keepNext/>
        <w:keepLines/>
        <w:spacing w:before="300" w:after="300" w:line="280" w:lineRule="exact"/>
        <w:jc w:val="left"/>
        <w:outlineLvl w:val="3"/>
        <w:rPr>
          <w:rFonts w:ascii="宋体" w:hAnsi="宋体" w:eastAsia="宋体" w:cs="宋体"/>
          <w:b/>
          <w:bCs/>
          <w:sz w:val="21"/>
          <w:szCs w:val="21"/>
        </w:rPr>
      </w:pPr>
      <w:bookmarkStart w:id="346" w:name="_Toc989235"/>
      <w:r>
        <w:rPr>
          <w:rFonts w:ascii="宋体" w:hAnsi="宋体" w:eastAsia="宋体" w:cs="宋体"/>
          <w:b/>
          <w:bCs/>
          <w:sz w:val="21"/>
          <w:szCs w:val="21"/>
        </w:rPr>
        <w:t>（2） 境外经营实体说明，包括对于重要的境外经营实体，应披露其境外主要经营地、记账本位币及选择依据，记账本位币发生变化的还应披露原因。</w:t>
      </w:r>
      <w:bookmarkEnd w:id="34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47" w:name="_Toc989236"/>
      <w:r>
        <w:rPr>
          <w:rFonts w:ascii="宋体" w:hAnsi="宋体" w:eastAsia="宋体" w:cs="宋体"/>
          <w:b/>
          <w:bCs/>
          <w:sz w:val="21"/>
          <w:szCs w:val="21"/>
        </w:rPr>
        <w:t>83、套期</w:t>
      </w:r>
      <w:bookmarkEnd w:id="347"/>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按照套期类别披露套期项目及相关套期工具、被套期风险的定性和定量信息：</w:t>
      </w:r>
    </w:p>
    <w:p>
      <w:pPr>
        <w:keepNext/>
        <w:keepLines/>
        <w:spacing w:before="300" w:after="300" w:line="280" w:lineRule="exact"/>
        <w:jc w:val="left"/>
        <w:outlineLvl w:val="2"/>
        <w:rPr>
          <w:rFonts w:ascii="宋体" w:hAnsi="宋体" w:eastAsia="宋体" w:cs="宋体"/>
          <w:b/>
          <w:bCs/>
          <w:sz w:val="21"/>
          <w:szCs w:val="21"/>
        </w:rPr>
      </w:pPr>
      <w:bookmarkStart w:id="348" w:name="_Toc989237"/>
      <w:r>
        <w:rPr>
          <w:rFonts w:ascii="宋体" w:hAnsi="宋体" w:eastAsia="宋体" w:cs="宋体"/>
          <w:b/>
          <w:bCs/>
          <w:sz w:val="21"/>
          <w:szCs w:val="21"/>
        </w:rPr>
        <w:t>84、政府补助</w:t>
      </w:r>
      <w:bookmarkEnd w:id="348"/>
    </w:p>
    <w:p>
      <w:pPr>
        <w:keepNext/>
        <w:keepLines/>
        <w:spacing w:before="300" w:after="300" w:line="280" w:lineRule="exact"/>
        <w:jc w:val="left"/>
        <w:outlineLvl w:val="3"/>
        <w:rPr>
          <w:rFonts w:ascii="宋体" w:hAnsi="宋体" w:eastAsia="宋体" w:cs="宋体"/>
          <w:b/>
          <w:bCs/>
          <w:sz w:val="21"/>
          <w:szCs w:val="21"/>
        </w:rPr>
      </w:pPr>
      <w:bookmarkStart w:id="349" w:name="_Toc989238"/>
      <w:r>
        <w:rPr>
          <w:rFonts w:ascii="宋体" w:hAnsi="宋体" w:eastAsia="宋体" w:cs="宋体"/>
          <w:b/>
          <w:bCs/>
          <w:sz w:val="21"/>
          <w:szCs w:val="21"/>
        </w:rPr>
        <w:t>（1） 政府补助基本情况</w:t>
      </w:r>
      <w:bookmarkEnd w:id="3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收益性政府补助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1,214,428.43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资产性政府补助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递延收益/其他收益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433,401.61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2,044,428.43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1,647,830.04</w:t>
            </w:r>
          </w:p>
        </w:tc>
      </w:tr>
    </w:tbl>
    <w:p>
      <w:pPr>
        <w:keepNext/>
        <w:keepLines/>
        <w:spacing w:before="300" w:after="300" w:line="280" w:lineRule="exact"/>
        <w:jc w:val="left"/>
        <w:outlineLvl w:val="3"/>
        <w:rPr>
          <w:rFonts w:ascii="宋体" w:hAnsi="宋体" w:eastAsia="宋体" w:cs="宋体"/>
          <w:b/>
          <w:bCs/>
          <w:sz w:val="21"/>
          <w:szCs w:val="21"/>
        </w:rPr>
      </w:pPr>
      <w:bookmarkStart w:id="350" w:name="_Toc989239"/>
      <w:r>
        <w:rPr>
          <w:rFonts w:ascii="宋体" w:hAnsi="宋体" w:eastAsia="宋体" w:cs="宋体"/>
          <w:b/>
          <w:bCs/>
          <w:sz w:val="21"/>
          <w:szCs w:val="21"/>
        </w:rPr>
        <w:t>（2） 政府补助退回情况</w:t>
      </w:r>
      <w:bookmarkEnd w:id="35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51" w:name="_Toc989240"/>
      <w:r>
        <w:rPr>
          <w:rFonts w:ascii="宋体" w:hAnsi="宋体" w:eastAsia="宋体" w:cs="宋体"/>
          <w:b/>
          <w:bCs/>
          <w:sz w:val="21"/>
          <w:szCs w:val="21"/>
        </w:rPr>
        <w:t>85、其他</w:t>
      </w:r>
      <w:bookmarkEnd w:id="351"/>
    </w:p>
    <w:p>
      <w:pPr>
        <w:keepNext/>
        <w:keepLines/>
        <w:spacing w:before="300" w:after="300" w:line="320" w:lineRule="exact"/>
        <w:jc w:val="left"/>
        <w:outlineLvl w:val="1"/>
        <w:rPr>
          <w:rFonts w:ascii="宋体" w:hAnsi="宋体" w:eastAsia="宋体" w:cs="宋体"/>
          <w:b/>
          <w:bCs/>
          <w:sz w:val="24"/>
          <w:szCs w:val="24"/>
        </w:rPr>
      </w:pPr>
      <w:bookmarkStart w:id="352" w:name="_Toc989241"/>
      <w:r>
        <w:rPr>
          <w:rFonts w:ascii="宋体" w:hAnsi="宋体" w:eastAsia="宋体" w:cs="宋体"/>
          <w:b/>
          <w:bCs/>
          <w:sz w:val="24"/>
          <w:szCs w:val="24"/>
        </w:rPr>
        <w:t>八、合并范围的变更</w:t>
      </w:r>
      <w:bookmarkEnd w:id="352"/>
    </w:p>
    <w:p>
      <w:pPr>
        <w:keepNext/>
        <w:keepLines/>
        <w:spacing w:before="300" w:after="300" w:line="280" w:lineRule="exact"/>
        <w:jc w:val="left"/>
        <w:outlineLvl w:val="2"/>
        <w:rPr>
          <w:rFonts w:ascii="宋体" w:hAnsi="宋体" w:eastAsia="宋体" w:cs="宋体"/>
          <w:b/>
          <w:bCs/>
          <w:sz w:val="21"/>
          <w:szCs w:val="21"/>
        </w:rPr>
      </w:pPr>
      <w:bookmarkStart w:id="353" w:name="_Toc989242"/>
      <w:r>
        <w:rPr>
          <w:rFonts w:ascii="宋体" w:hAnsi="宋体" w:eastAsia="宋体" w:cs="宋体"/>
          <w:b/>
          <w:bCs/>
          <w:sz w:val="21"/>
          <w:szCs w:val="21"/>
        </w:rPr>
        <w:t>1、非同一控制下企业合并</w:t>
      </w:r>
      <w:bookmarkEnd w:id="353"/>
    </w:p>
    <w:p>
      <w:pPr>
        <w:keepNext/>
        <w:keepLines/>
        <w:spacing w:before="300" w:after="300" w:line="280" w:lineRule="exact"/>
        <w:jc w:val="left"/>
        <w:outlineLvl w:val="3"/>
        <w:rPr>
          <w:rFonts w:ascii="宋体" w:hAnsi="宋体" w:eastAsia="宋体" w:cs="宋体"/>
          <w:b/>
          <w:bCs/>
          <w:sz w:val="18"/>
          <w:szCs w:val="18"/>
        </w:rPr>
      </w:pPr>
      <w:bookmarkStart w:id="354" w:name="_Toc989243"/>
      <w:r>
        <w:rPr>
          <w:rFonts w:ascii="宋体" w:hAnsi="宋体" w:eastAsia="宋体" w:cs="宋体"/>
          <w:b/>
          <w:bCs/>
          <w:sz w:val="18"/>
          <w:szCs w:val="18"/>
        </w:rPr>
        <w:t>（1） 本期发生的非同一控制下企业合并</w:t>
      </w:r>
      <w:bookmarkEnd w:id="35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购买日至期末被购买方的净利润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5" w:name="_Toc989244"/>
      <w:r>
        <w:rPr>
          <w:rFonts w:ascii="宋体" w:hAnsi="宋体" w:eastAsia="宋体" w:cs="宋体"/>
          <w:b/>
          <w:bCs/>
          <w:sz w:val="18"/>
          <w:szCs w:val="18"/>
        </w:rPr>
        <w:t>（2） 合并成本及商誉</w:t>
      </w:r>
      <w:bookmarkEnd w:id="35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合并成本公允价值的确定方法、或有对价及其变动的说明：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大额商誉形成的主要原因：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6" w:name="_Toc989245"/>
      <w:r>
        <w:rPr>
          <w:rFonts w:ascii="宋体" w:hAnsi="宋体" w:eastAsia="宋体" w:cs="宋体"/>
          <w:b/>
          <w:bCs/>
          <w:sz w:val="18"/>
          <w:szCs w:val="18"/>
        </w:rPr>
        <w:t>（3） 被购买方于购买日可辨认资产、负债</w:t>
      </w:r>
      <w:bookmarkEnd w:id="3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可辨认资产、负债公允价值的确定方法：</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企业合并中承担的被购买方的或有负债：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57" w:name="_Toc989246"/>
      <w:r>
        <w:rPr>
          <w:rFonts w:ascii="宋体" w:hAnsi="宋体" w:eastAsia="宋体" w:cs="宋体"/>
          <w:b/>
          <w:bCs/>
          <w:sz w:val="18"/>
          <w:szCs w:val="18"/>
        </w:rPr>
        <w:t>（4） 购买日之前持有的股权按照公允价值重新计量产生的利得或损失</w:t>
      </w:r>
      <w:bookmarkEnd w:id="357"/>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是否存在通过多次交易分步实现企业合并且在报告期内取得控制权的交易</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keepNext/>
        <w:keepLines/>
        <w:spacing w:before="300" w:after="300" w:line="280" w:lineRule="exact"/>
        <w:jc w:val="left"/>
        <w:outlineLvl w:val="3"/>
        <w:rPr>
          <w:rFonts w:ascii="宋体" w:hAnsi="宋体" w:eastAsia="宋体" w:cs="宋体"/>
          <w:b/>
          <w:bCs/>
          <w:sz w:val="18"/>
          <w:szCs w:val="18"/>
        </w:rPr>
      </w:pPr>
      <w:bookmarkStart w:id="358" w:name="_Toc989247"/>
      <w:r>
        <w:rPr>
          <w:rFonts w:ascii="宋体" w:hAnsi="宋体" w:eastAsia="宋体" w:cs="宋体"/>
          <w:b/>
          <w:bCs/>
          <w:sz w:val="18"/>
          <w:szCs w:val="18"/>
        </w:rPr>
        <w:t>（5） 购买日或合并当期期末无法合理确定合并对价或被购买方可辨认资产、负债公允价值的相关说明</w:t>
      </w:r>
      <w:bookmarkEnd w:id="358"/>
    </w:p>
    <w:p>
      <w:pPr>
        <w:keepNext/>
        <w:keepLines/>
        <w:spacing w:before="300" w:after="300" w:line="280" w:lineRule="exact"/>
        <w:jc w:val="left"/>
        <w:outlineLvl w:val="3"/>
        <w:rPr>
          <w:rFonts w:ascii="宋体" w:hAnsi="宋体" w:eastAsia="宋体" w:cs="宋体"/>
          <w:b/>
          <w:bCs/>
          <w:sz w:val="18"/>
          <w:szCs w:val="18"/>
        </w:rPr>
      </w:pPr>
      <w:bookmarkStart w:id="359" w:name="_Toc989248"/>
      <w:r>
        <w:rPr>
          <w:rFonts w:ascii="宋体" w:hAnsi="宋体" w:eastAsia="宋体" w:cs="宋体"/>
          <w:b/>
          <w:bCs/>
          <w:sz w:val="18"/>
          <w:szCs w:val="18"/>
        </w:rPr>
        <w:t>（6） 其他说明</w:t>
      </w:r>
      <w:bookmarkEnd w:id="359"/>
    </w:p>
    <w:p>
      <w:pPr>
        <w:keepNext/>
        <w:keepLines/>
        <w:spacing w:before="300" w:after="300" w:line="280" w:lineRule="exact"/>
        <w:jc w:val="left"/>
        <w:outlineLvl w:val="2"/>
        <w:rPr>
          <w:rFonts w:ascii="宋体" w:hAnsi="宋体" w:eastAsia="宋体" w:cs="宋体"/>
          <w:b/>
          <w:bCs/>
          <w:sz w:val="21"/>
          <w:szCs w:val="21"/>
        </w:rPr>
      </w:pPr>
      <w:bookmarkStart w:id="360" w:name="_Toc989249"/>
      <w:r>
        <w:rPr>
          <w:rFonts w:ascii="宋体" w:hAnsi="宋体" w:eastAsia="宋体" w:cs="宋体"/>
          <w:b/>
          <w:bCs/>
          <w:sz w:val="21"/>
          <w:szCs w:val="21"/>
        </w:rPr>
        <w:t>2、同一控制下企业合并</w:t>
      </w:r>
      <w:bookmarkEnd w:id="360"/>
    </w:p>
    <w:p>
      <w:pPr>
        <w:keepNext/>
        <w:keepLines/>
        <w:spacing w:before="300" w:after="300" w:line="280" w:lineRule="exact"/>
        <w:jc w:val="left"/>
        <w:outlineLvl w:val="3"/>
        <w:rPr>
          <w:rFonts w:ascii="宋体" w:hAnsi="宋体" w:eastAsia="宋体" w:cs="宋体"/>
          <w:b/>
          <w:bCs/>
          <w:sz w:val="18"/>
          <w:szCs w:val="18"/>
        </w:rPr>
      </w:pPr>
      <w:bookmarkStart w:id="361" w:name="_Toc989250"/>
      <w:r>
        <w:rPr>
          <w:rFonts w:ascii="宋体" w:hAnsi="宋体" w:eastAsia="宋体" w:cs="宋体"/>
          <w:b/>
          <w:bCs/>
          <w:sz w:val="18"/>
          <w:szCs w:val="18"/>
        </w:rPr>
        <w:t>（1） 本期发生的同一控制下企业合并</w:t>
      </w:r>
      <w:bookmarkEnd w:id="36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比较期间被合并方的净利润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62" w:name="_Toc989251"/>
      <w:r>
        <w:rPr>
          <w:rFonts w:ascii="宋体" w:hAnsi="宋体" w:eastAsia="宋体" w:cs="宋体"/>
          <w:b/>
          <w:bCs/>
          <w:sz w:val="18"/>
          <w:szCs w:val="18"/>
        </w:rPr>
        <w:t>（2） 合并成本</w:t>
      </w:r>
      <w:bookmarkEnd w:id="3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或有对价及其变动的说明：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63" w:name="_Toc989252"/>
      <w:r>
        <w:rPr>
          <w:rFonts w:ascii="宋体" w:hAnsi="宋体" w:eastAsia="宋体" w:cs="宋体"/>
          <w:b/>
          <w:bCs/>
          <w:sz w:val="18"/>
          <w:szCs w:val="18"/>
        </w:rPr>
        <w:t>（3） 合并日被合并方资产、负债的账面价值</w:t>
      </w:r>
      <w:bookmarkEnd w:id="36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这是文本内容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企业合并中承担的被合并方的或有负债：</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64" w:name="_Toc989253"/>
      <w:r>
        <w:rPr>
          <w:rFonts w:ascii="宋体" w:hAnsi="宋体" w:eastAsia="宋体" w:cs="宋体"/>
          <w:b/>
          <w:bCs/>
          <w:sz w:val="21"/>
          <w:szCs w:val="21"/>
        </w:rPr>
        <w:t>3、反向购买</w:t>
      </w:r>
      <w:bookmarkEnd w:id="364"/>
    </w:p>
    <w:p>
      <w:pPr>
        <w:spacing w:before="100" w:after="100" w:line="240" w:lineRule="exact"/>
        <w:jc w:val="left"/>
        <w:rPr>
          <w:rFonts w:ascii="宋体" w:hAnsi="宋体" w:eastAsia="宋体" w:cs="宋体"/>
          <w:sz w:val="18"/>
          <w:szCs w:val="18"/>
        </w:rPr>
      </w:pPr>
      <w:r>
        <w:rPr>
          <w:rFonts w:ascii="宋体" w:hAnsi="宋体" w:eastAsia="宋体" w:cs="宋体"/>
          <w:sz w:val="18"/>
          <w:szCs w:val="18"/>
        </w:rPr>
        <w:t>交易基本信息、交易构成反向购买的依据、上市公司保留的资产、负债是否构成业务及其依据、合并成本的确定、按照权益性交易处理时调整权益的金额及其计算：</w:t>
      </w:r>
    </w:p>
    <w:p>
      <w:pPr>
        <w:keepNext/>
        <w:keepLines/>
        <w:spacing w:before="300" w:after="300" w:line="280" w:lineRule="exact"/>
        <w:jc w:val="left"/>
        <w:outlineLvl w:val="2"/>
        <w:rPr>
          <w:rFonts w:ascii="宋体" w:hAnsi="宋体" w:eastAsia="宋体" w:cs="宋体"/>
          <w:b/>
          <w:bCs/>
          <w:sz w:val="21"/>
          <w:szCs w:val="21"/>
        </w:rPr>
      </w:pPr>
      <w:bookmarkStart w:id="365" w:name="_Toc989254"/>
      <w:r>
        <w:rPr>
          <w:rFonts w:ascii="宋体" w:hAnsi="宋体" w:eastAsia="宋体" w:cs="宋体"/>
          <w:b/>
          <w:bCs/>
          <w:sz w:val="21"/>
          <w:szCs w:val="21"/>
        </w:rPr>
        <w:t>4、处置子公司</w:t>
      </w:r>
      <w:bookmarkEnd w:id="365"/>
    </w:p>
    <w:p>
      <w:pPr>
        <w:spacing w:before="40" w:after="40" w:line="240" w:lineRule="exact"/>
        <w:jc w:val="left"/>
        <w:rPr>
          <w:rFonts w:ascii="宋体" w:hAnsi="宋体" w:eastAsia="宋体" w:cs="宋体"/>
          <w:sz w:val="18"/>
          <w:szCs w:val="18"/>
        </w:rPr>
      </w:pPr>
      <w:r>
        <w:rPr>
          <w:rFonts w:ascii="宋体" w:hAnsi="宋体" w:eastAsia="宋体" w:cs="宋体"/>
          <w:sz w:val="18"/>
          <w:szCs w:val="18"/>
        </w:rPr>
        <w:t>是否存在单次处置对子公司投资即丧失控制权的情形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是否存在通过多次交易分步处置对子公司投资且在本期丧失控制权的情形</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643"/>
        <w:gridCol w:w="643"/>
        <w:gridCol w:w="643"/>
        <w:gridCol w:w="643"/>
        <w:gridCol w:w="643"/>
        <w:gridCol w:w="643"/>
        <w:gridCol w:w="643"/>
        <w:gridCol w:w="643"/>
        <w:gridCol w:w="643"/>
        <w:gridCol w:w="643"/>
        <w:gridCol w:w="643"/>
        <w:gridCol w:w="643"/>
        <w:gridCol w:w="643"/>
        <w:gridCol w:w="6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股权处置价款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股权处置方式</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处置价款与处置投资对应的合并财务报表层面享有该子公司净资产份额的差额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丧失控制权的时点</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丧失控制权时点的确定依据</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丧失控制权之日剩余股权的比例</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丧失控制权之日剩余股权的账面价值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丧失控制权之日剩余股权的公允价值</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按照公允价值重新计量剩余股权产生的利得或损失</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丧失控制权之日剩余股权公允价值的确定方法及主要假设</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与原子公司股权投资相关的其他综合收益转入投资损益的金额</w:t>
            </w:r>
          </w:p>
        </w:tc>
        <w:tc>
          <w:tcPr>
            <w:tcW w:w="64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丧失控制权之前的各步交易处置价款与处置投资对应的合并财务报表层面享有该子公司净资产份额的差额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2022年01月10日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49.00%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restart"/>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25,500,000.00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51.00%</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转让</w:t>
            </w:r>
          </w:p>
        </w:tc>
        <w:tc>
          <w:tcPr>
            <w:tcW w:w="64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21,236,992.55</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2022年05月13日</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股权交割，工商变更</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参考交易价格</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643" w:type="dxa"/>
            <w:vMerge w:val="continue"/>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20,404,169.31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分步处置股权至丧失控制权过程中的各项交易构成一揽子交易的原因：</w:t>
      </w:r>
    </w:p>
    <w:p>
      <w:pPr>
        <w:pStyle w:val="3"/>
        <w:keepNext w:val="0"/>
        <w:keepLines w:val="0"/>
        <w:widowControl/>
        <w:suppressLineNumbers w:val="0"/>
      </w:pPr>
      <w:r>
        <w:rPr>
          <w:rFonts w:hint="eastAsia" w:ascii="宋体" w:hAnsi="宋体" w:eastAsia="宋体" w:cs="宋体"/>
          <w:sz w:val="18"/>
          <w:szCs w:val="18"/>
        </w:rPr>
        <w:t>协议转让约定</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非一揽子交易</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366" w:name="_Toc989255"/>
      <w:r>
        <w:rPr>
          <w:rFonts w:ascii="宋体" w:hAnsi="宋体" w:eastAsia="宋体" w:cs="宋体"/>
          <w:b/>
          <w:bCs/>
          <w:sz w:val="21"/>
          <w:szCs w:val="21"/>
        </w:rPr>
        <w:t>5、其他原因的合并范围变动</w:t>
      </w:r>
      <w:bookmarkEnd w:id="366"/>
    </w:p>
    <w:p>
      <w:pPr>
        <w:spacing w:before="100" w:after="100" w:line="240" w:lineRule="exact"/>
        <w:jc w:val="left"/>
        <w:rPr>
          <w:rFonts w:ascii="宋体" w:hAnsi="宋体" w:eastAsia="宋体" w:cs="宋体"/>
          <w:sz w:val="18"/>
          <w:szCs w:val="18"/>
        </w:rPr>
      </w:pPr>
      <w:r>
        <w:rPr>
          <w:rFonts w:ascii="宋体" w:hAnsi="宋体" w:eastAsia="宋体" w:cs="宋体"/>
          <w:sz w:val="18"/>
          <w:szCs w:val="18"/>
        </w:rPr>
        <w:t>说明其他原因导致的合并范围变动（如，新设子公司、清算子公司等）及其相关情况：</w:t>
      </w:r>
    </w:p>
    <w:tbl>
      <w:tblPr>
        <w:tblStyle w:val="4"/>
        <w:tblW w:w="92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63"/>
        <w:gridCol w:w="1701"/>
        <w:gridCol w:w="1656"/>
        <w:gridCol w:w="674"/>
        <w:gridCol w:w="851"/>
        <w:gridCol w:w="708"/>
        <w:gridCol w:w="1028"/>
        <w:gridCol w:w="11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cantSplit/>
          <w:trHeight w:val="454" w:hRule="atLeast"/>
          <w:jc w:val="center"/>
        </w:trPr>
        <w:tc>
          <w:tcPr>
            <w:tcW w:w="146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子公司名称</w:t>
            </w:r>
          </w:p>
        </w:tc>
        <w:tc>
          <w:tcPr>
            <w:tcW w:w="170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主要经营地</w:t>
            </w:r>
          </w:p>
        </w:tc>
        <w:tc>
          <w:tcPr>
            <w:tcW w:w="16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注册地</w:t>
            </w:r>
          </w:p>
        </w:tc>
        <w:tc>
          <w:tcPr>
            <w:tcW w:w="67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业务性质</w:t>
            </w:r>
          </w:p>
        </w:tc>
        <w:tc>
          <w:tcPr>
            <w:tcW w:w="1559"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持股比例（%）</w:t>
            </w:r>
          </w:p>
        </w:tc>
        <w:tc>
          <w:tcPr>
            <w:tcW w:w="10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表决权比例（%）</w:t>
            </w:r>
          </w:p>
        </w:tc>
        <w:tc>
          <w:tcPr>
            <w:tcW w:w="11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取得方式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7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 </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直接</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line="273" w:lineRule="auto"/>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间接</w:t>
            </w:r>
          </w:p>
        </w:tc>
        <w:tc>
          <w:tcPr>
            <w:tcW w:w="10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454" w:hRule="atLeast"/>
          <w:jc w:val="center"/>
        </w:trPr>
        <w:tc>
          <w:tcPr>
            <w:tcW w:w="146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海南伟隆投资有限公司</w:t>
            </w:r>
          </w:p>
        </w:tc>
        <w:tc>
          <w:tcPr>
            <w:tcW w:w="170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16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海南省澄迈县老城镇高新技术产业示范区海南生态软件园孵化楼五楼1001室</w:t>
            </w:r>
          </w:p>
        </w:tc>
        <w:tc>
          <w:tcPr>
            <w:tcW w:w="67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投资服务</w:t>
            </w:r>
          </w:p>
        </w:tc>
        <w:tc>
          <w:tcPr>
            <w:tcW w:w="8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70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5"/>
                <w:szCs w:val="15"/>
              </w:rPr>
              <w:t> </w:t>
            </w:r>
          </w:p>
        </w:tc>
        <w:tc>
          <w:tcPr>
            <w:tcW w:w="10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60.00</w:t>
            </w:r>
          </w:p>
        </w:tc>
        <w:tc>
          <w:tcPr>
            <w:tcW w:w="116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5"/>
                <w:szCs w:val="15"/>
              </w:rPr>
              <w:t>设立</w:t>
            </w:r>
          </w:p>
        </w:tc>
      </w:tr>
    </w:tbl>
    <w:p>
      <w:pPr>
        <w:keepNext/>
        <w:keepLines/>
        <w:spacing w:before="300" w:after="300" w:line="280" w:lineRule="exact"/>
        <w:jc w:val="left"/>
        <w:outlineLvl w:val="2"/>
        <w:rPr>
          <w:rFonts w:ascii="宋体" w:hAnsi="宋体" w:eastAsia="宋体" w:cs="宋体"/>
          <w:b/>
          <w:bCs/>
          <w:sz w:val="21"/>
          <w:szCs w:val="21"/>
        </w:rPr>
      </w:pPr>
      <w:bookmarkStart w:id="367" w:name="_Toc989256"/>
      <w:r>
        <w:rPr>
          <w:rFonts w:ascii="宋体" w:hAnsi="宋体" w:eastAsia="宋体" w:cs="宋体"/>
          <w:b/>
          <w:bCs/>
          <w:sz w:val="21"/>
          <w:szCs w:val="21"/>
        </w:rPr>
        <w:t>6、其他</w:t>
      </w:r>
      <w:bookmarkEnd w:id="367"/>
    </w:p>
    <w:p>
      <w:pPr>
        <w:keepNext/>
        <w:keepLines/>
        <w:spacing w:before="300" w:after="300" w:line="320" w:lineRule="exact"/>
        <w:jc w:val="left"/>
        <w:outlineLvl w:val="1"/>
        <w:rPr>
          <w:rFonts w:ascii="宋体" w:hAnsi="宋体" w:eastAsia="宋体" w:cs="宋体"/>
          <w:b/>
          <w:bCs/>
          <w:sz w:val="24"/>
          <w:szCs w:val="24"/>
        </w:rPr>
      </w:pPr>
      <w:bookmarkStart w:id="368" w:name="_Toc989257"/>
      <w:r>
        <w:rPr>
          <w:rFonts w:ascii="宋体" w:hAnsi="宋体" w:eastAsia="宋体" w:cs="宋体"/>
          <w:b/>
          <w:bCs/>
          <w:sz w:val="24"/>
          <w:szCs w:val="24"/>
        </w:rPr>
        <w:t>九、在其他主体中的权益</w:t>
      </w:r>
      <w:bookmarkEnd w:id="368"/>
    </w:p>
    <w:p>
      <w:pPr>
        <w:keepNext/>
        <w:keepLines/>
        <w:spacing w:before="300" w:after="300" w:line="280" w:lineRule="exact"/>
        <w:jc w:val="left"/>
        <w:outlineLvl w:val="2"/>
        <w:rPr>
          <w:rFonts w:ascii="宋体" w:hAnsi="宋体" w:eastAsia="宋体" w:cs="宋体"/>
          <w:b/>
          <w:bCs/>
          <w:sz w:val="21"/>
          <w:szCs w:val="21"/>
        </w:rPr>
      </w:pPr>
      <w:bookmarkStart w:id="369" w:name="_Toc989258"/>
      <w:r>
        <w:rPr>
          <w:rFonts w:ascii="宋体" w:hAnsi="宋体" w:eastAsia="宋体" w:cs="宋体"/>
          <w:b/>
          <w:bCs/>
          <w:sz w:val="21"/>
          <w:szCs w:val="21"/>
        </w:rPr>
        <w:t>1、在子公司中的权益</w:t>
      </w:r>
      <w:bookmarkEnd w:id="369"/>
    </w:p>
    <w:p>
      <w:pPr>
        <w:keepNext/>
        <w:keepLines/>
        <w:spacing w:before="300" w:after="300" w:line="280" w:lineRule="exact"/>
        <w:jc w:val="left"/>
        <w:outlineLvl w:val="3"/>
        <w:rPr>
          <w:rFonts w:ascii="宋体" w:hAnsi="宋体" w:eastAsia="宋体" w:cs="宋体"/>
          <w:b/>
          <w:bCs/>
          <w:sz w:val="18"/>
          <w:szCs w:val="18"/>
        </w:rPr>
      </w:pPr>
      <w:bookmarkStart w:id="370" w:name="_Toc989259"/>
      <w:r>
        <w:rPr>
          <w:rFonts w:ascii="宋体" w:hAnsi="宋体" w:eastAsia="宋体" w:cs="宋体"/>
          <w:b/>
          <w:bCs/>
          <w:sz w:val="18"/>
          <w:szCs w:val="18"/>
        </w:rPr>
        <w:t>（1） 企业集团的构成</w:t>
      </w:r>
      <w:bookmarkEnd w:id="370"/>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莱州市沙河镇海郑村</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青岛市高新技术产业开发区春阳路以北、华东路以西、科海路以南、华贯路以东</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中国（山东）自由贸易试验区青岛片区前湾保税港区北京路45号东办公楼一楼-2244（商务秘书公司托管地址）（A）</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WefloValveCompanyLimited（英国公司）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英国伦敦</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海南省澄迈县老城镇高新技术产业示范区海南生态软件园孵化楼五楼1001室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投资服务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山东省青岛市高新区华贯路以东、华东路以西、科海路以南</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工业</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香港九龙尖沙咀东部科学馆道14号新文华中心A座10楼1015室</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WEFLOVALVELLC（美国公司）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16192coastalHighway,Lewes</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商务服务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100.00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在子公司的持股比例不同于表决权比例的说明：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持有半数或以下表决权但仍控制被投资单位、以及持有半数以上表决权但不控制被投资单位的依据：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对于纳入合并范围的重要的结构化主体，控制的依据：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确定公司是代理人还是委托人的依据：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1" w:name="_Toc989260"/>
      <w:r>
        <w:rPr>
          <w:rFonts w:ascii="宋体" w:hAnsi="宋体" w:eastAsia="宋体" w:cs="宋体"/>
          <w:b/>
          <w:bCs/>
          <w:sz w:val="18"/>
          <w:szCs w:val="18"/>
        </w:rPr>
        <w:t>（2） 重要的非全资子公司</w:t>
      </w:r>
      <w:bookmarkEnd w:id="37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948,596.12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40,953,956.71</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子公司少数股东的持股比例不同于表决权比例的说明：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2" w:name="_Toc989261"/>
      <w:r>
        <w:rPr>
          <w:rFonts w:ascii="宋体" w:hAnsi="宋体" w:eastAsia="宋体" w:cs="宋体"/>
          <w:b/>
          <w:bCs/>
          <w:sz w:val="18"/>
          <w:szCs w:val="18"/>
        </w:rPr>
        <w:t>（3） 重要非全资子公司的主要财务信息</w:t>
      </w:r>
      <w:bookmarkEnd w:id="3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102,398,575.06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4,316.72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102,402,891.78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2,384,891.78</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733.12</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373" w:name="_Toc989262"/>
      <w:r>
        <w:rPr>
          <w:rFonts w:ascii="宋体" w:hAnsi="宋体" w:eastAsia="宋体" w:cs="宋体"/>
          <w:b/>
          <w:bCs/>
          <w:sz w:val="18"/>
          <w:szCs w:val="18"/>
        </w:rPr>
        <w:t>（4） 使用企业集团资产和清偿企业集团债务的重大限制</w:t>
      </w:r>
      <w:bookmarkEnd w:id="373"/>
    </w:p>
    <w:p>
      <w:pPr>
        <w:keepNext/>
        <w:keepLines/>
        <w:spacing w:before="300" w:after="300" w:line="280" w:lineRule="exact"/>
        <w:jc w:val="left"/>
        <w:outlineLvl w:val="3"/>
        <w:rPr>
          <w:rFonts w:ascii="宋体" w:hAnsi="宋体" w:eastAsia="宋体" w:cs="宋体"/>
          <w:b/>
          <w:bCs/>
          <w:sz w:val="18"/>
          <w:szCs w:val="18"/>
        </w:rPr>
      </w:pPr>
      <w:bookmarkStart w:id="374" w:name="_Toc989263"/>
      <w:r>
        <w:rPr>
          <w:rFonts w:ascii="宋体" w:hAnsi="宋体" w:eastAsia="宋体" w:cs="宋体"/>
          <w:b/>
          <w:bCs/>
          <w:sz w:val="18"/>
          <w:szCs w:val="18"/>
        </w:rPr>
        <w:t>（5） 向纳入合并财务报表范围的结构化主体提供的财务支持或其他支持</w:t>
      </w:r>
      <w:bookmarkEnd w:id="374"/>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5" w:name="_Toc989264"/>
      <w:r>
        <w:rPr>
          <w:rFonts w:ascii="宋体" w:hAnsi="宋体" w:eastAsia="宋体" w:cs="宋体"/>
          <w:b/>
          <w:bCs/>
          <w:sz w:val="21"/>
          <w:szCs w:val="21"/>
        </w:rPr>
        <w:t>2、在子公司的所有者权益份额发生变化且仍控制子公司的交易</w:t>
      </w:r>
      <w:bookmarkEnd w:id="375"/>
    </w:p>
    <w:p>
      <w:pPr>
        <w:keepNext/>
        <w:keepLines/>
        <w:spacing w:before="300" w:after="300" w:line="280" w:lineRule="exact"/>
        <w:jc w:val="left"/>
        <w:outlineLvl w:val="3"/>
        <w:rPr>
          <w:rFonts w:ascii="宋体" w:hAnsi="宋体" w:eastAsia="宋体" w:cs="宋体"/>
          <w:b/>
          <w:bCs/>
          <w:sz w:val="18"/>
          <w:szCs w:val="18"/>
        </w:rPr>
      </w:pPr>
      <w:bookmarkStart w:id="376" w:name="_Toc989265"/>
      <w:r>
        <w:rPr>
          <w:rFonts w:ascii="宋体" w:hAnsi="宋体" w:eastAsia="宋体" w:cs="宋体"/>
          <w:b/>
          <w:bCs/>
          <w:sz w:val="18"/>
          <w:szCs w:val="18"/>
        </w:rPr>
        <w:t>（1） 在子公司所有者权益份额发生变化的情况说明</w:t>
      </w:r>
      <w:bookmarkEnd w:id="376"/>
    </w:p>
    <w:p>
      <w:pPr>
        <w:keepNext/>
        <w:keepLines/>
        <w:spacing w:before="300" w:after="300" w:line="280" w:lineRule="exact"/>
        <w:jc w:val="left"/>
        <w:outlineLvl w:val="3"/>
        <w:rPr>
          <w:rFonts w:ascii="宋体" w:hAnsi="宋体" w:eastAsia="宋体" w:cs="宋体"/>
          <w:b/>
          <w:bCs/>
          <w:sz w:val="18"/>
          <w:szCs w:val="18"/>
        </w:rPr>
      </w:pPr>
      <w:bookmarkStart w:id="377" w:name="_Toc989266"/>
      <w:r>
        <w:rPr>
          <w:rFonts w:ascii="宋体" w:hAnsi="宋体" w:eastAsia="宋体" w:cs="宋体"/>
          <w:b/>
          <w:bCs/>
          <w:sz w:val="18"/>
          <w:szCs w:val="18"/>
        </w:rPr>
        <w:t>（2） 交易对于少数股东权益及归属于母公司所有者权益的影响</w:t>
      </w:r>
      <w:bookmarkEnd w:id="3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78" w:name="_Toc989267"/>
      <w:r>
        <w:rPr>
          <w:rFonts w:ascii="宋体" w:hAnsi="宋体" w:eastAsia="宋体" w:cs="宋体"/>
          <w:b/>
          <w:bCs/>
          <w:sz w:val="21"/>
          <w:szCs w:val="21"/>
        </w:rPr>
        <w:t>3、在合营安排或联营企业中的权益</w:t>
      </w:r>
      <w:bookmarkEnd w:id="378"/>
    </w:p>
    <w:p>
      <w:pPr>
        <w:keepNext/>
        <w:keepLines/>
        <w:spacing w:before="300" w:after="300" w:line="280" w:lineRule="exact"/>
        <w:jc w:val="left"/>
        <w:outlineLvl w:val="3"/>
        <w:rPr>
          <w:rFonts w:ascii="宋体" w:hAnsi="宋体" w:eastAsia="宋体" w:cs="宋体"/>
          <w:b/>
          <w:bCs/>
          <w:sz w:val="21"/>
          <w:szCs w:val="21"/>
        </w:rPr>
      </w:pPr>
      <w:bookmarkStart w:id="379" w:name="_Toc989268"/>
      <w:r>
        <w:rPr>
          <w:rFonts w:ascii="宋体" w:hAnsi="宋体" w:eastAsia="宋体" w:cs="宋体"/>
          <w:b/>
          <w:bCs/>
          <w:sz w:val="21"/>
          <w:szCs w:val="21"/>
        </w:rPr>
        <w:t>（1） 重要的合营企业或联营企业</w:t>
      </w:r>
      <w:bookmarkEnd w:id="379"/>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在合营企业或联营企业的持股比例不同于表决权比例的说明：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持有20%以下表决权但具有重大影响，或者持有20%或以上表决权但不具有重大影响的依据：</w:t>
      </w:r>
    </w:p>
    <w:p>
      <w:pPr>
        <w:keepNext/>
        <w:keepLines/>
        <w:spacing w:before="300" w:after="300" w:line="280" w:lineRule="exact"/>
        <w:jc w:val="left"/>
        <w:outlineLvl w:val="3"/>
        <w:rPr>
          <w:rFonts w:ascii="宋体" w:hAnsi="宋体" w:eastAsia="宋体" w:cs="宋体"/>
          <w:b/>
          <w:bCs/>
          <w:sz w:val="21"/>
          <w:szCs w:val="21"/>
        </w:rPr>
      </w:pPr>
      <w:bookmarkStart w:id="380" w:name="_Toc989269"/>
      <w:r>
        <w:rPr>
          <w:rFonts w:ascii="宋体" w:hAnsi="宋体" w:eastAsia="宋体" w:cs="宋体"/>
          <w:b/>
          <w:bCs/>
          <w:sz w:val="21"/>
          <w:szCs w:val="21"/>
        </w:rPr>
        <w:t>（2） 重要合营企业的主要财务信息</w:t>
      </w:r>
      <w:bookmarkEnd w:id="3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1" w:name="_Toc989270"/>
      <w:r>
        <w:rPr>
          <w:rFonts w:ascii="宋体" w:hAnsi="宋体" w:eastAsia="宋体" w:cs="宋体"/>
          <w:b/>
          <w:bCs/>
          <w:sz w:val="21"/>
          <w:szCs w:val="21"/>
        </w:rPr>
        <w:t>（3） 重要联营企业的主要财务信息</w:t>
      </w:r>
      <w:bookmarkEnd w:id="3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2" w:name="_Toc989271"/>
      <w:r>
        <w:rPr>
          <w:rFonts w:ascii="宋体" w:hAnsi="宋体" w:eastAsia="宋体" w:cs="宋体"/>
          <w:b/>
          <w:bCs/>
          <w:sz w:val="21"/>
          <w:szCs w:val="21"/>
        </w:rPr>
        <w:t>（4） 不重要的合营企业和联营企业的汇总财务信息</w:t>
      </w:r>
      <w:bookmarkEnd w:id="3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3" w:name="_Toc989272"/>
      <w:r>
        <w:rPr>
          <w:rFonts w:ascii="宋体" w:hAnsi="宋体" w:eastAsia="宋体" w:cs="宋体"/>
          <w:b/>
          <w:bCs/>
          <w:sz w:val="21"/>
          <w:szCs w:val="21"/>
        </w:rPr>
        <w:t>（5） 合营企业或联营企业向本公司转移资金的能力存在重大限制的说明</w:t>
      </w:r>
      <w:bookmarkEnd w:id="383"/>
    </w:p>
    <w:p>
      <w:pPr>
        <w:keepNext/>
        <w:keepLines/>
        <w:spacing w:before="300" w:after="300" w:line="280" w:lineRule="exact"/>
        <w:jc w:val="left"/>
        <w:outlineLvl w:val="3"/>
        <w:rPr>
          <w:rFonts w:ascii="宋体" w:hAnsi="宋体" w:eastAsia="宋体" w:cs="宋体"/>
          <w:b/>
          <w:bCs/>
          <w:sz w:val="21"/>
          <w:szCs w:val="21"/>
        </w:rPr>
      </w:pPr>
      <w:bookmarkStart w:id="384" w:name="_Toc989273"/>
      <w:r>
        <w:rPr>
          <w:rFonts w:ascii="宋体" w:hAnsi="宋体" w:eastAsia="宋体" w:cs="宋体"/>
          <w:b/>
          <w:bCs/>
          <w:sz w:val="21"/>
          <w:szCs w:val="21"/>
        </w:rPr>
        <w:t>（6） 合营企业或联营企业发生的超额亏损</w:t>
      </w:r>
      <w:bookmarkEnd w:id="3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本期末累积未确认的损失</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21"/>
          <w:szCs w:val="21"/>
        </w:rPr>
      </w:pPr>
      <w:bookmarkStart w:id="385" w:name="_Toc989274"/>
      <w:r>
        <w:rPr>
          <w:rFonts w:ascii="宋体" w:hAnsi="宋体" w:eastAsia="宋体" w:cs="宋体"/>
          <w:b/>
          <w:bCs/>
          <w:sz w:val="21"/>
          <w:szCs w:val="21"/>
        </w:rPr>
        <w:t>（7） 与合营企业投资相关的未确认承诺</w:t>
      </w:r>
      <w:bookmarkEnd w:id="385"/>
    </w:p>
    <w:p>
      <w:pPr>
        <w:keepNext/>
        <w:keepLines/>
        <w:spacing w:before="300" w:after="300" w:line="280" w:lineRule="exact"/>
        <w:jc w:val="left"/>
        <w:outlineLvl w:val="3"/>
        <w:rPr>
          <w:rFonts w:ascii="宋体" w:hAnsi="宋体" w:eastAsia="宋体" w:cs="宋体"/>
          <w:b/>
          <w:bCs/>
          <w:sz w:val="21"/>
          <w:szCs w:val="21"/>
        </w:rPr>
      </w:pPr>
      <w:bookmarkStart w:id="386" w:name="_Toc989275"/>
      <w:r>
        <w:rPr>
          <w:rFonts w:ascii="宋体" w:hAnsi="宋体" w:eastAsia="宋体" w:cs="宋体"/>
          <w:b/>
          <w:bCs/>
          <w:sz w:val="21"/>
          <w:szCs w:val="21"/>
        </w:rPr>
        <w:t>（8） 与合营企业或联营企业投资相关的或有负债</w:t>
      </w:r>
      <w:bookmarkEnd w:id="386"/>
    </w:p>
    <w:p>
      <w:pPr>
        <w:keepNext/>
        <w:keepLines/>
        <w:spacing w:before="300" w:after="300" w:line="280" w:lineRule="exact"/>
        <w:jc w:val="left"/>
        <w:outlineLvl w:val="2"/>
        <w:rPr>
          <w:rFonts w:ascii="宋体" w:hAnsi="宋体" w:eastAsia="宋体" w:cs="宋体"/>
          <w:b/>
          <w:bCs/>
          <w:sz w:val="21"/>
          <w:szCs w:val="21"/>
        </w:rPr>
      </w:pPr>
      <w:bookmarkStart w:id="387" w:name="_Toc989276"/>
      <w:r>
        <w:rPr>
          <w:rFonts w:ascii="宋体" w:hAnsi="宋体" w:eastAsia="宋体" w:cs="宋体"/>
          <w:b/>
          <w:bCs/>
          <w:sz w:val="21"/>
          <w:szCs w:val="21"/>
        </w:rPr>
        <w:t>4、重要的共同经营</w:t>
      </w:r>
      <w:bookmarkEnd w:id="387"/>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间接</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在共同经营中的持股比例或享有的份额不同于表决权比例的说明：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共同经营为单独主体的，分类为共同经营的依据：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388" w:name="_Toc989277"/>
      <w:r>
        <w:rPr>
          <w:rFonts w:ascii="宋体" w:hAnsi="宋体" w:eastAsia="宋体" w:cs="宋体"/>
          <w:b/>
          <w:bCs/>
          <w:sz w:val="21"/>
          <w:szCs w:val="21"/>
        </w:rPr>
        <w:t>5、在未纳入合并财务报表范围的结构化主体中的权益</w:t>
      </w:r>
      <w:bookmarkEnd w:id="388"/>
    </w:p>
    <w:p>
      <w:pPr>
        <w:spacing w:before="100" w:after="100" w:line="240" w:lineRule="exact"/>
        <w:jc w:val="left"/>
        <w:rPr>
          <w:rFonts w:ascii="宋体" w:hAnsi="宋体" w:eastAsia="宋体" w:cs="宋体"/>
          <w:sz w:val="18"/>
          <w:szCs w:val="18"/>
        </w:rPr>
      </w:pPr>
      <w:r>
        <w:rPr>
          <w:rFonts w:ascii="宋体" w:hAnsi="宋体" w:eastAsia="宋体" w:cs="宋体"/>
          <w:sz w:val="18"/>
          <w:szCs w:val="18"/>
        </w:rPr>
        <w:t>未纳入合并财务报表范围的结构化主体的相关说明：</w:t>
      </w:r>
    </w:p>
    <w:p>
      <w:pPr>
        <w:keepNext/>
        <w:keepLines/>
        <w:spacing w:before="300" w:after="300" w:line="280" w:lineRule="exact"/>
        <w:jc w:val="left"/>
        <w:outlineLvl w:val="2"/>
        <w:rPr>
          <w:rFonts w:ascii="宋体" w:hAnsi="宋体" w:eastAsia="宋体" w:cs="宋体"/>
          <w:b/>
          <w:bCs/>
          <w:sz w:val="21"/>
          <w:szCs w:val="21"/>
        </w:rPr>
      </w:pPr>
      <w:bookmarkStart w:id="389" w:name="_Toc989278"/>
      <w:r>
        <w:rPr>
          <w:rFonts w:ascii="宋体" w:hAnsi="宋体" w:eastAsia="宋体" w:cs="宋体"/>
          <w:b/>
          <w:bCs/>
          <w:sz w:val="21"/>
          <w:szCs w:val="21"/>
        </w:rPr>
        <w:t>6、其他</w:t>
      </w:r>
      <w:bookmarkEnd w:id="389"/>
    </w:p>
    <w:p>
      <w:pPr>
        <w:keepNext/>
        <w:keepLines/>
        <w:spacing w:before="300" w:after="300" w:line="320" w:lineRule="exact"/>
        <w:jc w:val="left"/>
        <w:outlineLvl w:val="1"/>
        <w:rPr>
          <w:rFonts w:ascii="宋体" w:hAnsi="宋体" w:eastAsia="宋体" w:cs="宋体"/>
          <w:b/>
          <w:bCs/>
          <w:sz w:val="24"/>
          <w:szCs w:val="24"/>
        </w:rPr>
      </w:pPr>
      <w:bookmarkStart w:id="390" w:name="_Toc989279"/>
      <w:r>
        <w:rPr>
          <w:rFonts w:ascii="宋体" w:hAnsi="宋体" w:eastAsia="宋体" w:cs="宋体"/>
          <w:b/>
          <w:bCs/>
          <w:sz w:val="24"/>
          <w:szCs w:val="24"/>
        </w:rPr>
        <w:t>十、与金融工具相关的风险</w:t>
      </w:r>
      <w:bookmarkEnd w:id="390"/>
    </w:p>
    <w:p>
      <w:pPr>
        <w:pStyle w:val="3"/>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b/>
          <w:bCs/>
          <w:sz w:val="21"/>
          <w:szCs w:val="21"/>
        </w:rPr>
        <w:t>1、信用风险</w:t>
      </w:r>
    </w:p>
    <w:p>
      <w:pPr>
        <w:pStyle w:val="3"/>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信用风险是指金融工具的一方不履行义务，造成另一方发生财务损失的风险。</w:t>
      </w:r>
    </w:p>
    <w:p>
      <w:pPr>
        <w:pStyle w:val="3"/>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pStyle w:val="3"/>
        <w:keepNext w:val="0"/>
        <w:keepLines w:val="0"/>
        <w:widowControl/>
        <w:suppressLineNumbers w:val="0"/>
        <w:spacing w:before="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本公司信用风险主要产生于银行存款、应收账款、其他应收款、应收票据、应收款项融资等，这些金融资产的信用风险源自交易对手违约，最大风险敞口等于这些工具的账面金额。</w:t>
      </w:r>
    </w:p>
    <w:p>
      <w:pPr>
        <w:pStyle w:val="3"/>
        <w:keepNext w:val="0"/>
        <w:keepLines w:val="0"/>
        <w:widowControl/>
        <w:suppressLineNumbers w:val="0"/>
        <w:spacing w:before="0" w:beforeAutospacing="0" w:after="0" w:afterAutospacing="0" w:line="360" w:lineRule="auto"/>
        <w:ind w:left="0" w:right="0" w:firstLine="436"/>
        <w:jc w:val="left"/>
        <w:rPr>
          <w:rFonts w:hint="default" w:ascii="Times New Roman" w:hAnsi="Times New Roman" w:cs="Times New Roman"/>
          <w:sz w:val="21"/>
          <w:szCs w:val="21"/>
        </w:rPr>
      </w:pPr>
      <w:r>
        <w:rPr>
          <w:rFonts w:hint="eastAsia" w:ascii="宋体" w:hAnsi="宋体" w:eastAsia="宋体" w:cs="宋体"/>
          <w:sz w:val="21"/>
          <w:szCs w:val="21"/>
        </w:rPr>
        <w:t>（1）本公司的流动资金存放在信用评级较高的银行，故流动资金的信用风险较低。</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（2）资产负债表日，公司按会计政策计提了坏账准备。</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b/>
          <w:bCs/>
          <w:sz w:val="21"/>
          <w:szCs w:val="21"/>
        </w:rPr>
        <w:t>2、市场风险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金融工具的市场风险，是指金融工具的公允价值或未来现金流量因市场价格变动而发生波动的风险，包括外汇风险、利率风险和其他价格风险。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（1）外汇风险</w:t>
      </w:r>
    </w:p>
    <w:p>
      <w:pPr>
        <w:pStyle w:val="3"/>
        <w:keepNext w:val="0"/>
        <w:keepLines w:val="0"/>
        <w:widowControl/>
        <w:suppressLineNumbers w:val="0"/>
        <w:spacing w:before="0" w:beforeAutospacing="0" w:after="0" w:afterAutospacing="0" w:line="360" w:lineRule="auto"/>
        <w:ind w:left="0" w:right="0" w:firstLine="398"/>
        <w:jc w:val="both"/>
        <w:rPr>
          <w:rFonts w:hint="default" w:ascii="Times New Roman" w:hAnsi="Times New Roman" w:cs="Times New Roman"/>
          <w:sz w:val="21"/>
          <w:szCs w:val="21"/>
        </w:rPr>
      </w:pPr>
      <w:r>
        <w:rPr>
          <w:rFonts w:hint="eastAsia" w:ascii="宋体" w:hAnsi="宋体" w:eastAsia="宋体" w:cs="宋体"/>
          <w:sz w:val="21"/>
          <w:szCs w:val="21"/>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4"/>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1968"/>
        <w:gridCol w:w="2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项目</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期末外币余额</w:t>
            </w:r>
          </w:p>
        </w:tc>
        <w:tc>
          <w:tcPr>
            <w:tcW w:w="19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折算汇率</w:t>
            </w:r>
          </w:p>
        </w:tc>
        <w:tc>
          <w:tcPr>
            <w:tcW w:w="255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Style w:val="6"/>
                <w:rFonts w:hint="eastAsia" w:ascii="宋体" w:hAnsi="宋体" w:eastAsia="宋体" w:cs="宋体"/>
                <w:sz w:val="18"/>
                <w:szCs w:val="18"/>
              </w:rPr>
              <w:t>期末折算人民币余额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6"/>
                <w:rFonts w:hint="eastAsia" w:ascii="宋体" w:hAnsi="宋体" w:eastAsia="宋体" w:cs="宋体"/>
                <w:b/>
                <w:bCs/>
                <w:sz w:val="18"/>
                <w:szCs w:val="18"/>
              </w:rPr>
              <w:t>货币资金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Style w:val="6"/>
                <w:rFonts w:hint="eastAsia" w:ascii="宋体" w:hAnsi="宋体" w:eastAsia="宋体" w:cs="宋体"/>
                <w:b/>
                <w:bCs/>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6,199,326.88</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41,624,760.40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其中：英镑</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386.53</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8.1365</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3,145.00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90,719.11</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635,795.81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6"/>
                <w:rFonts w:hint="eastAsia" w:ascii="宋体" w:hAnsi="宋体" w:eastAsia="宋体" w:cs="宋体"/>
                <w:b/>
                <w:bCs/>
                <w:sz w:val="18"/>
                <w:szCs w:val="18"/>
              </w:rPr>
              <w:t>应收账款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5,304,364.40</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35,615,624.35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Style w:val="6"/>
                <w:rFonts w:hint="eastAsia" w:ascii="宋体" w:hAnsi="宋体" w:eastAsia="宋体" w:cs="宋体"/>
                <w:b/>
                <w:bCs/>
                <w:sz w:val="18"/>
                <w:szCs w:val="18"/>
              </w:rPr>
              <w:t>应付账款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10,983.96</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73,750.70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18"/>
                <w:szCs w:val="18"/>
              </w:rPr>
              <w:t>其中：欧元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65,964.69</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7.0084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462,306.93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Style w:val="6"/>
                <w:rFonts w:hint="eastAsia" w:ascii="宋体" w:hAnsi="宋体" w:eastAsia="宋体" w:cs="宋体"/>
                <w:sz w:val="18"/>
                <w:szCs w:val="18"/>
              </w:rPr>
              <w:t>其他应付款</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其中：美元</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147,573.00</w:t>
            </w:r>
          </w:p>
        </w:tc>
        <w:tc>
          <w:tcPr>
            <w:tcW w:w="1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6.7144</w:t>
            </w:r>
          </w:p>
        </w:tc>
        <w:tc>
          <w:tcPr>
            <w:tcW w:w="255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990,864.15</w:t>
            </w:r>
          </w:p>
        </w:tc>
      </w:tr>
    </w:tbl>
    <w:p>
      <w:pPr>
        <w:pStyle w:val="3"/>
        <w:keepNext w:val="0"/>
        <w:keepLines w:val="0"/>
        <w:widowControl/>
        <w:suppressLineNumbers w:val="0"/>
        <w:spacing w:before="150" w:beforeAutospacing="0" w:after="0" w:afterAutospacing="0" w:line="360" w:lineRule="auto"/>
        <w:ind w:left="0" w:right="0" w:firstLine="426"/>
        <w:jc w:val="both"/>
        <w:rPr>
          <w:rFonts w:hint="default" w:ascii="Times New Roman" w:hAnsi="Times New Roman" w:cs="Times New Roman"/>
          <w:sz w:val="21"/>
          <w:szCs w:val="21"/>
        </w:rPr>
      </w:pPr>
      <w:r>
        <w:rPr>
          <w:rFonts w:hint="eastAsia" w:ascii="宋体" w:hAnsi="宋体" w:eastAsia="宋体" w:cs="宋体"/>
          <w:sz w:val="21"/>
          <w:szCs w:val="21"/>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（2）利率风险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利率风险，是指金融工具的公允价值或未来现金流量因市场利率变动而发生波动的风险。本公司面临的利率风险主要来源于企业与银行及其他金融机构之间的往来业务。</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Style w:val="6"/>
          <w:rFonts w:hint="eastAsia" w:ascii="宋体" w:hAnsi="宋体" w:eastAsia="宋体" w:cs="宋体"/>
          <w:b/>
          <w:bCs/>
          <w:sz w:val="21"/>
          <w:szCs w:val="21"/>
        </w:rPr>
        <w:t>3、流动性风险</w:t>
      </w:r>
    </w:p>
    <w:p>
      <w:pPr>
        <w:pStyle w:val="3"/>
        <w:keepNext w:val="0"/>
        <w:keepLines w:val="0"/>
        <w:widowControl/>
        <w:suppressLineNumbers w:val="0"/>
        <w:spacing w:before="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keepNext/>
        <w:keepLines/>
        <w:spacing w:before="300" w:after="300" w:line="320" w:lineRule="exact"/>
        <w:jc w:val="left"/>
        <w:outlineLvl w:val="1"/>
        <w:rPr>
          <w:rFonts w:ascii="宋体" w:hAnsi="宋体" w:eastAsia="宋体" w:cs="宋体"/>
          <w:b/>
          <w:bCs/>
          <w:sz w:val="24"/>
          <w:szCs w:val="24"/>
        </w:rPr>
      </w:pPr>
      <w:bookmarkStart w:id="391" w:name="_Toc989280"/>
      <w:r>
        <w:rPr>
          <w:rFonts w:ascii="宋体" w:hAnsi="宋体" w:eastAsia="宋体" w:cs="宋体"/>
          <w:b/>
          <w:bCs/>
          <w:sz w:val="24"/>
          <w:szCs w:val="24"/>
        </w:rPr>
        <w:t>十一、公允价值的披露</w:t>
      </w:r>
      <w:bookmarkEnd w:id="391"/>
    </w:p>
    <w:p>
      <w:pPr>
        <w:keepNext/>
        <w:keepLines/>
        <w:spacing w:before="300" w:after="300" w:line="280" w:lineRule="exact"/>
        <w:jc w:val="left"/>
        <w:outlineLvl w:val="2"/>
        <w:rPr>
          <w:rFonts w:ascii="宋体" w:hAnsi="宋体" w:eastAsia="宋体" w:cs="宋体"/>
          <w:b/>
          <w:bCs/>
          <w:sz w:val="21"/>
          <w:szCs w:val="21"/>
        </w:rPr>
      </w:pPr>
      <w:bookmarkStart w:id="392" w:name="_Toc989281"/>
      <w:r>
        <w:rPr>
          <w:rFonts w:ascii="宋体" w:hAnsi="宋体" w:eastAsia="宋体" w:cs="宋体"/>
          <w:b/>
          <w:bCs/>
          <w:sz w:val="21"/>
          <w:szCs w:val="21"/>
        </w:rPr>
        <w:t>1、以公允价值计量的资产和负债的期末公允价值</w:t>
      </w:r>
      <w:bookmarkEnd w:id="39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（一）交易性金融资产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1.以公允价值计量且其变动计入当期损益的金融资产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（4）理财类产品</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161,237,074.25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（六）应收款项融资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（七）基金投资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102,397,841.94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持续以公允价值计量的资产总额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263,634,916.19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464,008.62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264,098,924.81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keepNext/>
        <w:keepLines/>
        <w:spacing w:before="300" w:after="300" w:line="280" w:lineRule="exact"/>
        <w:jc w:val="left"/>
        <w:outlineLvl w:val="2"/>
        <w:rPr>
          <w:rFonts w:ascii="宋体" w:hAnsi="宋体" w:eastAsia="宋体" w:cs="宋体"/>
          <w:b/>
          <w:bCs/>
          <w:sz w:val="21"/>
          <w:szCs w:val="21"/>
        </w:rPr>
      </w:pPr>
      <w:bookmarkStart w:id="393" w:name="_Toc989282"/>
      <w:r>
        <w:rPr>
          <w:rFonts w:ascii="宋体" w:hAnsi="宋体" w:eastAsia="宋体" w:cs="宋体"/>
          <w:b/>
          <w:bCs/>
          <w:sz w:val="21"/>
          <w:szCs w:val="21"/>
        </w:rPr>
        <w:t>2、持续和非持续第一层次公允价值计量项目市价的确定依据</w:t>
      </w:r>
      <w:bookmarkEnd w:id="393"/>
    </w:p>
    <w:p>
      <w:pPr>
        <w:pStyle w:val="3"/>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相同资产或负债在活跃市场上未经调整的报价。</w:t>
      </w:r>
    </w:p>
    <w:p>
      <w:pPr>
        <w:keepNext/>
        <w:keepLines/>
        <w:spacing w:before="300" w:after="300" w:line="280" w:lineRule="exact"/>
        <w:jc w:val="left"/>
        <w:outlineLvl w:val="2"/>
        <w:rPr>
          <w:rFonts w:ascii="宋体" w:hAnsi="宋体" w:eastAsia="宋体" w:cs="宋体"/>
          <w:b/>
          <w:bCs/>
          <w:sz w:val="21"/>
          <w:szCs w:val="21"/>
        </w:rPr>
      </w:pPr>
      <w:bookmarkStart w:id="394" w:name="_Toc989283"/>
      <w:r>
        <w:rPr>
          <w:rFonts w:ascii="宋体" w:hAnsi="宋体" w:eastAsia="宋体" w:cs="宋体"/>
          <w:b/>
          <w:bCs/>
          <w:sz w:val="21"/>
          <w:szCs w:val="21"/>
        </w:rPr>
        <w:t>3、持续和非持续第二层次公允价值计量项目，采用的估值技术和重要参数的定性及定量信息</w:t>
      </w:r>
      <w:bookmarkEnd w:id="394"/>
    </w:p>
    <w:p>
      <w:pPr>
        <w:pStyle w:val="3"/>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除第一层次输入值外相关资产或负债直接或间接可观察的输入值。</w:t>
      </w:r>
    </w:p>
    <w:p>
      <w:pPr>
        <w:keepNext/>
        <w:keepLines/>
        <w:spacing w:before="300" w:after="300" w:line="280" w:lineRule="exact"/>
        <w:jc w:val="left"/>
        <w:outlineLvl w:val="2"/>
        <w:rPr>
          <w:rFonts w:ascii="宋体" w:hAnsi="宋体" w:eastAsia="宋体" w:cs="宋体"/>
          <w:b/>
          <w:bCs/>
          <w:sz w:val="21"/>
          <w:szCs w:val="21"/>
        </w:rPr>
      </w:pPr>
      <w:bookmarkStart w:id="395" w:name="_Toc989284"/>
      <w:r>
        <w:rPr>
          <w:rFonts w:ascii="宋体" w:hAnsi="宋体" w:eastAsia="宋体" w:cs="宋体"/>
          <w:b/>
          <w:bCs/>
          <w:sz w:val="21"/>
          <w:szCs w:val="21"/>
        </w:rPr>
        <w:t>4、持续和非持续第三层次公允价值计量项目，采用的估值技术和重要参数的定性及定量信息</w:t>
      </w:r>
      <w:bookmarkEnd w:id="395"/>
    </w:p>
    <w:p>
      <w:pPr>
        <w:pStyle w:val="3"/>
        <w:keepNext w:val="0"/>
        <w:keepLines w:val="0"/>
        <w:widowControl/>
        <w:suppressLineNumbers w:val="0"/>
        <w:spacing w:before="150" w:beforeAutospacing="0" w:after="0" w:afterAutospacing="0" w:line="460" w:lineRule="atLeast"/>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采用第三层次公允价值计量的资产系公司持有的应收款项融资，其剩余期限较短，账面价值与公允价值相近。</w:t>
      </w:r>
    </w:p>
    <w:p>
      <w:pPr>
        <w:keepNext/>
        <w:keepLines/>
        <w:spacing w:before="300" w:after="300" w:line="280" w:lineRule="exact"/>
        <w:jc w:val="left"/>
        <w:outlineLvl w:val="2"/>
        <w:rPr>
          <w:rFonts w:ascii="宋体" w:hAnsi="宋体" w:eastAsia="宋体" w:cs="宋体"/>
          <w:b/>
          <w:bCs/>
          <w:sz w:val="21"/>
          <w:szCs w:val="21"/>
        </w:rPr>
      </w:pPr>
      <w:bookmarkStart w:id="396" w:name="_Toc989285"/>
      <w:r>
        <w:rPr>
          <w:rFonts w:ascii="宋体" w:hAnsi="宋体" w:eastAsia="宋体" w:cs="宋体"/>
          <w:b/>
          <w:bCs/>
          <w:sz w:val="21"/>
          <w:szCs w:val="21"/>
        </w:rPr>
        <w:t>5、持续的第三层次公允价值计量项目，期初与期末账面价值间的调节信息及不可观察参数敏感性分析</w:t>
      </w:r>
      <w:bookmarkEnd w:id="396"/>
    </w:p>
    <w:p>
      <w:pPr>
        <w:keepNext/>
        <w:keepLines/>
        <w:spacing w:before="300" w:after="300" w:line="280" w:lineRule="exact"/>
        <w:jc w:val="left"/>
        <w:outlineLvl w:val="2"/>
        <w:rPr>
          <w:rFonts w:ascii="宋体" w:hAnsi="宋体" w:eastAsia="宋体" w:cs="宋体"/>
          <w:b/>
          <w:bCs/>
          <w:sz w:val="21"/>
          <w:szCs w:val="21"/>
        </w:rPr>
      </w:pPr>
      <w:bookmarkStart w:id="397" w:name="_Toc989286"/>
      <w:r>
        <w:rPr>
          <w:rFonts w:ascii="宋体" w:hAnsi="宋体" w:eastAsia="宋体" w:cs="宋体"/>
          <w:b/>
          <w:bCs/>
          <w:sz w:val="21"/>
          <w:szCs w:val="21"/>
        </w:rPr>
        <w:t>6、持续的公允价值计量项目，本期内发生各层级之间转换的，转换的原因及确定转换时点的政策</w:t>
      </w:r>
      <w:bookmarkEnd w:id="397"/>
    </w:p>
    <w:p>
      <w:pPr>
        <w:keepNext/>
        <w:keepLines/>
        <w:spacing w:before="300" w:after="300" w:line="280" w:lineRule="exact"/>
        <w:jc w:val="left"/>
        <w:outlineLvl w:val="2"/>
        <w:rPr>
          <w:rFonts w:ascii="宋体" w:hAnsi="宋体" w:eastAsia="宋体" w:cs="宋体"/>
          <w:b/>
          <w:bCs/>
          <w:sz w:val="21"/>
          <w:szCs w:val="21"/>
        </w:rPr>
      </w:pPr>
      <w:bookmarkStart w:id="398" w:name="_Toc989287"/>
      <w:r>
        <w:rPr>
          <w:rFonts w:ascii="宋体" w:hAnsi="宋体" w:eastAsia="宋体" w:cs="宋体"/>
          <w:b/>
          <w:bCs/>
          <w:sz w:val="21"/>
          <w:szCs w:val="21"/>
        </w:rPr>
        <w:t>7、本期内发生的估值技术变更及变更原因</w:t>
      </w:r>
      <w:bookmarkEnd w:id="398"/>
    </w:p>
    <w:p>
      <w:pPr>
        <w:keepNext/>
        <w:keepLines/>
        <w:spacing w:before="300" w:after="300" w:line="280" w:lineRule="exact"/>
        <w:jc w:val="left"/>
        <w:outlineLvl w:val="2"/>
        <w:rPr>
          <w:rFonts w:ascii="宋体" w:hAnsi="宋体" w:eastAsia="宋体" w:cs="宋体"/>
          <w:b/>
          <w:bCs/>
          <w:sz w:val="21"/>
          <w:szCs w:val="21"/>
        </w:rPr>
      </w:pPr>
      <w:bookmarkStart w:id="399" w:name="_Toc989288"/>
      <w:r>
        <w:rPr>
          <w:rFonts w:ascii="宋体" w:hAnsi="宋体" w:eastAsia="宋体" w:cs="宋体"/>
          <w:b/>
          <w:bCs/>
          <w:sz w:val="21"/>
          <w:szCs w:val="21"/>
        </w:rPr>
        <w:t>8、不以公允价值计量的金融资产和金融负债的公允价值情况</w:t>
      </w:r>
      <w:bookmarkEnd w:id="399"/>
    </w:p>
    <w:p>
      <w:pPr>
        <w:keepNext/>
        <w:keepLines/>
        <w:spacing w:before="300" w:after="300" w:line="280" w:lineRule="exact"/>
        <w:jc w:val="left"/>
        <w:outlineLvl w:val="2"/>
        <w:rPr>
          <w:rFonts w:ascii="宋体" w:hAnsi="宋体" w:eastAsia="宋体" w:cs="宋体"/>
          <w:b/>
          <w:bCs/>
          <w:sz w:val="21"/>
          <w:szCs w:val="21"/>
        </w:rPr>
      </w:pPr>
      <w:bookmarkStart w:id="400" w:name="_Toc989289"/>
      <w:r>
        <w:rPr>
          <w:rFonts w:ascii="宋体" w:hAnsi="宋体" w:eastAsia="宋体" w:cs="宋体"/>
          <w:b/>
          <w:bCs/>
          <w:sz w:val="21"/>
          <w:szCs w:val="21"/>
        </w:rPr>
        <w:t>9、其他</w:t>
      </w:r>
      <w:bookmarkEnd w:id="400"/>
    </w:p>
    <w:p>
      <w:pPr>
        <w:keepNext/>
        <w:keepLines/>
        <w:spacing w:before="300" w:after="300" w:line="320" w:lineRule="exact"/>
        <w:jc w:val="left"/>
        <w:outlineLvl w:val="1"/>
        <w:rPr>
          <w:rFonts w:ascii="宋体" w:hAnsi="宋体" w:eastAsia="宋体" w:cs="宋体"/>
          <w:b/>
          <w:bCs/>
          <w:sz w:val="24"/>
          <w:szCs w:val="24"/>
        </w:rPr>
      </w:pPr>
      <w:bookmarkStart w:id="401" w:name="_Toc989290"/>
      <w:r>
        <w:rPr>
          <w:rFonts w:ascii="宋体" w:hAnsi="宋体" w:eastAsia="宋体" w:cs="宋体"/>
          <w:b/>
          <w:bCs/>
          <w:sz w:val="24"/>
          <w:szCs w:val="24"/>
        </w:rPr>
        <w:t>十二、关联方及关联交易</w:t>
      </w:r>
      <w:bookmarkEnd w:id="401"/>
    </w:p>
    <w:p>
      <w:pPr>
        <w:keepNext/>
        <w:keepLines/>
        <w:spacing w:before="300" w:after="300" w:line="280" w:lineRule="exact"/>
        <w:jc w:val="left"/>
        <w:outlineLvl w:val="2"/>
        <w:rPr>
          <w:rFonts w:ascii="宋体" w:hAnsi="宋体" w:eastAsia="宋体" w:cs="宋体"/>
          <w:b/>
          <w:bCs/>
          <w:sz w:val="21"/>
          <w:szCs w:val="21"/>
        </w:rPr>
      </w:pPr>
      <w:bookmarkStart w:id="402" w:name="_Toc989291"/>
      <w:r>
        <w:rPr>
          <w:rFonts w:ascii="宋体" w:hAnsi="宋体" w:eastAsia="宋体" w:cs="宋体"/>
          <w:b/>
          <w:bCs/>
          <w:sz w:val="21"/>
          <w:szCs w:val="21"/>
        </w:rPr>
        <w:t>1、本企业的母公司情况</w:t>
      </w:r>
      <w:bookmarkEnd w:id="402"/>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母公司对本企业的表决权比例</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本企业的母公司情况的说明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本企业最终控制方是范庆伟家族。</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tbl>
      <w:tblPr>
        <w:tblStyle w:val="4"/>
        <w:tblW w:w="893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151"/>
        <w:gridCol w:w="2260"/>
        <w:gridCol w:w="2535"/>
        <w:gridCol w:w="198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trPr>
        <w:tc>
          <w:tcPr>
            <w:tcW w:w="21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1" w:after="0" w:afterAutospacing="1"/>
              <w:ind w:left="0" w:right="0"/>
              <w:jc w:val="center"/>
            </w:pPr>
            <w:r>
              <w:rPr>
                <w:rStyle w:val="6"/>
                <w:rFonts w:hint="eastAsia" w:ascii="宋体" w:hAnsi="宋体" w:eastAsia="宋体" w:cs="宋体"/>
                <w:sz w:val="18"/>
                <w:szCs w:val="18"/>
              </w:rPr>
              <w:t>本公司实际控制人</w:t>
            </w:r>
          </w:p>
        </w:tc>
        <w:tc>
          <w:tcPr>
            <w:tcW w:w="2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1" w:after="0" w:afterAutospacing="1"/>
              <w:ind w:left="0" w:right="0"/>
              <w:jc w:val="center"/>
            </w:pPr>
            <w:r>
              <w:rPr>
                <w:rStyle w:val="6"/>
                <w:rFonts w:hint="eastAsia" w:ascii="宋体" w:hAnsi="宋体" w:eastAsia="宋体" w:cs="宋体"/>
                <w:sz w:val="18"/>
                <w:szCs w:val="18"/>
              </w:rPr>
              <w:t>对本公司的持股比例（%）</w:t>
            </w:r>
          </w:p>
        </w:tc>
        <w:tc>
          <w:tcPr>
            <w:tcW w:w="25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1" w:after="0" w:afterAutospacing="1"/>
              <w:ind w:left="0" w:right="0"/>
              <w:jc w:val="center"/>
            </w:pPr>
            <w:r>
              <w:rPr>
                <w:rStyle w:val="6"/>
                <w:rFonts w:hint="eastAsia" w:ascii="宋体" w:hAnsi="宋体" w:eastAsia="宋体" w:cs="宋体"/>
                <w:sz w:val="18"/>
                <w:szCs w:val="18"/>
              </w:rPr>
              <w:t>对本公司的表决权比例（%）</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1" w:after="0" w:afterAutospacing="1"/>
              <w:ind w:left="0" w:right="0"/>
              <w:jc w:val="center"/>
            </w:pPr>
            <w:r>
              <w:rPr>
                <w:rStyle w:val="6"/>
                <w:rFonts w:hint="eastAsia" w:ascii="宋体" w:hAnsi="宋体" w:eastAsia="宋体" w:cs="宋体"/>
                <w:sz w:val="18"/>
                <w:szCs w:val="18"/>
              </w:rPr>
              <w:t>本公司最终控制方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trPr>
        <w:tc>
          <w:tcPr>
            <w:tcW w:w="21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left"/>
              <w:rPr>
                <w:rFonts w:hint="default" w:ascii="Times New Roman" w:hAnsi="Times New Roman" w:cs="Times New Roman"/>
                <w:sz w:val="21"/>
                <w:szCs w:val="21"/>
              </w:rPr>
            </w:pPr>
            <w:r>
              <w:rPr>
                <w:rFonts w:hint="eastAsia" w:ascii="宋体" w:hAnsi="宋体" w:eastAsia="宋体" w:cs="宋体"/>
                <w:sz w:val="18"/>
                <w:szCs w:val="18"/>
              </w:rPr>
              <w:t>范庆伟家族</w:t>
            </w:r>
          </w:p>
        </w:tc>
        <w:tc>
          <w:tcPr>
            <w:tcW w:w="226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25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right"/>
              <w:rPr>
                <w:rFonts w:hint="default" w:ascii="Times New Roman" w:hAnsi="Times New Roman" w:cs="Times New Roman"/>
                <w:sz w:val="21"/>
                <w:szCs w:val="21"/>
              </w:rPr>
            </w:pPr>
            <w:r>
              <w:rPr>
                <w:rFonts w:hint="eastAsia" w:ascii="宋体" w:hAnsi="宋体" w:eastAsia="宋体" w:cs="宋体"/>
                <w:sz w:val="18"/>
                <w:szCs w:val="18"/>
              </w:rPr>
              <w:t>64.73</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tcPr>
          <w:p>
            <w:pPr>
              <w:pStyle w:val="3"/>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宋体" w:hAnsi="宋体" w:eastAsia="宋体" w:cs="宋体"/>
                <w:sz w:val="18"/>
                <w:szCs w:val="18"/>
              </w:rPr>
              <w:t>范庆伟家族</w:t>
            </w:r>
          </w:p>
        </w:tc>
      </w:tr>
    </w:tbl>
    <w:p>
      <w:pPr>
        <w:keepNext/>
        <w:keepLines/>
        <w:spacing w:before="300" w:after="300" w:line="280" w:lineRule="exact"/>
        <w:jc w:val="left"/>
        <w:outlineLvl w:val="2"/>
        <w:rPr>
          <w:rFonts w:ascii="宋体" w:hAnsi="宋体" w:eastAsia="宋体" w:cs="宋体"/>
          <w:b/>
          <w:bCs/>
          <w:sz w:val="21"/>
          <w:szCs w:val="21"/>
        </w:rPr>
      </w:pPr>
      <w:bookmarkStart w:id="403" w:name="_Toc989292"/>
      <w:r>
        <w:rPr>
          <w:rFonts w:ascii="宋体" w:hAnsi="宋体" w:eastAsia="宋体" w:cs="宋体"/>
          <w:b/>
          <w:bCs/>
          <w:sz w:val="21"/>
          <w:szCs w:val="21"/>
        </w:rPr>
        <w:t>2、本企业的子公司情况</w:t>
      </w:r>
      <w:bookmarkEnd w:id="403"/>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本企业子公司的情况详见附注附注九、在其他主体中的权益。</w:t>
      </w:r>
    </w:p>
    <w:p>
      <w:pPr>
        <w:keepNext/>
        <w:keepLines/>
        <w:spacing w:before="300" w:after="300" w:line="280" w:lineRule="exact"/>
        <w:jc w:val="left"/>
        <w:outlineLvl w:val="2"/>
        <w:rPr>
          <w:rFonts w:ascii="宋体" w:hAnsi="宋体" w:eastAsia="宋体" w:cs="宋体"/>
          <w:b/>
          <w:bCs/>
          <w:sz w:val="21"/>
          <w:szCs w:val="21"/>
        </w:rPr>
      </w:pPr>
      <w:bookmarkStart w:id="404" w:name="_Toc989293"/>
      <w:r>
        <w:rPr>
          <w:rFonts w:ascii="宋体" w:hAnsi="宋体" w:eastAsia="宋体" w:cs="宋体"/>
          <w:b/>
          <w:bCs/>
          <w:sz w:val="21"/>
          <w:szCs w:val="21"/>
        </w:rPr>
        <w:t>3、本企业合营和联营企业情况</w:t>
      </w:r>
      <w:bookmarkEnd w:id="404"/>
    </w:p>
    <w:p>
      <w:pPr>
        <w:spacing w:before="40" w:after="40" w:line="240" w:lineRule="exact"/>
        <w:jc w:val="left"/>
        <w:rPr>
          <w:rFonts w:ascii="宋体" w:hAnsi="宋体" w:eastAsia="宋体" w:cs="宋体"/>
          <w:sz w:val="18"/>
          <w:szCs w:val="18"/>
        </w:rPr>
      </w:pPr>
      <w:r>
        <w:rPr>
          <w:rFonts w:ascii="宋体" w:hAnsi="宋体" w:eastAsia="宋体" w:cs="宋体"/>
          <w:sz w:val="18"/>
          <w:szCs w:val="18"/>
        </w:rPr>
        <w:t>本企业重要的合营或联营企业详见附注。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本期与本公司发生关联方交易，或前期与本公司发生关联方交易形成余额的其他合营或联营企业情况如下：</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与本企业关系</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5" w:name="_Toc989294"/>
      <w:r>
        <w:rPr>
          <w:rFonts w:ascii="宋体" w:hAnsi="宋体" w:eastAsia="宋体" w:cs="宋体"/>
          <w:b/>
          <w:bCs/>
          <w:sz w:val="21"/>
          <w:szCs w:val="21"/>
        </w:rPr>
        <w:t>4、其他关联方情况</w:t>
      </w:r>
      <w:bookmarkEnd w:id="405"/>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公司股东、实际控制人家族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持有公司5%以上股份股东、实际控制人控制的公司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青岛天海峰商贸有限公司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公司高管迟娜娜配偶李侃控制的公司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昌邑恒丽非织造布有限公司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董事及总经理李会君之兄李会贤担任董事的公司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兰州鑫驰商贸有限公司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董事迟娜娜之兄嫂金巧控制的公司</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06" w:name="_Toc989295"/>
      <w:r>
        <w:rPr>
          <w:rFonts w:ascii="宋体" w:hAnsi="宋体" w:eastAsia="宋体" w:cs="宋体"/>
          <w:b/>
          <w:bCs/>
          <w:sz w:val="21"/>
          <w:szCs w:val="21"/>
        </w:rPr>
        <w:t>5、关联交易情况</w:t>
      </w:r>
      <w:bookmarkEnd w:id="406"/>
    </w:p>
    <w:p>
      <w:pPr>
        <w:keepNext/>
        <w:keepLines/>
        <w:spacing w:before="300" w:after="300" w:line="280" w:lineRule="exact"/>
        <w:jc w:val="left"/>
        <w:outlineLvl w:val="3"/>
        <w:rPr>
          <w:rFonts w:ascii="宋体" w:hAnsi="宋体" w:eastAsia="宋体" w:cs="宋体"/>
          <w:b/>
          <w:bCs/>
          <w:sz w:val="21"/>
          <w:szCs w:val="21"/>
        </w:rPr>
      </w:pPr>
      <w:bookmarkStart w:id="407" w:name="_Toc989296"/>
      <w:r>
        <w:rPr>
          <w:rFonts w:ascii="宋体" w:hAnsi="宋体" w:eastAsia="宋体" w:cs="宋体"/>
          <w:b/>
          <w:bCs/>
          <w:sz w:val="21"/>
          <w:szCs w:val="21"/>
        </w:rPr>
        <w:t>（1） 购销商品、提供和接受劳务的关联交易</w:t>
      </w:r>
      <w:bookmarkEnd w:id="407"/>
    </w:p>
    <w:p>
      <w:pPr>
        <w:spacing w:before="40" w:after="40" w:line="240" w:lineRule="exact"/>
        <w:jc w:val="left"/>
        <w:rPr>
          <w:rFonts w:ascii="宋体" w:hAnsi="宋体" w:eastAsia="宋体" w:cs="宋体"/>
          <w:sz w:val="18"/>
          <w:szCs w:val="18"/>
        </w:rPr>
      </w:pPr>
      <w:r>
        <w:rPr>
          <w:rFonts w:ascii="宋体" w:hAnsi="宋体" w:eastAsia="宋体" w:cs="宋体"/>
          <w:sz w:val="18"/>
          <w:szCs w:val="18"/>
        </w:rPr>
        <w:t>采购商品/接受劳务情况表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出售商品/提供劳务情况表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购销商品、提供和接受劳务的关联交易说明</w:t>
      </w:r>
    </w:p>
    <w:p>
      <w:pPr>
        <w:keepNext/>
        <w:keepLines/>
        <w:spacing w:before="300" w:after="300" w:line="280" w:lineRule="exact"/>
        <w:jc w:val="left"/>
        <w:outlineLvl w:val="3"/>
        <w:rPr>
          <w:rFonts w:ascii="宋体" w:hAnsi="宋体" w:eastAsia="宋体" w:cs="宋体"/>
          <w:b/>
          <w:bCs/>
          <w:sz w:val="21"/>
          <w:szCs w:val="21"/>
        </w:rPr>
      </w:pPr>
      <w:bookmarkStart w:id="408" w:name="_Toc989297"/>
      <w:r>
        <w:rPr>
          <w:rFonts w:ascii="宋体" w:hAnsi="宋体" w:eastAsia="宋体" w:cs="宋体"/>
          <w:b/>
          <w:bCs/>
          <w:sz w:val="21"/>
          <w:szCs w:val="21"/>
        </w:rPr>
        <w:t>（2） 关联受托管理/承包及委托管理/出包情况</w:t>
      </w:r>
      <w:bookmarkEnd w:id="408"/>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本公司受托管理/承包情况表：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本期确认的托管收益/承包收益</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关联托管/承包情况说明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本公司委托管理/出包情况表：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本期确认的托管费/出包费</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关联管理/出包情况说明</w:t>
      </w:r>
    </w:p>
    <w:p>
      <w:pPr>
        <w:keepNext/>
        <w:keepLines/>
        <w:spacing w:before="300" w:after="300" w:line="280" w:lineRule="exact"/>
        <w:jc w:val="left"/>
        <w:outlineLvl w:val="3"/>
        <w:rPr>
          <w:rFonts w:ascii="宋体" w:hAnsi="宋体" w:eastAsia="宋体" w:cs="宋体"/>
          <w:b/>
          <w:bCs/>
          <w:sz w:val="21"/>
          <w:szCs w:val="21"/>
        </w:rPr>
      </w:pPr>
      <w:bookmarkStart w:id="409" w:name="_Toc989298"/>
      <w:r>
        <w:rPr>
          <w:rFonts w:ascii="宋体" w:hAnsi="宋体" w:eastAsia="宋体" w:cs="宋体"/>
          <w:b/>
          <w:bCs/>
          <w:sz w:val="21"/>
          <w:szCs w:val="21"/>
        </w:rPr>
        <w:t>（3） 关联租赁情况</w:t>
      </w:r>
      <w:bookmarkEnd w:id="409"/>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本公司作为出租方：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上期确认的租赁收入</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本公司作为承租方：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vMerge w:val="continue"/>
            <w:tcBorders>
              <w:top w:val="single" w:color="auto" w:sz="2" w:space="0"/>
              <w:left w:val="single" w:color="auto" w:sz="2" w:space="0"/>
              <w:bottom w:val="single" w:color="auto" w:sz="2" w:space="0"/>
              <w:right w:val="single" w:color="auto" w:sz="2" w:space="0"/>
            </w:tcBorders>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关联租赁情况说明</w:t>
      </w:r>
    </w:p>
    <w:p>
      <w:pPr>
        <w:keepNext/>
        <w:keepLines/>
        <w:spacing w:before="300" w:after="300" w:line="280" w:lineRule="exact"/>
        <w:jc w:val="left"/>
        <w:outlineLvl w:val="3"/>
        <w:rPr>
          <w:rFonts w:ascii="宋体" w:hAnsi="宋体" w:eastAsia="宋体" w:cs="宋体"/>
          <w:b/>
          <w:bCs/>
          <w:sz w:val="21"/>
          <w:szCs w:val="21"/>
        </w:rPr>
      </w:pPr>
      <w:bookmarkStart w:id="410" w:name="_Toc989299"/>
      <w:r>
        <w:rPr>
          <w:rFonts w:ascii="宋体" w:hAnsi="宋体" w:eastAsia="宋体" w:cs="宋体"/>
          <w:b/>
          <w:bCs/>
          <w:sz w:val="21"/>
          <w:szCs w:val="21"/>
        </w:rPr>
        <w:t>（4） 关联担保情况</w:t>
      </w:r>
      <w:bookmarkEnd w:id="410"/>
    </w:p>
    <w:p>
      <w:pPr>
        <w:spacing w:before="40" w:after="40" w:line="240" w:lineRule="exact"/>
        <w:jc w:val="left"/>
        <w:rPr>
          <w:rFonts w:ascii="宋体" w:hAnsi="宋体" w:eastAsia="宋体" w:cs="宋体"/>
          <w:sz w:val="18"/>
          <w:szCs w:val="18"/>
        </w:rPr>
      </w:pPr>
      <w:r>
        <w:rPr>
          <w:rFonts w:ascii="宋体" w:hAnsi="宋体" w:eastAsia="宋体" w:cs="宋体"/>
          <w:sz w:val="18"/>
          <w:szCs w:val="18"/>
        </w:rPr>
        <w:t>本公司作为担保方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本公司作为被担保方</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担保是否已经履行完毕</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关联担保情况说明</w:t>
      </w:r>
    </w:p>
    <w:p>
      <w:pPr>
        <w:keepNext/>
        <w:keepLines/>
        <w:spacing w:before="300" w:after="300" w:line="280" w:lineRule="exact"/>
        <w:jc w:val="left"/>
        <w:outlineLvl w:val="3"/>
        <w:rPr>
          <w:rFonts w:ascii="宋体" w:hAnsi="宋体" w:eastAsia="宋体" w:cs="宋体"/>
          <w:b/>
          <w:bCs/>
          <w:sz w:val="21"/>
          <w:szCs w:val="21"/>
        </w:rPr>
      </w:pPr>
      <w:bookmarkStart w:id="411" w:name="_Toc989300"/>
      <w:r>
        <w:rPr>
          <w:rFonts w:ascii="宋体" w:hAnsi="宋体" w:eastAsia="宋体" w:cs="宋体"/>
          <w:b/>
          <w:bCs/>
          <w:sz w:val="21"/>
          <w:szCs w:val="21"/>
        </w:rPr>
        <w:t>（5） 关联方资金拆借</w:t>
      </w:r>
      <w:bookmarkEnd w:id="41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拆出</w:t>
            </w:r>
          </w:p>
        </w:tc>
      </w:tr>
    </w:tbl>
    <w:p>
      <w:pPr>
        <w:keepNext/>
        <w:keepLines/>
        <w:spacing w:before="300" w:after="300" w:line="280" w:lineRule="exact"/>
        <w:jc w:val="left"/>
        <w:outlineLvl w:val="3"/>
        <w:rPr>
          <w:rFonts w:ascii="宋体" w:hAnsi="宋体" w:eastAsia="宋体" w:cs="宋体"/>
          <w:b/>
          <w:bCs/>
          <w:sz w:val="21"/>
          <w:szCs w:val="21"/>
        </w:rPr>
      </w:pPr>
      <w:bookmarkStart w:id="412" w:name="_Toc989301"/>
      <w:r>
        <w:rPr>
          <w:rFonts w:ascii="宋体" w:hAnsi="宋体" w:eastAsia="宋体" w:cs="宋体"/>
          <w:b/>
          <w:bCs/>
          <w:sz w:val="21"/>
          <w:szCs w:val="21"/>
        </w:rPr>
        <w:t>（6） 关联方资产转让、债务重组情况</w:t>
      </w:r>
      <w:bookmarkEnd w:id="41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13" w:name="_Toc989302"/>
      <w:r>
        <w:rPr>
          <w:rFonts w:ascii="宋体" w:hAnsi="宋体" w:eastAsia="宋体" w:cs="宋体"/>
          <w:b/>
          <w:bCs/>
          <w:sz w:val="21"/>
          <w:szCs w:val="21"/>
        </w:rPr>
        <w:t>（7） 关键管理人员报酬</w:t>
      </w:r>
      <w:bookmarkEnd w:id="41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bl>
    <w:p>
      <w:pPr>
        <w:keepNext/>
        <w:keepLines/>
        <w:spacing w:before="300" w:after="300" w:line="280" w:lineRule="exact"/>
        <w:jc w:val="left"/>
        <w:outlineLvl w:val="3"/>
        <w:rPr>
          <w:rFonts w:ascii="宋体" w:hAnsi="宋体" w:eastAsia="宋体" w:cs="宋体"/>
          <w:b/>
          <w:bCs/>
          <w:sz w:val="21"/>
          <w:szCs w:val="21"/>
        </w:rPr>
      </w:pPr>
      <w:bookmarkStart w:id="414" w:name="_Toc989303"/>
      <w:r>
        <w:rPr>
          <w:rFonts w:ascii="宋体" w:hAnsi="宋体" w:eastAsia="宋体" w:cs="宋体"/>
          <w:b/>
          <w:bCs/>
          <w:sz w:val="21"/>
          <w:szCs w:val="21"/>
        </w:rPr>
        <w:t>（8） 其他关联交易</w:t>
      </w:r>
      <w:bookmarkEnd w:id="414"/>
    </w:p>
    <w:p>
      <w:pPr>
        <w:keepNext/>
        <w:keepLines/>
        <w:spacing w:before="300" w:after="300" w:line="280" w:lineRule="exact"/>
        <w:jc w:val="left"/>
        <w:outlineLvl w:val="2"/>
        <w:rPr>
          <w:rFonts w:ascii="宋体" w:hAnsi="宋体" w:eastAsia="宋体" w:cs="宋体"/>
          <w:b/>
          <w:bCs/>
          <w:sz w:val="21"/>
          <w:szCs w:val="21"/>
        </w:rPr>
      </w:pPr>
      <w:bookmarkStart w:id="415" w:name="_Toc989304"/>
      <w:r>
        <w:rPr>
          <w:rFonts w:ascii="宋体" w:hAnsi="宋体" w:eastAsia="宋体" w:cs="宋体"/>
          <w:b/>
          <w:bCs/>
          <w:sz w:val="21"/>
          <w:szCs w:val="21"/>
        </w:rPr>
        <w:t>6、关联方应收应付款项</w:t>
      </w:r>
      <w:bookmarkEnd w:id="415"/>
    </w:p>
    <w:p>
      <w:pPr>
        <w:keepNext/>
        <w:keepLines/>
        <w:spacing w:before="300" w:after="300" w:line="280" w:lineRule="exact"/>
        <w:jc w:val="left"/>
        <w:outlineLvl w:val="3"/>
        <w:rPr>
          <w:rFonts w:ascii="宋体" w:hAnsi="宋体" w:eastAsia="宋体" w:cs="宋体"/>
          <w:b/>
          <w:bCs/>
          <w:sz w:val="21"/>
          <w:szCs w:val="21"/>
        </w:rPr>
      </w:pPr>
      <w:bookmarkStart w:id="416" w:name="_Toc989305"/>
      <w:r>
        <w:rPr>
          <w:rFonts w:ascii="宋体" w:hAnsi="宋体" w:eastAsia="宋体" w:cs="宋体"/>
          <w:b/>
          <w:bCs/>
          <w:sz w:val="21"/>
          <w:szCs w:val="21"/>
        </w:rPr>
        <w:t>（1） 应收项目</w:t>
      </w:r>
      <w:bookmarkEnd w:id="41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r>
    </w:tbl>
    <w:p>
      <w:pPr>
        <w:keepNext/>
        <w:keepLines/>
        <w:spacing w:before="300" w:after="300" w:line="280" w:lineRule="exact"/>
        <w:jc w:val="left"/>
        <w:outlineLvl w:val="3"/>
        <w:rPr>
          <w:rFonts w:ascii="宋体" w:hAnsi="宋体" w:eastAsia="宋体" w:cs="宋体"/>
          <w:b/>
          <w:bCs/>
          <w:sz w:val="21"/>
          <w:szCs w:val="21"/>
        </w:rPr>
      </w:pPr>
      <w:bookmarkStart w:id="417" w:name="_Toc989306"/>
      <w:r>
        <w:rPr>
          <w:rFonts w:ascii="宋体" w:hAnsi="宋体" w:eastAsia="宋体" w:cs="宋体"/>
          <w:b/>
          <w:bCs/>
          <w:sz w:val="21"/>
          <w:szCs w:val="21"/>
        </w:rPr>
        <w:t>（2） 应付项目</w:t>
      </w:r>
      <w:bookmarkEnd w:id="41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bl>
    <w:p>
      <w:pPr>
        <w:keepNext/>
        <w:keepLines/>
        <w:spacing w:before="300" w:after="300" w:line="280" w:lineRule="exact"/>
        <w:jc w:val="left"/>
        <w:outlineLvl w:val="2"/>
        <w:rPr>
          <w:rFonts w:ascii="宋体" w:hAnsi="宋体" w:eastAsia="宋体" w:cs="宋体"/>
          <w:b/>
          <w:bCs/>
          <w:sz w:val="21"/>
          <w:szCs w:val="21"/>
        </w:rPr>
      </w:pPr>
      <w:bookmarkStart w:id="418" w:name="_Toc989307"/>
      <w:r>
        <w:rPr>
          <w:rFonts w:ascii="宋体" w:hAnsi="宋体" w:eastAsia="宋体" w:cs="宋体"/>
          <w:b/>
          <w:bCs/>
          <w:sz w:val="21"/>
          <w:szCs w:val="21"/>
        </w:rPr>
        <w:t>7、关联方承诺</w:t>
      </w:r>
      <w:bookmarkEnd w:id="418"/>
    </w:p>
    <w:p>
      <w:pPr>
        <w:keepNext/>
        <w:keepLines/>
        <w:spacing w:before="300" w:after="300" w:line="280" w:lineRule="exact"/>
        <w:jc w:val="left"/>
        <w:outlineLvl w:val="2"/>
        <w:rPr>
          <w:rFonts w:ascii="宋体" w:hAnsi="宋体" w:eastAsia="宋体" w:cs="宋体"/>
          <w:b/>
          <w:bCs/>
          <w:sz w:val="21"/>
          <w:szCs w:val="21"/>
        </w:rPr>
      </w:pPr>
      <w:bookmarkStart w:id="419" w:name="_Toc989308"/>
      <w:r>
        <w:rPr>
          <w:rFonts w:ascii="宋体" w:hAnsi="宋体" w:eastAsia="宋体" w:cs="宋体"/>
          <w:b/>
          <w:bCs/>
          <w:sz w:val="21"/>
          <w:szCs w:val="21"/>
        </w:rPr>
        <w:t>8、其他</w:t>
      </w:r>
      <w:bookmarkEnd w:id="419"/>
    </w:p>
    <w:p>
      <w:pPr>
        <w:keepNext/>
        <w:keepLines/>
        <w:spacing w:before="300" w:after="300" w:line="320" w:lineRule="exact"/>
        <w:jc w:val="left"/>
        <w:outlineLvl w:val="1"/>
        <w:rPr>
          <w:rFonts w:ascii="宋体" w:hAnsi="宋体" w:eastAsia="宋体" w:cs="宋体"/>
          <w:b/>
          <w:bCs/>
          <w:sz w:val="24"/>
          <w:szCs w:val="24"/>
        </w:rPr>
      </w:pPr>
      <w:bookmarkStart w:id="420" w:name="_Toc989309"/>
      <w:r>
        <w:rPr>
          <w:rFonts w:ascii="宋体" w:hAnsi="宋体" w:eastAsia="宋体" w:cs="宋体"/>
          <w:b/>
          <w:bCs/>
          <w:sz w:val="24"/>
          <w:szCs w:val="24"/>
        </w:rPr>
        <w:t>十三、股份支付</w:t>
      </w:r>
      <w:bookmarkEnd w:id="420"/>
    </w:p>
    <w:p>
      <w:pPr>
        <w:keepNext/>
        <w:keepLines/>
        <w:spacing w:before="300" w:after="300" w:line="280" w:lineRule="exact"/>
        <w:jc w:val="left"/>
        <w:outlineLvl w:val="2"/>
        <w:rPr>
          <w:rFonts w:ascii="宋体" w:hAnsi="宋体" w:eastAsia="宋体" w:cs="宋体"/>
          <w:b/>
          <w:bCs/>
          <w:sz w:val="21"/>
          <w:szCs w:val="21"/>
        </w:rPr>
      </w:pPr>
      <w:bookmarkStart w:id="421" w:name="_Toc989310"/>
      <w:r>
        <w:rPr>
          <w:rFonts w:ascii="宋体" w:hAnsi="宋体" w:eastAsia="宋体" w:cs="宋体"/>
          <w:b/>
          <w:bCs/>
          <w:sz w:val="21"/>
          <w:szCs w:val="21"/>
        </w:rPr>
        <w:t>1、股份支付总体情况</w:t>
      </w:r>
      <w:bookmarkEnd w:id="421"/>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公司期末发行在外的其他权益工具行权价格的范围和合同剩余期限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pStyle w:val="3"/>
        <w:keepNext w:val="0"/>
        <w:keepLines w:val="0"/>
        <w:widowControl/>
        <w:suppressLineNumbers w:val="0"/>
        <w:spacing w:before="150" w:beforeAutospacing="0" w:after="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注： 2021年9月28日，公司分别召开了第四届董事会第五次会议，审议通过了《关于〈公司2021年限制性股票激励计划（草案）及其摘要〉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keepNext/>
        <w:keepLines/>
        <w:spacing w:before="300" w:after="300" w:line="280" w:lineRule="exact"/>
        <w:jc w:val="left"/>
        <w:outlineLvl w:val="2"/>
        <w:rPr>
          <w:rFonts w:ascii="宋体" w:hAnsi="宋体" w:eastAsia="宋体" w:cs="宋体"/>
          <w:b/>
          <w:bCs/>
          <w:sz w:val="21"/>
          <w:szCs w:val="21"/>
        </w:rPr>
      </w:pPr>
      <w:bookmarkStart w:id="422" w:name="_Toc989311"/>
      <w:r>
        <w:rPr>
          <w:rFonts w:ascii="宋体" w:hAnsi="宋体" w:eastAsia="宋体" w:cs="宋体"/>
          <w:b/>
          <w:bCs/>
          <w:sz w:val="21"/>
          <w:szCs w:val="21"/>
        </w:rPr>
        <w:t>2、以权益结算的股份支付情况</w:t>
      </w:r>
      <w:bookmarkEnd w:id="422"/>
    </w:p>
    <w:p>
      <w:pPr>
        <w:spacing w:before="40" w:after="4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授予日股票市场价格与授予价格之差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在职激励对象对应的权益工具、2021年度公司业绩及未来年度公司业绩的预测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本期估计与上期估计有重大差异的原因</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4,220,533.36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3,165,400.02</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23" w:name="_Toc989312"/>
      <w:r>
        <w:rPr>
          <w:rFonts w:ascii="宋体" w:hAnsi="宋体" w:eastAsia="宋体" w:cs="宋体"/>
          <w:b/>
          <w:bCs/>
          <w:sz w:val="21"/>
          <w:szCs w:val="21"/>
        </w:rPr>
        <w:t>3、以现金结算的股份支付情况</w:t>
      </w:r>
      <w:bookmarkEnd w:id="423"/>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24" w:name="_Toc989313"/>
      <w:r>
        <w:rPr>
          <w:rFonts w:ascii="宋体" w:hAnsi="宋体" w:eastAsia="宋体" w:cs="宋体"/>
          <w:b/>
          <w:bCs/>
          <w:sz w:val="21"/>
          <w:szCs w:val="21"/>
        </w:rPr>
        <w:t>4、股份支付的修改、终止情况</w:t>
      </w:r>
      <w:bookmarkEnd w:id="424"/>
    </w:p>
    <w:p>
      <w:pPr>
        <w:keepNext/>
        <w:keepLines/>
        <w:spacing w:before="300" w:after="300" w:line="280" w:lineRule="exact"/>
        <w:jc w:val="left"/>
        <w:outlineLvl w:val="2"/>
        <w:rPr>
          <w:rFonts w:ascii="宋体" w:hAnsi="宋体" w:eastAsia="宋体" w:cs="宋体"/>
          <w:b/>
          <w:bCs/>
          <w:sz w:val="21"/>
          <w:szCs w:val="21"/>
        </w:rPr>
      </w:pPr>
      <w:bookmarkStart w:id="425" w:name="_Toc989314"/>
      <w:r>
        <w:rPr>
          <w:rFonts w:ascii="宋体" w:hAnsi="宋体" w:eastAsia="宋体" w:cs="宋体"/>
          <w:b/>
          <w:bCs/>
          <w:sz w:val="21"/>
          <w:szCs w:val="21"/>
        </w:rPr>
        <w:t xml:space="preserve">5、其他 </w:t>
      </w:r>
      <w:bookmarkEnd w:id="425"/>
    </w:p>
    <w:p>
      <w:pPr>
        <w:keepNext/>
        <w:keepLines/>
        <w:spacing w:before="300" w:after="300" w:line="320" w:lineRule="exact"/>
        <w:jc w:val="left"/>
        <w:outlineLvl w:val="1"/>
        <w:rPr>
          <w:rFonts w:ascii="宋体" w:hAnsi="宋体" w:eastAsia="宋体" w:cs="宋体"/>
          <w:b/>
          <w:bCs/>
          <w:sz w:val="24"/>
          <w:szCs w:val="24"/>
        </w:rPr>
      </w:pPr>
      <w:bookmarkStart w:id="426" w:name="_Toc989315"/>
      <w:r>
        <w:rPr>
          <w:rFonts w:ascii="宋体" w:hAnsi="宋体" w:eastAsia="宋体" w:cs="宋体"/>
          <w:b/>
          <w:bCs/>
          <w:sz w:val="24"/>
          <w:szCs w:val="24"/>
        </w:rPr>
        <w:t>十四、承诺及或有事项</w:t>
      </w:r>
      <w:bookmarkEnd w:id="426"/>
    </w:p>
    <w:p>
      <w:pPr>
        <w:keepNext/>
        <w:keepLines/>
        <w:spacing w:before="300" w:after="300" w:line="280" w:lineRule="exact"/>
        <w:jc w:val="left"/>
        <w:outlineLvl w:val="2"/>
        <w:rPr>
          <w:rFonts w:ascii="宋体" w:hAnsi="宋体" w:eastAsia="宋体" w:cs="宋体"/>
          <w:b/>
          <w:bCs/>
          <w:sz w:val="21"/>
          <w:szCs w:val="21"/>
        </w:rPr>
      </w:pPr>
      <w:bookmarkStart w:id="427" w:name="_Toc989316"/>
      <w:r>
        <w:rPr>
          <w:rFonts w:ascii="宋体" w:hAnsi="宋体" w:eastAsia="宋体" w:cs="宋体"/>
          <w:b/>
          <w:bCs/>
          <w:sz w:val="21"/>
          <w:szCs w:val="21"/>
        </w:rPr>
        <w:t>1、重要承诺事项</w:t>
      </w:r>
      <w:bookmarkEnd w:id="427"/>
    </w:p>
    <w:p>
      <w:pPr>
        <w:spacing w:before="100" w:after="100" w:line="240" w:lineRule="exact"/>
        <w:jc w:val="left"/>
        <w:rPr>
          <w:rFonts w:ascii="宋体" w:hAnsi="宋体" w:eastAsia="宋体" w:cs="宋体"/>
          <w:sz w:val="18"/>
          <w:szCs w:val="18"/>
        </w:rPr>
      </w:pPr>
      <w:r>
        <w:rPr>
          <w:rFonts w:ascii="宋体" w:hAnsi="宋体" w:eastAsia="宋体" w:cs="宋体"/>
          <w:sz w:val="18"/>
          <w:szCs w:val="18"/>
        </w:rPr>
        <w:t>资产负债表日存在的重要承诺</w:t>
      </w:r>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截至2022年6月30日，公司无影响本财务报表阅读和理解的重大承诺事项。</w:t>
      </w:r>
    </w:p>
    <w:p>
      <w:pPr>
        <w:keepNext/>
        <w:keepLines/>
        <w:spacing w:before="300" w:after="300" w:line="280" w:lineRule="exact"/>
        <w:jc w:val="left"/>
        <w:outlineLvl w:val="2"/>
        <w:rPr>
          <w:rFonts w:ascii="宋体" w:hAnsi="宋体" w:eastAsia="宋体" w:cs="宋体"/>
          <w:b/>
          <w:bCs/>
          <w:sz w:val="21"/>
          <w:szCs w:val="21"/>
        </w:rPr>
      </w:pPr>
      <w:bookmarkStart w:id="428" w:name="_Toc989317"/>
      <w:r>
        <w:rPr>
          <w:rFonts w:ascii="宋体" w:hAnsi="宋体" w:eastAsia="宋体" w:cs="宋体"/>
          <w:b/>
          <w:bCs/>
          <w:sz w:val="21"/>
          <w:szCs w:val="21"/>
        </w:rPr>
        <w:t>2、或有事项</w:t>
      </w:r>
      <w:bookmarkEnd w:id="428"/>
    </w:p>
    <w:p>
      <w:pPr>
        <w:keepNext/>
        <w:keepLines/>
        <w:spacing w:before="300" w:after="300" w:line="280" w:lineRule="exact"/>
        <w:jc w:val="left"/>
        <w:outlineLvl w:val="3"/>
        <w:rPr>
          <w:rFonts w:ascii="宋体" w:hAnsi="宋体" w:eastAsia="宋体" w:cs="宋体"/>
          <w:b/>
          <w:bCs/>
          <w:sz w:val="21"/>
          <w:szCs w:val="21"/>
        </w:rPr>
      </w:pPr>
      <w:bookmarkStart w:id="429" w:name="_Toc989318"/>
      <w:r>
        <w:rPr>
          <w:rFonts w:ascii="宋体" w:hAnsi="宋体" w:eastAsia="宋体" w:cs="宋体"/>
          <w:b/>
          <w:bCs/>
          <w:sz w:val="21"/>
          <w:szCs w:val="21"/>
        </w:rPr>
        <w:t>（1） 资产负债表日存在的重要或有事项</w:t>
      </w:r>
      <w:bookmarkEnd w:id="429"/>
    </w:p>
    <w:p>
      <w:pPr>
        <w:pStyle w:val="3"/>
        <w:keepNext w:val="0"/>
        <w:keepLines w:val="0"/>
        <w:widowControl/>
        <w:suppressLineNumbers w:val="0"/>
        <w:spacing w:before="150" w:beforeAutospacing="0" w:after="150" w:afterAutospacing="0" w:line="360" w:lineRule="auto"/>
        <w:ind w:left="0" w:right="0" w:firstLine="436"/>
        <w:jc w:val="both"/>
        <w:rPr>
          <w:rFonts w:hint="default" w:ascii="Times New Roman" w:hAnsi="Times New Roman" w:cs="Times New Roman"/>
          <w:sz w:val="21"/>
          <w:szCs w:val="21"/>
        </w:rPr>
      </w:pPr>
      <w:r>
        <w:rPr>
          <w:rFonts w:hint="eastAsia" w:ascii="宋体" w:hAnsi="宋体" w:eastAsia="宋体" w:cs="宋体"/>
          <w:sz w:val="21"/>
          <w:szCs w:val="21"/>
        </w:rPr>
        <w:t>截至2022年6月30日，公司不存在需要披露的重大或有事项。</w:t>
      </w:r>
    </w:p>
    <w:p>
      <w:pPr>
        <w:keepNext/>
        <w:keepLines/>
        <w:spacing w:before="300" w:after="300" w:line="280" w:lineRule="exact"/>
        <w:jc w:val="left"/>
        <w:outlineLvl w:val="3"/>
        <w:rPr>
          <w:rFonts w:ascii="宋体" w:hAnsi="宋体" w:eastAsia="宋体" w:cs="宋体"/>
          <w:b/>
          <w:bCs/>
          <w:sz w:val="21"/>
          <w:szCs w:val="21"/>
        </w:rPr>
      </w:pPr>
      <w:bookmarkStart w:id="430" w:name="_Toc989319"/>
      <w:r>
        <w:rPr>
          <w:rFonts w:ascii="宋体" w:hAnsi="宋体" w:eastAsia="宋体" w:cs="宋体"/>
          <w:b/>
          <w:bCs/>
          <w:sz w:val="21"/>
          <w:szCs w:val="21"/>
        </w:rPr>
        <w:t>（2） 公司没有需要披露的重要或有事项，也应予以说明</w:t>
      </w:r>
      <w:bookmarkEnd w:id="430"/>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公司不存在需要披露的重要或有事项。</w:t>
      </w:r>
    </w:p>
    <w:p>
      <w:pPr>
        <w:keepNext/>
        <w:keepLines/>
        <w:spacing w:before="300" w:after="300" w:line="280" w:lineRule="exact"/>
        <w:jc w:val="left"/>
        <w:outlineLvl w:val="2"/>
        <w:rPr>
          <w:rFonts w:ascii="宋体" w:hAnsi="宋体" w:eastAsia="宋体" w:cs="宋体"/>
          <w:b/>
          <w:bCs/>
          <w:sz w:val="21"/>
          <w:szCs w:val="21"/>
        </w:rPr>
      </w:pPr>
      <w:bookmarkStart w:id="431" w:name="_Toc989320"/>
      <w:r>
        <w:rPr>
          <w:rFonts w:ascii="宋体" w:hAnsi="宋体" w:eastAsia="宋体" w:cs="宋体"/>
          <w:b/>
          <w:bCs/>
          <w:sz w:val="21"/>
          <w:szCs w:val="21"/>
        </w:rPr>
        <w:t>3、其他</w:t>
      </w:r>
      <w:bookmarkEnd w:id="431"/>
    </w:p>
    <w:p>
      <w:pPr>
        <w:keepNext/>
        <w:keepLines/>
        <w:spacing w:before="300" w:after="300" w:line="320" w:lineRule="exact"/>
        <w:jc w:val="left"/>
        <w:outlineLvl w:val="1"/>
        <w:rPr>
          <w:rFonts w:ascii="宋体" w:hAnsi="宋体" w:eastAsia="宋体" w:cs="宋体"/>
          <w:b/>
          <w:bCs/>
          <w:sz w:val="24"/>
          <w:szCs w:val="24"/>
        </w:rPr>
      </w:pPr>
      <w:bookmarkStart w:id="432" w:name="_Toc989321"/>
      <w:r>
        <w:rPr>
          <w:rFonts w:ascii="宋体" w:hAnsi="宋体" w:eastAsia="宋体" w:cs="宋体"/>
          <w:b/>
          <w:bCs/>
          <w:sz w:val="24"/>
          <w:szCs w:val="24"/>
        </w:rPr>
        <w:t>十五、资产负债表日后事项</w:t>
      </w:r>
      <w:bookmarkEnd w:id="432"/>
    </w:p>
    <w:p>
      <w:pPr>
        <w:keepNext/>
        <w:keepLines/>
        <w:spacing w:before="300" w:after="300" w:line="280" w:lineRule="exact"/>
        <w:jc w:val="left"/>
        <w:outlineLvl w:val="2"/>
        <w:rPr>
          <w:rFonts w:ascii="宋体" w:hAnsi="宋体" w:eastAsia="宋体" w:cs="宋体"/>
          <w:b/>
          <w:bCs/>
          <w:sz w:val="21"/>
          <w:szCs w:val="21"/>
        </w:rPr>
      </w:pPr>
      <w:bookmarkStart w:id="433" w:name="_Toc989322"/>
      <w:r>
        <w:rPr>
          <w:rFonts w:ascii="宋体" w:hAnsi="宋体" w:eastAsia="宋体" w:cs="宋体"/>
          <w:b/>
          <w:bCs/>
          <w:sz w:val="21"/>
          <w:szCs w:val="21"/>
        </w:rPr>
        <w:t>1、重要的非调整事项</w:t>
      </w:r>
      <w:bookmarkEnd w:id="43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无法估计影响数的原因</w:t>
            </w:r>
          </w:p>
        </w:tc>
      </w:tr>
    </w:tbl>
    <w:p>
      <w:pPr>
        <w:keepNext/>
        <w:keepLines/>
        <w:spacing w:before="300" w:after="300" w:line="280" w:lineRule="exact"/>
        <w:jc w:val="left"/>
        <w:outlineLvl w:val="2"/>
        <w:rPr>
          <w:rFonts w:ascii="宋体" w:hAnsi="宋体" w:eastAsia="宋体" w:cs="宋体"/>
          <w:b/>
          <w:bCs/>
          <w:sz w:val="21"/>
          <w:szCs w:val="21"/>
        </w:rPr>
      </w:pPr>
      <w:bookmarkStart w:id="434" w:name="_Toc989323"/>
      <w:r>
        <w:rPr>
          <w:rFonts w:ascii="宋体" w:hAnsi="宋体" w:eastAsia="宋体" w:cs="宋体"/>
          <w:b/>
          <w:bCs/>
          <w:sz w:val="21"/>
          <w:szCs w:val="21"/>
        </w:rPr>
        <w:t>2、利润分配情况</w:t>
      </w:r>
      <w:bookmarkEnd w:id="43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p>
      <w:pPr>
        <w:keepNext/>
        <w:keepLines/>
        <w:spacing w:before="300" w:after="300" w:line="280" w:lineRule="exact"/>
        <w:jc w:val="left"/>
        <w:outlineLvl w:val="2"/>
        <w:rPr>
          <w:rFonts w:ascii="宋体" w:hAnsi="宋体" w:eastAsia="宋体" w:cs="宋体"/>
          <w:b/>
          <w:bCs/>
          <w:sz w:val="21"/>
          <w:szCs w:val="21"/>
        </w:rPr>
      </w:pPr>
      <w:bookmarkStart w:id="435" w:name="_Toc989324"/>
      <w:r>
        <w:rPr>
          <w:rFonts w:ascii="宋体" w:hAnsi="宋体" w:eastAsia="宋体" w:cs="宋体"/>
          <w:b/>
          <w:bCs/>
          <w:sz w:val="21"/>
          <w:szCs w:val="21"/>
        </w:rPr>
        <w:t>3、销售退回</w:t>
      </w:r>
      <w:bookmarkEnd w:id="435"/>
    </w:p>
    <w:p>
      <w:pPr>
        <w:keepNext/>
        <w:keepLines/>
        <w:spacing w:before="300" w:after="300" w:line="280" w:lineRule="exact"/>
        <w:jc w:val="left"/>
        <w:outlineLvl w:val="2"/>
        <w:rPr>
          <w:rFonts w:ascii="宋体" w:hAnsi="宋体" w:eastAsia="宋体" w:cs="宋体"/>
          <w:b/>
          <w:bCs/>
          <w:sz w:val="21"/>
          <w:szCs w:val="21"/>
        </w:rPr>
      </w:pPr>
      <w:bookmarkStart w:id="436" w:name="_Toc989325"/>
      <w:r>
        <w:rPr>
          <w:rFonts w:ascii="宋体" w:hAnsi="宋体" w:eastAsia="宋体" w:cs="宋体"/>
          <w:b/>
          <w:bCs/>
          <w:sz w:val="21"/>
          <w:szCs w:val="21"/>
        </w:rPr>
        <w:t>4、其他资产负债表日后事项说明</w:t>
      </w:r>
      <w:bookmarkEnd w:id="436"/>
    </w:p>
    <w:p>
      <w:pPr>
        <w:keepNext/>
        <w:keepLines/>
        <w:spacing w:before="300" w:after="300" w:line="320" w:lineRule="exact"/>
        <w:jc w:val="left"/>
        <w:outlineLvl w:val="1"/>
        <w:rPr>
          <w:rFonts w:ascii="宋体" w:hAnsi="宋体" w:eastAsia="宋体" w:cs="宋体"/>
          <w:b/>
          <w:bCs/>
          <w:sz w:val="24"/>
          <w:szCs w:val="24"/>
        </w:rPr>
      </w:pPr>
      <w:bookmarkStart w:id="437" w:name="_Toc989326"/>
      <w:r>
        <w:rPr>
          <w:rFonts w:ascii="宋体" w:hAnsi="宋体" w:eastAsia="宋体" w:cs="宋体"/>
          <w:b/>
          <w:bCs/>
          <w:sz w:val="24"/>
          <w:szCs w:val="24"/>
        </w:rPr>
        <w:t>十六、其他重要事项</w:t>
      </w:r>
      <w:bookmarkEnd w:id="437"/>
    </w:p>
    <w:p>
      <w:pPr>
        <w:keepNext/>
        <w:keepLines/>
        <w:spacing w:before="300" w:after="300" w:line="280" w:lineRule="exact"/>
        <w:jc w:val="left"/>
        <w:outlineLvl w:val="2"/>
        <w:rPr>
          <w:rFonts w:ascii="宋体" w:hAnsi="宋体" w:eastAsia="宋体" w:cs="宋体"/>
          <w:b/>
          <w:bCs/>
          <w:sz w:val="21"/>
          <w:szCs w:val="21"/>
        </w:rPr>
      </w:pPr>
      <w:bookmarkStart w:id="438" w:name="_Toc989327"/>
      <w:r>
        <w:rPr>
          <w:rFonts w:ascii="宋体" w:hAnsi="宋体" w:eastAsia="宋体" w:cs="宋体"/>
          <w:b/>
          <w:bCs/>
          <w:sz w:val="21"/>
          <w:szCs w:val="21"/>
        </w:rPr>
        <w:t>1、前期会计差错更正</w:t>
      </w:r>
      <w:bookmarkEnd w:id="438"/>
    </w:p>
    <w:p>
      <w:pPr>
        <w:keepNext/>
        <w:keepLines/>
        <w:spacing w:before="300" w:after="300" w:line="280" w:lineRule="exact"/>
        <w:jc w:val="left"/>
        <w:outlineLvl w:val="3"/>
        <w:rPr>
          <w:rFonts w:ascii="宋体" w:hAnsi="宋体" w:eastAsia="宋体" w:cs="宋体"/>
          <w:b/>
          <w:bCs/>
          <w:sz w:val="21"/>
          <w:szCs w:val="21"/>
        </w:rPr>
      </w:pPr>
      <w:bookmarkStart w:id="439" w:name="_Toc989328"/>
      <w:r>
        <w:rPr>
          <w:rFonts w:ascii="宋体" w:hAnsi="宋体" w:eastAsia="宋体" w:cs="宋体"/>
          <w:b/>
          <w:bCs/>
          <w:sz w:val="21"/>
          <w:szCs w:val="21"/>
        </w:rPr>
        <w:t>（1） 追溯重述法</w:t>
      </w:r>
      <w:bookmarkEnd w:id="43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累积影响数</w:t>
            </w:r>
          </w:p>
        </w:tc>
      </w:tr>
    </w:tbl>
    <w:p>
      <w:pPr>
        <w:keepNext/>
        <w:keepLines/>
        <w:spacing w:before="300" w:after="300" w:line="280" w:lineRule="exact"/>
        <w:jc w:val="left"/>
        <w:outlineLvl w:val="3"/>
        <w:rPr>
          <w:rFonts w:ascii="宋体" w:hAnsi="宋体" w:eastAsia="宋体" w:cs="宋体"/>
          <w:b/>
          <w:bCs/>
          <w:sz w:val="21"/>
          <w:szCs w:val="21"/>
        </w:rPr>
      </w:pPr>
      <w:bookmarkStart w:id="440" w:name="_Toc989329"/>
      <w:r>
        <w:rPr>
          <w:rFonts w:ascii="宋体" w:hAnsi="宋体" w:eastAsia="宋体" w:cs="宋体"/>
          <w:b/>
          <w:bCs/>
          <w:sz w:val="21"/>
          <w:szCs w:val="21"/>
        </w:rPr>
        <w:t>（2） 未来适用法</w:t>
      </w:r>
      <w:bookmarkEnd w:id="440"/>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采用未来适用法的原因</w:t>
            </w:r>
          </w:p>
        </w:tc>
      </w:tr>
    </w:tbl>
    <w:p>
      <w:pPr>
        <w:keepNext/>
        <w:keepLines/>
        <w:spacing w:before="300" w:after="300" w:line="280" w:lineRule="exact"/>
        <w:jc w:val="left"/>
        <w:outlineLvl w:val="2"/>
        <w:rPr>
          <w:rFonts w:ascii="宋体" w:hAnsi="宋体" w:eastAsia="宋体" w:cs="宋体"/>
          <w:b/>
          <w:bCs/>
          <w:sz w:val="21"/>
          <w:szCs w:val="21"/>
        </w:rPr>
      </w:pPr>
      <w:bookmarkStart w:id="441" w:name="_Toc989330"/>
      <w:r>
        <w:rPr>
          <w:rFonts w:ascii="宋体" w:hAnsi="宋体" w:eastAsia="宋体" w:cs="宋体"/>
          <w:b/>
          <w:bCs/>
          <w:sz w:val="21"/>
          <w:szCs w:val="21"/>
        </w:rPr>
        <w:t>2、债务重组</w:t>
      </w:r>
      <w:bookmarkEnd w:id="441"/>
    </w:p>
    <w:p>
      <w:pPr>
        <w:keepNext/>
        <w:keepLines/>
        <w:spacing w:before="300" w:after="300" w:line="280" w:lineRule="exact"/>
        <w:jc w:val="left"/>
        <w:outlineLvl w:val="2"/>
        <w:rPr>
          <w:rFonts w:ascii="宋体" w:hAnsi="宋体" w:eastAsia="宋体" w:cs="宋体"/>
          <w:b/>
          <w:bCs/>
          <w:sz w:val="21"/>
          <w:szCs w:val="21"/>
        </w:rPr>
      </w:pPr>
      <w:bookmarkStart w:id="442" w:name="_Toc989331"/>
      <w:r>
        <w:rPr>
          <w:rFonts w:ascii="宋体" w:hAnsi="宋体" w:eastAsia="宋体" w:cs="宋体"/>
          <w:b/>
          <w:bCs/>
          <w:sz w:val="21"/>
          <w:szCs w:val="21"/>
        </w:rPr>
        <w:t>3、资产置换</w:t>
      </w:r>
      <w:bookmarkEnd w:id="442"/>
    </w:p>
    <w:p>
      <w:pPr>
        <w:keepNext/>
        <w:keepLines/>
        <w:spacing w:before="300" w:after="300" w:line="280" w:lineRule="exact"/>
        <w:jc w:val="left"/>
        <w:outlineLvl w:val="3"/>
        <w:rPr>
          <w:rFonts w:ascii="宋体" w:hAnsi="宋体" w:eastAsia="宋体" w:cs="宋体"/>
          <w:b/>
          <w:bCs/>
          <w:sz w:val="21"/>
          <w:szCs w:val="21"/>
        </w:rPr>
      </w:pPr>
      <w:bookmarkStart w:id="443" w:name="_Toc989332"/>
      <w:r>
        <w:rPr>
          <w:rFonts w:ascii="宋体" w:hAnsi="宋体" w:eastAsia="宋体" w:cs="宋体"/>
          <w:b/>
          <w:bCs/>
          <w:sz w:val="21"/>
          <w:szCs w:val="21"/>
        </w:rPr>
        <w:t>（1） 非货币性资产交换</w:t>
      </w:r>
      <w:bookmarkEnd w:id="443"/>
    </w:p>
    <w:p>
      <w:pPr>
        <w:keepNext/>
        <w:keepLines/>
        <w:spacing w:before="300" w:after="300" w:line="280" w:lineRule="exact"/>
        <w:jc w:val="left"/>
        <w:outlineLvl w:val="3"/>
        <w:rPr>
          <w:rFonts w:ascii="宋体" w:hAnsi="宋体" w:eastAsia="宋体" w:cs="宋体"/>
          <w:b/>
          <w:bCs/>
          <w:sz w:val="21"/>
          <w:szCs w:val="21"/>
        </w:rPr>
      </w:pPr>
      <w:bookmarkStart w:id="444" w:name="_Toc989333"/>
      <w:r>
        <w:rPr>
          <w:rFonts w:ascii="宋体" w:hAnsi="宋体" w:eastAsia="宋体" w:cs="宋体"/>
          <w:b/>
          <w:bCs/>
          <w:sz w:val="21"/>
          <w:szCs w:val="21"/>
        </w:rPr>
        <w:t>（2） 其他资产置换</w:t>
      </w:r>
      <w:bookmarkEnd w:id="444"/>
    </w:p>
    <w:p>
      <w:pPr>
        <w:keepNext/>
        <w:keepLines/>
        <w:spacing w:before="300" w:after="300" w:line="280" w:lineRule="exact"/>
        <w:jc w:val="left"/>
        <w:outlineLvl w:val="2"/>
        <w:rPr>
          <w:rFonts w:ascii="宋体" w:hAnsi="宋体" w:eastAsia="宋体" w:cs="宋体"/>
          <w:b/>
          <w:bCs/>
          <w:sz w:val="21"/>
          <w:szCs w:val="21"/>
        </w:rPr>
      </w:pPr>
      <w:bookmarkStart w:id="445" w:name="_Toc989334"/>
      <w:r>
        <w:rPr>
          <w:rFonts w:ascii="宋体" w:hAnsi="宋体" w:eastAsia="宋体" w:cs="宋体"/>
          <w:b/>
          <w:bCs/>
          <w:sz w:val="21"/>
          <w:szCs w:val="21"/>
        </w:rPr>
        <w:t>4、年金计划</w:t>
      </w:r>
      <w:bookmarkEnd w:id="445"/>
    </w:p>
    <w:p>
      <w:pPr>
        <w:keepNext/>
        <w:keepLines/>
        <w:spacing w:before="300" w:after="300" w:line="280" w:lineRule="exact"/>
        <w:jc w:val="left"/>
        <w:outlineLvl w:val="2"/>
        <w:rPr>
          <w:rFonts w:ascii="宋体" w:hAnsi="宋体" w:eastAsia="宋体" w:cs="宋体"/>
          <w:b/>
          <w:bCs/>
          <w:sz w:val="21"/>
          <w:szCs w:val="21"/>
        </w:rPr>
      </w:pPr>
      <w:bookmarkStart w:id="446" w:name="_Toc989335"/>
      <w:r>
        <w:rPr>
          <w:rFonts w:ascii="宋体" w:hAnsi="宋体" w:eastAsia="宋体" w:cs="宋体"/>
          <w:b/>
          <w:bCs/>
          <w:sz w:val="21"/>
          <w:szCs w:val="21"/>
        </w:rPr>
        <w:t>5、终止经营</w:t>
      </w:r>
      <w:bookmarkEnd w:id="44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归属于母公司所有者的终止经营利润</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47" w:name="_Toc989336"/>
      <w:r>
        <w:rPr>
          <w:rFonts w:ascii="宋体" w:hAnsi="宋体" w:eastAsia="宋体" w:cs="宋体"/>
          <w:b/>
          <w:bCs/>
          <w:sz w:val="21"/>
          <w:szCs w:val="21"/>
        </w:rPr>
        <w:t>6、分部信息</w:t>
      </w:r>
      <w:bookmarkEnd w:id="447"/>
    </w:p>
    <w:p>
      <w:pPr>
        <w:keepNext/>
        <w:keepLines/>
        <w:spacing w:before="300" w:after="300" w:line="280" w:lineRule="exact"/>
        <w:jc w:val="left"/>
        <w:outlineLvl w:val="3"/>
        <w:rPr>
          <w:rFonts w:ascii="宋体" w:hAnsi="宋体" w:eastAsia="宋体" w:cs="宋体"/>
          <w:b/>
          <w:bCs/>
          <w:sz w:val="21"/>
          <w:szCs w:val="21"/>
        </w:rPr>
      </w:pPr>
      <w:bookmarkStart w:id="448" w:name="_Toc989337"/>
      <w:r>
        <w:rPr>
          <w:rFonts w:ascii="宋体" w:hAnsi="宋体" w:eastAsia="宋体" w:cs="宋体"/>
          <w:b/>
          <w:bCs/>
          <w:sz w:val="21"/>
          <w:szCs w:val="21"/>
        </w:rPr>
        <w:t>（1） 报告分部的确定依据与会计政策</w:t>
      </w:r>
      <w:bookmarkEnd w:id="448"/>
    </w:p>
    <w:p>
      <w:pPr>
        <w:pStyle w:val="3"/>
        <w:keepNext w:val="0"/>
        <w:keepLines w:val="0"/>
        <w:widowControl/>
        <w:suppressLineNumbers w:val="0"/>
        <w:spacing w:before="150" w:beforeAutospacing="0" w:after="150" w:afterAutospacing="0" w:line="360" w:lineRule="auto"/>
        <w:ind w:left="0" w:right="0" w:firstLine="496"/>
        <w:jc w:val="both"/>
        <w:rPr>
          <w:rFonts w:hint="default" w:ascii="Times New Roman" w:hAnsi="Times New Roman" w:cs="Times New Roman"/>
          <w:sz w:val="21"/>
          <w:szCs w:val="21"/>
        </w:rPr>
      </w:pPr>
      <w:r>
        <w:rPr>
          <w:rFonts w:hint="eastAsia" w:ascii="宋体" w:hAnsi="宋体" w:eastAsia="宋体" w:cs="宋体"/>
          <w:sz w:val="21"/>
          <w:szCs w:val="21"/>
        </w:rPr>
        <w:t>公司为阀门及相关产品制造企业，主要产品为阀门、过滤器、毛坯铸件等，生产经营主体主要在国内，无分部报告。</w:t>
      </w:r>
    </w:p>
    <w:p>
      <w:pPr>
        <w:keepNext/>
        <w:keepLines/>
        <w:spacing w:before="300" w:after="300" w:line="280" w:lineRule="exact"/>
        <w:jc w:val="left"/>
        <w:outlineLvl w:val="3"/>
        <w:rPr>
          <w:rFonts w:ascii="宋体" w:hAnsi="宋体" w:eastAsia="宋体" w:cs="宋体"/>
          <w:b/>
          <w:bCs/>
          <w:sz w:val="21"/>
          <w:szCs w:val="21"/>
        </w:rPr>
      </w:pPr>
      <w:bookmarkStart w:id="449" w:name="_Toc989338"/>
      <w:r>
        <w:rPr>
          <w:rFonts w:ascii="宋体" w:hAnsi="宋体" w:eastAsia="宋体" w:cs="宋体"/>
          <w:b/>
          <w:bCs/>
          <w:sz w:val="21"/>
          <w:szCs w:val="21"/>
        </w:rPr>
        <w:t>（2） 报告分部的财务信息</w:t>
      </w:r>
      <w:bookmarkEnd w:id="44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450" w:name="_Toc989339"/>
      <w:r>
        <w:rPr>
          <w:rFonts w:ascii="宋体" w:hAnsi="宋体" w:eastAsia="宋体" w:cs="宋体"/>
          <w:b/>
          <w:bCs/>
          <w:sz w:val="21"/>
          <w:szCs w:val="21"/>
        </w:rPr>
        <w:t>（3） 公司无报告分部的，或者不能披露各报告分部的资产总额和负债总额的，应说明原因</w:t>
      </w:r>
      <w:bookmarkEnd w:id="450"/>
    </w:p>
    <w:p>
      <w:pPr>
        <w:keepNext/>
        <w:keepLines/>
        <w:spacing w:before="300" w:after="300" w:line="280" w:lineRule="exact"/>
        <w:jc w:val="left"/>
        <w:outlineLvl w:val="3"/>
        <w:rPr>
          <w:rFonts w:ascii="宋体" w:hAnsi="宋体" w:eastAsia="宋体" w:cs="宋体"/>
          <w:b/>
          <w:bCs/>
          <w:sz w:val="21"/>
          <w:szCs w:val="21"/>
        </w:rPr>
      </w:pPr>
      <w:bookmarkStart w:id="451" w:name="_Toc989340"/>
      <w:r>
        <w:rPr>
          <w:rFonts w:ascii="宋体" w:hAnsi="宋体" w:eastAsia="宋体" w:cs="宋体"/>
          <w:b/>
          <w:bCs/>
          <w:sz w:val="21"/>
          <w:szCs w:val="21"/>
        </w:rPr>
        <w:t>（4） 其他说明</w:t>
      </w:r>
      <w:bookmarkEnd w:id="451"/>
    </w:p>
    <w:p>
      <w:pPr>
        <w:keepNext/>
        <w:keepLines/>
        <w:spacing w:before="300" w:after="300" w:line="280" w:lineRule="exact"/>
        <w:jc w:val="left"/>
        <w:outlineLvl w:val="2"/>
        <w:rPr>
          <w:rFonts w:ascii="宋体" w:hAnsi="宋体" w:eastAsia="宋体" w:cs="宋体"/>
          <w:b/>
          <w:bCs/>
          <w:sz w:val="21"/>
          <w:szCs w:val="21"/>
        </w:rPr>
      </w:pPr>
      <w:bookmarkStart w:id="452" w:name="_Toc989341"/>
      <w:r>
        <w:rPr>
          <w:rFonts w:ascii="宋体" w:hAnsi="宋体" w:eastAsia="宋体" w:cs="宋体"/>
          <w:b/>
          <w:bCs/>
          <w:sz w:val="21"/>
          <w:szCs w:val="21"/>
        </w:rPr>
        <w:t>7、其他对投资者决策有影响的重要交易和事项</w:t>
      </w:r>
      <w:bookmarkEnd w:id="452"/>
    </w:p>
    <w:p>
      <w:pPr>
        <w:pStyle w:val="3"/>
        <w:keepNext w:val="0"/>
        <w:keepLines w:val="0"/>
        <w:widowControl/>
        <w:suppressLineNumbers w:val="0"/>
        <w:spacing w:before="150" w:beforeAutospacing="0" w:after="150" w:afterAutospacing="0" w:line="360" w:lineRule="auto"/>
        <w:ind w:left="0" w:right="0" w:firstLine="545"/>
        <w:jc w:val="both"/>
        <w:rPr>
          <w:rFonts w:hint="default" w:ascii="Times New Roman" w:hAnsi="Times New Roman" w:cs="Times New Roman"/>
          <w:sz w:val="21"/>
          <w:szCs w:val="21"/>
        </w:rPr>
      </w:pPr>
      <w:r>
        <w:rPr>
          <w:rFonts w:hint="eastAsia" w:ascii="宋体" w:hAnsi="宋体" w:eastAsia="宋体" w:cs="宋体"/>
          <w:sz w:val="21"/>
          <w:szCs w:val="21"/>
        </w:rPr>
        <w:t>公司无其他对投资者决策有重大影响的重要交易和事项。</w:t>
      </w:r>
    </w:p>
    <w:p>
      <w:pPr>
        <w:keepNext/>
        <w:keepLines/>
        <w:spacing w:before="300" w:after="300" w:line="280" w:lineRule="exact"/>
        <w:jc w:val="left"/>
        <w:outlineLvl w:val="2"/>
        <w:rPr>
          <w:rFonts w:ascii="宋体" w:hAnsi="宋体" w:eastAsia="宋体" w:cs="宋体"/>
          <w:b/>
          <w:bCs/>
          <w:sz w:val="21"/>
          <w:szCs w:val="21"/>
        </w:rPr>
      </w:pPr>
      <w:bookmarkStart w:id="453" w:name="_Toc989342"/>
      <w:r>
        <w:rPr>
          <w:rFonts w:ascii="宋体" w:hAnsi="宋体" w:eastAsia="宋体" w:cs="宋体"/>
          <w:b/>
          <w:bCs/>
          <w:sz w:val="21"/>
          <w:szCs w:val="21"/>
        </w:rPr>
        <w:t>8、其他</w:t>
      </w:r>
      <w:bookmarkEnd w:id="453"/>
    </w:p>
    <w:p>
      <w:pPr>
        <w:keepNext/>
        <w:keepLines/>
        <w:spacing w:before="300" w:after="300" w:line="320" w:lineRule="exact"/>
        <w:jc w:val="left"/>
        <w:outlineLvl w:val="1"/>
        <w:rPr>
          <w:rFonts w:ascii="宋体" w:hAnsi="宋体" w:eastAsia="宋体" w:cs="宋体"/>
          <w:b/>
          <w:bCs/>
          <w:sz w:val="24"/>
          <w:szCs w:val="24"/>
        </w:rPr>
      </w:pPr>
      <w:bookmarkStart w:id="454" w:name="_Toc989343"/>
      <w:r>
        <w:rPr>
          <w:rFonts w:ascii="宋体" w:hAnsi="宋体" w:eastAsia="宋体" w:cs="宋体"/>
          <w:b/>
          <w:bCs/>
          <w:sz w:val="24"/>
          <w:szCs w:val="24"/>
        </w:rPr>
        <w:t>十七、母公司财务报表主要项目注释</w:t>
      </w:r>
      <w:bookmarkEnd w:id="454"/>
    </w:p>
    <w:p>
      <w:pPr>
        <w:keepNext/>
        <w:keepLines/>
        <w:spacing w:before="300" w:after="300" w:line="280" w:lineRule="exact"/>
        <w:jc w:val="left"/>
        <w:outlineLvl w:val="2"/>
        <w:rPr>
          <w:rFonts w:ascii="宋体" w:hAnsi="宋体" w:eastAsia="宋体" w:cs="宋体"/>
          <w:b/>
          <w:bCs/>
          <w:sz w:val="21"/>
          <w:szCs w:val="21"/>
        </w:rPr>
      </w:pPr>
      <w:bookmarkStart w:id="455" w:name="_Toc989344"/>
      <w:r>
        <w:rPr>
          <w:rFonts w:ascii="宋体" w:hAnsi="宋体" w:eastAsia="宋体" w:cs="宋体"/>
          <w:b/>
          <w:bCs/>
          <w:sz w:val="21"/>
          <w:szCs w:val="21"/>
        </w:rPr>
        <w:t>1、应收账款</w:t>
      </w:r>
      <w:bookmarkEnd w:id="455"/>
    </w:p>
    <w:p>
      <w:pPr>
        <w:keepNext/>
        <w:keepLines/>
        <w:spacing w:before="300" w:after="300" w:line="280" w:lineRule="exact"/>
        <w:jc w:val="left"/>
        <w:outlineLvl w:val="3"/>
        <w:rPr>
          <w:rFonts w:ascii="宋体" w:hAnsi="宋体" w:eastAsia="宋体" w:cs="宋体"/>
          <w:b/>
          <w:bCs/>
          <w:sz w:val="21"/>
          <w:szCs w:val="21"/>
        </w:rPr>
      </w:pPr>
      <w:bookmarkStart w:id="456" w:name="_Toc989345"/>
      <w:r>
        <w:rPr>
          <w:rFonts w:ascii="宋体" w:hAnsi="宋体" w:eastAsia="宋体" w:cs="宋体"/>
          <w:b/>
          <w:bCs/>
          <w:sz w:val="21"/>
          <w:szCs w:val="21"/>
        </w:rPr>
        <w:t>（1） 应收账款分类披露</w:t>
      </w:r>
      <w:bookmarkEnd w:id="45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9.53%</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73,762,968.07</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72,388,029.64</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11.50%</w:t>
            </w:r>
          </w:p>
        </w:tc>
        <w:tc>
          <w:tcPr>
            <w:tcW w:w="87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64,064,837.38</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按组合计提坏账准备：7,771,521.25</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3,568,230.54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1至2年（含2年）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2至3年（含3年）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730,921.75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3至4年（含4年）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1,491,745.32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4至5年（含5年）</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50,709.64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5年以上</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确定该组合依据的说明：</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如是按照预期信用损失一般模型计提应收账款坏账准备，请参照其他应收款的披露方式披露坏账准备的相关信息：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71,364,610.66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3,062,979.04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2,436,405.83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4,670,493.79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2,983,490.64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63,387.05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1,623,616.10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81,534,489.32</w:t>
            </w:r>
          </w:p>
        </w:tc>
      </w:tr>
    </w:tbl>
    <w:p>
      <w:pPr>
        <w:keepNext/>
        <w:keepLines/>
        <w:spacing w:before="300" w:after="300" w:line="280" w:lineRule="exact"/>
        <w:jc w:val="left"/>
        <w:outlineLvl w:val="3"/>
        <w:rPr>
          <w:rFonts w:ascii="宋体" w:hAnsi="宋体" w:eastAsia="宋体" w:cs="宋体"/>
          <w:b/>
          <w:bCs/>
          <w:sz w:val="21"/>
          <w:szCs w:val="21"/>
        </w:rPr>
      </w:pPr>
      <w:bookmarkStart w:id="457" w:name="_Toc989346"/>
      <w:r>
        <w:rPr>
          <w:rFonts w:ascii="宋体" w:hAnsi="宋体" w:eastAsia="宋体" w:cs="宋体"/>
          <w:b/>
          <w:bCs/>
          <w:sz w:val="21"/>
          <w:szCs w:val="21"/>
        </w:rPr>
        <w:t>（2） 本期计提、收回或转回的坏账准备情况</w:t>
      </w:r>
      <w:bookmarkEnd w:id="457"/>
    </w:p>
    <w:p>
      <w:pPr>
        <w:spacing w:before="40" w:after="4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8,323,192.26</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551,671.01</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7,771,521.25</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其中本期坏账准备收回或转回金额重要的：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spacing w:before="100" w:after="100" w:line="0" w:lineRule="exact"/>
        <w:jc w:val="left"/>
      </w:pPr>
    </w:p>
    <w:p>
      <w:pPr>
        <w:keepNext/>
        <w:keepLines/>
        <w:spacing w:before="300" w:after="300" w:line="280" w:lineRule="exact"/>
        <w:jc w:val="left"/>
        <w:outlineLvl w:val="3"/>
        <w:rPr>
          <w:rFonts w:ascii="宋体" w:hAnsi="宋体" w:eastAsia="宋体" w:cs="宋体"/>
          <w:b/>
          <w:bCs/>
          <w:sz w:val="21"/>
          <w:szCs w:val="21"/>
        </w:rPr>
      </w:pPr>
      <w:bookmarkStart w:id="458" w:name="_Toc989347"/>
      <w:r>
        <w:rPr>
          <w:rFonts w:ascii="宋体" w:hAnsi="宋体" w:eastAsia="宋体" w:cs="宋体"/>
          <w:b/>
          <w:bCs/>
          <w:sz w:val="21"/>
          <w:szCs w:val="21"/>
        </w:rPr>
        <w:t>（3） 本期实际核销的应收账款情况</w:t>
      </w:r>
      <w:bookmarkEnd w:id="45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其中重要的应收账款核销情况：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应收账款核销说明：</w:t>
      </w:r>
    </w:p>
    <w:p>
      <w:pPr>
        <w:pStyle w:val="3"/>
        <w:keepNext w:val="0"/>
        <w:keepLines w:val="0"/>
        <w:widowControl/>
        <w:suppressLineNumbers w:val="0"/>
      </w:pPr>
      <w:r>
        <w:rPr>
          <w:rFonts w:hint="eastAsia" w:ascii="宋体" w:hAnsi="宋体" w:eastAsia="宋体" w:cs="宋体"/>
          <w:sz w:val="21"/>
          <w:szCs w:val="21"/>
        </w:rPr>
        <w:t>报告期末公司应收账款中无持公司5%（含5%）以上表决权股份的股东单位欠款。</w:t>
      </w:r>
    </w:p>
    <w:p>
      <w:pPr>
        <w:keepNext/>
        <w:keepLines/>
        <w:spacing w:before="300" w:after="300" w:line="280" w:lineRule="exact"/>
        <w:jc w:val="left"/>
        <w:outlineLvl w:val="3"/>
        <w:rPr>
          <w:rFonts w:ascii="宋体" w:hAnsi="宋体" w:eastAsia="宋体" w:cs="宋体"/>
          <w:b/>
          <w:bCs/>
          <w:sz w:val="21"/>
          <w:szCs w:val="21"/>
        </w:rPr>
      </w:pPr>
      <w:bookmarkStart w:id="459" w:name="_Toc989348"/>
      <w:r>
        <w:rPr>
          <w:rFonts w:ascii="宋体" w:hAnsi="宋体" w:eastAsia="宋体" w:cs="宋体"/>
          <w:b/>
          <w:bCs/>
          <w:sz w:val="21"/>
          <w:szCs w:val="21"/>
        </w:rPr>
        <w:t>（4） 按欠款方归集的期末余额前五名的应收账款情况</w:t>
      </w:r>
      <w:bookmarkEnd w:id="45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5,890,996.21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7.23%</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294,549.81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5,776,337.62</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7.08%</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288,816.88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5,376,007.37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6.59%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268,800.37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4,205,001.77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5.16%</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210,250.09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客户五</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3,782,234.14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4.64%</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189,111.71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25,030,577.11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30.70%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tc>
      </w:tr>
    </w:tbl>
    <w:p>
      <w:pPr>
        <w:keepNext/>
        <w:keepLines/>
        <w:spacing w:before="300" w:after="300" w:line="280" w:lineRule="exact"/>
        <w:jc w:val="left"/>
        <w:outlineLvl w:val="3"/>
        <w:rPr>
          <w:rFonts w:ascii="宋体" w:hAnsi="宋体" w:eastAsia="宋体" w:cs="宋体"/>
          <w:b/>
          <w:bCs/>
          <w:sz w:val="21"/>
          <w:szCs w:val="21"/>
        </w:rPr>
      </w:pPr>
      <w:bookmarkStart w:id="460" w:name="_Toc989349"/>
      <w:r>
        <w:rPr>
          <w:rFonts w:ascii="宋体" w:hAnsi="宋体" w:eastAsia="宋体" w:cs="宋体"/>
          <w:b/>
          <w:bCs/>
          <w:sz w:val="21"/>
          <w:szCs w:val="21"/>
        </w:rPr>
        <w:t>（5） 因金融资产转移而终止确认的应收账款</w:t>
      </w:r>
      <w:bookmarkEnd w:id="460"/>
    </w:p>
    <w:p>
      <w:pPr>
        <w:keepNext/>
        <w:keepLines/>
        <w:spacing w:before="300" w:after="300" w:line="280" w:lineRule="exact"/>
        <w:jc w:val="left"/>
        <w:outlineLvl w:val="3"/>
        <w:rPr>
          <w:rFonts w:ascii="宋体" w:hAnsi="宋体" w:eastAsia="宋体" w:cs="宋体"/>
          <w:b/>
          <w:bCs/>
          <w:sz w:val="21"/>
          <w:szCs w:val="21"/>
        </w:rPr>
      </w:pPr>
      <w:bookmarkStart w:id="461" w:name="_Toc989350"/>
      <w:r>
        <w:rPr>
          <w:rFonts w:ascii="宋体" w:hAnsi="宋体" w:eastAsia="宋体" w:cs="宋体"/>
          <w:b/>
          <w:bCs/>
          <w:sz w:val="21"/>
          <w:szCs w:val="21"/>
        </w:rPr>
        <w:t>（6） 转移应收账款且继续涉入形成的资产、负债金额</w:t>
      </w:r>
      <w:bookmarkEnd w:id="461"/>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62" w:name="_Toc989351"/>
      <w:r>
        <w:rPr>
          <w:rFonts w:ascii="宋体" w:hAnsi="宋体" w:eastAsia="宋体" w:cs="宋体"/>
          <w:b/>
          <w:bCs/>
          <w:sz w:val="21"/>
          <w:szCs w:val="21"/>
        </w:rPr>
        <w:t>2、其他应收款</w:t>
      </w:r>
      <w:bookmarkEnd w:id="46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18,705,354.32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19,760,830.43</w:t>
            </w:r>
          </w:p>
        </w:tc>
      </w:tr>
    </w:tbl>
    <w:p>
      <w:pPr>
        <w:keepNext/>
        <w:keepLines/>
        <w:spacing w:before="300" w:after="300" w:line="280" w:lineRule="exact"/>
        <w:jc w:val="left"/>
        <w:outlineLvl w:val="3"/>
        <w:rPr>
          <w:rFonts w:ascii="宋体" w:hAnsi="宋体" w:eastAsia="宋体" w:cs="宋体"/>
          <w:b/>
          <w:bCs/>
          <w:sz w:val="18"/>
          <w:szCs w:val="18"/>
        </w:rPr>
      </w:pPr>
      <w:bookmarkStart w:id="463" w:name="_Toc989352"/>
      <w:r>
        <w:rPr>
          <w:rFonts w:ascii="宋体" w:hAnsi="宋体" w:eastAsia="宋体" w:cs="宋体"/>
          <w:b/>
          <w:bCs/>
          <w:sz w:val="18"/>
          <w:szCs w:val="18"/>
        </w:rPr>
        <w:t>（1） 应收利息</w:t>
      </w:r>
      <w:bookmarkEnd w:id="463"/>
    </w:p>
    <w:p>
      <w:pPr>
        <w:keepNext/>
        <w:keepLines/>
        <w:spacing w:before="300" w:after="300" w:line="280" w:lineRule="exact"/>
        <w:jc w:val="left"/>
        <w:outlineLvl w:val="4"/>
        <w:rPr>
          <w:rFonts w:ascii="宋体" w:hAnsi="宋体" w:eastAsia="宋体" w:cs="宋体"/>
          <w:b/>
          <w:bCs/>
          <w:sz w:val="18"/>
          <w:szCs w:val="18"/>
        </w:rPr>
      </w:pPr>
      <w:bookmarkStart w:id="464" w:name="_Toc989353"/>
      <w:r>
        <w:rPr>
          <w:rFonts w:ascii="宋体" w:hAnsi="宋体" w:eastAsia="宋体" w:cs="宋体"/>
          <w:b/>
          <w:bCs/>
          <w:sz w:val="18"/>
          <w:szCs w:val="18"/>
        </w:rPr>
        <w:t>1） 应收利息分类</w:t>
      </w:r>
      <w:bookmarkEnd w:id="46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65" w:name="_Toc989354"/>
      <w:r>
        <w:rPr>
          <w:rFonts w:ascii="宋体" w:hAnsi="宋体" w:eastAsia="宋体" w:cs="宋体"/>
          <w:b/>
          <w:bCs/>
          <w:sz w:val="18"/>
          <w:szCs w:val="18"/>
        </w:rPr>
        <w:t>2） 重要逾期利息</w:t>
      </w:r>
      <w:bookmarkEnd w:id="46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4"/>
        <w:rPr>
          <w:rFonts w:ascii="宋体" w:hAnsi="宋体" w:eastAsia="宋体" w:cs="宋体"/>
          <w:b/>
          <w:bCs/>
          <w:sz w:val="18"/>
          <w:szCs w:val="18"/>
        </w:rPr>
      </w:pPr>
      <w:bookmarkStart w:id="466" w:name="_Toc989355"/>
      <w:r>
        <w:rPr>
          <w:rFonts w:ascii="宋体" w:hAnsi="宋体" w:eastAsia="宋体" w:cs="宋体"/>
          <w:b/>
          <w:bCs/>
          <w:sz w:val="18"/>
          <w:szCs w:val="18"/>
        </w:rPr>
        <w:t>3） 坏账准备计提情况</w:t>
      </w:r>
      <w:bookmarkEnd w:id="466"/>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18"/>
          <w:szCs w:val="18"/>
        </w:rPr>
      </w:pPr>
      <w:bookmarkStart w:id="467" w:name="_Toc989356"/>
      <w:r>
        <w:rPr>
          <w:rFonts w:ascii="宋体" w:hAnsi="宋体" w:eastAsia="宋体" w:cs="宋体"/>
          <w:b/>
          <w:bCs/>
          <w:sz w:val="18"/>
          <w:szCs w:val="18"/>
        </w:rPr>
        <w:t>（2） 应收股利</w:t>
      </w:r>
      <w:bookmarkEnd w:id="467"/>
    </w:p>
    <w:p>
      <w:pPr>
        <w:keepNext/>
        <w:keepLines/>
        <w:spacing w:before="300" w:after="300" w:line="280" w:lineRule="exact"/>
        <w:jc w:val="left"/>
        <w:outlineLvl w:val="4"/>
        <w:rPr>
          <w:rFonts w:ascii="宋体" w:hAnsi="宋体" w:eastAsia="宋体" w:cs="宋体"/>
          <w:b/>
          <w:bCs/>
          <w:sz w:val="18"/>
          <w:szCs w:val="18"/>
        </w:rPr>
      </w:pPr>
      <w:bookmarkStart w:id="468" w:name="_Toc989357"/>
      <w:r>
        <w:rPr>
          <w:rFonts w:ascii="宋体" w:hAnsi="宋体" w:eastAsia="宋体" w:cs="宋体"/>
          <w:b/>
          <w:bCs/>
          <w:sz w:val="18"/>
          <w:szCs w:val="18"/>
        </w:rPr>
        <w:t>1） 应收股利分类</w:t>
      </w:r>
      <w:bookmarkEnd w:id="468"/>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bl>
    <w:p>
      <w:pPr>
        <w:keepNext/>
        <w:keepLines/>
        <w:spacing w:before="300" w:after="300" w:line="280" w:lineRule="exact"/>
        <w:jc w:val="left"/>
        <w:outlineLvl w:val="4"/>
        <w:rPr>
          <w:rFonts w:ascii="宋体" w:hAnsi="宋体" w:eastAsia="宋体" w:cs="宋体"/>
          <w:b/>
          <w:bCs/>
          <w:sz w:val="18"/>
          <w:szCs w:val="18"/>
        </w:rPr>
      </w:pPr>
      <w:bookmarkStart w:id="469" w:name="_Toc989358"/>
      <w:r>
        <w:rPr>
          <w:rFonts w:ascii="宋体" w:hAnsi="宋体" w:eastAsia="宋体" w:cs="宋体"/>
          <w:b/>
          <w:bCs/>
          <w:sz w:val="18"/>
          <w:szCs w:val="18"/>
        </w:rPr>
        <w:t>2） 重要的账龄超过1年的应收股利</w:t>
      </w:r>
      <w:bookmarkEnd w:id="469"/>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是否发生减值及其判断依据</w:t>
            </w:r>
          </w:p>
        </w:tc>
      </w:tr>
    </w:tbl>
    <w:p>
      <w:pPr>
        <w:keepNext/>
        <w:keepLines/>
        <w:spacing w:before="300" w:after="300" w:line="280" w:lineRule="exact"/>
        <w:jc w:val="left"/>
        <w:outlineLvl w:val="4"/>
        <w:rPr>
          <w:rFonts w:ascii="宋体" w:hAnsi="宋体" w:eastAsia="宋体" w:cs="宋体"/>
          <w:b/>
          <w:bCs/>
          <w:sz w:val="18"/>
          <w:szCs w:val="18"/>
        </w:rPr>
      </w:pPr>
      <w:bookmarkStart w:id="470" w:name="_Toc989359"/>
      <w:r>
        <w:rPr>
          <w:rFonts w:ascii="宋体" w:hAnsi="宋体" w:eastAsia="宋体" w:cs="宋体"/>
          <w:b/>
          <w:bCs/>
          <w:sz w:val="18"/>
          <w:szCs w:val="18"/>
        </w:rPr>
        <w:t>3） 坏账准备计提情况</w:t>
      </w:r>
      <w:bookmarkEnd w:id="470"/>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3"/>
        <w:rPr>
          <w:rFonts w:ascii="宋体" w:hAnsi="宋体" w:eastAsia="宋体" w:cs="宋体"/>
          <w:b/>
          <w:bCs/>
          <w:sz w:val="18"/>
          <w:szCs w:val="18"/>
        </w:rPr>
      </w:pPr>
      <w:bookmarkStart w:id="471" w:name="_Toc989360"/>
      <w:r>
        <w:rPr>
          <w:rFonts w:ascii="宋体" w:hAnsi="宋体" w:eastAsia="宋体" w:cs="宋体"/>
          <w:b/>
          <w:bCs/>
          <w:sz w:val="18"/>
          <w:szCs w:val="18"/>
        </w:rPr>
        <w:t>（3） 其他应收款</w:t>
      </w:r>
      <w:bookmarkEnd w:id="471"/>
    </w:p>
    <w:p>
      <w:pPr>
        <w:keepNext/>
        <w:keepLines/>
        <w:spacing w:before="300" w:after="300" w:line="280" w:lineRule="exact"/>
        <w:jc w:val="left"/>
        <w:outlineLvl w:val="4"/>
        <w:rPr>
          <w:rFonts w:ascii="宋体" w:hAnsi="宋体" w:eastAsia="宋体" w:cs="宋体"/>
          <w:b/>
          <w:bCs/>
          <w:sz w:val="18"/>
          <w:szCs w:val="18"/>
        </w:rPr>
      </w:pPr>
      <w:bookmarkStart w:id="472" w:name="_Toc989361"/>
      <w:r>
        <w:rPr>
          <w:rFonts w:ascii="宋体" w:hAnsi="宋体" w:eastAsia="宋体" w:cs="宋体"/>
          <w:b/>
          <w:bCs/>
          <w:sz w:val="18"/>
          <w:szCs w:val="18"/>
        </w:rPr>
        <w:t>1） 其他应收款按款项性质分类情况</w:t>
      </w:r>
      <w:bookmarkEnd w:id="47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4,276,202.06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320,267.91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单位往来款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16,683,553.24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19,947,848.00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21,280,023.21</w:t>
            </w:r>
          </w:p>
        </w:tc>
      </w:tr>
    </w:tbl>
    <w:p>
      <w:pPr>
        <w:keepNext/>
        <w:keepLines/>
        <w:spacing w:before="300" w:after="300" w:line="280" w:lineRule="exact"/>
        <w:jc w:val="left"/>
        <w:outlineLvl w:val="4"/>
        <w:rPr>
          <w:rFonts w:ascii="宋体" w:hAnsi="宋体" w:eastAsia="宋体" w:cs="宋体"/>
          <w:b/>
          <w:bCs/>
          <w:sz w:val="18"/>
          <w:szCs w:val="18"/>
        </w:rPr>
      </w:pPr>
      <w:bookmarkStart w:id="473" w:name="_Toc989362"/>
      <w:r>
        <w:rPr>
          <w:rFonts w:ascii="宋体" w:hAnsi="宋体" w:eastAsia="宋体" w:cs="宋体"/>
          <w:b/>
          <w:bCs/>
          <w:sz w:val="18"/>
          <w:szCs w:val="18"/>
        </w:rPr>
        <w:t>2） 坏账准备计提情况</w:t>
      </w:r>
      <w:bookmarkEnd w:id="473"/>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本期转回</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2022年6月30日余额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损失准备本期变动金额重大的账面余额变动情况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按账龄披露</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15,197,055.12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4,731,279.95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19,978,335.07</w:t>
            </w:r>
          </w:p>
        </w:tc>
      </w:tr>
    </w:tbl>
    <w:p>
      <w:pPr>
        <w:keepNext/>
        <w:keepLines/>
        <w:spacing w:before="300" w:after="300" w:line="280" w:lineRule="exact"/>
        <w:jc w:val="left"/>
        <w:outlineLvl w:val="4"/>
        <w:rPr>
          <w:rFonts w:ascii="宋体" w:hAnsi="宋体" w:eastAsia="宋体" w:cs="宋体"/>
          <w:b/>
          <w:bCs/>
          <w:sz w:val="18"/>
          <w:szCs w:val="18"/>
        </w:rPr>
      </w:pPr>
      <w:bookmarkStart w:id="474" w:name="_Toc989363"/>
      <w:r>
        <w:rPr>
          <w:rFonts w:ascii="宋体" w:hAnsi="宋体" w:eastAsia="宋体" w:cs="宋体"/>
          <w:b/>
          <w:bCs/>
          <w:sz w:val="18"/>
          <w:szCs w:val="18"/>
        </w:rPr>
        <w:t>3） 本期计提、收回或转回的坏账准备情况</w:t>
      </w:r>
      <w:bookmarkEnd w:id="474"/>
    </w:p>
    <w:p>
      <w:pPr>
        <w:spacing w:before="0" w:after="0" w:line="240" w:lineRule="exact"/>
        <w:jc w:val="left"/>
        <w:rPr>
          <w:rFonts w:ascii="宋体" w:hAnsi="宋体" w:eastAsia="宋体" w:cs="宋体"/>
          <w:sz w:val="18"/>
          <w:szCs w:val="18"/>
        </w:rPr>
      </w:pPr>
      <w:r>
        <w:rPr>
          <w:rFonts w:ascii="宋体" w:hAnsi="宋体" w:eastAsia="宋体" w:cs="宋体"/>
          <w:sz w:val="18"/>
          <w:szCs w:val="18"/>
        </w:rPr>
        <w:t>本期计提坏账准备情况：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按单项计提坏账准备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按组合计提坏账准备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1,519,192.78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246,212.03</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1,272,980.75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其中本期坏账准备转回或收回金额重要的：</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收回方式</w:t>
            </w:r>
          </w:p>
        </w:tc>
      </w:tr>
    </w:tbl>
    <w:p>
      <w:pPr>
        <w:keepNext/>
        <w:keepLines/>
        <w:spacing w:before="300" w:after="300" w:line="280" w:lineRule="exact"/>
        <w:jc w:val="left"/>
        <w:outlineLvl w:val="4"/>
        <w:rPr>
          <w:rFonts w:ascii="宋体" w:hAnsi="宋体" w:eastAsia="宋体" w:cs="宋体"/>
          <w:b/>
          <w:bCs/>
          <w:sz w:val="18"/>
          <w:szCs w:val="18"/>
        </w:rPr>
      </w:pPr>
      <w:bookmarkStart w:id="475" w:name="_Toc989364"/>
      <w:r>
        <w:rPr>
          <w:rFonts w:ascii="宋体" w:hAnsi="宋体" w:eastAsia="宋体" w:cs="宋体"/>
          <w:b/>
          <w:bCs/>
          <w:sz w:val="18"/>
          <w:szCs w:val="18"/>
        </w:rPr>
        <w:t>4） 本期实际核销的其他应收款情况</w:t>
      </w:r>
      <w:bookmarkEnd w:id="47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2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其中重要的其他应收款核销情况：</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款项是否由关联交易产生</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其他应收款核销说明：</w:t>
      </w:r>
    </w:p>
    <w:p>
      <w:pPr>
        <w:keepNext/>
        <w:keepLines/>
        <w:spacing w:before="300" w:after="300" w:line="280" w:lineRule="exact"/>
        <w:jc w:val="left"/>
        <w:outlineLvl w:val="4"/>
        <w:rPr>
          <w:rFonts w:ascii="宋体" w:hAnsi="宋体" w:eastAsia="宋体" w:cs="宋体"/>
          <w:b/>
          <w:bCs/>
          <w:sz w:val="18"/>
          <w:szCs w:val="18"/>
        </w:rPr>
      </w:pPr>
      <w:bookmarkStart w:id="476" w:name="_Toc989365"/>
      <w:r>
        <w:rPr>
          <w:rFonts w:ascii="宋体" w:hAnsi="宋体" w:eastAsia="宋体" w:cs="宋体"/>
          <w:b/>
          <w:bCs/>
          <w:sz w:val="18"/>
          <w:szCs w:val="18"/>
        </w:rPr>
        <w:t>5） 按欠款方归集的期末余额前五名的其他应收款情况</w:t>
      </w:r>
      <w:bookmarkEnd w:id="476"/>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6"/>
        <w:gridCol w:w="1606"/>
        <w:gridCol w:w="16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客户一</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关联方往来</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16,651,279.95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1年以内、1-2年</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83.35%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1,226,096.14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应收出口退税款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出口退税款</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3,086,568.05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154,328.40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客户二</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客户三</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客户四</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投标保证金</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1年以内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19,897,848.00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99.60%</w:t>
            </w:r>
          </w:p>
        </w:tc>
        <w:tc>
          <w:tcPr>
            <w:tcW w:w="1606"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1,388,424.54</w:t>
            </w:r>
          </w:p>
        </w:tc>
      </w:tr>
    </w:tbl>
    <w:p>
      <w:pPr>
        <w:keepNext/>
        <w:keepLines/>
        <w:spacing w:before="300" w:after="300" w:line="280" w:lineRule="exact"/>
        <w:jc w:val="left"/>
        <w:outlineLvl w:val="4"/>
        <w:rPr>
          <w:rFonts w:ascii="宋体" w:hAnsi="宋体" w:eastAsia="宋体" w:cs="宋体"/>
          <w:b/>
          <w:bCs/>
          <w:sz w:val="18"/>
          <w:szCs w:val="18"/>
        </w:rPr>
      </w:pPr>
      <w:bookmarkStart w:id="477" w:name="_Toc989366"/>
      <w:r>
        <w:rPr>
          <w:rFonts w:ascii="宋体" w:hAnsi="宋体" w:eastAsia="宋体" w:cs="宋体"/>
          <w:b/>
          <w:bCs/>
          <w:sz w:val="18"/>
          <w:szCs w:val="18"/>
        </w:rPr>
        <w:t>6） 涉及政府补助的应收款项</w:t>
      </w:r>
      <w:bookmarkEnd w:id="477"/>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预计收取的时间、金额及依据</w:t>
            </w:r>
          </w:p>
        </w:tc>
      </w:tr>
    </w:tbl>
    <w:p>
      <w:pPr>
        <w:keepNext/>
        <w:keepLines/>
        <w:spacing w:before="300" w:after="300" w:line="280" w:lineRule="exact"/>
        <w:jc w:val="left"/>
        <w:outlineLvl w:val="4"/>
        <w:rPr>
          <w:rFonts w:ascii="宋体" w:hAnsi="宋体" w:eastAsia="宋体" w:cs="宋体"/>
          <w:b/>
          <w:bCs/>
          <w:sz w:val="18"/>
          <w:szCs w:val="18"/>
        </w:rPr>
      </w:pPr>
      <w:bookmarkStart w:id="478" w:name="_Toc989367"/>
      <w:r>
        <w:rPr>
          <w:rFonts w:ascii="宋体" w:hAnsi="宋体" w:eastAsia="宋体" w:cs="宋体"/>
          <w:b/>
          <w:bCs/>
          <w:sz w:val="18"/>
          <w:szCs w:val="18"/>
        </w:rPr>
        <w:t>7） 因金融资产转移而终止确认的其他应收款</w:t>
      </w:r>
      <w:bookmarkEnd w:id="478"/>
    </w:p>
    <w:p>
      <w:pPr>
        <w:keepNext/>
        <w:keepLines/>
        <w:spacing w:before="300" w:after="300" w:line="280" w:lineRule="exact"/>
        <w:jc w:val="left"/>
        <w:outlineLvl w:val="4"/>
        <w:rPr>
          <w:rFonts w:ascii="宋体" w:hAnsi="宋体" w:eastAsia="宋体" w:cs="宋体"/>
          <w:b/>
          <w:bCs/>
          <w:sz w:val="18"/>
          <w:szCs w:val="18"/>
        </w:rPr>
      </w:pPr>
      <w:bookmarkStart w:id="479" w:name="_Toc989368"/>
      <w:r>
        <w:rPr>
          <w:rFonts w:ascii="宋体" w:hAnsi="宋体" w:eastAsia="宋体" w:cs="宋体"/>
          <w:b/>
          <w:bCs/>
          <w:sz w:val="18"/>
          <w:szCs w:val="18"/>
        </w:rPr>
        <w:t>8） 转移其他应收款且继续涉入形成的资产、负债金额</w:t>
      </w:r>
      <w:bookmarkEnd w:id="479"/>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80" w:name="_Toc989369"/>
      <w:r>
        <w:rPr>
          <w:rFonts w:ascii="宋体" w:hAnsi="宋体" w:eastAsia="宋体" w:cs="宋体"/>
          <w:b/>
          <w:bCs/>
          <w:sz w:val="21"/>
          <w:szCs w:val="21"/>
        </w:rPr>
        <w:t>3、长期股权投资</w:t>
      </w:r>
      <w:bookmarkEnd w:id="480"/>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r>
    </w:tbl>
    <w:p>
      <w:pPr>
        <w:keepNext/>
        <w:keepLines/>
        <w:spacing w:before="300" w:after="300" w:line="280" w:lineRule="exact"/>
        <w:jc w:val="left"/>
        <w:outlineLvl w:val="3"/>
        <w:rPr>
          <w:rFonts w:ascii="宋体" w:hAnsi="宋体" w:eastAsia="宋体" w:cs="宋体"/>
          <w:b/>
          <w:bCs/>
          <w:sz w:val="21"/>
          <w:szCs w:val="21"/>
        </w:rPr>
      </w:pPr>
      <w:bookmarkStart w:id="481" w:name="_Toc989370"/>
      <w:r>
        <w:rPr>
          <w:rFonts w:ascii="宋体" w:hAnsi="宋体" w:eastAsia="宋体" w:cs="宋体"/>
          <w:b/>
          <w:bCs/>
          <w:sz w:val="21"/>
          <w:szCs w:val="21"/>
        </w:rPr>
        <w:t>（1） 对子公司投资</w:t>
      </w:r>
      <w:bookmarkEnd w:id="481"/>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5"/>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青岛伟隆五金机械有限公司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青岛伟隆流体设备有限公司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莱州伟隆阀门有限公司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167,988,288.38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青岛卓信检测技术有限责任公司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偉隆（香港）實業有限公司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318,465.00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青岛即聚机电有限责任公司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海南伟隆投资有限公司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Company  Limited（英国公司）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Weflo Valve LLC（美国公司）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308,136.00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242,362,726.25</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8,247,836.87</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294,114,889.38</w:t>
            </w:r>
          </w:p>
        </w:tc>
        <w:tc>
          <w:tcPr>
            <w:tcW w:w="1205"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bl>
    <w:p>
      <w:pPr>
        <w:keepNext/>
        <w:keepLines/>
        <w:spacing w:before="300" w:after="300" w:line="280" w:lineRule="exact"/>
        <w:jc w:val="left"/>
        <w:outlineLvl w:val="3"/>
        <w:rPr>
          <w:rFonts w:ascii="宋体" w:hAnsi="宋体" w:eastAsia="宋体" w:cs="宋体"/>
          <w:b/>
          <w:bCs/>
          <w:sz w:val="21"/>
          <w:szCs w:val="21"/>
        </w:rPr>
      </w:pPr>
      <w:bookmarkStart w:id="482" w:name="_Toc989371"/>
      <w:r>
        <w:rPr>
          <w:rFonts w:ascii="宋体" w:hAnsi="宋体" w:eastAsia="宋体" w:cs="宋体"/>
          <w:b/>
          <w:bCs/>
          <w:sz w:val="21"/>
          <w:szCs w:val="21"/>
        </w:rPr>
        <w:t>（2） 对联营、合营企业投资</w:t>
      </w:r>
      <w:bookmarkEnd w:id="482"/>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二、联营企业</w:t>
            </w:r>
          </w:p>
        </w:tc>
      </w:tr>
    </w:tbl>
    <w:p>
      <w:pPr>
        <w:keepNext/>
        <w:keepLines/>
        <w:spacing w:before="300" w:after="300" w:line="280" w:lineRule="exact"/>
        <w:jc w:val="left"/>
        <w:outlineLvl w:val="3"/>
        <w:rPr>
          <w:rFonts w:ascii="宋体" w:hAnsi="宋体" w:eastAsia="宋体" w:cs="宋体"/>
          <w:b/>
          <w:bCs/>
          <w:sz w:val="21"/>
          <w:szCs w:val="21"/>
        </w:rPr>
      </w:pPr>
      <w:bookmarkStart w:id="483" w:name="_Toc989372"/>
      <w:r>
        <w:rPr>
          <w:rFonts w:ascii="宋体" w:hAnsi="宋体" w:eastAsia="宋体" w:cs="宋体"/>
          <w:b/>
          <w:bCs/>
          <w:sz w:val="21"/>
          <w:szCs w:val="21"/>
        </w:rPr>
        <w:t>（3） 其他说明</w:t>
      </w:r>
      <w:bookmarkEnd w:id="483"/>
    </w:p>
    <w:p>
      <w:pPr>
        <w:keepNext/>
        <w:keepLines/>
        <w:spacing w:before="300" w:after="300" w:line="280" w:lineRule="exact"/>
        <w:jc w:val="left"/>
        <w:outlineLvl w:val="2"/>
        <w:rPr>
          <w:rFonts w:ascii="宋体" w:hAnsi="宋体" w:eastAsia="宋体" w:cs="宋体"/>
          <w:b/>
          <w:bCs/>
          <w:sz w:val="21"/>
          <w:szCs w:val="21"/>
        </w:rPr>
      </w:pPr>
      <w:bookmarkStart w:id="484" w:name="_Toc989373"/>
      <w:r>
        <w:rPr>
          <w:rFonts w:ascii="宋体" w:hAnsi="宋体" w:eastAsia="宋体" w:cs="宋体"/>
          <w:b/>
          <w:bCs/>
          <w:sz w:val="21"/>
          <w:szCs w:val="21"/>
        </w:rPr>
        <w:t>4、营业收入和营业成本</w:t>
      </w:r>
      <w:bookmarkEnd w:id="484"/>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222,991,988.84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148,831,025.00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153,374,710.71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103,789,837.17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1,860,023.35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360,923.96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185,336.68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150,691,048.35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153,735,634.67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103,975,173.85</w:t>
            </w:r>
          </w:p>
        </w:tc>
      </w:tr>
    </w:tbl>
    <w:p>
      <w:pPr>
        <w:spacing w:before="100" w:after="40" w:line="240" w:lineRule="exact"/>
        <w:jc w:val="left"/>
        <w:rPr>
          <w:rFonts w:ascii="宋体" w:hAnsi="宋体" w:eastAsia="宋体" w:cs="宋体"/>
          <w:sz w:val="18"/>
          <w:szCs w:val="18"/>
        </w:rPr>
      </w:pPr>
      <w:r>
        <w:rPr>
          <w:rFonts w:ascii="宋体" w:hAnsi="宋体" w:eastAsia="宋体" w:cs="宋体"/>
          <w:sz w:val="18"/>
          <w:szCs w:val="18"/>
        </w:rPr>
        <w:t>收入相关信息：</w:t>
      </w:r>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center"/>
              <w:rPr>
                <w:rFonts w:ascii="宋体" w:hAnsi="宋体" w:eastAsia="宋体" w:cs="宋体"/>
                <w:sz w:val="18"/>
                <w:szCs w:val="18"/>
              </w:rPr>
            </w:pPr>
            <w:r>
              <w:rPr>
                <w:rFonts w:ascii="宋体" w:hAnsi="宋体" w:eastAsia="宋体" w:cs="宋体"/>
                <w:sz w:val="18"/>
                <w:szCs w:val="18"/>
              </w:rPr>
              <w:t>2022年1-6月</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189,104,339.08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过滤器销售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12,644,473.25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阀门零件及管件销售</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21,243,176.51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汽车配件</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2,430,987.02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内销收入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35,189,632.75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出口收入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190,233,343.11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225,422,975.86</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与履约义务相关的信息：</w:t>
      </w:r>
    </w:p>
    <w:p>
      <w:pPr>
        <w:pStyle w:val="3"/>
        <w:keepNext w:val="0"/>
        <w:keepLines w:val="0"/>
        <w:widowControl/>
        <w:suppressLineNumbers w:val="0"/>
      </w:pPr>
      <w:r>
        <w:rPr>
          <w:rFonts w:hint="eastAsia" w:ascii="宋体" w:hAnsi="宋体" w:eastAsia="宋体" w:cs="宋体"/>
          <w:sz w:val="18"/>
          <w:szCs w:val="18"/>
        </w:rPr>
        <w:t>无</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与分摊至剩余履约义务的交易价格相关的信息：</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本报告期末已签订合同、但尚未履行或尚未履行完毕的履约义务所对应的收入金额为201,656,594.30元，其中，201,466,420.06元预计将于2022年度确认收入，190,174.24元预计将于2023年度确认收入。</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其他说明：</w:t>
      </w:r>
    </w:p>
    <w:p>
      <w:pPr>
        <w:keepNext/>
        <w:keepLines/>
        <w:spacing w:before="300" w:after="300" w:line="280" w:lineRule="exact"/>
        <w:jc w:val="left"/>
        <w:outlineLvl w:val="2"/>
        <w:rPr>
          <w:rFonts w:ascii="宋体" w:hAnsi="宋体" w:eastAsia="宋体" w:cs="宋体"/>
          <w:b/>
          <w:bCs/>
          <w:sz w:val="21"/>
          <w:szCs w:val="21"/>
        </w:rPr>
      </w:pPr>
      <w:bookmarkStart w:id="485" w:name="_Toc989374"/>
      <w:r>
        <w:rPr>
          <w:rFonts w:ascii="宋体" w:hAnsi="宋体" w:eastAsia="宋体" w:cs="宋体"/>
          <w:b/>
          <w:bCs/>
          <w:sz w:val="21"/>
          <w:szCs w:val="21"/>
        </w:rPr>
        <w:t>5、投资收益</w:t>
      </w:r>
      <w:bookmarkEnd w:id="485"/>
    </w:p>
    <w:p>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理财产品收益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3,769,324.97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9,959,135.40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外汇期权收益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处置子公司产生的投资收益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41,752,163.13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远期结售汇损失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大额存单利息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1,083,525.55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46,605,013.65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10,014,385.40</w:t>
            </w:r>
          </w:p>
        </w:tc>
      </w:tr>
    </w:tbl>
    <w:p>
      <w:pPr>
        <w:keepNext/>
        <w:keepLines/>
        <w:spacing w:before="300" w:after="300" w:line="280" w:lineRule="exact"/>
        <w:jc w:val="left"/>
        <w:outlineLvl w:val="2"/>
        <w:rPr>
          <w:rFonts w:ascii="宋体" w:hAnsi="宋体" w:eastAsia="宋体" w:cs="宋体"/>
          <w:b/>
          <w:bCs/>
          <w:sz w:val="21"/>
          <w:szCs w:val="21"/>
        </w:rPr>
      </w:pPr>
      <w:bookmarkStart w:id="486" w:name="_Toc989375"/>
      <w:r>
        <w:rPr>
          <w:rFonts w:ascii="宋体" w:hAnsi="宋体" w:eastAsia="宋体" w:cs="宋体"/>
          <w:b/>
          <w:bCs/>
          <w:sz w:val="21"/>
          <w:szCs w:val="21"/>
        </w:rPr>
        <w:t>6、其他</w:t>
      </w:r>
      <w:bookmarkEnd w:id="486"/>
    </w:p>
    <w:p>
      <w:pPr>
        <w:keepNext/>
        <w:keepLines/>
        <w:spacing w:before="300" w:after="300" w:line="320" w:lineRule="exact"/>
        <w:jc w:val="left"/>
        <w:outlineLvl w:val="1"/>
        <w:rPr>
          <w:rFonts w:ascii="宋体" w:hAnsi="宋体" w:eastAsia="宋体" w:cs="宋体"/>
          <w:b/>
          <w:bCs/>
          <w:sz w:val="24"/>
          <w:szCs w:val="24"/>
        </w:rPr>
      </w:pPr>
      <w:bookmarkStart w:id="487" w:name="_Toc989376"/>
      <w:r>
        <w:rPr>
          <w:rFonts w:ascii="宋体" w:hAnsi="宋体" w:eastAsia="宋体" w:cs="宋体"/>
          <w:b/>
          <w:bCs/>
          <w:sz w:val="24"/>
          <w:szCs w:val="24"/>
        </w:rPr>
        <w:t>十八、补充资料</w:t>
      </w:r>
      <w:bookmarkEnd w:id="487"/>
    </w:p>
    <w:p>
      <w:pPr>
        <w:keepNext/>
        <w:keepLines/>
        <w:spacing w:before="300" w:after="300" w:line="280" w:lineRule="exact"/>
        <w:jc w:val="left"/>
        <w:outlineLvl w:val="2"/>
        <w:rPr>
          <w:rFonts w:ascii="宋体" w:hAnsi="宋体" w:eastAsia="宋体" w:cs="宋体"/>
          <w:b/>
          <w:bCs/>
          <w:sz w:val="21"/>
          <w:szCs w:val="21"/>
        </w:rPr>
      </w:pPr>
      <w:bookmarkStart w:id="488" w:name="_Toc989377"/>
      <w:r>
        <w:rPr>
          <w:rFonts w:ascii="宋体" w:hAnsi="宋体" w:eastAsia="宋体" w:cs="宋体"/>
          <w:b/>
          <w:bCs/>
          <w:sz w:val="21"/>
          <w:szCs w:val="21"/>
        </w:rPr>
        <w:t>1、当期非经常性损益明细表</w:t>
      </w:r>
      <w:bookmarkEnd w:id="488"/>
    </w:p>
    <w:p>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非流动资产处置损益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15,007.55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主要系本期处置资产减少导致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1,866,501.19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委托他人投资或管理资产的损益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4,852,850.52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主要系本期理财到期减少所致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2,228,885.52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主要系投资基金预计收益增多所致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-258,040.13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主要系处置资产支出较多所致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处置子公司资产收益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41,641,161.86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主要系处置子公司股权所致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7,461,480.37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42,884,886.14</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pPr>
        <w:spacing w:before="100" w:after="100" w:line="240" w:lineRule="exact"/>
        <w:jc w:val="left"/>
        <w:rPr>
          <w:rFonts w:ascii="宋体" w:hAnsi="宋体" w:eastAsia="宋体" w:cs="宋体"/>
          <w:sz w:val="18"/>
          <w:szCs w:val="18"/>
        </w:rPr>
      </w:pPr>
      <w:r>
        <w:rPr>
          <w:rFonts w:ascii="宋体" w:hAnsi="宋体" w:eastAsia="宋体" w:cs="宋体"/>
          <w:sz w:val="18"/>
          <w:szCs w:val="18"/>
        </w:rPr>
        <w:t>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2"/>
        <w:rPr>
          <w:rFonts w:ascii="宋体" w:hAnsi="宋体" w:eastAsia="宋体" w:cs="宋体"/>
          <w:b/>
          <w:bCs/>
          <w:sz w:val="21"/>
          <w:szCs w:val="21"/>
        </w:rPr>
      </w:pPr>
      <w:bookmarkStart w:id="489" w:name="_Toc989378"/>
      <w:r>
        <w:rPr>
          <w:rFonts w:ascii="宋体" w:hAnsi="宋体" w:eastAsia="宋体" w:cs="宋体"/>
          <w:b/>
          <w:bCs/>
          <w:sz w:val="21"/>
          <w:szCs w:val="21"/>
        </w:rPr>
        <w:t>2、净资产收益率及每股收益</w:t>
      </w:r>
      <w:bookmarkEnd w:id="489"/>
    </w:p>
    <w:tbl>
      <w:tblPr>
        <w:tblStyle w:val="4"/>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10"/>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5.35%</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c>
          <w:tcPr>
            <w:tcW w:w="2410"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0.21</w:t>
            </w:r>
          </w:p>
        </w:tc>
      </w:tr>
    </w:tbl>
    <w:p>
      <w:pPr>
        <w:keepNext/>
        <w:keepLines/>
        <w:spacing w:before="300" w:after="300" w:line="280" w:lineRule="exact"/>
        <w:jc w:val="left"/>
        <w:outlineLvl w:val="2"/>
        <w:rPr>
          <w:rFonts w:ascii="宋体" w:hAnsi="宋体" w:eastAsia="宋体" w:cs="宋体"/>
          <w:b/>
          <w:bCs/>
          <w:sz w:val="21"/>
          <w:szCs w:val="21"/>
        </w:rPr>
      </w:pPr>
      <w:bookmarkStart w:id="490" w:name="_Toc989379"/>
      <w:r>
        <w:rPr>
          <w:rFonts w:ascii="宋体" w:hAnsi="宋体" w:eastAsia="宋体" w:cs="宋体"/>
          <w:b/>
          <w:bCs/>
          <w:sz w:val="21"/>
          <w:szCs w:val="21"/>
        </w:rPr>
        <w:t>3、境内外会计准则下会计数据差异</w:t>
      </w:r>
      <w:bookmarkEnd w:id="490"/>
    </w:p>
    <w:p>
      <w:pPr>
        <w:keepNext/>
        <w:keepLines/>
        <w:spacing w:before="300" w:after="300" w:line="280" w:lineRule="exact"/>
        <w:jc w:val="left"/>
        <w:outlineLvl w:val="3"/>
        <w:rPr>
          <w:rFonts w:ascii="宋体" w:hAnsi="宋体" w:eastAsia="宋体" w:cs="宋体"/>
          <w:b/>
          <w:bCs/>
          <w:sz w:val="21"/>
          <w:szCs w:val="21"/>
        </w:rPr>
      </w:pPr>
      <w:bookmarkStart w:id="491" w:name="_Toc989380"/>
      <w:r>
        <w:rPr>
          <w:rFonts w:ascii="宋体" w:hAnsi="宋体" w:eastAsia="宋体" w:cs="宋体"/>
          <w:b/>
          <w:bCs/>
          <w:sz w:val="21"/>
          <w:szCs w:val="21"/>
        </w:rPr>
        <w:t>（1） 同时按照国际会计准则与按中国会计准则披露的财务报告中净利润和净资产差异情况</w:t>
      </w:r>
      <w:bookmarkEnd w:id="491"/>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92" w:name="_Toc989381"/>
      <w:r>
        <w:rPr>
          <w:rFonts w:ascii="宋体" w:hAnsi="宋体" w:eastAsia="宋体" w:cs="宋体"/>
          <w:b/>
          <w:bCs/>
          <w:sz w:val="21"/>
          <w:szCs w:val="21"/>
        </w:rPr>
        <w:t>（2） 同时按照境外会计准则与按中国会计准则披露的财务报告中净利润和净资产差异情况</w:t>
      </w:r>
      <w:bookmarkEnd w:id="492"/>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280" w:lineRule="exact"/>
        <w:jc w:val="left"/>
        <w:outlineLvl w:val="3"/>
        <w:rPr>
          <w:rFonts w:ascii="宋体" w:hAnsi="宋体" w:eastAsia="宋体" w:cs="宋体"/>
          <w:b/>
          <w:bCs/>
          <w:sz w:val="21"/>
          <w:szCs w:val="21"/>
        </w:rPr>
      </w:pPr>
      <w:bookmarkStart w:id="493" w:name="_Toc989382"/>
      <w:r>
        <w:rPr>
          <w:rFonts w:ascii="宋体" w:hAnsi="宋体" w:eastAsia="宋体" w:cs="宋体"/>
          <w:b/>
          <w:bCs/>
          <w:sz w:val="21"/>
          <w:szCs w:val="21"/>
        </w:rPr>
        <w:t>（3） 境内外会计准则下会计数据差异原因说明，对已经境外审计机构审计的数据进行差异调节的，应注明该境外机构的名称</w:t>
      </w:r>
      <w:bookmarkEnd w:id="493"/>
    </w:p>
    <w:p>
      <w:pPr>
        <w:keepNext/>
        <w:keepLines/>
        <w:spacing w:before="300" w:after="300" w:line="280" w:lineRule="exact"/>
        <w:jc w:val="left"/>
        <w:outlineLvl w:val="2"/>
        <w:rPr>
          <w:rFonts w:ascii="宋体" w:hAnsi="宋体" w:eastAsia="宋体" w:cs="宋体"/>
          <w:b/>
          <w:bCs/>
          <w:sz w:val="21"/>
          <w:szCs w:val="21"/>
        </w:rPr>
      </w:pPr>
      <w:bookmarkStart w:id="494" w:name="_Toc989383"/>
      <w:r>
        <w:rPr>
          <w:rFonts w:ascii="宋体" w:hAnsi="宋体" w:eastAsia="宋体" w:cs="宋体"/>
          <w:b/>
          <w:bCs/>
          <w:sz w:val="21"/>
          <w:szCs w:val="21"/>
        </w:rPr>
        <w:t>4、其他</w:t>
      </w:r>
      <w:bookmarkEnd w:id="494"/>
    </w:p>
    <w:p>
      <w:pPr>
        <w:keepNext/>
        <w:keepLines/>
        <w:spacing w:before="300" w:after="300" w:line="280" w:lineRule="exact"/>
        <w:jc w:val="left"/>
        <w:outlineLvl w:val="2"/>
        <w:rPr>
          <w:rFonts w:ascii="宋体" w:hAnsi="宋体" w:eastAsia="宋体" w:cs="宋体"/>
          <w:b/>
          <w:bCs/>
          <w:sz w:val="21"/>
          <w:szCs w:val="21"/>
        </w:rPr>
      </w:pPr>
    </w:p>
    <w:p>
      <w:pPr>
        <w:autoSpaceDE w:val="0"/>
        <w:autoSpaceDN w:val="0"/>
        <w:adjustRightInd w:val="0"/>
        <w:spacing w:before="0" w:after="0"/>
        <w:jc w:val="right"/>
        <w:rPr>
          <w:rFonts w:hint="eastAsia" w:ascii="宋体"/>
          <w:sz w:val="18"/>
          <w:szCs w:val="24"/>
          <w:lang w:val="zh-CN"/>
        </w:rPr>
      </w:pPr>
      <w:r>
        <w:rPr>
          <w:rFonts w:hint="eastAsia" w:ascii="宋体"/>
          <w:sz w:val="18"/>
          <w:szCs w:val="24"/>
          <w:lang w:val="zh-CN"/>
        </w:rPr>
        <w:t>青岛伟隆阀门股份有限公司</w:t>
      </w:r>
    </w:p>
    <w:p>
      <w:pPr>
        <w:wordWrap w:val="0"/>
        <w:autoSpaceDE w:val="0"/>
        <w:autoSpaceDN w:val="0"/>
        <w:adjustRightInd w:val="0"/>
        <w:spacing w:before="0" w:after="0"/>
        <w:jc w:val="right"/>
        <w:rPr>
          <w:rFonts w:hint="eastAsia" w:ascii="宋体"/>
          <w:sz w:val="18"/>
          <w:szCs w:val="24"/>
        </w:rPr>
      </w:pPr>
      <w:r>
        <w:rPr>
          <w:rFonts w:hint="eastAsia" w:ascii="宋体"/>
          <w:sz w:val="18"/>
          <w:szCs w:val="24"/>
          <w:lang w:val="zh-CN"/>
        </w:rPr>
        <w:t>董事长：范庆伟</w:t>
      </w:r>
      <w:r>
        <w:rPr>
          <w:rFonts w:hint="eastAsia" w:ascii="宋体"/>
          <w:sz w:val="18"/>
          <w:szCs w:val="24"/>
        </w:rPr>
        <w:t xml:space="preserve">    </w:t>
      </w: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r>
        <w:rPr>
          <w:rFonts w:hint="eastAsia" w:ascii="宋体"/>
          <w:sz w:val="18"/>
          <w:szCs w:val="24"/>
        </w:rPr>
        <w:t xml:space="preserve"> </w:t>
      </w:r>
      <w:r>
        <w:rPr>
          <w:rFonts w:hint="eastAsia" w:ascii="宋体"/>
          <w:sz w:val="18"/>
          <w:szCs w:val="24"/>
          <w:u w:val="single"/>
        </w:rPr>
        <w:t xml:space="preserve">                       </w:t>
      </w:r>
    </w:p>
    <w:p>
      <w:pPr>
        <w:wordWrap w:val="0"/>
        <w:autoSpaceDE w:val="0"/>
        <w:autoSpaceDN w:val="0"/>
        <w:adjustRightInd w:val="0"/>
        <w:spacing w:before="0" w:after="0"/>
        <w:jc w:val="right"/>
        <w:rPr>
          <w:rFonts w:ascii="宋体" w:hAnsi="宋体" w:eastAsia="宋体" w:cs="宋体"/>
          <w:b/>
          <w:bCs/>
          <w:sz w:val="21"/>
          <w:szCs w:val="21"/>
        </w:rPr>
      </w:pPr>
      <w:r>
        <w:rPr>
          <w:rFonts w:hint="eastAsia" w:ascii="宋体"/>
          <w:sz w:val="18"/>
          <w:szCs w:val="24"/>
        </w:rPr>
        <w:t>202</w:t>
      </w:r>
      <w:r>
        <w:rPr>
          <w:rFonts w:hint="default" w:ascii="宋体"/>
          <w:sz w:val="18"/>
          <w:szCs w:val="24"/>
          <w:lang w:val="en-US"/>
        </w:rPr>
        <w:t>2</w:t>
      </w:r>
      <w:r>
        <w:rPr>
          <w:rFonts w:hint="eastAsia" w:ascii="宋体"/>
          <w:sz w:val="18"/>
          <w:szCs w:val="24"/>
        </w:rPr>
        <w:t>年8月</w:t>
      </w:r>
      <w:r>
        <w:rPr>
          <w:rFonts w:hint="default" w:ascii="宋体"/>
          <w:sz w:val="18"/>
          <w:szCs w:val="24"/>
          <w:lang w:val="en-US"/>
        </w:rPr>
        <w:t>30</w:t>
      </w:r>
      <w:r>
        <w:rPr>
          <w:rFonts w:hint="eastAsia" w:ascii="宋体"/>
          <w:sz w:val="18"/>
          <w:szCs w:val="24"/>
        </w:rPr>
        <w:t xml:space="preserve">日     </w:t>
      </w:r>
    </w:p>
    <w:p>
      <w:pPr>
        <w:keepNext/>
        <w:keepLines/>
        <w:spacing w:before="300" w:after="300" w:line="280" w:lineRule="exact"/>
        <w:jc w:val="left"/>
        <w:outlineLvl w:val="2"/>
        <w:rPr>
          <w:rFonts w:ascii="宋体" w:hAnsi="宋体" w:eastAsia="宋体" w:cs="宋体"/>
          <w:b/>
          <w:bCs/>
          <w:sz w:val="21"/>
          <w:szCs w:val="21"/>
        </w:rPr>
      </w:pP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青岛伟隆阀门股份有限公司2022年半年度报告全文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
  <w:docVars>
    <w:docVar w:name="commondata" w:val="eyJoZGlkIjoiOTRiYWIwNzkzYTg0MzhhYmIxYTgwNmNhNDYxODQzNjMifQ=="/>
  </w:docVars>
  <w:rsids>
    <w:rsidRoot w:val="00000000"/>
    <w:rsid w:val="00A04F38"/>
    <w:rsid w:val="08D3630F"/>
    <w:rsid w:val="21DF4699"/>
    <w:rsid w:val="2E1A232E"/>
    <w:rsid w:val="30A8207E"/>
    <w:rsid w:val="3ED84E24"/>
    <w:rsid w:val="448B4F5C"/>
    <w:rsid w:val="465A5140"/>
    <w:rsid w:val="52CF79C3"/>
    <w:rsid w:val="61B93E5A"/>
    <w:rsid w:val="647165B4"/>
    <w:rsid w:val="72240A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169</Pages>
  <Words>94761</Words>
  <Characters>119088</Characters>
  <TotalTime>19</TotalTime>
  <ScaleCrop>false</ScaleCrop>
  <LinksUpToDate>false</LinksUpToDate>
  <CharactersWithSpaces>119807</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2022-08-26T01:11:00Z</dcterms:created>
  <dc:creator>Administrator.WINMICR-GFJCHI7</dc:creator>
  <cp:lastModifiedBy>Mr.翔</cp:lastModifiedBy>
  <dcterms:modified xsi:type="dcterms:W3CDTF">2022-08-31T03:53:07Z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E370611EC1054F76A83F6B1AEB54B753</vt:lpwstr>
  </property>
</Properties>
</file>