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0" w:after="0" w:line="773" w:lineRule="exact"/>
        <w:jc w:val="center"/>
        <w:rPr>
          <w:rFonts w:ascii="宋体" w:hAnsi="宋体" w:eastAsia="宋体" w:cs="宋体"/>
          <w:b/>
          <w:bCs/>
          <w:sz w:val="36"/>
          <w:szCs w:val="36"/>
        </w:rPr>
      </w:pPr>
      <w:bookmarkStart w:id="0" w:name="_Toc988889"/>
      <w:r>
        <w:rPr>
          <w:rFonts w:ascii="宋体" w:hAnsi="宋体" w:eastAsia="宋体" w:cs="宋体"/>
          <w:b/>
          <w:bCs/>
          <w:sz w:val="36"/>
          <w:szCs w:val="36"/>
        </w:rPr>
        <w:t>青岛伟隆阀门股份有限公司</w:t>
      </w:r>
    </w:p>
    <w:p>
      <w:pPr>
        <w:spacing w:before="1000" w:after="0" w:line="320" w:lineRule="exact"/>
        <w:jc w:val="center"/>
        <w:rPr>
          <w:rFonts w:ascii="宋体" w:hAnsi="宋体" w:eastAsia="宋体" w:cs="宋体"/>
          <w:b/>
          <w:bCs/>
          <w:sz w:val="32"/>
          <w:szCs w:val="32"/>
        </w:rPr>
      </w:pPr>
      <w:r>
        <w:rPr>
          <w:rFonts w:ascii="宋体" w:hAnsi="宋体" w:eastAsia="宋体" w:cs="宋体"/>
          <w:b/>
          <w:bCs/>
          <w:sz w:val="32"/>
          <w:szCs w:val="32"/>
        </w:rPr>
        <w:t>2022年半年度</w:t>
      </w:r>
      <w:r>
        <w:rPr>
          <w:rFonts w:hint="eastAsia" w:ascii="宋体" w:hAnsi="宋体" w:cs="宋体"/>
          <w:b/>
          <w:bCs/>
          <w:sz w:val="32"/>
          <w:szCs w:val="32"/>
          <w:lang w:eastAsia="zh-CN"/>
        </w:rPr>
        <w:t>财务</w:t>
      </w:r>
      <w:r>
        <w:rPr>
          <w:rFonts w:ascii="宋体" w:hAnsi="宋体" w:eastAsia="宋体" w:cs="宋体"/>
          <w:b/>
          <w:bCs/>
          <w:sz w:val="32"/>
          <w:szCs w:val="32"/>
        </w:rPr>
        <w:t>报告</w:t>
      </w:r>
    </w:p>
    <w:p>
      <w:pPr>
        <w:spacing w:before="1000" w:after="1000" w:line="0" w:lineRule="exact"/>
        <w:jc w:val="center"/>
        <w:rPr>
          <w:rFonts w:ascii="Times New Roman" w:hAnsi="Times New Roman" w:eastAsia="宋体" w:cs="Times New Roman"/>
        </w:rPr>
      </w:pPr>
    </w:p>
    <w:p>
      <w:pPr>
        <w:spacing w:before="1000" w:after="1000" w:line="0" w:lineRule="exact"/>
        <w:jc w:val="center"/>
        <w:rPr>
          <w:rFonts w:ascii="Times New Roman" w:hAnsi="Times New Roman" w:eastAsia="宋体" w:cs="Times New Roman"/>
        </w:rPr>
      </w:pPr>
      <w:r>
        <w:rPr>
          <w:rFonts w:ascii="Times New Roman" w:hAnsi="Times New Roman" w:eastAsia="宋体" w:cs="Times New Roman"/>
        </w:rPr>
        <w:drawing>
          <wp:inline distT="0" distB="0" distL="0" distR="0">
            <wp:extent cx="1882775" cy="504825"/>
            <wp:effectExtent l="0" t="0" r="317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6" cstate="print"/>
                    <a:stretch>
                      <a:fillRect/>
                    </a:stretch>
                  </pic:blipFill>
                  <pic:spPr>
                    <a:xfrm>
                      <a:off x="0" y="0"/>
                      <a:ext cx="1882775" cy="504825"/>
                    </a:xfrm>
                    <a:prstGeom prst="rect">
                      <a:avLst/>
                    </a:prstGeom>
                  </pic:spPr>
                </pic:pic>
              </a:graphicData>
            </a:graphic>
          </wp:inline>
        </w:drawing>
      </w:r>
    </w:p>
    <w:p>
      <w:pPr>
        <w:spacing w:before="1000" w:after="1000" w:line="0" w:lineRule="exact"/>
        <w:jc w:val="center"/>
        <w:rPr>
          <w:rFonts w:ascii="Times New Roman" w:hAnsi="Times New Roman" w:eastAsia="宋体" w:cs="Times New Roman"/>
        </w:rPr>
      </w:pPr>
    </w:p>
    <w:p>
      <w:pPr>
        <w:spacing w:before="1000" w:after="1000" w:line="0" w:lineRule="exact"/>
        <w:jc w:val="center"/>
        <w:rPr>
          <w:rFonts w:ascii="Times New Roman" w:hAnsi="Times New Roman" w:eastAsia="宋体" w:cs="Times New Roman"/>
        </w:rPr>
      </w:pPr>
    </w:p>
    <w:p>
      <w:pPr>
        <w:spacing w:before="1000" w:after="1000" w:line="0" w:lineRule="exact"/>
        <w:jc w:val="center"/>
        <w:rPr>
          <w:rFonts w:ascii="Times New Roman" w:hAnsi="Times New Roman" w:eastAsia="宋体" w:cs="Times New Roman"/>
        </w:rPr>
      </w:pPr>
    </w:p>
    <w:p>
      <w:pPr>
        <w:spacing w:before="1000" w:after="0" w:line="320" w:lineRule="exact"/>
        <w:jc w:val="center"/>
        <w:rPr>
          <w:rFonts w:ascii="宋体" w:hAnsi="宋体" w:eastAsia="宋体" w:cs="宋体"/>
          <w:b/>
          <w:bCs/>
          <w:sz w:val="32"/>
          <w:szCs w:val="32"/>
        </w:rPr>
      </w:pPr>
      <w:r>
        <w:rPr>
          <w:rFonts w:hint="eastAsia" w:ascii="宋体" w:hAnsi="宋体" w:eastAsia="宋体" w:cs="宋体"/>
          <w:b/>
          <w:bCs/>
          <w:sz w:val="32"/>
          <w:szCs w:val="32"/>
          <w:lang w:eastAsia="zh-CN"/>
        </w:rPr>
        <w:t>二零二二年八月</w:t>
      </w:r>
      <w:r>
        <w:rPr>
          <w:rFonts w:ascii="宋体" w:hAnsi="宋体" w:eastAsia="宋体" w:cs="宋体"/>
          <w:b/>
          <w:bCs/>
          <w:sz w:val="32"/>
          <w:szCs w:val="32"/>
        </w:rPr>
        <w:br w:type="page"/>
      </w:r>
    </w:p>
    <w:bookmarkEnd w:id="0"/>
    <w:p>
      <w:pPr>
        <w:keepNext/>
        <w:keepLines/>
        <w:spacing w:before="300" w:after="300" w:line="320" w:lineRule="exact"/>
        <w:jc w:val="left"/>
        <w:outlineLvl w:val="1"/>
        <w:rPr>
          <w:rFonts w:ascii="宋体" w:hAnsi="宋体" w:eastAsia="宋体" w:cs="宋体"/>
          <w:b/>
          <w:bCs/>
          <w:sz w:val="24"/>
          <w:szCs w:val="24"/>
        </w:rPr>
      </w:pPr>
      <w:bookmarkStart w:id="1" w:name="_Toc988976"/>
      <w:r>
        <w:rPr>
          <w:rFonts w:ascii="宋体" w:hAnsi="宋体" w:eastAsia="宋体" w:cs="宋体"/>
          <w:b/>
          <w:bCs/>
          <w:sz w:val="24"/>
          <w:szCs w:val="24"/>
        </w:rPr>
        <w:t>一、审计报告</w:t>
      </w:r>
      <w:bookmarkEnd w:id="1"/>
    </w:p>
    <w:p>
      <w:pPr>
        <w:spacing w:before="40" w:after="40" w:line="240" w:lineRule="exact"/>
        <w:jc w:val="left"/>
        <w:rPr>
          <w:rFonts w:ascii="宋体" w:hAnsi="宋体" w:eastAsia="宋体" w:cs="宋体"/>
          <w:sz w:val="18"/>
          <w:szCs w:val="18"/>
        </w:rPr>
      </w:pPr>
      <w:r>
        <w:rPr>
          <w:rFonts w:ascii="宋体" w:hAnsi="宋体" w:eastAsia="宋体" w:cs="宋体"/>
          <w:sz w:val="18"/>
          <w:szCs w:val="18"/>
        </w:rPr>
        <w:t>半年度报告是否经过审计</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公司半年度财务报告未经审计。</w:t>
      </w:r>
    </w:p>
    <w:p>
      <w:pPr>
        <w:keepNext/>
        <w:keepLines/>
        <w:spacing w:before="300" w:after="300" w:line="320" w:lineRule="exact"/>
        <w:jc w:val="left"/>
        <w:outlineLvl w:val="1"/>
        <w:rPr>
          <w:rFonts w:ascii="宋体" w:hAnsi="宋体" w:eastAsia="宋体" w:cs="宋体"/>
          <w:b/>
          <w:bCs/>
          <w:sz w:val="24"/>
          <w:szCs w:val="24"/>
        </w:rPr>
      </w:pPr>
      <w:bookmarkStart w:id="2" w:name="_Toc988977"/>
      <w:r>
        <w:rPr>
          <w:rFonts w:ascii="宋体" w:hAnsi="宋体" w:eastAsia="宋体" w:cs="宋体"/>
          <w:b/>
          <w:bCs/>
          <w:sz w:val="24"/>
          <w:szCs w:val="24"/>
        </w:rPr>
        <w:t>二、财务报表</w:t>
      </w:r>
      <w:bookmarkEnd w:id="2"/>
    </w:p>
    <w:p>
      <w:pPr>
        <w:spacing w:before="40" w:after="40" w:line="240" w:lineRule="exact"/>
        <w:jc w:val="left"/>
        <w:rPr>
          <w:rFonts w:ascii="宋体" w:hAnsi="宋体" w:eastAsia="宋体" w:cs="宋体"/>
          <w:sz w:val="18"/>
          <w:szCs w:val="18"/>
        </w:rPr>
      </w:pPr>
      <w:r>
        <w:rPr>
          <w:rFonts w:ascii="宋体" w:hAnsi="宋体" w:eastAsia="宋体" w:cs="宋体"/>
          <w:sz w:val="18"/>
          <w:szCs w:val="18"/>
        </w:rPr>
        <w:t>财务附注中报表的单位为：元</w:t>
      </w:r>
    </w:p>
    <w:p>
      <w:pPr>
        <w:keepNext/>
        <w:keepLines/>
        <w:spacing w:before="300" w:after="300" w:line="280" w:lineRule="exact"/>
        <w:jc w:val="left"/>
        <w:outlineLvl w:val="2"/>
        <w:rPr>
          <w:rFonts w:ascii="宋体" w:hAnsi="宋体" w:eastAsia="宋体" w:cs="宋体"/>
          <w:b/>
          <w:bCs/>
          <w:sz w:val="21"/>
          <w:szCs w:val="21"/>
        </w:rPr>
      </w:pPr>
      <w:bookmarkStart w:id="3" w:name="_Toc988978"/>
      <w:r>
        <w:rPr>
          <w:rFonts w:ascii="宋体" w:hAnsi="宋体" w:eastAsia="宋体" w:cs="宋体"/>
          <w:b/>
          <w:bCs/>
          <w:sz w:val="21"/>
          <w:szCs w:val="21"/>
        </w:rPr>
        <w:t>1、合并资产负债表</w:t>
      </w:r>
      <w:bookmarkEnd w:id="3"/>
    </w:p>
    <w:p>
      <w:pPr>
        <w:spacing w:before="0" w:after="0" w:line="240" w:lineRule="exact"/>
        <w:jc w:val="left"/>
        <w:rPr>
          <w:rFonts w:ascii="宋体" w:hAnsi="宋体" w:eastAsia="宋体" w:cs="宋体"/>
          <w:sz w:val="18"/>
          <w:szCs w:val="18"/>
        </w:rPr>
      </w:pPr>
      <w:r>
        <w:rPr>
          <w:rFonts w:ascii="宋体" w:hAnsi="宋体" w:eastAsia="宋体" w:cs="宋体"/>
          <w:sz w:val="18"/>
          <w:szCs w:val="18"/>
        </w:rPr>
        <w:t>编制单位：青岛伟隆阀门股份有限公司</w:t>
      </w:r>
    </w:p>
    <w:p>
      <w:pPr>
        <w:spacing w:before="0" w:after="0" w:line="240" w:lineRule="exact"/>
        <w:jc w:val="center"/>
        <w:rPr>
          <w:rFonts w:ascii="宋体" w:hAnsi="宋体" w:eastAsia="宋体" w:cs="宋体"/>
          <w:sz w:val="18"/>
          <w:szCs w:val="18"/>
        </w:rPr>
      </w:pPr>
      <w:r>
        <w:rPr>
          <w:rFonts w:ascii="宋体" w:hAnsi="宋体" w:eastAsia="宋体" w:cs="宋体"/>
          <w:sz w:val="18"/>
          <w:szCs w:val="18"/>
        </w:rPr>
        <w:t>2022年06月30日</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2022年6月30日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102,420,122.94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96,516,652.97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263,634,916.19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78,403,898.49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71,854,562.96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11,585,000.00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4,736,136.75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3,615,789.53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4,872,250.79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6,012,212.39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139,235,786.81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112,522,186.11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60,417,083.36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88,531,081.57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654,184,203.95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579,243,516.20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1,401,508.92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5,578,661.78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240,212,694.52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250,212,871.99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3,814,839.26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33,618,171.53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34,515,647.77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2,211,528.69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1,212,383.99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14,806,099.77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14,220,282.37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449,100.00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296,513,942.69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310,637,024.16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950,698,146.64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889,880,540.36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38,383,222.15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38,786,483.35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53,583,947.06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57,589,689.24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23,047,380.31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16,522,851.95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18,935,479.04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21,462,310.06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17,788,560.81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4,962,868.65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24,138,246.45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34,116,462.22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346,071.61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391,593.99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226,222,907.43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229,332,259.46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10,809,473.07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11,242,874.68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3,503,062.74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3,326,801.66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14,312,535.81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14,569,676.34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240,535,443.24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243,901,935.80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184,759,920.66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181,594,520.64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274,700,962.42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669,208,746.69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40,953,956.71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710,162,703.40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950,698,146.64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889,880,540.36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法定代表人：范庆伟 </w:t>
      </w:r>
      <w:r>
        <w:rPr>
          <w:rFonts w:hint="default" w:ascii="宋体" w:hAnsi="宋体" w:eastAsia="宋体" w:cs="宋体"/>
          <w:sz w:val="18"/>
          <w:szCs w:val="18"/>
          <w:lang w:val="en-US"/>
        </w:rPr>
        <w:t xml:space="preserve">               </w:t>
      </w:r>
      <w:r>
        <w:rPr>
          <w:rFonts w:ascii="宋体" w:hAnsi="宋体" w:eastAsia="宋体" w:cs="宋体"/>
          <w:sz w:val="18"/>
          <w:szCs w:val="18"/>
        </w:rPr>
        <w:t xml:space="preserve">   主管会计工作负责人：迟娜娜   </w:t>
      </w:r>
      <w:r>
        <w:rPr>
          <w:rFonts w:hint="default" w:ascii="宋体" w:hAnsi="宋体" w:eastAsia="宋体" w:cs="宋体"/>
          <w:sz w:val="18"/>
          <w:szCs w:val="18"/>
          <w:lang w:val="en-US"/>
        </w:rPr>
        <w:t xml:space="preserve">              </w:t>
      </w:r>
      <w:r>
        <w:rPr>
          <w:rFonts w:ascii="宋体" w:hAnsi="宋体" w:eastAsia="宋体" w:cs="宋体"/>
          <w:sz w:val="18"/>
          <w:szCs w:val="18"/>
        </w:rPr>
        <w:t xml:space="preserve">   会计机构负责人：王涛</w:t>
      </w:r>
    </w:p>
    <w:p>
      <w:pPr>
        <w:keepNext/>
        <w:keepLines/>
        <w:spacing w:before="300" w:after="300" w:line="320" w:lineRule="exact"/>
        <w:jc w:val="left"/>
        <w:outlineLvl w:val="2"/>
        <w:rPr>
          <w:rFonts w:ascii="宋体" w:hAnsi="宋体" w:eastAsia="宋体" w:cs="宋体"/>
          <w:b/>
          <w:bCs/>
          <w:sz w:val="24"/>
          <w:szCs w:val="24"/>
        </w:rPr>
      </w:pPr>
      <w:bookmarkStart w:id="4" w:name="_Toc988979"/>
      <w:r>
        <w:rPr>
          <w:rFonts w:ascii="宋体" w:hAnsi="宋体" w:eastAsia="宋体" w:cs="宋体"/>
          <w:b/>
          <w:bCs/>
          <w:sz w:val="24"/>
          <w:szCs w:val="24"/>
        </w:rPr>
        <w:t>2、母公司资产负债表</w:t>
      </w:r>
      <w:bookmarkEnd w:id="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2022年6月30日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96,864,828.71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80,940,458.50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152,545,949.59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73,762,968.07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64,064,837.38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93,881,591.39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100,243,210.24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18,705,354.32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19,760,830.43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70,896,974.21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53,048,934.32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60,417,083.36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81,130,425.52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567,538,758.27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599,344,727.06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23,076,286.15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22,622,415.40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863,382.86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3,438,543.53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710,353.98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623,386.08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2,534,543.28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2,290,899.59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321,299,455.65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271,337,970.85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888,838,213.92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870,682,697.91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38,383,222.15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38,786,483.35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29,406,460.71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34,404,416.59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22,588,403.76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16,281,610.35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8,874,583.91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9,180,636.07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14,736,602.03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3,661,870.25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22,449,348.31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31,948,076.53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290,062.49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360,232.58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186,728,683.36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190,123,325.72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2,859,488.29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3,123,605.06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3,500,784.62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3,326,801.66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6,360,272.91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6,450,406.72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193,088,956.27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196,573,732.44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182,418,045.36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179,252,645.34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303,569,838.94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285,094,946.78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695,749,257.65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674,108,965.47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888,838,213.92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870,682,697.91</w:t>
            </w:r>
          </w:p>
        </w:tc>
      </w:tr>
    </w:tbl>
    <w:p>
      <w:pPr>
        <w:keepNext/>
        <w:keepLines/>
        <w:spacing w:before="300" w:after="300" w:line="280" w:lineRule="exact"/>
        <w:jc w:val="left"/>
        <w:outlineLvl w:val="2"/>
        <w:rPr>
          <w:rFonts w:ascii="宋体" w:hAnsi="宋体" w:eastAsia="宋体" w:cs="宋体"/>
          <w:b/>
          <w:bCs/>
          <w:sz w:val="21"/>
          <w:szCs w:val="21"/>
        </w:rPr>
      </w:pPr>
      <w:bookmarkStart w:id="5" w:name="_Toc988980"/>
      <w:r>
        <w:rPr>
          <w:rFonts w:ascii="宋体" w:hAnsi="宋体" w:eastAsia="宋体" w:cs="宋体"/>
          <w:b/>
          <w:bCs/>
          <w:sz w:val="21"/>
          <w:szCs w:val="21"/>
        </w:rPr>
        <w:t>3、合并利润表</w:t>
      </w:r>
      <w:bookmarkEnd w:id="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180,223,675.26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180,223,675.26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189,174,657.24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160,314,446.32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148,214,206.17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124,627,391.70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2,339,827.41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1,906,136.35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12,237,981.11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11,605,531.06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14,289,006.72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11,531,889.58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13,862,472.32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10,047,815.15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-1,768,836.49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595,682.48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515,138.89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753,787.38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156,481.44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147,506.22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1,866,501.19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1,481,119.42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46,494,012.38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10,144,886.02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2,228,885.52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-3,070,681.80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-653,466.97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-1,306,646.48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-659,821.72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-659,689.82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15,007.55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58,497.89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94,174,999.82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26,556,714.17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103,931.70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517,286.21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361,934.98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4,722.40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93,916,996.54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27,069,277.98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13,821,635.59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3,779,627.13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80,095,360.95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23,289,650.85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80,095,360.95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23,289,650.85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79,146,764.83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23,289,650.85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948,596.12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80,081,851.21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23,322,853.38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79,133,255.09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23,322,853.38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948,596.12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本期发生同一控制下企业合并的，被合并方在合并前实现的净利润为：元，上期被合并方实现的净利润为：元。</w:t>
      </w:r>
    </w:p>
    <w:p>
      <w:pPr>
        <w:spacing w:before="100" w:after="100" w:line="240" w:lineRule="exact"/>
        <w:jc w:val="left"/>
        <w:rPr>
          <w:rFonts w:ascii="宋体" w:hAnsi="宋体" w:eastAsia="宋体" w:cs="宋体"/>
          <w:sz w:val="18"/>
          <w:szCs w:val="18"/>
        </w:rPr>
      </w:pPr>
      <w:bookmarkStart w:id="6" w:name="_Toc988981"/>
      <w:r>
        <w:rPr>
          <w:rFonts w:ascii="宋体" w:hAnsi="宋体" w:eastAsia="宋体" w:cs="宋体"/>
          <w:sz w:val="18"/>
          <w:szCs w:val="18"/>
        </w:rPr>
        <w:t xml:space="preserve">法定代表人：范庆伟 </w:t>
      </w:r>
      <w:r>
        <w:rPr>
          <w:rFonts w:hint="default" w:ascii="宋体" w:hAnsi="宋体" w:eastAsia="宋体" w:cs="宋体"/>
          <w:sz w:val="18"/>
          <w:szCs w:val="18"/>
          <w:lang w:val="en-US"/>
        </w:rPr>
        <w:t xml:space="preserve">               </w:t>
      </w:r>
      <w:r>
        <w:rPr>
          <w:rFonts w:ascii="宋体" w:hAnsi="宋体" w:eastAsia="宋体" w:cs="宋体"/>
          <w:sz w:val="18"/>
          <w:szCs w:val="18"/>
        </w:rPr>
        <w:t xml:space="preserve">   主管会计工作负责人：迟娜娜   </w:t>
      </w:r>
      <w:r>
        <w:rPr>
          <w:rFonts w:hint="default" w:ascii="宋体" w:hAnsi="宋体" w:eastAsia="宋体" w:cs="宋体"/>
          <w:sz w:val="18"/>
          <w:szCs w:val="18"/>
          <w:lang w:val="en-US"/>
        </w:rPr>
        <w:t xml:space="preserve">              </w:t>
      </w:r>
      <w:r>
        <w:rPr>
          <w:rFonts w:ascii="宋体" w:hAnsi="宋体" w:eastAsia="宋体" w:cs="宋体"/>
          <w:sz w:val="18"/>
          <w:szCs w:val="18"/>
        </w:rPr>
        <w:t xml:space="preserve">   会计机构负责人：王涛</w:t>
      </w:r>
    </w:p>
    <w:p>
      <w:pPr>
        <w:keepNext/>
        <w:keepLines/>
        <w:spacing w:before="300" w:after="300" w:line="280" w:lineRule="exact"/>
        <w:jc w:val="left"/>
        <w:outlineLvl w:val="2"/>
        <w:rPr>
          <w:rFonts w:ascii="宋体" w:hAnsi="宋体" w:eastAsia="宋体" w:cs="宋体"/>
          <w:b/>
          <w:bCs/>
          <w:sz w:val="21"/>
          <w:szCs w:val="21"/>
        </w:rPr>
      </w:pPr>
      <w:bookmarkStart w:id="409" w:name="_GoBack"/>
      <w:bookmarkEnd w:id="409"/>
      <w:r>
        <w:rPr>
          <w:rFonts w:ascii="宋体" w:hAnsi="宋体" w:eastAsia="宋体" w:cs="宋体"/>
          <w:b/>
          <w:bCs/>
          <w:sz w:val="21"/>
          <w:szCs w:val="21"/>
        </w:rPr>
        <w:t>4、母公司利润表</w:t>
      </w:r>
      <w:bookmarkEnd w:id="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225,422,975.86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153,735,634.67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150,691,048.35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103,975,173.85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1,292,720.89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940,577.94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12,267,345.22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11,606,961.34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8,823,059.16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6,523,767.71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8,283,524.16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6,762,319.65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-1,613,523.80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561,738.27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515,138.89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753,787.38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181,643.13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134,127.14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1,014,375.06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805,770.08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46,605,013.65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10,014,385.40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以摊余成本计量的金融资产终止确认收益（损失以“-”号填列）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-260,081.08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-3,134,176.64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797,883.04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-51,909.91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-421,114.51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-312,588.76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93,414,878.04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30,686,576.08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34,194.87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468,208.01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1,807,366.66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91,641,706.25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31,154,784.09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14,155,056.39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4,964,256.70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77,486,649.86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26,190,527.39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77,486,649.86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26,190,527.39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77,486,649.86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26,190,527.39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2"/>
        <w:rPr>
          <w:rFonts w:ascii="宋体" w:hAnsi="宋体" w:eastAsia="宋体" w:cs="宋体"/>
          <w:b/>
          <w:bCs/>
          <w:sz w:val="21"/>
          <w:szCs w:val="21"/>
        </w:rPr>
      </w:pPr>
      <w:bookmarkStart w:id="7" w:name="_Toc988982"/>
      <w:r>
        <w:rPr>
          <w:rFonts w:ascii="宋体" w:hAnsi="宋体" w:eastAsia="宋体" w:cs="宋体"/>
          <w:b/>
          <w:bCs/>
          <w:sz w:val="21"/>
          <w:szCs w:val="21"/>
        </w:rPr>
        <w:t>5、合并现金流量表</w:t>
      </w:r>
      <w:bookmarkEnd w:id="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249,682,490.83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172,855,223.60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16,666,865.96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9,202,324.49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1,548,473.13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1,656,983.78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267,897,829.92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183,714,531.87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164,508,278.43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148,629,717.75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40,367,959.69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32,584,647.29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6,704,522.74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5,216,291.80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12,485,916.16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14,378,233.52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224,066,677.02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200,808,890.36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43,831,152.90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-17,094,358.49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219,057,039.99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4,443,091.65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10,102,770.94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472,663.88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130,566.00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23,790,756.71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247,763,552.23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250,233,336.94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7,639,671.75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12,029,655.98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264,800,000.00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146,874,500.62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282,439,671.75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158,904,156.60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-34,676,119.52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91,329,180.34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48,868,119.10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59,526,896.59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53,068,627.38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90,526,896.59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101,936,746.48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-526,896.59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-83,936,746.48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1,120,086.40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-110,100.58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9,748,223.19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-9,812,025.21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80,991,568.72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41,657,412.55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90,739,791.91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31,845,387.34</w:t>
            </w:r>
          </w:p>
        </w:tc>
      </w:tr>
    </w:tbl>
    <w:p>
      <w:pPr>
        <w:keepNext/>
        <w:keepLines/>
        <w:spacing w:before="300" w:after="300" w:line="280" w:lineRule="exact"/>
        <w:jc w:val="left"/>
        <w:outlineLvl w:val="2"/>
        <w:rPr>
          <w:rFonts w:ascii="宋体" w:hAnsi="宋体" w:eastAsia="宋体" w:cs="宋体"/>
          <w:b/>
          <w:bCs/>
          <w:sz w:val="21"/>
          <w:szCs w:val="21"/>
        </w:rPr>
      </w:pPr>
      <w:bookmarkStart w:id="8" w:name="_Toc988983"/>
      <w:r>
        <w:rPr>
          <w:rFonts w:ascii="宋体" w:hAnsi="宋体" w:eastAsia="宋体" w:cs="宋体"/>
          <w:b/>
          <w:bCs/>
          <w:sz w:val="21"/>
          <w:szCs w:val="21"/>
        </w:rPr>
        <w:t>6、母公司现金流量表</w:t>
      </w:r>
      <w:bookmarkEnd w:id="8"/>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236,273,030.90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147,262,849.24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15,778,545.76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8,831,278.93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1,043,000.97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3,792,874.21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253,094,577.63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159,887,002.38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171,533,824.93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153,117,190.39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20,719,226.95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18,758,047.24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4,457,711.18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3,406,388.94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11,113,355.25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11,047,076.57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207,824,118.31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186,328,703.14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45,270,459.32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-26,441,700.76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4,443,091.65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9,972,270.32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3,056.83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241,947,591.65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249,975,327.15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1,825,182.35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3,017,349.28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216,200,000.00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141,744,000.00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228,025,182.35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144,761,349.28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13,922,409.30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105,213,977.87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48,868,119.10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59,526,896.59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53,068,627.38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90,526,896.59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101,936,746.48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-40,526,896.59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-83,936,746.48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1,103,151.40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-140,270.43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19,769,123.43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-5,304,739.80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65,415,374.25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32,120,211.70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85,184,497.68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26,815,471.90</w:t>
            </w:r>
          </w:p>
        </w:tc>
      </w:tr>
    </w:tbl>
    <w:p>
      <w:pPr>
        <w:keepNext/>
        <w:keepLines/>
        <w:spacing w:before="300" w:after="300" w:line="280" w:lineRule="exact"/>
        <w:jc w:val="left"/>
        <w:outlineLvl w:val="2"/>
        <w:rPr>
          <w:rFonts w:ascii="宋体" w:hAnsi="宋体" w:eastAsia="宋体" w:cs="宋体"/>
          <w:b/>
          <w:bCs/>
          <w:sz w:val="21"/>
          <w:szCs w:val="21"/>
        </w:rPr>
      </w:pPr>
      <w:bookmarkStart w:id="9" w:name="_Toc988984"/>
      <w:r>
        <w:rPr>
          <w:rFonts w:ascii="宋体" w:hAnsi="宋体" w:eastAsia="宋体" w:cs="宋体"/>
          <w:b/>
          <w:bCs/>
          <w:sz w:val="21"/>
          <w:szCs w:val="21"/>
        </w:rPr>
        <w:t>7、合并所有者权益变动表</w:t>
      </w:r>
      <w:bookmarkEnd w:id="9"/>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563"/>
        <w:gridCol w:w="563"/>
        <w:gridCol w:w="563"/>
        <w:gridCol w:w="563"/>
        <w:gridCol w:w="563"/>
        <w:gridCol w:w="563"/>
        <w:gridCol w:w="563"/>
        <w:gridCol w:w="563"/>
        <w:gridCol w:w="563"/>
        <w:gridCol w:w="563"/>
        <w:gridCol w:w="563"/>
        <w:gridCol w:w="563"/>
        <w:gridCol w:w="563"/>
        <w:gridCol w:w="563"/>
        <w:gridCol w:w="5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31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ascii="宋体" w:hAnsi="宋体" w:eastAsia="宋体" w:cs="宋体"/>
                <w:sz w:val="18"/>
                <w:szCs w:val="18"/>
              </w:rPr>
            </w:pPr>
            <w:r>
              <w:rPr>
                <w:rFonts w:ascii="宋体" w:hAnsi="宋体" w:eastAsia="宋体" w:cs="宋体"/>
                <w:sz w:val="18"/>
                <w:szCs w:val="18"/>
              </w:rPr>
              <w:t>少数股东权益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68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181,594,520.64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同一控制下企业合并</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181,594,520.64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-70,265.02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20,135,007.13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23,230,142.13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40,953,956.71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64,184,098.84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-70,265.02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79,146,764.83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79,076,499.81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948,596.12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80,025,095.93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40,005,360.59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43,170,760.61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5,360.59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5,360.59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40,953,956.71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40,953,956.71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184,759,920.66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274,700,962.42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669,208,746.69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40,953,956.71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710,162,703.40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上年金额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563"/>
        <w:gridCol w:w="563"/>
        <w:gridCol w:w="563"/>
        <w:gridCol w:w="563"/>
        <w:gridCol w:w="563"/>
        <w:gridCol w:w="563"/>
        <w:gridCol w:w="563"/>
        <w:gridCol w:w="563"/>
        <w:gridCol w:w="563"/>
        <w:gridCol w:w="563"/>
        <w:gridCol w:w="563"/>
        <w:gridCol w:w="563"/>
        <w:gridCol w:w="563"/>
        <w:gridCol w:w="563"/>
        <w:gridCol w:w="5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31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68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专项储备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116,680,000.00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245,900,770.45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16,734.39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252,498,577.96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663,232,732.54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663,232,732.54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同一控制下企业合并</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116,680,000.00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245,900,770.45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16,734.39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252,498,577.96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663,232,732.54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663,232,732.54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-51,544,536.00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16,468.14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-29,216,349.15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-28,238,417.01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-28,238,417.01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16,468.14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23,289,650.85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23,306,118.99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23,306,118.99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169,186,000.00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194,356,234.45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33,202.53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223,282,228.81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634,994,315.53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634,994,315.53</w:t>
            </w:r>
          </w:p>
        </w:tc>
      </w:tr>
    </w:tbl>
    <w:p>
      <w:pPr>
        <w:keepNext/>
        <w:keepLines/>
        <w:spacing w:before="300" w:after="300" w:line="280" w:lineRule="exact"/>
        <w:jc w:val="left"/>
        <w:outlineLvl w:val="2"/>
        <w:rPr>
          <w:rFonts w:ascii="宋体" w:hAnsi="宋体" w:eastAsia="宋体" w:cs="宋体"/>
          <w:b/>
          <w:bCs/>
          <w:sz w:val="21"/>
          <w:szCs w:val="21"/>
        </w:rPr>
      </w:pPr>
      <w:bookmarkStart w:id="10" w:name="_Toc988985"/>
      <w:r>
        <w:rPr>
          <w:rFonts w:ascii="宋体" w:hAnsi="宋体" w:eastAsia="宋体" w:cs="宋体"/>
          <w:b/>
          <w:bCs/>
          <w:sz w:val="21"/>
          <w:szCs w:val="21"/>
        </w:rPr>
        <w:t>8、母公司所有者权益变动表</w:t>
      </w:r>
      <w:bookmarkEnd w:id="10"/>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3"/>
        <w:gridCol w:w="703"/>
        <w:gridCol w:w="703"/>
        <w:gridCol w:w="703"/>
        <w:gridCol w:w="703"/>
        <w:gridCol w:w="703"/>
        <w:gridCol w:w="703"/>
        <w:gridCol w:w="703"/>
        <w:gridCol w:w="703"/>
        <w:gridCol w:w="703"/>
        <w:gridCol w:w="703"/>
        <w:gridCol w:w="7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1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179,252,645.34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285,094,946.78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674,108,965.47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179,252,645.34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285,094,946.78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674,108,965.47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18,474,892.16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21,640,292.18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77,486,649.86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77,486,649.86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182,418,045.36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303,569,838.94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695,749,257.65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上年金额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3"/>
        <w:gridCol w:w="703"/>
        <w:gridCol w:w="703"/>
        <w:gridCol w:w="703"/>
        <w:gridCol w:w="703"/>
        <w:gridCol w:w="703"/>
        <w:gridCol w:w="703"/>
        <w:gridCol w:w="703"/>
        <w:gridCol w:w="703"/>
        <w:gridCol w:w="703"/>
        <w:gridCol w:w="703"/>
        <w:gridCol w:w="7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1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116,680,000.00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243,558,895.15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279,702,943.61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688,078,488.50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116,680,000.00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243,558,895.15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279,702,943.61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688,078,488.50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-51,544,536.00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-26,315,472.61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-25,354,008.61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26,190,527.39</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26,190,527.39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169,186,000.00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192,014,359.15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253,387,471.00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662,724,479.89</w:t>
            </w:r>
          </w:p>
        </w:tc>
      </w:tr>
    </w:tbl>
    <w:p>
      <w:pPr>
        <w:keepNext/>
        <w:keepLines/>
        <w:spacing w:before="300" w:after="300" w:line="320" w:lineRule="exact"/>
        <w:jc w:val="left"/>
        <w:outlineLvl w:val="1"/>
        <w:rPr>
          <w:rFonts w:ascii="宋体" w:hAnsi="宋体" w:eastAsia="宋体" w:cs="宋体"/>
          <w:b/>
          <w:bCs/>
          <w:sz w:val="24"/>
          <w:szCs w:val="24"/>
        </w:rPr>
      </w:pPr>
      <w:bookmarkStart w:id="11" w:name="_Toc988986"/>
      <w:r>
        <w:rPr>
          <w:rFonts w:ascii="宋体" w:hAnsi="宋体" w:eastAsia="宋体" w:cs="宋体"/>
          <w:b/>
          <w:bCs/>
          <w:sz w:val="24"/>
          <w:szCs w:val="24"/>
        </w:rPr>
        <w:t>三、公司基本情况</w:t>
      </w:r>
      <w:bookmarkEnd w:id="11"/>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（一）公司概况</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青岛伟隆阀门股份有限公司（以下简称“本公司”或“公司”）系于2012年3月31日由青岛伟隆阀门有限公司整体变更设立的股份有限公司。</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2012年3月31日，青岛伟隆阀门有限公司整体变更为青岛伟隆阀门股份有限公司，按照经山东汇德会计师事务所有限公司审计的青岛伟隆阀门有限公司截止2011年12月31日的净资产折为股本5,100.00万股（每股面值为人民币1.00元），剩余金额计入资本公积。变更后注册资本为5,100.00万元,其中范庆伟出资4,437.00万元，占注册资本的87.00%，范玉隆出资255.00万元，占注册资本的5.00%,青岛惠隆投资管理有限公司出资408.00万元，占注册资本的8.00%。</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2017年4月，经中国证券监督管理委员会以证监许可[2017]526号文《关于核准青岛伟隆阀门股份有限公司首次公开发行股票的批复》的核准，公司向社会公开发行人民币普通股1,700.00万股，公司注册资本变更为6,800.00万元。2017年5月在深圳证券交易所挂牌上市，上市后公司股本总额为人民币6,800.00万元。2017年6月30日，公司完成了工商变更，注册资本变更为6,800.00万元。</w:t>
      </w:r>
    </w:p>
    <w:p>
      <w:pPr>
        <w:pStyle w:val="2"/>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2018年5月，依据公司2017年度股东大会决议通过的《关于2017年度利润分配预案的议案》，按每10股转增7股的比例，以资本公积向全体股东转增股份,增加股本4,760.00万元，变更后的注册资本人民币11,560.00万元。2018年7月4日，公司完成了工商变更。</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2018年11月，公司于第三届董事会第七次会议审议通过《关于调整公司2018年限制性股票激励计划相关事项的议案》、《关于向2018年限制性股票激励计划激励对象授予限制性股票的议案》，确定以2018年11月20日为授予日，向39名激励对象授予114.20万股限制性股票（每股面值人民币1元）。公司增加注册资本人民币1,142,000.00元，变更后的注册资本为人民币116,742,000.00元。2018年12月21日，公司完成了工商变更。</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公司于2019年12月13日召开2019年第一次临时股东大会，会议审议通过了《关于回购注销部分限制性股票的议案》、《关于变更公司注册资本与修改〈公司章程〉的议案》。由于公司1名原激励对象因个人原因离职，该人员已不符合激励条件，公司决定对该对象所持已获授但尚未解除限售的20,000.00股限制性股票进行回购注销。减少股本人民币20,000.00元，变更后的股本为人民币116,722,000.00元。</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公司于2020年12月11日召开2020年第一次临时股东大会，会议审议通过了《关于回购注销部分限制性股票的议案》、《关于变更公司注册资本与修改〈公司章程〉的议案》。由于公司2名原激励对象因个人原因离职，公司决定对该对象所持已获授但尚未解除限售的42,000.00股限制性股票进行回购注销。减少股本人民币42,000.00元，变更后的股本为人民币116,680,000.00元。</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公司于2021年5月19日召开的2020年度股东大会审议通过了《关于2020年度利润分配及资本公积金转增股本预案的议案》：以2020年12月31日公司总股本116,680,000.00股为基数，向全体股东每10股派息4.50元（含税）,共派发现金红利52,494,300.00元，同时以资本公积向全体股东每10股转增4.50股，共计转增52,506,000.00股，2021年10月25日，公司完成了工商变更，变更后的注册资本人民币169,186,000.00元。</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公司于2021年11月24日召开第四届董事会第七次会议，会议审议通过了《关于回购注销部分限制性股票的议案》。公司于2021年12月10日召开2021年第三次临时股东大会，会议审议通过了《关于回购注销部分限制性股票的议案》、《关于变更公司注册资本与修改〈公司章程〉的议案》，由于人员离职及不满足解锁条件回购注销153,352.00股，变更后的注册资本为人民币169,032,648.00元。</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公司2022年度5月18日召开的2021年度股东大会审议通过了《关于2021年度利润分配议案》。以 2021年12月31日公司总股本169,032,648.00股，扣除存放于公司回购专用证券账户的427,626.00股，即以168,605,022.00股为基数，向全体股东每10股派息3.50元（含税）,共派发现金红利59,011,757.70元。</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公司住所为青岛即墨市蓝村镇兴和路45号，公司法定代表人为范庆伟。</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公司经营范围：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制造销售消防阀门、消防栓、消防设备配件（不含国家限制品种）、阀门及其配件、管件、机械配件，批发、零售工艺品、服装鞋帽、五金、化工产品（不含危险化学品）、普通机械、建筑材料、计算机及其配件，货物进出口、技术进出口；海洋水质与生态环境监测仪器设备销售；海洋环境监测与探测装备销售；导航、测绘、气象及海洋专用仪器销售；海洋环境服务；海洋工程关键配套系统开发；海洋工程装备销售；制造、销售汽车农机零部件；制造、销售机床床身及零部件；制造销售密封件、橡胶制品。（法律、行政法规禁止的项目除外；法律、行政法规限制的项目取得许可后方可经营。（依法须经批准的项目，经相关部门批准后方可开展经营活动）。</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公司主营业务：阀门及其配件、汽车配件铸件、管件的生产、销售及相关业务。</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公司所属行业：制造行业。</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本公司实际控制人为范庆伟家族，持有本公司64.73%的股权。</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本财务报表由公司董事会决议批准于2022年8月30日报出。</w:t>
      </w:r>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（二）合并报表范围</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截止2022年6月30日，公司合并财务报表范围内子公司如下：</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544"/>
        <w:gridCol w:w="45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454" w:hRule="atLeast"/>
        </w:trPr>
        <w:tc>
          <w:tcPr>
            <w:tcW w:w="454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公司名称</w:t>
            </w:r>
          </w:p>
        </w:tc>
        <w:tc>
          <w:tcPr>
            <w:tcW w:w="454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子公司类型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莱州伟隆阀门有限公司</w:t>
            </w:r>
          </w:p>
        </w:tc>
        <w:tc>
          <w:tcPr>
            <w:tcW w:w="4544"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青岛伟隆流体设备有限公司</w:t>
            </w:r>
          </w:p>
        </w:tc>
        <w:tc>
          <w:tcPr>
            <w:tcW w:w="4544"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Weflo Valve Company Limited（英国公司）</w:t>
            </w:r>
          </w:p>
        </w:tc>
        <w:tc>
          <w:tcPr>
            <w:tcW w:w="4544"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WEFLO VALVE LLC（美国公司）</w:t>
            </w:r>
          </w:p>
        </w:tc>
        <w:tc>
          <w:tcPr>
            <w:tcW w:w="4544"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青岛卓信检测技术有限责任公司</w:t>
            </w:r>
          </w:p>
        </w:tc>
        <w:tc>
          <w:tcPr>
            <w:tcW w:w="4544"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偉隆（香港）實業有限公司</w:t>
            </w:r>
          </w:p>
        </w:tc>
        <w:tc>
          <w:tcPr>
            <w:tcW w:w="4544"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海南伟隆投资有限公司</w:t>
            </w:r>
          </w:p>
        </w:tc>
        <w:tc>
          <w:tcPr>
            <w:tcW w:w="4544"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控股子公司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青岛伟隆五金机械有限公司</w:t>
            </w:r>
          </w:p>
        </w:tc>
        <w:tc>
          <w:tcPr>
            <w:tcW w:w="4544"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bl>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（三）本期合并财务报表范围发生变更的情况</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Style w:val="5"/>
          <w:rFonts w:hint="eastAsia" w:ascii="宋体" w:hAnsi="宋体" w:eastAsia="宋体" w:cs="宋体"/>
          <w:sz w:val="21"/>
          <w:szCs w:val="21"/>
        </w:rPr>
        <w:t>    </w:t>
      </w:r>
      <w:r>
        <w:rPr>
          <w:rFonts w:hint="eastAsia" w:ascii="宋体" w:hAnsi="宋体" w:eastAsia="宋体" w:cs="宋体"/>
          <w:sz w:val="24"/>
          <w:szCs w:val="24"/>
        </w:rPr>
        <w:t>2022年4月27日召开了第四届董事会第十二次会议，审议通过了《关于转让控股子公司股权暨关联交易的议案》，同意将公司持有的青岛即聚机电有限责任公司（以下简称“即聚机电”）的51%股权分别转让给自然人吕仁红11%、宫相开40%，转让价格分别为550万元、2,000万元。本次股权转让完成后，公司将不再持有即聚机电的股权，不再列入合并报表范围。于2022年5月13日完成工商变更手续。</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rPr>
        <w:t>   2022年1月19日召开第四届董事会第九次会议，审议通过了《关于与专业投资机构对外投资设立合资公司的议案》，同意公司</w:t>
      </w:r>
      <w:r>
        <w:rPr>
          <w:rFonts w:hint="eastAsia" w:ascii="宋体" w:hAnsi="宋体" w:eastAsia="宋体" w:cs="宋体"/>
          <w:color w:val="000000"/>
          <w:sz w:val="24"/>
          <w:szCs w:val="24"/>
        </w:rPr>
        <w:t>与上海天诚东泰投资有限公司（以下简称“天诚东泰”）、青岛天诚股权投资基金管理有限公司（以下简称“青岛天诚”）</w:t>
      </w:r>
      <w:r>
        <w:rPr>
          <w:rFonts w:hint="eastAsia" w:ascii="宋体" w:hAnsi="宋体" w:eastAsia="宋体" w:cs="宋体"/>
          <w:sz w:val="24"/>
          <w:szCs w:val="24"/>
        </w:rPr>
        <w:t>合作成立</w:t>
      </w:r>
      <w:r>
        <w:rPr>
          <w:rFonts w:hint="eastAsia" w:ascii="宋体" w:hAnsi="宋体" w:eastAsia="宋体" w:cs="宋体"/>
          <w:color w:val="000000"/>
          <w:sz w:val="24"/>
          <w:szCs w:val="24"/>
        </w:rPr>
        <w:t>海南伟隆投资有限公司。于2022年1月21日办理工商营业执照。</w:t>
      </w:r>
    </w:p>
    <w:p>
      <w:pPr>
        <w:keepNext/>
        <w:keepLines/>
        <w:spacing w:before="300" w:after="300" w:line="320" w:lineRule="exact"/>
        <w:jc w:val="left"/>
        <w:outlineLvl w:val="1"/>
        <w:rPr>
          <w:rFonts w:ascii="宋体" w:hAnsi="宋体" w:eastAsia="宋体" w:cs="宋体"/>
          <w:b/>
          <w:bCs/>
          <w:sz w:val="24"/>
          <w:szCs w:val="24"/>
        </w:rPr>
      </w:pPr>
      <w:bookmarkStart w:id="12" w:name="_Toc988987"/>
      <w:r>
        <w:rPr>
          <w:rFonts w:ascii="宋体" w:hAnsi="宋体" w:eastAsia="宋体" w:cs="宋体"/>
          <w:b/>
          <w:bCs/>
          <w:sz w:val="24"/>
          <w:szCs w:val="24"/>
        </w:rPr>
        <w:t>四、财务报表的编制基础</w:t>
      </w:r>
      <w:bookmarkEnd w:id="12"/>
    </w:p>
    <w:p>
      <w:pPr>
        <w:keepNext/>
        <w:keepLines/>
        <w:spacing w:before="300" w:after="300" w:line="280" w:lineRule="exact"/>
        <w:jc w:val="left"/>
        <w:outlineLvl w:val="2"/>
        <w:rPr>
          <w:rFonts w:ascii="宋体" w:hAnsi="宋体" w:eastAsia="宋体" w:cs="宋体"/>
          <w:b/>
          <w:bCs/>
          <w:sz w:val="21"/>
          <w:szCs w:val="21"/>
        </w:rPr>
      </w:pPr>
      <w:bookmarkStart w:id="13" w:name="_Toc988988"/>
      <w:r>
        <w:rPr>
          <w:rFonts w:ascii="宋体" w:hAnsi="宋体" w:eastAsia="宋体" w:cs="宋体"/>
          <w:b/>
          <w:bCs/>
          <w:sz w:val="21"/>
          <w:szCs w:val="21"/>
        </w:rPr>
        <w:t>1、编制基础</w:t>
      </w:r>
      <w:bookmarkEnd w:id="13"/>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财务报表以持续经营为基础，根据实际发生的交易和事项，按照财政部颁布的《企业会计准则》及相关规定以及中国证券监督管理委员会《公开发行证券的公司信息披露编报规则第15号——财务报告的一般规定》（2014年修订）的披露规定，并基于以下所述重要会计政策、会计估计进行编制。</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本公司会计核算以权责发生制为基础。除某些金融工具以外，本财务报表均以历史成本为计量基础。资产如果发生减值，则按照相关规定计提相应的减值准备。</w:t>
      </w:r>
    </w:p>
    <w:p>
      <w:pPr>
        <w:keepNext/>
        <w:keepLines/>
        <w:spacing w:before="300" w:after="300" w:line="280" w:lineRule="exact"/>
        <w:jc w:val="left"/>
        <w:outlineLvl w:val="2"/>
        <w:rPr>
          <w:rFonts w:ascii="宋体" w:hAnsi="宋体" w:eastAsia="宋体" w:cs="宋体"/>
          <w:b/>
          <w:bCs/>
          <w:sz w:val="21"/>
          <w:szCs w:val="21"/>
        </w:rPr>
      </w:pPr>
      <w:bookmarkStart w:id="14" w:name="_Toc988989"/>
      <w:r>
        <w:rPr>
          <w:rFonts w:ascii="宋体" w:hAnsi="宋体" w:eastAsia="宋体" w:cs="宋体"/>
          <w:b/>
          <w:bCs/>
          <w:sz w:val="21"/>
          <w:szCs w:val="21"/>
        </w:rPr>
        <w:t>2、持续经营</w:t>
      </w:r>
      <w:bookmarkEnd w:id="14"/>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报告期内及报告期末起至少十二个月，公司业务稳定，资产负债结构合理，具备持续经营能力，不存在影响持续经营能力的重大不利风险。</w:t>
      </w:r>
    </w:p>
    <w:p>
      <w:pPr>
        <w:keepNext/>
        <w:keepLines/>
        <w:spacing w:before="300" w:after="300" w:line="560" w:lineRule="exact"/>
        <w:jc w:val="left"/>
        <w:outlineLvl w:val="1"/>
        <w:rPr>
          <w:rFonts w:ascii="宋体" w:hAnsi="宋体" w:eastAsia="宋体" w:cs="宋体"/>
          <w:b/>
          <w:bCs/>
          <w:sz w:val="24"/>
          <w:szCs w:val="24"/>
        </w:rPr>
      </w:pPr>
      <w:bookmarkStart w:id="15" w:name="_Toc988990"/>
      <w:r>
        <w:rPr>
          <w:rFonts w:ascii="宋体" w:hAnsi="宋体" w:eastAsia="宋体" w:cs="宋体"/>
          <w:b/>
          <w:bCs/>
          <w:sz w:val="24"/>
          <w:szCs w:val="24"/>
        </w:rPr>
        <w:t>五、重要会计政策及会计估计</w:t>
      </w:r>
      <w:bookmarkEnd w:id="15"/>
    </w:p>
    <w:p>
      <w:pPr>
        <w:spacing w:before="100" w:after="100" w:line="240" w:lineRule="exact"/>
        <w:jc w:val="left"/>
        <w:rPr>
          <w:rFonts w:ascii="宋体" w:hAnsi="宋体" w:eastAsia="宋体" w:cs="宋体"/>
          <w:sz w:val="18"/>
          <w:szCs w:val="18"/>
        </w:rPr>
      </w:pPr>
      <w:r>
        <w:rPr>
          <w:rFonts w:ascii="宋体" w:hAnsi="宋体" w:eastAsia="宋体" w:cs="宋体"/>
          <w:sz w:val="18"/>
          <w:szCs w:val="18"/>
        </w:rPr>
        <w:t>具体会计政策和会计估计提示：</w:t>
      </w:r>
    </w:p>
    <w:p>
      <w:pPr>
        <w:pStyle w:val="2"/>
        <w:keepNext w:val="0"/>
        <w:keepLines w:val="0"/>
        <w:widowControl/>
        <w:suppressLineNumbers w:val="0"/>
        <w:spacing w:before="0" w:beforeAutospacing="0" w:after="0" w:afterAutospacing="0"/>
        <w:ind w:left="0" w:firstLine="436"/>
        <w:jc w:val="both"/>
        <w:rPr>
          <w:rFonts w:hint="eastAsia" w:ascii="宋体" w:hAnsi="宋体" w:eastAsia="宋体" w:cs="宋体"/>
          <w:sz w:val="18"/>
          <w:szCs w:val="18"/>
        </w:rPr>
      </w:pPr>
      <w:r>
        <w:rPr>
          <w:rFonts w:hint="eastAsia" w:ascii="宋体" w:hAnsi="宋体" w:eastAsia="宋体" w:cs="宋体"/>
          <w:sz w:val="21"/>
          <w:szCs w:val="21"/>
        </w:rPr>
        <w:t>本公司从事通用设备制造业。本公司根据实际经营特点，依据相关企业会计准则的规定，对收入确认等交易和事项制定了若干项具体会计政策和会计估计，以下披露内容已涵盖了本公司根据实际经营特点制定的具体会计政策和会计估计。</w:t>
      </w:r>
    </w:p>
    <w:p>
      <w:pPr>
        <w:keepNext/>
        <w:keepLines/>
        <w:spacing w:before="300" w:after="300" w:line="280" w:lineRule="exact"/>
        <w:jc w:val="left"/>
        <w:outlineLvl w:val="2"/>
        <w:rPr>
          <w:rFonts w:ascii="宋体" w:hAnsi="宋体" w:eastAsia="宋体" w:cs="宋体"/>
          <w:b/>
          <w:bCs/>
          <w:sz w:val="21"/>
          <w:szCs w:val="21"/>
        </w:rPr>
      </w:pPr>
      <w:bookmarkStart w:id="16" w:name="_Toc988991"/>
      <w:r>
        <w:rPr>
          <w:rFonts w:ascii="宋体" w:hAnsi="宋体" w:eastAsia="宋体" w:cs="宋体"/>
          <w:b/>
          <w:bCs/>
          <w:sz w:val="21"/>
          <w:szCs w:val="21"/>
        </w:rPr>
        <w:t>1、遵循企业会计准则的声明</w:t>
      </w:r>
      <w:bookmarkEnd w:id="16"/>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本公司编制的财务报表符合企业会计准则的要求，真实、完整地反映了本公司2022年1-6月的财务状况及2022年1-6月的经营成果和现金流量等有关信息。</w:t>
      </w:r>
    </w:p>
    <w:p>
      <w:pPr>
        <w:keepNext/>
        <w:keepLines/>
        <w:spacing w:before="300" w:after="300" w:line="280" w:lineRule="exact"/>
        <w:jc w:val="left"/>
        <w:outlineLvl w:val="2"/>
        <w:rPr>
          <w:rFonts w:ascii="宋体" w:hAnsi="宋体" w:eastAsia="宋体" w:cs="宋体"/>
          <w:b/>
          <w:bCs/>
          <w:sz w:val="21"/>
          <w:szCs w:val="21"/>
        </w:rPr>
      </w:pPr>
      <w:bookmarkStart w:id="17" w:name="_Toc988992"/>
      <w:r>
        <w:rPr>
          <w:rFonts w:ascii="宋体" w:hAnsi="宋体" w:eastAsia="宋体" w:cs="宋体"/>
          <w:b/>
          <w:bCs/>
          <w:sz w:val="21"/>
          <w:szCs w:val="21"/>
        </w:rPr>
        <w:t>2、会计期间</w:t>
      </w:r>
      <w:bookmarkEnd w:id="17"/>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本公司会计年度为公历年度，即每年1月1日起至12月31日止。</w:t>
      </w:r>
    </w:p>
    <w:p>
      <w:pPr>
        <w:keepNext/>
        <w:keepLines/>
        <w:spacing w:before="300" w:after="300" w:line="280" w:lineRule="exact"/>
        <w:jc w:val="left"/>
        <w:outlineLvl w:val="2"/>
        <w:rPr>
          <w:rFonts w:ascii="宋体" w:hAnsi="宋体" w:eastAsia="宋体" w:cs="宋体"/>
          <w:b/>
          <w:bCs/>
          <w:sz w:val="21"/>
          <w:szCs w:val="21"/>
        </w:rPr>
      </w:pPr>
      <w:bookmarkStart w:id="18" w:name="_Toc988993"/>
      <w:r>
        <w:rPr>
          <w:rFonts w:ascii="宋体" w:hAnsi="宋体" w:eastAsia="宋体" w:cs="宋体"/>
          <w:b/>
          <w:bCs/>
          <w:sz w:val="21"/>
          <w:szCs w:val="21"/>
        </w:rPr>
        <w:t>3、营业周期</w:t>
      </w:r>
      <w:bookmarkEnd w:id="18"/>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正常营业周期，是指公司从购买用于加工的资产起至实现现金或现金等价物的期间。本公司以12个月作为正常营业周期，并以其作为资产与负债流动性划分的标准。</w:t>
      </w:r>
    </w:p>
    <w:p>
      <w:pPr>
        <w:keepNext/>
        <w:keepLines/>
        <w:spacing w:before="300" w:after="300" w:line="280" w:lineRule="exact"/>
        <w:jc w:val="left"/>
        <w:outlineLvl w:val="2"/>
        <w:rPr>
          <w:rFonts w:ascii="宋体" w:hAnsi="宋体" w:eastAsia="宋体" w:cs="宋体"/>
          <w:b/>
          <w:bCs/>
          <w:sz w:val="21"/>
          <w:szCs w:val="21"/>
        </w:rPr>
      </w:pPr>
      <w:bookmarkStart w:id="19" w:name="_Toc988994"/>
      <w:r>
        <w:rPr>
          <w:rFonts w:ascii="宋体" w:hAnsi="宋体" w:eastAsia="宋体" w:cs="宋体"/>
          <w:b/>
          <w:bCs/>
          <w:sz w:val="21"/>
          <w:szCs w:val="21"/>
        </w:rPr>
        <w:t>4、记账本位币</w:t>
      </w:r>
      <w:bookmarkEnd w:id="19"/>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公司及境内子公司以人民币为记账本位币。公司之境外子公司根据其经营所处的主要经济环境中的货币决定其记账本位币，编制财务报表时折算成人民币。</w:t>
      </w:r>
    </w:p>
    <w:p>
      <w:pPr>
        <w:keepNext/>
        <w:keepLines/>
        <w:spacing w:before="300" w:after="300" w:line="280" w:lineRule="exact"/>
        <w:jc w:val="left"/>
        <w:outlineLvl w:val="2"/>
        <w:rPr>
          <w:rFonts w:ascii="宋体" w:hAnsi="宋体" w:eastAsia="宋体" w:cs="宋体"/>
          <w:b/>
          <w:bCs/>
          <w:sz w:val="21"/>
          <w:szCs w:val="21"/>
        </w:rPr>
      </w:pPr>
      <w:bookmarkStart w:id="20" w:name="_Toc988995"/>
      <w:r>
        <w:rPr>
          <w:rFonts w:ascii="宋体" w:hAnsi="宋体" w:eastAsia="宋体" w:cs="宋体"/>
          <w:b/>
          <w:bCs/>
          <w:sz w:val="21"/>
          <w:szCs w:val="21"/>
        </w:rPr>
        <w:t>5、同一控制下和非同一控制下企业合并的会计处理方法</w:t>
      </w:r>
      <w:bookmarkEnd w:id="20"/>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企业合并，是指将两个或两个以上单独的企业合并形成一个报告主体的交易或事项。企业合并分为同一控制下企业合并和非同一控制下企业合并。</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（1）同一控制下的企业合并</w:t>
      </w:r>
    </w:p>
    <w:p>
      <w:pPr>
        <w:pStyle w:val="2"/>
        <w:keepNext w:val="0"/>
        <w:keepLines w:val="0"/>
        <w:widowControl/>
        <w:suppressLineNumbers w:val="0"/>
        <w:spacing w:before="0" w:beforeAutospacing="0" w:after="0" w:afterAutospacing="0" w:line="360" w:lineRule="auto"/>
        <w:ind w:left="0" w:firstLine="459"/>
        <w:jc w:val="left"/>
        <w:rPr>
          <w:rFonts w:hint="eastAsia" w:ascii="宋体" w:hAnsi="宋体" w:eastAsia="宋体" w:cs="宋体"/>
          <w:color w:val="000000"/>
          <w:sz w:val="24"/>
          <w:szCs w:val="24"/>
        </w:rPr>
      </w:pPr>
      <w:r>
        <w:rPr>
          <w:rFonts w:hint="eastAsia" w:ascii="宋体" w:hAnsi="宋体" w:eastAsia="宋体" w:cs="宋体"/>
          <w:color w:val="000000"/>
          <w:sz w:val="21"/>
          <w:szCs w:val="21"/>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同一控制下企业合并形成的长期股权投资合并方以支付现金、转让非现金资产或承担债务方式作为合并对价的，本公司在合并日按照所取得的被合并方在最终控制方合并财务报表中的净资产的账面价值的份额作为长期股权投资的初始投资成本。被合并方在合并日的净资产账面价值为负数的，长期股权投资成本按零确定。如果被合并方在被合并以前，是最终控制方通过非同一控制下的企业合并所控制的，则合并方长期股权投资的初始投资成本包含了相关的商誉金额。长期股权投资的初始投资成本与支付的现金、转让的非现金资产及所承担债务账面价值之间的差额，应当调整资本公积（股本溢价）；资本公积（股本溢价）的余额不足冲减的，依次冲减盈余公积和未分配利润。合并方以发行权益性工具作为合并对价的，按发行股份的面值总额作为股本，长期股权投资的初始投资成本与所发行股份面值总额之间的差额，调整资本公积（股本溢价）；资本公积（股本溢价）不足冲减的，依次冲减盈余公积和未分配利润。</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合并方发生的审计、法律服务、评估咨询等中介费用以及其他相关管理费用，于发生时计入当期损益。与发行权益性工具作为合并对价直接相关的交易费用，冲减资本公积（股本溢价），资本公积（股本溢价）不足冲减的，依次冲减盈余公积和未分配利润。与发行债务性工具作为合并对价直接相关的交易费用，计入债务性工具的初始确认金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通过多次交易分步实现同一控制下企业合并，属于“一揽子交易”的，合并方应当将各项交易作为一项取得控制权的交易进行会计处理。不属于“一揽子交易”的，在母公司财务报表中，以合并日持股比例计算的合并日应享有被合并方账面所有者权益份额作为该项投资的初始投资成本，初始投资成本与其原长期股权投资账面价值加上合并日取得进一步股份新支付对价的账面价值之和的差额，调整资本公积（股本溢价），资本公积不足冲减的，冲减留存收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合并财务报表中，合并方在达到合并之前持有的长期股权投资，在取得日与合并方与被合并方向处于同一最终控制之日孰晚日与合并日之间已确认有关损益、其他综合收益和其他所有者权益变动，应分别冲减比较报表期间的期初留存收益或当期损益。</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（2）非同一控制下的企业合并</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参与合并的各方在合并前后不受同一方或相同的多方最终控制的，为非同一控制下的企业合并。非同一控制下的企业合并，在购买日取得对其他参与合并企业控制权的一方为购买方，参与合并的其他企业为被购买方。购买日，是指购买方实际取得对被购买方控制权的日期。</w:t>
      </w:r>
    </w:p>
    <w:p>
      <w:pPr>
        <w:pStyle w:val="2"/>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对于非同一控制下的企业合并，合并成本为购买方在购买日为取得对被购买方的控制权而付出的资产、发生或承担的负债以及发行的权益性证券的公允价值之和。购买方为企业合并发生的审计、法律服务、评估咨询等中介费用以及其他相关管理费用，应于发生时计入当期损益。购买方作为合并对价发行的权益性工具或债务性工具的交易费用，应当计入权益性工具或债务性工具的初始确认金额。所涉及的或有对价按其在购买日的公允价值计入合并成本，购买日后 12 个月内出现对购买日已存在情况的新的或进一步证据而需要调整或有对价的，相应调整合并商誉。</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通过多次交易分步实现非同一控制下企业合并的，在母公司财务报表中，以购买日之前所持被购买方的股权投资的账面价值与购买日新增投资成本之和，作为该项投资的初始投资成本。</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在合并应当转为购买日所属当期投资收益，不能重分类计入当期损益的其他综合收益除外。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以购买日之前所持被购买方的股权于购买日的公允价值与购买日新购入股权所支付对价的公允价值之和作为合并成本，与购买方取得的按购买日持股比例计算应享有的被购买方可辨认净资产于购买日的公允价值的份额比较，确定购买日应予确认的商誉或应计入合并当期损益的金额。</w:t>
      </w:r>
    </w:p>
    <w:p>
      <w:pPr>
        <w:keepNext/>
        <w:keepLines/>
        <w:spacing w:before="300" w:after="300" w:line="280" w:lineRule="exact"/>
        <w:jc w:val="left"/>
        <w:outlineLvl w:val="2"/>
        <w:rPr>
          <w:rFonts w:ascii="宋体" w:hAnsi="宋体" w:eastAsia="宋体" w:cs="宋体"/>
          <w:b/>
          <w:bCs/>
          <w:sz w:val="21"/>
          <w:szCs w:val="21"/>
        </w:rPr>
      </w:pPr>
      <w:bookmarkStart w:id="21" w:name="_Toc988996"/>
      <w:r>
        <w:rPr>
          <w:rFonts w:ascii="宋体" w:hAnsi="宋体" w:eastAsia="宋体" w:cs="宋体"/>
          <w:b/>
          <w:bCs/>
          <w:sz w:val="21"/>
          <w:szCs w:val="21"/>
        </w:rPr>
        <w:t>6、合并财务报表的编制方法</w:t>
      </w:r>
      <w:bookmarkEnd w:id="21"/>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（1）合并财务报表范围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公司对合并财务报表的合并范围以控制为基础予以确定。本公司将全部子公司纳入合并财务报表范围。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（2）统一母子公司的会计政策、统一母子公司的资产负债表日及会计期间</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子公司与本公司采用的会计政策或会计期间不一致的，在编制合并财务报表时，按照本公司的会计政策或会计期间对子公司财务报表进行必要的调整。对非同一控制下企业合并取得的子公司，已按照购买日该子公司可辨认的资产、负债及或有负债的公允价值对子公司财务报表进行了相应的调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（3）合并财务报表抵销事项</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合并财务报表以母公司和子公司的资产负债表为基础，已抵销了母公司与子公司、子公司相互之间发生的内部交易。子公司所有者权益中不属于母公司的份额，作为少数股东权益，在合并资产负债表中所有者权益项目下以“少数股东权益”项目列示。</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子公司持有母公司的长期股权投资，视为企业集团的库存股，作为所有者权益的减项，在合并资产负债表中所有者权益项目下以“减：库存股”项目列示。</w:t>
      </w:r>
    </w:p>
    <w:p>
      <w:pPr>
        <w:pStyle w:val="2"/>
        <w:keepNext w:val="0"/>
        <w:keepLines w:val="0"/>
        <w:widowControl/>
        <w:suppressLineNumbers w:val="0"/>
        <w:spacing w:before="0" w:beforeAutospacing="0" w:after="0" w:afterAutospacing="0" w:line="360" w:lineRule="auto"/>
        <w:ind w:left="0" w:right="0" w:firstLine="425"/>
        <w:jc w:val="both"/>
        <w:rPr>
          <w:rFonts w:hint="default" w:ascii="Times New Roman" w:hAnsi="Times New Roman" w:cs="Times New Roman"/>
          <w:sz w:val="21"/>
          <w:szCs w:val="21"/>
        </w:rPr>
      </w:pPr>
      <w:r>
        <w:rPr>
          <w:rStyle w:val="5"/>
          <w:rFonts w:hint="eastAsia" w:ascii="宋体" w:hAnsi="宋体" w:eastAsia="宋体" w:cs="宋体"/>
          <w:b/>
          <w:bCs/>
          <w:sz w:val="21"/>
          <w:szCs w:val="21"/>
        </w:rPr>
        <w:t>（4）</w:t>
      </w:r>
      <w:r>
        <w:rPr>
          <w:rStyle w:val="5"/>
          <w:rFonts w:hint="eastAsia" w:ascii="宋体" w:hAnsi="宋体" w:eastAsia="宋体" w:cs="宋体"/>
          <w:sz w:val="21"/>
          <w:szCs w:val="21"/>
        </w:rPr>
        <w:t>合并取得子公司会计处理</w:t>
      </w:r>
    </w:p>
    <w:p>
      <w:pPr>
        <w:pStyle w:val="2"/>
        <w:keepNext w:val="0"/>
        <w:keepLines w:val="0"/>
        <w:widowControl/>
        <w:suppressLineNumbers w:val="0"/>
        <w:spacing w:before="0" w:beforeAutospacing="0" w:after="0" w:afterAutospacing="0" w:line="360" w:lineRule="auto"/>
        <w:ind w:left="0" w:right="0" w:firstLine="425"/>
        <w:jc w:val="both"/>
        <w:rPr>
          <w:rFonts w:hint="default" w:ascii="Times New Roman" w:hAnsi="Times New Roman" w:cs="Times New Roman"/>
          <w:sz w:val="21"/>
          <w:szCs w:val="21"/>
        </w:rPr>
      </w:pPr>
      <w:r>
        <w:rPr>
          <w:rFonts w:hint="eastAsia" w:ascii="宋体" w:hAnsi="宋体" w:eastAsia="宋体" w:cs="宋体"/>
          <w:sz w:val="21"/>
          <w:szCs w:val="21"/>
        </w:rPr>
        <w:t>对于同一控制下企业合并取得的子公司，视同该企业合并于自最终控制方开始实时控制时已经发生，从合并当期的期初起将其资产、负债、经营成果和现金流量纳入合并财务报表；对于非同一控制下企业合并取得的子公司，在编制合并财务报表时，以购买日可辨认净资产公允价值为基础对其个别财务报表进行调整。</w:t>
      </w:r>
    </w:p>
    <w:p>
      <w:pPr>
        <w:pStyle w:val="2"/>
        <w:keepNext w:val="0"/>
        <w:keepLines w:val="0"/>
        <w:widowControl/>
        <w:suppressLineNumbers w:val="0"/>
        <w:spacing w:before="0" w:beforeAutospacing="0" w:after="0" w:afterAutospacing="0" w:line="360" w:lineRule="auto"/>
        <w:ind w:left="0" w:right="0" w:firstLine="425"/>
        <w:jc w:val="both"/>
        <w:rPr>
          <w:rFonts w:hint="default" w:ascii="Times New Roman" w:hAnsi="Times New Roman" w:cs="Times New Roman"/>
          <w:sz w:val="21"/>
          <w:szCs w:val="21"/>
        </w:rPr>
      </w:pPr>
      <w:r>
        <w:rPr>
          <w:rFonts w:hint="eastAsia" w:ascii="宋体" w:hAnsi="宋体" w:eastAsia="宋体" w:cs="宋体"/>
          <w:sz w:val="21"/>
          <w:szCs w:val="21"/>
        </w:rPr>
        <w:t>对于因非同一控制企业合并形成的子公司，合并成本大于合并中取得的子公司可辨认净资产公允价值份额的差额，不调整投资成本，在合并财务报表中列作商誉。</w:t>
      </w:r>
    </w:p>
    <w:p>
      <w:pPr>
        <w:pStyle w:val="2"/>
        <w:keepNext w:val="0"/>
        <w:keepLines w:val="0"/>
        <w:widowControl/>
        <w:suppressLineNumbers w:val="0"/>
        <w:spacing w:before="0" w:beforeAutospacing="0" w:after="0" w:afterAutospacing="0" w:line="360" w:lineRule="auto"/>
        <w:ind w:left="0" w:right="0" w:firstLine="425"/>
        <w:jc w:val="both"/>
        <w:rPr>
          <w:rFonts w:hint="default" w:ascii="Times New Roman" w:hAnsi="Times New Roman" w:cs="Times New Roman"/>
          <w:sz w:val="21"/>
          <w:szCs w:val="21"/>
        </w:rPr>
      </w:pPr>
      <w:r>
        <w:rPr>
          <w:rFonts w:hint="eastAsia" w:ascii="宋体" w:hAnsi="宋体" w:eastAsia="宋体" w:cs="宋体"/>
          <w:sz w:val="21"/>
          <w:szCs w:val="21"/>
        </w:rPr>
        <w:t>对于报告期内增加的子公司，若属于同一控制下企业合并的，调整合并资产负债表的期初数，并将该子公司当期期初至报告期末的收入、费用、利润纳入合并利润表，将同期的现金流量纳入合并现金流量表；若属于非同一控制下的企业合并的，则不调整合并资产负债表的期初数，并将该子公司购买日至报告期末的收入、费用、利润纳入合并利润表，将同期的现金流量纳入合并现金流量表。对于报告期内处置的子公司，不论属于同一控制抑或非同一控制企业合并，均不调整合并资产负债表的期初数，并将该子公司期初至处置日收入、费用、利润纳入合并利润表，及同期的现金流量纳入合并现金流量表。</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（5）分步处置子公司股权至丧失控制权的会计处理方法</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①不属于“一揽子交易”的分步处置股权至丧失控制权的各项交易在母公司财务报表和合并财务报表中的会计处理方法</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对丧失控制权之前的各项交易，母公司财务报表中，出售所得价款与处置长期股权投资账面价值之间的差额计入当期投资收益。在合并报表层面，处置价款与处置长期投资相对应享有子公司自购买日或者合并日开始持续计算的净资产份额之间的差额，调整资本公积（股本溢价），不足冲减的，调整留存收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对于失去控制权时的交易，不能再对被投资单位实施控制的、共同控制或重大影响的，母公司财务报表中，对于剩余股权，改按金融工具确认和计量准则进行会计处理，在丧失控制之日的公允价值与账面价值之间的差额计入当期投资收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对于失去控制权时的交易，处置后的剩余股权能够对原有子公司实施共同控制或重大影响的，母公司财务报表中，按有关成本法转为权益法的相关规定进行会计处理。在合并财务报表中，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转为当期投资收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②属于“一揽子交易”的分步处置股权至丧失控制权的各项交易在母公司财务报表和合并财务报表中的会计处理方法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属于“一揽子交易”的，将各项交易作为一项处置子公司并丧失控制权的交易进行会计处理。在母公司财务报表中将每一次处置价款与处置投资对应的账面价值的差额确认为当期投资收益。在合并财务报表中，对于失去控制权之前的每一次交易，将处置价款与处置投资对应的享有该子公司自购买日开始持续计算的净资产账面价值份额之间的差额确认为其他综合收益，在丧失控制权时一并转入丧失控制权当期的损益。</w:t>
      </w:r>
    </w:p>
    <w:p>
      <w:pPr>
        <w:keepNext/>
        <w:keepLines/>
        <w:spacing w:before="300" w:after="300" w:line="280" w:lineRule="exact"/>
        <w:jc w:val="left"/>
        <w:outlineLvl w:val="2"/>
        <w:rPr>
          <w:rFonts w:ascii="宋体" w:hAnsi="宋体" w:eastAsia="宋体" w:cs="宋体"/>
          <w:b/>
          <w:bCs/>
          <w:sz w:val="21"/>
          <w:szCs w:val="21"/>
        </w:rPr>
      </w:pPr>
      <w:bookmarkStart w:id="22" w:name="_Toc988997"/>
      <w:r>
        <w:rPr>
          <w:rFonts w:ascii="宋体" w:hAnsi="宋体" w:eastAsia="宋体" w:cs="宋体"/>
          <w:b/>
          <w:bCs/>
          <w:sz w:val="21"/>
          <w:szCs w:val="21"/>
        </w:rPr>
        <w:t>7、合营安排分类及共同经营会计处理方法</w:t>
      </w:r>
      <w:bookmarkEnd w:id="22"/>
    </w:p>
    <w:p>
      <w:pPr>
        <w:pStyle w:val="2"/>
        <w:keepNext w:val="0"/>
        <w:keepLines w:val="0"/>
        <w:widowControl/>
        <w:suppressLineNumbers w:val="0"/>
        <w:spacing w:before="0" w:beforeAutospacing="0" w:after="0" w:afterAutospacing="0" w:line="360" w:lineRule="auto"/>
        <w:ind w:left="0" w:right="0" w:firstLine="436"/>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合营安排，是指一项由两个或两个以上的参与方共同控制的安排。本公司根据在合营安排中享有的权利和承担的义务，将合营安排分为共同经营和合营企业。</w:t>
      </w:r>
    </w:p>
    <w:p>
      <w:pPr>
        <w:pStyle w:val="2"/>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（1）共同经营</w:t>
      </w:r>
    </w:p>
    <w:p>
      <w:pPr>
        <w:pStyle w:val="2"/>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当本公司是合营安排的合营方，享有该安排相关资产且承担该安排相关负债时，为共同经营。</w:t>
      </w:r>
    </w:p>
    <w:p>
      <w:pPr>
        <w:pStyle w:val="2"/>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本公司确认与共同经营中利益份额相关的下列项目，并按照相关企业会计准则的规定进行会计处理：</w:t>
      </w:r>
    </w:p>
    <w:p>
      <w:pPr>
        <w:pStyle w:val="2"/>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①确认本公司单独所持有的资产，以及按本公司份额确认共同持有的资产；</w:t>
      </w:r>
    </w:p>
    <w:p>
      <w:pPr>
        <w:pStyle w:val="2"/>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②确认本公司单独所承担的负债，以及按本公司份额确认共同承担的负债；</w:t>
      </w:r>
    </w:p>
    <w:p>
      <w:pPr>
        <w:pStyle w:val="2"/>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③确认出售本公司享有的共同经营产出份额所产生的收入；</w:t>
      </w:r>
    </w:p>
    <w:p>
      <w:pPr>
        <w:pStyle w:val="2"/>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④按本公司份额确认共同经营因出售产出所产生的收入；⑤确认单独所发生的费用，以及按本公司份额确认共同经营发生的费用。</w:t>
      </w:r>
    </w:p>
    <w:p>
      <w:pPr>
        <w:pStyle w:val="2"/>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w:t>
      </w:r>
      <w:r>
        <w:rPr>
          <w:rFonts w:hint="default" w:ascii="Times New Roman" w:hAnsi="Times New Roman" w:eastAsia="宋体" w:cs="Times New Roman"/>
          <w:sz w:val="21"/>
          <w:szCs w:val="21"/>
        </w:rPr>
        <w:t xml:space="preserve"> 8 </w:t>
      </w:r>
      <w:r>
        <w:rPr>
          <w:rFonts w:hint="eastAsia" w:ascii="宋体" w:hAnsi="宋体" w:eastAsia="宋体" w:cs="宋体"/>
          <w:sz w:val="21"/>
          <w:szCs w:val="21"/>
        </w:rPr>
        <w:t>号</w:t>
      </w:r>
      <w:r>
        <w:rPr>
          <w:rFonts w:hint="default" w:ascii="Times New Roman" w:hAnsi="Times New Roman" w:eastAsia="宋体" w:cs="Times New Roman"/>
          <w:sz w:val="21"/>
          <w:szCs w:val="21"/>
        </w:rPr>
        <w:t>——</w:t>
      </w:r>
      <w:r>
        <w:rPr>
          <w:rFonts w:hint="eastAsia" w:ascii="宋体" w:hAnsi="宋体" w:eastAsia="宋体" w:cs="宋体"/>
          <w:sz w:val="21"/>
          <w:szCs w:val="21"/>
        </w:rPr>
        <w:t xml:space="preserve">资产减值》等规定的资产减值损失的，对于由本公司向共同经营投出或出售资产的情况，本公司全额确认该损失；对于本公司自共同经营购买资产的情况，本公司按承担的份额确认该损失。 </w:t>
      </w:r>
    </w:p>
    <w:p>
      <w:pPr>
        <w:pStyle w:val="2"/>
        <w:keepNext w:val="0"/>
        <w:keepLines w:val="0"/>
        <w:widowControl/>
        <w:suppressLineNumbers w:val="0"/>
        <w:spacing w:before="0" w:beforeAutospacing="1" w:after="0" w:afterAutospacing="1" w:line="360" w:lineRule="auto"/>
        <w:ind w:left="0" w:right="0" w:firstLine="420"/>
      </w:pPr>
      <w:r>
        <w:rPr>
          <w:rFonts w:hint="eastAsia" w:ascii="宋体" w:hAnsi="宋体" w:eastAsia="宋体" w:cs="宋体"/>
          <w:sz w:val="21"/>
          <w:szCs w:val="21"/>
        </w:rPr>
        <w:t>（2）合营企业</w:t>
      </w:r>
    </w:p>
    <w:p>
      <w:pPr>
        <w:pStyle w:val="2"/>
        <w:keepNext w:val="0"/>
        <w:keepLines w:val="0"/>
        <w:widowControl/>
        <w:suppressLineNumbers w:val="0"/>
        <w:spacing w:before="0" w:beforeAutospacing="1" w:after="0" w:afterAutospacing="1" w:line="360" w:lineRule="auto"/>
        <w:ind w:left="0" w:right="0" w:firstLine="420"/>
      </w:pPr>
      <w:r>
        <w:rPr>
          <w:rFonts w:hint="eastAsia" w:ascii="宋体" w:hAnsi="宋体" w:eastAsia="宋体" w:cs="宋体"/>
          <w:sz w:val="21"/>
          <w:szCs w:val="21"/>
        </w:rPr>
        <w:t>合营企业，是指本公司仅对该安排的净资产享有权利的合营安排。本公司对合营企业的投资采用权益法核算，相关会计政策见本附注“三、（十九）长期股权投资”。</w:t>
      </w:r>
    </w:p>
    <w:p>
      <w:pPr>
        <w:keepNext/>
        <w:keepLines/>
        <w:spacing w:before="300" w:after="300" w:line="280" w:lineRule="exact"/>
        <w:jc w:val="left"/>
        <w:outlineLvl w:val="2"/>
        <w:rPr>
          <w:rFonts w:ascii="宋体" w:hAnsi="宋体" w:eastAsia="宋体" w:cs="宋体"/>
          <w:b/>
          <w:bCs/>
          <w:sz w:val="21"/>
          <w:szCs w:val="21"/>
        </w:rPr>
      </w:pPr>
      <w:bookmarkStart w:id="23" w:name="_Toc988998"/>
      <w:r>
        <w:rPr>
          <w:rFonts w:ascii="宋体" w:hAnsi="宋体" w:eastAsia="宋体" w:cs="宋体"/>
          <w:b/>
          <w:bCs/>
          <w:sz w:val="21"/>
          <w:szCs w:val="21"/>
        </w:rPr>
        <w:t>8、现金及现金等价物的确定标准</w:t>
      </w:r>
      <w:bookmarkEnd w:id="23"/>
    </w:p>
    <w:p>
      <w:pPr>
        <w:pStyle w:val="2"/>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本公司在编制现金流量表时所确定的现金，是指本公司库存现金以及可以随时用于支付的存款。</w:t>
      </w:r>
    </w:p>
    <w:p>
      <w:pPr>
        <w:pStyle w:val="2"/>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本公司在编制现金流量表时所确定的现金等价物，是指本公司持有的期限短、流动性强、易于转换为已知金额现金、价值变动风险很小的投资。</w:t>
      </w:r>
    </w:p>
    <w:p>
      <w:pPr>
        <w:keepNext/>
        <w:keepLines/>
        <w:spacing w:before="300" w:after="300" w:line="280" w:lineRule="exact"/>
        <w:jc w:val="left"/>
        <w:outlineLvl w:val="2"/>
        <w:rPr>
          <w:rFonts w:ascii="宋体" w:hAnsi="宋体" w:eastAsia="宋体" w:cs="宋体"/>
          <w:b/>
          <w:bCs/>
          <w:sz w:val="21"/>
          <w:szCs w:val="21"/>
        </w:rPr>
      </w:pPr>
      <w:bookmarkStart w:id="24" w:name="_Toc988999"/>
      <w:r>
        <w:rPr>
          <w:rFonts w:ascii="宋体" w:hAnsi="宋体" w:eastAsia="宋体" w:cs="宋体"/>
          <w:b/>
          <w:bCs/>
          <w:sz w:val="21"/>
          <w:szCs w:val="21"/>
        </w:rPr>
        <w:t>9、外币业务和外币报表折算</w:t>
      </w:r>
      <w:bookmarkEnd w:id="24"/>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（1）外币业务折算</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本公司对发生的外币交易，采用交易发生日的即期汇率折算人民币入账。</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含汇率变动）处理，计入当期损益或确认为其他综合收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（2）外币财务报表折算</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本公司的控股子公司、合营企业、联营企业等，若采用与本公司不同的记账本位币，需对其外币财务报表折算后，再进行会计核算及合并财务报表的编报。</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资产负债表中的资产和负债项目，采用资产负债表日的即期汇率折算，所有者权益项目除“未分配利润”项目外，其他项目采用发生时的即期汇率折算。利润表中的收入和费用项目，采用交易发生日的即期汇率折算。折算产生的外币财务报表折算差额，在资产负债表中所有者权益项目其他综合收益下列示。</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外币现金流量按照系统合理方法确定的，采用交易发生日的即期汇率折算。汇率变动对现金的影响额，在现金流量表中单独列示。</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处置境外经营时，与该境外经营有关的外币报表折算差额，全部或按处置该境外经营的比例转入处置当期损益。</w:t>
      </w:r>
    </w:p>
    <w:p>
      <w:pPr>
        <w:keepNext/>
        <w:keepLines/>
        <w:spacing w:before="300" w:after="300" w:line="280" w:lineRule="exact"/>
        <w:jc w:val="left"/>
        <w:outlineLvl w:val="2"/>
        <w:rPr>
          <w:rFonts w:ascii="宋体" w:hAnsi="宋体" w:eastAsia="宋体" w:cs="宋体"/>
          <w:b/>
          <w:bCs/>
          <w:sz w:val="21"/>
          <w:szCs w:val="21"/>
        </w:rPr>
      </w:pPr>
      <w:bookmarkStart w:id="25" w:name="_Toc989000"/>
      <w:r>
        <w:rPr>
          <w:rFonts w:ascii="宋体" w:hAnsi="宋体" w:eastAsia="宋体" w:cs="宋体"/>
          <w:b/>
          <w:bCs/>
          <w:sz w:val="21"/>
          <w:szCs w:val="21"/>
        </w:rPr>
        <w:t>10、金融工具</w:t>
      </w:r>
      <w:bookmarkEnd w:id="25"/>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金融工具，是指形成一方的金融资产并形成其他方的金融负债或权益工具的合同。在本公司成为金融工具合同的一方时确认一项金融资产或金融负债、权益工具。</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1、金融资产的分类、确认和计量</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债务工具：</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①以摊余成本计量的金融资产</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管理此类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按照实际利率法确认利息收入，按照摊余成本进行后续计量，其摊销或减值产生的利得或损失，计入当期损益。本公司的此类金融资产主要包括货币资金、应收票据、应收账款、其他应收款、债权投资和长期应收款等，本公司将自资产负债表日起一年内（含一年）到期的债权投资和长期应收款，列示为一年内到期的非流动资产；取得时期限在一年内（含一年）的债权投资列示为其他流动资产。</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②以公允价值计量且其变动计入其他综合收益的金融资产</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管理此类金融资产的业务模式为既以收取合同现金流量为目标又以出售为目标，且此类金融资产的合同现金流量特征与基本借贷安排相一致。此类金融资产按照公允价值计量且其变动计入其他综合收益，但减值损失或利得、汇兑损益和按照实际利率法计算的利息收入计入当期损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③以公允价值计量且其变动计入当期损益的金融资产</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将上述以摊余成本计量的金融资产和以公允价值计量且其变动计入其他综合收益的金融资产之外的金融资产，分类为以公允价值计量且其变动计入当期损益的金融资产，列示为交易性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自资产负债表日起超过一年到期且预期持有超过一年的，列示为其他非流动金融资产。</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权益工具：</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本公司将对其没有控制、共同控制和重大影响的权益工具分类为以公允价值计量且其变动计入当期损益的金融资产，列示为交易性金融资产；自资产负债表日起预期持有超过一年的，列示为其他非流动金融资产。</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此外，本公司将部分非交易性权益工具投资指定为以公允价值计量且其变动计入其他综合收益的金融资产，列示为其他权益工具投资，且该指定一经作出不得撤销。本公司将该类金融资产的相关股利收入计入当期损益，公允价值变动计入其他综合收益。当该金融资产终止确认时，之前计入其他综合收益的累计利得或损失将从其他综合收益转入留存收益，不计入当期损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2、金融负债的分类、确认和计量</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本公司根据所发行金融工具的合同条款及其所反映的经济实质而非仅以法律形式，结合金融负债和权益工具的定义，在初始确认时将该金融工具或其组成部分分类为金融负债或权益工具。</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的金融负债主要为以摊余成本计量的金融负债，包括应付票据及应付账款、其他应付款、借款及应付债券等。该类金融负债按其公允价值扣除交易费用后的金额进行初始计量，并采用实际利率法进行后续计量。期限在一年以下（含一年）的，列示为流动负债；期限在一年以上但自资产负债表日起一年内（含一年）到期的，列示为一年内到期的非流动负债；其余列示为非流动负债。</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当金融负债的现时义务全部或部分已经解除时，本集团终止确认该金融负债或义务已解除的部分。终止确认部分的账面价值与支付的对价之间的差额，计入当期损益。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3、金融负债与权益工具的区分及相关处理方法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本公司按照以下原则区分金融负债与权益工具：（</w:t>
      </w:r>
      <w:r>
        <w:rPr>
          <w:rFonts w:hint="default" w:ascii="Times New Roman" w:hAnsi="Times New Roman" w:eastAsia="宋体" w:cs="Times New Roman"/>
          <w:sz w:val="21"/>
          <w:szCs w:val="21"/>
        </w:rPr>
        <w:t>1</w:t>
      </w:r>
      <w:r>
        <w:rPr>
          <w:rFonts w:hint="eastAsia" w:ascii="宋体" w:hAnsi="宋体" w:eastAsia="宋体" w:cs="宋体"/>
          <w:sz w:val="21"/>
          <w:szCs w:val="21"/>
        </w:rPr>
        <w:t>）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r>
        <w:rPr>
          <w:rFonts w:hint="default" w:ascii="Times New Roman" w:hAnsi="Times New Roman" w:eastAsia="宋体" w:cs="Times New Roman"/>
          <w:sz w:val="21"/>
          <w:szCs w:val="21"/>
        </w:rPr>
        <w:t>2</w:t>
      </w:r>
      <w:r>
        <w:rPr>
          <w:rFonts w:hint="eastAsia" w:ascii="宋体" w:hAnsi="宋体" w:eastAsia="宋体" w:cs="宋体"/>
          <w:sz w:val="21"/>
          <w:szCs w:val="21"/>
        </w:rPr>
        <w:t>）如果一项金融工具须用或可用本公司自身权益工具进行结算，需要考虑用于结算该工具的本公司自身权益工具，是作为现金或其他金融资产的替代品，还是为了使该工具持有方享有在本公司扣除所有负债后的资产中的剩余权益。如果是前者，该工具是本公司的金融负债；如果是后者，该工具是本公司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义务的金额是固定的，还是完全或部分地基于除本公司自身权益工具的市场价格以外的变量（例如利率、某种商品的价格或某项金融工具的价格）的变动而变动，该合同分类为金融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在合并报表中对金融工具（或其组成部分）进行分类时，考虑了集团成员和金融工具持有方之间达成的所有条款和条件。如果集团作为一个整体由于该工具而承担了交付现金、其他金融资产或者以其他导致该工具成为金融负债的方式进行结算的义务，则该工具应当分类为金融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金融工具或其组成部分属于金融负债的，相关利息、股利（或股息）、利得或损失，以及赎回或再融资产生的利得或损失等，本公司计入当期损益。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金融工具或其组成部分属于权益工具的，其发行（含再融资）、回购、出售或注销时，本公司作为权益的变动处理；本公司不确认权益工具的公允价值变动，与权益性交易相关的交易费用从权益中扣减；本公司对权益工具持有方的分配作为利润分配处理，发放的股票股利不影响股东权益总额。</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4、金融资产转移的确认依据和计量方法</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将满足下列条件之一的金融资产，予以终止确认：①收取该金融资产现金流量的合同权利终止；②该金融资产已转移，且将金融资产所有权上几乎所有的风险和报酬转移给转入方；③该金融资产已转移，虽然本公司既没有转移也没有保留金融资产所有权上几乎所有的风险和报酬，但是放弃了对该金融资产的控制。若本公司既没有转移也没有保留金融资产所有权上几乎所有的风险和报酬，且未放弃对该金融资产的控制的，按照继续涉入所转移金融资产的程度确认有关金融资产，并相应确认有关负债。继续涉入所转移金融资产的程度，是指该金融资产价值变动使企业面临的风险水平。</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其他权益工具投资终止确认时，本公司将其账面价值与收到的对价以及原直接计入其他综合收益的公允价值变动累计额之和的差额，计入留存收益；其余金融资产终止确认时，其账面价值与收到的对价以及原直接计入其他综合收益的公允价值变动累计额之和的差额，计入当期损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5、金融负债的终止确认</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金融负债（或其一部分）终止确认的，本公司将其账面价值与支付的对价（包括转出的非现金资产或承担的负债）之间的差额，计入当期损益。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6、金融资产和金融负债的抵销</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7、金融资产和金融负债的公允价值确定方法</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 xml:space="preserve">8、金融资产减值 </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本公司对于以摊余成本计量的金融资产、以公允价值计量且其变动计入其他综合收益的债务工具投资等，以预期信用损失为基础确认损失准备。</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①预期信用损失的计量</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本公司考虑有关过去事项、当前状况以及对未来经济状况的预测等合理且有依据的信息，确认预期信用损失。</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在每个资产负债表日，本公司对于处于不同阶段的金融工具的预期信用损失分别进行计量。金融工具自初始确认后信用风险未显著增加的，处于第一阶段，本公司按照未来12 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对于在资产负债表日具有较低信用风险的金融工具，本公司假设其信用风险自初始确认后并未显著增加，按照未来12 个月内的预期信用损失计量损失准备。</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对于因销售商品、提供劳务等日常经营活动形成的应收票据和应收账款，无论是否存在重大融资成分，本公司均按照整个存续期的预期信用损失计量损失准备。</w:t>
      </w:r>
    </w:p>
    <w:p>
      <w:pPr>
        <w:pStyle w:val="2"/>
        <w:keepNext w:val="0"/>
        <w:keepLines w:val="0"/>
        <w:widowControl/>
        <w:suppressLineNumbers w:val="0"/>
        <w:spacing w:before="150" w:beforeAutospacing="0" w:after="0" w:afterAutospacing="0" w:line="360" w:lineRule="auto"/>
        <w:ind w:left="0" w:right="0" w:firstLine="436"/>
        <w:jc w:val="left"/>
        <w:rPr>
          <w:rFonts w:hint="default" w:ascii="Times New Roman" w:hAnsi="Times New Roman" w:cs="Times New Roman"/>
          <w:sz w:val="21"/>
          <w:szCs w:val="21"/>
        </w:rPr>
      </w:pPr>
      <w:r>
        <w:rPr>
          <w:rFonts w:hint="default" w:ascii="Times New Roman" w:hAnsi="Times New Roman" w:eastAsia="宋体" w:cs="Times New Roman"/>
          <w:sz w:val="21"/>
          <w:szCs w:val="21"/>
        </w:rPr>
        <w:t>A  </w:t>
      </w:r>
      <w:r>
        <w:rPr>
          <w:rFonts w:hint="eastAsia" w:ascii="宋体" w:hAnsi="宋体" w:eastAsia="宋体" w:cs="宋体"/>
          <w:sz w:val="21"/>
          <w:szCs w:val="21"/>
        </w:rPr>
        <w:t>应收款项：</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本公司依据信用风险特征将应收票据、应收账款、其他应收款、应收款项融资及长期应收款等划分为若干组合，在组合基础上计算预期信用损失，确定组合的依据如下：</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a、应收票据确定组合的依据如下：</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644"/>
        <w:gridCol w:w="4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trPr>
        <w:tc>
          <w:tcPr>
            <w:tcW w:w="464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应收票据组合</w:t>
            </w:r>
            <w:r>
              <w:rPr>
                <w:rFonts w:hint="default" w:ascii="Times New Roman" w:hAnsi="Times New Roman" w:eastAsia="宋体" w:cs="Times New Roman"/>
                <w:sz w:val="21"/>
                <w:szCs w:val="21"/>
              </w:rPr>
              <w:t>1--</w:t>
            </w:r>
            <w:r>
              <w:rPr>
                <w:rFonts w:hint="eastAsia" w:ascii="宋体" w:hAnsi="宋体" w:eastAsia="宋体" w:cs="宋体"/>
                <w:sz w:val="21"/>
                <w:szCs w:val="21"/>
              </w:rPr>
              <w:t>银行承兑汇票</w:t>
            </w:r>
          </w:p>
        </w:tc>
        <w:tc>
          <w:tcPr>
            <w:tcW w:w="464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信用风险较低的银行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应收票据组合</w:t>
            </w:r>
            <w:r>
              <w:rPr>
                <w:rFonts w:hint="default" w:ascii="Times New Roman" w:hAnsi="Times New Roman" w:eastAsia="宋体" w:cs="Times New Roman"/>
                <w:sz w:val="21"/>
                <w:szCs w:val="21"/>
              </w:rPr>
              <w:t>2--</w:t>
            </w:r>
            <w:r>
              <w:rPr>
                <w:rFonts w:hint="eastAsia" w:ascii="宋体" w:hAnsi="宋体" w:eastAsia="宋体" w:cs="宋体"/>
                <w:sz w:val="21"/>
                <w:szCs w:val="21"/>
              </w:rPr>
              <w:t>商业承兑汇票</w:t>
            </w:r>
          </w:p>
        </w:tc>
        <w:tc>
          <w:tcPr>
            <w:tcW w:w="4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信用风险较高的企业</w:t>
            </w:r>
          </w:p>
        </w:tc>
      </w:tr>
    </w:tbl>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对于划分为组合的应收票据，本公司参考历史信用损失经验，结合当前状况以及对未来经济状况的预测，通过违约风险敞口和整个存续期预期信用损失率，计算预期信用损失。</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b、应收账款确定组合的依据如下：</w:t>
      </w:r>
    </w:p>
    <w:tbl>
      <w:tblPr>
        <w:tblW w:w="928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644"/>
        <w:gridCol w:w="4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trPr>
        <w:tc>
          <w:tcPr>
            <w:tcW w:w="464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应收账款组合</w:t>
            </w:r>
            <w:r>
              <w:rPr>
                <w:rFonts w:hint="default" w:ascii="Times New Roman" w:hAnsi="Times New Roman" w:eastAsia="宋体" w:cs="Times New Roman"/>
                <w:sz w:val="21"/>
                <w:szCs w:val="21"/>
              </w:rPr>
              <w:t>1</w:t>
            </w:r>
          </w:p>
        </w:tc>
        <w:tc>
          <w:tcPr>
            <w:tcW w:w="464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应收第三方款项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应收账款组合</w:t>
            </w:r>
            <w:r>
              <w:rPr>
                <w:rFonts w:hint="default" w:ascii="Times New Roman" w:hAnsi="Times New Roman" w:eastAsia="宋体" w:cs="Times New Roman"/>
                <w:sz w:val="21"/>
                <w:szCs w:val="21"/>
              </w:rPr>
              <w:t>2</w:t>
            </w:r>
          </w:p>
        </w:tc>
        <w:tc>
          <w:tcPr>
            <w:tcW w:w="4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应收关联方款项</w:t>
            </w:r>
          </w:p>
        </w:tc>
      </w:tr>
    </w:tbl>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对于划分为组合的应收账款，本公司参考历史信用损失经验，结合当前状况以及对未来经济状况的预测，编制应收账款逾期天数与整个存续期预期信用损失率对照表，计算预期信用损失。</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c、其他应收款确定组合的依据如下：</w:t>
      </w:r>
    </w:p>
    <w:tbl>
      <w:tblPr>
        <w:tblW w:w="928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644"/>
        <w:gridCol w:w="4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trPr>
        <w:tc>
          <w:tcPr>
            <w:tcW w:w="464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其他应收款组合</w:t>
            </w:r>
            <w:r>
              <w:rPr>
                <w:rFonts w:hint="default" w:ascii="Times New Roman" w:hAnsi="Times New Roman" w:eastAsia="宋体" w:cs="Times New Roman"/>
                <w:sz w:val="21"/>
                <w:szCs w:val="21"/>
              </w:rPr>
              <w:t>1</w:t>
            </w:r>
          </w:p>
        </w:tc>
        <w:tc>
          <w:tcPr>
            <w:tcW w:w="464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应收股利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其他应收款组合</w:t>
            </w:r>
            <w:r>
              <w:rPr>
                <w:rFonts w:hint="default" w:ascii="Times New Roman" w:hAnsi="Times New Roman" w:eastAsia="宋体" w:cs="Times New Roman"/>
                <w:sz w:val="21"/>
                <w:szCs w:val="21"/>
              </w:rPr>
              <w:t>2</w:t>
            </w:r>
          </w:p>
        </w:tc>
        <w:tc>
          <w:tcPr>
            <w:tcW w:w="4644"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应收利息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其他应收款组合</w:t>
            </w:r>
            <w:r>
              <w:rPr>
                <w:rFonts w:hint="default" w:ascii="Times New Roman" w:hAnsi="Times New Roman" w:eastAsia="宋体" w:cs="Times New Roman"/>
                <w:sz w:val="21"/>
                <w:szCs w:val="21"/>
              </w:rPr>
              <w:t>3</w:t>
            </w:r>
          </w:p>
        </w:tc>
        <w:tc>
          <w:tcPr>
            <w:tcW w:w="4644"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应收关联方款项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其他应收款组合</w:t>
            </w:r>
            <w:r>
              <w:rPr>
                <w:rFonts w:hint="default" w:ascii="Times New Roman" w:hAnsi="Times New Roman" w:eastAsia="宋体" w:cs="Times New Roman"/>
                <w:sz w:val="21"/>
                <w:szCs w:val="21"/>
              </w:rPr>
              <w:t>4</w:t>
            </w:r>
          </w:p>
        </w:tc>
        <w:tc>
          <w:tcPr>
            <w:tcW w:w="4644"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应收其他款项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其他应收款组合</w:t>
            </w:r>
            <w:r>
              <w:rPr>
                <w:rFonts w:hint="default" w:ascii="Times New Roman" w:hAnsi="Times New Roman" w:eastAsia="宋体" w:cs="Times New Roman"/>
                <w:sz w:val="21"/>
                <w:szCs w:val="21"/>
              </w:rPr>
              <w:t>5</w:t>
            </w:r>
          </w:p>
        </w:tc>
        <w:tc>
          <w:tcPr>
            <w:tcW w:w="4644"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应收其他单位款项</w:t>
            </w:r>
          </w:p>
        </w:tc>
      </w:tr>
    </w:tbl>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对于划分为组合的其他应收款，本公司参考历史信用损失经验，结合当前状况以及对未来经济状况的预测，通过违约风险敞口和未来</w:t>
      </w:r>
      <w:r>
        <w:rPr>
          <w:rFonts w:hint="default" w:ascii="Times New Roman" w:hAnsi="Times New Roman" w:eastAsia="宋体" w:cs="Times New Roman"/>
          <w:sz w:val="21"/>
          <w:szCs w:val="21"/>
        </w:rPr>
        <w:t xml:space="preserve">12 </w:t>
      </w:r>
      <w:r>
        <w:rPr>
          <w:rFonts w:hint="eastAsia" w:ascii="宋体" w:hAnsi="宋体" w:eastAsia="宋体" w:cs="宋体"/>
          <w:sz w:val="21"/>
          <w:szCs w:val="21"/>
        </w:rPr>
        <w:t>个月内或整个存续期预期信用损失率，计算预期信用损失。</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d、应收款项融资确定组合的依据如下：</w:t>
      </w:r>
    </w:p>
    <w:tbl>
      <w:tblPr>
        <w:tblW w:w="928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644"/>
        <w:gridCol w:w="4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trPr>
        <w:tc>
          <w:tcPr>
            <w:tcW w:w="464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应收款项融资组合</w:t>
            </w:r>
            <w:r>
              <w:rPr>
                <w:rFonts w:hint="default" w:ascii="Times New Roman" w:hAnsi="Times New Roman" w:eastAsia="宋体" w:cs="Times New Roman"/>
                <w:sz w:val="21"/>
                <w:szCs w:val="21"/>
              </w:rPr>
              <w:t>1--</w:t>
            </w:r>
            <w:r>
              <w:rPr>
                <w:rFonts w:hint="eastAsia" w:ascii="宋体" w:hAnsi="宋体" w:eastAsia="宋体" w:cs="宋体"/>
                <w:sz w:val="21"/>
                <w:szCs w:val="21"/>
              </w:rPr>
              <w:t>银行承兑汇票</w:t>
            </w:r>
          </w:p>
        </w:tc>
        <w:tc>
          <w:tcPr>
            <w:tcW w:w="464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信用风险较低的银行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应收款项融资组合</w:t>
            </w:r>
            <w:r>
              <w:rPr>
                <w:rFonts w:hint="default" w:ascii="Times New Roman" w:hAnsi="Times New Roman" w:eastAsia="宋体" w:cs="Times New Roman"/>
                <w:sz w:val="21"/>
                <w:szCs w:val="21"/>
              </w:rPr>
              <w:t>2--</w:t>
            </w:r>
            <w:r>
              <w:rPr>
                <w:rFonts w:hint="eastAsia" w:ascii="宋体" w:hAnsi="宋体" w:eastAsia="宋体" w:cs="宋体"/>
                <w:sz w:val="21"/>
                <w:szCs w:val="21"/>
              </w:rPr>
              <w:t>商业承兑汇票</w:t>
            </w:r>
          </w:p>
        </w:tc>
        <w:tc>
          <w:tcPr>
            <w:tcW w:w="4644"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信用风险较高的企业</w:t>
            </w:r>
          </w:p>
        </w:tc>
      </w:tr>
    </w:tbl>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对于划分为组合的应收款项融资，本公司参考历史信用损失经验，结合当前状况以及对未来经济状况的预测，通过违约风险敞口和整个存续期预期信用损失率，计算预期信用损失。   e、合同资产确定组合的依据如下：</w:t>
      </w:r>
    </w:p>
    <w:tbl>
      <w:tblPr>
        <w:tblW w:w="928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644"/>
        <w:gridCol w:w="4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trPr>
        <w:tc>
          <w:tcPr>
            <w:tcW w:w="464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合同资产组合</w:t>
            </w:r>
            <w:r>
              <w:rPr>
                <w:rFonts w:hint="default" w:ascii="Times New Roman" w:hAnsi="Times New Roman" w:eastAsia="宋体" w:cs="Times New Roman"/>
                <w:sz w:val="21"/>
                <w:szCs w:val="21"/>
              </w:rPr>
              <w:t>1</w:t>
            </w:r>
          </w:p>
        </w:tc>
        <w:tc>
          <w:tcPr>
            <w:tcW w:w="464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应收第三方款项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合同资产组合</w:t>
            </w:r>
            <w:r>
              <w:rPr>
                <w:rFonts w:hint="default" w:ascii="Times New Roman" w:hAnsi="Times New Roman" w:eastAsia="宋体" w:cs="Times New Roman"/>
                <w:sz w:val="21"/>
                <w:szCs w:val="21"/>
              </w:rPr>
              <w:t>2</w:t>
            </w:r>
          </w:p>
        </w:tc>
        <w:tc>
          <w:tcPr>
            <w:tcW w:w="4644"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应收关联方款项</w:t>
            </w:r>
          </w:p>
        </w:tc>
      </w:tr>
    </w:tbl>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对于划分为组合的合同资产，本公司参考历史信用损失经验，结合当前状况以及对未来经济状况的预测，通过违约风险敞口和整个存续期预期信用损失率，计算预期信用损失。     </w:t>
      </w:r>
      <w:r>
        <w:rPr>
          <w:rFonts w:hint="default" w:ascii="Times New Roman" w:hAnsi="Times New Roman" w:eastAsia="宋体" w:cs="Times New Roman"/>
          <w:sz w:val="21"/>
          <w:szCs w:val="21"/>
        </w:rPr>
        <w:t xml:space="preserve">B </w:t>
      </w:r>
      <w:r>
        <w:rPr>
          <w:rFonts w:hint="eastAsia" w:ascii="宋体" w:hAnsi="宋体" w:eastAsia="宋体" w:cs="宋体"/>
          <w:sz w:val="21"/>
          <w:szCs w:val="21"/>
        </w:rPr>
        <w:t>债权投资、其他债权投资</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 xml:space="preserve">对于债权投资和其他债权投资，本公司按照投资的性质，根据交易对手和风险敞口的各种类型，通过违约风险敞口和未来 </w:t>
      </w:r>
      <w:r>
        <w:rPr>
          <w:rFonts w:hint="default" w:ascii="Times New Roman" w:hAnsi="Times New Roman" w:eastAsia="宋体" w:cs="Times New Roman"/>
          <w:sz w:val="21"/>
          <w:szCs w:val="21"/>
        </w:rPr>
        <w:t xml:space="preserve">12 </w:t>
      </w:r>
      <w:r>
        <w:rPr>
          <w:rFonts w:hint="eastAsia" w:ascii="宋体" w:hAnsi="宋体" w:eastAsia="宋体" w:cs="宋体"/>
          <w:sz w:val="21"/>
          <w:szCs w:val="21"/>
        </w:rPr>
        <w:t>个月内或整个存续期预期信用损失率，计算预期信用损失。</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②具有较低的信用风险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如果金融工具的违约风险较低，借款人在短期内履行其合同现金流量义务的能力很强， 并且即便较长时期内经济形势和经营环境存在不利变化但未必一定降低借款人履行其合同现  金流量义务的能力，该金融工具被视为具有较低的信用风险。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③信用风险显著增加</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本公司通过比较金融工具在资产负债表日所确定的预计存续期内的违约概率与在初始 确认时所确定的预计存续期内的违约概率，以确定金融工具预计存续期内发生违约概率的相 对变化，以评估金融工具的信用风险自初始确认后是否已显著增加。</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在确定信用风险自初始确认后是否显著增加时，本公司考虑无须付出不必要的额外成本 或努力即可获得的合理且有依据的信息，包括前瞻性信息。本公司考虑的信息包括：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 xml:space="preserve"> 信用风险变化所导致的内部价格指标是否发生显著变化；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 xml:space="preserve"> 预期将导致债务人履行其偿债义务的能力是否发生显著变化的业务、财务或经济状 况的不利变化；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C.</w:t>
      </w:r>
      <w:r>
        <w:rPr>
          <w:rFonts w:hint="eastAsia" w:ascii="宋体" w:hAnsi="宋体" w:eastAsia="宋体" w:cs="宋体"/>
          <w:sz w:val="21"/>
          <w:szCs w:val="21"/>
        </w:rPr>
        <w:t xml:space="preserve"> 债务人经营成果实际或预期是否发生显著变化；债务人所处的监管、经济或技术环 境是否发生显著不利变化；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D.</w:t>
      </w:r>
      <w:r>
        <w:rPr>
          <w:rFonts w:hint="eastAsia" w:ascii="宋体" w:hAnsi="宋体" w:eastAsia="宋体" w:cs="宋体"/>
          <w:sz w:val="21"/>
          <w:szCs w:val="21"/>
        </w:rPr>
        <w:t xml:space="preserve"> 作为债务抵押的担保物价值或第三方提供的担保或信用增级质量是否发生显著变 化。这些变化预期将降低债务人按合同规定期限还款的经济动机或者影响违约概率；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E.</w:t>
      </w:r>
      <w:r>
        <w:rPr>
          <w:rFonts w:hint="eastAsia" w:ascii="宋体" w:hAnsi="宋体" w:eastAsia="宋体" w:cs="宋体"/>
          <w:sz w:val="21"/>
          <w:szCs w:val="21"/>
        </w:rPr>
        <w:t xml:space="preserve"> 预期将降低债务人按合同约定期限还款的经济动机是否发生显著变化；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F.</w:t>
      </w:r>
      <w:r>
        <w:rPr>
          <w:rFonts w:hint="eastAsia" w:ascii="宋体" w:hAnsi="宋体" w:eastAsia="宋体" w:cs="宋体"/>
          <w:sz w:val="21"/>
          <w:szCs w:val="21"/>
        </w:rPr>
        <w:t xml:space="preserve"> 借款合同的预期变更，包括预计违反合同的行为是否可能导致的合同义务的免除或 修订、给予免息期、利率跳升、要求追加抵押品或担保或者对金融工具的合同框架做出其他 变更；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G.</w:t>
      </w:r>
      <w:r>
        <w:rPr>
          <w:rFonts w:hint="eastAsia" w:ascii="宋体" w:hAnsi="宋体" w:eastAsia="宋体" w:cs="宋体"/>
          <w:sz w:val="21"/>
          <w:szCs w:val="21"/>
        </w:rPr>
        <w:t xml:space="preserve"> 债务人预期表现和还款行为是否发生显著变化；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H.</w:t>
      </w:r>
      <w:r>
        <w:rPr>
          <w:rFonts w:hint="eastAsia" w:ascii="宋体" w:hAnsi="宋体" w:eastAsia="宋体" w:cs="宋体"/>
          <w:sz w:val="21"/>
          <w:szCs w:val="21"/>
        </w:rPr>
        <w:t xml:space="preserve"> 合同付款是否发生逾期超过（含）</w:t>
      </w:r>
      <w:r>
        <w:rPr>
          <w:rFonts w:hint="default" w:ascii="Times New Roman" w:hAnsi="Times New Roman" w:eastAsia="宋体" w:cs="Times New Roman"/>
          <w:sz w:val="21"/>
          <w:szCs w:val="21"/>
        </w:rPr>
        <w:t xml:space="preserve">30 </w:t>
      </w:r>
      <w:r>
        <w:rPr>
          <w:rFonts w:hint="eastAsia" w:ascii="宋体" w:hAnsi="宋体" w:eastAsia="宋体" w:cs="宋体"/>
          <w:sz w:val="21"/>
          <w:szCs w:val="21"/>
        </w:rPr>
        <w:t>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根据金融工具的性质，本公司以单项金融工具或金融工具组合为基础评估信用风险是否 显著增加。以金融工具组合为基础进行评估时，本公司可基于共同信用风险特征对金融工具 进行分类，例如逾期信息和信用风险评级。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 xml:space="preserve">通常情况下，如果逾期超过 </w:t>
      </w:r>
      <w:r>
        <w:rPr>
          <w:rFonts w:hint="default" w:ascii="Times New Roman" w:hAnsi="Times New Roman" w:eastAsia="宋体" w:cs="Times New Roman"/>
          <w:sz w:val="21"/>
          <w:szCs w:val="21"/>
        </w:rPr>
        <w:t xml:space="preserve">30 </w:t>
      </w:r>
      <w:r>
        <w:rPr>
          <w:rFonts w:hint="eastAsia" w:ascii="宋体" w:hAnsi="宋体" w:eastAsia="宋体" w:cs="宋体"/>
          <w:sz w:val="21"/>
          <w:szCs w:val="21"/>
        </w:rPr>
        <w:t xml:space="preserve">日，本公司确定金融工具的信用风险已经显著增加。除非本公司无需付出过多成本或努力即可获得合理且有依据的信息，证明虽然超过合同约定的 付款期限 </w:t>
      </w:r>
      <w:r>
        <w:rPr>
          <w:rFonts w:hint="default" w:ascii="Times New Roman" w:hAnsi="Times New Roman" w:eastAsia="宋体" w:cs="Times New Roman"/>
          <w:sz w:val="21"/>
          <w:szCs w:val="21"/>
        </w:rPr>
        <w:t xml:space="preserve">30 </w:t>
      </w:r>
      <w:r>
        <w:rPr>
          <w:rFonts w:hint="eastAsia" w:ascii="宋体" w:hAnsi="宋体" w:eastAsia="宋体" w:cs="宋体"/>
          <w:sz w:val="21"/>
          <w:szCs w:val="21"/>
        </w:rPr>
        <w:t>天，但信用风险自初始确认以来并未显著增加。</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④已发生信用减值的金融资产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本公司在资产负债表日评估以摊余成本计量的金融资产和以公允价值计量且其变动计  入其他综合收益的债权投资是否已发生信用减值。当对金融资产预期未来现金流量具有不利  影响的一项或多项事件发生时，该金融资产成为已发生信用减值的金融资产。金融资产已发  生信用减值的证据包括下列可观察信息：发行方或债务人发生重大财务困难；债务人违反合  同，如偿付利息或本金违约或逾期等；债权人出于与债务人财务困难有关的经济或合同考虑， 给予债务人在任何其他情况下都不会做出的让步；债务人很可能破产或进行其他财务重组；</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发行方或债务人财务困难导致该金融资产的活跃市场消失；以大幅折扣购买或源生一项金融 资产，该折扣反映了发生信用损失的事实。</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⑤预期信用损失准备的列报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为反映金融工具的信用风险自初始确认后的变化，本公司在每个资产负债表日重新计量 预期信用损失，由此形成的损失准备的增加或转回金额，应当作为减值损失或利得计入当期 损益。对于以摊余成本计量的金融资产，损失准备抵减该金融资产在资产负债表中列示的账 面价值；对于以公允价值计量且其变动计入其他综合收益的债权投资，本公司在其他综合收 益中确认其损失准备，不抵减该金融资产的账面价值。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⑥核销</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如果本公司不再合理预期金融资产合同现金流量能够全部或部分收回，则直接减记该金 融资产的账面余额，这种减记构成相关金融资产的终止确认。这种情况通常发生在本公司确 定债务人没有资产或收入来源可产生足够的现金流量以偿还将被减记的金额。已减记的金融 资产以后又收回的，作为减值损失的转回计入收回当期的损益。</w:t>
      </w:r>
    </w:p>
    <w:p>
      <w:pPr>
        <w:keepNext/>
        <w:keepLines/>
        <w:spacing w:before="300" w:after="300" w:line="280" w:lineRule="exact"/>
        <w:jc w:val="left"/>
        <w:outlineLvl w:val="2"/>
        <w:rPr>
          <w:rFonts w:ascii="宋体" w:hAnsi="宋体" w:eastAsia="宋体" w:cs="宋体"/>
          <w:b/>
          <w:bCs/>
          <w:sz w:val="21"/>
          <w:szCs w:val="21"/>
        </w:rPr>
      </w:pPr>
      <w:bookmarkStart w:id="26" w:name="_Toc989001"/>
      <w:r>
        <w:rPr>
          <w:rFonts w:ascii="宋体" w:hAnsi="宋体" w:eastAsia="宋体" w:cs="宋体"/>
          <w:b/>
          <w:bCs/>
          <w:sz w:val="21"/>
          <w:szCs w:val="21"/>
        </w:rPr>
        <w:t>11、应收票据</w:t>
      </w:r>
      <w:bookmarkEnd w:id="26"/>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本公司对于应收票据按照相当于整个存续期内的预期信用损失金额计量损失准备。对于划分为组合的应收票据，本公司参考历史信用损失经验，结合当前状况以及对未来经济状况的预测，通过违约风险敞口和整个存续期预期信用损失率，计算预期信用损失。除了单项评估信用风险的应收票据外，基于应收票据的信用风险特征，将其划分为不同组合：</w:t>
      </w:r>
    </w:p>
    <w:tbl>
      <w:tblPr>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791"/>
        <w:gridCol w:w="506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trPr>
        <w:tc>
          <w:tcPr>
            <w:tcW w:w="2431" w:type="pc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21"/>
                <w:szCs w:val="21"/>
              </w:rPr>
              <w:t>项目</w:t>
            </w:r>
          </w:p>
        </w:tc>
        <w:tc>
          <w:tcPr>
            <w:tcW w:w="2569" w:type="pc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21"/>
                <w:szCs w:val="21"/>
              </w:rPr>
              <w:t>确定组合的依据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431"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1"/>
                <w:szCs w:val="21"/>
              </w:rPr>
              <w:t>银行承兑汇票</w:t>
            </w:r>
          </w:p>
        </w:tc>
        <w:tc>
          <w:tcPr>
            <w:tcW w:w="256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rPr>
              <w:t>承兑人为信用风险较小的银行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431"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1"/>
                <w:szCs w:val="21"/>
              </w:rPr>
              <w:t>商业承兑汇票</w:t>
            </w:r>
          </w:p>
        </w:tc>
        <w:tc>
          <w:tcPr>
            <w:tcW w:w="256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rPr>
              <w:t>承兑人为信用风险较高的公司</w:t>
            </w:r>
          </w:p>
        </w:tc>
      </w:tr>
    </w:tbl>
    <w:p>
      <w:pPr>
        <w:keepNext/>
        <w:keepLines/>
        <w:spacing w:before="300" w:after="300" w:line="280" w:lineRule="exact"/>
        <w:jc w:val="left"/>
        <w:outlineLvl w:val="2"/>
        <w:rPr>
          <w:rFonts w:ascii="宋体" w:hAnsi="宋体" w:eastAsia="宋体" w:cs="宋体"/>
          <w:b/>
          <w:bCs/>
          <w:sz w:val="21"/>
          <w:szCs w:val="21"/>
        </w:rPr>
      </w:pPr>
      <w:bookmarkStart w:id="27" w:name="_Toc989002"/>
      <w:r>
        <w:rPr>
          <w:rFonts w:ascii="宋体" w:hAnsi="宋体" w:eastAsia="宋体" w:cs="宋体"/>
          <w:b/>
          <w:bCs/>
          <w:sz w:val="21"/>
          <w:szCs w:val="21"/>
        </w:rPr>
        <w:t>12、应收账款</w:t>
      </w:r>
      <w:bookmarkEnd w:id="27"/>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对于不含重大融资成分的应收账款，本公司按照相当于整个存续期内的预期信用损失金额计量损失准备。</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对于包含重大融资成分的应收账款，本公司选择始终按照相当于存续期内预期信用损失的金额计量损失准备。</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除了单项评估信用风险的应收账款外，基于其信用风险特征，将其划分为不同组合：</w:t>
      </w:r>
    </w:p>
    <w:tbl>
      <w:tblPr>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791"/>
        <w:gridCol w:w="506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trPr>
        <w:tc>
          <w:tcPr>
            <w:tcW w:w="2431" w:type="pc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21"/>
                <w:szCs w:val="21"/>
              </w:rPr>
              <w:t>项目</w:t>
            </w:r>
          </w:p>
        </w:tc>
        <w:tc>
          <w:tcPr>
            <w:tcW w:w="2569" w:type="pc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21"/>
                <w:szCs w:val="21"/>
              </w:rPr>
              <w:t>确定组合的依据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431"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1"/>
                <w:szCs w:val="21"/>
              </w:rPr>
              <w:t>应收第三方款项</w:t>
            </w:r>
          </w:p>
        </w:tc>
        <w:tc>
          <w:tcPr>
            <w:tcW w:w="256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rPr>
              <w:t>本组合为风险较低应收关联方的应收款项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431"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1"/>
                <w:szCs w:val="21"/>
              </w:rPr>
              <w:t>应收关联方款项</w:t>
            </w:r>
          </w:p>
        </w:tc>
        <w:tc>
          <w:tcPr>
            <w:tcW w:w="256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rPr>
              <w:t>本组合以应收款项账龄作为信用风险特征</w:t>
            </w:r>
          </w:p>
        </w:tc>
      </w:tr>
    </w:tbl>
    <w:p>
      <w:pPr>
        <w:pStyle w:val="2"/>
        <w:keepNext w:val="0"/>
        <w:keepLines w:val="0"/>
        <w:widowControl/>
        <w:suppressLineNumbers w:val="0"/>
        <w:spacing w:before="15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对于划分为组合的应收账款，本公司参考历史信用损失经验，结合当前状况以及对未来经济状况的预测，编制应收账款逾期天数与整个存续期预期信用损失率对照表，计算预期信用损失。</w:t>
      </w:r>
    </w:p>
    <w:p>
      <w:pPr>
        <w:keepNext/>
        <w:keepLines/>
        <w:spacing w:before="300" w:after="300" w:line="280" w:lineRule="exact"/>
        <w:jc w:val="left"/>
        <w:outlineLvl w:val="2"/>
        <w:rPr>
          <w:rFonts w:ascii="宋体" w:hAnsi="宋体" w:eastAsia="宋体" w:cs="宋体"/>
          <w:b/>
          <w:bCs/>
          <w:sz w:val="21"/>
          <w:szCs w:val="21"/>
        </w:rPr>
      </w:pPr>
      <w:bookmarkStart w:id="28" w:name="_Toc989003"/>
      <w:r>
        <w:rPr>
          <w:rFonts w:ascii="宋体" w:hAnsi="宋体" w:eastAsia="宋体" w:cs="宋体"/>
          <w:b/>
          <w:bCs/>
          <w:sz w:val="21"/>
          <w:szCs w:val="21"/>
        </w:rPr>
        <w:t>13、应收款项融资</w:t>
      </w:r>
      <w:bookmarkEnd w:id="28"/>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当应收票据和应收账款同时满足以下条件时，本公司将其划分为以公允价值计量且其变动计入其他综</w:t>
      </w:r>
    </w:p>
    <w:p>
      <w:pPr>
        <w:pStyle w:val="2"/>
        <w:keepNext w:val="0"/>
        <w:keepLines w:val="0"/>
        <w:widowControl/>
        <w:suppressLineNumbers w:val="0"/>
        <w:spacing w:before="0" w:beforeAutospacing="0" w:after="0" w:afterAutospacing="0" w:line="360" w:lineRule="auto"/>
        <w:ind w:left="0" w:right="0" w:firstLine="200"/>
        <w:jc w:val="left"/>
        <w:rPr>
          <w:rFonts w:hint="default" w:ascii="Times New Roman" w:hAnsi="Times New Roman" w:cs="Times New Roman"/>
          <w:sz w:val="21"/>
          <w:szCs w:val="21"/>
        </w:rPr>
      </w:pPr>
      <w:r>
        <w:rPr>
          <w:rFonts w:hint="eastAsia" w:ascii="宋体" w:hAnsi="宋体" w:eastAsia="宋体" w:cs="宋体"/>
          <w:sz w:val="21"/>
          <w:szCs w:val="21"/>
        </w:rPr>
        <w:t>合收益的金融资产，相关具体会计处理方式见金融工具，在报表中列示为应收款项融资：</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（1）合同现金流量为对本金和以未偿付本金金额为基础的利息的支付；</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（2）本公司管理应收票据和应收账款的业务模式既以收取合同现金流量为目标又以出售为目标。</w:t>
      </w:r>
    </w:p>
    <w:p>
      <w:pPr>
        <w:keepNext/>
        <w:keepLines/>
        <w:spacing w:before="300" w:after="300" w:line="280" w:lineRule="exact"/>
        <w:jc w:val="left"/>
        <w:outlineLvl w:val="2"/>
        <w:rPr>
          <w:rFonts w:ascii="宋体" w:hAnsi="宋体" w:eastAsia="宋体" w:cs="宋体"/>
          <w:b/>
          <w:bCs/>
          <w:sz w:val="21"/>
          <w:szCs w:val="21"/>
        </w:rPr>
      </w:pPr>
      <w:bookmarkStart w:id="29" w:name="_Toc989004"/>
      <w:r>
        <w:rPr>
          <w:rFonts w:ascii="宋体" w:hAnsi="宋体" w:eastAsia="宋体" w:cs="宋体"/>
          <w:b/>
          <w:bCs/>
          <w:sz w:val="21"/>
          <w:szCs w:val="21"/>
        </w:rPr>
        <w:t>14、其他应收款</w:t>
      </w:r>
      <w:bookmarkEnd w:id="29"/>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其他应收款的预期信用损失的确定方法及会计处理方法</w:t>
      </w:r>
    </w:p>
    <w:p>
      <w:pPr>
        <w:pStyle w:val="2"/>
        <w:keepNext w:val="0"/>
        <w:keepLines w:val="0"/>
        <w:widowControl/>
        <w:suppressLineNumbers w:val="0"/>
        <w:spacing w:before="150" w:beforeAutospacing="0" w:after="150" w:afterAutospacing="0" w:line="360" w:lineRule="auto"/>
        <w:ind w:left="40" w:right="0" w:firstLine="456"/>
        <w:jc w:val="both"/>
        <w:rPr>
          <w:rFonts w:hint="default" w:ascii="Times New Roman" w:hAnsi="Times New Roman" w:cs="Times New Roman"/>
          <w:sz w:val="21"/>
          <w:szCs w:val="21"/>
        </w:rPr>
      </w:pPr>
      <w:r>
        <w:rPr>
          <w:rFonts w:hint="eastAsia" w:ascii="宋体" w:hAnsi="宋体" w:eastAsia="宋体" w:cs="宋体"/>
          <w:sz w:val="21"/>
          <w:szCs w:val="21"/>
        </w:rPr>
        <w:t>其他应收款的预期信用损失的确定方法及会计处理方法详见三、（十）金融工具。</w:t>
      </w:r>
    </w:p>
    <w:p>
      <w:pPr>
        <w:keepNext/>
        <w:keepLines/>
        <w:spacing w:before="300" w:after="300" w:line="280" w:lineRule="exact"/>
        <w:jc w:val="left"/>
        <w:outlineLvl w:val="2"/>
        <w:rPr>
          <w:rFonts w:ascii="宋体" w:hAnsi="宋体" w:eastAsia="宋体" w:cs="宋体"/>
          <w:b/>
          <w:bCs/>
          <w:sz w:val="21"/>
          <w:szCs w:val="21"/>
        </w:rPr>
      </w:pPr>
      <w:bookmarkStart w:id="30" w:name="_Toc989005"/>
      <w:r>
        <w:rPr>
          <w:rFonts w:ascii="宋体" w:hAnsi="宋体" w:eastAsia="宋体" w:cs="宋体"/>
          <w:b/>
          <w:bCs/>
          <w:sz w:val="21"/>
          <w:szCs w:val="21"/>
        </w:rPr>
        <w:t>15、存货</w:t>
      </w:r>
      <w:bookmarkEnd w:id="30"/>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1、存货分类</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公司存货包括生产经营过程中为销售或耗用而持有的原材料、处在生产过程中的在产品、、在生产过程或提供劳务过程中耗用的材料和物料等。主要包括原材料、周转材料、委托加工物资、包装物、在产品、半成品、库存商品等。</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2、存货取得和发出的计价方法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（1）公司存货按实际成本进行初始计量，存货成本包括采购成本、加工成本和其他使存货达到目前场所和状态所发生的支出。存货发出时，采用加权平均法确定其实际成本。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（2）低值易耗品及周转材料采用五五摊销法核算。</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（3）包装物采用一次摊销法核算。</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3、存货数量的盘存方法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公司存货数量的盘存方法采用永续盘存制。</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4、存货跌价准备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资产负债表日，本公司存货按照成本与可变现净值孰低计量。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对于产成品、商品和用于出售的材料等可直接用于出售的存货，按该等存货的估计售价减去估计的销售费用和相关税费后的金额确定其可变现净值；用于生产而持有的材料等存货，其可变现净值按所生产的产成品的估计售价减去至完工时估计将要发生的成本、估计的销售费用和相关税费后的金额确定；为执行销售合同或者劳务合同而持有的存货，其可变现净值以合同价格为基础计算，若本公司持有存货的数量多于销售合同订购数量的，超出部分的存货可变现净值以一般销售价格为基础计算。</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单个存货项目计提存货跌价准备。但如果某些存货与在同一地区生产和销售的产品系列相关、具有相同或类似最终用途或目的，且难以与其他项目分开计量，可以合并计量成本与可变现净值；对于数量繁多、单价较低的存货，本公司按照存货类别计量成本与可变现净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资产负债表日，如果本公司存货成本高于其可变现净值的，计提存货跌价准备，并计入当期损益。如果以前减记存货价值的影响因素已经消失的，本公司将减记的金额予以恢复，并在原已计提的存货跌价准备金额内转回，转回的金额计入当期损益。</w:t>
      </w:r>
    </w:p>
    <w:p>
      <w:pPr>
        <w:keepNext/>
        <w:keepLines/>
        <w:spacing w:before="300" w:after="300" w:line="280" w:lineRule="exact"/>
        <w:jc w:val="left"/>
        <w:outlineLvl w:val="2"/>
        <w:rPr>
          <w:rFonts w:ascii="宋体" w:hAnsi="宋体" w:eastAsia="宋体" w:cs="宋体"/>
          <w:b/>
          <w:bCs/>
          <w:sz w:val="21"/>
          <w:szCs w:val="21"/>
        </w:rPr>
      </w:pPr>
      <w:bookmarkStart w:id="31" w:name="_Toc989006"/>
      <w:r>
        <w:rPr>
          <w:rFonts w:ascii="宋体" w:hAnsi="宋体" w:eastAsia="宋体" w:cs="宋体"/>
          <w:b/>
          <w:bCs/>
          <w:sz w:val="21"/>
          <w:szCs w:val="21"/>
        </w:rPr>
        <w:t>16、合同资产</w:t>
      </w:r>
      <w:bookmarkEnd w:id="31"/>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将拥有的、无条件（即，仅取决于时间流逝）向客户收取对价的权利作为应收款项列示，将已向客户转让商品而有权收取对价的权利，且该权利取决于时间流逝之外的其他因素作为合同资产列示。向客户销售两项可明确区分的商品，因已交付其中一项商品而有权收取款项，但收取该款项还取决于交付另一项商品的，本公司将该收款权利作为合同资产。</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 </w:t>
      </w:r>
    </w:p>
    <w:p>
      <w:pPr>
        <w:pStyle w:val="2"/>
        <w:keepNext w:val="0"/>
        <w:keepLines w:val="0"/>
        <w:widowControl/>
        <w:suppressLineNumbers w:val="0"/>
      </w:pPr>
      <w:r>
        <w:rPr>
          <w:rFonts w:hint="eastAsia" w:ascii="宋体" w:hAnsi="宋体" w:eastAsia="宋体" w:cs="宋体"/>
          <w:sz w:val="21"/>
          <w:szCs w:val="21"/>
        </w:rPr>
        <w:t>本公司对于因销售商品、提供劳务等日常经营活动形成的合同资产，无论是否存在重大融资成分，均按照整个存续期的预期信用损失计量损失准备。本公司对合同资产的预期信用</w:t>
      </w:r>
      <w:r>
        <w:rPr>
          <w:rFonts w:hint="default" w:ascii="Times New Roman" w:hAnsi="Times New Roman" w:eastAsia="宋体" w:cs="Times New Roman"/>
          <w:sz w:val="21"/>
          <w:szCs w:val="21"/>
        </w:rPr>
        <w:t> </w:t>
      </w:r>
      <w:r>
        <w:rPr>
          <w:rFonts w:hint="eastAsia" w:ascii="宋体" w:hAnsi="宋体" w:eastAsia="宋体" w:cs="宋体"/>
          <w:sz w:val="21"/>
          <w:szCs w:val="21"/>
        </w:rPr>
        <w:t>损失的确定方法及会计处理方法详见三、（十）金融工具。</w:t>
      </w:r>
    </w:p>
    <w:p>
      <w:pPr>
        <w:keepNext/>
        <w:keepLines/>
        <w:spacing w:before="300" w:after="300" w:line="280" w:lineRule="exact"/>
        <w:jc w:val="left"/>
        <w:outlineLvl w:val="2"/>
        <w:rPr>
          <w:rFonts w:ascii="宋体" w:hAnsi="宋体" w:eastAsia="宋体" w:cs="宋体"/>
          <w:b/>
          <w:bCs/>
          <w:sz w:val="21"/>
          <w:szCs w:val="21"/>
        </w:rPr>
      </w:pPr>
      <w:bookmarkStart w:id="32" w:name="_Toc989007"/>
      <w:r>
        <w:rPr>
          <w:rFonts w:ascii="宋体" w:hAnsi="宋体" w:eastAsia="宋体" w:cs="宋体"/>
          <w:b/>
          <w:bCs/>
          <w:sz w:val="21"/>
          <w:szCs w:val="21"/>
        </w:rPr>
        <w:t>17、合同成本</w:t>
      </w:r>
      <w:bookmarkEnd w:id="32"/>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1</w:t>
      </w:r>
      <w:r>
        <w:rPr>
          <w:rFonts w:hint="eastAsia" w:ascii="宋体" w:hAnsi="宋体" w:eastAsia="宋体" w:cs="宋体"/>
          <w:sz w:val="21"/>
          <w:szCs w:val="21"/>
        </w:rPr>
        <w:t>、合同履约成本，是指本公司为履行合同发生的成本，该成本不属于收入准则以外的其他准则规范范围且同时满足下列条件：</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）该成本与一份当前或预期取得的合同直接相关，包括直接人工、直接材料、制造费用（或类似费用）、明确由客户承担的成本以及仅因该合同而发生的其他成本；</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）该成本增加了本公司未来用于履行履约义务的资源；</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3</w:t>
      </w:r>
      <w:r>
        <w:rPr>
          <w:rFonts w:hint="eastAsia" w:ascii="宋体" w:hAnsi="宋体" w:eastAsia="宋体" w:cs="宋体"/>
          <w:sz w:val="21"/>
          <w:szCs w:val="21"/>
        </w:rPr>
        <w:t>）该成本预期能够收回。</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本公司的下列支出于发生时，计入当期损益：</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）管理费用。</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）非正常消耗的直接材料、直接人工和制造费用（或类似费用），这些支出为履行合同发生，但未反映在合同价格中。</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3</w:t>
      </w:r>
      <w:r>
        <w:rPr>
          <w:rFonts w:hint="eastAsia" w:ascii="宋体" w:hAnsi="宋体" w:eastAsia="宋体" w:cs="宋体"/>
          <w:sz w:val="21"/>
          <w:szCs w:val="21"/>
        </w:rPr>
        <w:t>）与履约义务中已履行部分相关的支出。</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4</w:t>
      </w:r>
      <w:r>
        <w:rPr>
          <w:rFonts w:hint="eastAsia" w:ascii="宋体" w:hAnsi="宋体" w:eastAsia="宋体" w:cs="宋体"/>
          <w:sz w:val="21"/>
          <w:szCs w:val="21"/>
        </w:rPr>
        <w:t>）无法在尚未履行的与已履行的履约义务之间区分的相关支出。</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2</w:t>
      </w:r>
      <w:r>
        <w:rPr>
          <w:rFonts w:hint="eastAsia" w:ascii="宋体" w:hAnsi="宋体" w:eastAsia="宋体" w:cs="宋体"/>
          <w:sz w:val="21"/>
          <w:szCs w:val="21"/>
        </w:rPr>
        <w:t>、本公司为取得合同发生的增量成本预期能够收回的，作为合同取得成本确认为一项资产；如该资产摊销期限不超过一年的，在发生时计入当期损益。增量成本，是指本公司不取得合同就不会发生的成本（如销售佣金等）。本公司为取得合同发生的、除预期能够收回的增量成本之外的其他支出（如无论是否取得合同均会发生的差旅费等），在发生时计入当期损益，但是，明确由客户承担的除外。</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3</w:t>
      </w:r>
      <w:r>
        <w:rPr>
          <w:rFonts w:hint="eastAsia" w:ascii="宋体" w:hAnsi="宋体" w:eastAsia="宋体" w:cs="宋体"/>
          <w:sz w:val="21"/>
          <w:szCs w:val="21"/>
        </w:rPr>
        <w:t>、本公司与合同成本有关的资产，应当采用与该资产相关的商品收入确认相同的基础进行摊销，计入当期损益。</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4</w:t>
      </w:r>
      <w:r>
        <w:rPr>
          <w:rFonts w:hint="eastAsia" w:ascii="宋体" w:hAnsi="宋体" w:eastAsia="宋体" w:cs="宋体"/>
          <w:sz w:val="21"/>
          <w:szCs w:val="21"/>
        </w:rPr>
        <w:t>、本公司与合同成本有关的资产，其账面价值高于下列两项的差额的，超出部分计提减值准备，并确认为资产减值损失：</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）本公司因转让与该资产相关的商品预期能够取得的剩余对价；</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）为转让该相关商品估计将要发生的成本。</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以前期间减值的因素之后发生变化，使得上述</w:t>
      </w:r>
      <w:r>
        <w:rPr>
          <w:rFonts w:hint="default" w:ascii="Times New Roman" w:hAnsi="Times New Roman" w:eastAsia="宋体" w:cs="Times New Roman"/>
          <w:sz w:val="21"/>
          <w:szCs w:val="21"/>
        </w:rPr>
        <w:t>1)</w:t>
      </w:r>
      <w:r>
        <w:rPr>
          <w:rFonts w:hint="eastAsia" w:ascii="宋体" w:hAnsi="宋体" w:eastAsia="宋体" w:cs="宋体"/>
          <w:sz w:val="21"/>
          <w:szCs w:val="21"/>
        </w:rPr>
        <w:t>减</w:t>
      </w:r>
      <w:r>
        <w:rPr>
          <w:rFonts w:hint="default" w:ascii="Times New Roman" w:hAnsi="Times New Roman" w:eastAsia="宋体" w:cs="Times New Roman"/>
          <w:sz w:val="21"/>
          <w:szCs w:val="21"/>
        </w:rPr>
        <w:t>2)</w:t>
      </w:r>
      <w:r>
        <w:rPr>
          <w:rFonts w:hint="eastAsia" w:ascii="宋体" w:hAnsi="宋体" w:eastAsia="宋体" w:cs="宋体"/>
          <w:sz w:val="21"/>
          <w:szCs w:val="21"/>
        </w:rPr>
        <w:t>的差额高于该资产账面价值的，本公司转回原已计提的资产减值准备，并计入当期损益，但转回后的资产账面价值不超过假定不计提减值准备情况下该资产在转回日的账面价值。</w:t>
      </w:r>
    </w:p>
    <w:p>
      <w:pPr>
        <w:keepNext/>
        <w:keepLines/>
        <w:spacing w:before="300" w:after="300" w:line="280" w:lineRule="exact"/>
        <w:jc w:val="left"/>
        <w:outlineLvl w:val="2"/>
        <w:rPr>
          <w:rFonts w:ascii="宋体" w:hAnsi="宋体" w:eastAsia="宋体" w:cs="宋体"/>
          <w:b/>
          <w:bCs/>
          <w:sz w:val="21"/>
          <w:szCs w:val="21"/>
        </w:rPr>
      </w:pPr>
      <w:bookmarkStart w:id="33" w:name="_Toc989008"/>
      <w:r>
        <w:rPr>
          <w:rFonts w:ascii="宋体" w:hAnsi="宋体" w:eastAsia="宋体" w:cs="宋体"/>
          <w:b/>
          <w:bCs/>
          <w:sz w:val="21"/>
          <w:szCs w:val="21"/>
        </w:rPr>
        <w:t>18、持有待售资产</w:t>
      </w:r>
      <w:bookmarkEnd w:id="33"/>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Style w:val="5"/>
          <w:rFonts w:hint="eastAsia" w:ascii="宋体" w:hAnsi="宋体" w:eastAsia="宋体" w:cs="宋体"/>
          <w:sz w:val="21"/>
          <w:szCs w:val="21"/>
        </w:rPr>
        <w:t>1、持有待售的非流动资产或处置组的分类与计量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本公司主要通过出售（包括具有商业实质的非货币性资产交换）而非持续使用一项非流动资产或处置组收回其账面价值时，该非流动资产或处置组被划分为持有待售类别。</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处置组，是指在一项交易中作为整体通过出售或其他方式一并处置的一组资产，以及在该交易中转让的与这些资产直接相关的负债。处置组所属的资产组或资产组组合按照《企业会计准则第8号——资产减值》分摊了企业合并中取得的商誉的，该处置组应当包含分摊至处置组的商誉。</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同时满足下列条件的非流动资产或处置组被划分为持有待售类别：根据类似交易中出售此类资产或处置组的惯例，该非流动资产或处置组在当前状况下即可立即出售；出售极可能发生，即已经就一项出售计划作出决议且获得确定的购买承诺，预计出售将在一年内完成。</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因出售对子公司的投资等原因导致丧失对子公司控制权的，无论出售后本公司是否保留部分权益性投资，在拟出售的对子公司投资满足持有待售类别划分条件时，在个别财务报表中将对子公司投资整体划分为持有待售类别，在合并财务报表中将子公司所有资产和负债划分为持有待售类别。</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初始计量或在资产负债表日重新计量持有待售的非流动资产或处置组时，账面价值高于公允价值减去出售费用后净额的差额确认为资产减值损失。对于持有待售的处置组确认的资产减值损失金额，先抵减处置组中商誉的账面价值，再根据处置组中的各项非流动资产账面价值所占比重，按比例抵减其账面价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后续资产负债表日持有待售的非流动资产或处置组公允价值减去出售费用后的净额增加的，以前减记的金额予以恢复，并在划分为持有待售类别后确认的资产减值损失金额内转回，转回金额计入当期损益。已抵减的商誉账面价值和划分为持有待售类别前确认的资产减值损失不得转回。</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持有待售的非流动资产和持有待售的处置组中的资产不计提折旧或进行摊销；持有待售的处置组中负债的利息和其他费用继续予以确认。</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某项非流动资产或处置组被划分为持有待售类别，但后来不再满足持有待售类别划分条件的，本公司停止将其划分为持有待售类别，并按照下列两项金额中较低者计量：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①该资产或处置组被划分为持有待售类别之前的账面价值，按照其假定在没有被划分为持有待售类别的情况下本应确认的折旧、摊销或减值进行调整后的金额；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②可收回金额。</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Style w:val="5"/>
          <w:rFonts w:hint="eastAsia" w:ascii="宋体" w:hAnsi="宋体" w:eastAsia="宋体" w:cs="宋体"/>
          <w:sz w:val="21"/>
          <w:szCs w:val="21"/>
        </w:rPr>
        <w:t>2、终止经营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终止经营，是指满足下列条件之一的已被本公司处置或被本公司划分为持有待售类别的、能够单独区分的组成部分：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①该组成部分代表一项独立的主要业务或一个单独的主要经营地区。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②该组成部分是拟对一项独立的主要业务或一个单独的主要经营地区进行处置的一项相关联计划的一部分。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③该组成部分是专为转售而取得的子公司。</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Style w:val="5"/>
          <w:rFonts w:hint="eastAsia" w:ascii="宋体" w:hAnsi="宋体" w:eastAsia="宋体" w:cs="宋体"/>
          <w:sz w:val="21"/>
          <w:szCs w:val="21"/>
        </w:rPr>
        <w:t>3、列报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本公司在资产负债表中将持有待售的非流动资产或持有待售的处置组中的资产列报于“持有待售资产”，将持有待售的处置组中的负债列报于“持有待售负债”。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在利润表中分别列示持续经营损益和终止经营损益。不符合终止经营定义的持有待售的非流动资产或处置组，其减值损失和转回金额及处置损益作为持续经营损益列报。终止经营的减值损失和转回金额等经营损益及处置损益作为终止经营损益列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拟结束使用而非出售且满足终止经营定义中有关组成部分的条件的处置组，自其停止使用日起作为终止经营列报。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当期列报的终止经营，在当期财务报表中，原来作为持续经营损益列报的信息被重新作为可比会计期间的终止经营损益列报。终止经营不再满足持有待售类别划分条件的，在当期财务报表中，原来作为终止经营损益列报的信息被重新作为可比会计期间的持续经营损益列报。</w:t>
      </w:r>
    </w:p>
    <w:p>
      <w:pPr>
        <w:keepNext/>
        <w:keepLines/>
        <w:spacing w:before="300" w:after="300" w:line="280" w:lineRule="exact"/>
        <w:jc w:val="left"/>
        <w:outlineLvl w:val="2"/>
        <w:rPr>
          <w:rFonts w:ascii="宋体" w:hAnsi="宋体" w:eastAsia="宋体" w:cs="宋体"/>
          <w:b/>
          <w:bCs/>
          <w:sz w:val="21"/>
          <w:szCs w:val="21"/>
        </w:rPr>
      </w:pPr>
      <w:bookmarkStart w:id="34" w:name="_Toc989009"/>
      <w:r>
        <w:rPr>
          <w:rFonts w:ascii="宋体" w:hAnsi="宋体" w:eastAsia="宋体" w:cs="宋体"/>
          <w:b/>
          <w:bCs/>
          <w:sz w:val="21"/>
          <w:szCs w:val="21"/>
        </w:rPr>
        <w:t>19、债权投资</w:t>
      </w:r>
      <w:bookmarkEnd w:id="34"/>
    </w:p>
    <w:p>
      <w:pPr>
        <w:keepNext/>
        <w:keepLines/>
        <w:spacing w:before="300" w:after="300" w:line="280" w:lineRule="exact"/>
        <w:jc w:val="left"/>
        <w:outlineLvl w:val="2"/>
        <w:rPr>
          <w:rFonts w:ascii="宋体" w:hAnsi="宋体" w:eastAsia="宋体" w:cs="宋体"/>
          <w:b/>
          <w:bCs/>
          <w:sz w:val="21"/>
          <w:szCs w:val="21"/>
        </w:rPr>
      </w:pPr>
      <w:bookmarkStart w:id="35" w:name="_Toc989010"/>
      <w:r>
        <w:rPr>
          <w:rFonts w:ascii="宋体" w:hAnsi="宋体" w:eastAsia="宋体" w:cs="宋体"/>
          <w:b/>
          <w:bCs/>
          <w:sz w:val="21"/>
          <w:szCs w:val="21"/>
        </w:rPr>
        <w:t>20、其他债权投资</w:t>
      </w:r>
      <w:bookmarkEnd w:id="35"/>
    </w:p>
    <w:p>
      <w:pPr>
        <w:keepNext/>
        <w:keepLines/>
        <w:spacing w:before="300" w:after="300" w:line="280" w:lineRule="exact"/>
        <w:jc w:val="left"/>
        <w:outlineLvl w:val="2"/>
        <w:rPr>
          <w:rFonts w:ascii="宋体" w:hAnsi="宋体" w:eastAsia="宋体" w:cs="宋体"/>
          <w:b/>
          <w:bCs/>
          <w:sz w:val="21"/>
          <w:szCs w:val="21"/>
        </w:rPr>
      </w:pPr>
      <w:bookmarkStart w:id="36" w:name="_Toc989011"/>
      <w:r>
        <w:rPr>
          <w:rFonts w:ascii="宋体" w:hAnsi="宋体" w:eastAsia="宋体" w:cs="宋体"/>
          <w:b/>
          <w:bCs/>
          <w:sz w:val="21"/>
          <w:szCs w:val="21"/>
        </w:rPr>
        <w:t>21、长期应收款</w:t>
      </w:r>
      <w:bookmarkEnd w:id="36"/>
    </w:p>
    <w:p>
      <w:pPr>
        <w:keepNext/>
        <w:keepLines/>
        <w:spacing w:before="300" w:after="300" w:line="280" w:lineRule="exact"/>
        <w:jc w:val="left"/>
        <w:outlineLvl w:val="2"/>
        <w:rPr>
          <w:rFonts w:ascii="宋体" w:hAnsi="宋体" w:eastAsia="宋体" w:cs="宋体"/>
          <w:b/>
          <w:bCs/>
          <w:sz w:val="21"/>
          <w:szCs w:val="21"/>
        </w:rPr>
      </w:pPr>
      <w:bookmarkStart w:id="37" w:name="_Toc989012"/>
      <w:r>
        <w:rPr>
          <w:rFonts w:ascii="宋体" w:hAnsi="宋体" w:eastAsia="宋体" w:cs="宋体"/>
          <w:b/>
          <w:bCs/>
          <w:sz w:val="21"/>
          <w:szCs w:val="21"/>
        </w:rPr>
        <w:t>22、长期股权投资</w:t>
      </w:r>
      <w:bookmarkEnd w:id="37"/>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长期股权投资是指本公司对被投资单位具有控制、共同控制或重大影响的长期股权投资。</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1、初始投资成本确定</w:t>
      </w:r>
    </w:p>
    <w:p>
      <w:pPr>
        <w:pStyle w:val="2"/>
        <w:keepNext w:val="0"/>
        <w:keepLines w:val="0"/>
        <w:widowControl/>
        <w:suppressLineNumbers w:val="0"/>
        <w:spacing w:before="0" w:beforeAutospacing="0" w:after="0" w:afterAutospacing="0" w:line="460" w:lineRule="atLeast"/>
        <w:ind w:left="0" w:right="0" w:firstLine="436"/>
        <w:jc w:val="both"/>
        <w:rPr>
          <w:rFonts w:hint="eastAsia" w:ascii="宋体" w:hAnsi="宋体" w:eastAsia="宋体" w:cs="宋体"/>
          <w:sz w:val="21"/>
          <w:szCs w:val="21"/>
        </w:rPr>
      </w:pPr>
      <w:r>
        <w:rPr>
          <w:rFonts w:hint="eastAsia" w:ascii="宋体" w:hAnsi="宋体" w:eastAsia="宋体" w:cs="宋体"/>
          <w:sz w:val="21"/>
          <w:szCs w:val="21"/>
        </w:rPr>
        <w:t>（1）对于企业合并取得的长期股权投资，如为同一控制下的企业合并，应当按照取得被合并方所有者权益账面价值的份额确认为初始成本；非同一控制下的企业合并，应当按购买日确定的合并成本确认为初始成本；</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2）除企业合并形成的长期股权投资外的其他股权投资，以支付现金取得的长期股权投资，初始投资成本为实际支付的购买价款；以发行权益性证券取得的长期股权投资，初始投资成本为发行权益性证券的公允价值；通过债务重组取得的长期股权投资，其初始投资成本应当按照《企业会计准则第12号——债务重组》的有关规定确定；非货币性资产交换取得，初始投资成本根据准则相关规定确定。</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2、后续计量及损益确认方法</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（1）成本法核算</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投资方能够对被投资单位实施控制的长期股权投资应当采用成本法核算。采用成本法核算的长期股权投资，除追加或收回投资外，账面价值一般不变。当宣告分派的利润或现金股利计算应分得的部分，确认投资收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（2）权益法核算</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对联营企业和合营企业的长期股权投资采用权益法核算。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采用权益法核算时，本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本公司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        </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3、长期股权投资核算方法的转换</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1）公允价值计量转权益法核算：原持有的对被投资单位的股权投资（不具有控制、共同控制或重大影响的），按照金融工具确认和计量准则进行会计处理的，因追加投资等原因导致持股比例上升，能够对被投资单位施加共同控制或重大影响的，在转按权益法核算时，投资方应当按照金融工具确认和计量准则确定的原股权投资的公允价值加上为取得新增投资而应支付对价的公允价值，作为改按权益法核算的初始投资成本。</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2）公允价值计量或权益法核算转成本法核算：投资方原持有的对被投资单位不具有控制、共同控制或重大影响的按照金融工具确认和计量准则进行会计处理的权益性投资，或者原持有对联营企业、合营企业的长期股权投资，因追加投资等原因，能够对被投资单位实施控制的，按有关企业合并形成的长期股权投资进行会计处理。</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3）权益法核算转公允价值计量：原持有的对被投资单位具有共同控制或重大影响的长期股权投资，因部分处置等原因导致持股比例下降，不能再对被投资单位实施共同控制或重大影响的，应改按金融工具确认和计量准则对剩余股权投资进行会计处理，其在丧失共同控制或重大影响之目的公允价值与账面价值之间的差额计入当期损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4）成本法转权益法或公允价值计量：因处置部分权益性投资等原因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22号</w:t>
      </w:r>
      <w:r>
        <w:rPr>
          <w:rFonts w:ascii="Courier New" w:hAnsi="Courier New" w:eastAsia="宋体" w:cs="Courier New"/>
          <w:sz w:val="21"/>
          <w:szCs w:val="21"/>
        </w:rPr>
        <w:t>——</w:t>
      </w:r>
      <w:r>
        <w:rPr>
          <w:rFonts w:hint="eastAsia" w:ascii="宋体" w:hAnsi="宋体" w:eastAsia="宋体" w:cs="宋体"/>
          <w:sz w:val="21"/>
          <w:szCs w:val="21"/>
        </w:rPr>
        <w:t>金融工具确认和计量》的有关规定进行会计处理，其在丧失控制之日的公允价值与账面价值间的差额计入当期损益。在编制合并财务报表时，应当按照《企业会计准则第33号</w:t>
      </w:r>
      <w:r>
        <w:rPr>
          <w:rFonts w:hint="default" w:ascii="Courier New" w:hAnsi="Courier New" w:eastAsia="宋体" w:cs="Courier New"/>
          <w:sz w:val="21"/>
          <w:szCs w:val="21"/>
        </w:rPr>
        <w:t>——</w:t>
      </w:r>
      <w:r>
        <w:rPr>
          <w:rFonts w:hint="eastAsia" w:ascii="宋体" w:hAnsi="宋体" w:eastAsia="宋体" w:cs="宋体"/>
          <w:sz w:val="21"/>
          <w:szCs w:val="21"/>
        </w:rPr>
        <w:t>合并财务报表》的有关规定进行会计处理。</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4、确定对被投资单位具有共同控制、重大影响的依据</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共同控制，是指按照相关约定对某项安排所共有的控制，并且该安排的相关活动必须经过分享控制权的参与方一致同意后才能决策。如果所有参与方或一组参与方必须一致行动才能决定某项安排的相关活动，则认为所有参与方或一组参与方集体控制该安排。在判断是否存在共同控制时，首先判断是否由所有参与方或参与方组合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重大影响，是指投资方对被投资单位的财务和经营政策有参与决策的权力，但并不能够控制或者与其他方一起共同控制这些政策的制定。本公司在确定能否对被投资单位施加重大影响时，考虑直接或间接持有被投资单位的表决权股份以及本公司及其他方持有的当期可执行潜在表决权在假定转换为对被投资方单位的股权后产生的影响，包括被投资单位发行的当期可转换的认股权证、股份期权及可转换公司债券等的影响。</w:t>
      </w:r>
    </w:p>
    <w:p>
      <w:pPr>
        <w:pStyle w:val="2"/>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当本公司直接或通过子公司间接拥有被投资单位20%（含20%）以上但低于50%的表决权股份时，一般认为对被投资单位具有重大影响，除非有明确证据表明该种情况下不能参与被投资单位的生产经营决策，不形成重大影响。</w:t>
      </w:r>
    </w:p>
    <w:p>
      <w:pPr>
        <w:pStyle w:val="2"/>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本公司通常通过以下一种或几种情形来判断是否对被投资单位具有重大影响：</w:t>
      </w:r>
    </w:p>
    <w:p>
      <w:pPr>
        <w:pStyle w:val="2"/>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①在被投资单位的董事会或类似权力机构中派有代表。</w:t>
      </w:r>
    </w:p>
    <w:p>
      <w:pPr>
        <w:pStyle w:val="2"/>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②参与被投资单位财务和经营政策制定过程。</w:t>
      </w:r>
    </w:p>
    <w:p>
      <w:pPr>
        <w:pStyle w:val="2"/>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③与被投资单位之间发生重要交易。</w:t>
      </w:r>
    </w:p>
    <w:p>
      <w:pPr>
        <w:pStyle w:val="2"/>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④向被投资单位派出管理人员。</w:t>
      </w:r>
    </w:p>
    <w:p>
      <w:pPr>
        <w:pStyle w:val="2"/>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⑤向被投资单位提供关键技术资料。</w:t>
      </w:r>
    </w:p>
    <w:p>
      <w:pPr>
        <w:pStyle w:val="2"/>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存在上述一种或多种情形并不意味着本公司一定对被投资单位具有重大影响，本公司需要综合考虑所有事实和情况来做出恰当的判断。</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5、减值测试方法及减值准备计提方法</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资产负债表日，本公司对长期股权投资检查是否存在可能发生减值的迹象，当存在减值迹象时应进行减值测试确认其可收回金额，按可收回金额低于账面价值部分计提减值准备，减值损失一经计提，在以后会计期间不再转回。</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可收回金额按照长期股权投资出售的公允价值净额与预计未来现金流量的现值之间孰高确定。</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6、长期股权投资处置</w:t>
      </w:r>
    </w:p>
    <w:p>
      <w:pPr>
        <w:pStyle w:val="2"/>
        <w:keepNext w:val="0"/>
        <w:keepLines w:val="0"/>
        <w:widowControl/>
        <w:suppressLineNumbers w:val="0"/>
        <w:spacing w:before="0" w:beforeAutospacing="0" w:after="0" w:afterAutospacing="0" w:line="460" w:lineRule="atLeast"/>
        <w:ind w:left="0" w:right="0" w:firstLine="459"/>
        <w:jc w:val="both"/>
        <w:rPr>
          <w:rFonts w:hint="eastAsia" w:ascii="宋体" w:hAnsi="宋体" w:eastAsia="宋体" w:cs="宋体"/>
          <w:sz w:val="21"/>
          <w:szCs w:val="21"/>
        </w:rPr>
      </w:pPr>
      <w:r>
        <w:rPr>
          <w:rFonts w:hint="eastAsia" w:ascii="宋体" w:hAnsi="宋体" w:eastAsia="宋体" w:cs="宋体"/>
          <w:sz w:val="21"/>
          <w:szCs w:val="21"/>
        </w:rPr>
        <w:t>处置长期股权投资时，其账面价值与实际取得价款之间的差额，应当计入当期损益。采用权益法核算的长期股权投资，在处置该项投资时，采用与被投资单位直接处置相关资产或负债相同的基础，按相应比例对原计入其他综合收益的部分进行会计处理。</w:t>
      </w:r>
    </w:p>
    <w:p>
      <w:pPr>
        <w:keepNext/>
        <w:keepLines/>
        <w:spacing w:before="300" w:after="300" w:line="280" w:lineRule="exact"/>
        <w:jc w:val="left"/>
        <w:outlineLvl w:val="2"/>
        <w:rPr>
          <w:rFonts w:ascii="宋体" w:hAnsi="宋体" w:eastAsia="宋体" w:cs="宋体"/>
          <w:b/>
          <w:bCs/>
          <w:sz w:val="21"/>
          <w:szCs w:val="21"/>
        </w:rPr>
      </w:pPr>
      <w:bookmarkStart w:id="38" w:name="_Toc989013"/>
      <w:r>
        <w:rPr>
          <w:rFonts w:ascii="宋体" w:hAnsi="宋体" w:eastAsia="宋体" w:cs="宋体"/>
          <w:b/>
          <w:bCs/>
          <w:sz w:val="21"/>
          <w:szCs w:val="21"/>
        </w:rPr>
        <w:t>23、投资性房地产</w:t>
      </w:r>
      <w:bookmarkEnd w:id="38"/>
    </w:p>
    <w:p>
      <w:pPr>
        <w:spacing w:before="40" w:after="40" w:line="240" w:lineRule="exact"/>
        <w:jc w:val="left"/>
        <w:rPr>
          <w:rFonts w:ascii="宋体" w:hAnsi="宋体" w:eastAsia="宋体" w:cs="宋体"/>
          <w:sz w:val="18"/>
          <w:szCs w:val="18"/>
        </w:rPr>
      </w:pPr>
      <w:r>
        <w:rPr>
          <w:rFonts w:ascii="宋体" w:hAnsi="宋体" w:eastAsia="宋体" w:cs="宋体"/>
          <w:sz w:val="18"/>
          <w:szCs w:val="18"/>
        </w:rPr>
        <w:t>投资性房地产计量模式</w:t>
      </w:r>
    </w:p>
    <w:p>
      <w:pPr>
        <w:spacing w:before="0" w:after="0" w:line="240" w:lineRule="exact"/>
        <w:jc w:val="left"/>
        <w:rPr>
          <w:rFonts w:ascii="宋体" w:hAnsi="宋体" w:eastAsia="宋体" w:cs="宋体"/>
          <w:sz w:val="18"/>
          <w:szCs w:val="18"/>
        </w:rPr>
      </w:pPr>
      <w:r>
        <w:rPr>
          <w:rFonts w:ascii="宋体" w:hAnsi="宋体" w:eastAsia="宋体" w:cs="宋体"/>
          <w:sz w:val="18"/>
          <w:szCs w:val="18"/>
        </w:rPr>
        <w:t>成本法计量</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折旧或摊销方法</w:t>
      </w:r>
    </w:p>
    <w:p>
      <w:pPr>
        <w:pStyle w:val="2"/>
        <w:keepNext w:val="0"/>
        <w:keepLines w:val="0"/>
        <w:widowControl/>
        <w:suppressLineNumbers w:val="0"/>
        <w:spacing w:before="0" w:beforeAutospacing="0" w:after="0" w:afterAutospacing="0" w:line="360" w:lineRule="auto"/>
        <w:ind w:left="0" w:right="0" w:firstLine="422"/>
        <w:jc w:val="both"/>
        <w:rPr>
          <w:rFonts w:hint="eastAsia" w:ascii="宋体" w:hAnsi="宋体" w:eastAsia="宋体" w:cs="宋体"/>
          <w:sz w:val="21"/>
          <w:szCs w:val="21"/>
        </w:rPr>
      </w:pPr>
      <w:r>
        <w:rPr>
          <w:rStyle w:val="5"/>
          <w:rFonts w:hint="eastAsia" w:ascii="宋体" w:hAnsi="宋体" w:eastAsia="宋体" w:cs="宋体"/>
          <w:sz w:val="21"/>
          <w:szCs w:val="21"/>
        </w:rPr>
        <w:t>1、投资性房地产的种类和计量模式</w:t>
      </w:r>
    </w:p>
    <w:p>
      <w:pPr>
        <w:pStyle w:val="2"/>
        <w:keepNext w:val="0"/>
        <w:keepLines w:val="0"/>
        <w:widowControl/>
        <w:suppressLineNumbers w:val="0"/>
        <w:spacing w:before="0" w:beforeAutospacing="0" w:after="0" w:afterAutospacing="0" w:line="360" w:lineRule="auto"/>
        <w:ind w:left="0" w:right="0" w:firstLine="422"/>
        <w:jc w:val="both"/>
        <w:rPr>
          <w:rFonts w:hint="eastAsia" w:ascii="宋体" w:hAnsi="宋体" w:eastAsia="宋体" w:cs="宋体"/>
          <w:sz w:val="21"/>
          <w:szCs w:val="21"/>
        </w:rPr>
      </w:pPr>
      <w:r>
        <w:rPr>
          <w:rFonts w:hint="eastAsia" w:ascii="宋体" w:hAnsi="宋体" w:eastAsia="宋体" w:cs="宋体"/>
          <w:sz w:val="21"/>
          <w:szCs w:val="21"/>
        </w:rPr>
        <w:t>本公司投资性房地产的种类：出租的土地使用权、出租的建筑物、持有并准备增值后转让的土地使用权。</w:t>
      </w:r>
    </w:p>
    <w:p>
      <w:pPr>
        <w:pStyle w:val="2"/>
        <w:keepNext w:val="0"/>
        <w:keepLines w:val="0"/>
        <w:widowControl/>
        <w:suppressLineNumbers w:val="0"/>
        <w:spacing w:before="0" w:beforeAutospacing="0" w:after="0" w:afterAutospacing="0" w:line="360" w:lineRule="auto"/>
        <w:ind w:left="0" w:right="0" w:firstLine="422"/>
        <w:jc w:val="both"/>
        <w:rPr>
          <w:rFonts w:hint="eastAsia" w:ascii="宋体" w:hAnsi="宋体" w:eastAsia="宋体" w:cs="宋体"/>
          <w:sz w:val="21"/>
          <w:szCs w:val="21"/>
        </w:rPr>
      </w:pPr>
      <w:r>
        <w:rPr>
          <w:rFonts w:hint="eastAsia" w:ascii="宋体" w:hAnsi="宋体" w:eastAsia="宋体" w:cs="宋体"/>
          <w:sz w:val="21"/>
          <w:szCs w:val="21"/>
        </w:rPr>
        <w:t>本公司投资性房地产按照成本进行初始计量，采用成本模式进行后续计量。</w:t>
      </w:r>
    </w:p>
    <w:p>
      <w:pPr>
        <w:pStyle w:val="2"/>
        <w:keepNext w:val="0"/>
        <w:keepLines w:val="0"/>
        <w:widowControl/>
        <w:suppressLineNumbers w:val="0"/>
        <w:spacing w:before="0" w:beforeAutospacing="0" w:after="0" w:afterAutospacing="0" w:line="360" w:lineRule="auto"/>
        <w:ind w:left="0" w:right="0" w:firstLine="422"/>
        <w:jc w:val="both"/>
        <w:rPr>
          <w:rFonts w:hint="eastAsia" w:ascii="宋体" w:hAnsi="宋体" w:eastAsia="宋体" w:cs="宋体"/>
          <w:sz w:val="21"/>
          <w:szCs w:val="21"/>
        </w:rPr>
      </w:pPr>
      <w:r>
        <w:rPr>
          <w:rStyle w:val="5"/>
          <w:rFonts w:hint="eastAsia" w:ascii="宋体" w:hAnsi="宋体" w:eastAsia="宋体" w:cs="宋体"/>
          <w:sz w:val="21"/>
          <w:szCs w:val="21"/>
        </w:rPr>
        <w:t>2、采用成本模式核算政策</w:t>
      </w:r>
    </w:p>
    <w:p>
      <w:pPr>
        <w:pStyle w:val="2"/>
        <w:keepNext w:val="0"/>
        <w:keepLines w:val="0"/>
        <w:widowControl/>
        <w:suppressLineNumbers w:val="0"/>
        <w:spacing w:before="0" w:beforeAutospacing="0" w:after="0" w:afterAutospacing="0" w:line="360" w:lineRule="auto"/>
        <w:ind w:left="0" w:right="0" w:firstLine="422"/>
        <w:jc w:val="both"/>
        <w:rPr>
          <w:rFonts w:hint="eastAsia" w:ascii="宋体" w:hAnsi="宋体" w:eastAsia="宋体" w:cs="宋体"/>
          <w:sz w:val="21"/>
          <w:szCs w:val="21"/>
        </w:rPr>
      </w:pPr>
      <w:r>
        <w:rPr>
          <w:rFonts w:hint="eastAsia" w:ascii="宋体" w:hAnsi="宋体" w:eastAsia="宋体" w:cs="宋体"/>
          <w:sz w:val="21"/>
          <w:szCs w:val="21"/>
        </w:rPr>
        <w:t>本公司投资性房地产中出租的建筑物采用年限平均法计提折旧，具体核算政策与固定资产部分相同。投资性房地产中出租的土地使用权、持有并准备增值后转让的土地使用权采用直线法摊销，具体核算政策与无形资产部分相同。</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资产负债表日，本公司对投资性房地产检查是否存在可能发生减值的迹象，当存在减值迹象时应进行减值测试确认其可收回金额，按可收回金额低于账面价值部分计提减值准备，减值损失一经计提，在以后会计期间不再转回。</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对于投资性房地产出售、转让、报废或毁损的处置收入扣除其账面价值和相关税费后的差额计入当期损益。本公司在有证据表明将自用的房屋及建筑物改用于出租或将持有的房地产开发产品以经营租赁的方式出租时，固定资产、无形资产或存货以转换前的账面价值转换为投资性房地产。本公司在有证据表明将原本用于赚取租金或资本增值的房屋及建筑物改为自用或将用于经营租出的房屋及建筑物重新用于对外销售的，投资性房地产以转换前的账面价值转换为固定资产、无形资产或存货。</w:t>
      </w:r>
    </w:p>
    <w:p>
      <w:pPr>
        <w:keepNext/>
        <w:keepLines/>
        <w:spacing w:before="300" w:after="300" w:line="280" w:lineRule="exact"/>
        <w:jc w:val="left"/>
        <w:outlineLvl w:val="2"/>
        <w:rPr>
          <w:rFonts w:ascii="宋体" w:hAnsi="宋体" w:eastAsia="宋体" w:cs="宋体"/>
          <w:b/>
          <w:bCs/>
          <w:sz w:val="21"/>
          <w:szCs w:val="21"/>
        </w:rPr>
      </w:pPr>
      <w:bookmarkStart w:id="39" w:name="_Toc989014"/>
      <w:r>
        <w:rPr>
          <w:rFonts w:ascii="宋体" w:hAnsi="宋体" w:eastAsia="宋体" w:cs="宋体"/>
          <w:b/>
          <w:bCs/>
          <w:sz w:val="21"/>
          <w:szCs w:val="21"/>
        </w:rPr>
        <w:t>24、固定资产</w:t>
      </w:r>
      <w:bookmarkEnd w:id="39"/>
    </w:p>
    <w:p>
      <w:pPr>
        <w:keepNext/>
        <w:keepLines/>
        <w:spacing w:before="300" w:after="300" w:line="280" w:lineRule="exact"/>
        <w:jc w:val="left"/>
        <w:outlineLvl w:val="3"/>
        <w:rPr>
          <w:rFonts w:ascii="宋体" w:hAnsi="宋体" w:eastAsia="宋体" w:cs="宋体"/>
          <w:b/>
          <w:bCs/>
          <w:sz w:val="21"/>
          <w:szCs w:val="21"/>
        </w:rPr>
      </w:pPr>
      <w:bookmarkStart w:id="40" w:name="_Toc989015"/>
      <w:r>
        <w:rPr>
          <w:rFonts w:ascii="宋体" w:hAnsi="宋体" w:eastAsia="宋体" w:cs="宋体"/>
          <w:b/>
          <w:bCs/>
          <w:sz w:val="21"/>
          <w:szCs w:val="21"/>
        </w:rPr>
        <w:t>（1） 确认条件</w:t>
      </w:r>
      <w:bookmarkEnd w:id="40"/>
    </w:p>
    <w:p>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公司的固定资产是指为生产商品、提供劳务、出租或经营管理而持有且使用寿命超过一个会计年度的有形资产。同时满足下列条件的，确认为固定资产：</w:t>
      </w:r>
    </w:p>
    <w:p>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（1）与该固定资产有关的经济利益很可能流入企业；</w:t>
      </w:r>
    </w:p>
    <w:p>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（2）该固定资产的成本能够可靠计量。</w:t>
      </w:r>
    </w:p>
    <w:p>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与固定资产有关的后续支出，符合上述确认条件的，计入固定资产成本，并终止确认被替换部分的账面价值；否则，在发生时计入当期损益。</w:t>
      </w:r>
    </w:p>
    <w:p>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固定资产按照成本进行初始计量。固定资产的成本一般包括购买价款、相关税费、以及为使固定资产达到预定可使用状态前所发生的可直接归属于该资产的其他支出，如运输费、安装费等。但购买的固定资产如果超过正常的信用条件延期支付，固定资产的成本以各期付款额的现值之和为基础确定。实际支付的价款与购买价款的现值之间的差额，除按照《企业会计准则第 17 号——借款费用》应予资本化的以外，在信用期内计入当期损益。</w:t>
      </w:r>
    </w:p>
    <w:p>
      <w:pPr>
        <w:keepNext/>
        <w:keepLines/>
        <w:spacing w:before="300" w:after="300" w:line="280" w:lineRule="exact"/>
        <w:jc w:val="left"/>
        <w:outlineLvl w:val="3"/>
        <w:rPr>
          <w:rFonts w:ascii="宋体" w:hAnsi="宋体" w:eastAsia="宋体" w:cs="宋体"/>
          <w:b/>
          <w:bCs/>
          <w:sz w:val="21"/>
          <w:szCs w:val="21"/>
        </w:rPr>
      </w:pPr>
      <w:bookmarkStart w:id="41" w:name="_Toc989016"/>
      <w:r>
        <w:rPr>
          <w:rFonts w:ascii="宋体" w:hAnsi="宋体" w:eastAsia="宋体" w:cs="宋体"/>
          <w:b/>
          <w:bCs/>
          <w:sz w:val="21"/>
          <w:szCs w:val="21"/>
        </w:rPr>
        <w:t>（2） 折旧方法</w:t>
      </w:r>
      <w:bookmarkEnd w:id="41"/>
    </w:p>
    <w:p>
      <w:pPr>
        <w:spacing w:before="0" w:after="0" w:line="0" w:lineRule="exact"/>
        <w:jc w:val="left"/>
      </w:pP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折旧方法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折旧年限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残值率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年折旧率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房屋及建筑物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机器设备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6.33%—19.00%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运输工具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19.00%—23.75%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电子设备及其他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19.00%—31.67%</w:t>
            </w:r>
          </w:p>
        </w:tc>
      </w:tr>
    </w:tbl>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固定资产主要分为：房屋及建筑物、机器设备、运输工具、电子设备等。采用年限平均法计提折旧，根据各类固定资产的性质和使用情况，确定固定资产的使用寿命和预计净残值。并在年度终了，对固定资产的使用寿命、预计净残值和折旧方法进行复核，如与原先估计数存在差异的，进行相应的调整。除已提足折旧仍继续使用的固定资产和单独计价入账的土地之外，本公司对所有固定资产计提折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（3）固定资产的减值测试方法、减值准备计提方法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资产负债表日，本公司对固定资产检查是否存在可能发生减值的迹象，当存在减值迹象时应进行减值测试确认其可收回金额，按可收回金额低于账面价值部分计提减值准备，减值损失一经计提，在以后会计期间不再转回。</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（4）固定资产处置</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当固定资产处置时或预期通过使用或处置不能产生经济利益时，终止确认该固定资产。固定资产出售、转让、报废或毁损的处置收入扣除其账面价值和相关税费后的差额计入当期损益。</w:t>
      </w:r>
    </w:p>
    <w:p>
      <w:pPr>
        <w:keepNext/>
        <w:keepLines/>
        <w:spacing w:before="300" w:after="300" w:line="280" w:lineRule="exact"/>
        <w:jc w:val="left"/>
        <w:outlineLvl w:val="3"/>
        <w:rPr>
          <w:rFonts w:ascii="宋体" w:hAnsi="宋体" w:eastAsia="宋体" w:cs="宋体"/>
          <w:b/>
          <w:bCs/>
          <w:sz w:val="21"/>
          <w:szCs w:val="21"/>
        </w:rPr>
      </w:pPr>
      <w:bookmarkStart w:id="42" w:name="_Toc989017"/>
      <w:r>
        <w:rPr>
          <w:rFonts w:ascii="宋体" w:hAnsi="宋体" w:eastAsia="宋体" w:cs="宋体"/>
          <w:b/>
          <w:bCs/>
          <w:sz w:val="21"/>
          <w:szCs w:val="21"/>
        </w:rPr>
        <w:t>（3） 融资租入固定资产的认定依据、计价和折旧方法</w:t>
      </w:r>
      <w:bookmarkEnd w:id="42"/>
    </w:p>
    <w:p>
      <w:pPr>
        <w:keepNext/>
        <w:keepLines/>
        <w:spacing w:before="300" w:after="300" w:line="280" w:lineRule="exact"/>
        <w:jc w:val="left"/>
        <w:outlineLvl w:val="2"/>
        <w:rPr>
          <w:rFonts w:ascii="宋体" w:hAnsi="宋体" w:eastAsia="宋体" w:cs="宋体"/>
          <w:b/>
          <w:bCs/>
          <w:sz w:val="21"/>
          <w:szCs w:val="21"/>
        </w:rPr>
      </w:pPr>
      <w:bookmarkStart w:id="43" w:name="_Toc989018"/>
      <w:r>
        <w:rPr>
          <w:rFonts w:ascii="宋体" w:hAnsi="宋体" w:eastAsia="宋体" w:cs="宋体"/>
          <w:b/>
          <w:bCs/>
          <w:sz w:val="21"/>
          <w:szCs w:val="21"/>
        </w:rPr>
        <w:t>25、在建工程</w:t>
      </w:r>
      <w:bookmarkEnd w:id="43"/>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1、在建工程的计量</w:t>
      </w:r>
    </w:p>
    <w:p>
      <w:pPr>
        <w:pStyle w:val="2"/>
        <w:keepNext w:val="0"/>
        <w:keepLines w:val="0"/>
        <w:widowControl/>
        <w:suppressLineNumbers w:val="0"/>
        <w:spacing w:before="0" w:beforeAutospacing="0" w:after="15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在建工程成本按实际工程支出确定﹐包括在建期间发生的各项必要工程支出、工程达到预定可使用状态前的应予资本化的借款费用以及其他相关费用等。</w:t>
      </w:r>
    </w:p>
    <w:p>
      <w:pPr>
        <w:pStyle w:val="2"/>
        <w:keepNext w:val="0"/>
        <w:keepLines w:val="0"/>
        <w:widowControl/>
        <w:suppressLineNumbers w:val="0"/>
        <w:spacing w:before="0" w:beforeAutospacing="0" w:after="15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2、在建工程结转固定资产的标准和时点</w:t>
      </w:r>
    </w:p>
    <w:p>
      <w:pPr>
        <w:pStyle w:val="2"/>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本公司在建工程在工程完工达到预定可使用状态时，结转固定资产。预定可使用状态的判断标准，应符合下列情况之一：</w:t>
      </w:r>
    </w:p>
    <w:p>
      <w:pPr>
        <w:pStyle w:val="2"/>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（1）固定资产的实体建造（包括安装）工作已经全部完成或实质上已经全部完成；</w:t>
      </w:r>
    </w:p>
    <w:p>
      <w:pPr>
        <w:pStyle w:val="2"/>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（2）已经试生产或试运行，并且其结果表明资产能够正常运行或能够稳定地生产出合格产品，或者试运行结果表明其能够正常运转或营业；</w:t>
      </w:r>
    </w:p>
    <w:p>
      <w:pPr>
        <w:pStyle w:val="2"/>
        <w:keepNext w:val="0"/>
        <w:keepLines w:val="0"/>
        <w:widowControl/>
        <w:suppressLineNumbers w:val="0"/>
        <w:spacing w:before="15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（3）该项建造的固定资产上的支出金额很少或者几乎不再发生；</w:t>
      </w:r>
    </w:p>
    <w:p>
      <w:pPr>
        <w:pStyle w:val="2"/>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（4）所购建的固定资产已经达到设计或合同要求，或与设计或合同要求基本相符。</w:t>
      </w:r>
    </w:p>
    <w:p>
      <w:pPr>
        <w:pStyle w:val="2"/>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所建造工程已达到预定可使用状态，但尚未办理竣工决算的，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3、在建工程减值测试方法、减值准备计提方法</w:t>
      </w:r>
    </w:p>
    <w:p>
      <w:pPr>
        <w:pStyle w:val="2"/>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资产负债表日，本公司对在建工程检查是否存在可能发生减值的迹象，当存在减值迹象时应进行减值测试确认其可收回金额，按可收回金额低于账面价值部分计提减值准备，减值损失一经计提，在以后会计期间不再转回。</w:t>
      </w:r>
    </w:p>
    <w:p>
      <w:pPr>
        <w:pStyle w:val="2"/>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在建工程可收回金额根据资产公允价值减去处置费用后的净额与资产预计未来现金流量的现值两者孰高确定。</w:t>
      </w:r>
    </w:p>
    <w:p>
      <w:pPr>
        <w:keepNext/>
        <w:keepLines/>
        <w:spacing w:before="300" w:after="300" w:line="280" w:lineRule="exact"/>
        <w:jc w:val="left"/>
        <w:outlineLvl w:val="2"/>
        <w:rPr>
          <w:rFonts w:ascii="宋体" w:hAnsi="宋体" w:eastAsia="宋体" w:cs="宋体"/>
          <w:b/>
          <w:bCs/>
          <w:sz w:val="21"/>
          <w:szCs w:val="21"/>
        </w:rPr>
      </w:pPr>
      <w:bookmarkStart w:id="44" w:name="_Toc989019"/>
      <w:r>
        <w:rPr>
          <w:rFonts w:ascii="宋体" w:hAnsi="宋体" w:eastAsia="宋体" w:cs="宋体"/>
          <w:b/>
          <w:bCs/>
          <w:sz w:val="21"/>
          <w:szCs w:val="21"/>
        </w:rPr>
        <w:t>26、借款费用</w:t>
      </w:r>
      <w:bookmarkEnd w:id="44"/>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1、借款费用资本化的确认原则</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借款费用包括借款利息、折价或者溢价的摊销、辅助费用以及因外币借款而发生的汇兑差额等。公司发生的借款费用，可直接归属于符合资本化条件的资产的购建，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2、资本化金额的计算方法</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资本化期间：指从借款费用开始资本化时点到停止资本化时点的期间。借款费用暂停资本化的期间不包括在内。</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借款费用同时满足下列条件时开始资本化：（1）资产支出已经发生，资产支出包括为购建或者生产符合资本化条件的资产而以支付现金、转移非现金资产或者承担带息债务形式发生的支出；（2）借款费用已经发生；（3）为使资产达到预定可使用或者可销售状态所必要的购建或者生产活动已经开始。</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当购建或者生产符合资本化条件的资产达到预定可使用或者可销售状态时，本公司借款费用停止资本化。</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暂停资本化期间：在购建或生产过程中发生非正常中断、且中断时间连续超过3个月的，本公司暂停借款费用的资本化。</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资本化金额计算：（1）借入专门借款，按照专门借款当期实际发生的利息费用，减去将尚未动用的借款资金存入银行取得的利息收入或进行暂时性投资取得的投资收益后的金额确定；（2）占用一般借款按照累计资产支出超过专门借款部分的资产支出加权平均数乘以所占用一般借款的资本化率计算确定，资本化率为一般借款的加权平均利率；（3）借款存在折价或溢价的，按照实际利率法确定每一会计期间应摊销的折价或溢价金额，调整每期利息金额。</w:t>
      </w:r>
    </w:p>
    <w:p>
      <w:pPr>
        <w:keepNext/>
        <w:keepLines/>
        <w:spacing w:before="300" w:after="300" w:line="280" w:lineRule="exact"/>
        <w:jc w:val="left"/>
        <w:outlineLvl w:val="2"/>
        <w:rPr>
          <w:rFonts w:ascii="宋体" w:hAnsi="宋体" w:eastAsia="宋体" w:cs="宋体"/>
          <w:b/>
          <w:bCs/>
          <w:sz w:val="21"/>
          <w:szCs w:val="21"/>
        </w:rPr>
      </w:pPr>
      <w:bookmarkStart w:id="45" w:name="_Toc989020"/>
      <w:r>
        <w:rPr>
          <w:rFonts w:ascii="宋体" w:hAnsi="宋体" w:eastAsia="宋体" w:cs="宋体"/>
          <w:b/>
          <w:bCs/>
          <w:sz w:val="21"/>
          <w:szCs w:val="21"/>
        </w:rPr>
        <w:t>27、生物资产</w:t>
      </w:r>
      <w:bookmarkEnd w:id="45"/>
    </w:p>
    <w:p>
      <w:pPr>
        <w:keepNext/>
        <w:keepLines/>
        <w:spacing w:before="300" w:after="300" w:line="280" w:lineRule="exact"/>
        <w:jc w:val="left"/>
        <w:outlineLvl w:val="2"/>
        <w:rPr>
          <w:rFonts w:ascii="宋体" w:hAnsi="宋体" w:eastAsia="宋体" w:cs="宋体"/>
          <w:b/>
          <w:bCs/>
          <w:sz w:val="21"/>
          <w:szCs w:val="21"/>
        </w:rPr>
      </w:pPr>
      <w:bookmarkStart w:id="46" w:name="_Toc989021"/>
      <w:r>
        <w:rPr>
          <w:rFonts w:ascii="宋体" w:hAnsi="宋体" w:eastAsia="宋体" w:cs="宋体"/>
          <w:b/>
          <w:bCs/>
          <w:sz w:val="21"/>
          <w:szCs w:val="21"/>
        </w:rPr>
        <w:t>28、油气资产</w:t>
      </w:r>
      <w:bookmarkEnd w:id="46"/>
    </w:p>
    <w:p>
      <w:pPr>
        <w:keepNext/>
        <w:keepLines/>
        <w:spacing w:before="300" w:after="300" w:line="280" w:lineRule="exact"/>
        <w:jc w:val="left"/>
        <w:outlineLvl w:val="2"/>
        <w:rPr>
          <w:rFonts w:ascii="宋体" w:hAnsi="宋体" w:eastAsia="宋体" w:cs="宋体"/>
          <w:b/>
          <w:bCs/>
          <w:sz w:val="21"/>
          <w:szCs w:val="21"/>
        </w:rPr>
      </w:pPr>
      <w:bookmarkStart w:id="47" w:name="_Toc989022"/>
      <w:r>
        <w:rPr>
          <w:rFonts w:ascii="宋体" w:hAnsi="宋体" w:eastAsia="宋体" w:cs="宋体"/>
          <w:b/>
          <w:bCs/>
          <w:sz w:val="21"/>
          <w:szCs w:val="21"/>
        </w:rPr>
        <w:t>29、使用权资产</w:t>
      </w:r>
      <w:bookmarkEnd w:id="47"/>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使用权资产，是指本公司作为承租人可在租赁期内使用租赁资产的权利。在租赁期开始日，本公司作为承租人应当对租赁确认使用权资产和租赁负债，但简化处理的短期租赁和低价值资产租赁除外。租赁期开始日，是指出租人提供租赁资产使其可供承租人使用的起始日期。</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本公司的使用权资产按照成本进行初始计量，该成本包括：</w:t>
      </w:r>
    </w:p>
    <w:p>
      <w:pPr>
        <w:pStyle w:val="2"/>
        <w:keepNext w:val="0"/>
        <w:keepLines w:val="0"/>
        <w:widowControl/>
        <w:suppressLineNumbers w:val="0"/>
        <w:spacing w:before="0" w:beforeAutospacing="0" w:after="0" w:afterAutospacing="0" w:line="360" w:lineRule="auto"/>
        <w:ind w:left="-61"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）租赁负债的初始计量金额；</w:t>
      </w:r>
    </w:p>
    <w:p>
      <w:pPr>
        <w:pStyle w:val="2"/>
        <w:keepNext w:val="0"/>
        <w:keepLines w:val="0"/>
        <w:widowControl/>
        <w:suppressLineNumbers w:val="0"/>
        <w:spacing w:before="0" w:beforeAutospacing="0" w:after="0" w:afterAutospacing="0" w:line="360" w:lineRule="auto"/>
        <w:ind w:left="-61"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）在租赁期开始日或之前支付的租赁付款额，存在租赁激励的，扣除已享受的租赁激励相关金额；</w:t>
      </w:r>
    </w:p>
    <w:p>
      <w:pPr>
        <w:pStyle w:val="2"/>
        <w:keepNext w:val="0"/>
        <w:keepLines w:val="0"/>
        <w:widowControl/>
        <w:suppressLineNumbers w:val="0"/>
        <w:spacing w:before="0" w:beforeAutospacing="0" w:after="0" w:afterAutospacing="0" w:line="360" w:lineRule="auto"/>
        <w:ind w:left="-61"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3</w:t>
      </w:r>
      <w:r>
        <w:rPr>
          <w:rFonts w:hint="eastAsia" w:ascii="宋体" w:hAnsi="宋体" w:eastAsia="宋体" w:cs="宋体"/>
          <w:sz w:val="21"/>
          <w:szCs w:val="21"/>
        </w:rPr>
        <w:t>）本公司作为承租人发生的初始直接费用；</w:t>
      </w:r>
    </w:p>
    <w:p>
      <w:pPr>
        <w:pStyle w:val="2"/>
        <w:keepNext w:val="0"/>
        <w:keepLines w:val="0"/>
        <w:widowControl/>
        <w:suppressLineNumbers w:val="0"/>
        <w:spacing w:before="0" w:beforeAutospacing="0" w:after="0" w:afterAutospacing="0" w:line="360" w:lineRule="auto"/>
        <w:ind w:left="-61"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4</w:t>
      </w:r>
      <w:r>
        <w:rPr>
          <w:rFonts w:hint="eastAsia" w:ascii="宋体" w:hAnsi="宋体" w:eastAsia="宋体" w:cs="宋体"/>
          <w:sz w:val="21"/>
          <w:szCs w:val="21"/>
        </w:rPr>
        <w:t>）本公司为拆卸及移除租赁资产、复原租赁资产所在场地或将租赁资产恢复至租赁条款约定状态预计将发生的成本。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采用平均年限法对使用权资产计提折旧。本公司能够合理确定租赁期届满时取得租赁资产所有权的，在租赁资产剩余使用寿命内计提折旧。无法合理确定租赁期届满时能够取得租赁资产所有权的，本公司在租赁期与租赁资产剩余使用寿命两者孰短的期间内计提折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本公司按照《企业会计准则第</w:t>
      </w:r>
      <w:r>
        <w:rPr>
          <w:rFonts w:hint="default" w:ascii="Times New Roman" w:hAnsi="Times New Roman" w:eastAsia="宋体" w:cs="Times New Roman"/>
          <w:sz w:val="21"/>
          <w:szCs w:val="21"/>
        </w:rPr>
        <w:t>8</w:t>
      </w:r>
      <w:r>
        <w:rPr>
          <w:rFonts w:hint="eastAsia" w:ascii="宋体" w:hAnsi="宋体" w:eastAsia="宋体" w:cs="宋体"/>
          <w:sz w:val="21"/>
          <w:szCs w:val="21"/>
        </w:rPr>
        <w:t>号</w:t>
      </w:r>
      <w:r>
        <w:rPr>
          <w:rFonts w:hint="default" w:ascii="Times New Roman" w:hAnsi="Times New Roman" w:eastAsia="宋体" w:cs="Times New Roman"/>
          <w:sz w:val="21"/>
          <w:szCs w:val="21"/>
        </w:rPr>
        <w:t>——</w:t>
      </w:r>
      <w:r>
        <w:rPr>
          <w:rFonts w:hint="eastAsia" w:ascii="宋体" w:hAnsi="宋体" w:eastAsia="宋体" w:cs="宋体"/>
          <w:sz w:val="21"/>
          <w:szCs w:val="21"/>
        </w:rPr>
        <w:t>资产减值》的规定，确定使用权资产是否发生减值，并对已识别的减值损失进行会计处理。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本公司根据准则重新计量租赁负债时，相应调整使用权资产的账面价值。如使用权资产的账面价值已调减至零，但租赁负债仍需进一步调减的，将剩余金额计入当期损益。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keepNext/>
        <w:keepLines/>
        <w:spacing w:before="300" w:after="300" w:line="280" w:lineRule="exact"/>
        <w:jc w:val="left"/>
        <w:outlineLvl w:val="2"/>
        <w:rPr>
          <w:rFonts w:ascii="宋体" w:hAnsi="宋体" w:eastAsia="宋体" w:cs="宋体"/>
          <w:b/>
          <w:bCs/>
          <w:sz w:val="21"/>
          <w:szCs w:val="21"/>
        </w:rPr>
      </w:pPr>
      <w:bookmarkStart w:id="48" w:name="_Toc989023"/>
      <w:r>
        <w:rPr>
          <w:rFonts w:ascii="宋体" w:hAnsi="宋体" w:eastAsia="宋体" w:cs="宋体"/>
          <w:b/>
          <w:bCs/>
          <w:sz w:val="21"/>
          <w:szCs w:val="21"/>
        </w:rPr>
        <w:t>30、无形资产</w:t>
      </w:r>
      <w:bookmarkEnd w:id="48"/>
    </w:p>
    <w:p>
      <w:pPr>
        <w:keepNext/>
        <w:keepLines/>
        <w:spacing w:before="300" w:after="300" w:line="280" w:lineRule="exact"/>
        <w:jc w:val="left"/>
        <w:outlineLvl w:val="3"/>
        <w:rPr>
          <w:rFonts w:ascii="宋体" w:hAnsi="宋体" w:eastAsia="宋体" w:cs="宋体"/>
          <w:b/>
          <w:bCs/>
          <w:sz w:val="21"/>
          <w:szCs w:val="21"/>
        </w:rPr>
      </w:pPr>
      <w:bookmarkStart w:id="49" w:name="_Toc989024"/>
      <w:r>
        <w:rPr>
          <w:rFonts w:ascii="宋体" w:hAnsi="宋体" w:eastAsia="宋体" w:cs="宋体"/>
          <w:b/>
          <w:bCs/>
          <w:sz w:val="21"/>
          <w:szCs w:val="21"/>
        </w:rPr>
        <w:t>（1） 计价方法、使用寿命、减值测试</w:t>
      </w:r>
      <w:bookmarkEnd w:id="49"/>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无形资产是指本公司拥有或者控制的没有实物形态的可辨认非货币性资产。无形资产是指本公司拥有或者控制的没有实物形态的可辨认非货币性资产，在同时满足以下条件时予以确认：</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①与该无形资产有关的经济利益很可能流入本公司；</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②该无形资产的成本能够可靠地计量。</w:t>
      </w:r>
    </w:p>
    <w:p>
      <w:pPr>
        <w:pStyle w:val="2"/>
        <w:keepNext w:val="0"/>
        <w:keepLines w:val="0"/>
        <w:widowControl/>
        <w:suppressLineNumbers w:val="0"/>
        <w:spacing w:before="0" w:beforeAutospacing="1" w:after="0" w:afterAutospacing="1" w:line="360" w:lineRule="auto"/>
        <w:ind w:left="0" w:right="0" w:firstLine="436"/>
        <w:jc w:val="both"/>
      </w:pPr>
      <w:r>
        <w:rPr>
          <w:rStyle w:val="5"/>
          <w:rFonts w:hint="eastAsia" w:ascii="宋体" w:hAnsi="宋体" w:eastAsia="宋体" w:cs="宋体"/>
          <w:sz w:val="21"/>
          <w:szCs w:val="21"/>
        </w:rPr>
        <w:t>1、无形资产的计量</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对非同一控制下合并中取得被购买方拥有的但在其财务报表中未确认的无形资产，在对被购买方资产进行初始确认时，按公允价值确认为无形资产。</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本公司无形资产后续计量，分别为：①使用寿命有限无形资产采用直线法摊销，并在年度终了，对无形资产的使用寿命和摊销方法进行复核，如与原先估计数存在差异的，进行相应的调整。②使用寿命不确定的无形资产不摊销，但在年度终了，对使用寿命进行复核，当有确凿证据表明其使用寿命是有限的，则估计其使用寿命，按直线法进行摊销。</w:t>
      </w:r>
    </w:p>
    <w:p>
      <w:pPr>
        <w:pStyle w:val="2"/>
        <w:keepNext w:val="0"/>
        <w:keepLines w:val="0"/>
        <w:widowControl/>
        <w:suppressLineNumbers w:val="0"/>
        <w:spacing w:before="0" w:beforeAutospacing="1" w:after="0" w:afterAutospacing="1" w:line="360" w:lineRule="auto"/>
        <w:ind w:left="0" w:right="0" w:firstLine="436"/>
      </w:pPr>
      <w:r>
        <w:rPr>
          <w:rStyle w:val="5"/>
          <w:rFonts w:hint="eastAsia" w:ascii="宋体" w:hAnsi="宋体" w:eastAsia="宋体" w:cs="宋体"/>
          <w:sz w:val="21"/>
          <w:szCs w:val="21"/>
        </w:rPr>
        <w:t>2、使用寿命不确定的判断依据</w:t>
      </w:r>
    </w:p>
    <w:p>
      <w:pPr>
        <w:pStyle w:val="2"/>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本公司将无法预见该资产为公司带来经济利益的期限，或使用期限不确定等无形资产确定为使用寿命不确定的无形资产。</w:t>
      </w:r>
    </w:p>
    <w:p>
      <w:pPr>
        <w:pStyle w:val="2"/>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使用寿命不确定的判断依据：①来源于合同性权利或其他法定权利，但合同规定或法律规定无明确使用年限；②综合同行业情况或相关专家论证等，仍无法判断无形资产为公司带来经济利益的期限。</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每年年末，本公司对使用寿命不确定无形资产使用寿命进行复核，主要采取自下而上的方式，由无形资产使用相关部门进行基础复核，评价使用寿命不确定判断依据是否存在变化等。</w:t>
      </w:r>
    </w:p>
    <w:p>
      <w:pPr>
        <w:pStyle w:val="2"/>
        <w:keepNext w:val="0"/>
        <w:keepLines w:val="0"/>
        <w:widowControl/>
        <w:suppressLineNumbers w:val="0"/>
        <w:spacing w:before="0" w:beforeAutospacing="1" w:after="0" w:afterAutospacing="1" w:line="360" w:lineRule="auto"/>
        <w:ind w:left="0" w:right="0" w:firstLine="436"/>
        <w:jc w:val="both"/>
      </w:pPr>
      <w:r>
        <w:rPr>
          <w:rStyle w:val="5"/>
          <w:rFonts w:hint="eastAsia" w:ascii="宋体" w:hAnsi="宋体" w:eastAsia="宋体" w:cs="宋体"/>
          <w:sz w:val="21"/>
          <w:szCs w:val="21"/>
        </w:rPr>
        <w:t>3、无形资产的减值测试方法及减值准备计提方法</w:t>
      </w:r>
    </w:p>
    <w:p>
      <w:pPr>
        <w:pStyle w:val="2"/>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资产负债表日，本公司对无形资产检查是否存在可能发生减值的迹象，当存在减值迹象时应进行减值测试确认其可收回金额，按可收回金额低于账面价值部分计提减值准备，减值损失一经计提，在以后会计期间不再转回。</w:t>
      </w:r>
    </w:p>
    <w:p>
      <w:pPr>
        <w:pStyle w:val="2"/>
        <w:keepNext w:val="0"/>
        <w:keepLines w:val="0"/>
        <w:widowControl/>
        <w:suppressLineNumbers w:val="0"/>
        <w:spacing w:before="0" w:beforeAutospacing="1" w:after="0" w:afterAutospacing="1" w:line="360" w:lineRule="auto"/>
        <w:ind w:left="0" w:right="0" w:firstLine="420"/>
        <w:jc w:val="both"/>
      </w:pPr>
      <w:r>
        <w:rPr>
          <w:rFonts w:hint="eastAsia" w:ascii="宋体" w:hAnsi="宋体" w:eastAsia="宋体" w:cs="宋体"/>
          <w:sz w:val="21"/>
          <w:szCs w:val="21"/>
        </w:rPr>
        <w:t>无形资产可收回金额根据资产公允价值减去处置费用后的净额与资产预计未来现金流量的现值两者孰高确定。</w:t>
      </w:r>
    </w:p>
    <w:p>
      <w:pPr>
        <w:pStyle w:val="2"/>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18"/>
          <w:szCs w:val="18"/>
        </w:rPr>
        <w:t> </w:t>
      </w:r>
    </w:p>
    <w:p>
      <w:pPr>
        <w:keepNext/>
        <w:keepLines/>
        <w:spacing w:before="300" w:after="300" w:line="280" w:lineRule="exact"/>
        <w:jc w:val="left"/>
        <w:outlineLvl w:val="3"/>
        <w:rPr>
          <w:rFonts w:ascii="宋体" w:hAnsi="宋体" w:eastAsia="宋体" w:cs="宋体"/>
          <w:b/>
          <w:bCs/>
          <w:sz w:val="21"/>
          <w:szCs w:val="21"/>
        </w:rPr>
      </w:pPr>
      <w:bookmarkStart w:id="50" w:name="_Toc989025"/>
      <w:r>
        <w:rPr>
          <w:rFonts w:ascii="宋体" w:hAnsi="宋体" w:eastAsia="宋体" w:cs="宋体"/>
          <w:b/>
          <w:bCs/>
          <w:sz w:val="21"/>
          <w:szCs w:val="21"/>
        </w:rPr>
        <w:t>（2） 内部研究开发支出会计政策</w:t>
      </w:r>
      <w:bookmarkEnd w:id="50"/>
    </w:p>
    <w:p>
      <w:pPr>
        <w:pStyle w:val="2"/>
        <w:keepNext w:val="0"/>
        <w:keepLines w:val="0"/>
        <w:widowControl/>
        <w:suppressLineNumbers w:val="0"/>
        <w:spacing w:before="0" w:beforeAutospacing="1" w:after="0" w:afterAutospacing="1" w:line="360" w:lineRule="auto"/>
        <w:ind w:left="0" w:right="0" w:firstLine="436"/>
      </w:pPr>
      <w:r>
        <w:rPr>
          <w:rStyle w:val="5"/>
          <w:rFonts w:hint="eastAsia" w:ascii="宋体" w:hAnsi="宋体" w:eastAsia="宋体" w:cs="宋体"/>
          <w:sz w:val="21"/>
          <w:szCs w:val="21"/>
        </w:rPr>
        <w:t>内部研究开发项目的研究阶段和开发阶段具体标准，以及开发阶段支出符合资本化条件的具体标准</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内部研究开发项目研究阶段的支出，本公司于发生时计入当期损益；开发阶段的支出，只有同时满足下列条件的，本公司才予以资本化：（1）完成该无形资产以使其能够使用或出售在技术上具有可行性；（2）具有完成该无形资产并使用或出售的意图；（3）无形资产产生经济利益的方式，包括能够证明运用该无形资产生产的产品存在市场或无形资产自身存在市场，无形资产将在内部使用的，能证明其有用性；（4）有足够的技术、财务资源和其他资源支持，以完成该无形资产的开发，并有能力使用或出售该无形资产；（5）归属于该无形资产开发阶段的支出能够可靠地计量。</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划分内部研究开发项目的研究阶段和开发阶段的具体标准：为获取新的技术和知识等进行的有计划的调查阶段，本公司确定为研究阶段，该阶段具有计划性和探索性等特点；在进行商业性生产或使用前，将研究成果或其他知识应用于某项计划或设计，以生产出新的或具有实质性改进的材料、装置、产品等阶段，本公司确定为开发阶段，该阶段具有针对性和形成成果的可能性较大等特点。</w:t>
      </w:r>
    </w:p>
    <w:p>
      <w:pPr>
        <w:keepNext/>
        <w:keepLines/>
        <w:spacing w:before="300" w:after="300" w:line="280" w:lineRule="exact"/>
        <w:jc w:val="left"/>
        <w:outlineLvl w:val="2"/>
        <w:rPr>
          <w:rFonts w:ascii="宋体" w:hAnsi="宋体" w:eastAsia="宋体" w:cs="宋体"/>
          <w:b/>
          <w:bCs/>
          <w:sz w:val="21"/>
          <w:szCs w:val="21"/>
        </w:rPr>
      </w:pPr>
      <w:bookmarkStart w:id="51" w:name="_Toc989026"/>
      <w:r>
        <w:rPr>
          <w:rFonts w:ascii="宋体" w:hAnsi="宋体" w:eastAsia="宋体" w:cs="宋体"/>
          <w:b/>
          <w:bCs/>
          <w:sz w:val="21"/>
          <w:szCs w:val="21"/>
        </w:rPr>
        <w:t>31、长期资产减值</w:t>
      </w:r>
      <w:bookmarkEnd w:id="51"/>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对长期股权投资、采用成本模式计量的投资性房地产、固定资产、在建工程、无形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本公司对因企业合并所形成的商誉和使用寿命不确定的无形资产，无论是否存在减值迹象，至少于每年末进行减值测试。对于尚未达到可使用状态的无形资产，也每年进行减值测试。</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进行商誉减值测试时，对于因企业合并形成的商誉的账面价值，自购买日起按照合理的方法分摊至相关的资产组；难以分摊至相关的资产组的，将其分摊至相关的资产组组合。在将商誉的账面价值分摊至相关的资产组或者资产组组合时，按照各资产组或者资产组组合的公允价值占相关资产组或者资产组组合公允价值总额的比例进行分摊。公允价值难以可靠计量的，按照各资产组或者资产组组合的账面价值占相关资产组或者资产组组合账面价值总额的比例进行分摊。</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与其可收回金额，如相关资产组或者资产组组合的可收回金额低于其账面价值的，就其差额确认减值损失。减值损失金额首先抵减分摊至资产组或者资产组组合中商誉的账面价值；再根据资产组或者资产组组合中除商誉之外的其他各项资产的账面价值所占比重，按比例抵减其他各项资产的账面价值。</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上述资产减值损失一经确认，本公司在以后会计期间不予转回。</w:t>
      </w:r>
    </w:p>
    <w:p>
      <w:pPr>
        <w:keepNext/>
        <w:keepLines/>
        <w:spacing w:before="300" w:after="300" w:line="280" w:lineRule="exact"/>
        <w:jc w:val="left"/>
        <w:outlineLvl w:val="2"/>
        <w:rPr>
          <w:rFonts w:ascii="宋体" w:hAnsi="宋体" w:eastAsia="宋体" w:cs="宋体"/>
          <w:b/>
          <w:bCs/>
          <w:sz w:val="21"/>
          <w:szCs w:val="21"/>
        </w:rPr>
      </w:pPr>
      <w:bookmarkStart w:id="52" w:name="_Toc989027"/>
      <w:r>
        <w:rPr>
          <w:rFonts w:ascii="宋体" w:hAnsi="宋体" w:eastAsia="宋体" w:cs="宋体"/>
          <w:b/>
          <w:bCs/>
          <w:sz w:val="21"/>
          <w:szCs w:val="21"/>
        </w:rPr>
        <w:t>32、长期待摊费用</w:t>
      </w:r>
      <w:bookmarkEnd w:id="52"/>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长期待摊费用是指已经支出，但受益期限在一年以上（不含一年）的各项费用。长期待摊费用按费用项目的受益期限分期摊销。若长期待摊的费用项目不能使以后会计期间受益，本公司将尚未摊销的该项目的摊余价值全部转入当期损益。</w:t>
      </w:r>
    </w:p>
    <w:p>
      <w:pPr>
        <w:keepNext/>
        <w:keepLines/>
        <w:spacing w:before="300" w:after="300" w:line="280" w:lineRule="exact"/>
        <w:jc w:val="left"/>
        <w:outlineLvl w:val="2"/>
        <w:rPr>
          <w:rFonts w:ascii="宋体" w:hAnsi="宋体" w:eastAsia="宋体" w:cs="宋体"/>
          <w:b/>
          <w:bCs/>
          <w:sz w:val="21"/>
          <w:szCs w:val="21"/>
        </w:rPr>
      </w:pPr>
      <w:bookmarkStart w:id="53" w:name="_Toc989028"/>
      <w:r>
        <w:rPr>
          <w:rFonts w:ascii="宋体" w:hAnsi="宋体" w:eastAsia="宋体" w:cs="宋体"/>
          <w:b/>
          <w:bCs/>
          <w:sz w:val="21"/>
          <w:szCs w:val="21"/>
        </w:rPr>
        <w:t>33、合同负债</w:t>
      </w:r>
      <w:bookmarkEnd w:id="53"/>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合同负债，是指本公司已收或应收客户对价而应向客户转让商品的义务。如果在本公司向客户转让商品之前，客户已经支付了合同对价或本公司已经取得了无条件收款权，本公司在客户实际支付款项和到期应支付款项孰早时点，将该已收或应收款项列示为合同负债。同一合同下的合同资产和合同负债以净额列示，不同合同下的合同资产和合同负债不予抵销。</w:t>
      </w:r>
    </w:p>
    <w:p>
      <w:pPr>
        <w:keepNext/>
        <w:keepLines/>
        <w:spacing w:before="300" w:after="300" w:line="280" w:lineRule="exact"/>
        <w:jc w:val="left"/>
        <w:outlineLvl w:val="2"/>
        <w:rPr>
          <w:rFonts w:ascii="宋体" w:hAnsi="宋体" w:eastAsia="宋体" w:cs="宋体"/>
          <w:b/>
          <w:bCs/>
          <w:sz w:val="21"/>
          <w:szCs w:val="21"/>
        </w:rPr>
      </w:pPr>
      <w:bookmarkStart w:id="54" w:name="_Toc989029"/>
      <w:r>
        <w:rPr>
          <w:rFonts w:ascii="宋体" w:hAnsi="宋体" w:eastAsia="宋体" w:cs="宋体"/>
          <w:b/>
          <w:bCs/>
          <w:sz w:val="21"/>
          <w:szCs w:val="21"/>
        </w:rPr>
        <w:t>34、职工薪酬</w:t>
      </w:r>
      <w:bookmarkEnd w:id="54"/>
    </w:p>
    <w:p>
      <w:pPr>
        <w:keepNext/>
        <w:keepLines/>
        <w:spacing w:before="300" w:after="300" w:line="280" w:lineRule="exact"/>
        <w:jc w:val="left"/>
        <w:outlineLvl w:val="3"/>
        <w:rPr>
          <w:rFonts w:ascii="宋体" w:hAnsi="宋体" w:eastAsia="宋体" w:cs="宋体"/>
          <w:b/>
          <w:bCs/>
          <w:sz w:val="21"/>
          <w:szCs w:val="21"/>
        </w:rPr>
      </w:pPr>
      <w:bookmarkStart w:id="55" w:name="_Toc989030"/>
      <w:r>
        <w:rPr>
          <w:rFonts w:ascii="宋体" w:hAnsi="宋体" w:eastAsia="宋体" w:cs="宋体"/>
          <w:b/>
          <w:bCs/>
          <w:sz w:val="21"/>
          <w:szCs w:val="21"/>
        </w:rPr>
        <w:t>（1） 短期薪酬的会计处理方法</w:t>
      </w:r>
      <w:bookmarkEnd w:id="55"/>
    </w:p>
    <w:p>
      <w:pPr>
        <w:pStyle w:val="2"/>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职工薪酬是本公司为获得职工提供的服务而给予的各种形式报酬以及其他相关支出，包括短期薪酬、离职后福利、辞退福利和其他长期福利。</w:t>
      </w:r>
    </w:p>
    <w:p>
      <w:pPr>
        <w:pStyle w:val="2"/>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短期薪酬包括短期工资、奖金、津贴、补贴、职工福利费、住房公积金、工会经费和职工教育经费、医疗保险费、工伤保险费、生育保险费、短期带薪缺勤、短期利润分享计划等。在职工提供服务的会计期间，将实际发生的应付的短期薪酬确认为负债，并按照受益对象按照权责发生制原则计入当期损益或相关资产成本。</w:t>
      </w:r>
    </w:p>
    <w:p>
      <w:pPr>
        <w:keepNext/>
        <w:keepLines/>
        <w:spacing w:before="300" w:after="300" w:line="280" w:lineRule="exact"/>
        <w:jc w:val="left"/>
        <w:outlineLvl w:val="3"/>
        <w:rPr>
          <w:rFonts w:ascii="宋体" w:hAnsi="宋体" w:eastAsia="宋体" w:cs="宋体"/>
          <w:b/>
          <w:bCs/>
          <w:sz w:val="21"/>
          <w:szCs w:val="21"/>
        </w:rPr>
      </w:pPr>
      <w:bookmarkStart w:id="56" w:name="_Toc989031"/>
      <w:r>
        <w:rPr>
          <w:rFonts w:ascii="宋体" w:hAnsi="宋体" w:eastAsia="宋体" w:cs="宋体"/>
          <w:b/>
          <w:bCs/>
          <w:sz w:val="21"/>
          <w:szCs w:val="21"/>
        </w:rPr>
        <w:t>（2） 离职后福利的会计处理方法</w:t>
      </w:r>
      <w:bookmarkEnd w:id="56"/>
    </w:p>
    <w:p>
      <w:pPr>
        <w:pStyle w:val="2"/>
        <w:keepNext w:val="0"/>
        <w:keepLines w:val="0"/>
        <w:widowControl/>
        <w:suppressLineNumbers w:val="0"/>
        <w:spacing w:before="0" w:beforeAutospacing="0" w:after="0" w:afterAutospacing="0" w:line="360" w:lineRule="auto"/>
        <w:ind w:left="0" w:right="0" w:firstLine="440"/>
        <w:jc w:val="both"/>
        <w:rPr>
          <w:rFonts w:hint="eastAsia" w:ascii="宋体" w:hAnsi="宋体" w:eastAsia="宋体" w:cs="宋体"/>
          <w:sz w:val="21"/>
          <w:szCs w:val="21"/>
        </w:rPr>
      </w:pPr>
      <w:r>
        <w:rPr>
          <w:rFonts w:hint="eastAsia" w:ascii="宋体" w:hAnsi="宋体" w:eastAsia="宋体" w:cs="宋体"/>
          <w:sz w:val="21"/>
          <w:szCs w:val="21"/>
        </w:rPr>
        <w:t>离职后福利主要包括基本养老保险费、企业年金等，按照公司承担的风险和义务，分类为设定提存计划、设定受益计划。</w:t>
      </w:r>
    </w:p>
    <w:p>
      <w:pPr>
        <w:pStyle w:val="2"/>
        <w:keepNext w:val="0"/>
        <w:keepLines w:val="0"/>
        <w:widowControl/>
        <w:suppressLineNumbers w:val="0"/>
        <w:spacing w:before="0" w:beforeAutospacing="0" w:after="0" w:afterAutospacing="0" w:line="360" w:lineRule="auto"/>
        <w:ind w:left="0" w:right="0" w:firstLine="440"/>
        <w:jc w:val="both"/>
        <w:rPr>
          <w:rFonts w:hint="eastAsia" w:ascii="宋体" w:hAnsi="宋体" w:eastAsia="宋体" w:cs="宋体"/>
          <w:sz w:val="21"/>
          <w:szCs w:val="21"/>
        </w:rPr>
      </w:pPr>
      <w:r>
        <w:rPr>
          <w:rFonts w:hint="eastAsia" w:ascii="宋体" w:hAnsi="宋体" w:eastAsia="宋体" w:cs="宋体"/>
          <w:sz w:val="21"/>
          <w:szCs w:val="21"/>
        </w:rPr>
        <w:t>设定提存计划：在根据在资产负债表日为换取职工在会计期间提供的服务而向单独主体缴存的提存金确认为负债，并按照受益对象计入当期损益或相关资产成本。</w:t>
      </w:r>
    </w:p>
    <w:p>
      <w:pPr>
        <w:pStyle w:val="2"/>
        <w:keepNext w:val="0"/>
        <w:keepLines w:val="0"/>
        <w:widowControl/>
        <w:suppressLineNumbers w:val="0"/>
        <w:spacing w:before="0" w:beforeAutospacing="0" w:after="0" w:afterAutospacing="0" w:line="360" w:lineRule="auto"/>
        <w:ind w:left="0" w:right="0" w:firstLine="440"/>
        <w:jc w:val="both"/>
        <w:rPr>
          <w:rFonts w:hint="eastAsia" w:ascii="宋体" w:hAnsi="宋体" w:eastAsia="宋体" w:cs="宋体"/>
          <w:sz w:val="21"/>
          <w:szCs w:val="21"/>
        </w:rPr>
      </w:pPr>
      <w:r>
        <w:rPr>
          <w:rFonts w:hint="eastAsia" w:ascii="宋体" w:hAnsi="宋体" w:eastAsia="宋体" w:cs="宋体"/>
          <w:sz w:val="21"/>
          <w:szCs w:val="21"/>
        </w:rPr>
        <w:t>设定受益计划：在半年和年度资产负债表日由独立精算师进行精算估值，以预期累积福利单位法确定提供福利的成本。设定受益计划导致的职工薪酬成本包括下列组成部分：（1）服务成本，包括当期服务成本、过去服务成本和结算利得或损失。其中，当期服务成本是指，职工当期提供服务所导致的设定受益义务现值的增加额；过去服务成本是指，设定受益计划修改所导致的与以前期间职工服务相关的设定受益义务现值的增加或减少；（2）设定受益义务的利息费用；（3）重新计量设定受益计划负债导致的变动。除非其他会计准则要求或允许职工福利成本计入资产成本，本公司将上述第（1）和（2）项计入当期损益；第（3）项计入其他综合收益且不会在后续会计期间转回至损益。</w:t>
      </w:r>
    </w:p>
    <w:p>
      <w:pPr>
        <w:keepNext/>
        <w:keepLines/>
        <w:spacing w:before="300" w:after="300" w:line="280" w:lineRule="exact"/>
        <w:jc w:val="left"/>
        <w:outlineLvl w:val="3"/>
        <w:rPr>
          <w:rFonts w:ascii="宋体" w:hAnsi="宋体" w:eastAsia="宋体" w:cs="宋体"/>
          <w:b/>
          <w:bCs/>
          <w:sz w:val="21"/>
          <w:szCs w:val="21"/>
        </w:rPr>
      </w:pPr>
      <w:bookmarkStart w:id="57" w:name="_Toc989032"/>
      <w:r>
        <w:rPr>
          <w:rFonts w:ascii="宋体" w:hAnsi="宋体" w:eastAsia="宋体" w:cs="宋体"/>
          <w:b/>
          <w:bCs/>
          <w:sz w:val="21"/>
          <w:szCs w:val="21"/>
        </w:rPr>
        <w:t>（3） 辞退福利的会计处理方法</w:t>
      </w:r>
      <w:bookmarkEnd w:id="57"/>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辞退福利是指本公司在职工劳动合同到期之前解除与职工的劳动关系，或者为鼓励职工自愿接受裁减而提出给予补偿的建议。本公司在不能单方面撤回因解除劳动关系计划或裁减建议所提供的辞退福利时，或确认与涉及支付辞退福利的重组相关的成本或费用时（两者孰早），确认辞退福利产生的职工薪酬负债，并计入当期损益。</w:t>
      </w:r>
    </w:p>
    <w:p>
      <w:pPr>
        <w:keepNext/>
        <w:keepLines/>
        <w:spacing w:before="300" w:after="300" w:line="280" w:lineRule="exact"/>
        <w:jc w:val="left"/>
        <w:outlineLvl w:val="3"/>
        <w:rPr>
          <w:rFonts w:ascii="宋体" w:hAnsi="宋体" w:eastAsia="宋体" w:cs="宋体"/>
          <w:b/>
          <w:bCs/>
          <w:sz w:val="21"/>
          <w:szCs w:val="21"/>
        </w:rPr>
      </w:pPr>
      <w:bookmarkStart w:id="58" w:name="_Toc989033"/>
      <w:r>
        <w:rPr>
          <w:rFonts w:ascii="宋体" w:hAnsi="宋体" w:eastAsia="宋体" w:cs="宋体"/>
          <w:b/>
          <w:bCs/>
          <w:sz w:val="21"/>
          <w:szCs w:val="21"/>
        </w:rPr>
        <w:t>（4） 其他长期职工福利的会计处理方法</w:t>
      </w:r>
      <w:bookmarkEnd w:id="58"/>
    </w:p>
    <w:p>
      <w:pPr>
        <w:pStyle w:val="2"/>
        <w:keepNext w:val="0"/>
        <w:keepLines w:val="0"/>
        <w:widowControl/>
        <w:suppressLineNumbers w:val="0"/>
      </w:pPr>
      <w:r>
        <w:rPr>
          <w:rFonts w:hint="eastAsia" w:ascii="宋体" w:hAnsi="宋体" w:eastAsia="宋体" w:cs="宋体"/>
          <w:sz w:val="18"/>
          <w:szCs w:val="18"/>
        </w:rPr>
        <w:t>无</w:t>
      </w:r>
    </w:p>
    <w:p>
      <w:pPr>
        <w:keepNext/>
        <w:keepLines/>
        <w:spacing w:before="300" w:after="300" w:line="280" w:lineRule="exact"/>
        <w:jc w:val="left"/>
        <w:outlineLvl w:val="2"/>
        <w:rPr>
          <w:rFonts w:ascii="宋体" w:hAnsi="宋体" w:eastAsia="宋体" w:cs="宋体"/>
          <w:b/>
          <w:bCs/>
          <w:sz w:val="21"/>
          <w:szCs w:val="21"/>
        </w:rPr>
      </w:pPr>
      <w:bookmarkStart w:id="59" w:name="_Toc989034"/>
      <w:r>
        <w:rPr>
          <w:rFonts w:ascii="宋体" w:hAnsi="宋体" w:eastAsia="宋体" w:cs="宋体"/>
          <w:b/>
          <w:bCs/>
          <w:sz w:val="21"/>
          <w:szCs w:val="21"/>
        </w:rPr>
        <w:t>35、租赁负债</w:t>
      </w:r>
      <w:bookmarkEnd w:id="59"/>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在租赁期开始日，本公司作为承租人对租赁确认使用权资产和租赁负债。本公司的租赁负债按照租赁期开始日尚未支付的租赁付款额的现值进行初始计量。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在计算租赁付款额的现值时，本公司采用租赁内含利率作为折现率；无法确定租赁内含利率的，采用本公司（即承租人）增量借款利率作为折现率。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内含利率，是指使出租人的租赁收款额的现值与未担保余值的现值之和等于租赁资产公允价值与出租人的初始直接费用之和的利率。承租人增量借款利率，是指承租人在类似经济环境下为获得与使用权资产价值接近的资产，在类似期间以类似抵押条件借入资金须支付的利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本公司按照固定的周期性利率计算租赁负债在租赁期内各期间的利息费用，并计入当期损益或资产成本。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在租赁期开始日后，本公司续租选择权、终止租赁选择权或购买选择权评估结果发生变化的，重新确定租赁付款额，并按变动后租赁付款额和修订后的折现率计算的现值重新计量租赁负债：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开始日后，根据担保余值预计的应付金额发生变动，或者因用于确定租赁付款额的指数或比率变动而导致未来租赁付款额发生变动的，本公司应当按照变动后租赁付款额的现值重新计量租赁负债。在这些情形下，本公司采用的折现率不变；但是，租赁付款额的变动源自浮动利率变动的，使用修订后的折现率。</w:t>
      </w:r>
    </w:p>
    <w:p>
      <w:pPr>
        <w:keepNext/>
        <w:keepLines/>
        <w:spacing w:before="300" w:after="300" w:line="280" w:lineRule="exact"/>
        <w:jc w:val="left"/>
        <w:outlineLvl w:val="2"/>
        <w:rPr>
          <w:rFonts w:ascii="宋体" w:hAnsi="宋体" w:eastAsia="宋体" w:cs="宋体"/>
          <w:b/>
          <w:bCs/>
          <w:sz w:val="21"/>
          <w:szCs w:val="21"/>
        </w:rPr>
      </w:pPr>
      <w:bookmarkStart w:id="60" w:name="_Toc989035"/>
      <w:r>
        <w:rPr>
          <w:rFonts w:ascii="宋体" w:hAnsi="宋体" w:eastAsia="宋体" w:cs="宋体"/>
          <w:b/>
          <w:bCs/>
          <w:sz w:val="21"/>
          <w:szCs w:val="21"/>
        </w:rPr>
        <w:t>36、预计负债</w:t>
      </w:r>
      <w:bookmarkEnd w:id="60"/>
    </w:p>
    <w:p>
      <w:pPr>
        <w:pStyle w:val="2"/>
        <w:keepNext w:val="0"/>
        <w:keepLines w:val="0"/>
        <w:widowControl/>
        <w:suppressLineNumbers w:val="0"/>
        <w:spacing w:before="0" w:beforeAutospacing="1" w:after="0" w:afterAutospacing="1" w:line="360" w:lineRule="auto"/>
        <w:ind w:left="0" w:right="306" w:firstLine="436"/>
        <w:jc w:val="both"/>
      </w:pPr>
      <w:r>
        <w:rPr>
          <w:rStyle w:val="5"/>
          <w:rFonts w:hint="eastAsia" w:ascii="宋体" w:hAnsi="宋体" w:eastAsia="宋体" w:cs="宋体"/>
          <w:sz w:val="21"/>
          <w:szCs w:val="21"/>
        </w:rPr>
        <w:t>1、预计负债的确认标准</w:t>
      </w:r>
    </w:p>
    <w:p>
      <w:pPr>
        <w:pStyle w:val="2"/>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当与或有事项相关的义务是本公司承担的现时义务，且履行该义务很可能导致经济利益流出，同时其金额能够可靠地计量时确认该义务为预计负债。</w:t>
      </w:r>
    </w:p>
    <w:p>
      <w:pPr>
        <w:pStyle w:val="2"/>
        <w:keepNext w:val="0"/>
        <w:keepLines w:val="0"/>
        <w:widowControl/>
        <w:suppressLineNumbers w:val="0"/>
        <w:spacing w:before="0" w:beforeAutospacing="1" w:after="0" w:afterAutospacing="1" w:line="360" w:lineRule="auto"/>
        <w:ind w:left="0" w:right="306" w:firstLine="436"/>
        <w:jc w:val="both"/>
      </w:pPr>
      <w:r>
        <w:rPr>
          <w:rStyle w:val="5"/>
          <w:rFonts w:hint="eastAsia" w:ascii="宋体" w:hAnsi="宋体" w:eastAsia="宋体" w:cs="宋体"/>
          <w:sz w:val="21"/>
          <w:szCs w:val="21"/>
        </w:rPr>
        <w:t>2、预计负债的计量方法</w:t>
      </w:r>
    </w:p>
    <w:p>
      <w:pPr>
        <w:pStyle w:val="2"/>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预计负债按照履行相关现时义务所需支出的最佳估计数进行初始计量，如所需支出存在一个连续范围，且该范围内各种结果发生的可能性相同，最佳估计数按照该范围内的中间值确定；如涉及多个项目，按照各种可能结果及相关概率计算确定最佳估计数。</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本公司于资产负债表日对预计负债账面价值进行复核，有确凿证据表明该账面价值不能真实反映当前最佳估计数，按照当前最佳估计数对该账面价值进行调整。</w:t>
      </w:r>
    </w:p>
    <w:p>
      <w:pPr>
        <w:pStyle w:val="2"/>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如果清偿预计负债所需支出全部或部分预期由第三方补偿的，补偿金额在基本确定能够收到时，作为资产单独确认，且确认的补偿金额不超过预计负债的账面价值。</w:t>
      </w:r>
    </w:p>
    <w:p>
      <w:pPr>
        <w:keepNext/>
        <w:keepLines/>
        <w:spacing w:before="300" w:after="300" w:line="280" w:lineRule="exact"/>
        <w:jc w:val="left"/>
        <w:outlineLvl w:val="2"/>
        <w:rPr>
          <w:rFonts w:ascii="宋体" w:hAnsi="宋体" w:eastAsia="宋体" w:cs="宋体"/>
          <w:b/>
          <w:bCs/>
          <w:sz w:val="21"/>
          <w:szCs w:val="21"/>
        </w:rPr>
      </w:pPr>
      <w:bookmarkStart w:id="61" w:name="_Toc989036"/>
      <w:r>
        <w:rPr>
          <w:rFonts w:ascii="宋体" w:hAnsi="宋体" w:eastAsia="宋体" w:cs="宋体"/>
          <w:b/>
          <w:bCs/>
          <w:sz w:val="21"/>
          <w:szCs w:val="21"/>
        </w:rPr>
        <w:t>37、股份支付</w:t>
      </w:r>
      <w:bookmarkEnd w:id="61"/>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本公司的股份支付是为了获取职工[或其他方]提供服务而授予权益工具或者承担以权益工具为基础确定的负债的交易。本公司的股份支付分为以权益结算的股份支付和以现金结算的股份支付。</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用以换取职工提供服务的以权益结算的股份支付，本公司以授予职工权益工具在授予日的公允价值计量。在等待期内每个资产负债表日，本公司根据最新取得的可行权职工人数变动 、是否达到规定业绩条件等后续信息对可行权权益工具数量作出最佳估计，以此为基础，按照授予日的公允价值，将当期取得的服务计入相关成本或费用，相应增加资本公积。在可行权日之后不再对已确认的相关成本或费用和所有者权益总额进行调整。但授予后立即可行权的，在授予日按照公允价值计入相关成本或费用，相应增加资本公积。</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以现金结算的股份支付，按照本公司承担的以股份或其他权益工具为基础确定的负债的公允价值计量。如授予后立即可行权，在授予日以承担负债的公允价值计入相关成本或费用，相应增加负债；如需完成等待期内的服务或达到规定业绩条件以后才可行权，在等待期的每个资产负债表日，以对可行权情况的最佳估计为基础，按照本公司承担负债的公允价值金额，将当期取得的服务计入成本或费用，相应调整负债。在相关负债结算前的每个资产负债表日以及结算日，对负债的公允价值重新计量，其变动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 xml:space="preserve">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如果公司按照有利于职工的方式修改可行权条件，如缩短等待期、变更或取消业绩条件（而非市场条件），公司在处理可行权条件时，应当考虑修改后的可行权条件。若修改减少了股份支付公允价值总额或采用了其他不利于职工的方式修改股份支付计划的条款和条件，则仍继续对取得的服务进行会计处理，视同该变更从未发生，除非本公司取消了部分或全部已授予的权益工具。 </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等待期内，如果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p>
      <w:pPr>
        <w:keepNext/>
        <w:keepLines/>
        <w:spacing w:before="300" w:after="300" w:line="280" w:lineRule="exact"/>
        <w:jc w:val="left"/>
        <w:outlineLvl w:val="2"/>
        <w:rPr>
          <w:rFonts w:ascii="宋体" w:hAnsi="宋体" w:eastAsia="宋体" w:cs="宋体"/>
          <w:b/>
          <w:bCs/>
          <w:sz w:val="21"/>
          <w:szCs w:val="21"/>
        </w:rPr>
      </w:pPr>
      <w:bookmarkStart w:id="62" w:name="_Toc989037"/>
      <w:r>
        <w:rPr>
          <w:rFonts w:ascii="宋体" w:hAnsi="宋体" w:eastAsia="宋体" w:cs="宋体"/>
          <w:b/>
          <w:bCs/>
          <w:sz w:val="21"/>
          <w:szCs w:val="21"/>
        </w:rPr>
        <w:t>38、优先股、永续债等其他金融工具</w:t>
      </w:r>
      <w:bookmarkEnd w:id="62"/>
    </w:p>
    <w:p>
      <w:pPr>
        <w:keepNext/>
        <w:keepLines/>
        <w:spacing w:before="300" w:after="300" w:line="280" w:lineRule="exact"/>
        <w:jc w:val="left"/>
        <w:outlineLvl w:val="2"/>
        <w:rPr>
          <w:rFonts w:ascii="宋体" w:hAnsi="宋体" w:eastAsia="宋体" w:cs="宋体"/>
          <w:b/>
          <w:bCs/>
          <w:sz w:val="21"/>
          <w:szCs w:val="21"/>
        </w:rPr>
      </w:pPr>
      <w:bookmarkStart w:id="63" w:name="_Toc989038"/>
      <w:r>
        <w:rPr>
          <w:rFonts w:ascii="宋体" w:hAnsi="宋体" w:eastAsia="宋体" w:cs="宋体"/>
          <w:b/>
          <w:bCs/>
          <w:sz w:val="21"/>
          <w:szCs w:val="21"/>
        </w:rPr>
        <w:t>39、收入</w:t>
      </w:r>
      <w:bookmarkEnd w:id="63"/>
    </w:p>
    <w:p>
      <w:pPr>
        <w:spacing w:before="100" w:after="100" w:line="240" w:lineRule="exact"/>
        <w:jc w:val="left"/>
        <w:rPr>
          <w:rFonts w:ascii="宋体" w:hAnsi="宋体" w:eastAsia="宋体" w:cs="宋体"/>
          <w:sz w:val="18"/>
          <w:szCs w:val="18"/>
        </w:rPr>
      </w:pPr>
      <w:r>
        <w:rPr>
          <w:rFonts w:ascii="宋体" w:hAnsi="宋体" w:eastAsia="宋体" w:cs="宋体"/>
          <w:sz w:val="18"/>
          <w:szCs w:val="18"/>
        </w:rPr>
        <w:t>收入确认和计量所采用的会计政策</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公司未来现金流量的风险、时间分布或金额；公司因向客户转让商品而有权取得的对价很可能收回。</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合同开始日，本公司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合同中的每个单项履约义务，如果满足下列条件之一的，公司在相关履约时段内按照履约进度将分摊至该单项履约义务的交易价格确认为收入：客户在公司履约的同时即取得并消耗公司履约所带来的经济利益；客户能够控制公司履约过程中在建的商品；公司履约过程中所产出的商品具有不可替代用途，且公司在整个合同期间内有权就累计至今已完成的履约部分收取款项。履约进度根据所转让商品的性质采用投入法或产出法确定，当履约进度不能合理确定时，公司已经发生的成本预计能够得到补偿的，按照已经发生的成本金额确认收入，直到履约进度能够合理确定为止。</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如果不满足上述条件之一，则公司在客户取得相关商品控制权的时点将分摊至该单项履约义务的交易价格确认收入。在判断客户是否已取得商品控制权时，公司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公司销售商品收入确认的具体原则为：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外销销售收入确认：</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销售定价交易模式为FOB和CFR、CIF方式下,公司以货物装船,报关出口手续完成后控制权发生转移，确认收入的实现；在销售定价交易模式为EXW方式下，货物报关出口并交付给企业后控制权发生转移，确认收入的实现。</w:t>
      </w:r>
    </w:p>
    <w:p>
      <w:pPr>
        <w:pStyle w:val="2"/>
        <w:keepNext w:val="0"/>
        <w:keepLines w:val="0"/>
        <w:widowControl/>
        <w:suppressLineNumbers w:val="0"/>
        <w:spacing w:before="0" w:beforeAutospacing="0" w:after="0" w:afterAutospacing="0" w:line="360" w:lineRule="auto"/>
        <w:ind w:left="0" w:right="0" w:firstLine="327"/>
        <w:jc w:val="both"/>
        <w:rPr>
          <w:rFonts w:hint="default" w:ascii="Times New Roman" w:hAnsi="Times New Roman" w:cs="Times New Roman"/>
          <w:sz w:val="21"/>
          <w:szCs w:val="21"/>
        </w:rPr>
      </w:pPr>
      <w:r>
        <w:rPr>
          <w:rFonts w:hint="eastAsia" w:ascii="宋体" w:hAnsi="宋体" w:eastAsia="宋体" w:cs="宋体"/>
          <w:sz w:val="21"/>
          <w:szCs w:val="21"/>
        </w:rPr>
        <w:t>国内销售收入确认：</w:t>
      </w:r>
    </w:p>
    <w:p>
      <w:pPr>
        <w:pStyle w:val="2"/>
        <w:keepNext w:val="0"/>
        <w:keepLines w:val="0"/>
        <w:widowControl/>
        <w:suppressLineNumbers w:val="0"/>
        <w:spacing w:before="0" w:beforeAutospacing="0" w:after="0" w:afterAutospacing="0" w:line="360" w:lineRule="auto"/>
        <w:ind w:left="0" w:right="0" w:firstLine="327"/>
        <w:jc w:val="both"/>
        <w:rPr>
          <w:rFonts w:hint="default" w:ascii="Times New Roman" w:hAnsi="Times New Roman" w:cs="Times New Roman"/>
          <w:sz w:val="21"/>
          <w:szCs w:val="21"/>
        </w:rPr>
      </w:pPr>
      <w:r>
        <w:rPr>
          <w:rFonts w:hint="eastAsia" w:ascii="宋体" w:hAnsi="宋体" w:eastAsia="宋体" w:cs="宋体"/>
          <w:sz w:val="21"/>
          <w:szCs w:val="21"/>
        </w:rPr>
        <w:t>如需要检验或安装的，在客户接受商品并且检验或安装完毕时控制权发生转移，确认销售收入；无需检验或安装的，在产品出库且对方确认收到产品时控制权发生转移，确认销售收入。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同类业务采用不同经营模式导致收入确认会计政策存在差异的情况</w:t>
      </w:r>
    </w:p>
    <w:p>
      <w:pPr>
        <w:keepNext/>
        <w:keepLines/>
        <w:spacing w:before="300" w:after="300" w:line="280" w:lineRule="exact"/>
        <w:jc w:val="left"/>
        <w:outlineLvl w:val="2"/>
        <w:rPr>
          <w:rFonts w:ascii="宋体" w:hAnsi="宋体" w:eastAsia="宋体" w:cs="宋体"/>
          <w:b/>
          <w:bCs/>
          <w:sz w:val="21"/>
          <w:szCs w:val="21"/>
        </w:rPr>
      </w:pPr>
      <w:bookmarkStart w:id="64" w:name="_Toc989039"/>
      <w:r>
        <w:rPr>
          <w:rFonts w:ascii="宋体" w:hAnsi="宋体" w:eastAsia="宋体" w:cs="宋体"/>
          <w:b/>
          <w:bCs/>
          <w:sz w:val="21"/>
          <w:szCs w:val="21"/>
        </w:rPr>
        <w:t>40、政府补助</w:t>
      </w:r>
      <w:bookmarkEnd w:id="64"/>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1、政府补助类型</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政府补助是指本公司从政府无偿取得的货币性资产或非货币性资产（但不包括政府作为所有者投入的资本），主要划分为与资产相关的政府补助和与收益相关的政府补助两种类型。政府补助为货币性资产的，按照收到或应收的金额计量。政府补助为非货币性资产的，按照公允价值计量；公允价值不能够可靠取得的，按照名义金额计量。按照名义金额计量的政府补助，直接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2、与资产相关的政府补助的会计处理方法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与资产相关的政府补助，是指本公司取得的、用于购建或以其他方式形成长期资产的政府补助。本公司对与资产相关的政府补助，冲减相关资产账面价值或确认为递延收益，确认为递延收益的，在相关资产使用寿命内按照合理、系统的方法分期计入当期损益（与本公司日常活动相关的，计入其他收益；与本公司日常活动无关的，计入营业外收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3、与收益相关的政府补助的会计处理方法</w:t>
      </w:r>
    </w:p>
    <w:p>
      <w:pPr>
        <w:pStyle w:val="2"/>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与收益相关的政府补助，是指本公司取得的除与资产相关的政府补助之外的政府补助。本公司对与收益相关的政府补助，用于补偿本公司以后期间的相关成本费用或损失的，确认为递延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p>
    <w:p>
      <w:pPr>
        <w:pStyle w:val="2"/>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本公司取得的政策性优惠贷款贴息，区分以下两种情况，分别进行会计处理：</w:t>
      </w:r>
    </w:p>
    <w:p>
      <w:pPr>
        <w:pStyle w:val="2"/>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（1）财政将贴息资金拨付给贷款银行，由贷款银行以政策性优惠利率向本公司提供贷款的，本公司以实际收到的借款金额作为借款的入账价值，按照借款本金和该政策性优惠利率计算相关借款费用。</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（2）财政将贴息资金直接拨付给本公司的，本公司将对应的贴息冲减相关借款费用。</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4、区分与资产相关政府补助和与收益相关政府补助的具体标准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企业取得的政府补助，用于补助长期资产购置、建造等直接相关支出，为与资产相关的政府补助。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企业取得的政府补助，用于补助补偿的期间费用或损失的，为与收益相关的政府补助。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企业取得的综合性项目补助，依据批准文件或申请文件将其划分为与资产相关的政府补助和与收益相关的政府补助。难以区分的，将政府补助整体归类为与收益相关的政府补助。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5、政府补助的确认时点</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按照应收金额计量的政府补助，本公司在期末有确凿证据表明能够符合财政扶持政策规定的相关条件且预计能够收到财政扶持资金时予以确认。</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除按照应收金额计量的政府补助外的其他政府补助，本公司在实际收到补助款项时予以确认。</w:t>
      </w:r>
    </w:p>
    <w:p>
      <w:pPr>
        <w:keepNext/>
        <w:keepLines/>
        <w:spacing w:before="300" w:after="300" w:line="280" w:lineRule="exact"/>
        <w:jc w:val="left"/>
        <w:outlineLvl w:val="2"/>
        <w:rPr>
          <w:rFonts w:ascii="宋体" w:hAnsi="宋体" w:eastAsia="宋体" w:cs="宋体"/>
          <w:b/>
          <w:bCs/>
          <w:sz w:val="21"/>
          <w:szCs w:val="21"/>
        </w:rPr>
      </w:pPr>
      <w:bookmarkStart w:id="65" w:name="_Toc989040"/>
      <w:r>
        <w:rPr>
          <w:rFonts w:ascii="宋体" w:hAnsi="宋体" w:eastAsia="宋体" w:cs="宋体"/>
          <w:b/>
          <w:bCs/>
          <w:sz w:val="21"/>
          <w:szCs w:val="21"/>
        </w:rPr>
        <w:t>41、递延所得税资产/递延所得税负债</w:t>
      </w:r>
      <w:bookmarkEnd w:id="65"/>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1、公司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对于应纳税暂时性差异，除特殊情况外，确认递延所得税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3、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4、对与子公司及联营企业投资相关的应纳税暂时性差异，确认递延所得税负债，除非本公司能够控制暂时性差异转回的时间且该暂时性差异在可预见的未来很可能不会转回。本公司对与子公司及联营企业投资相关的可抵扣暂时性差异，当该暂时性差异在可预见的未来很可能转回且未来很可能获得用来抵扣可抵扣暂时性差异的应纳税所得额时，确认递延所得税资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5、对于商誉的初始确认产生的暂时性差异，不确认相应的递延所得税负债。对于既不影响会计利润也不影响应纳税所得额(或可抵扣亏损)的非企业合并的交易中产生的资产或负债的初始确认形成的暂时性差异，不确认相应的递延所得税资产和递延所得税负债。资产负债表日，本公司递延所得税资产和递延所得税负债按照预期收回该资产或清偿该负债期间的适用税率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6、同时满足下列条件的递延所得税资产和递延所得税负债以抵销后的净额列示：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（1）递延所得税资产和递延所得税负债与同一税收征管部门对本公司内同一纳税主体征收的所得税相关；</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（2）本公司内该纳税主体拥有以净额结算当期所得税资产及当期所得税负债的法定权利。</w:t>
      </w:r>
    </w:p>
    <w:p>
      <w:pPr>
        <w:keepNext/>
        <w:keepLines/>
        <w:spacing w:before="300" w:after="300" w:line="280" w:lineRule="exact"/>
        <w:jc w:val="left"/>
        <w:outlineLvl w:val="2"/>
        <w:rPr>
          <w:rFonts w:ascii="宋体" w:hAnsi="宋体" w:eastAsia="宋体" w:cs="宋体"/>
          <w:b/>
          <w:bCs/>
          <w:sz w:val="21"/>
          <w:szCs w:val="21"/>
        </w:rPr>
      </w:pPr>
      <w:bookmarkStart w:id="66" w:name="_Toc989041"/>
      <w:r>
        <w:rPr>
          <w:rFonts w:ascii="宋体" w:hAnsi="宋体" w:eastAsia="宋体" w:cs="宋体"/>
          <w:b/>
          <w:bCs/>
          <w:sz w:val="21"/>
          <w:szCs w:val="21"/>
        </w:rPr>
        <w:t>42、租赁</w:t>
      </w:r>
      <w:bookmarkEnd w:id="66"/>
    </w:p>
    <w:p>
      <w:pPr>
        <w:keepNext/>
        <w:keepLines/>
        <w:spacing w:before="300" w:after="300" w:line="280" w:lineRule="exact"/>
        <w:jc w:val="left"/>
        <w:outlineLvl w:val="3"/>
        <w:rPr>
          <w:rFonts w:ascii="宋体" w:hAnsi="宋体" w:eastAsia="宋体" w:cs="宋体"/>
          <w:b/>
          <w:bCs/>
          <w:sz w:val="21"/>
          <w:szCs w:val="21"/>
        </w:rPr>
      </w:pPr>
      <w:bookmarkStart w:id="67" w:name="_Toc989042"/>
      <w:r>
        <w:rPr>
          <w:rFonts w:ascii="宋体" w:hAnsi="宋体" w:eastAsia="宋体" w:cs="宋体"/>
          <w:b/>
          <w:bCs/>
          <w:sz w:val="21"/>
          <w:szCs w:val="21"/>
        </w:rPr>
        <w:t>（1） 经营租赁的会计处理方法</w:t>
      </w:r>
      <w:bookmarkEnd w:id="67"/>
    </w:p>
    <w:p>
      <w:pPr>
        <w:pStyle w:val="2"/>
        <w:keepNext w:val="0"/>
        <w:keepLines w:val="0"/>
        <w:widowControl/>
        <w:suppressLineNumbers w:val="0"/>
        <w:spacing w:before="0" w:beforeAutospacing="0" w:after="0" w:afterAutospacing="0" w:line="360" w:lineRule="auto"/>
        <w:ind w:left="0" w:right="0" w:firstLine="545"/>
        <w:jc w:val="both"/>
        <w:rPr>
          <w:rFonts w:hint="default" w:ascii="Times New Roman" w:hAnsi="Times New Roman" w:cs="Times New Roman"/>
          <w:sz w:val="21"/>
          <w:szCs w:val="21"/>
        </w:rPr>
      </w:pPr>
      <w:r>
        <w:rPr>
          <w:rFonts w:hint="eastAsia" w:ascii="宋体" w:hAnsi="宋体" w:eastAsia="宋体" w:cs="宋体"/>
          <w:sz w:val="21"/>
          <w:szCs w:val="21"/>
        </w:rPr>
        <w:t>租赁，是指在一定期间内，出租人将资产的使用权让与承租人以获取对价的合同。</w:t>
      </w:r>
    </w:p>
    <w:p>
      <w:pPr>
        <w:pStyle w:val="2"/>
        <w:keepNext w:val="0"/>
        <w:keepLines w:val="0"/>
        <w:widowControl/>
        <w:suppressLineNumbers w:val="0"/>
        <w:spacing w:before="0" w:beforeAutospacing="0" w:after="0" w:afterAutospacing="0" w:line="360" w:lineRule="auto"/>
        <w:ind w:left="0" w:right="0" w:firstLine="545"/>
        <w:jc w:val="both"/>
        <w:rPr>
          <w:rFonts w:hint="default" w:ascii="Times New Roman" w:hAnsi="Times New Roman" w:cs="Times New Roman"/>
          <w:sz w:val="21"/>
          <w:szCs w:val="21"/>
        </w:rPr>
      </w:pPr>
      <w:r>
        <w:rPr>
          <w:rFonts w:hint="eastAsia" w:ascii="宋体" w:hAnsi="宋体" w:eastAsia="宋体" w:cs="宋体"/>
          <w:sz w:val="21"/>
          <w:szCs w:val="21"/>
        </w:rPr>
        <w:t>在合同开始日</w:t>
      </w:r>
      <w:r>
        <w:rPr>
          <w:rFonts w:hint="default" w:ascii="Times New Roman" w:hAnsi="Times New Roman" w:eastAsia="宋体" w:cs="Times New Roman"/>
          <w:sz w:val="21"/>
          <w:szCs w:val="21"/>
        </w:rPr>
        <w:t>/</w:t>
      </w:r>
      <w:r>
        <w:rPr>
          <w:rFonts w:hint="eastAsia" w:ascii="宋体" w:hAnsi="宋体" w:eastAsia="宋体" w:cs="宋体"/>
          <w:sz w:val="21"/>
          <w:szCs w:val="21"/>
        </w:rPr>
        <w:t>变更日，本公司评估该合同是否为租赁或者包含租赁。如果合同中一方让渡了在一定期间内控制一项或多项已识别资产使用的权利以换取对价，则该合同为租赁或者包含租赁。除非合同条款和条件发生变化，本公司不重新评估合同是否为租赁或者包含租赁。</w:t>
      </w:r>
    </w:p>
    <w:p>
      <w:pPr>
        <w:pStyle w:val="2"/>
        <w:keepNext w:val="0"/>
        <w:keepLines w:val="0"/>
        <w:widowControl/>
        <w:suppressLineNumbers w:val="0"/>
        <w:spacing w:before="0" w:beforeAutospacing="0" w:after="0" w:afterAutospacing="0" w:line="360" w:lineRule="auto"/>
        <w:ind w:left="0" w:right="0" w:firstLine="545"/>
        <w:jc w:val="both"/>
        <w:rPr>
          <w:rFonts w:hint="default" w:ascii="Times New Roman" w:hAnsi="Times New Roman" w:cs="Times New Roman"/>
          <w:sz w:val="21"/>
          <w:szCs w:val="21"/>
        </w:rPr>
      </w:pPr>
      <w:r>
        <w:rPr>
          <w:rFonts w:hint="eastAsia" w:ascii="宋体" w:hAnsi="宋体" w:eastAsia="宋体" w:cs="宋体"/>
          <w:sz w:val="21"/>
          <w:szCs w:val="21"/>
        </w:rPr>
        <w:t>合同中同时包含多项单独租赁的，承租人和出租人将合同予以分拆，并分别各项单独租赁进行会计处理。合同中同时包含租赁和非租赁部分的，承租人和出租人将租赁和非租赁部分进行分拆。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1</w:t>
      </w:r>
      <w:r>
        <w:rPr>
          <w:rFonts w:hint="eastAsia" w:ascii="宋体" w:hAnsi="宋体" w:eastAsia="宋体" w:cs="宋体"/>
          <w:sz w:val="21"/>
          <w:szCs w:val="21"/>
        </w:rPr>
        <w:t>、本公司作为承租人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、使用权资产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使用权资产，是指本公司作为承租人可在租赁期内使用租赁资产的权利。在租赁期开始日，本公司作为承租人对租赁确认使用权资产和租赁负债，但简化处理的短期租赁和低价值资产租赁除外。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本公司的使用权资产按照成本进行初始计量，该成本包括：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租赁负债的初始计量金额；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在租赁期开始日或之前支付的租赁付款额，存在租赁激励的，扣除已享受的租赁激励相关金额；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c</w:t>
      </w:r>
      <w:r>
        <w:rPr>
          <w:rFonts w:hint="eastAsia" w:ascii="宋体" w:hAnsi="宋体" w:eastAsia="宋体" w:cs="宋体"/>
          <w:sz w:val="21"/>
          <w:szCs w:val="21"/>
        </w:rPr>
        <w:t>本公司作为承租人发生的初始直接费用；</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d</w:t>
      </w:r>
      <w:r>
        <w:rPr>
          <w:rFonts w:hint="eastAsia" w:ascii="宋体" w:hAnsi="宋体" w:eastAsia="宋体" w:cs="宋体"/>
          <w:sz w:val="21"/>
          <w:szCs w:val="21"/>
        </w:rPr>
        <w:t>本公司为拆卸及移除租赁资产、复原租赁资产所在场地或将租赁资产恢复至租赁条款约定状态预计将发生的成本。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采用平均年限法对使用权资产计提折旧。本公司能够合理确定租赁期届满时取得租赁资产所有权的，在租赁资产剩余使用寿命内计提折旧。无法合理确定租赁期届满时能够取得租赁资产所有权的，本公司在租赁期与租赁资产剩余使用寿命两者孰短的期间内计提折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本公司按照《企业会计准则第</w:t>
      </w:r>
      <w:r>
        <w:rPr>
          <w:rFonts w:hint="default" w:ascii="Times New Roman" w:hAnsi="Times New Roman" w:eastAsia="宋体" w:cs="Times New Roman"/>
          <w:sz w:val="21"/>
          <w:szCs w:val="21"/>
        </w:rPr>
        <w:t>8</w:t>
      </w:r>
      <w:r>
        <w:rPr>
          <w:rFonts w:hint="eastAsia" w:ascii="宋体" w:hAnsi="宋体" w:eastAsia="宋体" w:cs="宋体"/>
          <w:sz w:val="21"/>
          <w:szCs w:val="21"/>
        </w:rPr>
        <w:t>号——资产减值》的规定，确定使用权资产是否发生减值，并对已识别的减值损失进行会计处理。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本公司根据准则重新计量租赁负债时，相应调整使用权资产的账面价值。如使用权资产的账面价值已调减至零，但租赁负债仍需进一步调减的，将剩余金额计入当期损益。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、租赁负债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在租赁期开始日，本公司作为承租人对租赁确认使用权资产和租赁负债，但简化处理的短期租赁和低价值资产租赁除外。本公司的租赁负债按照租赁期开始日尚未支付的租赁付款额的现值进行初始计量。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在计算租赁付款额的现值时，本公司采用租赁内含利率作为折现率；无法确定租赁内含利率的，采用本公司（即承租人）增量借款利率作为折现率。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内含利率，是指使出租人的租赁收款额的现值与未担保余值的现值之和等于租赁资产公允价值与出租人的初始直接费用之和的利率。承租人增量借款利率，是指本公司作为承租人在类似经济环境下为获得与使用权资产价值接近的资产，在类似期间以类似抵押条件借入资金须支付的利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本公司按照固定的周期性利率计算租赁负债在租赁期内各期间的利息费用，并计入当期损益或资产成本。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在租赁期开始日后，本公司续租选择权、终止租赁选择权或购买选择权评估结果发生变化的，重新确定租赁付款额，并按变动后租赁付款额和修订后的折现率计算的现值重新计量租赁负债：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开始日后，根据担保余值预计的应付金额发生变动，或者因用于确定租赁付款额的指数或比率变动而导致未来租赁付款额发生变动的，本公司按照变动后租赁付款额的现值重新计量租赁负债。在这些情形下，本公司采用的折现率不变；但是，租赁付款额的变动源自浮动利率变动的，使用修订后的折现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C</w:t>
      </w:r>
      <w:r>
        <w:rPr>
          <w:rFonts w:hint="eastAsia" w:ascii="宋体" w:hAnsi="宋体" w:eastAsia="宋体" w:cs="宋体"/>
          <w:sz w:val="21"/>
          <w:szCs w:val="21"/>
        </w:rPr>
        <w:t>、短期租赁和低价值资产租赁</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 xml:space="preserve">本公司对短期租赁以及低价值资产租赁，选择不确认使用权资产和租赁负债。短期租赁，是指在租赁期开始日，租赁期不超过 </w:t>
      </w:r>
      <w:r>
        <w:rPr>
          <w:rFonts w:hint="default" w:ascii="Times New Roman" w:hAnsi="Times New Roman" w:eastAsia="宋体" w:cs="Times New Roman"/>
          <w:sz w:val="21"/>
          <w:szCs w:val="21"/>
        </w:rPr>
        <w:t xml:space="preserve">12 </w:t>
      </w:r>
      <w:r>
        <w:rPr>
          <w:rFonts w:hint="eastAsia" w:ascii="宋体" w:hAnsi="宋体" w:eastAsia="宋体" w:cs="宋体"/>
          <w:sz w:val="21"/>
          <w:szCs w:val="21"/>
        </w:rPr>
        <w:t>个月且不包含购买选择权的租赁。低价值资产租赁，是指单项租赁资产为全新资产时价值较低的租赁。本公司将短期租赁和低价值资产租赁的租赁付款额，在租赁期内各个期间按照直线法计入当期损益或相关资产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D</w:t>
      </w:r>
      <w:r>
        <w:rPr>
          <w:rFonts w:hint="eastAsia" w:ascii="宋体" w:hAnsi="宋体" w:eastAsia="宋体" w:cs="宋体"/>
          <w:sz w:val="21"/>
          <w:szCs w:val="21"/>
        </w:rPr>
        <w:t>、租赁变更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租赁发生变更且同时符合下列条件的，本公司将该租赁变更作为一项单独租赁进行会计处理：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、该租赁变更通过增加一项或多项租赁资产的使用权而扩大了租赁范围；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、增加的对价与租赁范围扩大部分的单独价格按该合同情况调整后的金额相当。</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租赁变更未作为一项单独租赁进行会计处理的，在租赁变更生效日，本公司重新分摊变更后合同的对价，重新确定租赁期，并按照变更后租赁付款额和修订后的折现率计算的现值重新计量租赁负债。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2</w:t>
      </w:r>
      <w:r>
        <w:rPr>
          <w:rFonts w:hint="eastAsia" w:ascii="宋体" w:hAnsi="宋体" w:eastAsia="宋体" w:cs="宋体"/>
          <w:sz w:val="21"/>
          <w:szCs w:val="21"/>
        </w:rPr>
        <w:t>、本公司作为出租人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、租赁的分类</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开始日，本公司作为出租人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、本公司作为出租人记录经营租赁业务</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内各个期间，本公司采用直线法将经营租赁的租赁收款额确认为租金收入。本公司发生的与经营租赁有关的初始直接费用于发生时予以资本化，在租赁期内按照与租金收入确认相同的基础进行分摊，分期计入当期损益。本公司取得的与经营租赁有关的未计入租赁收款额的可变租赁收款额，在实际发生时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C</w:t>
      </w:r>
      <w:r>
        <w:rPr>
          <w:rFonts w:hint="eastAsia" w:ascii="宋体" w:hAnsi="宋体" w:eastAsia="宋体" w:cs="宋体"/>
          <w:sz w:val="21"/>
          <w:szCs w:val="21"/>
        </w:rPr>
        <w:t>、融资租赁的会计处理方法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于租赁期开始日，本公司对融资租赁确认应收融资租赁款，并终止确认相关资产。本公司对应收融资租赁款进行初始计量时，将租赁投资净额作为应收融资租赁款的入账价值。租赁投资净额为未担保余值和租赁期开始日尚未收到的租赁收款额按照租赁内含利率折现的现值之和。</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固定的周期性利率计算并确认租赁期内各个期间的利息收入。应收融资租赁款的终止确认和减值按照本附注“（十）金融工具”进行会计处理。未纳入租赁投资净额计量的可变租赁付款额在实际发生时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作为生产商或经销商并作为出租人的融资租赁，在租赁期开始日，本公司按照租赁资产公允价值与租赁收款额按市场利率折现的现值两者孰低确认收入，并按照租赁资产账面价值扣除未担保余值的现值后的余额结转销售成本。本公司作为生产商或经销商并作为出租人为取得融资租赁发生的成本，在租赁期开始日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D</w:t>
      </w:r>
      <w:r>
        <w:rPr>
          <w:rFonts w:hint="eastAsia" w:ascii="宋体" w:hAnsi="宋体" w:eastAsia="宋体" w:cs="宋体"/>
          <w:sz w:val="21"/>
          <w:szCs w:val="21"/>
        </w:rPr>
        <w:t>租赁变更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本公司作为出租人的融资租赁发生变更且同时符合下列条件的，本公司将该变更作为一项单独租赁进行会计处理：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该变更通过增加一项或多项租赁资产的使用权而扩大了租赁范围；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增加的对价与租赁范围扩大部分的单独价格按该合同情况调整后的金额相当。</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融资租赁的变更未作为一项单独租赁进行会计处理的，本公司作为出租人分别下列情形对变更后的租赁进行处理：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假如变更在租赁开始日生效，该租赁会被分类为经营租赁的，本公司作为出租人自租赁变更生效日开始将其作为一项新租赁进行会计处理，并以租赁变更生效日前的租赁投资净额作为租赁资产的账面价值；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假如变更在租赁开始日生效，该租赁会被分类为融资租赁的，本公司作为出租人按照《企业会计准则第</w:t>
      </w:r>
      <w:r>
        <w:rPr>
          <w:rFonts w:hint="default" w:ascii="Times New Roman" w:hAnsi="Times New Roman" w:eastAsia="宋体" w:cs="Times New Roman"/>
          <w:sz w:val="21"/>
          <w:szCs w:val="21"/>
        </w:rPr>
        <w:t>22</w:t>
      </w:r>
      <w:r>
        <w:rPr>
          <w:rFonts w:hint="eastAsia" w:ascii="宋体" w:hAnsi="宋体" w:eastAsia="宋体" w:cs="宋体"/>
          <w:sz w:val="21"/>
          <w:szCs w:val="21"/>
        </w:rPr>
        <w:t>号——金融工具确认和计量》关于修改或重新议定合同的规定进行会计处理。即，修改或重新议定租赁合同，未导致应收融资租赁款终止确认</w:t>
      </w:r>
      <w:r>
        <w:rPr>
          <w:rFonts w:hint="default" w:ascii="Times New Roman" w:hAnsi="Times New Roman" w:eastAsia="宋体" w:cs="Times New Roman"/>
          <w:sz w:val="21"/>
          <w:szCs w:val="21"/>
        </w:rPr>
        <w:t>,</w:t>
      </w:r>
      <w:r>
        <w:rPr>
          <w:rFonts w:hint="eastAsia" w:ascii="宋体" w:hAnsi="宋体" w:eastAsia="宋体" w:cs="宋体"/>
          <w:sz w:val="21"/>
          <w:szCs w:val="21"/>
        </w:rPr>
        <w:t>但导致未来现金流量发生变化的，重新计算该应收融资租赁款的账面余额，并将相关利得或损失计入当期损益。重新计算应收融资租赁款账面余额时，根据重新议定或修改的租赁合同现金流量按照应收融资租赁款的原折现率或按照《企业会计准则第</w:t>
      </w:r>
      <w:r>
        <w:rPr>
          <w:rFonts w:hint="default" w:ascii="Times New Roman" w:hAnsi="Times New Roman" w:eastAsia="宋体" w:cs="Times New Roman"/>
          <w:sz w:val="21"/>
          <w:szCs w:val="21"/>
        </w:rPr>
        <w:t>24</w:t>
      </w:r>
      <w:r>
        <w:rPr>
          <w:rFonts w:hint="eastAsia" w:ascii="宋体" w:hAnsi="宋体" w:eastAsia="宋体" w:cs="宋体"/>
          <w:sz w:val="21"/>
          <w:szCs w:val="21"/>
        </w:rPr>
        <w:t>号一套期会计》</w:t>
      </w:r>
      <w:r>
        <w:rPr>
          <w:rFonts w:hint="default" w:ascii="Times New Roman" w:hAnsi="Times New Roman" w:eastAsia="宋体" w:cs="Times New Roman"/>
          <w:sz w:val="21"/>
          <w:szCs w:val="21"/>
        </w:rPr>
        <w:t>(2017)</w:t>
      </w:r>
      <w:r>
        <w:rPr>
          <w:rFonts w:hint="eastAsia" w:ascii="宋体" w:hAnsi="宋体" w:eastAsia="宋体" w:cs="宋体"/>
          <w:sz w:val="21"/>
          <w:szCs w:val="21"/>
        </w:rPr>
        <w:t>第二十三条规定重新计算的折现率</w:t>
      </w:r>
      <w:r>
        <w:rPr>
          <w:rFonts w:hint="default" w:ascii="Times New Roman" w:hAnsi="Times New Roman" w:eastAsia="宋体" w:cs="Times New Roman"/>
          <w:sz w:val="21"/>
          <w:szCs w:val="21"/>
        </w:rPr>
        <w:t>(</w:t>
      </w:r>
      <w:r>
        <w:rPr>
          <w:rFonts w:hint="eastAsia" w:ascii="宋体" w:hAnsi="宋体" w:eastAsia="宋体" w:cs="宋体"/>
          <w:sz w:val="21"/>
          <w:szCs w:val="21"/>
        </w:rPr>
        <w:t>如适用</w:t>
      </w:r>
      <w:r>
        <w:rPr>
          <w:rFonts w:hint="default" w:ascii="Times New Roman" w:hAnsi="Times New Roman" w:eastAsia="宋体" w:cs="Times New Roman"/>
          <w:sz w:val="21"/>
          <w:szCs w:val="21"/>
        </w:rPr>
        <w:t>)</w:t>
      </w:r>
      <w:r>
        <w:rPr>
          <w:rFonts w:hint="eastAsia" w:ascii="宋体" w:hAnsi="宋体" w:eastAsia="宋体" w:cs="宋体"/>
          <w:sz w:val="21"/>
          <w:szCs w:val="21"/>
        </w:rPr>
        <w:t>折现的现值确定。对于修改或重新议定租赁合同所产生的所有成本和费用，本公司调整修改后的应收融资租赁款的账面价值，并在修改后应收融资租赁款的剩余期限内进行摊销。</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本公司作为出租人的经营租赁发生变更的，本公司自变更生效日起将其作为一项新租赁进行会计处理，与变更前租赁有关的预收或应收租赁收款额视为新租赁的收款额。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3</w:t>
      </w:r>
      <w:r>
        <w:rPr>
          <w:rFonts w:hint="eastAsia" w:ascii="宋体" w:hAnsi="宋体" w:eastAsia="宋体" w:cs="宋体"/>
          <w:sz w:val="21"/>
          <w:szCs w:val="21"/>
        </w:rPr>
        <w:t>、售后租回交易</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本公司按照本附注“三、（三十三）收入”所述原则评估确定售后租回交易中的资产转让是否属于销售。</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  </w:t>
      </w:r>
      <w:r>
        <w:rPr>
          <w:rFonts w:hint="eastAsia" w:ascii="宋体" w:hAnsi="宋体" w:eastAsia="宋体" w:cs="宋体"/>
          <w:sz w:val="21"/>
          <w:szCs w:val="21"/>
        </w:rPr>
        <w:t>本公司作为卖方及承租人：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售后租回交易中的资产转让属于销售的，公司作为承租人按原资产账面价值中与租回获得的使用权有关的部分，计量售后租回所形成的使用权资产，并仅就转让至出租人的权利确认相关利得或损失；售后租回交易中的资产转让不属于销售的，公司作为承租人继续确认被转让资产，同时确认一项与转让收入等额的金融负债。金融负债的会计处理详见本附注“（十）金融工具”。</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  </w:t>
      </w:r>
      <w:r>
        <w:rPr>
          <w:rFonts w:hint="eastAsia" w:ascii="宋体" w:hAnsi="宋体" w:eastAsia="宋体" w:cs="宋体"/>
          <w:sz w:val="21"/>
          <w:szCs w:val="21"/>
        </w:rPr>
        <w:t>本公司作为买方及出租人</w:t>
      </w:r>
    </w:p>
    <w:p>
      <w:pPr>
        <w:pStyle w:val="2"/>
        <w:keepNext w:val="0"/>
        <w:keepLines w:val="0"/>
        <w:widowControl/>
        <w:suppressLineNumbers w:val="0"/>
        <w:spacing w:before="0" w:beforeAutospacing="0" w:after="0" w:afterAutospacing="0" w:line="360" w:lineRule="auto"/>
        <w:ind w:left="0" w:right="0" w:firstLine="545"/>
        <w:jc w:val="both"/>
        <w:rPr>
          <w:rFonts w:hint="default" w:ascii="Times New Roman" w:hAnsi="Times New Roman" w:cs="Times New Roman"/>
          <w:sz w:val="21"/>
          <w:szCs w:val="21"/>
        </w:rPr>
      </w:pPr>
      <w:r>
        <w:rPr>
          <w:rFonts w:hint="eastAsia" w:ascii="宋体" w:hAnsi="宋体" w:eastAsia="宋体" w:cs="宋体"/>
          <w:sz w:val="21"/>
          <w:szCs w:val="21"/>
        </w:rPr>
        <w:t>售后租回交易中的资产转让属于销售的，公司作为出租人对资产购买进行会计处理，并根据前述“（</w:t>
      </w:r>
      <w:r>
        <w:rPr>
          <w:rFonts w:hint="default" w:ascii="Times New Roman" w:hAnsi="Times New Roman" w:eastAsia="宋体" w:cs="Times New Roman"/>
          <w:sz w:val="21"/>
          <w:szCs w:val="21"/>
        </w:rPr>
        <w:t>2</w:t>
      </w:r>
      <w:r>
        <w:rPr>
          <w:rFonts w:hint="eastAsia" w:ascii="宋体" w:hAnsi="宋体" w:eastAsia="宋体" w:cs="宋体"/>
          <w:sz w:val="21"/>
          <w:szCs w:val="21"/>
        </w:rPr>
        <w:t>）本公司作为出租人”的政策对资产出租进行会计处理；售后租回交易中的资产转让不属于销售的，公司作为出租人不确认被转让资产，但确认一项与转让收入等额的金融资产。金融资产的会计处理详见本附注“（十）金融工具”。</w:t>
      </w:r>
    </w:p>
    <w:p>
      <w:pPr>
        <w:keepNext/>
        <w:keepLines/>
        <w:spacing w:before="300" w:after="300" w:line="280" w:lineRule="exact"/>
        <w:jc w:val="left"/>
        <w:outlineLvl w:val="3"/>
        <w:rPr>
          <w:rFonts w:ascii="宋体" w:hAnsi="宋体" w:eastAsia="宋体" w:cs="宋体"/>
          <w:b/>
          <w:bCs/>
          <w:sz w:val="21"/>
          <w:szCs w:val="21"/>
        </w:rPr>
      </w:pPr>
      <w:bookmarkStart w:id="68" w:name="_Toc989043"/>
      <w:r>
        <w:rPr>
          <w:rFonts w:ascii="宋体" w:hAnsi="宋体" w:eastAsia="宋体" w:cs="宋体"/>
          <w:b/>
          <w:bCs/>
          <w:sz w:val="21"/>
          <w:szCs w:val="21"/>
        </w:rPr>
        <w:t>（2） 融资租赁的会计处理方法</w:t>
      </w:r>
      <w:bookmarkEnd w:id="68"/>
    </w:p>
    <w:p>
      <w:pPr>
        <w:keepNext/>
        <w:keepLines/>
        <w:spacing w:before="300" w:after="300" w:line="280" w:lineRule="exact"/>
        <w:jc w:val="left"/>
        <w:outlineLvl w:val="2"/>
        <w:rPr>
          <w:rFonts w:ascii="宋体" w:hAnsi="宋体" w:eastAsia="宋体" w:cs="宋体"/>
          <w:b/>
          <w:bCs/>
          <w:sz w:val="21"/>
          <w:szCs w:val="21"/>
        </w:rPr>
      </w:pPr>
      <w:bookmarkStart w:id="69" w:name="_Toc989044"/>
      <w:r>
        <w:rPr>
          <w:rFonts w:ascii="宋体" w:hAnsi="宋体" w:eastAsia="宋体" w:cs="宋体"/>
          <w:b/>
          <w:bCs/>
          <w:sz w:val="21"/>
          <w:szCs w:val="21"/>
        </w:rPr>
        <w:t>43、其他重要的会计政策和会计估计</w:t>
      </w:r>
      <w:bookmarkEnd w:id="69"/>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Style w:val="5"/>
          <w:rFonts w:hint="eastAsia" w:ascii="宋体" w:hAnsi="宋体" w:eastAsia="宋体" w:cs="宋体"/>
          <w:sz w:val="21"/>
          <w:szCs w:val="21"/>
        </w:rPr>
        <w:t>1、股份回购</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股份回购中支付的对价和交易费用减少股东权益，回购、转让或注销本公司股份时，不确认利得或损失。</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转让库存股，按实际收到的金额与库存股账面金额的差额，计入资本公积，资本公积不足冲减的，冲减盈余公积和未分配利润。</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注销库存股，按股票面值和注销股数减少股本，按注销库存股的账面余额与面值的差额，冲减资本公积，资本公积不足冲减的，冲减盈余公积和未分配利润。</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Style w:val="5"/>
          <w:rFonts w:hint="eastAsia" w:ascii="宋体" w:hAnsi="宋体" w:eastAsia="宋体" w:cs="宋体"/>
          <w:sz w:val="21"/>
          <w:szCs w:val="21"/>
        </w:rPr>
        <w:t>2、债务重组</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债务重组，是指在不改变交易对手方的情况下，经债权人和债务人协定或法院裁定，就清偿债务的时间、金额或方式等重新达成协议的交易。</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（1）本公司作为债务人记录债务重组</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本公司以资产清偿债务的债务重组，在相关资产和所清偿债务符合终止确认条件时予以终止确认，所清偿债务账面价值与转让资产账面价值之间的差额计入当期损益。</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本公司将债务转为权益工具的债务重组，在所清偿债务符合终止确认条件时予以终止确认。初始确认权益工具时按照权益工具的公允价值计量，权益工具的公允价值不能可靠计量的，按照所清偿债务的公允价值计量。所清偿债务账面价值与权益工具确认金额之间的差额，计入当期损益。</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采用修改其他条款方式进行债务重组的，本公司按照《企业会计准则第 22 号——金融工具的确认和计量》、《企业会计准则第 37 号——金融工具列报》的规定，确认和计量重组债务。</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以多项资产清偿债务或者组合方式进行债务重组的，本公司按照前述方法确认和计量权益工具和重组债务，所清偿债务的账面价值与转让资产的账面价值以及权益工具和重组债务的确认金额之和的差额，计入当期损益。</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（2）本公司作为债权人记录债务重组</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债务人以资产清偿债务或者将债务转为权益工具方式进行债务重组的，本公司在相关资产符合其定义和确认条件时予以确认。</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债务人以资产清偿债务方式进行债务重组的，本公司初始确认受让的金融资产以外的资产时，应当按照下列原则以成本计量：①存货的成本，包括放弃债权的公允价值和使该资产达到当前位置和状态所发生的可直接归属于该资产的税金、运输费、装卸费、保险费等其他成本。②对联营企业或合营企业投资的成本，包括放弃债权的公允价值和可直接归属于该资产的税金等其他成本。③投资性房地产的成本，包括放弃债权的公允价值和可直接归属于该资产的税金等其他成本。④固定资产的成本，包括放弃债权的公允价值和使该资产达到预定可使用状态前所发生的可直接归属于该资产的税金、运输费、装卸费、安装费、专业人员服务费等其他成本。⑤生物资产的成本，包括放弃债权的公允价值和可直接归属于该资产的税金、运输费、保险费等其他成本。⑥无形资产的成本，包括放弃债权的公允价值和可直接归属于使该资产达到预定用途所发生的税金等其他成本。放弃债权的公允价值与账面价值之间的差额，应当计入当期损益。</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将债务转为权益工具的债务重组导致本公司将债权转为对联营企业或合营企业的权益性投资的，按照放弃债权的公允价值和可直接归属于该资产的税金等其他成本计量其初始投资成本。放弃债权的公允价值与账面价值之间的差额，计入当期损益。</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采用修改其他条款方式进行债务重组的，本公司按照《企业会计准则第 22 号——金融工具的确认和计量》的规定，确认和计量重组债权。</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采用多项资产清偿债务或者组合方式进行债务重组的，首先按照《企业会计准则第 22 号——金融工具的确认和计量》的规定确认和计量受让的金融资产和重组债权，然后按照受让的金融资产以外的各项资产的公允价值比例，对放弃债权的公允价值扣除受让金融资产和重组债权确认金额后的净额进行分配，并以此为基础按照前述方法分别确定各项资产的成本。放弃债权的公允价值与账面价值之间的差额，计入当期损益。</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Style w:val="5"/>
          <w:rFonts w:hint="eastAsia" w:ascii="宋体" w:hAnsi="宋体" w:eastAsia="宋体" w:cs="宋体"/>
          <w:sz w:val="21"/>
          <w:szCs w:val="21"/>
        </w:rPr>
        <w:t>3、非货币性资产交换</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如果非货币性资产交换具有商业实质，并且换入资产或换出资产的公允价值能够可靠地计量，本公司的非货币性资产交换以公允价值为基础计量。对于换入资产，本公司以换出资产的公允价值和应支付的相关税费作为换入资产的成本进行初始计量；对于换出资产，在终止确认时，将换出资产公允价值与账面价值的差额计入当期损益。有确凿证据表明换入资产的公允价值更加可靠的，对于换入资产，本公司以换入资产的公允价值和应支付的相关税费作为换入资产的初始计量金额；对于换出资产，在终止确认时，将换入资产的公允价值与换出资产账面价值之间的差额计入当期损益。涉及补价的，按照以下规定处理：①支付补价的，以换出资产的公允价值，加上支付补价的公允价值和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减去支付补价的公允价值，与换出资产账面价值之间的差额计入当期损益。②收到补价的，以换出资产的公允价值，减去收到补价的公允价值，加上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加上收到补价的公允价值，与换出资产账面价值之间的差额计入当期损益。</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不满足以公允价值为基础计量条件的非货币性资产交换，本公司以账面价值为基础计量。对于换入资产，以换出资产的账面价值和应支付的相关税费作为换入资产的初始计量金额；对于换出资产，终止确认时不确认损益。涉及补价的，应当按照下列规定进行处理：○1支付补价的，以换出资产的账面价值，加上支付补价的账面价值和应支付的相关税费，作为换入资产的初始计量金额，不确认损益。○2收到补价的，以换出资产的账面价值，减去收到补价的公允价值，加上应支付的相关税费，作为换入资产的初始计量金额，不确认损益。</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非货币性资产交换同时换入多项资产的，如果以公允价值为基础计量，本公司按照换入的金融资产以外的各项换入资产公允价值相对比例，将换出资产公允价值总额扣除换入金融资产公允价值后的净额进行分摊，以分摊至各项换入资产的金额，加上应支付的相关税费，作为各项换入资产的成本进行初始计量；有确凿证据表明换入资产的公允价值更加可靠的，本公司以各项换入资产的公允价值和应支付的相关税费作为各项换入资产的成本进行初始计量。非货币性资产交换以账面价值为基础计量的，按照各项换入资产的公允价值的相对比例，将换出资产的账面价值总额分摊至各项换入资产，加上应支付的相关税费，作为各项换入资产的初始计量金额。</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非货币性资产交换同时换出多项资产的，如果以公允价值为基础计量，本公司将各项换出资产的公允价值与其账面价值之间的差额，在各项换出资产终止确认时计入当期损益；有确凿证据表明换入资产的公允价值更加可靠的，按照各项换出资产的公允价值的相对比例，将换入资产的公允价值总额分摊至各项换出资产，分摊至各项换出资产的金额与各项换出资产账面价值之间的差额，在各项换出资产终止确认时计入当期损益。非货币性资产交换以账面价值为基础计量的，各项换出资产终止确认时均不确认损益。</w:t>
      </w:r>
    </w:p>
    <w:p>
      <w:pPr>
        <w:keepNext/>
        <w:keepLines/>
        <w:spacing w:before="300" w:after="300" w:line="280" w:lineRule="exact"/>
        <w:jc w:val="left"/>
        <w:outlineLvl w:val="2"/>
        <w:rPr>
          <w:rFonts w:ascii="宋体" w:hAnsi="宋体" w:eastAsia="宋体" w:cs="宋体"/>
          <w:b/>
          <w:bCs/>
          <w:sz w:val="21"/>
          <w:szCs w:val="21"/>
        </w:rPr>
      </w:pPr>
      <w:bookmarkStart w:id="70" w:name="_Toc989045"/>
      <w:r>
        <w:rPr>
          <w:rFonts w:ascii="宋体" w:hAnsi="宋体" w:eastAsia="宋体" w:cs="宋体"/>
          <w:b/>
          <w:bCs/>
          <w:sz w:val="21"/>
          <w:szCs w:val="21"/>
        </w:rPr>
        <w:t>44、重要会计政策和会计估计变更</w:t>
      </w:r>
      <w:bookmarkEnd w:id="70"/>
    </w:p>
    <w:p>
      <w:pPr>
        <w:keepNext/>
        <w:keepLines/>
        <w:spacing w:before="300" w:after="300" w:line="280" w:lineRule="exact"/>
        <w:jc w:val="left"/>
        <w:outlineLvl w:val="3"/>
        <w:rPr>
          <w:rFonts w:ascii="宋体" w:hAnsi="宋体" w:eastAsia="宋体" w:cs="宋体"/>
          <w:b/>
          <w:bCs/>
          <w:sz w:val="18"/>
          <w:szCs w:val="18"/>
        </w:rPr>
      </w:pPr>
      <w:bookmarkStart w:id="71" w:name="_Toc989046"/>
      <w:r>
        <w:rPr>
          <w:rFonts w:ascii="宋体" w:hAnsi="宋体" w:eastAsia="宋体" w:cs="宋体"/>
          <w:b/>
          <w:bCs/>
          <w:sz w:val="18"/>
          <w:szCs w:val="18"/>
        </w:rPr>
        <w:t>（1） 重要会计政策变更</w:t>
      </w:r>
      <w:bookmarkEnd w:id="71"/>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会计政策变更的内容和原因</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审批程序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财政部修订《企业会计准则第21号——租赁》</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2021年4月27日公司第四届董事会第二次会议决议、第四届监事会第二次会议决议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说明:</w:t>
      </w:r>
    </w:p>
    <w:p>
      <w:pPr>
        <w:pStyle w:val="2"/>
        <w:keepNext w:val="0"/>
        <w:keepLines w:val="0"/>
        <w:widowControl/>
        <w:suppressLineNumbers w:val="0"/>
        <w:spacing w:before="3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1）财政部于2018年度修订了《企业会计准则第21号——租赁》（简称“新租赁准则”），本公司自2021年1月1日起施行。根据准则规定，对于首次执行日（即2021年1月1日）前已存在的合同，本公司在首次执行日选择不重新评估其是否为租赁或者包含租赁。</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①本公司作为承租人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本公司选择根据首次执行新租赁准则的累积影响数，调整首次执行新租赁准则当年年初留存收益及财务报表其他相关项目金额，不调整可比期间信息。</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对于首次执行日前已存在的融资租赁，本公司在首次执行日按照融资租入资产和应付融资租赁款的原账面价值，分别计量使用权资产和租赁负债。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对于首次执行日前已存在的经营租赁，本公司在首次执行日根据剩余租赁付款额按首次执行日本公司的增量借款利率折现的现值计量租赁负债。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对首次执行日之前租赁资产属于低价值资产的经营租赁或将于12个月内完成的经营租赁，采用简化处理，未确认使用权资产和租赁负债。此外，本公司对于首次执行日之前的经营租赁，采用了下列简化处理：1)计量租赁负债时，具有相似特征的租赁采用同一折现率；使用权资产的计量不包含初始直接费用；2)存在续租选择权或终止租赁选择权的，本公司根据首次执行日前选择权的实际行使及其他最新情况确定租赁期，不对首次执行日前各期间是否合理确定行使续租选择权或终止租赁选择权进行估计；3)作为使用权资产减值测试的替代，本公司根据《企业会计准则第13号——或有事项》评估包含租赁的合同在首次执行日前是否为亏损合同，并根据首次执行日前计入资产负债表的亏损准备金额调整使用权资产；4)首次执行新租赁准则当年年初之前发生的租赁变更，本公司不进行追溯调整，根据租赁变更的最终安排，按照新租赁准则进行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②本公司作为出租人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首次执行日前划分为经营租赁且在首次执行日后仍存续的转租赁，本公司在首次执行日基于原租赁和转租赁的剩余合同期限和条款进行重新评估，并按照新租赁准则的规定进行分类。重分类为融资租赁的，本公司将其作为一项新的融资租赁进行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除转租赁外，本公司无需对其作为出租人的租赁调整首次执行新租赁准则当年期初留存收益及财务报表其他相关项目金额。本公司自首次执行日起按照新租赁准则进行会计处理。</w:t>
      </w:r>
    </w:p>
    <w:p>
      <w:pPr>
        <w:pStyle w:val="2"/>
        <w:keepNext w:val="0"/>
        <w:keepLines w:val="0"/>
        <w:widowControl/>
        <w:suppressLineNumbers w:val="0"/>
        <w:spacing w:before="0" w:beforeAutospacing="0" w:after="0" w:afterAutospacing="0" w:line="460" w:lineRule="atLeast"/>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（2）上述会计政策变更经本公司于 2021 年 4 月 27 日召开的第四届董事会第二次会议批准。</w:t>
      </w:r>
    </w:p>
    <w:p>
      <w:pPr>
        <w:pStyle w:val="2"/>
        <w:keepNext w:val="0"/>
        <w:keepLines w:val="0"/>
        <w:widowControl/>
        <w:suppressLineNumbers w:val="0"/>
        <w:spacing w:before="150" w:beforeAutospacing="0" w:after="150" w:afterAutospacing="0" w:line="460" w:lineRule="atLeast"/>
        <w:ind w:left="0" w:right="0" w:firstLine="436"/>
        <w:jc w:val="both"/>
        <w:rPr>
          <w:rFonts w:ascii="幼圆" w:hAnsi="幼圆" w:eastAsia="幼圆" w:cs="幼圆"/>
          <w:sz w:val="21"/>
          <w:szCs w:val="21"/>
        </w:rPr>
      </w:pPr>
      <w:r>
        <w:rPr>
          <w:rFonts w:hint="eastAsia" w:ascii="宋体" w:hAnsi="宋体" w:eastAsia="宋体" w:cs="宋体"/>
          <w:sz w:val="21"/>
          <w:szCs w:val="21"/>
        </w:rPr>
        <w:t>（3）首次执行新租赁准则调整首次执行当年年初财务报表相关项目情况：</w:t>
      </w:r>
    </w:p>
    <w:p>
      <w:pPr>
        <w:pStyle w:val="2"/>
        <w:keepNext w:val="0"/>
        <w:keepLines w:val="0"/>
        <w:widowControl/>
        <w:suppressLineNumbers w:val="0"/>
        <w:spacing w:before="150" w:beforeAutospacing="0" w:after="150" w:afterAutospacing="0" w:line="460" w:lineRule="atLeast"/>
        <w:ind w:left="0" w:right="0" w:firstLine="436"/>
        <w:jc w:val="both"/>
        <w:rPr>
          <w:rFonts w:hint="default" w:ascii="幼圆" w:hAnsi="幼圆" w:eastAsia="幼圆" w:cs="幼圆"/>
          <w:sz w:val="21"/>
          <w:szCs w:val="21"/>
        </w:rPr>
      </w:pPr>
      <w:r>
        <w:rPr>
          <w:rFonts w:hint="eastAsia" w:ascii="宋体" w:hAnsi="宋体" w:eastAsia="宋体" w:cs="宋体"/>
          <w:sz w:val="21"/>
          <w:szCs w:val="21"/>
        </w:rPr>
        <w:t>无</w:t>
      </w:r>
    </w:p>
    <w:p>
      <w:pPr>
        <w:keepNext/>
        <w:keepLines/>
        <w:spacing w:before="300" w:after="300" w:line="280" w:lineRule="exact"/>
        <w:jc w:val="left"/>
        <w:outlineLvl w:val="3"/>
        <w:rPr>
          <w:rFonts w:ascii="宋体" w:hAnsi="宋体" w:eastAsia="宋体" w:cs="宋体"/>
          <w:b/>
          <w:bCs/>
          <w:sz w:val="18"/>
          <w:szCs w:val="18"/>
        </w:rPr>
      </w:pPr>
      <w:bookmarkStart w:id="72" w:name="_Toc989047"/>
      <w:r>
        <w:rPr>
          <w:rFonts w:ascii="宋体" w:hAnsi="宋体" w:eastAsia="宋体" w:cs="宋体"/>
          <w:b/>
          <w:bCs/>
          <w:sz w:val="18"/>
          <w:szCs w:val="18"/>
        </w:rPr>
        <w:t>（2） 重要会计估计变更</w:t>
      </w:r>
      <w:bookmarkEnd w:id="72"/>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73" w:name="_Toc989048"/>
      <w:r>
        <w:rPr>
          <w:rFonts w:ascii="宋体" w:hAnsi="宋体" w:eastAsia="宋体" w:cs="宋体"/>
          <w:b/>
          <w:bCs/>
          <w:sz w:val="21"/>
          <w:szCs w:val="21"/>
        </w:rPr>
        <w:t>45、其他</w:t>
      </w:r>
      <w:bookmarkEnd w:id="73"/>
    </w:p>
    <w:p>
      <w:pPr>
        <w:pStyle w:val="2"/>
        <w:keepNext w:val="0"/>
        <w:keepLines w:val="0"/>
        <w:widowControl/>
        <w:suppressLineNumbers w:val="0"/>
      </w:pPr>
      <w:r>
        <w:rPr>
          <w:rFonts w:hint="eastAsia" w:ascii="宋体" w:hAnsi="宋体" w:eastAsia="宋体" w:cs="宋体"/>
          <w:sz w:val="18"/>
          <w:szCs w:val="18"/>
        </w:rPr>
        <w:t>无</w:t>
      </w:r>
    </w:p>
    <w:p>
      <w:pPr>
        <w:keepNext/>
        <w:keepLines/>
        <w:spacing w:before="300" w:after="300" w:line="320" w:lineRule="exact"/>
        <w:jc w:val="left"/>
        <w:outlineLvl w:val="1"/>
        <w:rPr>
          <w:rFonts w:ascii="宋体" w:hAnsi="宋体" w:eastAsia="宋体" w:cs="宋体"/>
          <w:b/>
          <w:bCs/>
          <w:sz w:val="24"/>
          <w:szCs w:val="24"/>
        </w:rPr>
      </w:pPr>
      <w:bookmarkStart w:id="74" w:name="_Toc989049"/>
      <w:r>
        <w:rPr>
          <w:rFonts w:ascii="宋体" w:hAnsi="宋体" w:eastAsia="宋体" w:cs="宋体"/>
          <w:b/>
          <w:bCs/>
          <w:sz w:val="24"/>
          <w:szCs w:val="24"/>
        </w:rPr>
        <w:t>六、税项</w:t>
      </w:r>
      <w:bookmarkEnd w:id="74"/>
    </w:p>
    <w:p>
      <w:pPr>
        <w:keepNext/>
        <w:keepLines/>
        <w:spacing w:before="300" w:after="300" w:line="280" w:lineRule="exact"/>
        <w:jc w:val="left"/>
        <w:outlineLvl w:val="2"/>
        <w:rPr>
          <w:rFonts w:ascii="宋体" w:hAnsi="宋体" w:eastAsia="宋体" w:cs="宋体"/>
          <w:b/>
          <w:bCs/>
          <w:sz w:val="21"/>
          <w:szCs w:val="21"/>
        </w:rPr>
      </w:pPr>
      <w:bookmarkStart w:id="75" w:name="_Toc989050"/>
      <w:r>
        <w:rPr>
          <w:rFonts w:ascii="宋体" w:hAnsi="宋体" w:eastAsia="宋体" w:cs="宋体"/>
          <w:b/>
          <w:bCs/>
          <w:sz w:val="21"/>
          <w:szCs w:val="21"/>
        </w:rPr>
        <w:t>1、主要税种及税率</w:t>
      </w:r>
      <w:bookmarkEnd w:id="75"/>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计税依据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应纳税收入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13%、9%、6%、5%、3%、1%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应交流转税额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应纳税所得额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15%、20%、25%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应交流转税额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地方教育费附加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应交流转税额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存在不同企业所得税税率纳税主体的，披露情况说明</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纳税主体名称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所得税税率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青岛伟隆流体设备有限公司、海南伟隆投资有限公司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青岛伟隆五金机械有限公司、青岛卓信检测技术有限公司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2021年1月1日至2022年12月31日，对小型微利企业年应纳税所得额不超过100万元的部分，减按12.5%计入应纳税所得额，按20%的税率缴纳企业所得税；对年应纳税所得额超过100万元但不超过300万元的部分，减按50%计入应纳税所得额，按20%的税率缴纳企业所得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 VALVE LLC（美国公司）、偉隆（香港）實業有限公司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超额累进税率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青岛伟隆阀门股份有限公司、莱州伟隆阀门有限公司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15%</w:t>
            </w:r>
          </w:p>
        </w:tc>
      </w:tr>
    </w:tbl>
    <w:p>
      <w:pPr>
        <w:keepNext/>
        <w:keepLines/>
        <w:spacing w:before="300" w:after="300" w:line="280" w:lineRule="exact"/>
        <w:jc w:val="left"/>
        <w:outlineLvl w:val="2"/>
        <w:rPr>
          <w:rFonts w:ascii="宋体" w:hAnsi="宋体" w:eastAsia="宋体" w:cs="宋体"/>
          <w:b/>
          <w:bCs/>
          <w:sz w:val="21"/>
          <w:szCs w:val="21"/>
        </w:rPr>
      </w:pPr>
      <w:bookmarkStart w:id="76" w:name="_Toc989051"/>
      <w:r>
        <w:rPr>
          <w:rFonts w:ascii="宋体" w:hAnsi="宋体" w:eastAsia="宋体" w:cs="宋体"/>
          <w:b/>
          <w:bCs/>
          <w:sz w:val="21"/>
          <w:szCs w:val="21"/>
        </w:rPr>
        <w:t>2、税收优惠</w:t>
      </w:r>
      <w:bookmarkEnd w:id="76"/>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公司2021年进行高新技术企业重新认定，2021年12月14日，取得编号为GR202137101903的高新技术企业证书，自2021至2023年度执行15%的企业所得税率。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公司子公司莱州伟隆阀门有限公司2019年11月28日被认定为高新技术企业，取得编号为GR201937000844的高新技术企业证书，自2019至2021年度执行15%的企业所得税率。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shd w:val="clear" w:fill="FFFFFF"/>
        </w:rPr>
        <w:t>根据《</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"http://www.shui5.cn/article/23/112760.html" </w:instrText>
      </w:r>
      <w:r>
        <w:rPr>
          <w:rFonts w:hint="default" w:ascii="Times New Roman" w:hAnsi="Times New Roman" w:eastAsia="宋体" w:cs="Times New Roman"/>
          <w:sz w:val="21"/>
          <w:szCs w:val="21"/>
        </w:rPr>
        <w:fldChar w:fldCharType="separate"/>
      </w:r>
      <w:r>
        <w:rPr>
          <w:rStyle w:val="6"/>
          <w:rFonts w:hint="eastAsia" w:ascii="宋体" w:hAnsi="宋体" w:eastAsia="宋体" w:cs="宋体"/>
          <w:sz w:val="21"/>
          <w:szCs w:val="21"/>
          <w:shd w:val="clear" w:fill="FFFFFF"/>
        </w:rPr>
        <w:t>国家税务总局关于实施高新技术企业所得税优惠政策有关问题的公告</w:t>
      </w:r>
      <w:r>
        <w:rPr>
          <w:rFonts w:hint="default" w:ascii="Times New Roman" w:hAnsi="Times New Roman" w:eastAsia="宋体" w:cs="Times New Roman"/>
          <w:sz w:val="21"/>
          <w:szCs w:val="21"/>
        </w:rPr>
        <w:fldChar w:fldCharType="end"/>
      </w:r>
      <w:r>
        <w:rPr>
          <w:rFonts w:hint="eastAsia" w:ascii="宋体" w:hAnsi="宋体" w:eastAsia="宋体" w:cs="宋体"/>
          <w:sz w:val="21"/>
          <w:szCs w:val="21"/>
          <w:shd w:val="clear" w:fill="FFFFFF"/>
        </w:rPr>
        <w:t>》（</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"http://www.shui5.cn/article/23/112760.html" </w:instrText>
      </w:r>
      <w:r>
        <w:rPr>
          <w:rFonts w:hint="default" w:ascii="Times New Roman" w:hAnsi="Times New Roman" w:eastAsia="宋体" w:cs="Times New Roman"/>
          <w:sz w:val="21"/>
          <w:szCs w:val="21"/>
        </w:rPr>
        <w:fldChar w:fldCharType="separate"/>
      </w:r>
      <w:r>
        <w:rPr>
          <w:rStyle w:val="6"/>
          <w:rFonts w:hint="eastAsia" w:ascii="宋体" w:hAnsi="宋体" w:eastAsia="宋体" w:cs="宋体"/>
          <w:sz w:val="21"/>
          <w:szCs w:val="21"/>
          <w:shd w:val="clear" w:fill="FFFFFF"/>
        </w:rPr>
        <w:t>国家税务总局公告</w:t>
      </w:r>
      <w:r>
        <w:rPr>
          <w:rStyle w:val="6"/>
          <w:rFonts w:hint="default" w:ascii="Times New Roman" w:hAnsi="Times New Roman" w:eastAsia="宋体" w:cs="Times New Roman"/>
          <w:sz w:val="21"/>
          <w:szCs w:val="21"/>
          <w:shd w:val="clear" w:fill="FFFFFF"/>
        </w:rPr>
        <w:t>2017</w:t>
      </w:r>
      <w:r>
        <w:rPr>
          <w:rStyle w:val="6"/>
          <w:rFonts w:hint="eastAsia" w:ascii="宋体" w:hAnsi="宋体" w:eastAsia="宋体" w:cs="宋体"/>
          <w:sz w:val="21"/>
          <w:szCs w:val="21"/>
          <w:shd w:val="clear" w:fill="FFFFFF"/>
        </w:rPr>
        <w:t>年第</w:t>
      </w:r>
      <w:r>
        <w:rPr>
          <w:rStyle w:val="6"/>
          <w:rFonts w:hint="default" w:ascii="Times New Roman" w:hAnsi="Times New Roman" w:eastAsia="宋体" w:cs="Times New Roman"/>
          <w:sz w:val="21"/>
          <w:szCs w:val="21"/>
          <w:shd w:val="clear" w:fill="FFFFFF"/>
        </w:rPr>
        <w:t>24</w:t>
      </w:r>
      <w:r>
        <w:rPr>
          <w:rStyle w:val="6"/>
          <w:rFonts w:hint="eastAsia" w:ascii="宋体" w:hAnsi="宋体" w:eastAsia="宋体" w:cs="宋体"/>
          <w:sz w:val="21"/>
          <w:szCs w:val="21"/>
          <w:shd w:val="clear" w:fill="FFFFFF"/>
        </w:rPr>
        <w:t>号</w:t>
      </w:r>
      <w:r>
        <w:rPr>
          <w:rFonts w:hint="default" w:ascii="Times New Roman" w:hAnsi="Times New Roman" w:eastAsia="宋体" w:cs="Times New Roman"/>
          <w:sz w:val="21"/>
          <w:szCs w:val="21"/>
        </w:rPr>
        <w:fldChar w:fldCharType="end"/>
      </w:r>
      <w:r>
        <w:rPr>
          <w:rFonts w:hint="eastAsia" w:ascii="宋体" w:hAnsi="宋体" w:eastAsia="宋体" w:cs="宋体"/>
          <w:color w:val="333333"/>
          <w:sz w:val="21"/>
          <w:szCs w:val="21"/>
          <w:shd w:val="clear" w:fill="FFFFFF"/>
        </w:rPr>
        <w:t>）的规定，企业的高新技术企业资格期满当年，在通过重新认定前，其企业所得税暂按</w:t>
      </w:r>
      <w:r>
        <w:rPr>
          <w:rFonts w:hint="default" w:ascii="Times New Roman" w:hAnsi="Times New Roman" w:eastAsia="宋体" w:cs="Times New Roman"/>
          <w:color w:val="333333"/>
          <w:sz w:val="21"/>
          <w:szCs w:val="21"/>
          <w:shd w:val="clear" w:fill="FFFFFF"/>
        </w:rPr>
        <w:t>15%</w:t>
      </w:r>
      <w:r>
        <w:rPr>
          <w:rFonts w:hint="eastAsia" w:ascii="宋体" w:hAnsi="宋体" w:eastAsia="宋体" w:cs="宋体"/>
          <w:color w:val="333333"/>
          <w:sz w:val="21"/>
          <w:szCs w:val="21"/>
          <w:shd w:val="clear" w:fill="FFFFFF"/>
        </w:rPr>
        <w:t>的税率预缴，在年底前仍未取得高新技术企业资格的，应按规定补缴相应期间的税款</w:t>
      </w:r>
      <w:r>
        <w:rPr>
          <w:rFonts w:hint="eastAsia" w:ascii="宋体" w:hAnsi="宋体" w:eastAsia="宋体" w:cs="宋体"/>
          <w:sz w:val="21"/>
          <w:szCs w:val="21"/>
        </w:rPr>
        <w:t>。</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国家税务总局关于小规模纳税人免征增值税政策有关征管问题的公告》（国家税务总局公告2022年第6号）“一、小规模纳税人发生增值税应税销售行为，合计月销售额未超过15万元（以1个季度为1个纳税期的，季度销售额未超过45万元）的，免征增值税。” 公司子公司青岛伟隆五金机械有限公司免征增值税。</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青财税（2022）1号</w:t>
      </w:r>
      <w:r>
        <w:rPr>
          <w:rFonts w:hint="eastAsia" w:ascii="宋体" w:hAnsi="宋体" w:eastAsia="宋体" w:cs="宋体"/>
          <w:spacing w:val="8"/>
          <w:sz w:val="21"/>
          <w:szCs w:val="21"/>
          <w:shd w:val="clear" w:fill="FFFFFF"/>
        </w:rPr>
        <w:t>《青岛市财政局国家税务总局青岛市税务局关于明确疫情期间城镇土地使用税、房产税困难减免税政策的通知》（青财税〔2020〕5号）和《青岛市财政局国家税务总局青岛市税务局关于继续延续实施城镇土地使用税、房产税减免政策的通知》（青财税〔2021〕7号）中规定增值税小规模纳税人免征城镇土地使用税、房产税的期限，延长至2022年12月31日。</w:t>
      </w:r>
      <w:r>
        <w:rPr>
          <w:rFonts w:hint="eastAsia" w:ascii="宋体" w:hAnsi="宋体" w:eastAsia="宋体" w:cs="宋体"/>
          <w:sz w:val="21"/>
          <w:szCs w:val="21"/>
        </w:rPr>
        <w:t>公司子公司青岛伟隆五金机械有限公司免征</w:t>
      </w:r>
      <w:r>
        <w:rPr>
          <w:rFonts w:hint="eastAsia" w:ascii="宋体" w:hAnsi="宋体" w:eastAsia="宋体" w:cs="宋体"/>
          <w:spacing w:val="8"/>
          <w:sz w:val="21"/>
          <w:szCs w:val="21"/>
          <w:shd w:val="clear" w:fill="FFFFFF"/>
        </w:rPr>
        <w:t>土地使用税、房产税。</w:t>
      </w:r>
    </w:p>
    <w:p>
      <w:pPr>
        <w:keepNext/>
        <w:keepLines/>
        <w:spacing w:before="300" w:after="300" w:line="280" w:lineRule="exact"/>
        <w:jc w:val="left"/>
        <w:outlineLvl w:val="2"/>
        <w:rPr>
          <w:rFonts w:ascii="宋体" w:hAnsi="宋体" w:eastAsia="宋体" w:cs="宋体"/>
          <w:b/>
          <w:bCs/>
          <w:sz w:val="21"/>
          <w:szCs w:val="21"/>
        </w:rPr>
      </w:pPr>
      <w:bookmarkStart w:id="77" w:name="_Toc989052"/>
      <w:r>
        <w:rPr>
          <w:rFonts w:ascii="宋体" w:hAnsi="宋体" w:eastAsia="宋体" w:cs="宋体"/>
          <w:b/>
          <w:bCs/>
          <w:sz w:val="21"/>
          <w:szCs w:val="21"/>
        </w:rPr>
        <w:t>3、其他</w:t>
      </w:r>
      <w:bookmarkEnd w:id="77"/>
    </w:p>
    <w:p>
      <w:pPr>
        <w:keepNext/>
        <w:keepLines/>
        <w:spacing w:before="300" w:after="300" w:line="320" w:lineRule="exact"/>
        <w:jc w:val="left"/>
        <w:outlineLvl w:val="1"/>
        <w:rPr>
          <w:rFonts w:ascii="宋体" w:hAnsi="宋体" w:eastAsia="宋体" w:cs="宋体"/>
          <w:b/>
          <w:bCs/>
          <w:sz w:val="24"/>
          <w:szCs w:val="24"/>
        </w:rPr>
      </w:pPr>
      <w:bookmarkStart w:id="78" w:name="_Toc989053"/>
      <w:r>
        <w:rPr>
          <w:rFonts w:ascii="宋体" w:hAnsi="宋体" w:eastAsia="宋体" w:cs="宋体"/>
          <w:b/>
          <w:bCs/>
          <w:sz w:val="24"/>
          <w:szCs w:val="24"/>
        </w:rPr>
        <w:t>七、合并财务报表项目注释</w:t>
      </w:r>
      <w:bookmarkEnd w:id="78"/>
    </w:p>
    <w:p>
      <w:pPr>
        <w:keepNext/>
        <w:keepLines/>
        <w:spacing w:before="300" w:after="300" w:line="280" w:lineRule="exact"/>
        <w:jc w:val="left"/>
        <w:outlineLvl w:val="2"/>
        <w:rPr>
          <w:rFonts w:ascii="宋体" w:hAnsi="宋体" w:eastAsia="宋体" w:cs="宋体"/>
          <w:b/>
          <w:bCs/>
          <w:sz w:val="21"/>
          <w:szCs w:val="21"/>
        </w:rPr>
      </w:pPr>
      <w:bookmarkStart w:id="79" w:name="_Toc989054"/>
      <w:r>
        <w:rPr>
          <w:rFonts w:ascii="宋体" w:hAnsi="宋体" w:eastAsia="宋体" w:cs="宋体"/>
          <w:b/>
          <w:bCs/>
          <w:sz w:val="21"/>
          <w:szCs w:val="21"/>
        </w:rPr>
        <w:t>1、货币资金</w:t>
      </w:r>
      <w:bookmarkEnd w:id="7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255,358.54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1,416,007.24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90,484,433.37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79,575,561.48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11,680,331.03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15,525,084.25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102,420,122.94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96,516,652.97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（2）其他货币资金按明细项目列示：</w:t>
      </w:r>
    </w:p>
    <w:tbl>
      <w:tblPr>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753"/>
        <w:gridCol w:w="2916"/>
        <w:gridCol w:w="3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1" w:hRule="atLeast"/>
        </w:trPr>
        <w:tc>
          <w:tcPr>
            <w:tcW w:w="297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项   目</w:t>
            </w:r>
          </w:p>
        </w:tc>
        <w:tc>
          <w:tcPr>
            <w:tcW w:w="264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期末余额</w:t>
            </w:r>
          </w:p>
        </w:tc>
        <w:tc>
          <w:tcPr>
            <w:tcW w:w="330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1" w:hRule="atLeast"/>
        </w:trPr>
        <w:tc>
          <w:tcPr>
            <w:tcW w:w="29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银行承兑汇票保证金</w:t>
            </w:r>
          </w:p>
        </w:tc>
        <w:tc>
          <w:tcPr>
            <w:tcW w:w="264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11,675,424.73 </w:t>
            </w:r>
          </w:p>
        </w:tc>
        <w:tc>
          <w:tcPr>
            <w:tcW w:w="33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15,520,177.95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29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保函保证金</w:t>
            </w:r>
          </w:p>
        </w:tc>
        <w:tc>
          <w:tcPr>
            <w:tcW w:w="264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4,906.30 </w:t>
            </w:r>
          </w:p>
        </w:tc>
        <w:tc>
          <w:tcPr>
            <w:tcW w:w="33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4,906.30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29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合计</w:t>
            </w:r>
          </w:p>
        </w:tc>
        <w:tc>
          <w:tcPr>
            <w:tcW w:w="264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 xml:space="preserve">   11,680,331.03 </w:t>
            </w:r>
          </w:p>
        </w:tc>
        <w:tc>
          <w:tcPr>
            <w:tcW w:w="33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 xml:space="preserve">   15,525,084.25 </w:t>
            </w:r>
          </w:p>
        </w:tc>
      </w:tr>
    </w:tbl>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（3）因抵押、质押或冻结等对使用有限制的货币资金明细如下：</w:t>
      </w:r>
    </w:p>
    <w:tbl>
      <w:tblPr>
        <w:tblW w:w="4915"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167"/>
        <w:gridCol w:w="3258"/>
        <w:gridCol w:w="325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635" w:type="pct"/>
            <w:tcBorders>
              <w:top w:val="single" w:color="auto" w:sz="8" w:space="0"/>
              <w:left w:val="single" w:color="auto" w:sz="8" w:space="0"/>
              <w:bottom w:val="single" w:color="auto" w:sz="8" w:space="0"/>
              <w:right w:val="single" w:color="auto" w:sz="8" w:space="0"/>
            </w:tcBorders>
            <w:shd w:val="clear"/>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firstLine="1003"/>
              <w:jc w:val="both"/>
              <w:rPr>
                <w:rFonts w:hint="default" w:ascii="Times New Roman" w:hAnsi="Times New Roman" w:cs="Times New Roman"/>
                <w:sz w:val="21"/>
                <w:szCs w:val="21"/>
              </w:rPr>
            </w:pPr>
            <w:r>
              <w:rPr>
                <w:rStyle w:val="5"/>
                <w:rFonts w:hint="eastAsia" w:ascii="宋体" w:hAnsi="宋体" w:eastAsia="宋体" w:cs="宋体"/>
                <w:sz w:val="18"/>
                <w:szCs w:val="18"/>
              </w:rPr>
              <w:t>项目</w:t>
            </w:r>
          </w:p>
        </w:tc>
        <w:tc>
          <w:tcPr>
            <w:tcW w:w="1682" w:type="pct"/>
            <w:tcBorders>
              <w:top w:val="single" w:color="auto" w:sz="8" w:space="0"/>
              <w:left w:val="nil"/>
              <w:bottom w:val="single" w:color="auto" w:sz="8" w:space="0"/>
              <w:right w:val="single" w:color="auto" w:sz="8" w:space="0"/>
            </w:tcBorders>
            <w:shd w:val="clear"/>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期末余额</w:t>
            </w:r>
          </w:p>
        </w:tc>
        <w:tc>
          <w:tcPr>
            <w:tcW w:w="1682" w:type="pct"/>
            <w:tcBorders>
              <w:top w:val="single" w:color="auto" w:sz="8" w:space="0"/>
              <w:left w:val="nil"/>
              <w:bottom w:val="single" w:color="auto" w:sz="8" w:space="0"/>
              <w:right w:val="single" w:color="auto" w:sz="8" w:space="0"/>
            </w:tcBorders>
            <w:shd w:val="clear"/>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期初余额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635" w:type="pct"/>
            <w:tcBorders>
              <w:top w:val="nil"/>
              <w:left w:val="single" w:color="auto" w:sz="8" w:space="0"/>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pacing w:val="4"/>
                <w:sz w:val="18"/>
                <w:szCs w:val="18"/>
              </w:rPr>
              <w:t>银行承兑汇票保证金</w:t>
            </w:r>
          </w:p>
        </w:tc>
        <w:tc>
          <w:tcPr>
            <w:tcW w:w="1682" w:type="pct"/>
            <w:tcBorders>
              <w:top w:val="nil"/>
              <w:left w:val="nil"/>
              <w:bottom w:val="single" w:color="auto" w:sz="8" w:space="0"/>
              <w:right w:val="single" w:color="auto" w:sz="8" w:space="0"/>
            </w:tcBorders>
            <w:shd w:val="clear"/>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11,675,424.73 </w:t>
            </w:r>
          </w:p>
        </w:tc>
        <w:tc>
          <w:tcPr>
            <w:tcW w:w="1682" w:type="pct"/>
            <w:tcBorders>
              <w:top w:val="nil"/>
              <w:left w:val="nil"/>
              <w:bottom w:val="single" w:color="auto" w:sz="8" w:space="0"/>
              <w:right w:val="single" w:color="auto" w:sz="8" w:space="0"/>
            </w:tcBorders>
            <w:shd w:val="clear"/>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15,520,177.95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635" w:type="pct"/>
            <w:tcBorders>
              <w:top w:val="nil"/>
              <w:left w:val="single" w:color="auto" w:sz="8" w:space="0"/>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pacing w:val="4"/>
                <w:sz w:val="18"/>
                <w:szCs w:val="18"/>
              </w:rPr>
              <w:t>保函保证金</w:t>
            </w:r>
          </w:p>
        </w:tc>
        <w:tc>
          <w:tcPr>
            <w:tcW w:w="1682" w:type="pct"/>
            <w:tcBorders>
              <w:top w:val="nil"/>
              <w:left w:val="nil"/>
              <w:bottom w:val="single" w:color="auto" w:sz="8" w:space="0"/>
              <w:right w:val="single" w:color="auto" w:sz="8" w:space="0"/>
            </w:tcBorders>
            <w:shd w:val="clear"/>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4,906.30 </w:t>
            </w:r>
          </w:p>
        </w:tc>
        <w:tc>
          <w:tcPr>
            <w:tcW w:w="1682" w:type="pct"/>
            <w:tcBorders>
              <w:top w:val="nil"/>
              <w:left w:val="nil"/>
              <w:bottom w:val="single" w:color="auto" w:sz="8" w:space="0"/>
              <w:right w:val="single" w:color="auto" w:sz="8" w:space="0"/>
            </w:tcBorders>
            <w:shd w:val="clear"/>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4,906.30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635" w:type="pct"/>
            <w:tcBorders>
              <w:top w:val="nil"/>
              <w:left w:val="single" w:color="auto" w:sz="8" w:space="0"/>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合计</w:t>
            </w:r>
          </w:p>
        </w:tc>
        <w:tc>
          <w:tcPr>
            <w:tcW w:w="1682" w:type="pct"/>
            <w:tcBorders>
              <w:top w:val="nil"/>
              <w:left w:val="nil"/>
              <w:bottom w:val="single" w:color="auto" w:sz="8" w:space="0"/>
              <w:right w:val="single" w:color="auto" w:sz="8" w:space="0"/>
            </w:tcBorders>
            <w:shd w:val="clear"/>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 xml:space="preserve">   11,680,331.03 </w:t>
            </w:r>
          </w:p>
        </w:tc>
        <w:tc>
          <w:tcPr>
            <w:tcW w:w="1682" w:type="pct"/>
            <w:tcBorders>
              <w:top w:val="nil"/>
              <w:left w:val="nil"/>
              <w:bottom w:val="single" w:color="auto" w:sz="8" w:space="0"/>
              <w:right w:val="single" w:color="auto" w:sz="8" w:space="0"/>
            </w:tcBorders>
            <w:shd w:val="clear"/>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 xml:space="preserve">   15,525,084.25 </w:t>
            </w:r>
          </w:p>
        </w:tc>
      </w:tr>
    </w:tbl>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除上述款项,报告期内无其他因抵押、质押或冻结等对使用有限制、存放在境外、有潜在回收风险的款项。</w:t>
      </w:r>
    </w:p>
    <w:p>
      <w:pPr>
        <w:keepNext/>
        <w:keepLines/>
        <w:spacing w:before="300" w:after="300" w:line="280" w:lineRule="exact"/>
        <w:jc w:val="left"/>
        <w:outlineLvl w:val="2"/>
        <w:rPr>
          <w:rFonts w:ascii="宋体" w:hAnsi="宋体" w:eastAsia="宋体" w:cs="宋体"/>
          <w:b/>
          <w:bCs/>
          <w:sz w:val="21"/>
          <w:szCs w:val="21"/>
        </w:rPr>
      </w:pPr>
      <w:bookmarkStart w:id="80" w:name="_Toc989055"/>
      <w:r>
        <w:rPr>
          <w:rFonts w:ascii="宋体" w:hAnsi="宋体" w:eastAsia="宋体" w:cs="宋体"/>
          <w:b/>
          <w:bCs/>
          <w:sz w:val="21"/>
          <w:szCs w:val="21"/>
        </w:rPr>
        <w:t>2、交易性金融资产</w:t>
      </w:r>
      <w:bookmarkEnd w:id="8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以公允价值计量且其变动计入当期损益的金融资产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263,634,916.19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理财类产品</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263,634,916.19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263,634,916.19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81" w:name="_Toc989056"/>
      <w:r>
        <w:rPr>
          <w:rFonts w:ascii="宋体" w:hAnsi="宋体" w:eastAsia="宋体" w:cs="宋体"/>
          <w:b/>
          <w:bCs/>
          <w:sz w:val="21"/>
          <w:szCs w:val="21"/>
        </w:rPr>
        <w:t>3、衍生金融资产</w:t>
      </w:r>
      <w:bookmarkEnd w:id="8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82" w:name="_Toc989057"/>
      <w:r>
        <w:rPr>
          <w:rFonts w:ascii="宋体" w:hAnsi="宋体" w:eastAsia="宋体" w:cs="宋体"/>
          <w:b/>
          <w:bCs/>
          <w:sz w:val="21"/>
          <w:szCs w:val="21"/>
        </w:rPr>
        <w:t>4、应收票据</w:t>
      </w:r>
      <w:bookmarkEnd w:id="82"/>
    </w:p>
    <w:p>
      <w:pPr>
        <w:keepNext/>
        <w:keepLines/>
        <w:spacing w:before="300" w:after="300" w:line="280" w:lineRule="exact"/>
        <w:jc w:val="left"/>
        <w:outlineLvl w:val="3"/>
        <w:rPr>
          <w:rFonts w:ascii="宋体" w:hAnsi="宋体" w:eastAsia="宋体" w:cs="宋体"/>
          <w:b/>
          <w:bCs/>
          <w:sz w:val="21"/>
          <w:szCs w:val="21"/>
        </w:rPr>
      </w:pPr>
      <w:bookmarkStart w:id="83" w:name="_Toc989058"/>
      <w:r>
        <w:rPr>
          <w:rFonts w:ascii="宋体" w:hAnsi="宋体" w:eastAsia="宋体" w:cs="宋体"/>
          <w:b/>
          <w:bCs/>
          <w:sz w:val="21"/>
          <w:szCs w:val="21"/>
        </w:rPr>
        <w:t>（1） 应收票据分类列示</w:t>
      </w:r>
      <w:bookmarkEnd w:id="8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如是按照预期信用损失一般模型计提应收票据坏账准备，请参照其他应收款的披露方式披露坏账准备的相关信息：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84" w:name="_Toc989059"/>
      <w:r>
        <w:rPr>
          <w:rFonts w:ascii="宋体" w:hAnsi="宋体" w:eastAsia="宋体" w:cs="宋体"/>
          <w:b/>
          <w:bCs/>
          <w:sz w:val="21"/>
          <w:szCs w:val="21"/>
        </w:rPr>
        <w:t>（2） 本期计提、收回或转回的坏账准备情况</w:t>
      </w:r>
      <w:bookmarkEnd w:id="84"/>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85" w:name="_Toc989060"/>
      <w:r>
        <w:rPr>
          <w:rFonts w:ascii="宋体" w:hAnsi="宋体" w:eastAsia="宋体" w:cs="宋体"/>
          <w:b/>
          <w:bCs/>
          <w:sz w:val="21"/>
          <w:szCs w:val="21"/>
        </w:rPr>
        <w:t>（3） 期末公司已质押的应收票据</w:t>
      </w:r>
      <w:bookmarkEnd w:id="8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期末已质押金额</w:t>
            </w:r>
          </w:p>
        </w:tc>
      </w:tr>
    </w:tbl>
    <w:p>
      <w:pPr>
        <w:keepNext/>
        <w:keepLines/>
        <w:spacing w:before="300" w:after="300" w:line="280" w:lineRule="exact"/>
        <w:jc w:val="left"/>
        <w:outlineLvl w:val="3"/>
        <w:rPr>
          <w:rFonts w:ascii="宋体" w:hAnsi="宋体" w:eastAsia="宋体" w:cs="宋体"/>
          <w:b/>
          <w:bCs/>
          <w:sz w:val="21"/>
          <w:szCs w:val="21"/>
        </w:rPr>
      </w:pPr>
      <w:bookmarkStart w:id="86" w:name="_Toc989061"/>
      <w:r>
        <w:rPr>
          <w:rFonts w:ascii="宋体" w:hAnsi="宋体" w:eastAsia="宋体" w:cs="宋体"/>
          <w:b/>
          <w:bCs/>
          <w:sz w:val="21"/>
          <w:szCs w:val="21"/>
        </w:rPr>
        <w:t>（4） 期末公司已背书或贴现且在资产负债表日尚未到期的应收票据</w:t>
      </w:r>
      <w:bookmarkEnd w:id="8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期末未终止确认金额</w:t>
            </w:r>
          </w:p>
        </w:tc>
      </w:tr>
    </w:tbl>
    <w:p>
      <w:pPr>
        <w:keepNext/>
        <w:keepLines/>
        <w:spacing w:before="300" w:after="300" w:line="280" w:lineRule="exact"/>
        <w:jc w:val="left"/>
        <w:outlineLvl w:val="3"/>
        <w:rPr>
          <w:rFonts w:ascii="宋体" w:hAnsi="宋体" w:eastAsia="宋体" w:cs="宋体"/>
          <w:b/>
          <w:bCs/>
          <w:sz w:val="21"/>
          <w:szCs w:val="21"/>
        </w:rPr>
      </w:pPr>
      <w:bookmarkStart w:id="87" w:name="_Toc989062"/>
      <w:r>
        <w:rPr>
          <w:rFonts w:ascii="宋体" w:hAnsi="宋体" w:eastAsia="宋体" w:cs="宋体"/>
          <w:b/>
          <w:bCs/>
          <w:sz w:val="21"/>
          <w:szCs w:val="21"/>
        </w:rPr>
        <w:t>（5） 期末公司因出票人未履约而将其转应收账款的票据</w:t>
      </w:r>
      <w:bookmarkEnd w:id="8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期末转应收账款金额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88" w:name="_Toc989063"/>
      <w:r>
        <w:rPr>
          <w:rFonts w:ascii="宋体" w:hAnsi="宋体" w:eastAsia="宋体" w:cs="宋体"/>
          <w:b/>
          <w:bCs/>
          <w:sz w:val="21"/>
          <w:szCs w:val="21"/>
        </w:rPr>
        <w:t>（6） 本期实际核销的应收票据情况</w:t>
      </w:r>
      <w:bookmarkEnd w:id="8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其中重要的应收票据核销情况：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应收票据性质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应收票据核销说明：</w:t>
      </w:r>
    </w:p>
    <w:p>
      <w:pPr>
        <w:keepNext/>
        <w:keepLines/>
        <w:spacing w:before="300" w:after="300" w:line="280" w:lineRule="exact"/>
        <w:jc w:val="left"/>
        <w:outlineLvl w:val="2"/>
        <w:rPr>
          <w:rFonts w:ascii="宋体" w:hAnsi="宋体" w:eastAsia="宋体" w:cs="宋体"/>
          <w:b/>
          <w:bCs/>
          <w:sz w:val="21"/>
          <w:szCs w:val="21"/>
        </w:rPr>
      </w:pPr>
      <w:bookmarkStart w:id="89" w:name="_Toc989064"/>
      <w:r>
        <w:rPr>
          <w:rFonts w:ascii="宋体" w:hAnsi="宋体" w:eastAsia="宋体" w:cs="宋体"/>
          <w:b/>
          <w:bCs/>
          <w:sz w:val="21"/>
          <w:szCs w:val="21"/>
        </w:rPr>
        <w:t>5、应收账款</w:t>
      </w:r>
      <w:bookmarkEnd w:id="89"/>
    </w:p>
    <w:p>
      <w:pPr>
        <w:keepNext/>
        <w:keepLines/>
        <w:spacing w:before="300" w:after="300" w:line="280" w:lineRule="exact"/>
        <w:jc w:val="left"/>
        <w:outlineLvl w:val="3"/>
        <w:rPr>
          <w:rFonts w:ascii="宋体" w:hAnsi="宋体" w:eastAsia="宋体" w:cs="宋体"/>
          <w:b/>
          <w:bCs/>
          <w:sz w:val="21"/>
          <w:szCs w:val="21"/>
        </w:rPr>
      </w:pPr>
      <w:bookmarkStart w:id="90" w:name="_Toc989065"/>
      <w:r>
        <w:rPr>
          <w:rFonts w:ascii="宋体" w:hAnsi="宋体" w:eastAsia="宋体" w:cs="宋体"/>
          <w:b/>
          <w:bCs/>
          <w:sz w:val="21"/>
          <w:szCs w:val="21"/>
        </w:rPr>
        <w:t>（1） 应收账款分类披露</w:t>
      </w:r>
      <w:bookmarkEnd w:id="9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86,419,679.24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8,015,780.75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78,403,898.49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79,110,419.14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7,255,856.18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71,854,562.96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86,419,679.24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8,015,780.75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78,403,898.49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79,110,419.14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7,255,856.18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71,854,562.96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按组合计提坏账准备：1,486,689.32</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76,249,800.58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3,812,490.04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3,062,979.04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306,297.90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2至3年（含3年）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2,436,405.83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730,921.75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3至4年（含4年）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2,983,490.64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1,491,745.32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4至5年（含5年）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63,387.05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50,709.64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1,623,616.10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1,623,616.10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86,419,679.24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8,015,780.75</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如是按照预期信用损失一般模型计提应收账款坏账准备，请参照其他应收款的披露方式披露坏账准备的相关信息：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76,249,800.58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3,062,979.04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2,436,405.83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4,670,493.79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2,983,490.64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63,387.05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1,623,616.10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86,419,679.24</w:t>
            </w:r>
          </w:p>
        </w:tc>
      </w:tr>
    </w:tbl>
    <w:p>
      <w:pPr>
        <w:keepNext/>
        <w:keepLines/>
        <w:spacing w:before="300" w:after="300" w:line="280" w:lineRule="exact"/>
        <w:jc w:val="left"/>
        <w:outlineLvl w:val="3"/>
        <w:rPr>
          <w:rFonts w:ascii="宋体" w:hAnsi="宋体" w:eastAsia="宋体" w:cs="宋体"/>
          <w:b/>
          <w:bCs/>
          <w:sz w:val="21"/>
          <w:szCs w:val="21"/>
        </w:rPr>
      </w:pPr>
      <w:bookmarkStart w:id="91" w:name="_Toc989066"/>
      <w:r>
        <w:rPr>
          <w:rFonts w:ascii="宋体" w:hAnsi="宋体" w:eastAsia="宋体" w:cs="宋体"/>
          <w:b/>
          <w:bCs/>
          <w:sz w:val="21"/>
          <w:szCs w:val="21"/>
        </w:rPr>
        <w:t>（2） 本期计提、收回或转回的坏账准备情况</w:t>
      </w:r>
      <w:bookmarkEnd w:id="91"/>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7,255,856.18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1,486,689.32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726,764.75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8,015,780.75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7,255,856.18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1,486,689.32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726,764.75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8,015,780.75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spacing w:before="100" w:after="100" w:line="0" w:lineRule="exact"/>
        <w:jc w:val="left"/>
      </w:pPr>
    </w:p>
    <w:p>
      <w:pPr>
        <w:keepNext/>
        <w:keepLines/>
        <w:spacing w:before="300" w:after="300" w:line="280" w:lineRule="exact"/>
        <w:jc w:val="left"/>
        <w:outlineLvl w:val="3"/>
        <w:rPr>
          <w:rFonts w:ascii="宋体" w:hAnsi="宋体" w:eastAsia="宋体" w:cs="宋体"/>
          <w:b/>
          <w:bCs/>
          <w:sz w:val="21"/>
          <w:szCs w:val="21"/>
        </w:rPr>
      </w:pPr>
      <w:bookmarkStart w:id="92" w:name="_Toc989067"/>
      <w:r>
        <w:rPr>
          <w:rFonts w:ascii="宋体" w:hAnsi="宋体" w:eastAsia="宋体" w:cs="宋体"/>
          <w:b/>
          <w:bCs/>
          <w:sz w:val="21"/>
          <w:szCs w:val="21"/>
        </w:rPr>
        <w:t>（3） 本期实际核销的应收账款情况</w:t>
      </w:r>
      <w:bookmarkEnd w:id="9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其中重要的应收账款核销情况：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应收账款核销说明：</w:t>
      </w:r>
    </w:p>
    <w:p>
      <w:pPr>
        <w:keepNext/>
        <w:keepLines/>
        <w:spacing w:before="300" w:after="300" w:line="280" w:lineRule="exact"/>
        <w:jc w:val="left"/>
        <w:outlineLvl w:val="3"/>
        <w:rPr>
          <w:rFonts w:ascii="宋体" w:hAnsi="宋体" w:eastAsia="宋体" w:cs="宋体"/>
          <w:b/>
          <w:bCs/>
          <w:sz w:val="21"/>
          <w:szCs w:val="21"/>
        </w:rPr>
      </w:pPr>
      <w:bookmarkStart w:id="93" w:name="_Toc989068"/>
      <w:r>
        <w:rPr>
          <w:rFonts w:ascii="宋体" w:hAnsi="宋体" w:eastAsia="宋体" w:cs="宋体"/>
          <w:b/>
          <w:bCs/>
          <w:sz w:val="21"/>
          <w:szCs w:val="21"/>
        </w:rPr>
        <w:t>（4） 按欠款方归集的期末余额前五名的应收账款情况</w:t>
      </w:r>
      <w:bookmarkEnd w:id="9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占应收账款期末余额合计数的比例</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客户一</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5,890,996.21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294,549.81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客户二</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5,776,337.62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288,816.88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客户三</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5,376,007.37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268,800.37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客户四</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4,205,001.77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210,250.09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客户五</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3,782,234.14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189,111.71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25,030,577.11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28.97%</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3"/>
        <w:rPr>
          <w:rFonts w:ascii="宋体" w:hAnsi="宋体" w:eastAsia="宋体" w:cs="宋体"/>
          <w:b/>
          <w:bCs/>
          <w:sz w:val="21"/>
          <w:szCs w:val="21"/>
        </w:rPr>
      </w:pPr>
      <w:bookmarkStart w:id="94" w:name="_Toc989069"/>
      <w:r>
        <w:rPr>
          <w:rFonts w:ascii="宋体" w:hAnsi="宋体" w:eastAsia="宋体" w:cs="宋体"/>
          <w:b/>
          <w:bCs/>
          <w:sz w:val="21"/>
          <w:szCs w:val="21"/>
        </w:rPr>
        <w:t>（5） 因金融资产转移而终止确认的应收账款</w:t>
      </w:r>
      <w:bookmarkEnd w:id="94"/>
    </w:p>
    <w:p>
      <w:pPr>
        <w:keepNext/>
        <w:keepLines/>
        <w:spacing w:before="300" w:after="300" w:line="280" w:lineRule="exact"/>
        <w:jc w:val="left"/>
        <w:outlineLvl w:val="3"/>
        <w:rPr>
          <w:rFonts w:ascii="宋体" w:hAnsi="宋体" w:eastAsia="宋体" w:cs="宋体"/>
          <w:b/>
          <w:bCs/>
          <w:sz w:val="21"/>
          <w:szCs w:val="21"/>
        </w:rPr>
      </w:pPr>
      <w:bookmarkStart w:id="95" w:name="_Toc989070"/>
      <w:r>
        <w:rPr>
          <w:rFonts w:ascii="宋体" w:hAnsi="宋体" w:eastAsia="宋体" w:cs="宋体"/>
          <w:b/>
          <w:bCs/>
          <w:sz w:val="21"/>
          <w:szCs w:val="21"/>
        </w:rPr>
        <w:t>（6） 转移应收账款且继续涉入形成的资产、负债金额</w:t>
      </w:r>
      <w:bookmarkEnd w:id="95"/>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96" w:name="_Toc989071"/>
      <w:r>
        <w:rPr>
          <w:rFonts w:ascii="宋体" w:hAnsi="宋体" w:eastAsia="宋体" w:cs="宋体"/>
          <w:b/>
          <w:bCs/>
          <w:sz w:val="21"/>
          <w:szCs w:val="21"/>
        </w:rPr>
        <w:t>6、应收款项融资</w:t>
      </w:r>
      <w:bookmarkEnd w:id="9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以公允价值计量且其变动计入其他综合收益的应收账款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以公允价值计量且其变动计入其他综合收益的应收票据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11,585,000.00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11,585,000.00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应收款项融资本期增减变动及公允价值变动情况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如是按照预期信用损失一般模型计提应收款项融资减值准备，请参照其他应收款的披露方式披露减值准备的相关信息：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（2）期末公司已背书或贴现且在资产负债表日尚未到期的应收款项融资：</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909"/>
        <w:gridCol w:w="3017"/>
        <w:gridCol w:w="30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290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项目</w:t>
            </w:r>
          </w:p>
        </w:tc>
        <w:tc>
          <w:tcPr>
            <w:tcW w:w="301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期末终止确认金额</w:t>
            </w:r>
          </w:p>
        </w:tc>
        <w:tc>
          <w:tcPr>
            <w:tcW w:w="301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期末未终止确认金额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9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银行承兑汇票</w:t>
            </w:r>
          </w:p>
        </w:tc>
        <w:tc>
          <w:tcPr>
            <w:tcW w:w="3017"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9,530,848.84</w:t>
            </w:r>
          </w:p>
        </w:tc>
        <w:tc>
          <w:tcPr>
            <w:tcW w:w="3015"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9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合计</w:t>
            </w:r>
          </w:p>
        </w:tc>
        <w:tc>
          <w:tcPr>
            <w:tcW w:w="3017"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9,530,848.84</w:t>
            </w:r>
          </w:p>
        </w:tc>
        <w:tc>
          <w:tcPr>
            <w:tcW w:w="3015"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sz w:val="21"/>
                <w:szCs w:val="21"/>
              </w:rPr>
              <w:t> </w:t>
            </w:r>
          </w:p>
        </w:tc>
      </w:tr>
    </w:tbl>
    <w:p>
      <w:pPr>
        <w:keepNext/>
        <w:keepLines/>
        <w:spacing w:before="300" w:after="300" w:line="280" w:lineRule="exact"/>
        <w:jc w:val="left"/>
        <w:outlineLvl w:val="2"/>
        <w:rPr>
          <w:rFonts w:ascii="宋体" w:hAnsi="宋体" w:eastAsia="宋体" w:cs="宋体"/>
          <w:b/>
          <w:bCs/>
          <w:sz w:val="21"/>
          <w:szCs w:val="21"/>
        </w:rPr>
      </w:pPr>
      <w:bookmarkStart w:id="97" w:name="_Toc989072"/>
      <w:r>
        <w:rPr>
          <w:rFonts w:ascii="宋体" w:hAnsi="宋体" w:eastAsia="宋体" w:cs="宋体"/>
          <w:b/>
          <w:bCs/>
          <w:sz w:val="21"/>
          <w:szCs w:val="21"/>
        </w:rPr>
        <w:t>7、预付款项</w:t>
      </w:r>
      <w:bookmarkEnd w:id="97"/>
    </w:p>
    <w:p>
      <w:pPr>
        <w:keepNext/>
        <w:keepLines/>
        <w:spacing w:before="300" w:after="300" w:line="280" w:lineRule="exact"/>
        <w:jc w:val="left"/>
        <w:outlineLvl w:val="3"/>
        <w:rPr>
          <w:rFonts w:ascii="宋体" w:hAnsi="宋体" w:eastAsia="宋体" w:cs="宋体"/>
          <w:b/>
          <w:bCs/>
          <w:sz w:val="21"/>
          <w:szCs w:val="21"/>
        </w:rPr>
      </w:pPr>
      <w:bookmarkStart w:id="98" w:name="_Toc989073"/>
      <w:r>
        <w:rPr>
          <w:rFonts w:ascii="宋体" w:hAnsi="宋体" w:eastAsia="宋体" w:cs="宋体"/>
          <w:b/>
          <w:bCs/>
          <w:sz w:val="21"/>
          <w:szCs w:val="21"/>
        </w:rPr>
        <w:t>（1） 预付款项按账龄列示</w:t>
      </w:r>
      <w:bookmarkEnd w:id="9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4,632,818.95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3,528,029.53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15,557.80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47,760.00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47,760.00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4,736,136.75</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3,615,789.53</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账龄超过1年且金额重要的预付款项未及时结算原因的说明：</w:t>
      </w:r>
    </w:p>
    <w:p>
      <w:pPr>
        <w:pStyle w:val="2"/>
        <w:keepNext w:val="0"/>
        <w:keepLines w:val="0"/>
        <w:widowControl/>
        <w:suppressLineNumbers w:val="0"/>
      </w:pPr>
      <w:r>
        <w:rPr>
          <w:rFonts w:hint="eastAsia" w:ascii="宋体" w:hAnsi="宋体" w:eastAsia="宋体" w:cs="宋体"/>
          <w:sz w:val="18"/>
          <w:szCs w:val="18"/>
        </w:rPr>
        <w:t>无</w:t>
      </w:r>
    </w:p>
    <w:p>
      <w:pPr>
        <w:keepNext/>
        <w:keepLines/>
        <w:spacing w:before="300" w:after="300" w:line="280" w:lineRule="exact"/>
        <w:jc w:val="left"/>
        <w:outlineLvl w:val="3"/>
        <w:rPr>
          <w:rFonts w:ascii="宋体" w:hAnsi="宋体" w:eastAsia="宋体" w:cs="宋体"/>
          <w:b/>
          <w:bCs/>
          <w:sz w:val="21"/>
          <w:szCs w:val="21"/>
        </w:rPr>
      </w:pPr>
      <w:bookmarkStart w:id="99" w:name="_Toc989074"/>
      <w:r>
        <w:rPr>
          <w:rFonts w:ascii="宋体" w:hAnsi="宋体" w:eastAsia="宋体" w:cs="宋体"/>
          <w:b/>
          <w:bCs/>
          <w:sz w:val="21"/>
          <w:szCs w:val="21"/>
        </w:rPr>
        <w:t>（2） 按预付对象归集的期末余额前五名的预付款情况</w:t>
      </w:r>
      <w:bookmarkEnd w:id="99"/>
    </w:p>
    <w:p>
      <w:pPr>
        <w:pStyle w:val="2"/>
        <w:keepNext w:val="0"/>
        <w:keepLines w:val="0"/>
        <w:widowControl/>
        <w:suppressLineNumbers w:val="0"/>
        <w:spacing w:before="150" w:beforeAutospacing="0" w:after="150" w:afterAutospacing="0" w:line="360" w:lineRule="auto"/>
        <w:ind w:left="0" w:right="0" w:firstLine="425"/>
        <w:jc w:val="both"/>
        <w:rPr>
          <w:rFonts w:hint="default" w:ascii="Times New Roman" w:hAnsi="Times New Roman" w:cs="Times New Roman"/>
          <w:sz w:val="21"/>
          <w:szCs w:val="21"/>
        </w:rPr>
      </w:pPr>
      <w:r>
        <w:rPr>
          <w:rFonts w:hint="eastAsia" w:ascii="宋体" w:hAnsi="宋体" w:eastAsia="宋体" w:cs="宋体"/>
          <w:sz w:val="21"/>
          <w:szCs w:val="21"/>
        </w:rPr>
        <w:t>（2）期末预付款项中金额前五名的单位明细情况如下：</w:t>
      </w:r>
    </w:p>
    <w:tbl>
      <w:tblPr>
        <w:tblW w:w="893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977"/>
        <w:gridCol w:w="1559"/>
        <w:gridCol w:w="1134"/>
        <w:gridCol w:w="1418"/>
        <w:gridCol w:w="18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11" w:hRule="atLeast"/>
        </w:trPr>
        <w:tc>
          <w:tcPr>
            <w:tcW w:w="297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单位名称</w:t>
            </w:r>
          </w:p>
        </w:tc>
        <w:tc>
          <w:tcPr>
            <w:tcW w:w="155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金额</w:t>
            </w:r>
          </w:p>
        </w:tc>
        <w:tc>
          <w:tcPr>
            <w:tcW w:w="113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年限</w:t>
            </w:r>
          </w:p>
        </w:tc>
        <w:tc>
          <w:tcPr>
            <w:tcW w:w="141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占预付款项总 额的比例（%）</w:t>
            </w:r>
          </w:p>
        </w:tc>
        <w:tc>
          <w:tcPr>
            <w:tcW w:w="18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未结算原因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供应商一</w:t>
            </w:r>
          </w:p>
        </w:tc>
        <w:tc>
          <w:tcPr>
            <w:tcW w:w="1559"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1,567,849.69</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1年以内</w:t>
            </w:r>
          </w:p>
        </w:tc>
        <w:tc>
          <w:tcPr>
            <w:tcW w:w="1418"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33.1</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未到结算期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供应商二</w:t>
            </w:r>
          </w:p>
        </w:tc>
        <w:tc>
          <w:tcPr>
            <w:tcW w:w="1559"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797,878.20</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1年以内</w:t>
            </w:r>
          </w:p>
        </w:tc>
        <w:tc>
          <w:tcPr>
            <w:tcW w:w="1418"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16.85</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未到结算期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供应商三</w:t>
            </w:r>
          </w:p>
        </w:tc>
        <w:tc>
          <w:tcPr>
            <w:tcW w:w="1559"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529,029.81</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1年以内</w:t>
            </w:r>
          </w:p>
        </w:tc>
        <w:tc>
          <w:tcPr>
            <w:tcW w:w="1418"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11.17</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未到结算期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供应商四</w:t>
            </w:r>
          </w:p>
        </w:tc>
        <w:tc>
          <w:tcPr>
            <w:tcW w:w="1559"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510,195.39</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1年以内</w:t>
            </w:r>
          </w:p>
        </w:tc>
        <w:tc>
          <w:tcPr>
            <w:tcW w:w="1418"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10.77</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未到结算期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供应商五</w:t>
            </w:r>
          </w:p>
        </w:tc>
        <w:tc>
          <w:tcPr>
            <w:tcW w:w="1559"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260,000.00</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1年以内</w:t>
            </w:r>
          </w:p>
        </w:tc>
        <w:tc>
          <w:tcPr>
            <w:tcW w:w="1418"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5.49</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未到结算期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合计</w:t>
            </w:r>
          </w:p>
        </w:tc>
        <w:tc>
          <w:tcPr>
            <w:tcW w:w="1559"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3,664,953.09</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　</w:t>
            </w:r>
          </w:p>
        </w:tc>
        <w:tc>
          <w:tcPr>
            <w:tcW w:w="1418"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77.38</w:t>
            </w:r>
          </w:p>
        </w:tc>
        <w:tc>
          <w:tcPr>
            <w:tcW w:w="1843"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 </w:t>
            </w:r>
          </w:p>
        </w:tc>
      </w:tr>
    </w:tbl>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 </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pPr>
      <w:r>
        <w:rPr>
          <w:rFonts w:hint="eastAsia" w:ascii="宋体" w:hAnsi="宋体" w:eastAsia="宋体" w:cs="宋体"/>
          <w:sz w:val="18"/>
          <w:szCs w:val="18"/>
        </w:rPr>
        <w:t>（3）报告期末预付款项中无预付持公司5%（含5%）以上表决权股份的股东单位的款项。</w:t>
      </w:r>
    </w:p>
    <w:p>
      <w:pPr>
        <w:keepNext/>
        <w:keepLines/>
        <w:spacing w:before="300" w:after="300" w:line="280" w:lineRule="exact"/>
        <w:jc w:val="left"/>
        <w:outlineLvl w:val="2"/>
        <w:rPr>
          <w:rFonts w:ascii="宋体" w:hAnsi="宋体" w:eastAsia="宋体" w:cs="宋体"/>
          <w:b/>
          <w:bCs/>
          <w:sz w:val="21"/>
          <w:szCs w:val="21"/>
        </w:rPr>
      </w:pPr>
      <w:bookmarkStart w:id="100" w:name="_Toc989075"/>
      <w:r>
        <w:rPr>
          <w:rFonts w:ascii="宋体" w:hAnsi="宋体" w:eastAsia="宋体" w:cs="宋体"/>
          <w:b/>
          <w:bCs/>
          <w:sz w:val="21"/>
          <w:szCs w:val="21"/>
        </w:rPr>
        <w:t>8、其他应收款</w:t>
      </w:r>
      <w:bookmarkEnd w:id="10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4,872,250.79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6,012,212.39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4,872,250.79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6,012,212.39</w:t>
            </w:r>
          </w:p>
        </w:tc>
      </w:tr>
    </w:tbl>
    <w:p>
      <w:pPr>
        <w:keepNext/>
        <w:keepLines/>
        <w:spacing w:before="300" w:after="300" w:line="280" w:lineRule="exact"/>
        <w:jc w:val="left"/>
        <w:outlineLvl w:val="3"/>
        <w:rPr>
          <w:rFonts w:ascii="宋体" w:hAnsi="宋体" w:eastAsia="宋体" w:cs="宋体"/>
          <w:b/>
          <w:bCs/>
          <w:sz w:val="21"/>
          <w:szCs w:val="21"/>
        </w:rPr>
      </w:pPr>
      <w:bookmarkStart w:id="101" w:name="_Toc989076"/>
      <w:r>
        <w:rPr>
          <w:rFonts w:ascii="宋体" w:hAnsi="宋体" w:eastAsia="宋体" w:cs="宋体"/>
          <w:b/>
          <w:bCs/>
          <w:sz w:val="21"/>
          <w:szCs w:val="21"/>
        </w:rPr>
        <w:t>（1） 应收利息</w:t>
      </w:r>
      <w:bookmarkEnd w:id="101"/>
    </w:p>
    <w:p>
      <w:pPr>
        <w:keepNext/>
        <w:keepLines/>
        <w:spacing w:before="300" w:after="300" w:line="280" w:lineRule="exact"/>
        <w:jc w:val="left"/>
        <w:outlineLvl w:val="4"/>
        <w:rPr>
          <w:rFonts w:ascii="宋体" w:hAnsi="宋体" w:eastAsia="宋体" w:cs="宋体"/>
          <w:b/>
          <w:bCs/>
          <w:sz w:val="21"/>
          <w:szCs w:val="21"/>
        </w:rPr>
      </w:pPr>
      <w:bookmarkStart w:id="102" w:name="_Toc989077"/>
      <w:r>
        <w:rPr>
          <w:rFonts w:ascii="宋体" w:hAnsi="宋体" w:eastAsia="宋体" w:cs="宋体"/>
          <w:b/>
          <w:bCs/>
          <w:sz w:val="21"/>
          <w:szCs w:val="21"/>
        </w:rPr>
        <w:t>1） 应收利息分类</w:t>
      </w:r>
      <w:bookmarkEnd w:id="10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4"/>
        <w:rPr>
          <w:rFonts w:ascii="宋体" w:hAnsi="宋体" w:eastAsia="宋体" w:cs="宋体"/>
          <w:b/>
          <w:bCs/>
          <w:sz w:val="21"/>
          <w:szCs w:val="21"/>
        </w:rPr>
      </w:pPr>
      <w:bookmarkStart w:id="103" w:name="_Toc989078"/>
      <w:r>
        <w:rPr>
          <w:rFonts w:ascii="宋体" w:hAnsi="宋体" w:eastAsia="宋体" w:cs="宋体"/>
          <w:b/>
          <w:bCs/>
          <w:sz w:val="21"/>
          <w:szCs w:val="21"/>
        </w:rPr>
        <w:t>2） 重要逾期利息</w:t>
      </w:r>
      <w:bookmarkEnd w:id="10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4"/>
        <w:rPr>
          <w:rFonts w:ascii="宋体" w:hAnsi="宋体" w:eastAsia="宋体" w:cs="宋体"/>
          <w:b/>
          <w:bCs/>
          <w:sz w:val="21"/>
          <w:szCs w:val="21"/>
        </w:rPr>
      </w:pPr>
      <w:bookmarkStart w:id="104" w:name="_Toc989079"/>
      <w:r>
        <w:rPr>
          <w:rFonts w:ascii="宋体" w:hAnsi="宋体" w:eastAsia="宋体" w:cs="宋体"/>
          <w:b/>
          <w:bCs/>
          <w:sz w:val="21"/>
          <w:szCs w:val="21"/>
        </w:rPr>
        <w:t>3） 坏账准备计提情况</w:t>
      </w:r>
      <w:bookmarkEnd w:id="104"/>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05" w:name="_Toc989080"/>
      <w:r>
        <w:rPr>
          <w:rFonts w:ascii="宋体" w:hAnsi="宋体" w:eastAsia="宋体" w:cs="宋体"/>
          <w:b/>
          <w:bCs/>
          <w:sz w:val="21"/>
          <w:szCs w:val="21"/>
        </w:rPr>
        <w:t>（2） 应收股利</w:t>
      </w:r>
      <w:bookmarkEnd w:id="105"/>
    </w:p>
    <w:p>
      <w:pPr>
        <w:keepNext/>
        <w:keepLines/>
        <w:spacing w:before="300" w:after="300" w:line="280" w:lineRule="exact"/>
        <w:jc w:val="left"/>
        <w:outlineLvl w:val="4"/>
        <w:rPr>
          <w:rFonts w:ascii="宋体" w:hAnsi="宋体" w:eastAsia="宋体" w:cs="宋体"/>
          <w:b/>
          <w:bCs/>
          <w:sz w:val="21"/>
          <w:szCs w:val="21"/>
        </w:rPr>
      </w:pPr>
      <w:bookmarkStart w:id="106" w:name="_Toc989081"/>
      <w:r>
        <w:rPr>
          <w:rFonts w:ascii="宋体" w:hAnsi="宋体" w:eastAsia="宋体" w:cs="宋体"/>
          <w:b/>
          <w:bCs/>
          <w:sz w:val="21"/>
          <w:szCs w:val="21"/>
        </w:rPr>
        <w:t>1） 应收股利分类</w:t>
      </w:r>
      <w:bookmarkEnd w:id="10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4"/>
        <w:rPr>
          <w:rFonts w:ascii="宋体" w:hAnsi="宋体" w:eastAsia="宋体" w:cs="宋体"/>
          <w:b/>
          <w:bCs/>
          <w:sz w:val="21"/>
          <w:szCs w:val="21"/>
        </w:rPr>
      </w:pPr>
      <w:bookmarkStart w:id="107" w:name="_Toc989082"/>
      <w:r>
        <w:rPr>
          <w:rFonts w:ascii="宋体" w:hAnsi="宋体" w:eastAsia="宋体" w:cs="宋体"/>
          <w:b/>
          <w:bCs/>
          <w:sz w:val="21"/>
          <w:szCs w:val="21"/>
        </w:rPr>
        <w:t>2） 重要的账龄超过1年的应收股利</w:t>
      </w:r>
      <w:bookmarkEnd w:id="10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bl>
    <w:p>
      <w:pPr>
        <w:keepNext/>
        <w:keepLines/>
        <w:spacing w:before="300" w:after="300" w:line="280" w:lineRule="exact"/>
        <w:jc w:val="left"/>
        <w:outlineLvl w:val="4"/>
        <w:rPr>
          <w:rFonts w:ascii="宋体" w:hAnsi="宋体" w:eastAsia="宋体" w:cs="宋体"/>
          <w:b/>
          <w:bCs/>
          <w:sz w:val="21"/>
          <w:szCs w:val="21"/>
        </w:rPr>
      </w:pPr>
      <w:bookmarkStart w:id="108" w:name="_Toc989083"/>
      <w:r>
        <w:rPr>
          <w:rFonts w:ascii="宋体" w:hAnsi="宋体" w:eastAsia="宋体" w:cs="宋体"/>
          <w:b/>
          <w:bCs/>
          <w:sz w:val="21"/>
          <w:szCs w:val="21"/>
        </w:rPr>
        <w:t>3） 坏账准备计提情况</w:t>
      </w:r>
      <w:bookmarkEnd w:id="10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109" w:name="_Toc989084"/>
      <w:r>
        <w:rPr>
          <w:rFonts w:ascii="宋体" w:hAnsi="宋体" w:eastAsia="宋体" w:cs="宋体"/>
          <w:b/>
          <w:bCs/>
          <w:sz w:val="21"/>
          <w:szCs w:val="21"/>
        </w:rPr>
        <w:t>（3） 其他应收款</w:t>
      </w:r>
      <w:bookmarkEnd w:id="109"/>
    </w:p>
    <w:p>
      <w:pPr>
        <w:keepNext/>
        <w:keepLines/>
        <w:spacing w:before="300" w:after="300" w:line="280" w:lineRule="exact"/>
        <w:jc w:val="left"/>
        <w:outlineLvl w:val="4"/>
        <w:rPr>
          <w:rFonts w:ascii="宋体" w:hAnsi="宋体" w:eastAsia="宋体" w:cs="宋体"/>
          <w:b/>
          <w:bCs/>
          <w:sz w:val="21"/>
          <w:szCs w:val="21"/>
        </w:rPr>
      </w:pPr>
      <w:bookmarkStart w:id="110" w:name="_Toc989085"/>
      <w:r>
        <w:rPr>
          <w:rFonts w:ascii="宋体" w:hAnsi="宋体" w:eastAsia="宋体" w:cs="宋体"/>
          <w:b/>
          <w:bCs/>
          <w:sz w:val="21"/>
          <w:szCs w:val="21"/>
        </w:rPr>
        <w:t>1） 其他应收款按款项性质分类情况</w:t>
      </w:r>
      <w:bookmarkEnd w:id="11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4,872,250.78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6,012,212.39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4,872,250.78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6,012,212.39</w:t>
            </w:r>
          </w:p>
        </w:tc>
      </w:tr>
    </w:tbl>
    <w:p>
      <w:pPr>
        <w:keepNext/>
        <w:keepLines/>
        <w:spacing w:before="300" w:after="300" w:line="280" w:lineRule="exact"/>
        <w:jc w:val="left"/>
        <w:outlineLvl w:val="4"/>
        <w:rPr>
          <w:rFonts w:ascii="宋体" w:hAnsi="宋体" w:eastAsia="宋体" w:cs="宋体"/>
          <w:b/>
          <w:bCs/>
          <w:sz w:val="21"/>
          <w:szCs w:val="21"/>
        </w:rPr>
      </w:pPr>
      <w:bookmarkStart w:id="111" w:name="_Toc989086"/>
      <w:r>
        <w:rPr>
          <w:rFonts w:ascii="宋体" w:hAnsi="宋体" w:eastAsia="宋体" w:cs="宋体"/>
          <w:b/>
          <w:bCs/>
          <w:sz w:val="21"/>
          <w:szCs w:val="21"/>
        </w:rPr>
        <w:t>2） 坏账准备计提情况</w:t>
      </w:r>
      <w:bookmarkEnd w:id="1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470,904.59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470,904.59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本期转回</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126,457.60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126,457.60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2022年6月30日余额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344,446.99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344,446.99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4,244,455.65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922,242.13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5,216,697.78</w:t>
            </w:r>
          </w:p>
        </w:tc>
      </w:tr>
    </w:tbl>
    <w:p>
      <w:pPr>
        <w:keepNext/>
        <w:keepLines/>
        <w:spacing w:before="300" w:after="300" w:line="280" w:lineRule="exact"/>
        <w:jc w:val="left"/>
        <w:outlineLvl w:val="4"/>
        <w:rPr>
          <w:rFonts w:ascii="宋体" w:hAnsi="宋体" w:eastAsia="宋体" w:cs="宋体"/>
          <w:b/>
          <w:bCs/>
          <w:sz w:val="21"/>
          <w:szCs w:val="21"/>
        </w:rPr>
      </w:pPr>
      <w:bookmarkStart w:id="112" w:name="_Toc989087"/>
      <w:r>
        <w:rPr>
          <w:rFonts w:ascii="宋体" w:hAnsi="宋体" w:eastAsia="宋体" w:cs="宋体"/>
          <w:b/>
          <w:bCs/>
          <w:sz w:val="21"/>
          <w:szCs w:val="21"/>
        </w:rPr>
        <w:t>3） 本期计提、收回或转回的坏账准备情况</w:t>
      </w:r>
      <w:bookmarkEnd w:id="112"/>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470,904.59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126,457.60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344,446.99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470,904.59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126,457.60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344,446.99</w:t>
            </w:r>
          </w:p>
        </w:tc>
      </w:tr>
    </w:tbl>
    <w:p>
      <w:pPr>
        <w:spacing w:before="100" w:after="100" w:line="0" w:lineRule="exact"/>
        <w:jc w:val="left"/>
      </w:pP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其中本期坏账准备转回或收回金额重要的：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转回或收回金额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spacing w:before="100" w:after="100" w:line="0" w:lineRule="exact"/>
        <w:jc w:val="left"/>
      </w:pPr>
    </w:p>
    <w:p>
      <w:pPr>
        <w:keepNext/>
        <w:keepLines/>
        <w:spacing w:before="300" w:after="300" w:line="280" w:lineRule="exact"/>
        <w:jc w:val="left"/>
        <w:outlineLvl w:val="4"/>
        <w:rPr>
          <w:rFonts w:ascii="宋体" w:hAnsi="宋体" w:eastAsia="宋体" w:cs="宋体"/>
          <w:b/>
          <w:bCs/>
          <w:sz w:val="21"/>
          <w:szCs w:val="21"/>
        </w:rPr>
      </w:pPr>
      <w:bookmarkStart w:id="113" w:name="_Toc989088"/>
      <w:r>
        <w:rPr>
          <w:rFonts w:ascii="宋体" w:hAnsi="宋体" w:eastAsia="宋体" w:cs="宋体"/>
          <w:b/>
          <w:bCs/>
          <w:sz w:val="21"/>
          <w:szCs w:val="21"/>
        </w:rPr>
        <w:t>4） 本期实际核销的其他应收款情况</w:t>
      </w:r>
      <w:bookmarkEnd w:id="11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其中重要的其他应收款核销情况：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其他应收款核销说明：</w:t>
      </w:r>
    </w:p>
    <w:p>
      <w:pPr>
        <w:keepNext/>
        <w:keepLines/>
        <w:spacing w:before="300" w:after="300" w:line="280" w:lineRule="exact"/>
        <w:jc w:val="left"/>
        <w:outlineLvl w:val="4"/>
        <w:rPr>
          <w:rFonts w:ascii="宋体" w:hAnsi="宋体" w:eastAsia="宋体" w:cs="宋体"/>
          <w:b/>
          <w:bCs/>
          <w:sz w:val="21"/>
          <w:szCs w:val="21"/>
        </w:rPr>
      </w:pPr>
      <w:bookmarkStart w:id="114" w:name="_Toc989089"/>
      <w:r>
        <w:rPr>
          <w:rFonts w:ascii="宋体" w:hAnsi="宋体" w:eastAsia="宋体" w:cs="宋体"/>
          <w:b/>
          <w:bCs/>
          <w:sz w:val="21"/>
          <w:szCs w:val="21"/>
        </w:rPr>
        <w:t>5） 按欠款方归集的期末余额前五名的其他应收款情况</w:t>
      </w:r>
      <w:bookmarkEnd w:id="11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应收出口退税款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出口退税款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3,086,568.05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154,328.40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残疾人即征即退增值税</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残疾人即征即退增值税</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1,841,781.98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1年以内、1-2年</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35.31%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138,176.21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常州名源全过程工程咨询有限公司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投标保证金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青岛泰能高新燃气有限公司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燃气押金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南京市溧水区自来水有限公司材料销售分公司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投标保证金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5,118,350.03</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302,004.61</w:t>
            </w:r>
          </w:p>
        </w:tc>
      </w:tr>
    </w:tbl>
    <w:p>
      <w:pPr>
        <w:keepNext/>
        <w:keepLines/>
        <w:spacing w:before="300" w:after="300" w:line="280" w:lineRule="exact"/>
        <w:jc w:val="left"/>
        <w:outlineLvl w:val="4"/>
        <w:rPr>
          <w:rFonts w:ascii="宋体" w:hAnsi="宋体" w:eastAsia="宋体" w:cs="宋体"/>
          <w:b/>
          <w:bCs/>
          <w:sz w:val="21"/>
          <w:szCs w:val="21"/>
        </w:rPr>
      </w:pPr>
      <w:bookmarkStart w:id="115" w:name="_Toc989090"/>
      <w:r>
        <w:rPr>
          <w:rFonts w:ascii="宋体" w:hAnsi="宋体" w:eastAsia="宋体" w:cs="宋体"/>
          <w:b/>
          <w:bCs/>
          <w:sz w:val="21"/>
          <w:szCs w:val="21"/>
        </w:rPr>
        <w:t>6） 涉及政府补助的应收款项</w:t>
      </w:r>
      <w:bookmarkEnd w:id="11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政府补助项目名称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预计收取的时间、金额及依据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应收残疾人就业增值税优惠</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残疾人即征即退增值税</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1,841,781.98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1年以内、1-2年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w:t>
            </w:r>
          </w:p>
        </w:tc>
      </w:tr>
    </w:tbl>
    <w:p>
      <w:pPr>
        <w:keepNext/>
        <w:keepLines/>
        <w:spacing w:before="300" w:after="300" w:line="280" w:lineRule="exact"/>
        <w:jc w:val="left"/>
        <w:outlineLvl w:val="4"/>
        <w:rPr>
          <w:rFonts w:ascii="宋体" w:hAnsi="宋体" w:eastAsia="宋体" w:cs="宋体"/>
          <w:b/>
          <w:bCs/>
          <w:sz w:val="21"/>
          <w:szCs w:val="21"/>
        </w:rPr>
      </w:pPr>
      <w:bookmarkStart w:id="116" w:name="_Toc989091"/>
      <w:r>
        <w:rPr>
          <w:rFonts w:ascii="宋体" w:hAnsi="宋体" w:eastAsia="宋体" w:cs="宋体"/>
          <w:b/>
          <w:bCs/>
          <w:sz w:val="21"/>
          <w:szCs w:val="21"/>
        </w:rPr>
        <w:t>7） 因金融资产转移而终止确认的其他应收款</w:t>
      </w:r>
      <w:bookmarkEnd w:id="116"/>
    </w:p>
    <w:p>
      <w:pPr>
        <w:keepNext/>
        <w:keepLines/>
        <w:spacing w:before="300" w:after="300" w:line="280" w:lineRule="exact"/>
        <w:jc w:val="left"/>
        <w:outlineLvl w:val="4"/>
        <w:rPr>
          <w:rFonts w:ascii="宋体" w:hAnsi="宋体" w:eastAsia="宋体" w:cs="宋体"/>
          <w:b/>
          <w:bCs/>
          <w:sz w:val="21"/>
          <w:szCs w:val="21"/>
        </w:rPr>
      </w:pPr>
      <w:bookmarkStart w:id="117" w:name="_Toc989092"/>
      <w:r>
        <w:rPr>
          <w:rFonts w:ascii="宋体" w:hAnsi="宋体" w:eastAsia="宋体" w:cs="宋体"/>
          <w:b/>
          <w:bCs/>
          <w:sz w:val="21"/>
          <w:szCs w:val="21"/>
        </w:rPr>
        <w:t>8） 转移其他应收款且继续涉入形成的资产、负债金额</w:t>
      </w:r>
      <w:bookmarkEnd w:id="117"/>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18" w:name="_Toc989093"/>
      <w:r>
        <w:rPr>
          <w:rFonts w:ascii="宋体" w:hAnsi="宋体" w:eastAsia="宋体" w:cs="宋体"/>
          <w:b/>
          <w:bCs/>
          <w:sz w:val="21"/>
          <w:szCs w:val="21"/>
        </w:rPr>
        <w:t>9、存货</w:t>
      </w:r>
      <w:bookmarkEnd w:id="118"/>
    </w:p>
    <w:p>
      <w:pPr>
        <w:spacing w:before="0" w:after="0" w:line="240" w:lineRule="exact"/>
        <w:jc w:val="left"/>
        <w:rPr>
          <w:rFonts w:ascii="宋体" w:hAnsi="宋体" w:eastAsia="宋体" w:cs="宋体"/>
          <w:sz w:val="18"/>
          <w:szCs w:val="18"/>
        </w:rPr>
      </w:pPr>
      <w:r>
        <w:rPr>
          <w:rFonts w:ascii="宋体" w:hAnsi="宋体" w:eastAsia="宋体" w:cs="宋体"/>
          <w:sz w:val="18"/>
          <w:szCs w:val="18"/>
        </w:rPr>
        <w:t>公司是否需要遵守房地产行业的披露要求</w:t>
      </w:r>
    </w:p>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p>
      <w:pPr>
        <w:keepNext/>
        <w:keepLines/>
        <w:spacing w:before="300" w:after="300" w:line="280" w:lineRule="exact"/>
        <w:jc w:val="left"/>
        <w:outlineLvl w:val="3"/>
        <w:rPr>
          <w:rFonts w:ascii="宋体" w:hAnsi="宋体" w:eastAsia="宋体" w:cs="宋体"/>
          <w:b/>
          <w:bCs/>
          <w:sz w:val="21"/>
          <w:szCs w:val="21"/>
        </w:rPr>
      </w:pPr>
      <w:bookmarkStart w:id="119" w:name="_Toc989094"/>
      <w:r>
        <w:rPr>
          <w:rFonts w:ascii="宋体" w:hAnsi="宋体" w:eastAsia="宋体" w:cs="宋体"/>
          <w:b/>
          <w:bCs/>
          <w:sz w:val="21"/>
          <w:szCs w:val="21"/>
        </w:rPr>
        <w:t>（1） 存货分类</w:t>
      </w:r>
      <w:bookmarkEnd w:id="11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19,331,559.86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22,997.34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19,308,562.52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19,568,066.19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67,710.50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19,500,355.69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18,317,592.32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18,317,592.32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11,836,276.95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11,836,276.95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39,924,397.23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1,096,605.96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38,827,791.27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29,253,554.96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1,866,813.06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27,386,741.90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周转材料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12,295,227.08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12,295,227.08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12,604,986.27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12,604,986.27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发出商品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13,061,515.62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13,061,515.62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7,507,069.83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7,507,069.83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委托加工物资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4,148,867.57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4,148,867.57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2,879,776.75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2,879,776.75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自制半成品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34,261,812.66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985,582.23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33,276,230.43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31,955,125.17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1,148,146.45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30,806,978.72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141,340,972.34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2,105,185.53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139,235,786.81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115,604,856.12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3,082,670.01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112,522,186.11</w:t>
            </w:r>
          </w:p>
        </w:tc>
      </w:tr>
    </w:tbl>
    <w:p>
      <w:pPr>
        <w:keepNext/>
        <w:keepLines/>
        <w:spacing w:before="300" w:after="300" w:line="280" w:lineRule="exact"/>
        <w:jc w:val="left"/>
        <w:outlineLvl w:val="3"/>
        <w:rPr>
          <w:rFonts w:ascii="宋体" w:hAnsi="宋体" w:eastAsia="宋体" w:cs="宋体"/>
          <w:b/>
          <w:bCs/>
          <w:sz w:val="21"/>
          <w:szCs w:val="21"/>
        </w:rPr>
      </w:pPr>
      <w:bookmarkStart w:id="120" w:name="_Toc989095"/>
      <w:r>
        <w:rPr>
          <w:rFonts w:ascii="宋体" w:hAnsi="宋体" w:eastAsia="宋体" w:cs="宋体"/>
          <w:b/>
          <w:bCs/>
          <w:sz w:val="21"/>
          <w:szCs w:val="21"/>
        </w:rPr>
        <w:t>（2） 存货跌价准备和合同履约成本减值准备</w:t>
      </w:r>
      <w:bookmarkEnd w:id="12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转回或转销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67,710.50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5,703.48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50,416.64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1,866,813.06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176,902.17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947,109.27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1,096,605.96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自制半成品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1,148,146.45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477,216.07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639,780.29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985,582.23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3,082,670.01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659,821.72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1,637,306.20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2,105,185.53</w:t>
            </w:r>
          </w:p>
        </w:tc>
      </w:tr>
    </w:tbl>
    <w:p>
      <w:pPr>
        <w:spacing w:before="60" w:after="60" w:line="0" w:lineRule="exact"/>
        <w:jc w:val="left"/>
      </w:pP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410"/>
        <w:gridCol w:w="2196"/>
        <w:gridCol w:w="2523"/>
        <w:gridCol w:w="27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454" w:hRule="atLeast"/>
        </w:trPr>
        <w:tc>
          <w:tcPr>
            <w:tcW w:w="1410" w:type="dxa"/>
            <w:tcBorders>
              <w:top w:val="single" w:color="auto" w:sz="8" w:space="0"/>
              <w:left w:val="single" w:color="auto" w:sz="8" w:space="0"/>
              <w:bottom w:val="single" w:color="auto" w:sz="8" w:space="0"/>
              <w:right w:val="single" w:color="auto" w:sz="8" w:space="0"/>
            </w:tcBorders>
            <w:shd w:val="clear"/>
            <w:tcMar>
              <w:top w:w="0" w:type="dxa"/>
              <w:left w:w="31" w:type="dxa"/>
              <w:bottom w:w="0" w:type="dxa"/>
              <w:right w:w="31"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项目</w:t>
            </w:r>
          </w:p>
        </w:tc>
        <w:tc>
          <w:tcPr>
            <w:tcW w:w="2196" w:type="dxa"/>
            <w:tcBorders>
              <w:top w:val="single" w:color="auto" w:sz="8" w:space="0"/>
              <w:left w:val="nil"/>
              <w:bottom w:val="single" w:color="auto" w:sz="8" w:space="0"/>
              <w:right w:val="single" w:color="auto" w:sz="8" w:space="0"/>
            </w:tcBorders>
            <w:shd w:val="clear"/>
            <w:tcMar>
              <w:top w:w="0" w:type="dxa"/>
              <w:left w:w="31" w:type="dxa"/>
              <w:bottom w:w="0" w:type="dxa"/>
              <w:right w:w="31"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计提存货跌价准备的依据</w:t>
            </w:r>
          </w:p>
        </w:tc>
        <w:tc>
          <w:tcPr>
            <w:tcW w:w="2523" w:type="dxa"/>
            <w:tcBorders>
              <w:top w:val="single" w:color="auto" w:sz="8" w:space="0"/>
              <w:left w:val="nil"/>
              <w:bottom w:val="single" w:color="auto" w:sz="8" w:space="0"/>
              <w:right w:val="single" w:color="auto" w:sz="8" w:space="0"/>
            </w:tcBorders>
            <w:shd w:val="clear"/>
            <w:tcMar>
              <w:top w:w="0" w:type="dxa"/>
              <w:left w:w="31" w:type="dxa"/>
              <w:bottom w:w="0" w:type="dxa"/>
              <w:right w:w="31"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本期转回存货跌价准备的原因</w:t>
            </w:r>
          </w:p>
        </w:tc>
        <w:tc>
          <w:tcPr>
            <w:tcW w:w="2737" w:type="dxa"/>
            <w:tcBorders>
              <w:top w:val="single" w:color="auto" w:sz="8" w:space="0"/>
              <w:left w:val="nil"/>
              <w:bottom w:val="single" w:color="auto" w:sz="8" w:space="0"/>
              <w:right w:val="single" w:color="auto" w:sz="8" w:space="0"/>
            </w:tcBorders>
            <w:shd w:val="clear"/>
            <w:tcMar>
              <w:top w:w="0" w:type="dxa"/>
              <w:left w:w="31" w:type="dxa"/>
              <w:bottom w:w="0" w:type="dxa"/>
              <w:right w:w="31"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本期转销存货跌价准备的原因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1410" w:type="dxa"/>
            <w:tcBorders>
              <w:top w:val="nil"/>
              <w:left w:val="single" w:color="auto" w:sz="8" w:space="0"/>
              <w:bottom w:val="single" w:color="auto" w:sz="8" w:space="0"/>
              <w:right w:val="single" w:color="auto" w:sz="8" w:space="0"/>
            </w:tcBorders>
            <w:shd w:val="clear"/>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原材料</w:t>
            </w:r>
          </w:p>
        </w:tc>
        <w:tc>
          <w:tcPr>
            <w:tcW w:w="2196" w:type="dxa"/>
            <w:tcBorders>
              <w:top w:val="nil"/>
              <w:left w:val="nil"/>
              <w:bottom w:val="single" w:color="auto" w:sz="8" w:space="0"/>
              <w:right w:val="single" w:color="auto" w:sz="8" w:space="0"/>
            </w:tcBorders>
            <w:shd w:val="clear"/>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原材料的可变现净值低于原材料成本</w:t>
            </w:r>
          </w:p>
        </w:tc>
        <w:tc>
          <w:tcPr>
            <w:tcW w:w="2523" w:type="dxa"/>
            <w:tcBorders>
              <w:top w:val="nil"/>
              <w:left w:val="nil"/>
              <w:bottom w:val="single" w:color="auto" w:sz="8" w:space="0"/>
              <w:right w:val="single" w:color="auto" w:sz="8" w:space="0"/>
            </w:tcBorders>
            <w:shd w:val="clear"/>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本期无转回</w:t>
            </w:r>
          </w:p>
        </w:tc>
        <w:tc>
          <w:tcPr>
            <w:tcW w:w="2737" w:type="dxa"/>
            <w:tcBorders>
              <w:top w:val="nil"/>
              <w:left w:val="nil"/>
              <w:bottom w:val="single" w:color="auto" w:sz="8" w:space="0"/>
              <w:right w:val="single" w:color="auto" w:sz="8" w:space="0"/>
            </w:tcBorders>
            <w:shd w:val="clear"/>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本期生产完成并销售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1410" w:type="dxa"/>
            <w:tcBorders>
              <w:top w:val="nil"/>
              <w:left w:val="single" w:color="auto" w:sz="8" w:space="0"/>
              <w:bottom w:val="single" w:color="auto" w:sz="8" w:space="0"/>
              <w:right w:val="single" w:color="auto" w:sz="8" w:space="0"/>
            </w:tcBorders>
            <w:shd w:val="clear"/>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库存商品</w:t>
            </w:r>
          </w:p>
        </w:tc>
        <w:tc>
          <w:tcPr>
            <w:tcW w:w="2196" w:type="dxa"/>
            <w:tcBorders>
              <w:top w:val="nil"/>
              <w:left w:val="nil"/>
              <w:bottom w:val="single" w:color="auto" w:sz="8" w:space="0"/>
              <w:right w:val="single" w:color="auto" w:sz="8" w:space="0"/>
            </w:tcBorders>
            <w:shd w:val="clear"/>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库存商品的可变现净值低于库存商品成本</w:t>
            </w:r>
          </w:p>
        </w:tc>
        <w:tc>
          <w:tcPr>
            <w:tcW w:w="2523" w:type="dxa"/>
            <w:tcBorders>
              <w:top w:val="nil"/>
              <w:left w:val="nil"/>
              <w:bottom w:val="single" w:color="auto" w:sz="8" w:space="0"/>
              <w:right w:val="single" w:color="auto" w:sz="8" w:space="0"/>
            </w:tcBorders>
            <w:shd w:val="clear"/>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本期无转回</w:t>
            </w:r>
          </w:p>
        </w:tc>
        <w:tc>
          <w:tcPr>
            <w:tcW w:w="2737" w:type="dxa"/>
            <w:tcBorders>
              <w:top w:val="nil"/>
              <w:left w:val="nil"/>
              <w:bottom w:val="single" w:color="auto" w:sz="8" w:space="0"/>
              <w:right w:val="single" w:color="auto" w:sz="8" w:space="0"/>
            </w:tcBorders>
            <w:shd w:val="clear"/>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本期已销售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1410" w:type="dxa"/>
            <w:tcBorders>
              <w:top w:val="nil"/>
              <w:left w:val="single" w:color="auto" w:sz="8" w:space="0"/>
              <w:bottom w:val="single" w:color="auto" w:sz="8" w:space="0"/>
              <w:right w:val="single" w:color="auto" w:sz="8" w:space="0"/>
            </w:tcBorders>
            <w:shd w:val="clear"/>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自制半成品</w:t>
            </w:r>
          </w:p>
        </w:tc>
        <w:tc>
          <w:tcPr>
            <w:tcW w:w="2196" w:type="dxa"/>
            <w:tcBorders>
              <w:top w:val="nil"/>
              <w:left w:val="nil"/>
              <w:bottom w:val="single" w:color="auto" w:sz="8" w:space="0"/>
              <w:right w:val="single" w:color="auto" w:sz="8" w:space="0"/>
            </w:tcBorders>
            <w:shd w:val="clear"/>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自制半成品的可变现净值低于自制半成品成本</w:t>
            </w:r>
          </w:p>
        </w:tc>
        <w:tc>
          <w:tcPr>
            <w:tcW w:w="2523" w:type="dxa"/>
            <w:tcBorders>
              <w:top w:val="nil"/>
              <w:left w:val="nil"/>
              <w:bottom w:val="single" w:color="auto" w:sz="8" w:space="0"/>
              <w:right w:val="single" w:color="auto" w:sz="8" w:space="0"/>
            </w:tcBorders>
            <w:shd w:val="clear"/>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本期无转回</w:t>
            </w:r>
          </w:p>
        </w:tc>
        <w:tc>
          <w:tcPr>
            <w:tcW w:w="2737" w:type="dxa"/>
            <w:tcBorders>
              <w:top w:val="nil"/>
              <w:left w:val="nil"/>
              <w:bottom w:val="single" w:color="auto" w:sz="8" w:space="0"/>
              <w:right w:val="single" w:color="auto" w:sz="8" w:space="0"/>
            </w:tcBorders>
            <w:shd w:val="clear"/>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本期生产完成并销售</w:t>
            </w:r>
          </w:p>
        </w:tc>
      </w:tr>
    </w:tbl>
    <w:p>
      <w:pPr>
        <w:keepNext/>
        <w:keepLines/>
        <w:spacing w:before="300" w:after="300" w:line="280" w:lineRule="exact"/>
        <w:jc w:val="left"/>
        <w:outlineLvl w:val="3"/>
        <w:rPr>
          <w:rFonts w:ascii="宋体" w:hAnsi="宋体" w:eastAsia="宋体" w:cs="宋体"/>
          <w:b/>
          <w:bCs/>
          <w:sz w:val="21"/>
          <w:szCs w:val="21"/>
        </w:rPr>
      </w:pPr>
      <w:bookmarkStart w:id="121" w:name="_Toc989096"/>
      <w:r>
        <w:rPr>
          <w:rFonts w:ascii="宋体" w:hAnsi="宋体" w:eastAsia="宋体" w:cs="宋体"/>
          <w:b/>
          <w:bCs/>
          <w:sz w:val="21"/>
          <w:szCs w:val="21"/>
        </w:rPr>
        <w:t>（3） 存货期末余额含有借款费用资本化金额的说明</w:t>
      </w:r>
      <w:bookmarkEnd w:id="121"/>
    </w:p>
    <w:p>
      <w:pPr>
        <w:keepNext/>
        <w:keepLines/>
        <w:spacing w:before="300" w:after="300" w:line="280" w:lineRule="exact"/>
        <w:jc w:val="left"/>
        <w:outlineLvl w:val="3"/>
        <w:rPr>
          <w:rFonts w:ascii="宋体" w:hAnsi="宋体" w:eastAsia="宋体" w:cs="宋体"/>
          <w:b/>
          <w:bCs/>
          <w:sz w:val="21"/>
          <w:szCs w:val="21"/>
        </w:rPr>
      </w:pPr>
      <w:bookmarkStart w:id="122" w:name="_Toc989097"/>
      <w:r>
        <w:rPr>
          <w:rFonts w:ascii="宋体" w:hAnsi="宋体" w:eastAsia="宋体" w:cs="宋体"/>
          <w:b/>
          <w:bCs/>
          <w:sz w:val="21"/>
          <w:szCs w:val="21"/>
        </w:rPr>
        <w:t>（4） 合同履约成本本期摊销金额的说明</w:t>
      </w:r>
      <w:bookmarkEnd w:id="122"/>
    </w:p>
    <w:p>
      <w:pPr>
        <w:keepNext/>
        <w:keepLines/>
        <w:spacing w:before="300" w:after="300" w:line="280" w:lineRule="exact"/>
        <w:jc w:val="left"/>
        <w:outlineLvl w:val="2"/>
        <w:rPr>
          <w:rFonts w:ascii="宋体" w:hAnsi="宋体" w:eastAsia="宋体" w:cs="宋体"/>
          <w:b/>
          <w:bCs/>
          <w:sz w:val="21"/>
          <w:szCs w:val="21"/>
        </w:rPr>
      </w:pPr>
      <w:bookmarkStart w:id="123" w:name="_Toc989098"/>
      <w:r>
        <w:rPr>
          <w:rFonts w:ascii="宋体" w:hAnsi="宋体" w:eastAsia="宋体" w:cs="宋体"/>
          <w:b/>
          <w:bCs/>
          <w:sz w:val="21"/>
          <w:szCs w:val="21"/>
        </w:rPr>
        <w:t>10、合同资产</w:t>
      </w:r>
      <w:bookmarkEnd w:id="12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合同资产的账面价值在本期内发生的重大变动金额和原因：</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如是按照预期信用损失一般模型计提合同资产减值准备，请参照其他应收款的披露方式披露减值准备的相关信息：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本期合同资产计提减值准备情况：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本期转回</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本期转销/核销</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24" w:name="_Toc989099"/>
      <w:r>
        <w:rPr>
          <w:rFonts w:ascii="宋体" w:hAnsi="宋体" w:eastAsia="宋体" w:cs="宋体"/>
          <w:b/>
          <w:bCs/>
          <w:sz w:val="21"/>
          <w:szCs w:val="21"/>
        </w:rPr>
        <w:t>11、持有待售资产</w:t>
      </w:r>
      <w:bookmarkEnd w:id="12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公允价值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预计处置费用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预计处置时间</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25" w:name="_Toc989100"/>
      <w:r>
        <w:rPr>
          <w:rFonts w:ascii="宋体" w:hAnsi="宋体" w:eastAsia="宋体" w:cs="宋体"/>
          <w:b/>
          <w:bCs/>
          <w:sz w:val="21"/>
          <w:szCs w:val="21"/>
        </w:rPr>
        <w:t>12、一年内到期的非流动资产</w:t>
      </w:r>
      <w:bookmarkEnd w:id="12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重要的债权投资/其他债权投资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债权项目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26" w:name="_Toc989101"/>
      <w:r>
        <w:rPr>
          <w:rFonts w:ascii="宋体" w:hAnsi="宋体" w:eastAsia="宋体" w:cs="宋体"/>
          <w:b/>
          <w:bCs/>
          <w:sz w:val="21"/>
          <w:szCs w:val="21"/>
        </w:rPr>
        <w:t>13、其他流动资产</w:t>
      </w:r>
      <w:bookmarkEnd w:id="12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待抵扣增值税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7,324.49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1,108,201.67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待摊的财产保险费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136,501.88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已赎回未到账的银行理财产品</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27,220,011.38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大额定期存单</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60,409,758.87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60,066,366.64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60,417,083.36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88,531,081.57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27" w:name="_Toc989102"/>
      <w:r>
        <w:rPr>
          <w:rFonts w:ascii="宋体" w:hAnsi="宋体" w:eastAsia="宋体" w:cs="宋体"/>
          <w:b/>
          <w:bCs/>
          <w:sz w:val="21"/>
          <w:szCs w:val="21"/>
        </w:rPr>
        <w:t>14、债权投资</w:t>
      </w:r>
      <w:bookmarkEnd w:id="12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重要的债权投资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债权项目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减值准备计提情况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28" w:name="_Toc989103"/>
      <w:r>
        <w:rPr>
          <w:rFonts w:ascii="宋体" w:hAnsi="宋体" w:eastAsia="宋体" w:cs="宋体"/>
          <w:b/>
          <w:bCs/>
          <w:sz w:val="21"/>
          <w:szCs w:val="21"/>
        </w:rPr>
        <w:t>15、其他债权投资</w:t>
      </w:r>
      <w:bookmarkEnd w:id="12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应计利息</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累计在其他综合收益中确认的损失准备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重要的其他债权投资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其他债权项目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减值准备计提情况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29" w:name="_Toc989104"/>
      <w:r>
        <w:rPr>
          <w:rFonts w:ascii="宋体" w:hAnsi="宋体" w:eastAsia="宋体" w:cs="宋体"/>
          <w:b/>
          <w:bCs/>
          <w:sz w:val="21"/>
          <w:szCs w:val="21"/>
        </w:rPr>
        <w:t>16、长期应收款</w:t>
      </w:r>
      <w:bookmarkEnd w:id="129"/>
    </w:p>
    <w:p>
      <w:pPr>
        <w:keepNext/>
        <w:keepLines/>
        <w:spacing w:before="300" w:after="300" w:line="280" w:lineRule="exact"/>
        <w:jc w:val="left"/>
        <w:outlineLvl w:val="3"/>
        <w:rPr>
          <w:rFonts w:ascii="宋体" w:hAnsi="宋体" w:eastAsia="宋体" w:cs="宋体"/>
          <w:b/>
          <w:bCs/>
          <w:sz w:val="21"/>
          <w:szCs w:val="21"/>
        </w:rPr>
      </w:pPr>
      <w:bookmarkStart w:id="130" w:name="_Toc989105"/>
      <w:r>
        <w:rPr>
          <w:rFonts w:ascii="宋体" w:hAnsi="宋体" w:eastAsia="宋体" w:cs="宋体"/>
          <w:b/>
          <w:bCs/>
          <w:sz w:val="21"/>
          <w:szCs w:val="21"/>
        </w:rPr>
        <w:t>（1） 长期应收款情况</w:t>
      </w:r>
      <w:bookmarkEnd w:id="13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61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61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折现率区间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坏账准备减值情况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31" w:name="_Toc989106"/>
      <w:r>
        <w:rPr>
          <w:rFonts w:ascii="宋体" w:hAnsi="宋体" w:eastAsia="宋体" w:cs="宋体"/>
          <w:b/>
          <w:bCs/>
          <w:sz w:val="21"/>
          <w:szCs w:val="21"/>
        </w:rPr>
        <w:t>（2） 因金融资产转移而终止确认的长期应收款</w:t>
      </w:r>
      <w:bookmarkEnd w:id="131"/>
    </w:p>
    <w:p>
      <w:pPr>
        <w:keepNext/>
        <w:keepLines/>
        <w:spacing w:before="300" w:after="300" w:line="280" w:lineRule="exact"/>
        <w:jc w:val="left"/>
        <w:outlineLvl w:val="3"/>
        <w:rPr>
          <w:rFonts w:ascii="宋体" w:hAnsi="宋体" w:eastAsia="宋体" w:cs="宋体"/>
          <w:b/>
          <w:bCs/>
          <w:sz w:val="21"/>
          <w:szCs w:val="21"/>
        </w:rPr>
      </w:pPr>
      <w:bookmarkStart w:id="132" w:name="_Toc989107"/>
      <w:r>
        <w:rPr>
          <w:rFonts w:ascii="宋体" w:hAnsi="宋体" w:eastAsia="宋体" w:cs="宋体"/>
          <w:b/>
          <w:bCs/>
          <w:sz w:val="21"/>
          <w:szCs w:val="21"/>
        </w:rPr>
        <w:t>（3） 转移长期应收款且继续涉入形成的资产、负债金额</w:t>
      </w:r>
      <w:bookmarkEnd w:id="132"/>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33" w:name="_Toc989108"/>
      <w:r>
        <w:rPr>
          <w:rFonts w:ascii="宋体" w:hAnsi="宋体" w:eastAsia="宋体" w:cs="宋体"/>
          <w:b/>
          <w:bCs/>
          <w:sz w:val="21"/>
          <w:szCs w:val="21"/>
        </w:rPr>
        <w:t>17、长期股权投资</w:t>
      </w:r>
      <w:bookmarkEnd w:id="13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6426"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34" w:name="_Toc989109"/>
      <w:r>
        <w:rPr>
          <w:rFonts w:ascii="宋体" w:hAnsi="宋体" w:eastAsia="宋体" w:cs="宋体"/>
          <w:b/>
          <w:bCs/>
          <w:sz w:val="21"/>
          <w:szCs w:val="21"/>
        </w:rPr>
        <w:t>18、其他权益工具投资</w:t>
      </w:r>
      <w:bookmarkEnd w:id="13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分项披露本期非交易性权益工具投资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确认的股利收入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累计利得</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累计损失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指定为以公允价值计量且其变动计入其他综合收益的原因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35" w:name="_Toc989110"/>
      <w:r>
        <w:rPr>
          <w:rFonts w:ascii="宋体" w:hAnsi="宋体" w:eastAsia="宋体" w:cs="宋体"/>
          <w:b/>
          <w:bCs/>
          <w:sz w:val="21"/>
          <w:szCs w:val="21"/>
        </w:rPr>
        <w:t>19、其他非流动金融资产</w:t>
      </w:r>
      <w:bookmarkEnd w:id="13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36" w:name="_Toc989111"/>
      <w:r>
        <w:rPr>
          <w:rFonts w:ascii="宋体" w:hAnsi="宋体" w:eastAsia="宋体" w:cs="宋体"/>
          <w:b/>
          <w:bCs/>
          <w:sz w:val="21"/>
          <w:szCs w:val="21"/>
        </w:rPr>
        <w:t>20、投资性房地产</w:t>
      </w:r>
      <w:bookmarkEnd w:id="136"/>
    </w:p>
    <w:p>
      <w:pPr>
        <w:keepNext/>
        <w:keepLines/>
        <w:spacing w:before="300" w:after="300" w:line="280" w:lineRule="exact"/>
        <w:jc w:val="left"/>
        <w:outlineLvl w:val="3"/>
        <w:rPr>
          <w:rFonts w:ascii="宋体" w:hAnsi="宋体" w:eastAsia="宋体" w:cs="宋体"/>
          <w:b/>
          <w:bCs/>
          <w:sz w:val="18"/>
          <w:szCs w:val="18"/>
        </w:rPr>
      </w:pPr>
      <w:bookmarkStart w:id="137" w:name="_Toc989112"/>
      <w:r>
        <w:rPr>
          <w:rFonts w:ascii="宋体" w:hAnsi="宋体" w:eastAsia="宋体" w:cs="宋体"/>
          <w:b/>
          <w:bCs/>
          <w:sz w:val="18"/>
          <w:szCs w:val="18"/>
        </w:rPr>
        <w:t>（1） 采用成本计量模式的投资性房地产</w:t>
      </w:r>
      <w:bookmarkEnd w:id="137"/>
    </w:p>
    <w:p>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房屋、建筑物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在建工程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13,485,783.49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2,253,604.32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15,739,387.81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（1）外购</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（2）存货\固定资产\在建工程转入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4,048,389.81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1,010,302.60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5,058,692.41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3,829,395.75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1,010,302.60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4,839,698.35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（3）转入固定资产及无形资产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218,994.06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218,994.06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9,437,393.68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1,243,301.72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10,680,695.40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二、累计折旧和累计摊销</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9,296,674.05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864,051.98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10,160,726.03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84,730.74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8,152.92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92,883.66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（1）计提或摊销</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84,730.74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8,152.92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92,883.66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914,774.21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59,649.00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974,423.21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722,224.15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59,649.00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781,873.15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（3）转入固定资产及无形资产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192,550.06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192,550.06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8,466,630.58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812,555.90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9,279,186.48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970,763.10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430,745.82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1,401,508.92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4,189,109.44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1,389,552.34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5,578,661.78</w:t>
            </w:r>
          </w:p>
        </w:tc>
      </w:tr>
    </w:tbl>
    <w:p>
      <w:pPr>
        <w:keepNext/>
        <w:keepLines/>
        <w:spacing w:before="300" w:after="300" w:line="280" w:lineRule="exact"/>
        <w:jc w:val="left"/>
        <w:outlineLvl w:val="3"/>
        <w:rPr>
          <w:rFonts w:ascii="宋体" w:hAnsi="宋体" w:eastAsia="宋体" w:cs="宋体"/>
          <w:b/>
          <w:bCs/>
          <w:sz w:val="18"/>
          <w:szCs w:val="18"/>
        </w:rPr>
      </w:pPr>
      <w:bookmarkStart w:id="138" w:name="_Toc989113"/>
      <w:r>
        <w:rPr>
          <w:rFonts w:ascii="宋体" w:hAnsi="宋体" w:eastAsia="宋体" w:cs="宋体"/>
          <w:b/>
          <w:bCs/>
          <w:sz w:val="18"/>
          <w:szCs w:val="18"/>
        </w:rPr>
        <w:t>（2） 采用公允价值计量模式的投资性房地产</w:t>
      </w:r>
      <w:bookmarkEnd w:id="138"/>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139" w:name="_Toc989114"/>
      <w:r>
        <w:rPr>
          <w:rFonts w:ascii="宋体" w:hAnsi="宋体" w:eastAsia="宋体" w:cs="宋体"/>
          <w:b/>
          <w:bCs/>
          <w:sz w:val="18"/>
          <w:szCs w:val="18"/>
        </w:rPr>
        <w:t>（3） 未办妥产权证书的投资性房地产情况</w:t>
      </w:r>
      <w:bookmarkEnd w:id="13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40" w:name="_Toc989115"/>
      <w:r>
        <w:rPr>
          <w:rFonts w:ascii="宋体" w:hAnsi="宋体" w:eastAsia="宋体" w:cs="宋体"/>
          <w:b/>
          <w:bCs/>
          <w:sz w:val="21"/>
          <w:szCs w:val="21"/>
        </w:rPr>
        <w:t>21、固定资产</w:t>
      </w:r>
      <w:bookmarkEnd w:id="14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240,212,694.52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250,212,871.99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240,212,694.52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250,212,871.99</w:t>
            </w:r>
          </w:p>
        </w:tc>
      </w:tr>
    </w:tbl>
    <w:p>
      <w:pPr>
        <w:keepNext/>
        <w:keepLines/>
        <w:spacing w:before="300" w:after="300" w:line="280" w:lineRule="exact"/>
        <w:jc w:val="left"/>
        <w:outlineLvl w:val="3"/>
        <w:rPr>
          <w:rFonts w:ascii="宋体" w:hAnsi="宋体" w:eastAsia="宋体" w:cs="宋体"/>
          <w:b/>
          <w:bCs/>
          <w:sz w:val="21"/>
          <w:szCs w:val="21"/>
        </w:rPr>
      </w:pPr>
      <w:bookmarkStart w:id="141" w:name="_Toc989116"/>
      <w:r>
        <w:rPr>
          <w:rFonts w:ascii="宋体" w:hAnsi="宋体" w:eastAsia="宋体" w:cs="宋体"/>
          <w:b/>
          <w:bCs/>
          <w:sz w:val="21"/>
          <w:szCs w:val="21"/>
        </w:rPr>
        <w:t>（1） 固定资产情况</w:t>
      </w:r>
      <w:bookmarkEnd w:id="14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房屋及建筑物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机器设备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运输工具</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电子设备及其他</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160,806,010.18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193,974,502.82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5,793,251.72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11,618,162.76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372,191,927.48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374,590.44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1,725,222.37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129,911.50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3,241,710.46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5,471,434.77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（1）购置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170,796.46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129,911.50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365,679.63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666,387.59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（2）在建工程转入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155,596.38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1,554,425.91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2,876,030.83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4,586,053.12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（4）投资性房地产转入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218,994.06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218,994.06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2,495,283.60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1,518,425.07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196,337.73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4,210,046.40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2,495,283.60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1,518,425.07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196,337.73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4,210,046.40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158,685,317.02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194,181,300.12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5,923,163.22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14,663,535.49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373,453,315.85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53,999,886.06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56,726,230.26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4,524,190.55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6,728,748.62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121,979,055.49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3,860,105.67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7,021,158.21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201,498.78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1,916,077.71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12,998,840.37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3,667,555.61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7,021,158.21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201,498.78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1,916,077.71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12,806,290.31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（2）投资性房地产转入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192,550.06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192,550.06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588,141.05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937,253.12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211,880.36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1,737,274.53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588,141.05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937,253.12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211,880.36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1,737,274.53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57,271,850.68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62,810,135.35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4,725,689.33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8,432,945.97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133,240,621.33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101,413,466.34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131,371,164.77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1,197,473.89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6,230,589.52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240,212,694.52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106,806,124.12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137,248,272.56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1,269,061.17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4,889,414.14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250,212,871.99</w:t>
            </w:r>
          </w:p>
        </w:tc>
      </w:tr>
    </w:tbl>
    <w:p>
      <w:pPr>
        <w:keepNext/>
        <w:keepLines/>
        <w:spacing w:before="300" w:after="300" w:line="280" w:lineRule="exact"/>
        <w:jc w:val="left"/>
        <w:outlineLvl w:val="3"/>
        <w:rPr>
          <w:rFonts w:ascii="宋体" w:hAnsi="宋体" w:eastAsia="宋体" w:cs="宋体"/>
          <w:b/>
          <w:bCs/>
          <w:sz w:val="21"/>
          <w:szCs w:val="21"/>
        </w:rPr>
      </w:pPr>
      <w:bookmarkStart w:id="142" w:name="_Toc989117"/>
      <w:r>
        <w:rPr>
          <w:rFonts w:ascii="宋体" w:hAnsi="宋体" w:eastAsia="宋体" w:cs="宋体"/>
          <w:b/>
          <w:bCs/>
          <w:sz w:val="21"/>
          <w:szCs w:val="21"/>
        </w:rPr>
        <w:t>（2） 暂时闲置的固定资产情况</w:t>
      </w:r>
      <w:bookmarkEnd w:id="14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账面原值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累计折旧</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bl>
    <w:p>
      <w:pPr>
        <w:keepNext/>
        <w:keepLines/>
        <w:spacing w:before="300" w:after="300" w:line="280" w:lineRule="exact"/>
        <w:jc w:val="left"/>
        <w:outlineLvl w:val="3"/>
        <w:rPr>
          <w:rFonts w:ascii="宋体" w:hAnsi="宋体" w:eastAsia="宋体" w:cs="宋体"/>
          <w:b/>
          <w:bCs/>
          <w:sz w:val="21"/>
          <w:szCs w:val="21"/>
        </w:rPr>
      </w:pPr>
      <w:bookmarkStart w:id="143" w:name="_Toc989118"/>
      <w:r>
        <w:rPr>
          <w:rFonts w:ascii="宋体" w:hAnsi="宋体" w:eastAsia="宋体" w:cs="宋体"/>
          <w:b/>
          <w:bCs/>
          <w:sz w:val="21"/>
          <w:szCs w:val="21"/>
        </w:rPr>
        <w:t>（3） 通过经营租赁租出的固定资产</w:t>
      </w:r>
      <w:bookmarkEnd w:id="14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期末账面价值</w:t>
            </w:r>
          </w:p>
        </w:tc>
      </w:tr>
    </w:tbl>
    <w:p>
      <w:pPr>
        <w:keepNext/>
        <w:keepLines/>
        <w:spacing w:before="300" w:after="300" w:line="280" w:lineRule="exact"/>
        <w:jc w:val="left"/>
        <w:outlineLvl w:val="3"/>
        <w:rPr>
          <w:rFonts w:ascii="宋体" w:hAnsi="宋体" w:eastAsia="宋体" w:cs="宋体"/>
          <w:b/>
          <w:bCs/>
          <w:sz w:val="21"/>
          <w:szCs w:val="21"/>
        </w:rPr>
      </w:pPr>
      <w:bookmarkStart w:id="144" w:name="_Toc989119"/>
      <w:r>
        <w:rPr>
          <w:rFonts w:ascii="宋体" w:hAnsi="宋体" w:eastAsia="宋体" w:cs="宋体"/>
          <w:b/>
          <w:bCs/>
          <w:sz w:val="21"/>
          <w:szCs w:val="21"/>
        </w:rPr>
        <w:t>（4） 未办妥产权证书的固定资产情况</w:t>
      </w:r>
      <w:bookmarkEnd w:id="14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莱州伟隆新厂3#车间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3,068,807.34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正在办理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莱州伟隆新厂4#车间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4,843,508.98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正在办理</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145" w:name="_Toc989120"/>
      <w:r>
        <w:rPr>
          <w:rFonts w:ascii="宋体" w:hAnsi="宋体" w:eastAsia="宋体" w:cs="宋体"/>
          <w:b/>
          <w:bCs/>
          <w:sz w:val="21"/>
          <w:szCs w:val="21"/>
        </w:rPr>
        <w:t>（5） 固定资产清理</w:t>
      </w:r>
      <w:bookmarkEnd w:id="14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46" w:name="_Toc989121"/>
      <w:r>
        <w:rPr>
          <w:rFonts w:ascii="宋体" w:hAnsi="宋体" w:eastAsia="宋体" w:cs="宋体"/>
          <w:b/>
          <w:bCs/>
          <w:sz w:val="21"/>
          <w:szCs w:val="21"/>
        </w:rPr>
        <w:t>22、在建工程</w:t>
      </w:r>
      <w:bookmarkEnd w:id="14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3,814,839.26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3,814,839.26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r>
    </w:tbl>
    <w:p>
      <w:pPr>
        <w:keepNext/>
        <w:keepLines/>
        <w:spacing w:before="300" w:after="300" w:line="280" w:lineRule="exact"/>
        <w:jc w:val="left"/>
        <w:outlineLvl w:val="3"/>
        <w:rPr>
          <w:rFonts w:ascii="宋体" w:hAnsi="宋体" w:eastAsia="宋体" w:cs="宋体"/>
          <w:b/>
          <w:bCs/>
          <w:sz w:val="21"/>
          <w:szCs w:val="21"/>
        </w:rPr>
      </w:pPr>
      <w:bookmarkStart w:id="147" w:name="_Toc989122"/>
      <w:r>
        <w:rPr>
          <w:rFonts w:ascii="宋体" w:hAnsi="宋体" w:eastAsia="宋体" w:cs="宋体"/>
          <w:b/>
          <w:bCs/>
          <w:sz w:val="21"/>
          <w:szCs w:val="21"/>
        </w:rPr>
        <w:t>（1） 在建工程情况</w:t>
      </w:r>
      <w:bookmarkEnd w:id="14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待安装设备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939,183.37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939,183.37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3,567,107.44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3,567,107.44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厂房及零星工程等</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2,875,655.89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2,875,655.89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3,814,839.26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3,814,839.26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r>
    </w:tbl>
    <w:p>
      <w:pPr>
        <w:keepNext/>
        <w:keepLines/>
        <w:spacing w:before="300" w:after="300" w:line="280" w:lineRule="exact"/>
        <w:jc w:val="left"/>
        <w:outlineLvl w:val="3"/>
        <w:rPr>
          <w:rFonts w:ascii="宋体" w:hAnsi="宋体" w:eastAsia="宋体" w:cs="宋体"/>
          <w:b/>
          <w:bCs/>
          <w:sz w:val="21"/>
          <w:szCs w:val="21"/>
        </w:rPr>
      </w:pPr>
      <w:bookmarkStart w:id="148" w:name="_Toc989123"/>
      <w:r>
        <w:rPr>
          <w:rFonts w:ascii="宋体" w:hAnsi="宋体" w:eastAsia="宋体" w:cs="宋体"/>
          <w:b/>
          <w:bCs/>
          <w:sz w:val="21"/>
          <w:szCs w:val="21"/>
        </w:rPr>
        <w:t>（2） 重要在建工程项目本期变动情况</w:t>
      </w:r>
      <w:bookmarkEnd w:id="14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预算数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本期转入固定资产金额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本期其他减少金额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工程累计投入占预算比例</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工程进度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利息资本化累计金额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其中：本期利息资本化金额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本期利息资本化率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资金来源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待安装设备</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3,567,107.44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1,876,117.58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4,430,456.74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73,584.91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939,183.37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厂房及零星工程等</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3,031,252.27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155,596.38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2,875,655.89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4,907,369.85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4,586,053.12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1,156,153.73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3,814,839.26</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3"/>
        <w:rPr>
          <w:rFonts w:ascii="宋体" w:hAnsi="宋体" w:eastAsia="宋体" w:cs="宋体"/>
          <w:b/>
          <w:bCs/>
          <w:sz w:val="21"/>
          <w:szCs w:val="21"/>
        </w:rPr>
      </w:pPr>
      <w:bookmarkStart w:id="149" w:name="_Toc989124"/>
      <w:r>
        <w:rPr>
          <w:rFonts w:ascii="宋体" w:hAnsi="宋体" w:eastAsia="宋体" w:cs="宋体"/>
          <w:b/>
          <w:bCs/>
          <w:sz w:val="21"/>
          <w:szCs w:val="21"/>
        </w:rPr>
        <w:t>（3） 本期计提在建工程减值准备情况</w:t>
      </w:r>
      <w:bookmarkEnd w:id="14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150" w:name="_Toc989125"/>
      <w:r>
        <w:rPr>
          <w:rFonts w:ascii="宋体" w:hAnsi="宋体" w:eastAsia="宋体" w:cs="宋体"/>
          <w:b/>
          <w:bCs/>
          <w:sz w:val="21"/>
          <w:szCs w:val="21"/>
        </w:rPr>
        <w:t>（4） 工程物资</w:t>
      </w:r>
      <w:bookmarkEnd w:id="15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51" w:name="_Toc989126"/>
      <w:r>
        <w:rPr>
          <w:rFonts w:ascii="宋体" w:hAnsi="宋体" w:eastAsia="宋体" w:cs="宋体"/>
          <w:b/>
          <w:bCs/>
          <w:sz w:val="21"/>
          <w:szCs w:val="21"/>
        </w:rPr>
        <w:t>23、生产性生物资产</w:t>
      </w:r>
      <w:bookmarkEnd w:id="151"/>
    </w:p>
    <w:p>
      <w:pPr>
        <w:keepNext/>
        <w:keepLines/>
        <w:spacing w:before="300" w:after="300" w:line="280" w:lineRule="exact"/>
        <w:jc w:val="left"/>
        <w:outlineLvl w:val="3"/>
        <w:rPr>
          <w:rFonts w:ascii="宋体" w:hAnsi="宋体" w:eastAsia="宋体" w:cs="宋体"/>
          <w:b/>
          <w:bCs/>
          <w:sz w:val="21"/>
          <w:szCs w:val="21"/>
        </w:rPr>
      </w:pPr>
      <w:bookmarkStart w:id="152" w:name="_Toc989127"/>
      <w:r>
        <w:rPr>
          <w:rFonts w:ascii="宋体" w:hAnsi="宋体" w:eastAsia="宋体" w:cs="宋体"/>
          <w:b/>
          <w:bCs/>
          <w:sz w:val="21"/>
          <w:szCs w:val="21"/>
        </w:rPr>
        <w:t>（1） 采用成本计量模式的生产性生物资产</w:t>
      </w:r>
      <w:bookmarkEnd w:id="152"/>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53" w:name="_Toc989128"/>
      <w:r>
        <w:rPr>
          <w:rFonts w:ascii="宋体" w:hAnsi="宋体" w:eastAsia="宋体" w:cs="宋体"/>
          <w:b/>
          <w:bCs/>
          <w:sz w:val="21"/>
          <w:szCs w:val="21"/>
        </w:rPr>
        <w:t>（2） 采用公允价值计量模式的生产性生物资产</w:t>
      </w:r>
      <w:bookmarkEnd w:id="153"/>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54" w:name="_Toc989129"/>
      <w:r>
        <w:rPr>
          <w:rFonts w:ascii="宋体" w:hAnsi="宋体" w:eastAsia="宋体" w:cs="宋体"/>
          <w:b/>
          <w:bCs/>
          <w:sz w:val="21"/>
          <w:szCs w:val="21"/>
        </w:rPr>
        <w:t>24、油气资产</w:t>
      </w:r>
      <w:bookmarkEnd w:id="154"/>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55" w:name="_Toc989130"/>
      <w:r>
        <w:rPr>
          <w:rFonts w:ascii="宋体" w:hAnsi="宋体" w:eastAsia="宋体" w:cs="宋体"/>
          <w:b/>
          <w:bCs/>
          <w:sz w:val="21"/>
          <w:szCs w:val="21"/>
        </w:rPr>
        <w:t>25、使用权资产</w:t>
      </w:r>
      <w:bookmarkEnd w:id="15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56" w:name="_Toc989131"/>
      <w:r>
        <w:rPr>
          <w:rFonts w:ascii="宋体" w:hAnsi="宋体" w:eastAsia="宋体" w:cs="宋体"/>
          <w:b/>
          <w:bCs/>
          <w:sz w:val="21"/>
          <w:szCs w:val="21"/>
        </w:rPr>
        <w:t>26、无形资产</w:t>
      </w:r>
      <w:bookmarkEnd w:id="156"/>
    </w:p>
    <w:p>
      <w:pPr>
        <w:keepNext/>
        <w:keepLines/>
        <w:spacing w:before="300" w:after="300" w:line="280" w:lineRule="exact"/>
        <w:jc w:val="left"/>
        <w:outlineLvl w:val="3"/>
        <w:rPr>
          <w:rFonts w:ascii="宋体" w:hAnsi="宋体" w:eastAsia="宋体" w:cs="宋体"/>
          <w:b/>
          <w:bCs/>
          <w:sz w:val="21"/>
          <w:szCs w:val="21"/>
        </w:rPr>
      </w:pPr>
      <w:bookmarkStart w:id="157" w:name="_Toc989132"/>
      <w:r>
        <w:rPr>
          <w:rFonts w:ascii="宋体" w:hAnsi="宋体" w:eastAsia="宋体" w:cs="宋体"/>
          <w:b/>
          <w:bCs/>
          <w:sz w:val="21"/>
          <w:szCs w:val="21"/>
        </w:rPr>
        <w:t>（1） 无形资产情况</w:t>
      </w:r>
      <w:bookmarkEnd w:id="15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专利权</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非专利技术</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计算机软件</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41,527,794.83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1,382,790.21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42,910,585.04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186,584.91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186,584.91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（1）购置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（2）内部研发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（4）在建工程转入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73,584.91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73,584.91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580,824.14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580,824.14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580,824.14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580,824.14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40,946,970.69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1,569,375.12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42,516,345.81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二、累计摊销</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7,635,533.14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759,404.13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8,394,937.27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437,796.60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99,617.01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537,413.61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437,796.60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99,617.01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537,413.61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34,176.60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34,176.60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34,176.60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34,176.60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8,039,153.14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859,021.14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8,898,174.28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32,907,817.55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710,353.98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33,618,171.53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33,892,261.69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623,386.08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34,515,647.77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本期末通过公司内部研发形成的无形资产占无形资产余额的比例</w:t>
      </w:r>
    </w:p>
    <w:p>
      <w:pPr>
        <w:keepNext/>
        <w:keepLines/>
        <w:spacing w:before="300" w:after="300" w:line="280" w:lineRule="exact"/>
        <w:jc w:val="left"/>
        <w:outlineLvl w:val="3"/>
        <w:rPr>
          <w:rFonts w:ascii="宋体" w:hAnsi="宋体" w:eastAsia="宋体" w:cs="宋体"/>
          <w:b/>
          <w:bCs/>
          <w:sz w:val="21"/>
          <w:szCs w:val="21"/>
        </w:rPr>
      </w:pPr>
      <w:bookmarkStart w:id="158" w:name="_Toc989133"/>
      <w:r>
        <w:rPr>
          <w:rFonts w:ascii="宋体" w:hAnsi="宋体" w:eastAsia="宋体" w:cs="宋体"/>
          <w:b/>
          <w:bCs/>
          <w:sz w:val="21"/>
          <w:szCs w:val="21"/>
        </w:rPr>
        <w:t>（2） 未办妥产权证书的土地使用权情况</w:t>
      </w:r>
      <w:bookmarkEnd w:id="15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59" w:name="_Toc989134"/>
      <w:r>
        <w:rPr>
          <w:rFonts w:ascii="宋体" w:hAnsi="宋体" w:eastAsia="宋体" w:cs="宋体"/>
          <w:b/>
          <w:bCs/>
          <w:sz w:val="21"/>
          <w:szCs w:val="21"/>
        </w:rPr>
        <w:t>27、开发支出</w:t>
      </w:r>
      <w:bookmarkEnd w:id="15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内部开发支出</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确认为无形资产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转入当期损益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60" w:name="_Toc989135"/>
      <w:r>
        <w:rPr>
          <w:rFonts w:ascii="宋体" w:hAnsi="宋体" w:eastAsia="宋体" w:cs="宋体"/>
          <w:b/>
          <w:bCs/>
          <w:sz w:val="21"/>
          <w:szCs w:val="21"/>
        </w:rPr>
        <w:t>28、商誉</w:t>
      </w:r>
      <w:bookmarkEnd w:id="160"/>
    </w:p>
    <w:p>
      <w:pPr>
        <w:keepNext/>
        <w:keepLines/>
        <w:spacing w:before="300" w:after="300" w:line="280" w:lineRule="exact"/>
        <w:jc w:val="left"/>
        <w:outlineLvl w:val="3"/>
        <w:rPr>
          <w:rFonts w:ascii="宋体" w:hAnsi="宋体" w:eastAsia="宋体" w:cs="宋体"/>
          <w:b/>
          <w:bCs/>
          <w:sz w:val="21"/>
          <w:szCs w:val="21"/>
        </w:rPr>
      </w:pPr>
      <w:bookmarkStart w:id="161" w:name="_Toc989136"/>
      <w:r>
        <w:rPr>
          <w:rFonts w:ascii="宋体" w:hAnsi="宋体" w:eastAsia="宋体" w:cs="宋体"/>
          <w:b/>
          <w:bCs/>
          <w:sz w:val="21"/>
          <w:szCs w:val="21"/>
        </w:rPr>
        <w:t>（1） 商誉账面原值</w:t>
      </w:r>
      <w:bookmarkEnd w:id="16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企业合并形成的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162" w:name="_Toc989137"/>
      <w:r>
        <w:rPr>
          <w:rFonts w:ascii="宋体" w:hAnsi="宋体" w:eastAsia="宋体" w:cs="宋体"/>
          <w:b/>
          <w:bCs/>
          <w:sz w:val="21"/>
          <w:szCs w:val="21"/>
        </w:rPr>
        <w:t>（2） 商誉减值准备</w:t>
      </w:r>
      <w:bookmarkEnd w:id="16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商誉所在资产组或资产组组合的相关信息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说明商誉减值测试过程、关键参数（如预计未来现金流量现值时的预测期增长率、稳定期增长率、利润率、折现率、预测期等）及商誉减值损失的确认方法：</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商誉减值测试的影响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63" w:name="_Toc989138"/>
      <w:r>
        <w:rPr>
          <w:rFonts w:ascii="宋体" w:hAnsi="宋体" w:eastAsia="宋体" w:cs="宋体"/>
          <w:b/>
          <w:bCs/>
          <w:sz w:val="21"/>
          <w:szCs w:val="21"/>
        </w:rPr>
        <w:t>29、长期待摊费用</w:t>
      </w:r>
      <w:bookmarkEnd w:id="16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本期摊销金额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其他减少金额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房屋改造费用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1,212,383.99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83,424.12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2,211,528.69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1,212,383.99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83,424.12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2,211,528.69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64" w:name="_Toc989139"/>
      <w:r>
        <w:rPr>
          <w:rFonts w:ascii="宋体" w:hAnsi="宋体" w:eastAsia="宋体" w:cs="宋体"/>
          <w:b/>
          <w:bCs/>
          <w:sz w:val="21"/>
          <w:szCs w:val="21"/>
        </w:rPr>
        <w:t>30、递延所得税资产/递延所得税负债</w:t>
      </w:r>
      <w:bookmarkEnd w:id="164"/>
    </w:p>
    <w:p>
      <w:pPr>
        <w:keepNext/>
        <w:keepLines/>
        <w:spacing w:before="300" w:after="300" w:line="280" w:lineRule="exact"/>
        <w:jc w:val="left"/>
        <w:outlineLvl w:val="3"/>
        <w:rPr>
          <w:rFonts w:ascii="宋体" w:hAnsi="宋体" w:eastAsia="宋体" w:cs="宋体"/>
          <w:b/>
          <w:bCs/>
          <w:sz w:val="21"/>
          <w:szCs w:val="21"/>
        </w:rPr>
      </w:pPr>
      <w:bookmarkStart w:id="165" w:name="_Toc989140"/>
      <w:r>
        <w:rPr>
          <w:rFonts w:ascii="宋体" w:hAnsi="宋体" w:eastAsia="宋体" w:cs="宋体"/>
          <w:b/>
          <w:bCs/>
          <w:sz w:val="21"/>
          <w:szCs w:val="21"/>
        </w:rPr>
        <w:t>（1） 未经抵销的递延所得税资产</w:t>
      </w:r>
      <w:bookmarkEnd w:id="16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可抵扣亏损</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62,159,174.91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9,340,470.41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59,889,232.49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8,983,541.90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存货跌价准备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1,645,884.71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181,979.09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3,082,670.01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462,400.50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8,360,227.77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1,268,183.59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7,726,760.77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1,178,106.36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递延收益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10,809,473.09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2,294,177.08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11,242,874.68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2,367,685.29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股权激励</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4,220,533.36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633,080.00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1,055,133.34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158,270.00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内部交易未实现利润</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448,902.31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66,899.37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333,459.03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50,454.83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环保设备抵税额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6,808,734.80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1,021,310.22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6,798,823.27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1,019,823.49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94,452,930.95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14,806,099.76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90,128,953.59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14,220,282.37</w:t>
            </w:r>
          </w:p>
        </w:tc>
      </w:tr>
    </w:tbl>
    <w:p>
      <w:pPr>
        <w:keepNext/>
        <w:keepLines/>
        <w:spacing w:before="300" w:after="300" w:line="280" w:lineRule="exact"/>
        <w:jc w:val="left"/>
        <w:outlineLvl w:val="3"/>
        <w:rPr>
          <w:rFonts w:ascii="宋体" w:hAnsi="宋体" w:eastAsia="宋体" w:cs="宋体"/>
          <w:b/>
          <w:bCs/>
          <w:sz w:val="21"/>
          <w:szCs w:val="21"/>
        </w:rPr>
      </w:pPr>
      <w:bookmarkStart w:id="166" w:name="_Toc989141"/>
      <w:r>
        <w:rPr>
          <w:rFonts w:ascii="宋体" w:hAnsi="宋体" w:eastAsia="宋体" w:cs="宋体"/>
          <w:b/>
          <w:bCs/>
          <w:sz w:val="21"/>
          <w:szCs w:val="21"/>
        </w:rPr>
        <w:t>（2） 未经抵销的递延所得税负债</w:t>
      </w:r>
      <w:bookmarkEnd w:id="16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固定资产税前一次性扣除</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20,992,614.51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3,148,892.18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19,572,647.07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2,935,897.06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交易性金融资产公允价值变动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2,437,074.40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354,170.56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2,606,030.67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390,904.60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23,429,688.91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3,503,062.74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22,178,677.74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3,326,801.66</w:t>
            </w:r>
          </w:p>
        </w:tc>
      </w:tr>
    </w:tbl>
    <w:p>
      <w:pPr>
        <w:keepNext/>
        <w:keepLines/>
        <w:spacing w:before="300" w:after="300" w:line="280" w:lineRule="exact"/>
        <w:jc w:val="left"/>
        <w:outlineLvl w:val="3"/>
        <w:rPr>
          <w:rFonts w:ascii="宋体" w:hAnsi="宋体" w:eastAsia="宋体" w:cs="宋体"/>
          <w:b/>
          <w:bCs/>
          <w:sz w:val="21"/>
          <w:szCs w:val="21"/>
        </w:rPr>
      </w:pPr>
      <w:bookmarkStart w:id="167" w:name="_Toc989142"/>
      <w:r>
        <w:rPr>
          <w:rFonts w:ascii="宋体" w:hAnsi="宋体" w:eastAsia="宋体" w:cs="宋体"/>
          <w:b/>
          <w:bCs/>
          <w:sz w:val="21"/>
          <w:szCs w:val="21"/>
        </w:rPr>
        <w:t>（3） 以抵销后净额列示的递延所得税资产或负债</w:t>
      </w:r>
      <w:bookmarkEnd w:id="16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递延所得税资产和负债期末互抵金额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递延所得税资产和负债期初互抵金额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14,806,099.77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14,220,282.37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3,503,062.74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3,326,801.66</w:t>
            </w:r>
          </w:p>
        </w:tc>
      </w:tr>
    </w:tbl>
    <w:p>
      <w:pPr>
        <w:keepNext/>
        <w:keepLines/>
        <w:spacing w:before="300" w:after="300" w:line="280" w:lineRule="exact"/>
        <w:jc w:val="left"/>
        <w:outlineLvl w:val="3"/>
        <w:rPr>
          <w:rFonts w:ascii="宋体" w:hAnsi="宋体" w:eastAsia="宋体" w:cs="宋体"/>
          <w:b/>
          <w:bCs/>
          <w:sz w:val="21"/>
          <w:szCs w:val="21"/>
        </w:rPr>
      </w:pPr>
      <w:bookmarkStart w:id="168" w:name="_Toc989143"/>
      <w:r>
        <w:rPr>
          <w:rFonts w:ascii="宋体" w:hAnsi="宋体" w:eastAsia="宋体" w:cs="宋体"/>
          <w:b/>
          <w:bCs/>
          <w:sz w:val="21"/>
          <w:szCs w:val="21"/>
        </w:rPr>
        <w:t>（4） 未确认递延所得税资产明细</w:t>
      </w:r>
      <w:bookmarkEnd w:id="16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可抵扣亏损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843,983.71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843,983.71</w:t>
            </w:r>
          </w:p>
        </w:tc>
      </w:tr>
    </w:tbl>
    <w:p>
      <w:pPr>
        <w:keepNext/>
        <w:keepLines/>
        <w:spacing w:before="300" w:after="300" w:line="280" w:lineRule="exact"/>
        <w:jc w:val="left"/>
        <w:outlineLvl w:val="3"/>
        <w:rPr>
          <w:rFonts w:ascii="宋体" w:hAnsi="宋体" w:eastAsia="宋体" w:cs="宋体"/>
          <w:b/>
          <w:bCs/>
          <w:sz w:val="21"/>
          <w:szCs w:val="21"/>
        </w:rPr>
      </w:pPr>
      <w:bookmarkStart w:id="169" w:name="_Toc989144"/>
      <w:r>
        <w:rPr>
          <w:rFonts w:ascii="宋体" w:hAnsi="宋体" w:eastAsia="宋体" w:cs="宋体"/>
          <w:b/>
          <w:bCs/>
          <w:sz w:val="21"/>
          <w:szCs w:val="21"/>
        </w:rPr>
        <w:t>（5） 未确认递延所得税资产的可抵扣亏损将于以下年度到期</w:t>
      </w:r>
      <w:bookmarkEnd w:id="16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661,691.64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170,764.33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3,910.97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3,852.43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2026年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3,764.34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843,983.71</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70" w:name="_Toc989145"/>
      <w:r>
        <w:rPr>
          <w:rFonts w:ascii="宋体" w:hAnsi="宋体" w:eastAsia="宋体" w:cs="宋体"/>
          <w:b/>
          <w:bCs/>
          <w:sz w:val="21"/>
          <w:szCs w:val="21"/>
        </w:rPr>
        <w:t>31、其他非流动资产</w:t>
      </w:r>
      <w:bookmarkEnd w:id="17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预付设备款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71" w:name="_Toc989146"/>
      <w:r>
        <w:rPr>
          <w:rFonts w:ascii="宋体" w:hAnsi="宋体" w:eastAsia="宋体" w:cs="宋体"/>
          <w:b/>
          <w:bCs/>
          <w:sz w:val="21"/>
          <w:szCs w:val="21"/>
        </w:rPr>
        <w:t>32、短期借款</w:t>
      </w:r>
      <w:bookmarkEnd w:id="171"/>
    </w:p>
    <w:p>
      <w:pPr>
        <w:keepNext/>
        <w:keepLines/>
        <w:spacing w:before="300" w:after="300" w:line="280" w:lineRule="exact"/>
        <w:jc w:val="left"/>
        <w:outlineLvl w:val="3"/>
        <w:rPr>
          <w:rFonts w:ascii="宋体" w:hAnsi="宋体" w:eastAsia="宋体" w:cs="宋体"/>
          <w:b/>
          <w:bCs/>
          <w:sz w:val="21"/>
          <w:szCs w:val="21"/>
        </w:rPr>
      </w:pPr>
      <w:bookmarkStart w:id="172" w:name="_Toc989147"/>
      <w:r>
        <w:rPr>
          <w:rFonts w:ascii="宋体" w:hAnsi="宋体" w:eastAsia="宋体" w:cs="宋体"/>
          <w:b/>
          <w:bCs/>
          <w:sz w:val="21"/>
          <w:szCs w:val="21"/>
        </w:rPr>
        <w:t>（1） 短期借款分类</w:t>
      </w:r>
      <w:bookmarkEnd w:id="17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保证借款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信用证融资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短期借款分类的说明：</w:t>
      </w:r>
    </w:p>
    <w:p>
      <w:pPr>
        <w:keepNext/>
        <w:keepLines/>
        <w:spacing w:before="300" w:after="300" w:line="280" w:lineRule="exact"/>
        <w:jc w:val="left"/>
        <w:outlineLvl w:val="3"/>
        <w:rPr>
          <w:rFonts w:ascii="宋体" w:hAnsi="宋体" w:eastAsia="宋体" w:cs="宋体"/>
          <w:b/>
          <w:bCs/>
          <w:sz w:val="21"/>
          <w:szCs w:val="21"/>
        </w:rPr>
      </w:pPr>
      <w:bookmarkStart w:id="173" w:name="_Toc989148"/>
      <w:r>
        <w:rPr>
          <w:rFonts w:ascii="宋体" w:hAnsi="宋体" w:eastAsia="宋体" w:cs="宋体"/>
          <w:b/>
          <w:bCs/>
          <w:sz w:val="21"/>
          <w:szCs w:val="21"/>
        </w:rPr>
        <w:t>（2） 已逾期未偿还的短期借款情况</w:t>
      </w:r>
      <w:bookmarkEnd w:id="173"/>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本期末已逾期未偿还的短期借款总额为元，其中重要的已逾期未偿还的短期借款情况如下：</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借款利率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逾期利率</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74" w:name="_Toc989149"/>
      <w:r>
        <w:rPr>
          <w:rFonts w:ascii="宋体" w:hAnsi="宋体" w:eastAsia="宋体" w:cs="宋体"/>
          <w:b/>
          <w:bCs/>
          <w:sz w:val="21"/>
          <w:szCs w:val="21"/>
        </w:rPr>
        <w:t>33、交易性金融负债</w:t>
      </w:r>
      <w:bookmarkEnd w:id="17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75" w:name="_Toc989150"/>
      <w:r>
        <w:rPr>
          <w:rFonts w:ascii="宋体" w:hAnsi="宋体" w:eastAsia="宋体" w:cs="宋体"/>
          <w:b/>
          <w:bCs/>
          <w:sz w:val="21"/>
          <w:szCs w:val="21"/>
        </w:rPr>
        <w:t>34、衍生金融负债</w:t>
      </w:r>
      <w:bookmarkEnd w:id="175"/>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76" w:name="_Toc989151"/>
      <w:r>
        <w:rPr>
          <w:rFonts w:ascii="宋体" w:hAnsi="宋体" w:eastAsia="宋体" w:cs="宋体"/>
          <w:b/>
          <w:bCs/>
          <w:sz w:val="21"/>
          <w:szCs w:val="21"/>
        </w:rPr>
        <w:t>35、应付票据</w:t>
      </w:r>
      <w:bookmarkEnd w:id="17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种类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38,383,222.15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38,786,483.35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38,383,222.15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38,786,483.35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本期末已到期未支付的应付票据总额为元。</w:t>
      </w:r>
    </w:p>
    <w:p>
      <w:pPr>
        <w:keepNext/>
        <w:keepLines/>
        <w:spacing w:before="300" w:after="300" w:line="280" w:lineRule="exact"/>
        <w:jc w:val="left"/>
        <w:outlineLvl w:val="2"/>
        <w:rPr>
          <w:rFonts w:ascii="宋体" w:hAnsi="宋体" w:eastAsia="宋体" w:cs="宋体"/>
          <w:b/>
          <w:bCs/>
          <w:sz w:val="21"/>
          <w:szCs w:val="21"/>
        </w:rPr>
      </w:pPr>
      <w:bookmarkStart w:id="177" w:name="_Toc989152"/>
      <w:r>
        <w:rPr>
          <w:rFonts w:ascii="宋体" w:hAnsi="宋体" w:eastAsia="宋体" w:cs="宋体"/>
          <w:b/>
          <w:bCs/>
          <w:sz w:val="21"/>
          <w:szCs w:val="21"/>
        </w:rPr>
        <w:t>36、应付账款</w:t>
      </w:r>
      <w:bookmarkEnd w:id="177"/>
    </w:p>
    <w:p>
      <w:pPr>
        <w:keepNext/>
        <w:keepLines/>
        <w:spacing w:before="300" w:after="300" w:line="280" w:lineRule="exact"/>
        <w:jc w:val="left"/>
        <w:outlineLvl w:val="3"/>
        <w:rPr>
          <w:rFonts w:ascii="宋体" w:hAnsi="宋体" w:eastAsia="宋体" w:cs="宋体"/>
          <w:b/>
          <w:bCs/>
          <w:sz w:val="18"/>
          <w:szCs w:val="18"/>
        </w:rPr>
      </w:pPr>
      <w:bookmarkStart w:id="178" w:name="_Toc989153"/>
      <w:r>
        <w:rPr>
          <w:rFonts w:ascii="宋体" w:hAnsi="宋体" w:eastAsia="宋体" w:cs="宋体"/>
          <w:b/>
          <w:bCs/>
          <w:sz w:val="18"/>
          <w:szCs w:val="18"/>
        </w:rPr>
        <w:t>（1） 应付账款列示</w:t>
      </w:r>
      <w:bookmarkEnd w:id="17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53,072,201.78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56,901,566.04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117,552.21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179,915.56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2至3年（含3年）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184,101.16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161,333.56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210,091.91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346,874.08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53,583,947.06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57,589,689.24</w:t>
            </w:r>
          </w:p>
        </w:tc>
      </w:tr>
    </w:tbl>
    <w:p>
      <w:pPr>
        <w:keepNext/>
        <w:keepLines/>
        <w:spacing w:before="300" w:after="300" w:line="280" w:lineRule="exact"/>
        <w:jc w:val="left"/>
        <w:outlineLvl w:val="3"/>
        <w:rPr>
          <w:rFonts w:ascii="宋体" w:hAnsi="宋体" w:eastAsia="宋体" w:cs="宋体"/>
          <w:b/>
          <w:bCs/>
          <w:sz w:val="18"/>
          <w:szCs w:val="18"/>
        </w:rPr>
      </w:pPr>
      <w:bookmarkStart w:id="179" w:name="_Toc989154"/>
      <w:r>
        <w:rPr>
          <w:rFonts w:ascii="宋体" w:hAnsi="宋体" w:eastAsia="宋体" w:cs="宋体"/>
          <w:b/>
          <w:bCs/>
          <w:sz w:val="18"/>
          <w:szCs w:val="18"/>
        </w:rPr>
        <w:t>（2） 账龄超过1年的重要应付账款</w:t>
      </w:r>
      <w:bookmarkEnd w:id="17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80" w:name="_Toc989155"/>
      <w:r>
        <w:rPr>
          <w:rFonts w:ascii="宋体" w:hAnsi="宋体" w:eastAsia="宋体" w:cs="宋体"/>
          <w:b/>
          <w:bCs/>
          <w:sz w:val="21"/>
          <w:szCs w:val="21"/>
        </w:rPr>
        <w:t>37、预收款项</w:t>
      </w:r>
      <w:bookmarkEnd w:id="180"/>
    </w:p>
    <w:p>
      <w:pPr>
        <w:keepNext/>
        <w:keepLines/>
        <w:spacing w:before="300" w:after="300" w:line="280" w:lineRule="exact"/>
        <w:jc w:val="left"/>
        <w:outlineLvl w:val="3"/>
        <w:rPr>
          <w:rFonts w:ascii="宋体" w:hAnsi="宋体" w:eastAsia="宋体" w:cs="宋体"/>
          <w:b/>
          <w:bCs/>
          <w:sz w:val="18"/>
          <w:szCs w:val="18"/>
        </w:rPr>
      </w:pPr>
      <w:bookmarkStart w:id="181" w:name="_Toc989156"/>
      <w:r>
        <w:rPr>
          <w:rFonts w:ascii="宋体" w:hAnsi="宋体" w:eastAsia="宋体" w:cs="宋体"/>
          <w:b/>
          <w:bCs/>
          <w:sz w:val="18"/>
          <w:szCs w:val="18"/>
        </w:rPr>
        <w:t>（1） 预收款项列示</w:t>
      </w:r>
      <w:bookmarkEnd w:id="18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预收股权转让款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r>
    </w:tbl>
    <w:p>
      <w:pPr>
        <w:keepNext/>
        <w:keepLines/>
        <w:spacing w:before="300" w:after="300" w:line="280" w:lineRule="exact"/>
        <w:jc w:val="left"/>
        <w:outlineLvl w:val="3"/>
        <w:rPr>
          <w:rFonts w:ascii="宋体" w:hAnsi="宋体" w:eastAsia="宋体" w:cs="宋体"/>
          <w:b/>
          <w:bCs/>
          <w:sz w:val="18"/>
          <w:szCs w:val="18"/>
        </w:rPr>
      </w:pPr>
      <w:bookmarkStart w:id="182" w:name="_Toc989157"/>
      <w:r>
        <w:rPr>
          <w:rFonts w:ascii="宋体" w:hAnsi="宋体" w:eastAsia="宋体" w:cs="宋体"/>
          <w:b/>
          <w:bCs/>
          <w:sz w:val="18"/>
          <w:szCs w:val="18"/>
        </w:rPr>
        <w:t>（2） 账龄超过1年的重要预收款项</w:t>
      </w:r>
      <w:bookmarkEnd w:id="18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83" w:name="_Toc989158"/>
      <w:r>
        <w:rPr>
          <w:rFonts w:ascii="宋体" w:hAnsi="宋体" w:eastAsia="宋体" w:cs="宋体"/>
          <w:b/>
          <w:bCs/>
          <w:sz w:val="21"/>
          <w:szCs w:val="21"/>
        </w:rPr>
        <w:t>38、合同负债</w:t>
      </w:r>
      <w:bookmarkEnd w:id="18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预收货款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23,047,380.31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16,522,851.95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23,047,380.31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16,522,851.95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报告期内账面价值发生重大变动的金额和原因</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0"/>
        <w:gridCol w:w="820"/>
        <w:gridCol w:w="80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变动金额</w:t>
            </w:r>
          </w:p>
        </w:tc>
        <w:tc>
          <w:tcPr>
            <w:tcW w:w="8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bl>
    <w:p>
      <w:pPr>
        <w:keepNext/>
        <w:keepLines/>
        <w:spacing w:before="300" w:after="300" w:line="280" w:lineRule="exact"/>
        <w:jc w:val="left"/>
        <w:outlineLvl w:val="2"/>
        <w:rPr>
          <w:rFonts w:ascii="宋体" w:hAnsi="宋体" w:eastAsia="宋体" w:cs="宋体"/>
          <w:b/>
          <w:bCs/>
          <w:sz w:val="21"/>
          <w:szCs w:val="21"/>
        </w:rPr>
      </w:pPr>
      <w:bookmarkStart w:id="184" w:name="_Toc989159"/>
      <w:r>
        <w:rPr>
          <w:rFonts w:ascii="宋体" w:hAnsi="宋体" w:eastAsia="宋体" w:cs="宋体"/>
          <w:b/>
          <w:bCs/>
          <w:sz w:val="21"/>
          <w:szCs w:val="21"/>
        </w:rPr>
        <w:t>39、应付职工薪酬</w:t>
      </w:r>
      <w:bookmarkEnd w:id="184"/>
    </w:p>
    <w:p>
      <w:pPr>
        <w:keepNext/>
        <w:keepLines/>
        <w:spacing w:before="300" w:after="300" w:line="280" w:lineRule="exact"/>
        <w:jc w:val="left"/>
        <w:outlineLvl w:val="3"/>
        <w:rPr>
          <w:rFonts w:ascii="宋体" w:hAnsi="宋体" w:eastAsia="宋体" w:cs="宋体"/>
          <w:b/>
          <w:bCs/>
          <w:sz w:val="21"/>
          <w:szCs w:val="21"/>
        </w:rPr>
      </w:pPr>
      <w:bookmarkStart w:id="185" w:name="_Toc989160"/>
      <w:r>
        <w:rPr>
          <w:rFonts w:ascii="宋体" w:hAnsi="宋体" w:eastAsia="宋体" w:cs="宋体"/>
          <w:b/>
          <w:bCs/>
          <w:sz w:val="21"/>
          <w:szCs w:val="21"/>
        </w:rPr>
        <w:t>（1） 应付职工薪酬列示</w:t>
      </w:r>
      <w:bookmarkEnd w:id="18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一、短期薪酬</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21,462,310.06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35,204,075.92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37,730,906.94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18,935,479.04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二、离职后福利-设定提存计划</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2,634,428.11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2,634,428.11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21,462,310.06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37,838,504.03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40,365,335.05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18,935,479.04</w:t>
            </w:r>
          </w:p>
        </w:tc>
      </w:tr>
    </w:tbl>
    <w:p>
      <w:pPr>
        <w:keepNext/>
        <w:keepLines/>
        <w:spacing w:before="300" w:after="300" w:line="280" w:lineRule="exact"/>
        <w:jc w:val="left"/>
        <w:outlineLvl w:val="3"/>
        <w:rPr>
          <w:rFonts w:ascii="宋体" w:hAnsi="宋体" w:eastAsia="宋体" w:cs="宋体"/>
          <w:b/>
          <w:bCs/>
          <w:sz w:val="21"/>
          <w:szCs w:val="21"/>
        </w:rPr>
      </w:pPr>
      <w:bookmarkStart w:id="186" w:name="_Toc989161"/>
      <w:r>
        <w:rPr>
          <w:rFonts w:ascii="宋体" w:hAnsi="宋体" w:eastAsia="宋体" w:cs="宋体"/>
          <w:b/>
          <w:bCs/>
          <w:sz w:val="21"/>
          <w:szCs w:val="21"/>
        </w:rPr>
        <w:t>（2） 短期薪酬列示</w:t>
      </w:r>
      <w:bookmarkEnd w:id="18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1、工资、奖金、津贴和补贴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8,102,172.48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30,566,462.89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33,064,757.73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5,603,877.64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2、职工福利费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960,649.57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960,649.57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3、社会保险费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1,249,506.00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1,249,506.00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工伤保险费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111,624.82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111,624.82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医疗及生育保险费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1,137,881.18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1,137,881.18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4、住房公积金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859,374.70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859,374.70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5、工会经费和职工教育经费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13,360,137.58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348,082.76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376,618.94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13,331,601.40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8、补充医疗保险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21,462,310.06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35,204,075.92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37,730,906.94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18,935,479.04</w:t>
            </w:r>
          </w:p>
        </w:tc>
      </w:tr>
    </w:tbl>
    <w:p>
      <w:pPr>
        <w:keepNext/>
        <w:keepLines/>
        <w:spacing w:before="300" w:after="300" w:line="280" w:lineRule="exact"/>
        <w:jc w:val="left"/>
        <w:outlineLvl w:val="3"/>
        <w:rPr>
          <w:rFonts w:ascii="宋体" w:hAnsi="宋体" w:eastAsia="宋体" w:cs="宋体"/>
          <w:b/>
          <w:bCs/>
          <w:sz w:val="21"/>
          <w:szCs w:val="21"/>
        </w:rPr>
      </w:pPr>
      <w:bookmarkStart w:id="187" w:name="_Toc989162"/>
      <w:r>
        <w:rPr>
          <w:rFonts w:ascii="宋体" w:hAnsi="宋体" w:eastAsia="宋体" w:cs="宋体"/>
          <w:b/>
          <w:bCs/>
          <w:sz w:val="21"/>
          <w:szCs w:val="21"/>
        </w:rPr>
        <w:t>（3） 设定提存计划列示</w:t>
      </w:r>
      <w:bookmarkEnd w:id="18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1、基本养老保险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2,523,532.82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2,523,532.82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2、失业保险费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110,895.29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110,895.29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2,634,428.11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2,634,428.11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88" w:name="_Toc989163"/>
      <w:r>
        <w:rPr>
          <w:rFonts w:ascii="宋体" w:hAnsi="宋体" w:eastAsia="宋体" w:cs="宋体"/>
          <w:b/>
          <w:bCs/>
          <w:sz w:val="21"/>
          <w:szCs w:val="21"/>
        </w:rPr>
        <w:t>40、应交税费</w:t>
      </w:r>
      <w:bookmarkEnd w:id="18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2,438,281.56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762,702.05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13,620,652.39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3,209,214.34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个人所得税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83,400.11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80,982.79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666,469.79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248,547.85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47,396.40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43,412.00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338,212.23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321,150.31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城镇土地使用税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117,428.85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117,428.85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285,629.92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106,520.51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地方教育费附加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190,419.96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71,013.68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17,788,560.81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4,962,868.65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89" w:name="_Toc989164"/>
      <w:r>
        <w:rPr>
          <w:rFonts w:ascii="宋体" w:hAnsi="宋体" w:eastAsia="宋体" w:cs="宋体"/>
          <w:b/>
          <w:bCs/>
          <w:sz w:val="21"/>
          <w:szCs w:val="21"/>
        </w:rPr>
        <w:t>41、其他应付款</w:t>
      </w:r>
      <w:bookmarkEnd w:id="18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24,138,246.45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34,116,462.22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24,138,246.45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34,116,462.22</w:t>
            </w:r>
          </w:p>
        </w:tc>
      </w:tr>
    </w:tbl>
    <w:p>
      <w:pPr>
        <w:keepNext/>
        <w:keepLines/>
        <w:spacing w:before="300" w:after="300" w:line="280" w:lineRule="exact"/>
        <w:jc w:val="left"/>
        <w:outlineLvl w:val="3"/>
        <w:rPr>
          <w:rFonts w:ascii="宋体" w:hAnsi="宋体" w:eastAsia="宋体" w:cs="宋体"/>
          <w:b/>
          <w:bCs/>
          <w:sz w:val="18"/>
          <w:szCs w:val="18"/>
        </w:rPr>
      </w:pPr>
      <w:bookmarkStart w:id="190" w:name="_Toc989165"/>
      <w:r>
        <w:rPr>
          <w:rFonts w:ascii="宋体" w:hAnsi="宋体" w:eastAsia="宋体" w:cs="宋体"/>
          <w:b/>
          <w:bCs/>
          <w:sz w:val="18"/>
          <w:szCs w:val="18"/>
        </w:rPr>
        <w:t>（1） 应付利息</w:t>
      </w:r>
      <w:bookmarkEnd w:id="19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重要的已逾期未支付的利息情况：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191" w:name="_Toc989166"/>
      <w:r>
        <w:rPr>
          <w:rFonts w:ascii="宋体" w:hAnsi="宋体" w:eastAsia="宋体" w:cs="宋体"/>
          <w:b/>
          <w:bCs/>
          <w:sz w:val="18"/>
          <w:szCs w:val="18"/>
        </w:rPr>
        <w:t>（2） 应付股利</w:t>
      </w:r>
      <w:bookmarkEnd w:id="19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其他说明，包括重要的超过1年未支付的应付股利，应披露未支付原因：</w:t>
      </w:r>
    </w:p>
    <w:p>
      <w:pPr>
        <w:keepNext/>
        <w:keepLines/>
        <w:spacing w:before="300" w:after="300" w:line="280" w:lineRule="exact"/>
        <w:jc w:val="left"/>
        <w:outlineLvl w:val="3"/>
        <w:rPr>
          <w:rFonts w:ascii="宋体" w:hAnsi="宋体" w:eastAsia="宋体" w:cs="宋体"/>
          <w:b/>
          <w:bCs/>
          <w:sz w:val="18"/>
          <w:szCs w:val="18"/>
        </w:rPr>
      </w:pPr>
      <w:bookmarkStart w:id="192" w:name="_Toc989167"/>
      <w:r>
        <w:rPr>
          <w:rFonts w:ascii="宋体" w:hAnsi="宋体" w:eastAsia="宋体" w:cs="宋体"/>
          <w:b/>
          <w:bCs/>
          <w:sz w:val="18"/>
          <w:szCs w:val="18"/>
        </w:rPr>
        <w:t>（3） 其他应付款</w:t>
      </w:r>
      <w:bookmarkEnd w:id="192"/>
    </w:p>
    <w:p>
      <w:pPr>
        <w:keepNext/>
        <w:keepLines/>
        <w:spacing w:before="300" w:after="300" w:line="280" w:lineRule="exact"/>
        <w:jc w:val="left"/>
        <w:outlineLvl w:val="4"/>
        <w:rPr>
          <w:rFonts w:ascii="宋体" w:hAnsi="宋体" w:eastAsia="宋体" w:cs="宋体"/>
          <w:b/>
          <w:bCs/>
          <w:sz w:val="18"/>
          <w:szCs w:val="18"/>
        </w:rPr>
      </w:pPr>
      <w:bookmarkStart w:id="193" w:name="_Toc989168"/>
      <w:r>
        <w:rPr>
          <w:rFonts w:ascii="宋体" w:hAnsi="宋体" w:eastAsia="宋体" w:cs="宋体"/>
          <w:b/>
          <w:bCs/>
          <w:sz w:val="18"/>
          <w:szCs w:val="18"/>
        </w:rPr>
        <w:t>1） 按款项性质列示其他应付款</w:t>
      </w:r>
      <w:bookmarkEnd w:id="19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质保金及押金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9,382,806.12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16,353,836.98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单位间往来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1,068,773.89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4,104,016.34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个人往来及其他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86,666.44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58,608.90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限制性股票回购义务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24,138,246.45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34,116,462.22</w:t>
            </w:r>
          </w:p>
        </w:tc>
      </w:tr>
    </w:tbl>
    <w:p>
      <w:pPr>
        <w:keepNext/>
        <w:keepLines/>
        <w:spacing w:before="300" w:after="300" w:line="280" w:lineRule="exact"/>
        <w:jc w:val="left"/>
        <w:outlineLvl w:val="4"/>
        <w:rPr>
          <w:rFonts w:ascii="宋体" w:hAnsi="宋体" w:eastAsia="宋体" w:cs="宋体"/>
          <w:b/>
          <w:bCs/>
          <w:sz w:val="18"/>
          <w:szCs w:val="18"/>
        </w:rPr>
      </w:pPr>
      <w:bookmarkStart w:id="194" w:name="_Toc989169"/>
      <w:r>
        <w:rPr>
          <w:rFonts w:ascii="宋体" w:hAnsi="宋体" w:eastAsia="宋体" w:cs="宋体"/>
          <w:b/>
          <w:bCs/>
          <w:sz w:val="18"/>
          <w:szCs w:val="18"/>
        </w:rPr>
        <w:t>2） 账龄超过1年的重要其他应付款</w:t>
      </w:r>
      <w:bookmarkEnd w:id="19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15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按账龄列示：</w:t>
      </w:r>
    </w:p>
    <w:tbl>
      <w:tblPr>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236"/>
        <w:gridCol w:w="2443"/>
        <w:gridCol w:w="1403"/>
        <w:gridCol w:w="2291"/>
        <w:gridCol w:w="14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135" w:type="pct"/>
            <w:vMerge w:val="restart"/>
            <w:tcBorders>
              <w:top w:val="single" w:color="auto" w:sz="8" w:space="0"/>
              <w:left w:val="single" w:color="auto" w:sz="8" w:space="0"/>
              <w:bottom w:val="single" w:color="auto" w:sz="8" w:space="0"/>
              <w:right w:val="single" w:color="auto" w:sz="8" w:space="0"/>
            </w:tcBorders>
            <w:shd w:val="clear"/>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账龄</w:t>
            </w:r>
          </w:p>
        </w:tc>
        <w:tc>
          <w:tcPr>
            <w:tcW w:w="1951" w:type="pct"/>
            <w:gridSpan w:val="2"/>
            <w:tcBorders>
              <w:top w:val="single" w:color="auto" w:sz="8" w:space="0"/>
              <w:left w:val="nil"/>
              <w:bottom w:val="single" w:color="auto" w:sz="8" w:space="0"/>
              <w:right w:val="single" w:color="auto" w:sz="8" w:space="0"/>
            </w:tcBorders>
            <w:shd w:val="clear"/>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期末余额</w:t>
            </w:r>
          </w:p>
        </w:tc>
        <w:tc>
          <w:tcPr>
            <w:tcW w:w="1913" w:type="pct"/>
            <w:gridSpan w:val="2"/>
            <w:tcBorders>
              <w:top w:val="single" w:color="auto" w:sz="8" w:space="0"/>
              <w:left w:val="nil"/>
              <w:bottom w:val="single" w:color="auto" w:sz="8" w:space="0"/>
              <w:right w:val="single" w:color="auto" w:sz="8" w:space="0"/>
            </w:tcBorders>
            <w:shd w:val="clear"/>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期初余额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135" w:type="pct"/>
            <w:vMerge w:val="continue"/>
            <w:tcBorders>
              <w:top w:val="single" w:color="auto" w:sz="8" w:space="0"/>
              <w:left w:val="single" w:color="auto" w:sz="8" w:space="0"/>
              <w:bottom w:val="single" w:color="auto" w:sz="8" w:space="0"/>
              <w:right w:val="single" w:color="auto" w:sz="8" w:space="0"/>
            </w:tcBorders>
            <w:shd w:val="clear"/>
            <w:tcMar>
              <w:top w:w="0" w:type="dxa"/>
              <w:left w:w="107" w:type="dxa"/>
              <w:bottom w:w="0" w:type="dxa"/>
              <w:right w:w="107" w:type="dxa"/>
            </w:tcMar>
            <w:vAlign w:val="center"/>
          </w:tcPr>
          <w:p>
            <w:pPr>
              <w:rPr>
                <w:rFonts w:hint="default" w:ascii="Times New Roman" w:hAnsi="Times New Roman" w:cs="Times New Roman"/>
                <w:sz w:val="20"/>
                <w:szCs w:val="20"/>
              </w:rPr>
            </w:pPr>
          </w:p>
        </w:tc>
        <w:tc>
          <w:tcPr>
            <w:tcW w:w="1240" w:type="pct"/>
            <w:tcBorders>
              <w:top w:val="nil"/>
              <w:left w:val="single" w:color="auto" w:sz="8" w:space="0"/>
              <w:bottom w:val="single" w:color="auto" w:sz="8" w:space="0"/>
              <w:right w:val="single" w:color="auto" w:sz="8" w:space="0"/>
            </w:tcBorders>
            <w:shd w:val="clear"/>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金额</w:t>
            </w:r>
          </w:p>
        </w:tc>
        <w:tc>
          <w:tcPr>
            <w:tcW w:w="712" w:type="pct"/>
            <w:tcBorders>
              <w:top w:val="nil"/>
              <w:left w:val="nil"/>
              <w:bottom w:val="single" w:color="auto" w:sz="8" w:space="0"/>
              <w:right w:val="single" w:color="auto" w:sz="8" w:space="0"/>
            </w:tcBorders>
            <w:shd w:val="clear"/>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比例（%）</w:t>
            </w:r>
          </w:p>
        </w:tc>
        <w:tc>
          <w:tcPr>
            <w:tcW w:w="1163" w:type="pct"/>
            <w:tcBorders>
              <w:top w:val="nil"/>
              <w:left w:val="nil"/>
              <w:bottom w:val="single" w:color="auto" w:sz="8" w:space="0"/>
              <w:right w:val="single" w:color="auto" w:sz="8" w:space="0"/>
            </w:tcBorders>
            <w:shd w:val="clear"/>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金额</w:t>
            </w:r>
          </w:p>
        </w:tc>
        <w:tc>
          <w:tcPr>
            <w:tcW w:w="750" w:type="pct"/>
            <w:tcBorders>
              <w:top w:val="nil"/>
              <w:left w:val="nil"/>
              <w:bottom w:val="single" w:color="auto" w:sz="8" w:space="0"/>
              <w:right w:val="single" w:color="auto" w:sz="8" w:space="0"/>
            </w:tcBorders>
            <w:shd w:val="clear"/>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比例（%）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1135" w:type="pct"/>
            <w:tcBorders>
              <w:top w:val="nil"/>
              <w:left w:val="single" w:color="auto" w:sz="8" w:space="0"/>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1年以内（含1年）</w:t>
            </w:r>
          </w:p>
        </w:tc>
        <w:tc>
          <w:tcPr>
            <w:tcW w:w="1240" w:type="pct"/>
            <w:tcBorders>
              <w:top w:val="nil"/>
              <w:left w:val="nil"/>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19,389,250.62</w:t>
            </w:r>
          </w:p>
        </w:tc>
        <w:tc>
          <w:tcPr>
            <w:tcW w:w="712" w:type="pct"/>
            <w:tcBorders>
              <w:top w:val="nil"/>
              <w:left w:val="nil"/>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80.33</w:t>
            </w:r>
          </w:p>
        </w:tc>
        <w:tc>
          <w:tcPr>
            <w:tcW w:w="1163" w:type="pct"/>
            <w:tcBorders>
              <w:top w:val="nil"/>
              <w:left w:val="nil"/>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29,196,877.47</w:t>
            </w:r>
          </w:p>
        </w:tc>
        <w:tc>
          <w:tcPr>
            <w:tcW w:w="750" w:type="pct"/>
            <w:tcBorders>
              <w:top w:val="nil"/>
              <w:left w:val="nil"/>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85.58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35" w:type="pct"/>
            <w:tcBorders>
              <w:top w:val="nil"/>
              <w:left w:val="single" w:color="auto" w:sz="8" w:space="0"/>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1至2年（含2年）</w:t>
            </w:r>
          </w:p>
        </w:tc>
        <w:tc>
          <w:tcPr>
            <w:tcW w:w="1240" w:type="pct"/>
            <w:tcBorders>
              <w:top w:val="nil"/>
              <w:left w:val="nil"/>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1,035,414.07</w:t>
            </w:r>
          </w:p>
        </w:tc>
        <w:tc>
          <w:tcPr>
            <w:tcW w:w="712" w:type="pct"/>
            <w:tcBorders>
              <w:top w:val="nil"/>
              <w:left w:val="nil"/>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4.29</w:t>
            </w:r>
          </w:p>
        </w:tc>
        <w:tc>
          <w:tcPr>
            <w:tcW w:w="1163" w:type="pct"/>
            <w:tcBorders>
              <w:top w:val="nil"/>
              <w:left w:val="nil"/>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849,664.98</w:t>
            </w:r>
          </w:p>
        </w:tc>
        <w:tc>
          <w:tcPr>
            <w:tcW w:w="750" w:type="pct"/>
            <w:tcBorders>
              <w:top w:val="nil"/>
              <w:left w:val="nil"/>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2.49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35" w:type="pct"/>
            <w:tcBorders>
              <w:top w:val="nil"/>
              <w:left w:val="single" w:color="auto" w:sz="8" w:space="0"/>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2至3年（含3年）</w:t>
            </w:r>
          </w:p>
        </w:tc>
        <w:tc>
          <w:tcPr>
            <w:tcW w:w="1240" w:type="pct"/>
            <w:tcBorders>
              <w:top w:val="nil"/>
              <w:left w:val="nil"/>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471,546.84</w:t>
            </w:r>
          </w:p>
        </w:tc>
        <w:tc>
          <w:tcPr>
            <w:tcW w:w="712" w:type="pct"/>
            <w:tcBorders>
              <w:top w:val="nil"/>
              <w:left w:val="nil"/>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1.95</w:t>
            </w:r>
          </w:p>
        </w:tc>
        <w:tc>
          <w:tcPr>
            <w:tcW w:w="1163" w:type="pct"/>
            <w:tcBorders>
              <w:top w:val="nil"/>
              <w:left w:val="nil"/>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2,281,581.53</w:t>
            </w:r>
          </w:p>
        </w:tc>
        <w:tc>
          <w:tcPr>
            <w:tcW w:w="750" w:type="pct"/>
            <w:tcBorders>
              <w:top w:val="nil"/>
              <w:left w:val="nil"/>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6.69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35" w:type="pct"/>
            <w:tcBorders>
              <w:top w:val="nil"/>
              <w:left w:val="single" w:color="auto" w:sz="8" w:space="0"/>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3年以上</w:t>
            </w:r>
          </w:p>
        </w:tc>
        <w:tc>
          <w:tcPr>
            <w:tcW w:w="1240" w:type="pct"/>
            <w:tcBorders>
              <w:top w:val="nil"/>
              <w:left w:val="nil"/>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3,242,034.92</w:t>
            </w:r>
          </w:p>
        </w:tc>
        <w:tc>
          <w:tcPr>
            <w:tcW w:w="712" w:type="pct"/>
            <w:tcBorders>
              <w:top w:val="nil"/>
              <w:left w:val="nil"/>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13.43</w:t>
            </w:r>
          </w:p>
        </w:tc>
        <w:tc>
          <w:tcPr>
            <w:tcW w:w="1163" w:type="pct"/>
            <w:tcBorders>
              <w:top w:val="nil"/>
              <w:left w:val="nil"/>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1,788,338.24</w:t>
            </w:r>
          </w:p>
        </w:tc>
        <w:tc>
          <w:tcPr>
            <w:tcW w:w="750" w:type="pct"/>
            <w:tcBorders>
              <w:top w:val="nil"/>
              <w:left w:val="nil"/>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5.24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35" w:type="pct"/>
            <w:tcBorders>
              <w:top w:val="nil"/>
              <w:left w:val="single" w:color="auto" w:sz="8" w:space="0"/>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合计</w:t>
            </w:r>
          </w:p>
        </w:tc>
        <w:tc>
          <w:tcPr>
            <w:tcW w:w="1240" w:type="pct"/>
            <w:tcBorders>
              <w:top w:val="nil"/>
              <w:left w:val="nil"/>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24,138,246.45</w:t>
            </w:r>
          </w:p>
        </w:tc>
        <w:tc>
          <w:tcPr>
            <w:tcW w:w="712" w:type="pct"/>
            <w:tcBorders>
              <w:top w:val="nil"/>
              <w:left w:val="nil"/>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 xml:space="preserve">100.00 </w:t>
            </w:r>
          </w:p>
        </w:tc>
        <w:tc>
          <w:tcPr>
            <w:tcW w:w="1163" w:type="pct"/>
            <w:tcBorders>
              <w:top w:val="nil"/>
              <w:left w:val="nil"/>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34,116,462.22</w:t>
            </w:r>
          </w:p>
        </w:tc>
        <w:tc>
          <w:tcPr>
            <w:tcW w:w="750" w:type="pct"/>
            <w:tcBorders>
              <w:top w:val="nil"/>
              <w:left w:val="nil"/>
              <w:bottom w:val="single" w:color="auto" w:sz="8" w:space="0"/>
              <w:right w:val="single" w:color="auto" w:sz="8" w:space="0"/>
            </w:tcBorders>
            <w:shd w:val="clear"/>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sz w:val="18"/>
                <w:szCs w:val="18"/>
              </w:rPr>
              <w:t>100.00</w:t>
            </w:r>
          </w:p>
        </w:tc>
      </w:tr>
    </w:tbl>
    <w:p>
      <w:pPr>
        <w:pStyle w:val="2"/>
        <w:keepNext w:val="0"/>
        <w:keepLines w:val="0"/>
        <w:widowControl/>
        <w:suppressLineNumbers w:val="0"/>
        <w:jc w:val="both"/>
        <w:rPr>
          <w:rFonts w:hint="default" w:ascii="Times New Roman" w:hAnsi="Times New Roman" w:cs="Times New Roman"/>
          <w:sz w:val="24"/>
          <w:szCs w:val="24"/>
        </w:rPr>
      </w:pPr>
      <w:r>
        <w:rPr>
          <w:rFonts w:hint="eastAsia" w:ascii="宋体" w:hAnsi="宋体" w:eastAsia="宋体" w:cs="宋体"/>
          <w:sz w:val="21"/>
          <w:szCs w:val="21"/>
        </w:rPr>
        <w:t>2022年6月30日公司其他应付款中账龄超过1年的款项主要为供应商质量保证金。</w:t>
      </w:r>
    </w:p>
    <w:p>
      <w:pPr>
        <w:keepNext/>
        <w:keepLines/>
        <w:spacing w:before="300" w:after="300" w:line="280" w:lineRule="exact"/>
        <w:jc w:val="left"/>
        <w:outlineLvl w:val="2"/>
        <w:rPr>
          <w:rFonts w:ascii="宋体" w:hAnsi="宋体" w:eastAsia="宋体" w:cs="宋体"/>
          <w:b/>
          <w:bCs/>
          <w:sz w:val="21"/>
          <w:szCs w:val="21"/>
        </w:rPr>
      </w:pPr>
      <w:bookmarkStart w:id="195" w:name="_Toc989170"/>
      <w:r>
        <w:rPr>
          <w:rFonts w:ascii="宋体" w:hAnsi="宋体" w:eastAsia="宋体" w:cs="宋体"/>
          <w:b/>
          <w:bCs/>
          <w:sz w:val="21"/>
          <w:szCs w:val="21"/>
        </w:rPr>
        <w:t>42、持有待售负债</w:t>
      </w:r>
      <w:bookmarkEnd w:id="19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96" w:name="_Toc989171"/>
      <w:r>
        <w:rPr>
          <w:rFonts w:ascii="宋体" w:hAnsi="宋体" w:eastAsia="宋体" w:cs="宋体"/>
          <w:b/>
          <w:bCs/>
          <w:sz w:val="21"/>
          <w:szCs w:val="21"/>
        </w:rPr>
        <w:t>43、一年内到期的非流动负债</w:t>
      </w:r>
      <w:bookmarkEnd w:id="19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97" w:name="_Toc989172"/>
      <w:r>
        <w:rPr>
          <w:rFonts w:ascii="宋体" w:hAnsi="宋体" w:eastAsia="宋体" w:cs="宋体"/>
          <w:b/>
          <w:bCs/>
          <w:sz w:val="21"/>
          <w:szCs w:val="21"/>
        </w:rPr>
        <w:t>44、其他流动负债</w:t>
      </w:r>
      <w:bookmarkEnd w:id="19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待转销项税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346,071.61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391,593.99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346,071.61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391,593.99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短期应付债券的增减变动：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债券名称</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发行日期</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债券期限</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发行金额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本期发行</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按面值计提利息</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溢折价摊销</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本期偿还</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98" w:name="_Toc989173"/>
      <w:r>
        <w:rPr>
          <w:rFonts w:ascii="宋体" w:hAnsi="宋体" w:eastAsia="宋体" w:cs="宋体"/>
          <w:b/>
          <w:bCs/>
          <w:sz w:val="21"/>
          <w:szCs w:val="21"/>
        </w:rPr>
        <w:t>45、长期借款</w:t>
      </w:r>
      <w:bookmarkEnd w:id="198"/>
    </w:p>
    <w:p>
      <w:pPr>
        <w:keepNext/>
        <w:keepLines/>
        <w:spacing w:before="300" w:after="300" w:line="280" w:lineRule="exact"/>
        <w:jc w:val="left"/>
        <w:outlineLvl w:val="3"/>
        <w:rPr>
          <w:rFonts w:ascii="宋体" w:hAnsi="宋体" w:eastAsia="宋体" w:cs="宋体"/>
          <w:b/>
          <w:bCs/>
          <w:sz w:val="18"/>
          <w:szCs w:val="18"/>
        </w:rPr>
      </w:pPr>
      <w:bookmarkStart w:id="199" w:name="_Toc989174"/>
      <w:r>
        <w:rPr>
          <w:rFonts w:ascii="宋体" w:hAnsi="宋体" w:eastAsia="宋体" w:cs="宋体"/>
          <w:b/>
          <w:bCs/>
          <w:sz w:val="18"/>
          <w:szCs w:val="18"/>
        </w:rPr>
        <w:t>（1） 长期借款分类</w:t>
      </w:r>
      <w:bookmarkEnd w:id="19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长期借款分类的说明：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其他说明，包括利率区间：</w:t>
      </w:r>
    </w:p>
    <w:p>
      <w:pPr>
        <w:keepNext/>
        <w:keepLines/>
        <w:spacing w:before="300" w:after="300" w:line="280" w:lineRule="exact"/>
        <w:jc w:val="left"/>
        <w:outlineLvl w:val="2"/>
        <w:rPr>
          <w:rFonts w:ascii="宋体" w:hAnsi="宋体" w:eastAsia="宋体" w:cs="宋体"/>
          <w:b/>
          <w:bCs/>
          <w:sz w:val="21"/>
          <w:szCs w:val="21"/>
        </w:rPr>
      </w:pPr>
      <w:bookmarkStart w:id="200" w:name="_Toc989175"/>
      <w:r>
        <w:rPr>
          <w:rFonts w:ascii="宋体" w:hAnsi="宋体" w:eastAsia="宋体" w:cs="宋体"/>
          <w:b/>
          <w:bCs/>
          <w:sz w:val="21"/>
          <w:szCs w:val="21"/>
        </w:rPr>
        <w:t>46、应付债券</w:t>
      </w:r>
      <w:bookmarkEnd w:id="200"/>
    </w:p>
    <w:p>
      <w:pPr>
        <w:keepNext/>
        <w:keepLines/>
        <w:spacing w:before="300" w:after="300" w:line="280" w:lineRule="exact"/>
        <w:jc w:val="left"/>
        <w:outlineLvl w:val="3"/>
        <w:rPr>
          <w:rFonts w:ascii="宋体" w:hAnsi="宋体" w:eastAsia="宋体" w:cs="宋体"/>
          <w:b/>
          <w:bCs/>
          <w:sz w:val="21"/>
          <w:szCs w:val="21"/>
        </w:rPr>
      </w:pPr>
      <w:bookmarkStart w:id="201" w:name="_Toc989176"/>
      <w:r>
        <w:rPr>
          <w:rFonts w:ascii="宋体" w:hAnsi="宋体" w:eastAsia="宋体" w:cs="宋体"/>
          <w:b/>
          <w:bCs/>
          <w:sz w:val="21"/>
          <w:szCs w:val="21"/>
        </w:rPr>
        <w:t>（1） 应付债券</w:t>
      </w:r>
      <w:bookmarkEnd w:id="20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3"/>
        <w:rPr>
          <w:rFonts w:ascii="宋体" w:hAnsi="宋体" w:eastAsia="宋体" w:cs="宋体"/>
          <w:b/>
          <w:bCs/>
          <w:sz w:val="21"/>
          <w:szCs w:val="21"/>
        </w:rPr>
      </w:pPr>
      <w:bookmarkStart w:id="202" w:name="_Toc989177"/>
      <w:r>
        <w:rPr>
          <w:rFonts w:ascii="宋体" w:hAnsi="宋体" w:eastAsia="宋体" w:cs="宋体"/>
          <w:b/>
          <w:bCs/>
          <w:sz w:val="21"/>
          <w:szCs w:val="21"/>
        </w:rPr>
        <w:t>（2） 应付债券的增减变动（不包括划分为金融负债的优先股、永续债等其他金融工具）</w:t>
      </w:r>
      <w:bookmarkEnd w:id="20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债券名称</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发行日期</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债券期限</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发行金额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本期发行</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按面值计提利息</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溢折价摊销</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本期偿还</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203" w:name="_Toc989178"/>
      <w:r>
        <w:rPr>
          <w:rFonts w:ascii="宋体" w:hAnsi="宋体" w:eastAsia="宋体" w:cs="宋体"/>
          <w:b/>
          <w:bCs/>
          <w:sz w:val="21"/>
          <w:szCs w:val="21"/>
        </w:rPr>
        <w:t>（3） 可转换公司债券的转股条件、转股时间说明</w:t>
      </w:r>
      <w:bookmarkEnd w:id="203"/>
    </w:p>
    <w:p>
      <w:pPr>
        <w:keepNext/>
        <w:keepLines/>
        <w:spacing w:before="300" w:after="300" w:line="280" w:lineRule="exact"/>
        <w:jc w:val="left"/>
        <w:outlineLvl w:val="3"/>
        <w:rPr>
          <w:rFonts w:ascii="宋体" w:hAnsi="宋体" w:eastAsia="宋体" w:cs="宋体"/>
          <w:b/>
          <w:bCs/>
          <w:sz w:val="21"/>
          <w:szCs w:val="21"/>
        </w:rPr>
      </w:pPr>
      <w:bookmarkStart w:id="204" w:name="_Toc989179"/>
      <w:r>
        <w:rPr>
          <w:rFonts w:ascii="宋体" w:hAnsi="宋体" w:eastAsia="宋体" w:cs="宋体"/>
          <w:b/>
          <w:bCs/>
          <w:sz w:val="21"/>
          <w:szCs w:val="21"/>
        </w:rPr>
        <w:t>（4） 划分为金融负债的其他金融工具说明</w:t>
      </w:r>
      <w:bookmarkEnd w:id="204"/>
    </w:p>
    <w:p>
      <w:pPr>
        <w:spacing w:before="100" w:after="100" w:line="240" w:lineRule="exact"/>
        <w:jc w:val="left"/>
        <w:rPr>
          <w:rFonts w:ascii="宋体" w:hAnsi="宋体" w:eastAsia="宋体" w:cs="宋体"/>
          <w:sz w:val="18"/>
          <w:szCs w:val="18"/>
        </w:rPr>
      </w:pPr>
      <w:r>
        <w:rPr>
          <w:rFonts w:ascii="宋体" w:hAnsi="宋体" w:eastAsia="宋体" w:cs="宋体"/>
          <w:sz w:val="18"/>
          <w:szCs w:val="18"/>
        </w:rPr>
        <w:t>期末发行在外的优先股、永续债等其他金融工具基本情况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期末发行在外的优先股、永续债等金融工具变动情况表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发行在外的金融工具</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其他金融工具划分为金融负债的依据说明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05" w:name="_Toc989180"/>
      <w:r>
        <w:rPr>
          <w:rFonts w:ascii="宋体" w:hAnsi="宋体" w:eastAsia="宋体" w:cs="宋体"/>
          <w:b/>
          <w:bCs/>
          <w:sz w:val="21"/>
          <w:szCs w:val="21"/>
        </w:rPr>
        <w:t>47、租赁负债</w:t>
      </w:r>
      <w:bookmarkEnd w:id="20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06" w:name="_Toc989181"/>
      <w:r>
        <w:rPr>
          <w:rFonts w:ascii="宋体" w:hAnsi="宋体" w:eastAsia="宋体" w:cs="宋体"/>
          <w:b/>
          <w:bCs/>
          <w:sz w:val="21"/>
          <w:szCs w:val="21"/>
        </w:rPr>
        <w:t>48、长期应付款</w:t>
      </w:r>
      <w:bookmarkEnd w:id="20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3"/>
        <w:rPr>
          <w:rFonts w:ascii="宋体" w:hAnsi="宋体" w:eastAsia="宋体" w:cs="宋体"/>
          <w:b/>
          <w:bCs/>
          <w:sz w:val="18"/>
          <w:szCs w:val="18"/>
        </w:rPr>
      </w:pPr>
      <w:bookmarkStart w:id="207" w:name="_Toc989182"/>
      <w:r>
        <w:rPr>
          <w:rFonts w:ascii="宋体" w:hAnsi="宋体" w:eastAsia="宋体" w:cs="宋体"/>
          <w:b/>
          <w:bCs/>
          <w:sz w:val="18"/>
          <w:szCs w:val="18"/>
        </w:rPr>
        <w:t>（1） 按款项性质列示长期应付款</w:t>
      </w:r>
      <w:bookmarkEnd w:id="20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08" w:name="_Toc989183"/>
      <w:r>
        <w:rPr>
          <w:rFonts w:ascii="宋体" w:hAnsi="宋体" w:eastAsia="宋体" w:cs="宋体"/>
          <w:b/>
          <w:bCs/>
          <w:sz w:val="18"/>
          <w:szCs w:val="18"/>
        </w:rPr>
        <w:t>（2） 专项应付款</w:t>
      </w:r>
      <w:bookmarkEnd w:id="20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09" w:name="_Toc989184"/>
      <w:r>
        <w:rPr>
          <w:rFonts w:ascii="宋体" w:hAnsi="宋体" w:eastAsia="宋体" w:cs="宋体"/>
          <w:b/>
          <w:bCs/>
          <w:sz w:val="21"/>
          <w:szCs w:val="21"/>
        </w:rPr>
        <w:t>49、长期应付职工薪酬</w:t>
      </w:r>
      <w:bookmarkEnd w:id="209"/>
    </w:p>
    <w:p>
      <w:pPr>
        <w:keepNext/>
        <w:keepLines/>
        <w:spacing w:before="300" w:after="300" w:line="280" w:lineRule="exact"/>
        <w:jc w:val="left"/>
        <w:outlineLvl w:val="3"/>
        <w:rPr>
          <w:rFonts w:ascii="宋体" w:hAnsi="宋体" w:eastAsia="宋体" w:cs="宋体"/>
          <w:b/>
          <w:bCs/>
          <w:sz w:val="18"/>
          <w:szCs w:val="18"/>
        </w:rPr>
      </w:pPr>
      <w:bookmarkStart w:id="210" w:name="_Toc989185"/>
      <w:r>
        <w:rPr>
          <w:rFonts w:ascii="宋体" w:hAnsi="宋体" w:eastAsia="宋体" w:cs="宋体"/>
          <w:b/>
          <w:bCs/>
          <w:sz w:val="18"/>
          <w:szCs w:val="18"/>
        </w:rPr>
        <w:t>（1） 长期应付职工薪酬表</w:t>
      </w:r>
      <w:bookmarkEnd w:id="21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3"/>
        <w:rPr>
          <w:rFonts w:ascii="宋体" w:hAnsi="宋体" w:eastAsia="宋体" w:cs="宋体"/>
          <w:b/>
          <w:bCs/>
          <w:sz w:val="18"/>
          <w:szCs w:val="18"/>
        </w:rPr>
      </w:pPr>
      <w:bookmarkStart w:id="211" w:name="_Toc989186"/>
      <w:r>
        <w:rPr>
          <w:rFonts w:ascii="宋体" w:hAnsi="宋体" w:eastAsia="宋体" w:cs="宋体"/>
          <w:b/>
          <w:bCs/>
          <w:sz w:val="18"/>
          <w:szCs w:val="18"/>
        </w:rPr>
        <w:t>（2） 设定受益计划变动情况</w:t>
      </w:r>
      <w:bookmarkEnd w:id="211"/>
    </w:p>
    <w:p>
      <w:pPr>
        <w:spacing w:before="120" w:after="120" w:line="240" w:lineRule="exact"/>
        <w:jc w:val="left"/>
        <w:rPr>
          <w:rFonts w:ascii="宋体" w:hAnsi="宋体" w:eastAsia="宋体" w:cs="宋体"/>
          <w:sz w:val="18"/>
          <w:szCs w:val="18"/>
        </w:rPr>
      </w:pPr>
      <w:r>
        <w:rPr>
          <w:rFonts w:ascii="宋体" w:hAnsi="宋体" w:eastAsia="宋体" w:cs="宋体"/>
          <w:sz w:val="18"/>
          <w:szCs w:val="18"/>
        </w:rPr>
        <w:t>设定受益计划义务现值：</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计划资产：</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设定受益计划净负债（净资产）</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设定受益计划的内容及与之相关风险、对公司未来现金流量、时间和不确定性的影响说明：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设定受益计划重大精算假设及敏感性分析结果说明：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2" w:name="_Toc989187"/>
      <w:r>
        <w:rPr>
          <w:rFonts w:ascii="宋体" w:hAnsi="宋体" w:eastAsia="宋体" w:cs="宋体"/>
          <w:b/>
          <w:bCs/>
          <w:sz w:val="21"/>
          <w:szCs w:val="21"/>
        </w:rPr>
        <w:t>50、预计负债</w:t>
      </w:r>
      <w:bookmarkEnd w:id="21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其他说明，包括重要预计负债的相关重要假设、估计说明：</w:t>
      </w:r>
    </w:p>
    <w:p>
      <w:pPr>
        <w:keepNext/>
        <w:keepLines/>
        <w:spacing w:before="300" w:after="300" w:line="280" w:lineRule="exact"/>
        <w:jc w:val="left"/>
        <w:outlineLvl w:val="2"/>
        <w:rPr>
          <w:rFonts w:ascii="宋体" w:hAnsi="宋体" w:eastAsia="宋体" w:cs="宋体"/>
          <w:b/>
          <w:bCs/>
          <w:sz w:val="21"/>
          <w:szCs w:val="21"/>
        </w:rPr>
      </w:pPr>
      <w:bookmarkStart w:id="213" w:name="_Toc989188"/>
      <w:r>
        <w:rPr>
          <w:rFonts w:ascii="宋体" w:hAnsi="宋体" w:eastAsia="宋体" w:cs="宋体"/>
          <w:b/>
          <w:bCs/>
          <w:sz w:val="21"/>
          <w:szCs w:val="21"/>
        </w:rPr>
        <w:t>51、递延收益</w:t>
      </w:r>
      <w:bookmarkEnd w:id="21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11,242,874.68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433,401.61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10,809,473.07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政府补助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11,242,874.68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433,401.61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10,809,473.07</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涉及政府补助的项目：</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本期新增补助金额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本期计入营业外收入金额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本期计入其他收益金额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本期冲减成本费用金额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与资产相关/与收益相关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基础设施建设补助</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6,812,540.90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84,979.74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6,727,561.16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年产45万支新型阀门制造建设项目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1,306,728.72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84,305.10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1,222,423.62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企业技术改造综合奖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3,123,605.06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264,116.77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3,689,488.29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4" w:name="_Toc989189"/>
      <w:r>
        <w:rPr>
          <w:rFonts w:ascii="宋体" w:hAnsi="宋体" w:eastAsia="宋体" w:cs="宋体"/>
          <w:b/>
          <w:bCs/>
          <w:sz w:val="21"/>
          <w:szCs w:val="21"/>
        </w:rPr>
        <w:t>52、其他非流动负债</w:t>
      </w:r>
      <w:bookmarkEnd w:id="21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5" w:name="_Toc989190"/>
      <w:r>
        <w:rPr>
          <w:rFonts w:ascii="宋体" w:hAnsi="宋体" w:eastAsia="宋体" w:cs="宋体"/>
          <w:b/>
          <w:bCs/>
          <w:sz w:val="21"/>
          <w:szCs w:val="21"/>
        </w:rPr>
        <w:t>53、股本</w:t>
      </w:r>
      <w:bookmarkEnd w:id="21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024"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股份总数</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6" w:name="_Toc989191"/>
      <w:r>
        <w:rPr>
          <w:rFonts w:ascii="宋体" w:hAnsi="宋体" w:eastAsia="宋体" w:cs="宋体"/>
          <w:b/>
          <w:bCs/>
          <w:sz w:val="21"/>
          <w:szCs w:val="21"/>
        </w:rPr>
        <w:t>54、其他权益工具</w:t>
      </w:r>
      <w:bookmarkEnd w:id="216"/>
    </w:p>
    <w:p>
      <w:pPr>
        <w:keepNext/>
        <w:keepLines/>
        <w:spacing w:before="300" w:after="300" w:line="280" w:lineRule="exact"/>
        <w:jc w:val="left"/>
        <w:outlineLvl w:val="3"/>
        <w:rPr>
          <w:rFonts w:ascii="宋体" w:hAnsi="宋体" w:eastAsia="宋体" w:cs="宋体"/>
          <w:b/>
          <w:bCs/>
          <w:sz w:val="18"/>
          <w:szCs w:val="18"/>
        </w:rPr>
      </w:pPr>
      <w:bookmarkStart w:id="217" w:name="_Toc989192"/>
      <w:r>
        <w:rPr>
          <w:rFonts w:ascii="宋体" w:hAnsi="宋体" w:eastAsia="宋体" w:cs="宋体"/>
          <w:b/>
          <w:bCs/>
          <w:sz w:val="18"/>
          <w:szCs w:val="18"/>
        </w:rPr>
        <w:t>（1） 期末发行在外的优先股、永续债等其他金融工具基本情况</w:t>
      </w:r>
      <w:bookmarkEnd w:id="217"/>
    </w:p>
    <w:p>
      <w:pPr>
        <w:keepNext/>
        <w:keepLines/>
        <w:spacing w:before="300" w:after="300" w:line="280" w:lineRule="exact"/>
        <w:jc w:val="left"/>
        <w:outlineLvl w:val="3"/>
        <w:rPr>
          <w:rFonts w:ascii="宋体" w:hAnsi="宋体" w:eastAsia="宋体" w:cs="宋体"/>
          <w:b/>
          <w:bCs/>
          <w:sz w:val="18"/>
          <w:szCs w:val="18"/>
        </w:rPr>
      </w:pPr>
      <w:bookmarkStart w:id="218" w:name="_Toc989193"/>
      <w:r>
        <w:rPr>
          <w:rFonts w:ascii="宋体" w:hAnsi="宋体" w:eastAsia="宋体" w:cs="宋体"/>
          <w:b/>
          <w:bCs/>
          <w:sz w:val="18"/>
          <w:szCs w:val="18"/>
        </w:rPr>
        <w:t>（2） 期末发行在外的优先股、永续债等金融工具变动情况表</w:t>
      </w:r>
      <w:bookmarkEnd w:id="21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发行在外的金融工具</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其他权益工具本期增减变动情况、变动原因说明，以及相关会计处理的依据：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9" w:name="_Toc989194"/>
      <w:r>
        <w:rPr>
          <w:rFonts w:ascii="宋体" w:hAnsi="宋体" w:eastAsia="宋体" w:cs="宋体"/>
          <w:b/>
          <w:bCs/>
          <w:sz w:val="21"/>
          <w:szCs w:val="21"/>
        </w:rPr>
        <w:t>55、资本公积</w:t>
      </w:r>
      <w:bookmarkEnd w:id="21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资本溢价（股本溢价）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178,294,431.93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178,294,431.93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其他资本公积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3,300,088.71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6,465,488.73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181,594,520.64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184,759,920.66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其他说明，包括本期增减变动情况、变动原因说明：</w:t>
      </w:r>
    </w:p>
    <w:p>
      <w:pPr>
        <w:pStyle w:val="2"/>
        <w:keepNext w:val="0"/>
        <w:keepLines w:val="0"/>
        <w:widowControl/>
        <w:suppressLineNumbers w:val="0"/>
        <w:spacing w:before="150" w:beforeAutospacing="0" w:after="15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股本溢价：无</w:t>
      </w:r>
    </w:p>
    <w:p>
      <w:pPr>
        <w:pStyle w:val="2"/>
        <w:keepNext w:val="0"/>
        <w:keepLines w:val="0"/>
        <w:widowControl/>
        <w:suppressLineNumbers w:val="0"/>
        <w:spacing w:before="150" w:beforeAutospacing="0" w:after="15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其他资本公积：</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公司向限制性股票股权激励对象授予限制性股票，2022年1-6月确认股份支付费用增加资本公积3,165,400.02元。</w:t>
      </w:r>
    </w:p>
    <w:p>
      <w:pPr>
        <w:keepNext/>
        <w:keepLines/>
        <w:spacing w:before="300" w:after="300" w:line="280" w:lineRule="exact"/>
        <w:jc w:val="left"/>
        <w:outlineLvl w:val="2"/>
        <w:rPr>
          <w:rFonts w:ascii="宋体" w:hAnsi="宋体" w:eastAsia="宋体" w:cs="宋体"/>
          <w:b/>
          <w:bCs/>
          <w:sz w:val="21"/>
          <w:szCs w:val="21"/>
        </w:rPr>
      </w:pPr>
      <w:bookmarkStart w:id="220" w:name="_Toc989195"/>
      <w:r>
        <w:rPr>
          <w:rFonts w:ascii="宋体" w:hAnsi="宋体" w:eastAsia="宋体" w:cs="宋体"/>
          <w:b/>
          <w:bCs/>
          <w:sz w:val="21"/>
          <w:szCs w:val="21"/>
        </w:rPr>
        <w:t>56、库存股</w:t>
      </w:r>
      <w:bookmarkEnd w:id="22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股份回购</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4,075,679.85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4,075,679.85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限制性股票股权激励</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其他说明，包括本期增减变动情况、变动原因说明：</w:t>
      </w:r>
    </w:p>
    <w:p>
      <w:pPr>
        <w:keepNext/>
        <w:keepLines/>
        <w:spacing w:before="300" w:after="300" w:line="280" w:lineRule="exact"/>
        <w:jc w:val="left"/>
        <w:outlineLvl w:val="2"/>
        <w:rPr>
          <w:rFonts w:ascii="宋体" w:hAnsi="宋体" w:eastAsia="宋体" w:cs="宋体"/>
          <w:b/>
          <w:bCs/>
          <w:sz w:val="21"/>
          <w:szCs w:val="21"/>
        </w:rPr>
      </w:pPr>
      <w:bookmarkStart w:id="221" w:name="_Toc989196"/>
      <w:r>
        <w:rPr>
          <w:rFonts w:ascii="宋体" w:hAnsi="宋体" w:eastAsia="宋体" w:cs="宋体"/>
          <w:b/>
          <w:bCs/>
          <w:sz w:val="21"/>
          <w:szCs w:val="21"/>
        </w:rPr>
        <w:t>57、其他综合收益</w:t>
      </w:r>
      <w:bookmarkEnd w:id="22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426"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本期所得税前发生额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减：前期计入其他综合收益当期转入留存收益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减：所得税费用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税后归属于母公司</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税后归属于少数股东</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-70,265.02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外币财务报表折算差额</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-70,265.02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-70,265.02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其他说明，包括对现金流量套期损益的有效部分转为被套期项目初始确认金额调整：</w:t>
      </w:r>
    </w:p>
    <w:p>
      <w:pPr>
        <w:keepNext/>
        <w:keepLines/>
        <w:spacing w:before="300" w:after="300" w:line="280" w:lineRule="exact"/>
        <w:jc w:val="left"/>
        <w:outlineLvl w:val="2"/>
        <w:rPr>
          <w:rFonts w:ascii="宋体" w:hAnsi="宋体" w:eastAsia="宋体" w:cs="宋体"/>
          <w:b/>
          <w:bCs/>
          <w:sz w:val="21"/>
          <w:szCs w:val="21"/>
        </w:rPr>
      </w:pPr>
      <w:bookmarkStart w:id="222" w:name="_Toc989197"/>
      <w:r>
        <w:rPr>
          <w:rFonts w:ascii="宋体" w:hAnsi="宋体" w:eastAsia="宋体" w:cs="宋体"/>
          <w:b/>
          <w:bCs/>
          <w:sz w:val="21"/>
          <w:szCs w:val="21"/>
        </w:rPr>
        <w:t>58、专项储备</w:t>
      </w:r>
      <w:bookmarkEnd w:id="22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其他说明，包括本期增减变动情况、变动原因说明：</w:t>
      </w:r>
    </w:p>
    <w:p>
      <w:pPr>
        <w:keepNext/>
        <w:keepLines/>
        <w:spacing w:before="300" w:after="300" w:line="280" w:lineRule="exact"/>
        <w:jc w:val="left"/>
        <w:outlineLvl w:val="2"/>
        <w:rPr>
          <w:rFonts w:ascii="宋体" w:hAnsi="宋体" w:eastAsia="宋体" w:cs="宋体"/>
          <w:b/>
          <w:bCs/>
          <w:sz w:val="21"/>
          <w:szCs w:val="21"/>
        </w:rPr>
      </w:pPr>
      <w:bookmarkStart w:id="223" w:name="_Toc989198"/>
      <w:r>
        <w:rPr>
          <w:rFonts w:ascii="宋体" w:hAnsi="宋体" w:eastAsia="宋体" w:cs="宋体"/>
          <w:b/>
          <w:bCs/>
          <w:sz w:val="21"/>
          <w:szCs w:val="21"/>
        </w:rPr>
        <w:t>59、盈余公积</w:t>
      </w:r>
      <w:bookmarkEnd w:id="22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法定盈余公积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盈余公积说明，包括本期增减变动情况、变动原因说明：</w:t>
      </w:r>
    </w:p>
    <w:p>
      <w:pPr>
        <w:keepNext/>
        <w:keepLines/>
        <w:spacing w:before="300" w:after="300" w:line="280" w:lineRule="exact"/>
        <w:jc w:val="left"/>
        <w:outlineLvl w:val="2"/>
        <w:rPr>
          <w:rFonts w:ascii="宋体" w:hAnsi="宋体" w:eastAsia="宋体" w:cs="宋体"/>
          <w:b/>
          <w:bCs/>
          <w:sz w:val="21"/>
          <w:szCs w:val="21"/>
        </w:rPr>
      </w:pPr>
      <w:bookmarkStart w:id="224" w:name="_Toc989199"/>
      <w:r>
        <w:rPr>
          <w:rFonts w:ascii="宋体" w:hAnsi="宋体" w:eastAsia="宋体" w:cs="宋体"/>
          <w:b/>
          <w:bCs/>
          <w:sz w:val="21"/>
          <w:szCs w:val="21"/>
        </w:rPr>
        <w:t>60、未分配利润</w:t>
      </w:r>
      <w:bookmarkEnd w:id="22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调整前上期末未分配利润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252,498,577.96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调整后期初未分配利润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252,498,577.96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加：本期归属于母公司所有者的净利润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79,146,764.83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60,993,488.79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减：提取法定盈余公积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6,431,811.46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应付普通股股利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52,494,300.00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274,700,962.42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调整期初未分配利润明细：</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1)、由于《企业会计准则》及其相关新规定进行追溯调整，影响期初未分配利润元。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2)、由于会计政策变更，影响期初未分配利润元。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3)、由于重大会计差错更正，影响期初未分配利润元。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4)、由于同一控制导致的合并范围变更，影响期初未分配利润元。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5)、其他调整合计影响期初未分配利润元。</w:t>
      </w:r>
    </w:p>
    <w:p>
      <w:pPr>
        <w:keepNext/>
        <w:keepLines/>
        <w:spacing w:before="300" w:after="300" w:line="280" w:lineRule="exact"/>
        <w:jc w:val="left"/>
        <w:outlineLvl w:val="2"/>
        <w:rPr>
          <w:rFonts w:ascii="宋体" w:hAnsi="宋体" w:eastAsia="宋体" w:cs="宋体"/>
          <w:b/>
          <w:bCs/>
          <w:sz w:val="21"/>
          <w:szCs w:val="21"/>
        </w:rPr>
      </w:pPr>
      <w:bookmarkStart w:id="225" w:name="_Toc989200"/>
      <w:r>
        <w:rPr>
          <w:rFonts w:ascii="宋体" w:hAnsi="宋体" w:eastAsia="宋体" w:cs="宋体"/>
          <w:b/>
          <w:bCs/>
          <w:sz w:val="21"/>
          <w:szCs w:val="21"/>
        </w:rPr>
        <w:t>61、营业收入和营业成本</w:t>
      </w:r>
      <w:bookmarkEnd w:id="22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231,176,900.35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146,093,254.95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179,280,105.10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124,263,016.24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2,881,638.76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2,120,951.22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943,570.16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364,375.46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148,214,206.17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180,223,675.26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124,627,391.70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收入相关信息：</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2022年1-6月</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商品类型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191,104,635.94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191,104,635.94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过滤器销售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13,050,138.38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13,050,138.38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阀门零件及管件销售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21,635,563.33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21,635,563.33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汽车配件</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5,179,911.77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5,179,911.77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3,088,289.69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3,088,289.69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内销收入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41,024,726.65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41,024,726.65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193,033,812.46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193,033,812.46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与履约义务相关的信息：</w:t>
      </w:r>
    </w:p>
    <w:p>
      <w:pPr>
        <w:pStyle w:val="2"/>
        <w:keepNext w:val="0"/>
        <w:keepLines w:val="0"/>
        <w:widowControl/>
        <w:suppressLineNumbers w:val="0"/>
      </w:pPr>
      <w:r>
        <w:rPr>
          <w:rFonts w:hint="eastAsia" w:ascii="宋体" w:hAnsi="宋体" w:eastAsia="宋体" w:cs="宋体"/>
          <w:sz w:val="18"/>
          <w:szCs w:val="18"/>
        </w:rPr>
        <w:t>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201,656,594.30元，其中，201,466,420.06元预计将于2022年度确认收入，190,174.24元预计将于2023年度确认收入，元预计将于年度确认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pPr>
      <w:r>
        <w:rPr>
          <w:rFonts w:hint="eastAsia" w:ascii="宋体" w:hAnsi="宋体" w:eastAsia="宋体" w:cs="宋体"/>
          <w:sz w:val="18"/>
          <w:szCs w:val="18"/>
        </w:rPr>
        <w:t>无</w:t>
      </w:r>
    </w:p>
    <w:p>
      <w:pPr>
        <w:keepNext/>
        <w:keepLines/>
        <w:spacing w:before="300" w:after="300" w:line="280" w:lineRule="exact"/>
        <w:jc w:val="left"/>
        <w:outlineLvl w:val="2"/>
        <w:rPr>
          <w:rFonts w:ascii="宋体" w:hAnsi="宋体" w:eastAsia="宋体" w:cs="宋体"/>
          <w:b/>
          <w:bCs/>
          <w:sz w:val="21"/>
          <w:szCs w:val="21"/>
        </w:rPr>
      </w:pPr>
      <w:bookmarkStart w:id="226" w:name="_Toc989201"/>
      <w:r>
        <w:rPr>
          <w:rFonts w:ascii="宋体" w:hAnsi="宋体" w:eastAsia="宋体" w:cs="宋体"/>
          <w:b/>
          <w:bCs/>
          <w:sz w:val="21"/>
          <w:szCs w:val="21"/>
        </w:rPr>
        <w:t>62、税金及附加</w:t>
      </w:r>
      <w:bookmarkEnd w:id="22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755,617.73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602,211.31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323,836.16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246,684.72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676,298.89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618,640.69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234,857.70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234,857.70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车船使用税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5,040.00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122,746.18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30,018.03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地方教育费附加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215,890.78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164,456.50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地方水利建设基金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5,367.40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5,539.97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2,339,827.41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1,906,136.35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7" w:name="_Toc989202"/>
      <w:r>
        <w:rPr>
          <w:rFonts w:ascii="宋体" w:hAnsi="宋体" w:eastAsia="宋体" w:cs="宋体"/>
          <w:b/>
          <w:bCs/>
          <w:sz w:val="21"/>
          <w:szCs w:val="21"/>
        </w:rPr>
        <w:t>63、销售费用</w:t>
      </w:r>
      <w:bookmarkEnd w:id="22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办公费及差旅费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1,225,008.76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84,363.32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工资及附加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2,484,166.90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1,586,844.72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业务宣传费及展位费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171,301.16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360,465.55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检验费及认证费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2,108,768.54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2,800,851.89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佣金及咨询费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5,952,178.90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5,953,615.25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水电费、通讯费及其他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296,556.85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819,390.33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12,237,981.11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11,605,531.06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8" w:name="_Toc989203"/>
      <w:r>
        <w:rPr>
          <w:rFonts w:ascii="宋体" w:hAnsi="宋体" w:eastAsia="宋体" w:cs="宋体"/>
          <w:b/>
          <w:bCs/>
          <w:sz w:val="21"/>
          <w:szCs w:val="21"/>
        </w:rPr>
        <w:t>64、管理费用</w:t>
      </w:r>
      <w:bookmarkEnd w:id="22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办公费及差旅费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150,263.14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230,488.83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业务招待费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66,326.09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102,112.32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工资及附加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7,636,053.65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6,460,834.76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折旧及摊销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1,989,020.89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1,751,023.91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股权激励费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2,222,762.52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606,573.36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2,224,580.43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2,380,856.40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14,289,006.72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11,531,889.58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9" w:name="_Toc989204"/>
      <w:r>
        <w:rPr>
          <w:rFonts w:ascii="宋体" w:hAnsi="宋体" w:eastAsia="宋体" w:cs="宋体"/>
          <w:b/>
          <w:bCs/>
          <w:sz w:val="21"/>
          <w:szCs w:val="21"/>
        </w:rPr>
        <w:t>65、研发费用</w:t>
      </w:r>
      <w:bookmarkEnd w:id="22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工资及附加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6,863,830.56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5,619,877.94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761,318.23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580,787.72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材料及调试费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6,224,635.47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3,720,904.56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12,688.06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126,244.93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13,862,472.32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10,047,815.15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30" w:name="_Toc989205"/>
      <w:r>
        <w:rPr>
          <w:rFonts w:ascii="宋体" w:hAnsi="宋体" w:eastAsia="宋体" w:cs="宋体"/>
          <w:b/>
          <w:bCs/>
          <w:sz w:val="21"/>
          <w:szCs w:val="21"/>
        </w:rPr>
        <w:t>66、财务费用</w:t>
      </w:r>
      <w:bookmarkEnd w:id="23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515,138.89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753,787.38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224,810.18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147,506.22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300,804.30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181,944.26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汇兑损益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-2,359,969.50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-192,542.94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-1,768,836.49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595,682.48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31" w:name="_Toc989206"/>
      <w:r>
        <w:rPr>
          <w:rFonts w:ascii="宋体" w:hAnsi="宋体" w:eastAsia="宋体" w:cs="宋体"/>
          <w:b/>
          <w:bCs/>
          <w:sz w:val="21"/>
          <w:szCs w:val="21"/>
        </w:rPr>
        <w:t>67、其他收益</w:t>
      </w:r>
      <w:bookmarkEnd w:id="23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产生其他收益的来源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与资产相关的政府补助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579,401.61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380,492.60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与收益相关的政府补助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1,214,428.43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1,007,639.53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手续费返还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44,931.21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51,401.30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税收减免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27,739.94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41,585.99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1,866,501.19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1,481,119.42</w:t>
            </w:r>
          </w:p>
        </w:tc>
      </w:tr>
    </w:tbl>
    <w:p>
      <w:pPr>
        <w:keepNext/>
        <w:keepLines/>
        <w:spacing w:before="300" w:after="300" w:line="280" w:lineRule="exact"/>
        <w:jc w:val="left"/>
        <w:outlineLvl w:val="2"/>
        <w:rPr>
          <w:rFonts w:ascii="宋体" w:hAnsi="宋体" w:eastAsia="宋体" w:cs="宋体"/>
          <w:b/>
          <w:bCs/>
          <w:sz w:val="21"/>
          <w:szCs w:val="21"/>
        </w:rPr>
      </w:pPr>
      <w:bookmarkStart w:id="232" w:name="_Toc989207"/>
      <w:r>
        <w:rPr>
          <w:rFonts w:ascii="宋体" w:hAnsi="宋体" w:eastAsia="宋体" w:cs="宋体"/>
          <w:b/>
          <w:bCs/>
          <w:sz w:val="21"/>
          <w:szCs w:val="21"/>
        </w:rPr>
        <w:t>68、投资收益</w:t>
      </w:r>
      <w:bookmarkEnd w:id="23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处置交易性金融资产取得的投资收益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3,769,324.97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10,089,636.02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外汇期权收益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55,250.00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处置子公司产生的投资收益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41,641,161.86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大额存单在持有期间取得的收益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1,083,525.55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46,494,012.38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10,144,886.02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33" w:name="_Toc989208"/>
      <w:r>
        <w:rPr>
          <w:rFonts w:ascii="宋体" w:hAnsi="宋体" w:eastAsia="宋体" w:cs="宋体"/>
          <w:b/>
          <w:bCs/>
          <w:sz w:val="21"/>
          <w:szCs w:val="21"/>
        </w:rPr>
        <w:t>69、净敞口套期收益</w:t>
      </w:r>
      <w:bookmarkEnd w:id="23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34" w:name="_Toc989209"/>
      <w:r>
        <w:rPr>
          <w:rFonts w:ascii="宋体" w:hAnsi="宋体" w:eastAsia="宋体" w:cs="宋体"/>
          <w:b/>
          <w:bCs/>
          <w:sz w:val="21"/>
          <w:szCs w:val="21"/>
        </w:rPr>
        <w:t>70、公允价值变动收益</w:t>
      </w:r>
      <w:bookmarkEnd w:id="23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产生公允价值变动收益的来源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2,228,885.52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-3,089,631.80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其中：衍生金融工具产生的公允价值变动收益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2,228,885.52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-3,089,631.80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2,228,885.52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-3,070,681.80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35" w:name="_Toc989210"/>
      <w:r>
        <w:rPr>
          <w:rFonts w:ascii="宋体" w:hAnsi="宋体" w:eastAsia="宋体" w:cs="宋体"/>
          <w:b/>
          <w:bCs/>
          <w:sz w:val="21"/>
          <w:szCs w:val="21"/>
        </w:rPr>
        <w:t>71、信用减值损失</w:t>
      </w:r>
      <w:bookmarkEnd w:id="23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-1,184,799.18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-16,616.92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应收账款坏账损失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531,332.21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-1,290,029.56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-653,466.97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-1,306,646.48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36" w:name="_Toc989211"/>
      <w:r>
        <w:rPr>
          <w:rFonts w:ascii="宋体" w:hAnsi="宋体" w:eastAsia="宋体" w:cs="宋体"/>
          <w:b/>
          <w:bCs/>
          <w:sz w:val="21"/>
          <w:szCs w:val="21"/>
        </w:rPr>
        <w:t>72、资产减值损失</w:t>
      </w:r>
      <w:bookmarkEnd w:id="23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二、存货跌价损失及合同履约成本减值损失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-659,821.72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-659,689.82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-659,821.72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-659,689.82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37" w:name="_Toc989212"/>
      <w:r>
        <w:rPr>
          <w:rFonts w:ascii="宋体" w:hAnsi="宋体" w:eastAsia="宋体" w:cs="宋体"/>
          <w:b/>
          <w:bCs/>
          <w:sz w:val="21"/>
          <w:szCs w:val="21"/>
        </w:rPr>
        <w:t>73、资产处置收益</w:t>
      </w:r>
      <w:bookmarkEnd w:id="23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资产处置收益的来源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处置固定资产收益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15,007.55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58,497.89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15,007.55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58,497.89</w:t>
            </w:r>
          </w:p>
        </w:tc>
      </w:tr>
    </w:tbl>
    <w:p>
      <w:pPr>
        <w:keepNext/>
        <w:keepLines/>
        <w:spacing w:before="300" w:after="300" w:line="280" w:lineRule="exact"/>
        <w:jc w:val="left"/>
        <w:outlineLvl w:val="2"/>
        <w:rPr>
          <w:rFonts w:ascii="宋体" w:hAnsi="宋体" w:eastAsia="宋体" w:cs="宋体"/>
          <w:b/>
          <w:bCs/>
          <w:sz w:val="21"/>
          <w:szCs w:val="21"/>
        </w:rPr>
      </w:pPr>
      <w:bookmarkStart w:id="238" w:name="_Toc989213"/>
      <w:r>
        <w:rPr>
          <w:rFonts w:ascii="宋体" w:hAnsi="宋体" w:eastAsia="宋体" w:cs="宋体"/>
          <w:b/>
          <w:bCs/>
          <w:sz w:val="21"/>
          <w:szCs w:val="21"/>
        </w:rPr>
        <w:t>74、营业外收入</w:t>
      </w:r>
      <w:bookmarkEnd w:id="23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非货币性资产交换利得</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57,644.21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9,767.74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57,644.21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46,287.49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507,518.47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46,287.49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103,931.70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517,286.21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103,931.70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计入当期损益的政府补助：</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补助项目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发放主体</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发放原因</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性质类型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补贴是否影响当年盈亏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是否特殊补贴</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与资产相关/与收益相关</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39" w:name="_Toc989214"/>
      <w:r>
        <w:rPr>
          <w:rFonts w:ascii="宋体" w:hAnsi="宋体" w:eastAsia="宋体" w:cs="宋体"/>
          <w:b/>
          <w:bCs/>
          <w:sz w:val="21"/>
          <w:szCs w:val="21"/>
        </w:rPr>
        <w:t>75、营业外支出</w:t>
      </w:r>
      <w:bookmarkEnd w:id="23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非货币性资产交换损失</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293,489.68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4,722.36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293,489.68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68,445.30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68,445.30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361,934.98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4,722.40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361,934.98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40" w:name="_Toc989215"/>
      <w:r>
        <w:rPr>
          <w:rFonts w:ascii="宋体" w:hAnsi="宋体" w:eastAsia="宋体" w:cs="宋体"/>
          <w:b/>
          <w:bCs/>
          <w:sz w:val="21"/>
          <w:szCs w:val="21"/>
        </w:rPr>
        <w:t>76、所得税费用</w:t>
      </w:r>
      <w:bookmarkEnd w:id="240"/>
    </w:p>
    <w:p>
      <w:pPr>
        <w:keepNext/>
        <w:keepLines/>
        <w:spacing w:before="300" w:after="300" w:line="280" w:lineRule="exact"/>
        <w:jc w:val="left"/>
        <w:outlineLvl w:val="3"/>
        <w:rPr>
          <w:rFonts w:ascii="宋体" w:hAnsi="宋体" w:eastAsia="宋体" w:cs="宋体"/>
          <w:b/>
          <w:bCs/>
          <w:sz w:val="21"/>
          <w:szCs w:val="21"/>
        </w:rPr>
      </w:pPr>
      <w:bookmarkStart w:id="241" w:name="_Toc989216"/>
      <w:r>
        <w:rPr>
          <w:rFonts w:ascii="宋体" w:hAnsi="宋体" w:eastAsia="宋体" w:cs="宋体"/>
          <w:b/>
          <w:bCs/>
          <w:sz w:val="21"/>
          <w:szCs w:val="21"/>
        </w:rPr>
        <w:t>（1） 所得税费用表</w:t>
      </w:r>
      <w:bookmarkEnd w:id="24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当期所得税费用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14,231,691.91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5,877,516.98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-410,056.32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-2,097,889.85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13,821,635.59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3,779,627.13</w:t>
            </w:r>
          </w:p>
        </w:tc>
      </w:tr>
    </w:tbl>
    <w:p>
      <w:pPr>
        <w:keepNext/>
        <w:keepLines/>
        <w:spacing w:before="300" w:after="300" w:line="280" w:lineRule="exact"/>
        <w:jc w:val="left"/>
        <w:outlineLvl w:val="3"/>
        <w:rPr>
          <w:rFonts w:ascii="宋体" w:hAnsi="宋体" w:eastAsia="宋体" w:cs="宋体"/>
          <w:b/>
          <w:bCs/>
          <w:sz w:val="21"/>
          <w:szCs w:val="21"/>
        </w:rPr>
      </w:pPr>
      <w:bookmarkStart w:id="242" w:name="_Toc989217"/>
      <w:r>
        <w:rPr>
          <w:rFonts w:ascii="宋体" w:hAnsi="宋体" w:eastAsia="宋体" w:cs="宋体"/>
          <w:b/>
          <w:bCs/>
          <w:sz w:val="21"/>
          <w:szCs w:val="21"/>
        </w:rPr>
        <w:t>（2） 会计利润与所得税费用调整过程</w:t>
      </w:r>
      <w:bookmarkEnd w:id="24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利润总额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93,916,996.54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按法定/适用税率计算的所得税费用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14,104,199.67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子公司适用不同税率的影响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213,911.74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不可抵扣的成本、费用和损失的影响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432,889.03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使用前期未确认递延所得税资产的可抵扣亏损的影响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-264,137.69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本期未确认递延所得税资产的可抵扣暂时性差异或可抵扣亏损的影响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-665,227.16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13,821,635.59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43" w:name="_Toc989218"/>
      <w:r>
        <w:rPr>
          <w:rFonts w:ascii="宋体" w:hAnsi="宋体" w:eastAsia="宋体" w:cs="宋体"/>
          <w:b/>
          <w:bCs/>
          <w:sz w:val="21"/>
          <w:szCs w:val="21"/>
        </w:rPr>
        <w:t>77、其他综合收益</w:t>
      </w:r>
      <w:bookmarkEnd w:id="243"/>
    </w:p>
    <w:p>
      <w:pPr>
        <w:spacing w:before="40" w:after="40" w:line="240" w:lineRule="exact"/>
        <w:jc w:val="left"/>
        <w:rPr>
          <w:rFonts w:ascii="宋体" w:hAnsi="宋体" w:eastAsia="宋体" w:cs="宋体"/>
          <w:sz w:val="18"/>
          <w:szCs w:val="18"/>
        </w:rPr>
      </w:pPr>
      <w:r>
        <w:rPr>
          <w:rFonts w:ascii="宋体" w:hAnsi="宋体" w:eastAsia="宋体" w:cs="宋体"/>
          <w:sz w:val="18"/>
          <w:szCs w:val="18"/>
        </w:rPr>
        <w:t>详见附注</w:t>
      </w:r>
    </w:p>
    <w:p>
      <w:pPr>
        <w:keepNext/>
        <w:keepLines/>
        <w:spacing w:before="300" w:after="300" w:line="280" w:lineRule="exact"/>
        <w:jc w:val="left"/>
        <w:outlineLvl w:val="2"/>
        <w:rPr>
          <w:rFonts w:ascii="宋体" w:hAnsi="宋体" w:eastAsia="宋体" w:cs="宋体"/>
          <w:b/>
          <w:bCs/>
          <w:sz w:val="21"/>
          <w:szCs w:val="21"/>
        </w:rPr>
      </w:pPr>
      <w:bookmarkStart w:id="244" w:name="_Toc989219"/>
      <w:r>
        <w:rPr>
          <w:rFonts w:ascii="宋体" w:hAnsi="宋体" w:eastAsia="宋体" w:cs="宋体"/>
          <w:b/>
          <w:bCs/>
          <w:sz w:val="21"/>
          <w:szCs w:val="21"/>
        </w:rPr>
        <w:t>78、现金流量表项目</w:t>
      </w:r>
      <w:bookmarkEnd w:id="244"/>
    </w:p>
    <w:p>
      <w:pPr>
        <w:keepNext/>
        <w:keepLines/>
        <w:spacing w:before="300" w:after="300" w:line="280" w:lineRule="exact"/>
        <w:jc w:val="left"/>
        <w:outlineLvl w:val="3"/>
        <w:rPr>
          <w:rFonts w:ascii="宋体" w:hAnsi="宋体" w:eastAsia="宋体" w:cs="宋体"/>
          <w:b/>
          <w:bCs/>
          <w:sz w:val="21"/>
          <w:szCs w:val="21"/>
        </w:rPr>
      </w:pPr>
      <w:bookmarkStart w:id="245" w:name="_Toc989220"/>
      <w:r>
        <w:rPr>
          <w:rFonts w:ascii="宋体" w:hAnsi="宋体" w:eastAsia="宋体" w:cs="宋体"/>
          <w:b/>
          <w:bCs/>
          <w:sz w:val="21"/>
          <w:szCs w:val="21"/>
        </w:rPr>
        <w:t>（1） 收到的其他与经营活动有关的现金</w:t>
      </w:r>
      <w:bookmarkEnd w:id="24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补贴收入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901,656.89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1,430,258.15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278,011.43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147,506.22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368,804.81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79,219.41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1,548,473.13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1,656,983.78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收到的其他与经营活动有关的现金说明：</w:t>
      </w:r>
    </w:p>
    <w:p>
      <w:pPr>
        <w:keepNext/>
        <w:keepLines/>
        <w:spacing w:before="300" w:after="300" w:line="280" w:lineRule="exact"/>
        <w:jc w:val="left"/>
        <w:outlineLvl w:val="3"/>
        <w:rPr>
          <w:rFonts w:ascii="宋体" w:hAnsi="宋体" w:eastAsia="宋体" w:cs="宋体"/>
          <w:b/>
          <w:bCs/>
          <w:sz w:val="21"/>
          <w:szCs w:val="21"/>
        </w:rPr>
      </w:pPr>
      <w:bookmarkStart w:id="246" w:name="_Toc989221"/>
      <w:r>
        <w:rPr>
          <w:rFonts w:ascii="宋体" w:hAnsi="宋体" w:eastAsia="宋体" w:cs="宋体"/>
          <w:b/>
          <w:bCs/>
          <w:sz w:val="21"/>
          <w:szCs w:val="21"/>
        </w:rPr>
        <w:t>（2） 支付的其他与经营活动有关的现金</w:t>
      </w:r>
      <w:bookmarkEnd w:id="24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管理费用及研发费用中的现金支出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1,722,711.73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2,565,211.56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销售费用中的现金支出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4,349,604.38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11,074,271.49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6,413,600.05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738,750.47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12,485,916.16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14,378,233.52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支付的其他与经营活动有关的现金说明：</w:t>
      </w:r>
    </w:p>
    <w:p>
      <w:pPr>
        <w:keepNext/>
        <w:keepLines/>
        <w:spacing w:before="300" w:after="300" w:line="280" w:lineRule="exact"/>
        <w:jc w:val="left"/>
        <w:outlineLvl w:val="3"/>
        <w:rPr>
          <w:rFonts w:ascii="宋体" w:hAnsi="宋体" w:eastAsia="宋体" w:cs="宋体"/>
          <w:b/>
          <w:bCs/>
          <w:sz w:val="21"/>
          <w:szCs w:val="21"/>
        </w:rPr>
      </w:pPr>
      <w:bookmarkStart w:id="247" w:name="_Toc989222"/>
      <w:r>
        <w:rPr>
          <w:rFonts w:ascii="宋体" w:hAnsi="宋体" w:eastAsia="宋体" w:cs="宋体"/>
          <w:b/>
          <w:bCs/>
          <w:sz w:val="21"/>
          <w:szCs w:val="21"/>
        </w:rPr>
        <w:t>（3） 收到的其他与投资活动有关的现金</w:t>
      </w:r>
      <w:bookmarkEnd w:id="24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收到的其他与投资活动有关的现金说明：</w:t>
      </w:r>
    </w:p>
    <w:p>
      <w:pPr>
        <w:keepNext/>
        <w:keepLines/>
        <w:spacing w:before="300" w:after="300" w:line="280" w:lineRule="exact"/>
        <w:jc w:val="left"/>
        <w:outlineLvl w:val="3"/>
        <w:rPr>
          <w:rFonts w:ascii="宋体" w:hAnsi="宋体" w:eastAsia="宋体" w:cs="宋体"/>
          <w:b/>
          <w:bCs/>
          <w:sz w:val="21"/>
          <w:szCs w:val="21"/>
        </w:rPr>
      </w:pPr>
      <w:bookmarkStart w:id="248" w:name="_Toc989223"/>
      <w:r>
        <w:rPr>
          <w:rFonts w:ascii="宋体" w:hAnsi="宋体" w:eastAsia="宋体" w:cs="宋体"/>
          <w:b/>
          <w:bCs/>
          <w:sz w:val="21"/>
          <w:szCs w:val="21"/>
        </w:rPr>
        <w:t>（4） 支付的其他与投资活动有关的现金</w:t>
      </w:r>
      <w:bookmarkEnd w:id="24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退回股权转让押金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支付的其他与投资活动有关的现金说明：</w:t>
      </w:r>
    </w:p>
    <w:p>
      <w:pPr>
        <w:keepNext/>
        <w:keepLines/>
        <w:spacing w:before="300" w:after="300" w:line="280" w:lineRule="exact"/>
        <w:jc w:val="left"/>
        <w:outlineLvl w:val="3"/>
        <w:rPr>
          <w:rFonts w:ascii="宋体" w:hAnsi="宋体" w:eastAsia="宋体" w:cs="宋体"/>
          <w:b/>
          <w:bCs/>
          <w:sz w:val="21"/>
          <w:szCs w:val="21"/>
        </w:rPr>
      </w:pPr>
      <w:bookmarkStart w:id="249" w:name="_Toc989224"/>
      <w:r>
        <w:rPr>
          <w:rFonts w:ascii="宋体" w:hAnsi="宋体" w:eastAsia="宋体" w:cs="宋体"/>
          <w:b/>
          <w:bCs/>
          <w:sz w:val="21"/>
          <w:szCs w:val="21"/>
        </w:rPr>
        <w:t>（5） 收到的其他与筹资活动有关的现金</w:t>
      </w:r>
      <w:bookmarkEnd w:id="24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收到的其他与筹资活动有关的现金说明：</w:t>
      </w:r>
    </w:p>
    <w:p>
      <w:pPr>
        <w:keepNext/>
        <w:keepLines/>
        <w:spacing w:before="300" w:after="300" w:line="280" w:lineRule="exact"/>
        <w:jc w:val="left"/>
        <w:outlineLvl w:val="3"/>
        <w:rPr>
          <w:rFonts w:ascii="宋体" w:hAnsi="宋体" w:eastAsia="宋体" w:cs="宋体"/>
          <w:b/>
          <w:bCs/>
          <w:sz w:val="21"/>
          <w:szCs w:val="21"/>
        </w:rPr>
      </w:pPr>
      <w:bookmarkStart w:id="250" w:name="_Toc989225"/>
      <w:r>
        <w:rPr>
          <w:rFonts w:ascii="宋体" w:hAnsi="宋体" w:eastAsia="宋体" w:cs="宋体"/>
          <w:b/>
          <w:bCs/>
          <w:sz w:val="21"/>
          <w:szCs w:val="21"/>
        </w:rPr>
        <w:t>（6） 支付的其他与筹资活动有关的现金</w:t>
      </w:r>
      <w:bookmarkEnd w:id="25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支付的其他与筹资活动有关的现金说明：</w:t>
      </w:r>
    </w:p>
    <w:p>
      <w:pPr>
        <w:keepNext/>
        <w:keepLines/>
        <w:spacing w:before="300" w:after="300" w:line="280" w:lineRule="exact"/>
        <w:jc w:val="left"/>
        <w:outlineLvl w:val="2"/>
        <w:rPr>
          <w:rFonts w:ascii="宋体" w:hAnsi="宋体" w:eastAsia="宋体" w:cs="宋体"/>
          <w:b/>
          <w:bCs/>
          <w:sz w:val="21"/>
          <w:szCs w:val="21"/>
        </w:rPr>
      </w:pPr>
      <w:bookmarkStart w:id="251" w:name="_Toc989226"/>
      <w:r>
        <w:rPr>
          <w:rFonts w:ascii="宋体" w:hAnsi="宋体" w:eastAsia="宋体" w:cs="宋体"/>
          <w:b/>
          <w:bCs/>
          <w:sz w:val="21"/>
          <w:szCs w:val="21"/>
        </w:rPr>
        <w:t>79、现金流量表补充资料</w:t>
      </w:r>
      <w:bookmarkEnd w:id="251"/>
    </w:p>
    <w:p>
      <w:pPr>
        <w:keepNext/>
        <w:keepLines/>
        <w:spacing w:before="300" w:after="300" w:line="280" w:lineRule="exact"/>
        <w:jc w:val="left"/>
        <w:outlineLvl w:val="3"/>
        <w:rPr>
          <w:rFonts w:ascii="宋体" w:hAnsi="宋体" w:eastAsia="宋体" w:cs="宋体"/>
          <w:b/>
          <w:bCs/>
          <w:sz w:val="21"/>
          <w:szCs w:val="21"/>
        </w:rPr>
      </w:pPr>
      <w:bookmarkStart w:id="252" w:name="_Toc989227"/>
      <w:r>
        <w:rPr>
          <w:rFonts w:ascii="宋体" w:hAnsi="宋体" w:eastAsia="宋体" w:cs="宋体"/>
          <w:b/>
          <w:bCs/>
          <w:sz w:val="21"/>
          <w:szCs w:val="21"/>
        </w:rPr>
        <w:t>（1） 现金流量表补充资料</w:t>
      </w:r>
      <w:bookmarkEnd w:id="25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补充资料</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1．将净利润调节为经营活动现金流量：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80,095,360.95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23,289,650.85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加：资产减值准备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1,307,807.61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1,966,336.30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固定资产折旧、油气资产折耗、生产性生物资产折旧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13,050,026.41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11,424,748.61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使用权资产折旧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561,204.13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671,382.18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长期待摊费用摊销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3,163,844.40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116,078.70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处置固定资产、无形资产和其他长期资产的损失（收益以“－”号填列）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-44,951.26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-58,497.89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固定资产报废损失（收益以“－”号填列）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293,489.68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-2,672,558.38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3,070,681.80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745,738.89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561,244.44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-46,593,355.58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-10,229,865.76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递延所得税资产减少（增加以“－”号填列）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-585,817.40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-1,456,011.01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递延所得税负债增加（减少以“－”号填列）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176,261.08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-641,878.84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存货的减少（增加以“－”号填列）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-27,274,579.22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-34,256,584.89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经营性应收项目的减少（增加以“－”号填列）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4,134,855.93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-26,599,865.92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经营性应付项目的增加（减少以“－”号填列）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17,737,942.43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13,894,456.03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-264,116.77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1,153,040.10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43,831,152.90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-17,094,358.49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2．不涉及现金收支的重大投资和筹资活动：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债务转为资本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一年内到期的可转换公司债券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融资租入固定资产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3．现金及现金等价物净变动情况：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90,739,791.91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31,845,387.34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80,991,568.72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41,657,412.55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加：现金等价物的期末余额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减：现金等价物的期初余额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9,748,223.19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-9,812,025.21</w:t>
            </w:r>
          </w:p>
        </w:tc>
      </w:tr>
    </w:tbl>
    <w:p>
      <w:pPr>
        <w:keepNext/>
        <w:keepLines/>
        <w:spacing w:before="300" w:after="300" w:line="280" w:lineRule="exact"/>
        <w:jc w:val="left"/>
        <w:outlineLvl w:val="3"/>
        <w:rPr>
          <w:rFonts w:ascii="宋体" w:hAnsi="宋体" w:eastAsia="宋体" w:cs="宋体"/>
          <w:b/>
          <w:bCs/>
          <w:sz w:val="21"/>
          <w:szCs w:val="21"/>
        </w:rPr>
      </w:pPr>
      <w:bookmarkStart w:id="253" w:name="_Toc989228"/>
      <w:r>
        <w:rPr>
          <w:rFonts w:ascii="宋体" w:hAnsi="宋体" w:eastAsia="宋体" w:cs="宋体"/>
          <w:b/>
          <w:bCs/>
          <w:sz w:val="21"/>
          <w:szCs w:val="21"/>
        </w:rPr>
        <w:t>（2） 本期支付的取得子公司的现金净额</w:t>
      </w:r>
      <w:bookmarkEnd w:id="25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54" w:name="_Toc989229"/>
      <w:r>
        <w:rPr>
          <w:rFonts w:ascii="宋体" w:hAnsi="宋体" w:eastAsia="宋体" w:cs="宋体"/>
          <w:b/>
          <w:bCs/>
          <w:sz w:val="21"/>
          <w:szCs w:val="21"/>
        </w:rPr>
        <w:t>（3） 本期收到的处置子公司的现金净额</w:t>
      </w:r>
      <w:bookmarkEnd w:id="25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55" w:name="_Toc989230"/>
      <w:r>
        <w:rPr>
          <w:rFonts w:ascii="宋体" w:hAnsi="宋体" w:eastAsia="宋体" w:cs="宋体"/>
          <w:b/>
          <w:bCs/>
          <w:sz w:val="21"/>
          <w:szCs w:val="21"/>
        </w:rPr>
        <w:t>（4） 现金和现金等价物的构成</w:t>
      </w:r>
      <w:bookmarkEnd w:id="25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90,739,791.91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80,991,568.72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其中：库存现金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254,625.42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1,416,007.24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可随时用于支付的银行存款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90,485,166.49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79,575,561.48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90,739,791.91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80,991,568.72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6" w:name="_Toc989231"/>
      <w:r>
        <w:rPr>
          <w:rFonts w:ascii="宋体" w:hAnsi="宋体" w:eastAsia="宋体" w:cs="宋体"/>
          <w:b/>
          <w:bCs/>
          <w:sz w:val="21"/>
          <w:szCs w:val="21"/>
        </w:rPr>
        <w:t>80、所有者权益变动表项目注释</w:t>
      </w:r>
      <w:bookmarkEnd w:id="256"/>
    </w:p>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说明对上年期末余额进行调整的“其他”项目名称及调整金额等事项：</w:t>
      </w:r>
    </w:p>
    <w:p>
      <w:pPr>
        <w:keepNext/>
        <w:keepLines/>
        <w:spacing w:before="300" w:after="300" w:line="280" w:lineRule="exact"/>
        <w:jc w:val="left"/>
        <w:outlineLvl w:val="2"/>
        <w:rPr>
          <w:rFonts w:ascii="宋体" w:hAnsi="宋体" w:eastAsia="宋体" w:cs="宋体"/>
          <w:b/>
          <w:bCs/>
          <w:sz w:val="21"/>
          <w:szCs w:val="21"/>
        </w:rPr>
      </w:pPr>
      <w:bookmarkStart w:id="257" w:name="_Toc989232"/>
      <w:r>
        <w:rPr>
          <w:rFonts w:ascii="宋体" w:hAnsi="宋体" w:eastAsia="宋体" w:cs="宋体"/>
          <w:b/>
          <w:bCs/>
          <w:sz w:val="21"/>
          <w:szCs w:val="21"/>
        </w:rPr>
        <w:t>81、所有权或使用权受到限制的资产</w:t>
      </w:r>
      <w:bookmarkEnd w:id="25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11,680,331.03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票据保证金、保函保证金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11,680,331.03</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8" w:name="_Toc989233"/>
      <w:r>
        <w:rPr>
          <w:rFonts w:ascii="宋体" w:hAnsi="宋体" w:eastAsia="宋体" w:cs="宋体"/>
          <w:b/>
          <w:bCs/>
          <w:sz w:val="21"/>
          <w:szCs w:val="21"/>
        </w:rPr>
        <w:t>82、外币货币性项目</w:t>
      </w:r>
      <w:bookmarkEnd w:id="258"/>
    </w:p>
    <w:p>
      <w:pPr>
        <w:keepNext/>
        <w:keepLines/>
        <w:spacing w:before="300" w:after="300" w:line="280" w:lineRule="exact"/>
        <w:jc w:val="left"/>
        <w:outlineLvl w:val="3"/>
        <w:rPr>
          <w:rFonts w:ascii="宋体" w:hAnsi="宋体" w:eastAsia="宋体" w:cs="宋体"/>
          <w:b/>
          <w:bCs/>
          <w:sz w:val="21"/>
          <w:szCs w:val="21"/>
        </w:rPr>
      </w:pPr>
      <w:bookmarkStart w:id="259" w:name="_Toc989234"/>
      <w:r>
        <w:rPr>
          <w:rFonts w:ascii="宋体" w:hAnsi="宋体" w:eastAsia="宋体" w:cs="宋体"/>
          <w:b/>
          <w:bCs/>
          <w:sz w:val="21"/>
          <w:szCs w:val="21"/>
        </w:rPr>
        <w:t>（1） 外币货币性项目</w:t>
      </w:r>
      <w:bookmarkEnd w:id="25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期末外币余额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折算汇率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期末折算人民币余额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6,199,326.88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6.7144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41,624,760.40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90,719.11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7.0084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635,795.81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其中：英镑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386.53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8.1365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3,145.00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5,304,364.40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6.7144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35,615,624.35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10,983.96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6.7144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73,750.70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65,964.69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7.0084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462,306.93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147,573.00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6.7144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990,864.15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长期借款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（2）外币交易及境外经营实体主要报表项目的折算汇率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本公司的外币交易及境外经营实体主要报表项目的折算汇率情况详见附注三、（九）外币业务和外币报表折算。</w:t>
      </w:r>
    </w:p>
    <w:p>
      <w:pPr>
        <w:keepNext/>
        <w:keepLines/>
        <w:spacing w:before="300" w:after="300" w:line="280" w:lineRule="exact"/>
        <w:jc w:val="left"/>
        <w:outlineLvl w:val="3"/>
        <w:rPr>
          <w:rFonts w:ascii="宋体" w:hAnsi="宋体" w:eastAsia="宋体" w:cs="宋体"/>
          <w:b/>
          <w:bCs/>
          <w:sz w:val="21"/>
          <w:szCs w:val="21"/>
        </w:rPr>
      </w:pPr>
      <w:bookmarkStart w:id="260" w:name="_Toc989235"/>
      <w:r>
        <w:rPr>
          <w:rFonts w:ascii="宋体" w:hAnsi="宋体" w:eastAsia="宋体" w:cs="宋体"/>
          <w:b/>
          <w:bCs/>
          <w:sz w:val="21"/>
          <w:szCs w:val="21"/>
        </w:rPr>
        <w:t>（2） 境外经营实体说明，包括对于重要的境外经营实体，应披露其境外主要经营地、记账本位币及选择依据，记账本位币发生变化的还应披露原因。</w:t>
      </w:r>
      <w:bookmarkEnd w:id="26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61" w:name="_Toc989236"/>
      <w:r>
        <w:rPr>
          <w:rFonts w:ascii="宋体" w:hAnsi="宋体" w:eastAsia="宋体" w:cs="宋体"/>
          <w:b/>
          <w:bCs/>
          <w:sz w:val="21"/>
          <w:szCs w:val="21"/>
        </w:rPr>
        <w:t>83、套期</w:t>
      </w:r>
      <w:bookmarkEnd w:id="261"/>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按照套期类别披露套期项目及相关套期工具、被套期风险的定性和定量信息：</w:t>
      </w:r>
    </w:p>
    <w:p>
      <w:pPr>
        <w:keepNext/>
        <w:keepLines/>
        <w:spacing w:before="300" w:after="300" w:line="280" w:lineRule="exact"/>
        <w:jc w:val="left"/>
        <w:outlineLvl w:val="2"/>
        <w:rPr>
          <w:rFonts w:ascii="宋体" w:hAnsi="宋体" w:eastAsia="宋体" w:cs="宋体"/>
          <w:b/>
          <w:bCs/>
          <w:sz w:val="21"/>
          <w:szCs w:val="21"/>
        </w:rPr>
      </w:pPr>
      <w:bookmarkStart w:id="262" w:name="_Toc989237"/>
      <w:r>
        <w:rPr>
          <w:rFonts w:ascii="宋体" w:hAnsi="宋体" w:eastAsia="宋体" w:cs="宋体"/>
          <w:b/>
          <w:bCs/>
          <w:sz w:val="21"/>
          <w:szCs w:val="21"/>
        </w:rPr>
        <w:t>84、政府补助</w:t>
      </w:r>
      <w:bookmarkEnd w:id="262"/>
    </w:p>
    <w:p>
      <w:pPr>
        <w:keepNext/>
        <w:keepLines/>
        <w:spacing w:before="300" w:after="300" w:line="280" w:lineRule="exact"/>
        <w:jc w:val="left"/>
        <w:outlineLvl w:val="3"/>
        <w:rPr>
          <w:rFonts w:ascii="宋体" w:hAnsi="宋体" w:eastAsia="宋体" w:cs="宋体"/>
          <w:b/>
          <w:bCs/>
          <w:sz w:val="21"/>
          <w:szCs w:val="21"/>
        </w:rPr>
      </w:pPr>
      <w:bookmarkStart w:id="263" w:name="_Toc989238"/>
      <w:r>
        <w:rPr>
          <w:rFonts w:ascii="宋体" w:hAnsi="宋体" w:eastAsia="宋体" w:cs="宋体"/>
          <w:b/>
          <w:bCs/>
          <w:sz w:val="21"/>
          <w:szCs w:val="21"/>
        </w:rPr>
        <w:t>（1） 政府补助基本情况</w:t>
      </w:r>
      <w:bookmarkEnd w:id="26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列报项目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收益性政府补助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1,214,428.43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1,214,428.43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资产性政府补助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递延收益/其他收益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433,401.61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2,044,428.43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1,647,830.04</w:t>
            </w:r>
          </w:p>
        </w:tc>
      </w:tr>
    </w:tbl>
    <w:p>
      <w:pPr>
        <w:keepNext/>
        <w:keepLines/>
        <w:spacing w:before="300" w:after="300" w:line="280" w:lineRule="exact"/>
        <w:jc w:val="left"/>
        <w:outlineLvl w:val="3"/>
        <w:rPr>
          <w:rFonts w:ascii="宋体" w:hAnsi="宋体" w:eastAsia="宋体" w:cs="宋体"/>
          <w:b/>
          <w:bCs/>
          <w:sz w:val="21"/>
          <w:szCs w:val="21"/>
        </w:rPr>
      </w:pPr>
      <w:bookmarkStart w:id="264" w:name="_Toc989239"/>
      <w:r>
        <w:rPr>
          <w:rFonts w:ascii="宋体" w:hAnsi="宋体" w:eastAsia="宋体" w:cs="宋体"/>
          <w:b/>
          <w:bCs/>
          <w:sz w:val="21"/>
          <w:szCs w:val="21"/>
        </w:rPr>
        <w:t>（2） 政府补助退回情况</w:t>
      </w:r>
      <w:bookmarkEnd w:id="264"/>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5" w:name="_Toc989240"/>
      <w:r>
        <w:rPr>
          <w:rFonts w:ascii="宋体" w:hAnsi="宋体" w:eastAsia="宋体" w:cs="宋体"/>
          <w:b/>
          <w:bCs/>
          <w:sz w:val="21"/>
          <w:szCs w:val="21"/>
        </w:rPr>
        <w:t>85、其他</w:t>
      </w:r>
      <w:bookmarkEnd w:id="265"/>
    </w:p>
    <w:p>
      <w:pPr>
        <w:keepNext/>
        <w:keepLines/>
        <w:spacing w:before="300" w:after="300" w:line="320" w:lineRule="exact"/>
        <w:jc w:val="left"/>
        <w:outlineLvl w:val="1"/>
        <w:rPr>
          <w:rFonts w:ascii="宋体" w:hAnsi="宋体" w:eastAsia="宋体" w:cs="宋体"/>
          <w:b/>
          <w:bCs/>
          <w:sz w:val="24"/>
          <w:szCs w:val="24"/>
        </w:rPr>
      </w:pPr>
      <w:bookmarkStart w:id="266" w:name="_Toc989241"/>
      <w:r>
        <w:rPr>
          <w:rFonts w:ascii="宋体" w:hAnsi="宋体" w:eastAsia="宋体" w:cs="宋体"/>
          <w:b/>
          <w:bCs/>
          <w:sz w:val="24"/>
          <w:szCs w:val="24"/>
        </w:rPr>
        <w:t>八、合并范围的变更</w:t>
      </w:r>
      <w:bookmarkEnd w:id="266"/>
    </w:p>
    <w:p>
      <w:pPr>
        <w:keepNext/>
        <w:keepLines/>
        <w:spacing w:before="300" w:after="300" w:line="280" w:lineRule="exact"/>
        <w:jc w:val="left"/>
        <w:outlineLvl w:val="2"/>
        <w:rPr>
          <w:rFonts w:ascii="宋体" w:hAnsi="宋体" w:eastAsia="宋体" w:cs="宋体"/>
          <w:b/>
          <w:bCs/>
          <w:sz w:val="21"/>
          <w:szCs w:val="21"/>
        </w:rPr>
      </w:pPr>
      <w:bookmarkStart w:id="267" w:name="_Toc989242"/>
      <w:r>
        <w:rPr>
          <w:rFonts w:ascii="宋体" w:hAnsi="宋体" w:eastAsia="宋体" w:cs="宋体"/>
          <w:b/>
          <w:bCs/>
          <w:sz w:val="21"/>
          <w:szCs w:val="21"/>
        </w:rPr>
        <w:t>1、非同一控制下企业合并</w:t>
      </w:r>
      <w:bookmarkEnd w:id="267"/>
    </w:p>
    <w:p>
      <w:pPr>
        <w:keepNext/>
        <w:keepLines/>
        <w:spacing w:before="300" w:after="300" w:line="280" w:lineRule="exact"/>
        <w:jc w:val="left"/>
        <w:outlineLvl w:val="3"/>
        <w:rPr>
          <w:rFonts w:ascii="宋体" w:hAnsi="宋体" w:eastAsia="宋体" w:cs="宋体"/>
          <w:b/>
          <w:bCs/>
          <w:sz w:val="18"/>
          <w:szCs w:val="18"/>
        </w:rPr>
      </w:pPr>
      <w:bookmarkStart w:id="268" w:name="_Toc989243"/>
      <w:r>
        <w:rPr>
          <w:rFonts w:ascii="宋体" w:hAnsi="宋体" w:eastAsia="宋体" w:cs="宋体"/>
          <w:b/>
          <w:bCs/>
          <w:sz w:val="18"/>
          <w:szCs w:val="18"/>
        </w:rPr>
        <w:t>（1） 本期发生的非同一控制下企业合并</w:t>
      </w:r>
      <w:bookmarkEnd w:id="26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被购买方名称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股权取得时点</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股权取得比例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股权取得方式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购买日的确定依据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购买日至期末被购买方的收入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购买日至期末被购买方的净利润</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69" w:name="_Toc989244"/>
      <w:r>
        <w:rPr>
          <w:rFonts w:ascii="宋体" w:hAnsi="宋体" w:eastAsia="宋体" w:cs="宋体"/>
          <w:b/>
          <w:bCs/>
          <w:sz w:val="18"/>
          <w:szCs w:val="18"/>
        </w:rPr>
        <w:t>（2） 合并成本及商誉</w:t>
      </w:r>
      <w:bookmarkEnd w:id="26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合并成本</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--非现金资产的公允价值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--发行或承担的债务的公允价值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--发行的权益性证券的公允价值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--或有对价的公允价值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--购买日之前持有的股权于购买日的公允价值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合并成本合计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减：取得的可辨认净资产公允价值份额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商誉/合并成本小于取得的可辨认净资产公允价值份额的金额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合并成本公允价值的确定方法、或有对价及其变动的说明：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大额商誉形成的主要原因：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70" w:name="_Toc989245"/>
      <w:r>
        <w:rPr>
          <w:rFonts w:ascii="宋体" w:hAnsi="宋体" w:eastAsia="宋体" w:cs="宋体"/>
          <w:b/>
          <w:bCs/>
          <w:sz w:val="18"/>
          <w:szCs w:val="18"/>
        </w:rPr>
        <w:t>（3） 被购买方于购买日可辨认资产、负债</w:t>
      </w:r>
      <w:bookmarkEnd w:id="27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购买日公允价值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取得的净资产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可辨认资产、负债公允价值的确定方法：</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企业合并中承担的被购买方的或有负债：</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71" w:name="_Toc989246"/>
      <w:r>
        <w:rPr>
          <w:rFonts w:ascii="宋体" w:hAnsi="宋体" w:eastAsia="宋体" w:cs="宋体"/>
          <w:b/>
          <w:bCs/>
          <w:sz w:val="18"/>
          <w:szCs w:val="18"/>
        </w:rPr>
        <w:t>（4） 购买日之前持有的股权按照公允价值重新计量产生的利得或损失</w:t>
      </w:r>
      <w:bookmarkEnd w:id="271"/>
    </w:p>
    <w:p>
      <w:pPr>
        <w:spacing w:before="40" w:after="40" w:line="240" w:lineRule="exact"/>
        <w:jc w:val="left"/>
        <w:rPr>
          <w:rFonts w:ascii="宋体" w:hAnsi="宋体" w:eastAsia="宋体" w:cs="宋体"/>
          <w:sz w:val="18"/>
          <w:szCs w:val="18"/>
        </w:rPr>
      </w:pPr>
      <w:r>
        <w:rPr>
          <w:rFonts w:ascii="宋体" w:hAnsi="宋体" w:eastAsia="宋体" w:cs="宋体"/>
          <w:sz w:val="18"/>
          <w:szCs w:val="18"/>
        </w:rPr>
        <w:t>是否存在通过多次交易分步实现企业合并且在报告期内取得控制权的交易</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280" w:lineRule="exact"/>
        <w:jc w:val="left"/>
        <w:outlineLvl w:val="3"/>
        <w:rPr>
          <w:rFonts w:ascii="宋体" w:hAnsi="宋体" w:eastAsia="宋体" w:cs="宋体"/>
          <w:b/>
          <w:bCs/>
          <w:sz w:val="18"/>
          <w:szCs w:val="18"/>
        </w:rPr>
      </w:pPr>
      <w:bookmarkStart w:id="272" w:name="_Toc989247"/>
      <w:r>
        <w:rPr>
          <w:rFonts w:ascii="宋体" w:hAnsi="宋体" w:eastAsia="宋体" w:cs="宋体"/>
          <w:b/>
          <w:bCs/>
          <w:sz w:val="18"/>
          <w:szCs w:val="18"/>
        </w:rPr>
        <w:t>（5） 购买日或合并当期期末无法合理确定合并对价或被购买方可辨认资产、负债公允价值的相关说明</w:t>
      </w:r>
      <w:bookmarkEnd w:id="272"/>
    </w:p>
    <w:p>
      <w:pPr>
        <w:keepNext/>
        <w:keepLines/>
        <w:spacing w:before="300" w:after="300" w:line="280" w:lineRule="exact"/>
        <w:jc w:val="left"/>
        <w:outlineLvl w:val="3"/>
        <w:rPr>
          <w:rFonts w:ascii="宋体" w:hAnsi="宋体" w:eastAsia="宋体" w:cs="宋体"/>
          <w:b/>
          <w:bCs/>
          <w:sz w:val="18"/>
          <w:szCs w:val="18"/>
        </w:rPr>
      </w:pPr>
      <w:bookmarkStart w:id="273" w:name="_Toc989248"/>
      <w:r>
        <w:rPr>
          <w:rFonts w:ascii="宋体" w:hAnsi="宋体" w:eastAsia="宋体" w:cs="宋体"/>
          <w:b/>
          <w:bCs/>
          <w:sz w:val="18"/>
          <w:szCs w:val="18"/>
        </w:rPr>
        <w:t>（6） 其他说明</w:t>
      </w:r>
      <w:bookmarkEnd w:id="273"/>
    </w:p>
    <w:p>
      <w:pPr>
        <w:keepNext/>
        <w:keepLines/>
        <w:spacing w:before="300" w:after="300" w:line="280" w:lineRule="exact"/>
        <w:jc w:val="left"/>
        <w:outlineLvl w:val="2"/>
        <w:rPr>
          <w:rFonts w:ascii="宋体" w:hAnsi="宋体" w:eastAsia="宋体" w:cs="宋体"/>
          <w:b/>
          <w:bCs/>
          <w:sz w:val="21"/>
          <w:szCs w:val="21"/>
        </w:rPr>
      </w:pPr>
      <w:bookmarkStart w:id="274" w:name="_Toc989249"/>
      <w:r>
        <w:rPr>
          <w:rFonts w:ascii="宋体" w:hAnsi="宋体" w:eastAsia="宋体" w:cs="宋体"/>
          <w:b/>
          <w:bCs/>
          <w:sz w:val="21"/>
          <w:szCs w:val="21"/>
        </w:rPr>
        <w:t>2、同一控制下企业合并</w:t>
      </w:r>
      <w:bookmarkEnd w:id="274"/>
    </w:p>
    <w:p>
      <w:pPr>
        <w:keepNext/>
        <w:keepLines/>
        <w:spacing w:before="300" w:after="300" w:line="280" w:lineRule="exact"/>
        <w:jc w:val="left"/>
        <w:outlineLvl w:val="3"/>
        <w:rPr>
          <w:rFonts w:ascii="宋体" w:hAnsi="宋体" w:eastAsia="宋体" w:cs="宋体"/>
          <w:b/>
          <w:bCs/>
          <w:sz w:val="18"/>
          <w:szCs w:val="18"/>
        </w:rPr>
      </w:pPr>
      <w:bookmarkStart w:id="275" w:name="_Toc989250"/>
      <w:r>
        <w:rPr>
          <w:rFonts w:ascii="宋体" w:hAnsi="宋体" w:eastAsia="宋体" w:cs="宋体"/>
          <w:b/>
          <w:bCs/>
          <w:sz w:val="18"/>
          <w:szCs w:val="18"/>
        </w:rPr>
        <w:t>（1） 本期发生的同一控制下企业合并</w:t>
      </w:r>
      <w:bookmarkEnd w:id="27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被合并方名称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企业合并中取得的权益比例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构成同一控制下企业合并的依据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合并日的确定依据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合并当期期初至合并日被合并方的收入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合并当期期初至合并日被合并方的净利润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比较期间被合并方的收入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比较期间被合并方的净利润</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76" w:name="_Toc989251"/>
      <w:r>
        <w:rPr>
          <w:rFonts w:ascii="宋体" w:hAnsi="宋体" w:eastAsia="宋体" w:cs="宋体"/>
          <w:b/>
          <w:bCs/>
          <w:sz w:val="18"/>
          <w:szCs w:val="18"/>
        </w:rPr>
        <w:t>（2） 合并成本</w:t>
      </w:r>
      <w:bookmarkEnd w:id="27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合并成本</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--非现金资产的账面价值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--发行或承担的债务的账面价值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--发行的权益性证券的面值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--或有对价</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或有对价及其变动的说明：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77" w:name="_Toc989252"/>
      <w:r>
        <w:rPr>
          <w:rFonts w:ascii="宋体" w:hAnsi="宋体" w:eastAsia="宋体" w:cs="宋体"/>
          <w:b/>
          <w:bCs/>
          <w:sz w:val="18"/>
          <w:szCs w:val="18"/>
        </w:rPr>
        <w:t>（3） 合并日被合并方资产、负债的账面价值</w:t>
      </w:r>
      <w:bookmarkEnd w:id="27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这是文本内容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取得的净资产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企业合并中承担的被合并方的或有负债：</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78" w:name="_Toc989253"/>
      <w:r>
        <w:rPr>
          <w:rFonts w:ascii="宋体" w:hAnsi="宋体" w:eastAsia="宋体" w:cs="宋体"/>
          <w:b/>
          <w:bCs/>
          <w:sz w:val="21"/>
          <w:szCs w:val="21"/>
        </w:rPr>
        <w:t>3、反向购买</w:t>
      </w:r>
      <w:bookmarkEnd w:id="278"/>
    </w:p>
    <w:p>
      <w:pPr>
        <w:spacing w:before="100" w:after="100" w:line="240" w:lineRule="exact"/>
        <w:jc w:val="left"/>
        <w:rPr>
          <w:rFonts w:ascii="宋体" w:hAnsi="宋体" w:eastAsia="宋体" w:cs="宋体"/>
          <w:sz w:val="18"/>
          <w:szCs w:val="18"/>
        </w:rPr>
      </w:pPr>
      <w:r>
        <w:rPr>
          <w:rFonts w:ascii="宋体" w:hAnsi="宋体" w:eastAsia="宋体" w:cs="宋体"/>
          <w:sz w:val="18"/>
          <w:szCs w:val="18"/>
        </w:rPr>
        <w:t>交易基本信息、交易构成反向购买的依据、上市公司保留的资产、负债是否构成业务及其依据、合并成本的确定、按照权益性交易处理时调整权益的金额及其计算：</w:t>
      </w:r>
    </w:p>
    <w:p>
      <w:pPr>
        <w:keepNext/>
        <w:keepLines/>
        <w:spacing w:before="300" w:after="300" w:line="280" w:lineRule="exact"/>
        <w:jc w:val="left"/>
        <w:outlineLvl w:val="2"/>
        <w:rPr>
          <w:rFonts w:ascii="宋体" w:hAnsi="宋体" w:eastAsia="宋体" w:cs="宋体"/>
          <w:b/>
          <w:bCs/>
          <w:sz w:val="21"/>
          <w:szCs w:val="21"/>
        </w:rPr>
      </w:pPr>
      <w:bookmarkStart w:id="279" w:name="_Toc989254"/>
      <w:r>
        <w:rPr>
          <w:rFonts w:ascii="宋体" w:hAnsi="宋体" w:eastAsia="宋体" w:cs="宋体"/>
          <w:b/>
          <w:bCs/>
          <w:sz w:val="21"/>
          <w:szCs w:val="21"/>
        </w:rPr>
        <w:t>4、处置子公司</w:t>
      </w:r>
      <w:bookmarkEnd w:id="279"/>
    </w:p>
    <w:p>
      <w:pPr>
        <w:spacing w:before="40" w:after="40" w:line="240" w:lineRule="exact"/>
        <w:jc w:val="left"/>
        <w:rPr>
          <w:rFonts w:ascii="宋体" w:hAnsi="宋体" w:eastAsia="宋体" w:cs="宋体"/>
          <w:sz w:val="18"/>
          <w:szCs w:val="18"/>
        </w:rPr>
      </w:pPr>
      <w:r>
        <w:rPr>
          <w:rFonts w:ascii="宋体" w:hAnsi="宋体" w:eastAsia="宋体" w:cs="宋体"/>
          <w:sz w:val="18"/>
          <w:szCs w:val="18"/>
        </w:rPr>
        <w:t>是否存在单次处置对子公司投资即丧失控制权的情形</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是否存在通过多次交易分步处置对子公司投资且在本期丧失控制权的情形</w:t>
      </w:r>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一揽子交易</w:t>
      </w:r>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3"/>
        <w:gridCol w:w="643"/>
        <w:gridCol w:w="643"/>
        <w:gridCol w:w="643"/>
        <w:gridCol w:w="643"/>
        <w:gridCol w:w="643"/>
        <w:gridCol w:w="643"/>
        <w:gridCol w:w="643"/>
        <w:gridCol w:w="643"/>
        <w:gridCol w:w="643"/>
        <w:gridCol w:w="643"/>
        <w:gridCol w:w="643"/>
        <w:gridCol w:w="643"/>
        <w:gridCol w:w="643"/>
        <w:gridCol w:w="6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股权处置时点</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股权处置价款</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股权处置比例</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股权处置方式</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处置价款与处置投资对应的合并财务报表层面享有该子公司净资产份额的差额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丧失控制权的时点</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丧失控制权时点的确定依据</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丧失控制权之日剩余股权的比例</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丧失控制权之日剩余股权的账面价值</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丧失控制权之日剩余股权的公允价值</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按照公允价值重新计量剩余股权产生的利得或损失</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丧失控制权之日剩余股权公允价值的确定方法及主要假设</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与原子公司股权投资相关的其他综合收益转入投资损益的金额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丧失控制权之前的各步交易处置价款与处置投资对应的合并财务报表层面享有该子公司净资产份额的差额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2022年01月10日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转让</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20,404,169.31</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2022年05月13日</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股权交割，工商变更</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参考交易价格</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20,404,169.31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转让</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21,236,992.55</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2022年05月13日</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股权交割，工商变更</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参考交易价格</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20,404,169.31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分步处置股权至丧失控制权过程中的各项交易构成一揽子交易的原因：</w:t>
      </w:r>
    </w:p>
    <w:p>
      <w:pPr>
        <w:pStyle w:val="2"/>
        <w:keepNext w:val="0"/>
        <w:keepLines w:val="0"/>
        <w:widowControl/>
        <w:suppressLineNumbers w:val="0"/>
      </w:pPr>
      <w:r>
        <w:rPr>
          <w:rFonts w:hint="eastAsia" w:ascii="宋体" w:hAnsi="宋体" w:eastAsia="宋体" w:cs="宋体"/>
          <w:sz w:val="18"/>
          <w:szCs w:val="18"/>
        </w:rPr>
        <w:t>协议转让约定</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非一揽子交易</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80" w:name="_Toc989255"/>
      <w:r>
        <w:rPr>
          <w:rFonts w:ascii="宋体" w:hAnsi="宋体" w:eastAsia="宋体" w:cs="宋体"/>
          <w:b/>
          <w:bCs/>
          <w:sz w:val="21"/>
          <w:szCs w:val="21"/>
        </w:rPr>
        <w:t>5、其他原因的合并范围变动</w:t>
      </w:r>
      <w:bookmarkEnd w:id="280"/>
    </w:p>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说明其他原因导致的合并范围变动（如，新设子公司、清算子公司等）及其相关情况：</w:t>
      </w:r>
    </w:p>
    <w:tbl>
      <w:tblPr>
        <w:tblW w:w="924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463"/>
        <w:gridCol w:w="1701"/>
        <w:gridCol w:w="1656"/>
        <w:gridCol w:w="674"/>
        <w:gridCol w:w="851"/>
        <w:gridCol w:w="708"/>
        <w:gridCol w:w="1028"/>
        <w:gridCol w:w="11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454" w:hRule="atLeast"/>
          <w:jc w:val="center"/>
        </w:trPr>
        <w:tc>
          <w:tcPr>
            <w:tcW w:w="146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子公司名称</w:t>
            </w:r>
          </w:p>
        </w:tc>
        <w:tc>
          <w:tcPr>
            <w:tcW w:w="170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主要经营地</w:t>
            </w:r>
          </w:p>
        </w:tc>
        <w:tc>
          <w:tcPr>
            <w:tcW w:w="165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注册地</w:t>
            </w:r>
          </w:p>
        </w:tc>
        <w:tc>
          <w:tcPr>
            <w:tcW w:w="67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业务性质</w:t>
            </w:r>
          </w:p>
        </w:tc>
        <w:tc>
          <w:tcPr>
            <w:tcW w:w="1559"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持股比例（%）</w:t>
            </w:r>
          </w:p>
        </w:tc>
        <w:tc>
          <w:tcPr>
            <w:tcW w:w="102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表决权比例（%）</w:t>
            </w:r>
          </w:p>
        </w:tc>
        <w:tc>
          <w:tcPr>
            <w:tcW w:w="116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取得方式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454" w:hRule="atLeast"/>
          <w:jc w:val="center"/>
        </w:trPr>
        <w:tc>
          <w:tcPr>
            <w:tcW w:w="146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 </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 </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 </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 </w:t>
            </w:r>
          </w:p>
        </w:tc>
        <w:tc>
          <w:tcPr>
            <w:tcW w:w="8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直接</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间接</w:t>
            </w:r>
          </w:p>
        </w:tc>
        <w:tc>
          <w:tcPr>
            <w:tcW w:w="1028"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1165"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jc w:val="center"/>
        </w:trPr>
        <w:tc>
          <w:tcPr>
            <w:tcW w:w="146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5"/>
                <w:szCs w:val="15"/>
              </w:rPr>
              <w:t>海南伟隆投资有限公司</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5"/>
                <w:szCs w:val="15"/>
              </w:rPr>
              <w:t>海南省澄迈县老城镇高新技术产业示范区海南生态软件园孵化楼五楼1001室</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5"/>
                <w:szCs w:val="15"/>
              </w:rPr>
              <w:t>海南省澄迈县老城镇高新技术产业示范区海南生态软件园孵化楼五楼1001室</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5"/>
                <w:szCs w:val="15"/>
              </w:rPr>
              <w:t>投资服务</w:t>
            </w:r>
          </w:p>
        </w:tc>
        <w:tc>
          <w:tcPr>
            <w:tcW w:w="8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5"/>
                <w:szCs w:val="15"/>
              </w:rPr>
              <w:t>60.00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5"/>
                <w:szCs w:val="15"/>
              </w:rPr>
              <w:t> </w:t>
            </w:r>
          </w:p>
        </w:tc>
        <w:tc>
          <w:tcPr>
            <w:tcW w:w="10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5"/>
                <w:szCs w:val="15"/>
              </w:rPr>
              <w:t>60.00</w:t>
            </w:r>
          </w:p>
        </w:tc>
        <w:tc>
          <w:tcPr>
            <w:tcW w:w="11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5"/>
                <w:szCs w:val="15"/>
              </w:rPr>
              <w:t>设立</w:t>
            </w:r>
          </w:p>
        </w:tc>
      </w:tr>
    </w:tbl>
    <w:p>
      <w:pPr>
        <w:keepNext/>
        <w:keepLines/>
        <w:spacing w:before="300" w:after="300" w:line="280" w:lineRule="exact"/>
        <w:jc w:val="left"/>
        <w:outlineLvl w:val="2"/>
        <w:rPr>
          <w:rFonts w:ascii="宋体" w:hAnsi="宋体" w:eastAsia="宋体" w:cs="宋体"/>
          <w:b/>
          <w:bCs/>
          <w:sz w:val="21"/>
          <w:szCs w:val="21"/>
        </w:rPr>
      </w:pPr>
      <w:bookmarkStart w:id="281" w:name="_Toc989256"/>
      <w:r>
        <w:rPr>
          <w:rFonts w:ascii="宋体" w:hAnsi="宋体" w:eastAsia="宋体" w:cs="宋体"/>
          <w:b/>
          <w:bCs/>
          <w:sz w:val="21"/>
          <w:szCs w:val="21"/>
        </w:rPr>
        <w:t>6、其他</w:t>
      </w:r>
      <w:bookmarkEnd w:id="281"/>
    </w:p>
    <w:p>
      <w:pPr>
        <w:keepNext/>
        <w:keepLines/>
        <w:spacing w:before="300" w:after="300" w:line="320" w:lineRule="exact"/>
        <w:jc w:val="left"/>
        <w:outlineLvl w:val="1"/>
        <w:rPr>
          <w:rFonts w:ascii="宋体" w:hAnsi="宋体" w:eastAsia="宋体" w:cs="宋体"/>
          <w:b/>
          <w:bCs/>
          <w:sz w:val="24"/>
          <w:szCs w:val="24"/>
        </w:rPr>
      </w:pPr>
      <w:bookmarkStart w:id="282" w:name="_Toc989257"/>
      <w:r>
        <w:rPr>
          <w:rFonts w:ascii="宋体" w:hAnsi="宋体" w:eastAsia="宋体" w:cs="宋体"/>
          <w:b/>
          <w:bCs/>
          <w:sz w:val="24"/>
          <w:szCs w:val="24"/>
        </w:rPr>
        <w:t>九、在其他主体中的权益</w:t>
      </w:r>
      <w:bookmarkEnd w:id="282"/>
    </w:p>
    <w:p>
      <w:pPr>
        <w:keepNext/>
        <w:keepLines/>
        <w:spacing w:before="300" w:after="300" w:line="280" w:lineRule="exact"/>
        <w:jc w:val="left"/>
        <w:outlineLvl w:val="2"/>
        <w:rPr>
          <w:rFonts w:ascii="宋体" w:hAnsi="宋体" w:eastAsia="宋体" w:cs="宋体"/>
          <w:b/>
          <w:bCs/>
          <w:sz w:val="21"/>
          <w:szCs w:val="21"/>
        </w:rPr>
      </w:pPr>
      <w:bookmarkStart w:id="283" w:name="_Toc989258"/>
      <w:r>
        <w:rPr>
          <w:rFonts w:ascii="宋体" w:hAnsi="宋体" w:eastAsia="宋体" w:cs="宋体"/>
          <w:b/>
          <w:bCs/>
          <w:sz w:val="21"/>
          <w:szCs w:val="21"/>
        </w:rPr>
        <w:t>1、在子公司中的权益</w:t>
      </w:r>
      <w:bookmarkEnd w:id="283"/>
    </w:p>
    <w:p>
      <w:pPr>
        <w:keepNext/>
        <w:keepLines/>
        <w:spacing w:before="300" w:after="300" w:line="280" w:lineRule="exact"/>
        <w:jc w:val="left"/>
        <w:outlineLvl w:val="3"/>
        <w:rPr>
          <w:rFonts w:ascii="宋体" w:hAnsi="宋体" w:eastAsia="宋体" w:cs="宋体"/>
          <w:b/>
          <w:bCs/>
          <w:sz w:val="18"/>
          <w:szCs w:val="18"/>
        </w:rPr>
      </w:pPr>
      <w:bookmarkStart w:id="284" w:name="_Toc989259"/>
      <w:r>
        <w:rPr>
          <w:rFonts w:ascii="宋体" w:hAnsi="宋体" w:eastAsia="宋体" w:cs="宋体"/>
          <w:b/>
          <w:bCs/>
          <w:sz w:val="18"/>
          <w:szCs w:val="18"/>
        </w:rPr>
        <w:t>（1） 企业集团的构成</w:t>
      </w:r>
      <w:bookmarkEnd w:id="284"/>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取得方式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莱州伟隆阀门有限公司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莱州市沙河镇海郑村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莱州市沙河镇海郑村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青岛伟隆流体设备有限公司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青岛市高新技术产业开发区春阳路以北、华东路以西、科海路以南、华贯路以东</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青岛市高新技术产业开发区春阳路以北、华东路以西、科海路以南、华贯路以东</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青岛伟隆五金机械有限公司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中国（山东）自由贸易试验区青岛片区前湾保税港区北京路45号东办公楼一楼-2244（商务秘书公司托管地址）（A）</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中国（山东）自由贸易试验区青岛片区前湾保税港区北京路45号东办公楼一楼-2244（商务秘书公司托管地址）（A）</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WefloValveCompanyLimited（英国公司）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英国伦敦</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英国伦敦</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商务服务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海南省澄迈县老城镇高新技术产业示范区海南生态软件园孵化楼五楼1001室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海南省澄迈县老城镇高新技术产业示范区海南生态软件园孵化楼五楼1001室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青岛卓信检测技术有限责任公司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山东省青岛市高新区华贯路以东、华东路以西、科海路以南</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山东省青岛市高新区华贯路以东、华东路以西、科海路以南</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偉隆（香港）實業有限公司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香港九龙尖沙咀东部科学馆道14号新文华中心A座10楼1015室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香港九龙尖沙咀东部科学馆道14号新文华中心A座10楼1015室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商务服务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WEFLOVALVELLC（美国公司）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16192coastalHighway,Lewes</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16192coastalHighway,Lewes</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商务服务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在子公司的持股比例不同于表决权比例的说明：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持有半数或以下表决权但仍控制被投资单位、以及持有半数以上表决权但不控制被投资单位的依据：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对于纳入合并范围的重要的结构化主体，控制的依据：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确定公司是代理人还是委托人的依据：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85" w:name="_Toc989260"/>
      <w:r>
        <w:rPr>
          <w:rFonts w:ascii="宋体" w:hAnsi="宋体" w:eastAsia="宋体" w:cs="宋体"/>
          <w:b/>
          <w:bCs/>
          <w:sz w:val="18"/>
          <w:szCs w:val="18"/>
        </w:rPr>
        <w:t>（2） 重要的非全资子公司</w:t>
      </w:r>
      <w:bookmarkEnd w:id="28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少数股东持股比例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本期归属于少数股东的损益</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本期向少数股东宣告分派的股利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期末少数股东权益余额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948,596.12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40,953,956.71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子公司少数股东的持股比例不同于表决权比例的说明：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86" w:name="_Toc989261"/>
      <w:r>
        <w:rPr>
          <w:rFonts w:ascii="宋体" w:hAnsi="宋体" w:eastAsia="宋体" w:cs="宋体"/>
          <w:b/>
          <w:bCs/>
          <w:sz w:val="18"/>
          <w:szCs w:val="18"/>
        </w:rPr>
        <w:t>（3） 重要非全资子公司的主要财务信息</w:t>
      </w:r>
      <w:bookmarkEnd w:id="28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102,398,575.06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4,316.72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102,402,891.78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2,384,891.78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733.12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87" w:name="_Toc989262"/>
      <w:r>
        <w:rPr>
          <w:rFonts w:ascii="宋体" w:hAnsi="宋体" w:eastAsia="宋体" w:cs="宋体"/>
          <w:b/>
          <w:bCs/>
          <w:sz w:val="18"/>
          <w:szCs w:val="18"/>
        </w:rPr>
        <w:t>（4） 使用企业集团资产和清偿企业集团债务的重大限制</w:t>
      </w:r>
      <w:bookmarkEnd w:id="287"/>
    </w:p>
    <w:p>
      <w:pPr>
        <w:keepNext/>
        <w:keepLines/>
        <w:spacing w:before="300" w:after="300" w:line="280" w:lineRule="exact"/>
        <w:jc w:val="left"/>
        <w:outlineLvl w:val="3"/>
        <w:rPr>
          <w:rFonts w:ascii="宋体" w:hAnsi="宋体" w:eastAsia="宋体" w:cs="宋体"/>
          <w:b/>
          <w:bCs/>
          <w:sz w:val="18"/>
          <w:szCs w:val="18"/>
        </w:rPr>
      </w:pPr>
      <w:bookmarkStart w:id="288" w:name="_Toc989263"/>
      <w:r>
        <w:rPr>
          <w:rFonts w:ascii="宋体" w:hAnsi="宋体" w:eastAsia="宋体" w:cs="宋体"/>
          <w:b/>
          <w:bCs/>
          <w:sz w:val="18"/>
          <w:szCs w:val="18"/>
        </w:rPr>
        <w:t>（5） 向纳入合并财务报表范围的结构化主体提供的财务支持或其他支持</w:t>
      </w:r>
      <w:bookmarkEnd w:id="288"/>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89" w:name="_Toc989264"/>
      <w:r>
        <w:rPr>
          <w:rFonts w:ascii="宋体" w:hAnsi="宋体" w:eastAsia="宋体" w:cs="宋体"/>
          <w:b/>
          <w:bCs/>
          <w:sz w:val="21"/>
          <w:szCs w:val="21"/>
        </w:rPr>
        <w:t>2、在子公司的所有者权益份额发生变化且仍控制子公司的交易</w:t>
      </w:r>
      <w:bookmarkEnd w:id="289"/>
    </w:p>
    <w:p>
      <w:pPr>
        <w:keepNext/>
        <w:keepLines/>
        <w:spacing w:before="300" w:after="300" w:line="280" w:lineRule="exact"/>
        <w:jc w:val="left"/>
        <w:outlineLvl w:val="3"/>
        <w:rPr>
          <w:rFonts w:ascii="宋体" w:hAnsi="宋体" w:eastAsia="宋体" w:cs="宋体"/>
          <w:b/>
          <w:bCs/>
          <w:sz w:val="18"/>
          <w:szCs w:val="18"/>
        </w:rPr>
      </w:pPr>
      <w:bookmarkStart w:id="290" w:name="_Toc989265"/>
      <w:r>
        <w:rPr>
          <w:rFonts w:ascii="宋体" w:hAnsi="宋体" w:eastAsia="宋体" w:cs="宋体"/>
          <w:b/>
          <w:bCs/>
          <w:sz w:val="18"/>
          <w:szCs w:val="18"/>
        </w:rPr>
        <w:t>（1） 在子公司所有者权益份额发生变化的情况说明</w:t>
      </w:r>
      <w:bookmarkEnd w:id="290"/>
    </w:p>
    <w:p>
      <w:pPr>
        <w:keepNext/>
        <w:keepLines/>
        <w:spacing w:before="300" w:after="300" w:line="280" w:lineRule="exact"/>
        <w:jc w:val="left"/>
        <w:outlineLvl w:val="3"/>
        <w:rPr>
          <w:rFonts w:ascii="宋体" w:hAnsi="宋体" w:eastAsia="宋体" w:cs="宋体"/>
          <w:b/>
          <w:bCs/>
          <w:sz w:val="18"/>
          <w:szCs w:val="18"/>
        </w:rPr>
      </w:pPr>
      <w:bookmarkStart w:id="291" w:name="_Toc989266"/>
      <w:r>
        <w:rPr>
          <w:rFonts w:ascii="宋体" w:hAnsi="宋体" w:eastAsia="宋体" w:cs="宋体"/>
          <w:b/>
          <w:bCs/>
          <w:sz w:val="18"/>
          <w:szCs w:val="18"/>
        </w:rPr>
        <w:t>（2） 交易对于少数股东权益及归属于母公司所有者权益的影响</w:t>
      </w:r>
      <w:bookmarkEnd w:id="29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购买成本/处置对价</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--非现金资产的公允价值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购买成本/处置对价合计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减：按取得/处置的股权比例计算的子公司净资产份额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差额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其中：调整资本公积</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调整盈余公积</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调整未分配利润</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92" w:name="_Toc989267"/>
      <w:r>
        <w:rPr>
          <w:rFonts w:ascii="宋体" w:hAnsi="宋体" w:eastAsia="宋体" w:cs="宋体"/>
          <w:b/>
          <w:bCs/>
          <w:sz w:val="21"/>
          <w:szCs w:val="21"/>
        </w:rPr>
        <w:t>3、在合营安排或联营企业中的权益</w:t>
      </w:r>
      <w:bookmarkEnd w:id="292"/>
    </w:p>
    <w:p>
      <w:pPr>
        <w:keepNext/>
        <w:keepLines/>
        <w:spacing w:before="300" w:after="300" w:line="280" w:lineRule="exact"/>
        <w:jc w:val="left"/>
        <w:outlineLvl w:val="3"/>
        <w:rPr>
          <w:rFonts w:ascii="宋体" w:hAnsi="宋体" w:eastAsia="宋体" w:cs="宋体"/>
          <w:b/>
          <w:bCs/>
          <w:sz w:val="21"/>
          <w:szCs w:val="21"/>
        </w:rPr>
      </w:pPr>
      <w:bookmarkStart w:id="293" w:name="_Toc989268"/>
      <w:r>
        <w:rPr>
          <w:rFonts w:ascii="宋体" w:hAnsi="宋体" w:eastAsia="宋体" w:cs="宋体"/>
          <w:b/>
          <w:bCs/>
          <w:sz w:val="21"/>
          <w:szCs w:val="21"/>
        </w:rPr>
        <w:t>（1） 重要的合营企业或联营企业</w:t>
      </w:r>
      <w:bookmarkEnd w:id="293"/>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合营企业或联营企业名称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对合营企业或联营企业投资的会计处理方法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在合营企业或联营企业的持股比例不同于表决权比例的说明：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持有20%以下表决权但具有重大影响，或者持有20%或以上表决权但不具有重大影响的依据：</w:t>
      </w:r>
    </w:p>
    <w:p>
      <w:pPr>
        <w:keepNext/>
        <w:keepLines/>
        <w:spacing w:before="300" w:after="300" w:line="280" w:lineRule="exact"/>
        <w:jc w:val="left"/>
        <w:outlineLvl w:val="3"/>
        <w:rPr>
          <w:rFonts w:ascii="宋体" w:hAnsi="宋体" w:eastAsia="宋体" w:cs="宋体"/>
          <w:b/>
          <w:bCs/>
          <w:sz w:val="21"/>
          <w:szCs w:val="21"/>
        </w:rPr>
      </w:pPr>
      <w:bookmarkStart w:id="294" w:name="_Toc989269"/>
      <w:r>
        <w:rPr>
          <w:rFonts w:ascii="宋体" w:hAnsi="宋体" w:eastAsia="宋体" w:cs="宋体"/>
          <w:b/>
          <w:bCs/>
          <w:sz w:val="21"/>
          <w:szCs w:val="21"/>
        </w:rPr>
        <w:t>（2） 重要合营企业的主要财务信息</w:t>
      </w:r>
      <w:bookmarkEnd w:id="29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其中：现金和现金等价物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归属于母公司股东权益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调整事项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--内部交易未实现利润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对合营企业权益投资的账面价值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存在公开报价的合营企业权益投资的公允价值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终止经营的净利润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本年度收到的来自合营企业的股利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95" w:name="_Toc989270"/>
      <w:r>
        <w:rPr>
          <w:rFonts w:ascii="宋体" w:hAnsi="宋体" w:eastAsia="宋体" w:cs="宋体"/>
          <w:b/>
          <w:bCs/>
          <w:sz w:val="21"/>
          <w:szCs w:val="21"/>
        </w:rPr>
        <w:t>（3） 重要联营企业的主要财务信息</w:t>
      </w:r>
      <w:bookmarkEnd w:id="29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归属于母公司股东权益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调整事项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--内部交易未实现利润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对联营企业权益投资的账面价值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存在公开报价的联营企业权益投资的公允价值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终止经营的净利润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本年度收到的来自联营企业的股利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96" w:name="_Toc989271"/>
      <w:r>
        <w:rPr>
          <w:rFonts w:ascii="宋体" w:hAnsi="宋体" w:eastAsia="宋体" w:cs="宋体"/>
          <w:b/>
          <w:bCs/>
          <w:sz w:val="21"/>
          <w:szCs w:val="21"/>
        </w:rPr>
        <w:t>（4） 不重要的合营企业和联营企业的汇总财务信息</w:t>
      </w:r>
      <w:bookmarkEnd w:id="29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联营企业：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97" w:name="_Toc989272"/>
      <w:r>
        <w:rPr>
          <w:rFonts w:ascii="宋体" w:hAnsi="宋体" w:eastAsia="宋体" w:cs="宋体"/>
          <w:b/>
          <w:bCs/>
          <w:sz w:val="21"/>
          <w:szCs w:val="21"/>
        </w:rPr>
        <w:t>（5） 合营企业或联营企业向本公司转移资金的能力存在重大限制的说明</w:t>
      </w:r>
      <w:bookmarkEnd w:id="297"/>
    </w:p>
    <w:p>
      <w:pPr>
        <w:keepNext/>
        <w:keepLines/>
        <w:spacing w:before="300" w:after="300" w:line="280" w:lineRule="exact"/>
        <w:jc w:val="left"/>
        <w:outlineLvl w:val="3"/>
        <w:rPr>
          <w:rFonts w:ascii="宋体" w:hAnsi="宋体" w:eastAsia="宋体" w:cs="宋体"/>
          <w:b/>
          <w:bCs/>
          <w:sz w:val="21"/>
          <w:szCs w:val="21"/>
        </w:rPr>
      </w:pPr>
      <w:bookmarkStart w:id="298" w:name="_Toc989273"/>
      <w:r>
        <w:rPr>
          <w:rFonts w:ascii="宋体" w:hAnsi="宋体" w:eastAsia="宋体" w:cs="宋体"/>
          <w:b/>
          <w:bCs/>
          <w:sz w:val="21"/>
          <w:szCs w:val="21"/>
        </w:rPr>
        <w:t>（6） 合营企业或联营企业发生的超额亏损</w:t>
      </w:r>
      <w:bookmarkEnd w:id="29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合营企业或联营企业名称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累积未确认前期累计的损失</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本期未确认的损失（或本期分享的净利润）</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本期末累积未确认的损失</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99" w:name="_Toc989274"/>
      <w:r>
        <w:rPr>
          <w:rFonts w:ascii="宋体" w:hAnsi="宋体" w:eastAsia="宋体" w:cs="宋体"/>
          <w:b/>
          <w:bCs/>
          <w:sz w:val="21"/>
          <w:szCs w:val="21"/>
        </w:rPr>
        <w:t>（7） 与合营企业投资相关的未确认承诺</w:t>
      </w:r>
      <w:bookmarkEnd w:id="299"/>
    </w:p>
    <w:p>
      <w:pPr>
        <w:keepNext/>
        <w:keepLines/>
        <w:spacing w:before="300" w:after="300" w:line="280" w:lineRule="exact"/>
        <w:jc w:val="left"/>
        <w:outlineLvl w:val="3"/>
        <w:rPr>
          <w:rFonts w:ascii="宋体" w:hAnsi="宋体" w:eastAsia="宋体" w:cs="宋体"/>
          <w:b/>
          <w:bCs/>
          <w:sz w:val="21"/>
          <w:szCs w:val="21"/>
        </w:rPr>
      </w:pPr>
      <w:bookmarkStart w:id="300" w:name="_Toc989275"/>
      <w:r>
        <w:rPr>
          <w:rFonts w:ascii="宋体" w:hAnsi="宋体" w:eastAsia="宋体" w:cs="宋体"/>
          <w:b/>
          <w:bCs/>
          <w:sz w:val="21"/>
          <w:szCs w:val="21"/>
        </w:rPr>
        <w:t>（8） 与合营企业或联营企业投资相关的或有负债</w:t>
      </w:r>
      <w:bookmarkEnd w:id="300"/>
    </w:p>
    <w:p>
      <w:pPr>
        <w:keepNext/>
        <w:keepLines/>
        <w:spacing w:before="300" w:after="300" w:line="280" w:lineRule="exact"/>
        <w:jc w:val="left"/>
        <w:outlineLvl w:val="2"/>
        <w:rPr>
          <w:rFonts w:ascii="宋体" w:hAnsi="宋体" w:eastAsia="宋体" w:cs="宋体"/>
          <w:b/>
          <w:bCs/>
          <w:sz w:val="21"/>
          <w:szCs w:val="21"/>
        </w:rPr>
      </w:pPr>
      <w:bookmarkStart w:id="301" w:name="_Toc989276"/>
      <w:r>
        <w:rPr>
          <w:rFonts w:ascii="宋体" w:hAnsi="宋体" w:eastAsia="宋体" w:cs="宋体"/>
          <w:b/>
          <w:bCs/>
          <w:sz w:val="21"/>
          <w:szCs w:val="21"/>
        </w:rPr>
        <w:t>4、重要的共同经营</w:t>
      </w:r>
      <w:bookmarkEnd w:id="301"/>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共同经营名称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持股比例/享有的份额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在共同经营中的持股比例或享有的份额不同于表决权比例的说明：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共同经营为单独主体的，分类为共同经营的依据：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02" w:name="_Toc989277"/>
      <w:r>
        <w:rPr>
          <w:rFonts w:ascii="宋体" w:hAnsi="宋体" w:eastAsia="宋体" w:cs="宋体"/>
          <w:b/>
          <w:bCs/>
          <w:sz w:val="21"/>
          <w:szCs w:val="21"/>
        </w:rPr>
        <w:t>5、在未纳入合并财务报表范围的结构化主体中的权益</w:t>
      </w:r>
      <w:bookmarkEnd w:id="302"/>
    </w:p>
    <w:p>
      <w:pPr>
        <w:spacing w:before="100" w:after="100" w:line="240" w:lineRule="exact"/>
        <w:jc w:val="left"/>
        <w:rPr>
          <w:rFonts w:ascii="宋体" w:hAnsi="宋体" w:eastAsia="宋体" w:cs="宋体"/>
          <w:sz w:val="18"/>
          <w:szCs w:val="18"/>
        </w:rPr>
      </w:pPr>
      <w:r>
        <w:rPr>
          <w:rFonts w:ascii="宋体" w:hAnsi="宋体" w:eastAsia="宋体" w:cs="宋体"/>
          <w:sz w:val="18"/>
          <w:szCs w:val="18"/>
        </w:rPr>
        <w:t>未纳入合并财务报表范围的结构化主体的相关说明：</w:t>
      </w:r>
    </w:p>
    <w:p>
      <w:pPr>
        <w:keepNext/>
        <w:keepLines/>
        <w:spacing w:before="300" w:after="300" w:line="280" w:lineRule="exact"/>
        <w:jc w:val="left"/>
        <w:outlineLvl w:val="2"/>
        <w:rPr>
          <w:rFonts w:ascii="宋体" w:hAnsi="宋体" w:eastAsia="宋体" w:cs="宋体"/>
          <w:b/>
          <w:bCs/>
          <w:sz w:val="21"/>
          <w:szCs w:val="21"/>
        </w:rPr>
      </w:pPr>
      <w:bookmarkStart w:id="303" w:name="_Toc989278"/>
      <w:r>
        <w:rPr>
          <w:rFonts w:ascii="宋体" w:hAnsi="宋体" w:eastAsia="宋体" w:cs="宋体"/>
          <w:b/>
          <w:bCs/>
          <w:sz w:val="21"/>
          <w:szCs w:val="21"/>
        </w:rPr>
        <w:t>6、其他</w:t>
      </w:r>
      <w:bookmarkEnd w:id="303"/>
    </w:p>
    <w:p>
      <w:pPr>
        <w:keepNext/>
        <w:keepLines/>
        <w:spacing w:before="300" w:after="300" w:line="320" w:lineRule="exact"/>
        <w:jc w:val="left"/>
        <w:outlineLvl w:val="1"/>
        <w:rPr>
          <w:rFonts w:ascii="宋体" w:hAnsi="宋体" w:eastAsia="宋体" w:cs="宋体"/>
          <w:b/>
          <w:bCs/>
          <w:sz w:val="24"/>
          <w:szCs w:val="24"/>
        </w:rPr>
      </w:pPr>
      <w:bookmarkStart w:id="304" w:name="_Toc989279"/>
      <w:r>
        <w:rPr>
          <w:rFonts w:ascii="宋体" w:hAnsi="宋体" w:eastAsia="宋体" w:cs="宋体"/>
          <w:b/>
          <w:bCs/>
          <w:sz w:val="24"/>
          <w:szCs w:val="24"/>
        </w:rPr>
        <w:t>十、与金融工具相关的风险</w:t>
      </w:r>
      <w:bookmarkEnd w:id="304"/>
    </w:p>
    <w:p>
      <w:pPr>
        <w:pStyle w:val="2"/>
        <w:keepNext w:val="0"/>
        <w:keepLines w:val="0"/>
        <w:widowControl/>
        <w:suppressLineNumbers w:val="0"/>
        <w:spacing w:before="150" w:beforeAutospacing="0" w:after="0" w:afterAutospacing="0" w:line="360" w:lineRule="auto"/>
        <w:ind w:left="0" w:right="0" w:firstLine="426"/>
        <w:jc w:val="both"/>
        <w:rPr>
          <w:rFonts w:hint="default" w:ascii="Times New Roman" w:hAnsi="Times New Roman" w:cs="Times New Roman"/>
          <w:sz w:val="21"/>
          <w:szCs w:val="21"/>
        </w:rPr>
      </w:pPr>
      <w:r>
        <w:rPr>
          <w:rFonts w:hint="eastAsia" w:ascii="宋体" w:hAnsi="宋体" w:eastAsia="宋体" w:cs="宋体"/>
          <w:sz w:val="21"/>
          <w:szCs w:val="21"/>
        </w:rPr>
        <w:t>公司在经营过程中面临各种金融风险：信用风险、市场风险和流动性风险。公司经营管理层全面负责风险管理目标和政策的确定，并对风险管理目标和政策承担最终责任。风险管理的总体目标是在不过度影响公司竞争力和应变力的情况下，制定尽可能降低风险的风险管理政策。</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b/>
          <w:bCs/>
          <w:sz w:val="21"/>
          <w:szCs w:val="21"/>
        </w:rPr>
        <w:t>1、信用风险</w:t>
      </w:r>
    </w:p>
    <w:p>
      <w:pPr>
        <w:pStyle w:val="2"/>
        <w:keepNext w:val="0"/>
        <w:keepLines w:val="0"/>
        <w:widowControl/>
        <w:suppressLineNumbers w:val="0"/>
        <w:spacing w:before="0" w:beforeAutospacing="0" w:after="0" w:afterAutospacing="0" w:line="360" w:lineRule="auto"/>
        <w:ind w:left="0" w:right="0" w:firstLine="426"/>
        <w:jc w:val="both"/>
        <w:rPr>
          <w:rFonts w:hint="default" w:ascii="Times New Roman" w:hAnsi="Times New Roman" w:cs="Times New Roman"/>
          <w:sz w:val="21"/>
          <w:szCs w:val="21"/>
        </w:rPr>
      </w:pPr>
      <w:r>
        <w:rPr>
          <w:rFonts w:hint="eastAsia" w:ascii="宋体" w:hAnsi="宋体" w:eastAsia="宋体" w:cs="宋体"/>
          <w:sz w:val="21"/>
          <w:szCs w:val="21"/>
        </w:rPr>
        <w:t>信用风险是指金融工具的一方不履行义务，造成另一方发生财务损失的风险。</w:t>
      </w:r>
    </w:p>
    <w:p>
      <w:pPr>
        <w:pStyle w:val="2"/>
        <w:keepNext w:val="0"/>
        <w:keepLines w:val="0"/>
        <w:widowControl/>
        <w:suppressLineNumbers w:val="0"/>
        <w:spacing w:before="0" w:beforeAutospacing="0" w:after="0" w:afterAutospacing="0" w:line="360" w:lineRule="auto"/>
        <w:ind w:left="0" w:right="0" w:firstLine="426"/>
        <w:jc w:val="both"/>
        <w:rPr>
          <w:rFonts w:hint="default" w:ascii="Times New Roman" w:hAnsi="Times New Roman" w:cs="Times New Roman"/>
          <w:sz w:val="21"/>
          <w:szCs w:val="21"/>
        </w:rPr>
      </w:pPr>
      <w:r>
        <w:rPr>
          <w:rFonts w:hint="eastAsia" w:ascii="宋体" w:hAnsi="宋体" w:eastAsia="宋体" w:cs="宋体"/>
          <w:sz w:val="21"/>
          <w:szCs w:val="21"/>
        </w:rPr>
        <w:t>为降低信用风险，本公司制定了相关的内部控制政策负责确定信用额度、进行信用审批，包括外部信用评级和在某些情况下的银行资信证明（当此信息可获取时），并执行其他监控程序以确保采取必要的措施回收过期债权。因此，本公司管理层认为本公司所承担的信用风险已经大为降低。</w:t>
      </w:r>
    </w:p>
    <w:p>
      <w:pPr>
        <w:pStyle w:val="2"/>
        <w:keepNext w:val="0"/>
        <w:keepLines w:val="0"/>
        <w:widowControl/>
        <w:suppressLineNumbers w:val="0"/>
        <w:spacing w:before="0" w:beforeAutospacing="0" w:after="0" w:afterAutospacing="0" w:line="360" w:lineRule="auto"/>
        <w:ind w:left="0" w:right="0" w:firstLine="426"/>
        <w:jc w:val="both"/>
        <w:rPr>
          <w:rFonts w:hint="default" w:ascii="Times New Roman" w:hAnsi="Times New Roman" w:cs="Times New Roman"/>
          <w:sz w:val="21"/>
          <w:szCs w:val="21"/>
        </w:rPr>
      </w:pPr>
      <w:r>
        <w:rPr>
          <w:rFonts w:hint="eastAsia" w:ascii="宋体" w:hAnsi="宋体" w:eastAsia="宋体" w:cs="宋体"/>
          <w:sz w:val="21"/>
          <w:szCs w:val="21"/>
        </w:rPr>
        <w:t>本公司信用风险主要产生于银行存款、应收账款、其他应收款、应收票据、应收款项融资等，这些金融资产的信用风险源自交易对手违约，最大风险敞口等于这些工具的账面金额。</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（1）本公司的流动资金存放在信用评级较高的银行，故流动资金的信用风险较低。</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（2）资产负债表日，公司按会计政策计提了坏账准备。</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b/>
          <w:bCs/>
          <w:sz w:val="21"/>
          <w:szCs w:val="21"/>
        </w:rPr>
        <w:t>2、市场风险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金融工具的市场风险，是指金融工具的公允价值或未来现金流量因市场价格变动而发生波动的风险，包括外汇风险、利率风险和其他价格风险。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（1）外汇风险</w:t>
      </w:r>
    </w:p>
    <w:p>
      <w:pPr>
        <w:pStyle w:val="2"/>
        <w:keepNext w:val="0"/>
        <w:keepLines w:val="0"/>
        <w:widowControl/>
        <w:suppressLineNumbers w:val="0"/>
        <w:spacing w:before="0" w:beforeAutospacing="0" w:after="0" w:afterAutospacing="0" w:line="360" w:lineRule="auto"/>
        <w:ind w:left="0" w:right="0" w:firstLine="398"/>
        <w:jc w:val="both"/>
        <w:rPr>
          <w:rFonts w:hint="default" w:ascii="Times New Roman" w:hAnsi="Times New Roman" w:cs="Times New Roman"/>
          <w:sz w:val="21"/>
          <w:szCs w:val="21"/>
        </w:rPr>
      </w:pPr>
      <w:r>
        <w:rPr>
          <w:rFonts w:hint="eastAsia" w:ascii="宋体" w:hAnsi="宋体" w:eastAsia="宋体" w:cs="宋体"/>
          <w:sz w:val="21"/>
          <w:szCs w:val="21"/>
        </w:rPr>
        <w:t>外汇风险，是指金融工具的公允价值或未来现金流量因外汇汇率变动而发生波动的风险。本公司面临的外汇风险主要来源于以外币计价的金融资产和金融负债，外币金融资产和外币金融负债列示如下：</w:t>
      </w:r>
    </w:p>
    <w:tbl>
      <w:tblPr>
        <w:tblW w:w="893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151"/>
        <w:gridCol w:w="2260"/>
        <w:gridCol w:w="1968"/>
        <w:gridCol w:w="25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215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项目</w:t>
            </w:r>
          </w:p>
        </w:tc>
        <w:tc>
          <w:tcPr>
            <w:tcW w:w="226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期末外币余额</w:t>
            </w:r>
          </w:p>
        </w:tc>
        <w:tc>
          <w:tcPr>
            <w:tcW w:w="196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折算汇率</w:t>
            </w:r>
          </w:p>
        </w:tc>
        <w:tc>
          <w:tcPr>
            <w:tcW w:w="255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期末折算人民币余额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Style w:val="5"/>
                <w:rFonts w:hint="eastAsia" w:ascii="宋体" w:hAnsi="宋体" w:eastAsia="宋体" w:cs="宋体"/>
                <w:b/>
                <w:bCs/>
                <w:sz w:val="18"/>
                <w:szCs w:val="18"/>
              </w:rPr>
              <w:t>货币资金</w:t>
            </w:r>
          </w:p>
        </w:tc>
        <w:tc>
          <w:tcPr>
            <w:tcW w:w="2260"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1968"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2552"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其中：美元</w:t>
            </w:r>
          </w:p>
        </w:tc>
        <w:tc>
          <w:tcPr>
            <w:tcW w:w="2260"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6,199,326.88</w:t>
            </w:r>
          </w:p>
        </w:tc>
        <w:tc>
          <w:tcPr>
            <w:tcW w:w="1968"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6.7144</w:t>
            </w:r>
          </w:p>
        </w:tc>
        <w:tc>
          <w:tcPr>
            <w:tcW w:w="2552"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41,624,760.40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其中：英镑</w:t>
            </w:r>
          </w:p>
        </w:tc>
        <w:tc>
          <w:tcPr>
            <w:tcW w:w="2260"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386.53</w:t>
            </w:r>
          </w:p>
        </w:tc>
        <w:tc>
          <w:tcPr>
            <w:tcW w:w="1968"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8.1365</w:t>
            </w:r>
          </w:p>
        </w:tc>
        <w:tc>
          <w:tcPr>
            <w:tcW w:w="2552"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3,145.00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其中：欧元</w:t>
            </w:r>
          </w:p>
        </w:tc>
        <w:tc>
          <w:tcPr>
            <w:tcW w:w="2260"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90,719.11</w:t>
            </w:r>
          </w:p>
        </w:tc>
        <w:tc>
          <w:tcPr>
            <w:tcW w:w="1968"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7.0084</w:t>
            </w:r>
          </w:p>
        </w:tc>
        <w:tc>
          <w:tcPr>
            <w:tcW w:w="2552"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635,795.81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Style w:val="5"/>
                <w:rFonts w:hint="eastAsia" w:ascii="宋体" w:hAnsi="宋体" w:eastAsia="宋体" w:cs="宋体"/>
                <w:b/>
                <w:bCs/>
                <w:sz w:val="18"/>
                <w:szCs w:val="18"/>
              </w:rPr>
              <w:t>应收账款</w:t>
            </w:r>
          </w:p>
        </w:tc>
        <w:tc>
          <w:tcPr>
            <w:tcW w:w="2260"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1968"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2552"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其中：美元</w:t>
            </w:r>
          </w:p>
        </w:tc>
        <w:tc>
          <w:tcPr>
            <w:tcW w:w="2260"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5,304,364.40</w:t>
            </w:r>
          </w:p>
        </w:tc>
        <w:tc>
          <w:tcPr>
            <w:tcW w:w="1968"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6.7144</w:t>
            </w:r>
          </w:p>
        </w:tc>
        <w:tc>
          <w:tcPr>
            <w:tcW w:w="2552"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35,615,624.35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Style w:val="5"/>
                <w:rFonts w:hint="eastAsia" w:ascii="宋体" w:hAnsi="宋体" w:eastAsia="宋体" w:cs="宋体"/>
                <w:b/>
                <w:bCs/>
                <w:sz w:val="18"/>
                <w:szCs w:val="18"/>
              </w:rPr>
              <w:t>应付账款</w:t>
            </w:r>
          </w:p>
        </w:tc>
        <w:tc>
          <w:tcPr>
            <w:tcW w:w="2260"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1968"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2552"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其中：美元</w:t>
            </w:r>
          </w:p>
        </w:tc>
        <w:tc>
          <w:tcPr>
            <w:tcW w:w="2260"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10,983.96</w:t>
            </w:r>
          </w:p>
        </w:tc>
        <w:tc>
          <w:tcPr>
            <w:tcW w:w="1968"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6.7144</w:t>
            </w:r>
          </w:p>
        </w:tc>
        <w:tc>
          <w:tcPr>
            <w:tcW w:w="2552"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73,750.70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其中：欧元</w:t>
            </w:r>
          </w:p>
        </w:tc>
        <w:tc>
          <w:tcPr>
            <w:tcW w:w="2260"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65,964.69</w:t>
            </w:r>
          </w:p>
        </w:tc>
        <w:tc>
          <w:tcPr>
            <w:tcW w:w="1968"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7.0084</w:t>
            </w:r>
          </w:p>
        </w:tc>
        <w:tc>
          <w:tcPr>
            <w:tcW w:w="2552"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462,306.93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Style w:val="5"/>
                <w:rFonts w:hint="eastAsia" w:ascii="宋体" w:hAnsi="宋体" w:eastAsia="宋体" w:cs="宋体"/>
                <w:sz w:val="18"/>
                <w:szCs w:val="18"/>
              </w:rPr>
              <w:t>其他应付款</w:t>
            </w:r>
          </w:p>
        </w:tc>
        <w:tc>
          <w:tcPr>
            <w:tcW w:w="2260"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1968"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2552"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8"/>
                <w:szCs w:val="18"/>
              </w:rPr>
              <w:t>其中：美元</w:t>
            </w:r>
          </w:p>
        </w:tc>
        <w:tc>
          <w:tcPr>
            <w:tcW w:w="2260"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147,573.00</w:t>
            </w:r>
          </w:p>
        </w:tc>
        <w:tc>
          <w:tcPr>
            <w:tcW w:w="1968"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6.7144</w:t>
            </w:r>
          </w:p>
        </w:tc>
        <w:tc>
          <w:tcPr>
            <w:tcW w:w="2552"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990,864.15</w:t>
            </w:r>
          </w:p>
        </w:tc>
      </w:tr>
    </w:tbl>
    <w:p>
      <w:pPr>
        <w:pStyle w:val="2"/>
        <w:keepNext w:val="0"/>
        <w:keepLines w:val="0"/>
        <w:widowControl/>
        <w:suppressLineNumbers w:val="0"/>
        <w:spacing w:before="150" w:beforeAutospacing="0" w:after="0" w:afterAutospacing="0" w:line="360" w:lineRule="auto"/>
        <w:ind w:left="0" w:right="0" w:firstLine="426"/>
        <w:jc w:val="both"/>
        <w:rPr>
          <w:rFonts w:hint="default" w:ascii="Times New Roman" w:hAnsi="Times New Roman" w:cs="Times New Roman"/>
          <w:sz w:val="21"/>
          <w:szCs w:val="21"/>
        </w:rPr>
      </w:pPr>
      <w:r>
        <w:rPr>
          <w:rFonts w:hint="eastAsia" w:ascii="宋体" w:hAnsi="宋体" w:eastAsia="宋体" w:cs="宋体"/>
          <w:sz w:val="21"/>
          <w:szCs w:val="21"/>
        </w:rPr>
        <w:t>为规避汇率风险，公司主要采取以下措施：通过积极调整生产结构和产品结构，提高劳动生产率和产品附加值，争取更大的利润空间；合理利用结汇规则并择机开展远期结汇业务，力求结汇利益最大化；加快资金回笼速度，及时结汇，加快资金的周转率；充分依靠公司的竞争优势，发挥议价能力，接单过程中全面考虑人民币的升值预期，在出口合同中附加相关条款，减少和转嫁部分汇率波动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（2）利率风险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利率风险，是指金融工具的公允价值或未来现金流量因市场利率变动而发生波动的风险。本公司面临的利率风险主要来源于企业与银行及其他金融机构之间的往来业务。</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b/>
          <w:bCs/>
          <w:sz w:val="21"/>
          <w:szCs w:val="21"/>
        </w:rPr>
        <w:t>3、流动性风险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流动性风险，是指企业在履行以交付现金或其他金融资产的方式结算的义务时发生资金短缺的风险。本公司的政策是确保拥有充足的现金以偿还到期债务。流动性风险由本公司的财务部门集中控制。财务部门通过监控现金余额、可随时变现的有价证券等以确保公司在所有合理预测的情况下拥有充足的资金偿还债务。</w:t>
      </w:r>
    </w:p>
    <w:p>
      <w:pPr>
        <w:keepNext/>
        <w:keepLines/>
        <w:spacing w:before="300" w:after="300" w:line="320" w:lineRule="exact"/>
        <w:jc w:val="left"/>
        <w:outlineLvl w:val="1"/>
        <w:rPr>
          <w:rFonts w:ascii="宋体" w:hAnsi="宋体" w:eastAsia="宋体" w:cs="宋体"/>
          <w:b/>
          <w:bCs/>
          <w:sz w:val="24"/>
          <w:szCs w:val="24"/>
        </w:rPr>
      </w:pPr>
      <w:bookmarkStart w:id="305" w:name="_Toc989280"/>
      <w:r>
        <w:rPr>
          <w:rFonts w:ascii="宋体" w:hAnsi="宋体" w:eastAsia="宋体" w:cs="宋体"/>
          <w:b/>
          <w:bCs/>
          <w:sz w:val="24"/>
          <w:szCs w:val="24"/>
        </w:rPr>
        <w:t>十一、公允价值的披露</w:t>
      </w:r>
      <w:bookmarkEnd w:id="305"/>
    </w:p>
    <w:p>
      <w:pPr>
        <w:keepNext/>
        <w:keepLines/>
        <w:spacing w:before="300" w:after="300" w:line="280" w:lineRule="exact"/>
        <w:jc w:val="left"/>
        <w:outlineLvl w:val="2"/>
        <w:rPr>
          <w:rFonts w:ascii="宋体" w:hAnsi="宋体" w:eastAsia="宋体" w:cs="宋体"/>
          <w:b/>
          <w:bCs/>
          <w:sz w:val="21"/>
          <w:szCs w:val="21"/>
        </w:rPr>
      </w:pPr>
      <w:bookmarkStart w:id="306" w:name="_Toc989281"/>
      <w:r>
        <w:rPr>
          <w:rFonts w:ascii="宋体" w:hAnsi="宋体" w:eastAsia="宋体" w:cs="宋体"/>
          <w:b/>
          <w:bCs/>
          <w:sz w:val="21"/>
          <w:szCs w:val="21"/>
        </w:rPr>
        <w:t>1、以公允价值计量的资产和负债的期末公允价值</w:t>
      </w:r>
      <w:bookmarkEnd w:id="30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期末公允价值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（一）交易性金融资产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161,237,074.25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161,237,074.25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1.以公允价值计量且其变动计入当期损益的金融资产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161,237,074.25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161,237,074.25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（4）理财类产品</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161,237,074.25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161,237,074.25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（六）应收款项融资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（七）基金投资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102,397,841.94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102,397,841.94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持续以公允价值计量的资产总额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263,634,916.19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264,098,924.81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二、非持续的公允价值计量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keepNext/>
        <w:keepLines/>
        <w:spacing w:before="300" w:after="300" w:line="280" w:lineRule="exact"/>
        <w:jc w:val="left"/>
        <w:outlineLvl w:val="2"/>
        <w:rPr>
          <w:rFonts w:ascii="宋体" w:hAnsi="宋体" w:eastAsia="宋体" w:cs="宋体"/>
          <w:b/>
          <w:bCs/>
          <w:sz w:val="21"/>
          <w:szCs w:val="21"/>
        </w:rPr>
      </w:pPr>
      <w:bookmarkStart w:id="307" w:name="_Toc989282"/>
      <w:r>
        <w:rPr>
          <w:rFonts w:ascii="宋体" w:hAnsi="宋体" w:eastAsia="宋体" w:cs="宋体"/>
          <w:b/>
          <w:bCs/>
          <w:sz w:val="21"/>
          <w:szCs w:val="21"/>
        </w:rPr>
        <w:t>2、持续和非持续第一层次公允价值计量项目市价的确定依据</w:t>
      </w:r>
      <w:bookmarkEnd w:id="307"/>
    </w:p>
    <w:p>
      <w:pPr>
        <w:pStyle w:val="2"/>
        <w:keepNext w:val="0"/>
        <w:keepLines w:val="0"/>
        <w:widowControl/>
        <w:suppressLineNumbers w:val="0"/>
        <w:spacing w:before="15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相同资产或负债在活跃市场上未经调整的报价。</w:t>
      </w:r>
    </w:p>
    <w:p>
      <w:pPr>
        <w:keepNext/>
        <w:keepLines/>
        <w:spacing w:before="300" w:after="300" w:line="280" w:lineRule="exact"/>
        <w:jc w:val="left"/>
        <w:outlineLvl w:val="2"/>
        <w:rPr>
          <w:rFonts w:ascii="宋体" w:hAnsi="宋体" w:eastAsia="宋体" w:cs="宋体"/>
          <w:b/>
          <w:bCs/>
          <w:sz w:val="21"/>
          <w:szCs w:val="21"/>
        </w:rPr>
      </w:pPr>
      <w:bookmarkStart w:id="308" w:name="_Toc989283"/>
      <w:r>
        <w:rPr>
          <w:rFonts w:ascii="宋体" w:hAnsi="宋体" w:eastAsia="宋体" w:cs="宋体"/>
          <w:b/>
          <w:bCs/>
          <w:sz w:val="21"/>
          <w:szCs w:val="21"/>
        </w:rPr>
        <w:t>3、持续和非持续第二层次公允价值计量项目，采用的估值技术和重要参数的定性及定量信息</w:t>
      </w:r>
      <w:bookmarkEnd w:id="308"/>
    </w:p>
    <w:p>
      <w:pPr>
        <w:pStyle w:val="2"/>
        <w:keepNext w:val="0"/>
        <w:keepLines w:val="0"/>
        <w:widowControl/>
        <w:suppressLineNumbers w:val="0"/>
        <w:spacing w:before="15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除第一层次输入值外相关资产或负债直接或间接可观察的输入值。</w:t>
      </w:r>
    </w:p>
    <w:p>
      <w:pPr>
        <w:keepNext/>
        <w:keepLines/>
        <w:spacing w:before="300" w:after="300" w:line="280" w:lineRule="exact"/>
        <w:jc w:val="left"/>
        <w:outlineLvl w:val="2"/>
        <w:rPr>
          <w:rFonts w:ascii="宋体" w:hAnsi="宋体" w:eastAsia="宋体" w:cs="宋体"/>
          <w:b/>
          <w:bCs/>
          <w:sz w:val="21"/>
          <w:szCs w:val="21"/>
        </w:rPr>
      </w:pPr>
      <w:bookmarkStart w:id="309" w:name="_Toc989284"/>
      <w:r>
        <w:rPr>
          <w:rFonts w:ascii="宋体" w:hAnsi="宋体" w:eastAsia="宋体" w:cs="宋体"/>
          <w:b/>
          <w:bCs/>
          <w:sz w:val="21"/>
          <w:szCs w:val="21"/>
        </w:rPr>
        <w:t>4、持续和非持续第三层次公允价值计量项目，采用的估值技术和重要参数的定性及定量信息</w:t>
      </w:r>
      <w:bookmarkEnd w:id="309"/>
    </w:p>
    <w:p>
      <w:pPr>
        <w:pStyle w:val="2"/>
        <w:keepNext w:val="0"/>
        <w:keepLines w:val="0"/>
        <w:widowControl/>
        <w:suppressLineNumbers w:val="0"/>
        <w:spacing w:before="15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采用第三层次公允价值计量的资产系公司持有的应收款项融资，其剩余期限较短，账面价值与公允价值相近。</w:t>
      </w:r>
    </w:p>
    <w:p>
      <w:pPr>
        <w:keepNext/>
        <w:keepLines/>
        <w:spacing w:before="300" w:after="300" w:line="280" w:lineRule="exact"/>
        <w:jc w:val="left"/>
        <w:outlineLvl w:val="2"/>
        <w:rPr>
          <w:rFonts w:ascii="宋体" w:hAnsi="宋体" w:eastAsia="宋体" w:cs="宋体"/>
          <w:b/>
          <w:bCs/>
          <w:sz w:val="21"/>
          <w:szCs w:val="21"/>
        </w:rPr>
      </w:pPr>
      <w:bookmarkStart w:id="310" w:name="_Toc989285"/>
      <w:r>
        <w:rPr>
          <w:rFonts w:ascii="宋体" w:hAnsi="宋体" w:eastAsia="宋体" w:cs="宋体"/>
          <w:b/>
          <w:bCs/>
          <w:sz w:val="21"/>
          <w:szCs w:val="21"/>
        </w:rPr>
        <w:t>5、持续的第三层次公允价值计量项目，期初与期末账面价值间的调节信息及不可观察参数敏感性分析</w:t>
      </w:r>
      <w:bookmarkEnd w:id="310"/>
    </w:p>
    <w:p>
      <w:pPr>
        <w:keepNext/>
        <w:keepLines/>
        <w:spacing w:before="300" w:after="300" w:line="280" w:lineRule="exact"/>
        <w:jc w:val="left"/>
        <w:outlineLvl w:val="2"/>
        <w:rPr>
          <w:rFonts w:ascii="宋体" w:hAnsi="宋体" w:eastAsia="宋体" w:cs="宋体"/>
          <w:b/>
          <w:bCs/>
          <w:sz w:val="21"/>
          <w:szCs w:val="21"/>
        </w:rPr>
      </w:pPr>
      <w:bookmarkStart w:id="311" w:name="_Toc989286"/>
      <w:r>
        <w:rPr>
          <w:rFonts w:ascii="宋体" w:hAnsi="宋体" w:eastAsia="宋体" w:cs="宋体"/>
          <w:b/>
          <w:bCs/>
          <w:sz w:val="21"/>
          <w:szCs w:val="21"/>
        </w:rPr>
        <w:t>6、持续的公允价值计量项目，本期内发生各层级之间转换的，转换的原因及确定转换时点的政策</w:t>
      </w:r>
      <w:bookmarkEnd w:id="311"/>
    </w:p>
    <w:p>
      <w:pPr>
        <w:keepNext/>
        <w:keepLines/>
        <w:spacing w:before="300" w:after="300" w:line="280" w:lineRule="exact"/>
        <w:jc w:val="left"/>
        <w:outlineLvl w:val="2"/>
        <w:rPr>
          <w:rFonts w:ascii="宋体" w:hAnsi="宋体" w:eastAsia="宋体" w:cs="宋体"/>
          <w:b/>
          <w:bCs/>
          <w:sz w:val="21"/>
          <w:szCs w:val="21"/>
        </w:rPr>
      </w:pPr>
      <w:bookmarkStart w:id="312" w:name="_Toc989287"/>
      <w:r>
        <w:rPr>
          <w:rFonts w:ascii="宋体" w:hAnsi="宋体" w:eastAsia="宋体" w:cs="宋体"/>
          <w:b/>
          <w:bCs/>
          <w:sz w:val="21"/>
          <w:szCs w:val="21"/>
        </w:rPr>
        <w:t>7、本期内发生的估值技术变更及变更原因</w:t>
      </w:r>
      <w:bookmarkEnd w:id="312"/>
    </w:p>
    <w:p>
      <w:pPr>
        <w:keepNext/>
        <w:keepLines/>
        <w:spacing w:before="300" w:after="300" w:line="280" w:lineRule="exact"/>
        <w:jc w:val="left"/>
        <w:outlineLvl w:val="2"/>
        <w:rPr>
          <w:rFonts w:ascii="宋体" w:hAnsi="宋体" w:eastAsia="宋体" w:cs="宋体"/>
          <w:b/>
          <w:bCs/>
          <w:sz w:val="21"/>
          <w:szCs w:val="21"/>
        </w:rPr>
      </w:pPr>
      <w:bookmarkStart w:id="313" w:name="_Toc989288"/>
      <w:r>
        <w:rPr>
          <w:rFonts w:ascii="宋体" w:hAnsi="宋体" w:eastAsia="宋体" w:cs="宋体"/>
          <w:b/>
          <w:bCs/>
          <w:sz w:val="21"/>
          <w:szCs w:val="21"/>
        </w:rPr>
        <w:t>8、不以公允价值计量的金融资产和金融负债的公允价值情况</w:t>
      </w:r>
      <w:bookmarkEnd w:id="313"/>
    </w:p>
    <w:p>
      <w:pPr>
        <w:keepNext/>
        <w:keepLines/>
        <w:spacing w:before="300" w:after="300" w:line="280" w:lineRule="exact"/>
        <w:jc w:val="left"/>
        <w:outlineLvl w:val="2"/>
        <w:rPr>
          <w:rFonts w:ascii="宋体" w:hAnsi="宋体" w:eastAsia="宋体" w:cs="宋体"/>
          <w:b/>
          <w:bCs/>
          <w:sz w:val="21"/>
          <w:szCs w:val="21"/>
        </w:rPr>
      </w:pPr>
      <w:bookmarkStart w:id="314" w:name="_Toc989289"/>
      <w:r>
        <w:rPr>
          <w:rFonts w:ascii="宋体" w:hAnsi="宋体" w:eastAsia="宋体" w:cs="宋体"/>
          <w:b/>
          <w:bCs/>
          <w:sz w:val="21"/>
          <w:szCs w:val="21"/>
        </w:rPr>
        <w:t>9、其他</w:t>
      </w:r>
      <w:bookmarkEnd w:id="314"/>
    </w:p>
    <w:p>
      <w:pPr>
        <w:keepNext/>
        <w:keepLines/>
        <w:spacing w:before="300" w:after="300" w:line="320" w:lineRule="exact"/>
        <w:jc w:val="left"/>
        <w:outlineLvl w:val="1"/>
        <w:rPr>
          <w:rFonts w:ascii="宋体" w:hAnsi="宋体" w:eastAsia="宋体" w:cs="宋体"/>
          <w:b/>
          <w:bCs/>
          <w:sz w:val="24"/>
          <w:szCs w:val="24"/>
        </w:rPr>
      </w:pPr>
      <w:bookmarkStart w:id="315" w:name="_Toc989290"/>
      <w:r>
        <w:rPr>
          <w:rFonts w:ascii="宋体" w:hAnsi="宋体" w:eastAsia="宋体" w:cs="宋体"/>
          <w:b/>
          <w:bCs/>
          <w:sz w:val="24"/>
          <w:szCs w:val="24"/>
        </w:rPr>
        <w:t>十二、关联方及关联交易</w:t>
      </w:r>
      <w:bookmarkEnd w:id="315"/>
    </w:p>
    <w:p>
      <w:pPr>
        <w:keepNext/>
        <w:keepLines/>
        <w:spacing w:before="300" w:after="300" w:line="280" w:lineRule="exact"/>
        <w:jc w:val="left"/>
        <w:outlineLvl w:val="2"/>
        <w:rPr>
          <w:rFonts w:ascii="宋体" w:hAnsi="宋体" w:eastAsia="宋体" w:cs="宋体"/>
          <w:b/>
          <w:bCs/>
          <w:sz w:val="21"/>
          <w:szCs w:val="21"/>
        </w:rPr>
      </w:pPr>
      <w:bookmarkStart w:id="316" w:name="_Toc989291"/>
      <w:r>
        <w:rPr>
          <w:rFonts w:ascii="宋体" w:hAnsi="宋体" w:eastAsia="宋体" w:cs="宋体"/>
          <w:b/>
          <w:bCs/>
          <w:sz w:val="21"/>
          <w:szCs w:val="21"/>
        </w:rPr>
        <w:t>1、本企业的母公司情况</w:t>
      </w:r>
      <w:bookmarkEnd w:id="316"/>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母公司对本企业的持股比例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母公司对本企业的表决权比例</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本企业的母公司情况的说明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本企业最终控制方是范庆伟家族。</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tbl>
      <w:tblPr>
        <w:tblW w:w="893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151"/>
        <w:gridCol w:w="2260"/>
        <w:gridCol w:w="2535"/>
        <w:gridCol w:w="19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trHeight w:val="454" w:hRule="atLeast"/>
        </w:trPr>
        <w:tc>
          <w:tcPr>
            <w:tcW w:w="215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1" w:after="0" w:afterAutospacing="1"/>
              <w:ind w:left="0" w:right="0"/>
              <w:jc w:val="center"/>
            </w:pPr>
            <w:r>
              <w:rPr>
                <w:rStyle w:val="5"/>
                <w:rFonts w:hint="eastAsia" w:ascii="宋体" w:hAnsi="宋体" w:eastAsia="宋体" w:cs="宋体"/>
                <w:sz w:val="18"/>
                <w:szCs w:val="18"/>
              </w:rPr>
              <w:t>本公司实际控制人</w:t>
            </w:r>
          </w:p>
        </w:tc>
        <w:tc>
          <w:tcPr>
            <w:tcW w:w="226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1" w:after="0" w:afterAutospacing="1"/>
              <w:ind w:left="0" w:right="0"/>
              <w:jc w:val="center"/>
            </w:pPr>
            <w:r>
              <w:rPr>
                <w:rStyle w:val="5"/>
                <w:rFonts w:hint="eastAsia" w:ascii="宋体" w:hAnsi="宋体" w:eastAsia="宋体" w:cs="宋体"/>
                <w:sz w:val="18"/>
                <w:szCs w:val="18"/>
              </w:rPr>
              <w:t>对本公司的持股比例（%）</w:t>
            </w:r>
          </w:p>
        </w:tc>
        <w:tc>
          <w:tcPr>
            <w:tcW w:w="253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1" w:after="0" w:afterAutospacing="1"/>
              <w:ind w:left="0" w:right="0"/>
              <w:jc w:val="center"/>
            </w:pPr>
            <w:r>
              <w:rPr>
                <w:rStyle w:val="5"/>
                <w:rFonts w:hint="eastAsia" w:ascii="宋体" w:hAnsi="宋体" w:eastAsia="宋体" w:cs="宋体"/>
                <w:sz w:val="18"/>
                <w:szCs w:val="18"/>
              </w:rPr>
              <w:t>对本公司的表决权比例（%）</w:t>
            </w:r>
          </w:p>
        </w:tc>
        <w:tc>
          <w:tcPr>
            <w:tcW w:w="198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1" w:after="0" w:afterAutospacing="1"/>
              <w:ind w:left="0" w:right="0"/>
              <w:jc w:val="center"/>
            </w:pPr>
            <w:r>
              <w:rPr>
                <w:rStyle w:val="5"/>
                <w:rFonts w:hint="eastAsia" w:ascii="宋体" w:hAnsi="宋体" w:eastAsia="宋体" w:cs="宋体"/>
                <w:sz w:val="18"/>
                <w:szCs w:val="18"/>
              </w:rPr>
              <w:t>本公司最终控制方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8"/>
                <w:szCs w:val="18"/>
              </w:rPr>
              <w:t>范庆伟家族</w:t>
            </w:r>
          </w:p>
        </w:tc>
        <w:tc>
          <w:tcPr>
            <w:tcW w:w="2260"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64.73</w:t>
            </w:r>
          </w:p>
        </w:tc>
        <w:tc>
          <w:tcPr>
            <w:tcW w:w="2535"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64.73</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范庆伟家族</w:t>
            </w:r>
          </w:p>
        </w:tc>
      </w:tr>
    </w:tbl>
    <w:p>
      <w:pPr>
        <w:keepNext/>
        <w:keepLines/>
        <w:spacing w:before="300" w:after="300" w:line="280" w:lineRule="exact"/>
        <w:jc w:val="left"/>
        <w:outlineLvl w:val="2"/>
        <w:rPr>
          <w:rFonts w:ascii="宋体" w:hAnsi="宋体" w:eastAsia="宋体" w:cs="宋体"/>
          <w:b/>
          <w:bCs/>
          <w:sz w:val="21"/>
          <w:szCs w:val="21"/>
        </w:rPr>
      </w:pPr>
      <w:bookmarkStart w:id="317" w:name="_Toc989292"/>
      <w:r>
        <w:rPr>
          <w:rFonts w:ascii="宋体" w:hAnsi="宋体" w:eastAsia="宋体" w:cs="宋体"/>
          <w:b/>
          <w:bCs/>
          <w:sz w:val="21"/>
          <w:szCs w:val="21"/>
        </w:rPr>
        <w:t>2、本企业的子公司情况</w:t>
      </w:r>
      <w:bookmarkEnd w:id="317"/>
    </w:p>
    <w:p>
      <w:pPr>
        <w:spacing w:before="40" w:after="40" w:line="240" w:lineRule="exact"/>
        <w:jc w:val="left"/>
        <w:rPr>
          <w:rFonts w:ascii="宋体" w:hAnsi="宋体" w:eastAsia="宋体" w:cs="宋体"/>
          <w:sz w:val="18"/>
          <w:szCs w:val="18"/>
        </w:rPr>
      </w:pPr>
      <w:r>
        <w:rPr>
          <w:rFonts w:ascii="宋体" w:hAnsi="宋体" w:eastAsia="宋体" w:cs="宋体"/>
          <w:sz w:val="18"/>
          <w:szCs w:val="18"/>
        </w:rPr>
        <w:t>本企业子公司的情况详见附注附注九、在其他主体中的权益。</w:t>
      </w:r>
    </w:p>
    <w:p>
      <w:pPr>
        <w:keepNext/>
        <w:keepLines/>
        <w:spacing w:before="300" w:after="300" w:line="280" w:lineRule="exact"/>
        <w:jc w:val="left"/>
        <w:outlineLvl w:val="2"/>
        <w:rPr>
          <w:rFonts w:ascii="宋体" w:hAnsi="宋体" w:eastAsia="宋体" w:cs="宋体"/>
          <w:b/>
          <w:bCs/>
          <w:sz w:val="21"/>
          <w:szCs w:val="21"/>
        </w:rPr>
      </w:pPr>
      <w:bookmarkStart w:id="318" w:name="_Toc989293"/>
      <w:r>
        <w:rPr>
          <w:rFonts w:ascii="宋体" w:hAnsi="宋体" w:eastAsia="宋体" w:cs="宋体"/>
          <w:b/>
          <w:bCs/>
          <w:sz w:val="21"/>
          <w:szCs w:val="21"/>
        </w:rPr>
        <w:t>3、本企业合营和联营企业情况</w:t>
      </w:r>
      <w:bookmarkEnd w:id="318"/>
    </w:p>
    <w:p>
      <w:pPr>
        <w:spacing w:before="40" w:after="40" w:line="240" w:lineRule="exact"/>
        <w:jc w:val="left"/>
        <w:rPr>
          <w:rFonts w:ascii="宋体" w:hAnsi="宋体" w:eastAsia="宋体" w:cs="宋体"/>
          <w:sz w:val="18"/>
          <w:szCs w:val="18"/>
        </w:rPr>
      </w:pPr>
      <w:r>
        <w:rPr>
          <w:rFonts w:ascii="宋体" w:hAnsi="宋体" w:eastAsia="宋体" w:cs="宋体"/>
          <w:sz w:val="18"/>
          <w:szCs w:val="18"/>
        </w:rPr>
        <w:t>本企业重要的合营或联营企业详见附注。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本期与本公司发生关联方交易，或前期与本公司发生关联方交易形成余额的其他合营或联营企业情况如下：</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合营或联营企业名称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与本企业关系</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9" w:name="_Toc989294"/>
      <w:r>
        <w:rPr>
          <w:rFonts w:ascii="宋体" w:hAnsi="宋体" w:eastAsia="宋体" w:cs="宋体"/>
          <w:b/>
          <w:bCs/>
          <w:sz w:val="21"/>
          <w:szCs w:val="21"/>
        </w:rPr>
        <w:t>4、其他关联方情况</w:t>
      </w:r>
      <w:bookmarkEnd w:id="319"/>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公司股东、实际控制人家族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江西惠隆企业管理有限公司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持有公司5%以上股份股东、实际控制人控制的公司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青岛天海峰商贸有限公司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公司高管迟娜娜配偶李侃控制的公司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昌邑恒丽非织造布有限公司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董事及总经理李会君之兄李会贤担任董事的公司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兰州鑫驰商贸有限公司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董事迟娜娜之兄嫂金巧控制的公司</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0" w:name="_Toc989295"/>
      <w:r>
        <w:rPr>
          <w:rFonts w:ascii="宋体" w:hAnsi="宋体" w:eastAsia="宋体" w:cs="宋体"/>
          <w:b/>
          <w:bCs/>
          <w:sz w:val="21"/>
          <w:szCs w:val="21"/>
        </w:rPr>
        <w:t>5、关联交易情况</w:t>
      </w:r>
      <w:bookmarkEnd w:id="320"/>
    </w:p>
    <w:p>
      <w:pPr>
        <w:keepNext/>
        <w:keepLines/>
        <w:spacing w:before="300" w:after="300" w:line="280" w:lineRule="exact"/>
        <w:jc w:val="left"/>
        <w:outlineLvl w:val="3"/>
        <w:rPr>
          <w:rFonts w:ascii="宋体" w:hAnsi="宋体" w:eastAsia="宋体" w:cs="宋体"/>
          <w:b/>
          <w:bCs/>
          <w:sz w:val="21"/>
          <w:szCs w:val="21"/>
        </w:rPr>
      </w:pPr>
      <w:bookmarkStart w:id="321" w:name="_Toc989296"/>
      <w:r>
        <w:rPr>
          <w:rFonts w:ascii="宋体" w:hAnsi="宋体" w:eastAsia="宋体" w:cs="宋体"/>
          <w:b/>
          <w:bCs/>
          <w:sz w:val="21"/>
          <w:szCs w:val="21"/>
        </w:rPr>
        <w:t>（1） 购销商品、提供和接受劳务的关联交易</w:t>
      </w:r>
      <w:bookmarkEnd w:id="321"/>
    </w:p>
    <w:p>
      <w:pPr>
        <w:spacing w:before="40" w:after="40" w:line="240" w:lineRule="exact"/>
        <w:jc w:val="left"/>
        <w:rPr>
          <w:rFonts w:ascii="宋体" w:hAnsi="宋体" w:eastAsia="宋体" w:cs="宋体"/>
          <w:sz w:val="18"/>
          <w:szCs w:val="18"/>
        </w:rPr>
      </w:pPr>
      <w:r>
        <w:rPr>
          <w:rFonts w:ascii="宋体" w:hAnsi="宋体" w:eastAsia="宋体" w:cs="宋体"/>
          <w:sz w:val="18"/>
          <w:szCs w:val="18"/>
        </w:rPr>
        <w:t>采购商品/接受劳务情况表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获批的交易额度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是否超过交易额度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出售商品/提供劳务情况表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购销商品、提供和接受劳务的关联交易说明</w:t>
      </w:r>
    </w:p>
    <w:p>
      <w:pPr>
        <w:keepNext/>
        <w:keepLines/>
        <w:spacing w:before="300" w:after="300" w:line="280" w:lineRule="exact"/>
        <w:jc w:val="left"/>
        <w:outlineLvl w:val="3"/>
        <w:rPr>
          <w:rFonts w:ascii="宋体" w:hAnsi="宋体" w:eastAsia="宋体" w:cs="宋体"/>
          <w:b/>
          <w:bCs/>
          <w:sz w:val="21"/>
          <w:szCs w:val="21"/>
        </w:rPr>
      </w:pPr>
      <w:bookmarkStart w:id="322" w:name="_Toc989297"/>
      <w:r>
        <w:rPr>
          <w:rFonts w:ascii="宋体" w:hAnsi="宋体" w:eastAsia="宋体" w:cs="宋体"/>
          <w:b/>
          <w:bCs/>
          <w:sz w:val="21"/>
          <w:szCs w:val="21"/>
        </w:rPr>
        <w:t>（2） 关联受托管理/承包及委托管理/出包情况</w:t>
      </w:r>
      <w:bookmarkEnd w:id="322"/>
    </w:p>
    <w:p>
      <w:pPr>
        <w:spacing w:before="40" w:after="40" w:line="240" w:lineRule="exact"/>
        <w:jc w:val="left"/>
        <w:rPr>
          <w:rFonts w:ascii="宋体" w:hAnsi="宋体" w:eastAsia="宋体" w:cs="宋体"/>
          <w:sz w:val="18"/>
          <w:szCs w:val="18"/>
        </w:rPr>
      </w:pPr>
      <w:r>
        <w:rPr>
          <w:rFonts w:ascii="宋体" w:hAnsi="宋体" w:eastAsia="宋体" w:cs="宋体"/>
          <w:sz w:val="18"/>
          <w:szCs w:val="18"/>
        </w:rPr>
        <w:t>本公司受托管理/承包情况表：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受托/承包资产类型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受托/承包起始日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受托/承包终止日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托管收益/承包收益定价依据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本期确认的托管收益/承包收益</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关联托管/承包情况说明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本公司委托管理/出包情况表：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托管费/出包费定价依据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本期确认的托管费/出包费</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关联管理/出包情况说明</w:t>
      </w:r>
    </w:p>
    <w:p>
      <w:pPr>
        <w:keepNext/>
        <w:keepLines/>
        <w:spacing w:before="300" w:after="300" w:line="280" w:lineRule="exact"/>
        <w:jc w:val="left"/>
        <w:outlineLvl w:val="3"/>
        <w:rPr>
          <w:rFonts w:ascii="宋体" w:hAnsi="宋体" w:eastAsia="宋体" w:cs="宋体"/>
          <w:b/>
          <w:bCs/>
          <w:sz w:val="21"/>
          <w:szCs w:val="21"/>
        </w:rPr>
      </w:pPr>
      <w:bookmarkStart w:id="323" w:name="_Toc989298"/>
      <w:r>
        <w:rPr>
          <w:rFonts w:ascii="宋体" w:hAnsi="宋体" w:eastAsia="宋体" w:cs="宋体"/>
          <w:b/>
          <w:bCs/>
          <w:sz w:val="21"/>
          <w:szCs w:val="21"/>
        </w:rPr>
        <w:t>（3） 关联租赁情况</w:t>
      </w:r>
      <w:bookmarkEnd w:id="323"/>
    </w:p>
    <w:p>
      <w:pPr>
        <w:spacing w:before="40" w:after="40" w:line="240" w:lineRule="exact"/>
        <w:jc w:val="left"/>
        <w:rPr>
          <w:rFonts w:ascii="宋体" w:hAnsi="宋体" w:eastAsia="宋体" w:cs="宋体"/>
          <w:sz w:val="18"/>
          <w:szCs w:val="18"/>
        </w:rPr>
      </w:pPr>
      <w:r>
        <w:rPr>
          <w:rFonts w:ascii="宋体" w:hAnsi="宋体" w:eastAsia="宋体" w:cs="宋体"/>
          <w:sz w:val="18"/>
          <w:szCs w:val="18"/>
        </w:rPr>
        <w:t>本公司作为出租方：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承租方名称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本期确认的租赁收入</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上期确认的租赁收入</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本公司作为承租方：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出租方名称</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简化处理的短期租赁和低价值资产租赁的租金费用（如适用）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未纳入租赁负债计量的可变租赁付款额（如适用）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支付的租金</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承担的租赁负债利息支出</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增加的使用权资产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vAlign w:val="center"/>
          </w:tcPr>
          <w:p/>
        </w:tc>
        <w:tc>
          <w:tcPr>
            <w:tcW w:w="803" w:type="dxa"/>
            <w:vMerge w:val="continue"/>
            <w:tcBorders>
              <w:top w:val="single" w:color="auto" w:sz="2" w:space="0"/>
              <w:left w:val="single" w:color="auto" w:sz="2" w:space="0"/>
              <w:bottom w:val="single" w:color="auto" w:sz="2" w:space="0"/>
              <w:right w:val="single" w:color="auto" w:sz="2" w:space="0"/>
            </w:tcBorders>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关联租赁情况说明</w:t>
      </w:r>
    </w:p>
    <w:p>
      <w:pPr>
        <w:keepNext/>
        <w:keepLines/>
        <w:spacing w:before="300" w:after="300" w:line="280" w:lineRule="exact"/>
        <w:jc w:val="left"/>
        <w:outlineLvl w:val="3"/>
        <w:rPr>
          <w:rFonts w:ascii="宋体" w:hAnsi="宋体" w:eastAsia="宋体" w:cs="宋体"/>
          <w:b/>
          <w:bCs/>
          <w:sz w:val="21"/>
          <w:szCs w:val="21"/>
        </w:rPr>
      </w:pPr>
      <w:bookmarkStart w:id="324" w:name="_Toc989299"/>
      <w:r>
        <w:rPr>
          <w:rFonts w:ascii="宋体" w:hAnsi="宋体" w:eastAsia="宋体" w:cs="宋体"/>
          <w:b/>
          <w:bCs/>
          <w:sz w:val="21"/>
          <w:szCs w:val="21"/>
        </w:rPr>
        <w:t>（4） 关联担保情况</w:t>
      </w:r>
      <w:bookmarkEnd w:id="324"/>
    </w:p>
    <w:p>
      <w:pPr>
        <w:spacing w:before="40" w:after="40" w:line="240" w:lineRule="exact"/>
        <w:jc w:val="left"/>
        <w:rPr>
          <w:rFonts w:ascii="宋体" w:hAnsi="宋体" w:eastAsia="宋体" w:cs="宋体"/>
          <w:sz w:val="18"/>
          <w:szCs w:val="18"/>
        </w:rPr>
      </w:pPr>
      <w:r>
        <w:rPr>
          <w:rFonts w:ascii="宋体" w:hAnsi="宋体" w:eastAsia="宋体" w:cs="宋体"/>
          <w:sz w:val="18"/>
          <w:szCs w:val="18"/>
        </w:rPr>
        <w:t>本公司作为担保方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担保是否已经履行完毕</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本公司作为被担保方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担保是否已经履行完毕</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关联担保情况说明</w:t>
      </w:r>
    </w:p>
    <w:p>
      <w:pPr>
        <w:keepNext/>
        <w:keepLines/>
        <w:spacing w:before="300" w:after="300" w:line="280" w:lineRule="exact"/>
        <w:jc w:val="left"/>
        <w:outlineLvl w:val="3"/>
        <w:rPr>
          <w:rFonts w:ascii="宋体" w:hAnsi="宋体" w:eastAsia="宋体" w:cs="宋体"/>
          <w:b/>
          <w:bCs/>
          <w:sz w:val="21"/>
          <w:szCs w:val="21"/>
        </w:rPr>
      </w:pPr>
      <w:bookmarkStart w:id="325" w:name="_Toc989300"/>
      <w:r>
        <w:rPr>
          <w:rFonts w:ascii="宋体" w:hAnsi="宋体" w:eastAsia="宋体" w:cs="宋体"/>
          <w:b/>
          <w:bCs/>
          <w:sz w:val="21"/>
          <w:szCs w:val="21"/>
        </w:rPr>
        <w:t>（5） 关联方资金拆借</w:t>
      </w:r>
      <w:bookmarkEnd w:id="32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拆借金额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拆入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拆出</w:t>
            </w:r>
          </w:p>
        </w:tc>
      </w:tr>
    </w:tbl>
    <w:p>
      <w:pPr>
        <w:keepNext/>
        <w:keepLines/>
        <w:spacing w:before="300" w:after="300" w:line="280" w:lineRule="exact"/>
        <w:jc w:val="left"/>
        <w:outlineLvl w:val="3"/>
        <w:rPr>
          <w:rFonts w:ascii="宋体" w:hAnsi="宋体" w:eastAsia="宋体" w:cs="宋体"/>
          <w:b/>
          <w:bCs/>
          <w:sz w:val="21"/>
          <w:szCs w:val="21"/>
        </w:rPr>
      </w:pPr>
      <w:bookmarkStart w:id="326" w:name="_Toc989301"/>
      <w:r>
        <w:rPr>
          <w:rFonts w:ascii="宋体" w:hAnsi="宋体" w:eastAsia="宋体" w:cs="宋体"/>
          <w:b/>
          <w:bCs/>
          <w:sz w:val="21"/>
          <w:szCs w:val="21"/>
        </w:rPr>
        <w:t>（6） 关联方资产转让、债务重组情况</w:t>
      </w:r>
      <w:bookmarkEnd w:id="32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keepNext/>
        <w:keepLines/>
        <w:spacing w:before="300" w:after="300" w:line="280" w:lineRule="exact"/>
        <w:jc w:val="left"/>
        <w:outlineLvl w:val="3"/>
        <w:rPr>
          <w:rFonts w:ascii="宋体" w:hAnsi="宋体" w:eastAsia="宋体" w:cs="宋体"/>
          <w:b/>
          <w:bCs/>
          <w:sz w:val="21"/>
          <w:szCs w:val="21"/>
        </w:rPr>
      </w:pPr>
      <w:bookmarkStart w:id="327" w:name="_Toc989302"/>
      <w:r>
        <w:rPr>
          <w:rFonts w:ascii="宋体" w:hAnsi="宋体" w:eastAsia="宋体" w:cs="宋体"/>
          <w:b/>
          <w:bCs/>
          <w:sz w:val="21"/>
          <w:szCs w:val="21"/>
        </w:rPr>
        <w:t>（7） 关键管理人员报酬</w:t>
      </w:r>
      <w:bookmarkEnd w:id="32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keepNext/>
        <w:keepLines/>
        <w:spacing w:before="300" w:after="300" w:line="280" w:lineRule="exact"/>
        <w:jc w:val="left"/>
        <w:outlineLvl w:val="3"/>
        <w:rPr>
          <w:rFonts w:ascii="宋体" w:hAnsi="宋体" w:eastAsia="宋体" w:cs="宋体"/>
          <w:b/>
          <w:bCs/>
          <w:sz w:val="21"/>
          <w:szCs w:val="21"/>
        </w:rPr>
      </w:pPr>
      <w:bookmarkStart w:id="328" w:name="_Toc989303"/>
      <w:r>
        <w:rPr>
          <w:rFonts w:ascii="宋体" w:hAnsi="宋体" w:eastAsia="宋体" w:cs="宋体"/>
          <w:b/>
          <w:bCs/>
          <w:sz w:val="21"/>
          <w:szCs w:val="21"/>
        </w:rPr>
        <w:t>（8） 其他关联交易</w:t>
      </w:r>
      <w:bookmarkEnd w:id="328"/>
    </w:p>
    <w:p>
      <w:pPr>
        <w:keepNext/>
        <w:keepLines/>
        <w:spacing w:before="300" w:after="300" w:line="280" w:lineRule="exact"/>
        <w:jc w:val="left"/>
        <w:outlineLvl w:val="2"/>
        <w:rPr>
          <w:rFonts w:ascii="宋体" w:hAnsi="宋体" w:eastAsia="宋体" w:cs="宋体"/>
          <w:b/>
          <w:bCs/>
          <w:sz w:val="21"/>
          <w:szCs w:val="21"/>
        </w:rPr>
      </w:pPr>
      <w:bookmarkStart w:id="329" w:name="_Toc989304"/>
      <w:r>
        <w:rPr>
          <w:rFonts w:ascii="宋体" w:hAnsi="宋体" w:eastAsia="宋体" w:cs="宋体"/>
          <w:b/>
          <w:bCs/>
          <w:sz w:val="21"/>
          <w:szCs w:val="21"/>
        </w:rPr>
        <w:t>6、关联方应收应付款项</w:t>
      </w:r>
      <w:bookmarkEnd w:id="329"/>
    </w:p>
    <w:p>
      <w:pPr>
        <w:keepNext/>
        <w:keepLines/>
        <w:spacing w:before="300" w:after="300" w:line="280" w:lineRule="exact"/>
        <w:jc w:val="left"/>
        <w:outlineLvl w:val="3"/>
        <w:rPr>
          <w:rFonts w:ascii="宋体" w:hAnsi="宋体" w:eastAsia="宋体" w:cs="宋体"/>
          <w:b/>
          <w:bCs/>
          <w:sz w:val="21"/>
          <w:szCs w:val="21"/>
        </w:rPr>
      </w:pPr>
      <w:bookmarkStart w:id="330" w:name="_Toc989305"/>
      <w:r>
        <w:rPr>
          <w:rFonts w:ascii="宋体" w:hAnsi="宋体" w:eastAsia="宋体" w:cs="宋体"/>
          <w:b/>
          <w:bCs/>
          <w:sz w:val="21"/>
          <w:szCs w:val="21"/>
        </w:rPr>
        <w:t>（1） 应收项目</w:t>
      </w:r>
      <w:bookmarkEnd w:id="33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r>
    </w:tbl>
    <w:p>
      <w:pPr>
        <w:keepNext/>
        <w:keepLines/>
        <w:spacing w:before="300" w:after="300" w:line="280" w:lineRule="exact"/>
        <w:jc w:val="left"/>
        <w:outlineLvl w:val="3"/>
        <w:rPr>
          <w:rFonts w:ascii="宋体" w:hAnsi="宋体" w:eastAsia="宋体" w:cs="宋体"/>
          <w:b/>
          <w:bCs/>
          <w:sz w:val="21"/>
          <w:szCs w:val="21"/>
        </w:rPr>
      </w:pPr>
      <w:bookmarkStart w:id="331" w:name="_Toc989306"/>
      <w:r>
        <w:rPr>
          <w:rFonts w:ascii="宋体" w:hAnsi="宋体" w:eastAsia="宋体" w:cs="宋体"/>
          <w:b/>
          <w:bCs/>
          <w:sz w:val="21"/>
          <w:szCs w:val="21"/>
        </w:rPr>
        <w:t>（2） 应付项目</w:t>
      </w:r>
      <w:bookmarkEnd w:id="33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bl>
    <w:p>
      <w:pPr>
        <w:keepNext/>
        <w:keepLines/>
        <w:spacing w:before="300" w:after="300" w:line="280" w:lineRule="exact"/>
        <w:jc w:val="left"/>
        <w:outlineLvl w:val="2"/>
        <w:rPr>
          <w:rFonts w:ascii="宋体" w:hAnsi="宋体" w:eastAsia="宋体" w:cs="宋体"/>
          <w:b/>
          <w:bCs/>
          <w:sz w:val="21"/>
          <w:szCs w:val="21"/>
        </w:rPr>
      </w:pPr>
      <w:bookmarkStart w:id="332" w:name="_Toc989307"/>
      <w:r>
        <w:rPr>
          <w:rFonts w:ascii="宋体" w:hAnsi="宋体" w:eastAsia="宋体" w:cs="宋体"/>
          <w:b/>
          <w:bCs/>
          <w:sz w:val="21"/>
          <w:szCs w:val="21"/>
        </w:rPr>
        <w:t>7、关联方承诺</w:t>
      </w:r>
      <w:bookmarkEnd w:id="332"/>
    </w:p>
    <w:p>
      <w:pPr>
        <w:keepNext/>
        <w:keepLines/>
        <w:spacing w:before="300" w:after="300" w:line="280" w:lineRule="exact"/>
        <w:jc w:val="left"/>
        <w:outlineLvl w:val="2"/>
        <w:rPr>
          <w:rFonts w:ascii="宋体" w:hAnsi="宋体" w:eastAsia="宋体" w:cs="宋体"/>
          <w:b/>
          <w:bCs/>
          <w:sz w:val="21"/>
          <w:szCs w:val="21"/>
        </w:rPr>
      </w:pPr>
      <w:bookmarkStart w:id="333" w:name="_Toc989308"/>
      <w:r>
        <w:rPr>
          <w:rFonts w:ascii="宋体" w:hAnsi="宋体" w:eastAsia="宋体" w:cs="宋体"/>
          <w:b/>
          <w:bCs/>
          <w:sz w:val="21"/>
          <w:szCs w:val="21"/>
        </w:rPr>
        <w:t>8、其他</w:t>
      </w:r>
      <w:bookmarkEnd w:id="333"/>
    </w:p>
    <w:p>
      <w:pPr>
        <w:keepNext/>
        <w:keepLines/>
        <w:spacing w:before="300" w:after="300" w:line="320" w:lineRule="exact"/>
        <w:jc w:val="left"/>
        <w:outlineLvl w:val="1"/>
        <w:rPr>
          <w:rFonts w:ascii="宋体" w:hAnsi="宋体" w:eastAsia="宋体" w:cs="宋体"/>
          <w:b/>
          <w:bCs/>
          <w:sz w:val="24"/>
          <w:szCs w:val="24"/>
        </w:rPr>
      </w:pPr>
      <w:bookmarkStart w:id="334" w:name="_Toc989309"/>
      <w:r>
        <w:rPr>
          <w:rFonts w:ascii="宋体" w:hAnsi="宋体" w:eastAsia="宋体" w:cs="宋体"/>
          <w:b/>
          <w:bCs/>
          <w:sz w:val="24"/>
          <w:szCs w:val="24"/>
        </w:rPr>
        <w:t>十三、股份支付</w:t>
      </w:r>
      <w:bookmarkEnd w:id="334"/>
    </w:p>
    <w:p>
      <w:pPr>
        <w:keepNext/>
        <w:keepLines/>
        <w:spacing w:before="300" w:after="300" w:line="280" w:lineRule="exact"/>
        <w:jc w:val="left"/>
        <w:outlineLvl w:val="2"/>
        <w:rPr>
          <w:rFonts w:ascii="宋体" w:hAnsi="宋体" w:eastAsia="宋体" w:cs="宋体"/>
          <w:b/>
          <w:bCs/>
          <w:sz w:val="21"/>
          <w:szCs w:val="21"/>
        </w:rPr>
      </w:pPr>
      <w:bookmarkStart w:id="335" w:name="_Toc989310"/>
      <w:r>
        <w:rPr>
          <w:rFonts w:ascii="宋体" w:hAnsi="宋体" w:eastAsia="宋体" w:cs="宋体"/>
          <w:b/>
          <w:bCs/>
          <w:sz w:val="21"/>
          <w:szCs w:val="21"/>
        </w:rPr>
        <w:t>1、股份支付总体情况</w:t>
      </w:r>
      <w:bookmarkEnd w:id="335"/>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公司本期授予的各项权益工具总额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公司本期行权的各项权益工具总额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公司本期失效的各项权益工具总额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公司期末发行在外的股票期权行权价格的范围和合同剩余期限</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公司期末发行在外的其他权益工具行权价格的范围和合同剩余期限</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注： 2021年9月28日，公司分别召开了第四届董事会第五次会议，审议通过了《关于〈公司2021年限制性股票激励计划（草案）及其摘要〉的议案》，2021年10月27日，公司召开第四届董事会第六次会议审议通过了《关于调整公司2021年限制性股票激励计划相关事项的议案》、《关于向激励对象授予限制性股票的议案》，向符合条件的80名激励对象授予272.00万股限制性股票，以2021年10月28日为授予日，授予价格为5.00元/股。</w:t>
      </w:r>
    </w:p>
    <w:p>
      <w:pPr>
        <w:keepNext/>
        <w:keepLines/>
        <w:spacing w:before="300" w:after="300" w:line="280" w:lineRule="exact"/>
        <w:jc w:val="left"/>
        <w:outlineLvl w:val="2"/>
        <w:rPr>
          <w:rFonts w:ascii="宋体" w:hAnsi="宋体" w:eastAsia="宋体" w:cs="宋体"/>
          <w:b/>
          <w:bCs/>
          <w:sz w:val="21"/>
          <w:szCs w:val="21"/>
        </w:rPr>
      </w:pPr>
      <w:bookmarkStart w:id="336" w:name="_Toc989311"/>
      <w:r>
        <w:rPr>
          <w:rFonts w:ascii="宋体" w:hAnsi="宋体" w:eastAsia="宋体" w:cs="宋体"/>
          <w:b/>
          <w:bCs/>
          <w:sz w:val="21"/>
          <w:szCs w:val="21"/>
        </w:rPr>
        <w:t>2、以权益结算的股份支付情况</w:t>
      </w:r>
      <w:bookmarkEnd w:id="336"/>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授予日权益工具公允价值的确定方法</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授予日股票市场价格与授予价格之差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可行权权益工具数量的确定依据</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在职激励对象对应的权益工具、2021年度公司业绩及未来年度公司业绩的预测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本期估计与上期估计有重大差异的原因</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以权益结算的股份支付计入资本公积的累计金额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4,220,533.36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本期以权益结算的股份支付确认的费用总额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37" w:name="_Toc989312"/>
      <w:r>
        <w:rPr>
          <w:rFonts w:ascii="宋体" w:hAnsi="宋体" w:eastAsia="宋体" w:cs="宋体"/>
          <w:b/>
          <w:bCs/>
          <w:sz w:val="21"/>
          <w:szCs w:val="21"/>
        </w:rPr>
        <w:t>3、以现金结算的股份支付情况</w:t>
      </w:r>
      <w:bookmarkEnd w:id="337"/>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38" w:name="_Toc989313"/>
      <w:r>
        <w:rPr>
          <w:rFonts w:ascii="宋体" w:hAnsi="宋体" w:eastAsia="宋体" w:cs="宋体"/>
          <w:b/>
          <w:bCs/>
          <w:sz w:val="21"/>
          <w:szCs w:val="21"/>
        </w:rPr>
        <w:t>4、股份支付的修改、终止情况</w:t>
      </w:r>
      <w:bookmarkEnd w:id="338"/>
    </w:p>
    <w:p>
      <w:pPr>
        <w:keepNext/>
        <w:keepLines/>
        <w:spacing w:before="300" w:after="300" w:line="280" w:lineRule="exact"/>
        <w:jc w:val="left"/>
        <w:outlineLvl w:val="2"/>
        <w:rPr>
          <w:rFonts w:ascii="宋体" w:hAnsi="宋体" w:eastAsia="宋体" w:cs="宋体"/>
          <w:b/>
          <w:bCs/>
          <w:sz w:val="21"/>
          <w:szCs w:val="21"/>
        </w:rPr>
      </w:pPr>
      <w:bookmarkStart w:id="339" w:name="_Toc989314"/>
      <w:r>
        <w:rPr>
          <w:rFonts w:ascii="宋体" w:hAnsi="宋体" w:eastAsia="宋体" w:cs="宋体"/>
          <w:b/>
          <w:bCs/>
          <w:sz w:val="21"/>
          <w:szCs w:val="21"/>
        </w:rPr>
        <w:t xml:space="preserve">5、其他 </w:t>
      </w:r>
      <w:bookmarkEnd w:id="339"/>
    </w:p>
    <w:p>
      <w:pPr>
        <w:keepNext/>
        <w:keepLines/>
        <w:spacing w:before="300" w:after="300" w:line="320" w:lineRule="exact"/>
        <w:jc w:val="left"/>
        <w:outlineLvl w:val="1"/>
        <w:rPr>
          <w:rFonts w:ascii="宋体" w:hAnsi="宋体" w:eastAsia="宋体" w:cs="宋体"/>
          <w:b/>
          <w:bCs/>
          <w:sz w:val="24"/>
          <w:szCs w:val="24"/>
        </w:rPr>
      </w:pPr>
      <w:bookmarkStart w:id="340" w:name="_Toc989315"/>
      <w:r>
        <w:rPr>
          <w:rFonts w:ascii="宋体" w:hAnsi="宋体" w:eastAsia="宋体" w:cs="宋体"/>
          <w:b/>
          <w:bCs/>
          <w:sz w:val="24"/>
          <w:szCs w:val="24"/>
        </w:rPr>
        <w:t>十四、承诺及或有事项</w:t>
      </w:r>
      <w:bookmarkEnd w:id="340"/>
    </w:p>
    <w:p>
      <w:pPr>
        <w:keepNext/>
        <w:keepLines/>
        <w:spacing w:before="300" w:after="300" w:line="280" w:lineRule="exact"/>
        <w:jc w:val="left"/>
        <w:outlineLvl w:val="2"/>
        <w:rPr>
          <w:rFonts w:ascii="宋体" w:hAnsi="宋体" w:eastAsia="宋体" w:cs="宋体"/>
          <w:b/>
          <w:bCs/>
          <w:sz w:val="21"/>
          <w:szCs w:val="21"/>
        </w:rPr>
      </w:pPr>
      <w:bookmarkStart w:id="341" w:name="_Toc989316"/>
      <w:r>
        <w:rPr>
          <w:rFonts w:ascii="宋体" w:hAnsi="宋体" w:eastAsia="宋体" w:cs="宋体"/>
          <w:b/>
          <w:bCs/>
          <w:sz w:val="21"/>
          <w:szCs w:val="21"/>
        </w:rPr>
        <w:t>1、重要承诺事项</w:t>
      </w:r>
      <w:bookmarkEnd w:id="341"/>
    </w:p>
    <w:p>
      <w:pPr>
        <w:spacing w:before="100" w:after="100" w:line="240" w:lineRule="exact"/>
        <w:jc w:val="left"/>
        <w:rPr>
          <w:rFonts w:ascii="宋体" w:hAnsi="宋体" w:eastAsia="宋体" w:cs="宋体"/>
          <w:sz w:val="18"/>
          <w:szCs w:val="18"/>
        </w:rPr>
      </w:pPr>
      <w:r>
        <w:rPr>
          <w:rFonts w:ascii="宋体" w:hAnsi="宋体" w:eastAsia="宋体" w:cs="宋体"/>
          <w:sz w:val="18"/>
          <w:szCs w:val="18"/>
        </w:rPr>
        <w:t>资产负债表日存在的重要承诺</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截至2022年6月30日，公司无影响本财务报表阅读和理解的重大承诺事项。</w:t>
      </w:r>
    </w:p>
    <w:p>
      <w:pPr>
        <w:keepNext/>
        <w:keepLines/>
        <w:spacing w:before="300" w:after="300" w:line="280" w:lineRule="exact"/>
        <w:jc w:val="left"/>
        <w:outlineLvl w:val="2"/>
        <w:rPr>
          <w:rFonts w:ascii="宋体" w:hAnsi="宋体" w:eastAsia="宋体" w:cs="宋体"/>
          <w:b/>
          <w:bCs/>
          <w:sz w:val="21"/>
          <w:szCs w:val="21"/>
        </w:rPr>
      </w:pPr>
      <w:bookmarkStart w:id="342" w:name="_Toc989317"/>
      <w:r>
        <w:rPr>
          <w:rFonts w:ascii="宋体" w:hAnsi="宋体" w:eastAsia="宋体" w:cs="宋体"/>
          <w:b/>
          <w:bCs/>
          <w:sz w:val="21"/>
          <w:szCs w:val="21"/>
        </w:rPr>
        <w:t>2、或有事项</w:t>
      </w:r>
      <w:bookmarkEnd w:id="342"/>
    </w:p>
    <w:p>
      <w:pPr>
        <w:keepNext/>
        <w:keepLines/>
        <w:spacing w:before="300" w:after="300" w:line="280" w:lineRule="exact"/>
        <w:jc w:val="left"/>
        <w:outlineLvl w:val="3"/>
        <w:rPr>
          <w:rFonts w:ascii="宋体" w:hAnsi="宋体" w:eastAsia="宋体" w:cs="宋体"/>
          <w:b/>
          <w:bCs/>
          <w:sz w:val="21"/>
          <w:szCs w:val="21"/>
        </w:rPr>
      </w:pPr>
      <w:bookmarkStart w:id="343" w:name="_Toc989318"/>
      <w:r>
        <w:rPr>
          <w:rFonts w:ascii="宋体" w:hAnsi="宋体" w:eastAsia="宋体" w:cs="宋体"/>
          <w:b/>
          <w:bCs/>
          <w:sz w:val="21"/>
          <w:szCs w:val="21"/>
        </w:rPr>
        <w:t>（1） 资产负债表日存在的重要或有事项</w:t>
      </w:r>
      <w:bookmarkEnd w:id="343"/>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截至2022年6月30日，公司不存在需要披露的重大或有事项。</w:t>
      </w:r>
    </w:p>
    <w:p>
      <w:pPr>
        <w:keepNext/>
        <w:keepLines/>
        <w:spacing w:before="300" w:after="300" w:line="280" w:lineRule="exact"/>
        <w:jc w:val="left"/>
        <w:outlineLvl w:val="3"/>
        <w:rPr>
          <w:rFonts w:ascii="宋体" w:hAnsi="宋体" w:eastAsia="宋体" w:cs="宋体"/>
          <w:b/>
          <w:bCs/>
          <w:sz w:val="21"/>
          <w:szCs w:val="21"/>
        </w:rPr>
      </w:pPr>
      <w:bookmarkStart w:id="344" w:name="_Toc989319"/>
      <w:r>
        <w:rPr>
          <w:rFonts w:ascii="宋体" w:hAnsi="宋体" w:eastAsia="宋体" w:cs="宋体"/>
          <w:b/>
          <w:bCs/>
          <w:sz w:val="21"/>
          <w:szCs w:val="21"/>
        </w:rPr>
        <w:t>（2） 公司没有需要披露的重要或有事项，也应予以说明</w:t>
      </w:r>
      <w:bookmarkEnd w:id="344"/>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公司不存在需要披露的重要或有事项。</w:t>
      </w:r>
    </w:p>
    <w:p>
      <w:pPr>
        <w:keepNext/>
        <w:keepLines/>
        <w:spacing w:before="300" w:after="300" w:line="280" w:lineRule="exact"/>
        <w:jc w:val="left"/>
        <w:outlineLvl w:val="2"/>
        <w:rPr>
          <w:rFonts w:ascii="宋体" w:hAnsi="宋体" w:eastAsia="宋体" w:cs="宋体"/>
          <w:b/>
          <w:bCs/>
          <w:sz w:val="21"/>
          <w:szCs w:val="21"/>
        </w:rPr>
      </w:pPr>
      <w:bookmarkStart w:id="345" w:name="_Toc989320"/>
      <w:r>
        <w:rPr>
          <w:rFonts w:ascii="宋体" w:hAnsi="宋体" w:eastAsia="宋体" w:cs="宋体"/>
          <w:b/>
          <w:bCs/>
          <w:sz w:val="21"/>
          <w:szCs w:val="21"/>
        </w:rPr>
        <w:t>3、其他</w:t>
      </w:r>
      <w:bookmarkEnd w:id="345"/>
    </w:p>
    <w:p>
      <w:pPr>
        <w:keepNext/>
        <w:keepLines/>
        <w:spacing w:before="300" w:after="300" w:line="320" w:lineRule="exact"/>
        <w:jc w:val="left"/>
        <w:outlineLvl w:val="1"/>
        <w:rPr>
          <w:rFonts w:ascii="宋体" w:hAnsi="宋体" w:eastAsia="宋体" w:cs="宋体"/>
          <w:b/>
          <w:bCs/>
          <w:sz w:val="24"/>
          <w:szCs w:val="24"/>
        </w:rPr>
      </w:pPr>
      <w:bookmarkStart w:id="346" w:name="_Toc989321"/>
      <w:r>
        <w:rPr>
          <w:rFonts w:ascii="宋体" w:hAnsi="宋体" w:eastAsia="宋体" w:cs="宋体"/>
          <w:b/>
          <w:bCs/>
          <w:sz w:val="24"/>
          <w:szCs w:val="24"/>
        </w:rPr>
        <w:t>十五、资产负债表日后事项</w:t>
      </w:r>
      <w:bookmarkEnd w:id="346"/>
    </w:p>
    <w:p>
      <w:pPr>
        <w:keepNext/>
        <w:keepLines/>
        <w:spacing w:before="300" w:after="300" w:line="280" w:lineRule="exact"/>
        <w:jc w:val="left"/>
        <w:outlineLvl w:val="2"/>
        <w:rPr>
          <w:rFonts w:ascii="宋体" w:hAnsi="宋体" w:eastAsia="宋体" w:cs="宋体"/>
          <w:b/>
          <w:bCs/>
          <w:sz w:val="21"/>
          <w:szCs w:val="21"/>
        </w:rPr>
      </w:pPr>
      <w:bookmarkStart w:id="347" w:name="_Toc989322"/>
      <w:r>
        <w:rPr>
          <w:rFonts w:ascii="宋体" w:hAnsi="宋体" w:eastAsia="宋体" w:cs="宋体"/>
          <w:b/>
          <w:bCs/>
          <w:sz w:val="21"/>
          <w:szCs w:val="21"/>
        </w:rPr>
        <w:t>1、重要的非调整事项</w:t>
      </w:r>
      <w:bookmarkEnd w:id="34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对财务状况和经营成果的影响数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无法估计影响数的原因</w:t>
            </w:r>
          </w:p>
        </w:tc>
      </w:tr>
    </w:tbl>
    <w:p>
      <w:pPr>
        <w:keepNext/>
        <w:keepLines/>
        <w:spacing w:before="300" w:after="300" w:line="280" w:lineRule="exact"/>
        <w:jc w:val="left"/>
        <w:outlineLvl w:val="2"/>
        <w:rPr>
          <w:rFonts w:ascii="宋体" w:hAnsi="宋体" w:eastAsia="宋体" w:cs="宋体"/>
          <w:b/>
          <w:bCs/>
          <w:sz w:val="21"/>
          <w:szCs w:val="21"/>
        </w:rPr>
      </w:pPr>
      <w:bookmarkStart w:id="348" w:name="_Toc989323"/>
      <w:r>
        <w:rPr>
          <w:rFonts w:ascii="宋体" w:hAnsi="宋体" w:eastAsia="宋体" w:cs="宋体"/>
          <w:b/>
          <w:bCs/>
          <w:sz w:val="21"/>
          <w:szCs w:val="21"/>
        </w:rPr>
        <w:t>2、利润分配情况</w:t>
      </w:r>
      <w:bookmarkEnd w:id="34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p>
      <w:pPr>
        <w:keepNext/>
        <w:keepLines/>
        <w:spacing w:before="300" w:after="300" w:line="280" w:lineRule="exact"/>
        <w:jc w:val="left"/>
        <w:outlineLvl w:val="2"/>
        <w:rPr>
          <w:rFonts w:ascii="宋体" w:hAnsi="宋体" w:eastAsia="宋体" w:cs="宋体"/>
          <w:b/>
          <w:bCs/>
          <w:sz w:val="21"/>
          <w:szCs w:val="21"/>
        </w:rPr>
      </w:pPr>
      <w:bookmarkStart w:id="349" w:name="_Toc989324"/>
      <w:r>
        <w:rPr>
          <w:rFonts w:ascii="宋体" w:hAnsi="宋体" w:eastAsia="宋体" w:cs="宋体"/>
          <w:b/>
          <w:bCs/>
          <w:sz w:val="21"/>
          <w:szCs w:val="21"/>
        </w:rPr>
        <w:t>3、销售退回</w:t>
      </w:r>
      <w:bookmarkEnd w:id="349"/>
    </w:p>
    <w:p>
      <w:pPr>
        <w:keepNext/>
        <w:keepLines/>
        <w:spacing w:before="300" w:after="300" w:line="280" w:lineRule="exact"/>
        <w:jc w:val="left"/>
        <w:outlineLvl w:val="2"/>
        <w:rPr>
          <w:rFonts w:ascii="宋体" w:hAnsi="宋体" w:eastAsia="宋体" w:cs="宋体"/>
          <w:b/>
          <w:bCs/>
          <w:sz w:val="21"/>
          <w:szCs w:val="21"/>
        </w:rPr>
      </w:pPr>
      <w:bookmarkStart w:id="350" w:name="_Toc989325"/>
      <w:r>
        <w:rPr>
          <w:rFonts w:ascii="宋体" w:hAnsi="宋体" w:eastAsia="宋体" w:cs="宋体"/>
          <w:b/>
          <w:bCs/>
          <w:sz w:val="21"/>
          <w:szCs w:val="21"/>
        </w:rPr>
        <w:t>4、其他资产负债表日后事项说明</w:t>
      </w:r>
      <w:bookmarkEnd w:id="350"/>
    </w:p>
    <w:p>
      <w:pPr>
        <w:keepNext/>
        <w:keepLines/>
        <w:spacing w:before="300" w:after="300" w:line="320" w:lineRule="exact"/>
        <w:jc w:val="left"/>
        <w:outlineLvl w:val="1"/>
        <w:rPr>
          <w:rFonts w:ascii="宋体" w:hAnsi="宋体" w:eastAsia="宋体" w:cs="宋体"/>
          <w:b/>
          <w:bCs/>
          <w:sz w:val="24"/>
          <w:szCs w:val="24"/>
        </w:rPr>
      </w:pPr>
      <w:bookmarkStart w:id="351" w:name="_Toc989326"/>
      <w:r>
        <w:rPr>
          <w:rFonts w:ascii="宋体" w:hAnsi="宋体" w:eastAsia="宋体" w:cs="宋体"/>
          <w:b/>
          <w:bCs/>
          <w:sz w:val="24"/>
          <w:szCs w:val="24"/>
        </w:rPr>
        <w:t>十六、其他重要事项</w:t>
      </w:r>
      <w:bookmarkEnd w:id="351"/>
    </w:p>
    <w:p>
      <w:pPr>
        <w:keepNext/>
        <w:keepLines/>
        <w:spacing w:before="300" w:after="300" w:line="280" w:lineRule="exact"/>
        <w:jc w:val="left"/>
        <w:outlineLvl w:val="2"/>
        <w:rPr>
          <w:rFonts w:ascii="宋体" w:hAnsi="宋体" w:eastAsia="宋体" w:cs="宋体"/>
          <w:b/>
          <w:bCs/>
          <w:sz w:val="21"/>
          <w:szCs w:val="21"/>
        </w:rPr>
      </w:pPr>
      <w:bookmarkStart w:id="352" w:name="_Toc989327"/>
      <w:r>
        <w:rPr>
          <w:rFonts w:ascii="宋体" w:hAnsi="宋体" w:eastAsia="宋体" w:cs="宋体"/>
          <w:b/>
          <w:bCs/>
          <w:sz w:val="21"/>
          <w:szCs w:val="21"/>
        </w:rPr>
        <w:t>1、前期会计差错更正</w:t>
      </w:r>
      <w:bookmarkEnd w:id="352"/>
    </w:p>
    <w:p>
      <w:pPr>
        <w:keepNext/>
        <w:keepLines/>
        <w:spacing w:before="300" w:after="300" w:line="280" w:lineRule="exact"/>
        <w:jc w:val="left"/>
        <w:outlineLvl w:val="3"/>
        <w:rPr>
          <w:rFonts w:ascii="宋体" w:hAnsi="宋体" w:eastAsia="宋体" w:cs="宋体"/>
          <w:b/>
          <w:bCs/>
          <w:sz w:val="21"/>
          <w:szCs w:val="21"/>
        </w:rPr>
      </w:pPr>
      <w:bookmarkStart w:id="353" w:name="_Toc989328"/>
      <w:r>
        <w:rPr>
          <w:rFonts w:ascii="宋体" w:hAnsi="宋体" w:eastAsia="宋体" w:cs="宋体"/>
          <w:b/>
          <w:bCs/>
          <w:sz w:val="21"/>
          <w:szCs w:val="21"/>
        </w:rPr>
        <w:t>（1） 追溯重述法</w:t>
      </w:r>
      <w:bookmarkEnd w:id="35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会计差错更正的内容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处理程序</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受影响的各个比较期间报表项目名称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累积影响数</w:t>
            </w:r>
          </w:p>
        </w:tc>
      </w:tr>
    </w:tbl>
    <w:p>
      <w:pPr>
        <w:keepNext/>
        <w:keepLines/>
        <w:spacing w:before="300" w:after="300" w:line="280" w:lineRule="exact"/>
        <w:jc w:val="left"/>
        <w:outlineLvl w:val="3"/>
        <w:rPr>
          <w:rFonts w:ascii="宋体" w:hAnsi="宋体" w:eastAsia="宋体" w:cs="宋体"/>
          <w:b/>
          <w:bCs/>
          <w:sz w:val="21"/>
          <w:szCs w:val="21"/>
        </w:rPr>
      </w:pPr>
      <w:bookmarkStart w:id="354" w:name="_Toc989329"/>
      <w:r>
        <w:rPr>
          <w:rFonts w:ascii="宋体" w:hAnsi="宋体" w:eastAsia="宋体" w:cs="宋体"/>
          <w:b/>
          <w:bCs/>
          <w:sz w:val="21"/>
          <w:szCs w:val="21"/>
        </w:rPr>
        <w:t>（2） 未来适用法</w:t>
      </w:r>
      <w:bookmarkEnd w:id="354"/>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会计差错更正的内容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批准程序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采用未来适用法的原因</w:t>
            </w:r>
          </w:p>
        </w:tc>
      </w:tr>
    </w:tbl>
    <w:p>
      <w:pPr>
        <w:keepNext/>
        <w:keepLines/>
        <w:spacing w:before="300" w:after="300" w:line="280" w:lineRule="exact"/>
        <w:jc w:val="left"/>
        <w:outlineLvl w:val="2"/>
        <w:rPr>
          <w:rFonts w:ascii="宋体" w:hAnsi="宋体" w:eastAsia="宋体" w:cs="宋体"/>
          <w:b/>
          <w:bCs/>
          <w:sz w:val="21"/>
          <w:szCs w:val="21"/>
        </w:rPr>
      </w:pPr>
      <w:bookmarkStart w:id="355" w:name="_Toc989330"/>
      <w:r>
        <w:rPr>
          <w:rFonts w:ascii="宋体" w:hAnsi="宋体" w:eastAsia="宋体" w:cs="宋体"/>
          <w:b/>
          <w:bCs/>
          <w:sz w:val="21"/>
          <w:szCs w:val="21"/>
        </w:rPr>
        <w:t>2、债务重组</w:t>
      </w:r>
      <w:bookmarkEnd w:id="355"/>
    </w:p>
    <w:p>
      <w:pPr>
        <w:keepNext/>
        <w:keepLines/>
        <w:spacing w:before="300" w:after="300" w:line="280" w:lineRule="exact"/>
        <w:jc w:val="left"/>
        <w:outlineLvl w:val="2"/>
        <w:rPr>
          <w:rFonts w:ascii="宋体" w:hAnsi="宋体" w:eastAsia="宋体" w:cs="宋体"/>
          <w:b/>
          <w:bCs/>
          <w:sz w:val="21"/>
          <w:szCs w:val="21"/>
        </w:rPr>
      </w:pPr>
      <w:bookmarkStart w:id="356" w:name="_Toc989331"/>
      <w:r>
        <w:rPr>
          <w:rFonts w:ascii="宋体" w:hAnsi="宋体" w:eastAsia="宋体" w:cs="宋体"/>
          <w:b/>
          <w:bCs/>
          <w:sz w:val="21"/>
          <w:szCs w:val="21"/>
        </w:rPr>
        <w:t>3、资产置换</w:t>
      </w:r>
      <w:bookmarkEnd w:id="356"/>
    </w:p>
    <w:p>
      <w:pPr>
        <w:keepNext/>
        <w:keepLines/>
        <w:spacing w:before="300" w:after="300" w:line="280" w:lineRule="exact"/>
        <w:jc w:val="left"/>
        <w:outlineLvl w:val="3"/>
        <w:rPr>
          <w:rFonts w:ascii="宋体" w:hAnsi="宋体" w:eastAsia="宋体" w:cs="宋体"/>
          <w:b/>
          <w:bCs/>
          <w:sz w:val="21"/>
          <w:szCs w:val="21"/>
        </w:rPr>
      </w:pPr>
      <w:bookmarkStart w:id="357" w:name="_Toc989332"/>
      <w:r>
        <w:rPr>
          <w:rFonts w:ascii="宋体" w:hAnsi="宋体" w:eastAsia="宋体" w:cs="宋体"/>
          <w:b/>
          <w:bCs/>
          <w:sz w:val="21"/>
          <w:szCs w:val="21"/>
        </w:rPr>
        <w:t>（1） 非货币性资产交换</w:t>
      </w:r>
      <w:bookmarkEnd w:id="357"/>
    </w:p>
    <w:p>
      <w:pPr>
        <w:keepNext/>
        <w:keepLines/>
        <w:spacing w:before="300" w:after="300" w:line="280" w:lineRule="exact"/>
        <w:jc w:val="left"/>
        <w:outlineLvl w:val="3"/>
        <w:rPr>
          <w:rFonts w:ascii="宋体" w:hAnsi="宋体" w:eastAsia="宋体" w:cs="宋体"/>
          <w:b/>
          <w:bCs/>
          <w:sz w:val="21"/>
          <w:szCs w:val="21"/>
        </w:rPr>
      </w:pPr>
      <w:bookmarkStart w:id="358" w:name="_Toc989333"/>
      <w:r>
        <w:rPr>
          <w:rFonts w:ascii="宋体" w:hAnsi="宋体" w:eastAsia="宋体" w:cs="宋体"/>
          <w:b/>
          <w:bCs/>
          <w:sz w:val="21"/>
          <w:szCs w:val="21"/>
        </w:rPr>
        <w:t>（2） 其他资产置换</w:t>
      </w:r>
      <w:bookmarkEnd w:id="358"/>
    </w:p>
    <w:p>
      <w:pPr>
        <w:keepNext/>
        <w:keepLines/>
        <w:spacing w:before="300" w:after="300" w:line="280" w:lineRule="exact"/>
        <w:jc w:val="left"/>
        <w:outlineLvl w:val="2"/>
        <w:rPr>
          <w:rFonts w:ascii="宋体" w:hAnsi="宋体" w:eastAsia="宋体" w:cs="宋体"/>
          <w:b/>
          <w:bCs/>
          <w:sz w:val="21"/>
          <w:szCs w:val="21"/>
        </w:rPr>
      </w:pPr>
      <w:bookmarkStart w:id="359" w:name="_Toc989334"/>
      <w:r>
        <w:rPr>
          <w:rFonts w:ascii="宋体" w:hAnsi="宋体" w:eastAsia="宋体" w:cs="宋体"/>
          <w:b/>
          <w:bCs/>
          <w:sz w:val="21"/>
          <w:szCs w:val="21"/>
        </w:rPr>
        <w:t>4、年金计划</w:t>
      </w:r>
      <w:bookmarkEnd w:id="359"/>
    </w:p>
    <w:p>
      <w:pPr>
        <w:keepNext/>
        <w:keepLines/>
        <w:spacing w:before="300" w:after="300" w:line="280" w:lineRule="exact"/>
        <w:jc w:val="left"/>
        <w:outlineLvl w:val="2"/>
        <w:rPr>
          <w:rFonts w:ascii="宋体" w:hAnsi="宋体" w:eastAsia="宋体" w:cs="宋体"/>
          <w:b/>
          <w:bCs/>
          <w:sz w:val="21"/>
          <w:szCs w:val="21"/>
        </w:rPr>
      </w:pPr>
      <w:bookmarkStart w:id="360" w:name="_Toc989335"/>
      <w:r>
        <w:rPr>
          <w:rFonts w:ascii="宋体" w:hAnsi="宋体" w:eastAsia="宋体" w:cs="宋体"/>
          <w:b/>
          <w:bCs/>
          <w:sz w:val="21"/>
          <w:szCs w:val="21"/>
        </w:rPr>
        <w:t>5、终止经营</w:t>
      </w:r>
      <w:bookmarkEnd w:id="36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利润总额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所得税费用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归属于母公司所有者的终止经营利润</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61" w:name="_Toc989336"/>
      <w:r>
        <w:rPr>
          <w:rFonts w:ascii="宋体" w:hAnsi="宋体" w:eastAsia="宋体" w:cs="宋体"/>
          <w:b/>
          <w:bCs/>
          <w:sz w:val="21"/>
          <w:szCs w:val="21"/>
        </w:rPr>
        <w:t>6、分部信息</w:t>
      </w:r>
      <w:bookmarkEnd w:id="361"/>
    </w:p>
    <w:p>
      <w:pPr>
        <w:keepNext/>
        <w:keepLines/>
        <w:spacing w:before="300" w:after="300" w:line="280" w:lineRule="exact"/>
        <w:jc w:val="left"/>
        <w:outlineLvl w:val="3"/>
        <w:rPr>
          <w:rFonts w:ascii="宋体" w:hAnsi="宋体" w:eastAsia="宋体" w:cs="宋体"/>
          <w:b/>
          <w:bCs/>
          <w:sz w:val="21"/>
          <w:szCs w:val="21"/>
        </w:rPr>
      </w:pPr>
      <w:bookmarkStart w:id="362" w:name="_Toc989337"/>
      <w:r>
        <w:rPr>
          <w:rFonts w:ascii="宋体" w:hAnsi="宋体" w:eastAsia="宋体" w:cs="宋体"/>
          <w:b/>
          <w:bCs/>
          <w:sz w:val="21"/>
          <w:szCs w:val="21"/>
        </w:rPr>
        <w:t>（1） 报告分部的确定依据与会计政策</w:t>
      </w:r>
      <w:bookmarkEnd w:id="362"/>
    </w:p>
    <w:p>
      <w:pPr>
        <w:pStyle w:val="2"/>
        <w:keepNext w:val="0"/>
        <w:keepLines w:val="0"/>
        <w:widowControl/>
        <w:suppressLineNumbers w:val="0"/>
        <w:spacing w:before="150" w:beforeAutospacing="0" w:after="150" w:afterAutospacing="0" w:line="360" w:lineRule="auto"/>
        <w:ind w:left="0" w:right="0" w:firstLine="496"/>
        <w:jc w:val="both"/>
        <w:rPr>
          <w:rFonts w:hint="default" w:ascii="Times New Roman" w:hAnsi="Times New Roman" w:cs="Times New Roman"/>
          <w:sz w:val="21"/>
          <w:szCs w:val="21"/>
        </w:rPr>
      </w:pPr>
      <w:r>
        <w:rPr>
          <w:rFonts w:hint="eastAsia" w:ascii="宋体" w:hAnsi="宋体" w:eastAsia="宋体" w:cs="宋体"/>
          <w:sz w:val="21"/>
          <w:szCs w:val="21"/>
        </w:rPr>
        <w:t>公司为阀门及相关产品制造企业，主要产品为阀门、过滤器、毛坯铸件等，生产经营主体主要在国内，无分部报告。</w:t>
      </w:r>
    </w:p>
    <w:p>
      <w:pPr>
        <w:keepNext/>
        <w:keepLines/>
        <w:spacing w:before="300" w:after="300" w:line="280" w:lineRule="exact"/>
        <w:jc w:val="left"/>
        <w:outlineLvl w:val="3"/>
        <w:rPr>
          <w:rFonts w:ascii="宋体" w:hAnsi="宋体" w:eastAsia="宋体" w:cs="宋体"/>
          <w:b/>
          <w:bCs/>
          <w:sz w:val="21"/>
          <w:szCs w:val="21"/>
        </w:rPr>
      </w:pPr>
      <w:bookmarkStart w:id="363" w:name="_Toc989338"/>
      <w:r>
        <w:rPr>
          <w:rFonts w:ascii="宋体" w:hAnsi="宋体" w:eastAsia="宋体" w:cs="宋体"/>
          <w:b/>
          <w:bCs/>
          <w:sz w:val="21"/>
          <w:szCs w:val="21"/>
        </w:rPr>
        <w:t>（2） 报告分部的财务信息</w:t>
      </w:r>
      <w:bookmarkEnd w:id="36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分部间抵销</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364" w:name="_Toc989339"/>
      <w:r>
        <w:rPr>
          <w:rFonts w:ascii="宋体" w:hAnsi="宋体" w:eastAsia="宋体" w:cs="宋体"/>
          <w:b/>
          <w:bCs/>
          <w:sz w:val="21"/>
          <w:szCs w:val="21"/>
        </w:rPr>
        <w:t>（3） 公司无报告分部的，或者不能披露各报告分部的资产总额和负债总额的，应说明原因</w:t>
      </w:r>
      <w:bookmarkEnd w:id="364"/>
    </w:p>
    <w:p>
      <w:pPr>
        <w:keepNext/>
        <w:keepLines/>
        <w:spacing w:before="300" w:after="300" w:line="280" w:lineRule="exact"/>
        <w:jc w:val="left"/>
        <w:outlineLvl w:val="3"/>
        <w:rPr>
          <w:rFonts w:ascii="宋体" w:hAnsi="宋体" w:eastAsia="宋体" w:cs="宋体"/>
          <w:b/>
          <w:bCs/>
          <w:sz w:val="21"/>
          <w:szCs w:val="21"/>
        </w:rPr>
      </w:pPr>
      <w:bookmarkStart w:id="365" w:name="_Toc989340"/>
      <w:r>
        <w:rPr>
          <w:rFonts w:ascii="宋体" w:hAnsi="宋体" w:eastAsia="宋体" w:cs="宋体"/>
          <w:b/>
          <w:bCs/>
          <w:sz w:val="21"/>
          <w:szCs w:val="21"/>
        </w:rPr>
        <w:t>（4） 其他说明</w:t>
      </w:r>
      <w:bookmarkEnd w:id="365"/>
    </w:p>
    <w:p>
      <w:pPr>
        <w:keepNext/>
        <w:keepLines/>
        <w:spacing w:before="300" w:after="300" w:line="280" w:lineRule="exact"/>
        <w:jc w:val="left"/>
        <w:outlineLvl w:val="2"/>
        <w:rPr>
          <w:rFonts w:ascii="宋体" w:hAnsi="宋体" w:eastAsia="宋体" w:cs="宋体"/>
          <w:b/>
          <w:bCs/>
          <w:sz w:val="21"/>
          <w:szCs w:val="21"/>
        </w:rPr>
      </w:pPr>
      <w:bookmarkStart w:id="366" w:name="_Toc989341"/>
      <w:r>
        <w:rPr>
          <w:rFonts w:ascii="宋体" w:hAnsi="宋体" w:eastAsia="宋体" w:cs="宋体"/>
          <w:b/>
          <w:bCs/>
          <w:sz w:val="21"/>
          <w:szCs w:val="21"/>
        </w:rPr>
        <w:t>7、其他对投资者决策有影响的重要交易和事项</w:t>
      </w:r>
      <w:bookmarkEnd w:id="366"/>
    </w:p>
    <w:p>
      <w:pPr>
        <w:pStyle w:val="2"/>
        <w:keepNext w:val="0"/>
        <w:keepLines w:val="0"/>
        <w:widowControl/>
        <w:suppressLineNumbers w:val="0"/>
        <w:spacing w:before="150" w:beforeAutospacing="0" w:after="150" w:afterAutospacing="0" w:line="360" w:lineRule="auto"/>
        <w:ind w:left="0" w:right="0" w:firstLine="545"/>
        <w:jc w:val="both"/>
        <w:rPr>
          <w:rFonts w:hint="default" w:ascii="Times New Roman" w:hAnsi="Times New Roman" w:cs="Times New Roman"/>
          <w:sz w:val="21"/>
          <w:szCs w:val="21"/>
        </w:rPr>
      </w:pPr>
      <w:r>
        <w:rPr>
          <w:rFonts w:hint="eastAsia" w:ascii="宋体" w:hAnsi="宋体" w:eastAsia="宋体" w:cs="宋体"/>
          <w:sz w:val="21"/>
          <w:szCs w:val="21"/>
        </w:rPr>
        <w:t>公司无其他对投资者决策有重大影响的重要交易和事项。</w:t>
      </w:r>
    </w:p>
    <w:p>
      <w:pPr>
        <w:keepNext/>
        <w:keepLines/>
        <w:spacing w:before="300" w:after="300" w:line="280" w:lineRule="exact"/>
        <w:jc w:val="left"/>
        <w:outlineLvl w:val="2"/>
        <w:rPr>
          <w:rFonts w:ascii="宋体" w:hAnsi="宋体" w:eastAsia="宋体" w:cs="宋体"/>
          <w:b/>
          <w:bCs/>
          <w:sz w:val="21"/>
          <w:szCs w:val="21"/>
        </w:rPr>
      </w:pPr>
      <w:bookmarkStart w:id="367" w:name="_Toc989342"/>
      <w:r>
        <w:rPr>
          <w:rFonts w:ascii="宋体" w:hAnsi="宋体" w:eastAsia="宋体" w:cs="宋体"/>
          <w:b/>
          <w:bCs/>
          <w:sz w:val="21"/>
          <w:szCs w:val="21"/>
        </w:rPr>
        <w:t>8、其他</w:t>
      </w:r>
      <w:bookmarkEnd w:id="367"/>
    </w:p>
    <w:p>
      <w:pPr>
        <w:keepNext/>
        <w:keepLines/>
        <w:spacing w:before="300" w:after="300" w:line="320" w:lineRule="exact"/>
        <w:jc w:val="left"/>
        <w:outlineLvl w:val="1"/>
        <w:rPr>
          <w:rFonts w:ascii="宋体" w:hAnsi="宋体" w:eastAsia="宋体" w:cs="宋体"/>
          <w:b/>
          <w:bCs/>
          <w:sz w:val="24"/>
          <w:szCs w:val="24"/>
        </w:rPr>
      </w:pPr>
      <w:bookmarkStart w:id="368" w:name="_Toc989343"/>
      <w:r>
        <w:rPr>
          <w:rFonts w:ascii="宋体" w:hAnsi="宋体" w:eastAsia="宋体" w:cs="宋体"/>
          <w:b/>
          <w:bCs/>
          <w:sz w:val="24"/>
          <w:szCs w:val="24"/>
        </w:rPr>
        <w:t>十七、母公司财务报表主要项目注释</w:t>
      </w:r>
      <w:bookmarkEnd w:id="368"/>
    </w:p>
    <w:p>
      <w:pPr>
        <w:keepNext/>
        <w:keepLines/>
        <w:spacing w:before="300" w:after="300" w:line="280" w:lineRule="exact"/>
        <w:jc w:val="left"/>
        <w:outlineLvl w:val="2"/>
        <w:rPr>
          <w:rFonts w:ascii="宋体" w:hAnsi="宋体" w:eastAsia="宋体" w:cs="宋体"/>
          <w:b/>
          <w:bCs/>
          <w:sz w:val="21"/>
          <w:szCs w:val="21"/>
        </w:rPr>
      </w:pPr>
      <w:bookmarkStart w:id="369" w:name="_Toc989344"/>
      <w:r>
        <w:rPr>
          <w:rFonts w:ascii="宋体" w:hAnsi="宋体" w:eastAsia="宋体" w:cs="宋体"/>
          <w:b/>
          <w:bCs/>
          <w:sz w:val="21"/>
          <w:szCs w:val="21"/>
        </w:rPr>
        <w:t>1、应收账款</w:t>
      </w:r>
      <w:bookmarkEnd w:id="369"/>
    </w:p>
    <w:p>
      <w:pPr>
        <w:keepNext/>
        <w:keepLines/>
        <w:spacing w:before="300" w:after="300" w:line="280" w:lineRule="exact"/>
        <w:jc w:val="left"/>
        <w:outlineLvl w:val="3"/>
        <w:rPr>
          <w:rFonts w:ascii="宋体" w:hAnsi="宋体" w:eastAsia="宋体" w:cs="宋体"/>
          <w:b/>
          <w:bCs/>
          <w:sz w:val="21"/>
          <w:szCs w:val="21"/>
        </w:rPr>
      </w:pPr>
      <w:bookmarkStart w:id="370" w:name="_Toc989345"/>
      <w:r>
        <w:rPr>
          <w:rFonts w:ascii="宋体" w:hAnsi="宋体" w:eastAsia="宋体" w:cs="宋体"/>
          <w:b/>
          <w:bCs/>
          <w:sz w:val="21"/>
          <w:szCs w:val="21"/>
        </w:rPr>
        <w:t>（1） 应收账款分类披露</w:t>
      </w:r>
      <w:bookmarkEnd w:id="37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81,534,489.32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7,771,521.25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73,762,968.07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72,388,029.64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8,323,192.26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64,064,837.38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81,534,489.32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7,771,521.25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73,762,968.07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72,388,029.64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8,323,192.26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64,064,837.38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按组合计提坏账准备：7,771,521.25</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71,364,610.66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3,568,230.54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3,062,979.04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306,297.90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2至3年（含3年）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2,436,405.83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730,921.75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3至4年（含4年）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2,983,490.64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1,491,745.32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4至5年（含5年）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63,387.05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50,709.64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1,623,616.10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1,623,616.10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81,534,489.32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7,771,521.25</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如是按照预期信用损失一般模型计提应收账款坏账准备，请参照其他应收款的披露方式披露坏账准备的相关信息：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71,364,610.66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3,062,979.04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2,436,405.83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4,670,493.79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2,983,490.64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63,387.05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1,623,616.10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81,534,489.32</w:t>
            </w:r>
          </w:p>
        </w:tc>
      </w:tr>
    </w:tbl>
    <w:p>
      <w:pPr>
        <w:keepNext/>
        <w:keepLines/>
        <w:spacing w:before="300" w:after="300" w:line="280" w:lineRule="exact"/>
        <w:jc w:val="left"/>
        <w:outlineLvl w:val="3"/>
        <w:rPr>
          <w:rFonts w:ascii="宋体" w:hAnsi="宋体" w:eastAsia="宋体" w:cs="宋体"/>
          <w:b/>
          <w:bCs/>
          <w:sz w:val="21"/>
          <w:szCs w:val="21"/>
        </w:rPr>
      </w:pPr>
      <w:bookmarkStart w:id="371" w:name="_Toc989346"/>
      <w:r>
        <w:rPr>
          <w:rFonts w:ascii="宋体" w:hAnsi="宋体" w:eastAsia="宋体" w:cs="宋体"/>
          <w:b/>
          <w:bCs/>
          <w:sz w:val="21"/>
          <w:szCs w:val="21"/>
        </w:rPr>
        <w:t>（2） 本期计提、收回或转回的坏账准备情况</w:t>
      </w:r>
      <w:bookmarkEnd w:id="371"/>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8,323,192.26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551,671.01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7,771,521.25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8,323,192.26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551,671.01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7,771,521.25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spacing w:before="100" w:after="100" w:line="0" w:lineRule="exact"/>
        <w:jc w:val="left"/>
      </w:pPr>
    </w:p>
    <w:p>
      <w:pPr>
        <w:keepNext/>
        <w:keepLines/>
        <w:spacing w:before="300" w:after="300" w:line="280" w:lineRule="exact"/>
        <w:jc w:val="left"/>
        <w:outlineLvl w:val="3"/>
        <w:rPr>
          <w:rFonts w:ascii="宋体" w:hAnsi="宋体" w:eastAsia="宋体" w:cs="宋体"/>
          <w:b/>
          <w:bCs/>
          <w:sz w:val="21"/>
          <w:szCs w:val="21"/>
        </w:rPr>
      </w:pPr>
      <w:bookmarkStart w:id="372" w:name="_Toc989347"/>
      <w:r>
        <w:rPr>
          <w:rFonts w:ascii="宋体" w:hAnsi="宋体" w:eastAsia="宋体" w:cs="宋体"/>
          <w:b/>
          <w:bCs/>
          <w:sz w:val="21"/>
          <w:szCs w:val="21"/>
        </w:rPr>
        <w:t>（3） 本期实际核销的应收账款情况</w:t>
      </w:r>
      <w:bookmarkEnd w:id="37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其中重要的应收账款核销情况：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应收账款核销说明：</w:t>
      </w:r>
    </w:p>
    <w:p>
      <w:pPr>
        <w:pStyle w:val="2"/>
        <w:keepNext w:val="0"/>
        <w:keepLines w:val="0"/>
        <w:widowControl/>
        <w:suppressLineNumbers w:val="0"/>
      </w:pPr>
      <w:r>
        <w:rPr>
          <w:rFonts w:hint="eastAsia" w:ascii="宋体" w:hAnsi="宋体" w:eastAsia="宋体" w:cs="宋体"/>
          <w:sz w:val="21"/>
          <w:szCs w:val="21"/>
        </w:rPr>
        <w:t>报告期末公司应收账款中无持公司5%（含5%）以上表决权股份的股东单位欠款。</w:t>
      </w:r>
    </w:p>
    <w:p>
      <w:pPr>
        <w:keepNext/>
        <w:keepLines/>
        <w:spacing w:before="300" w:after="300" w:line="280" w:lineRule="exact"/>
        <w:jc w:val="left"/>
        <w:outlineLvl w:val="3"/>
        <w:rPr>
          <w:rFonts w:ascii="宋体" w:hAnsi="宋体" w:eastAsia="宋体" w:cs="宋体"/>
          <w:b/>
          <w:bCs/>
          <w:sz w:val="21"/>
          <w:szCs w:val="21"/>
        </w:rPr>
      </w:pPr>
      <w:bookmarkStart w:id="373" w:name="_Toc989348"/>
      <w:r>
        <w:rPr>
          <w:rFonts w:ascii="宋体" w:hAnsi="宋体" w:eastAsia="宋体" w:cs="宋体"/>
          <w:b/>
          <w:bCs/>
          <w:sz w:val="21"/>
          <w:szCs w:val="21"/>
        </w:rPr>
        <w:t>（4） 按欠款方归集的期末余额前五名的应收账款情况</w:t>
      </w:r>
      <w:bookmarkEnd w:id="37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占应收账款期末余额合计数的比例</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客户一</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5,890,996.21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294,549.81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客户二</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5,776,337.62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288,816.88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客户三</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5,376,007.37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268,800.37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客户四</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4,205,001.77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210,250.09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客户五</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3,782,234.14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189,111.71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25,030,577.11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30.70%</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3"/>
        <w:rPr>
          <w:rFonts w:ascii="宋体" w:hAnsi="宋体" w:eastAsia="宋体" w:cs="宋体"/>
          <w:b/>
          <w:bCs/>
          <w:sz w:val="21"/>
          <w:szCs w:val="21"/>
        </w:rPr>
      </w:pPr>
      <w:bookmarkStart w:id="374" w:name="_Toc989349"/>
      <w:r>
        <w:rPr>
          <w:rFonts w:ascii="宋体" w:hAnsi="宋体" w:eastAsia="宋体" w:cs="宋体"/>
          <w:b/>
          <w:bCs/>
          <w:sz w:val="21"/>
          <w:szCs w:val="21"/>
        </w:rPr>
        <w:t>（5） 因金融资产转移而终止确认的应收账款</w:t>
      </w:r>
      <w:bookmarkEnd w:id="374"/>
    </w:p>
    <w:p>
      <w:pPr>
        <w:keepNext/>
        <w:keepLines/>
        <w:spacing w:before="300" w:after="300" w:line="280" w:lineRule="exact"/>
        <w:jc w:val="left"/>
        <w:outlineLvl w:val="3"/>
        <w:rPr>
          <w:rFonts w:ascii="宋体" w:hAnsi="宋体" w:eastAsia="宋体" w:cs="宋体"/>
          <w:b/>
          <w:bCs/>
          <w:sz w:val="21"/>
          <w:szCs w:val="21"/>
        </w:rPr>
      </w:pPr>
      <w:bookmarkStart w:id="375" w:name="_Toc989350"/>
      <w:r>
        <w:rPr>
          <w:rFonts w:ascii="宋体" w:hAnsi="宋体" w:eastAsia="宋体" w:cs="宋体"/>
          <w:b/>
          <w:bCs/>
          <w:sz w:val="21"/>
          <w:szCs w:val="21"/>
        </w:rPr>
        <w:t>（6） 转移应收账款且继续涉入形成的资产、负债金额</w:t>
      </w:r>
      <w:bookmarkEnd w:id="375"/>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76" w:name="_Toc989351"/>
      <w:r>
        <w:rPr>
          <w:rFonts w:ascii="宋体" w:hAnsi="宋体" w:eastAsia="宋体" w:cs="宋体"/>
          <w:b/>
          <w:bCs/>
          <w:sz w:val="21"/>
          <w:szCs w:val="21"/>
        </w:rPr>
        <w:t>2、其他应收款</w:t>
      </w:r>
      <w:bookmarkEnd w:id="37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18,705,354.32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19,760,830.43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18,705,354.32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19,760,830.43</w:t>
            </w:r>
          </w:p>
        </w:tc>
      </w:tr>
    </w:tbl>
    <w:p>
      <w:pPr>
        <w:keepNext/>
        <w:keepLines/>
        <w:spacing w:before="300" w:after="300" w:line="280" w:lineRule="exact"/>
        <w:jc w:val="left"/>
        <w:outlineLvl w:val="3"/>
        <w:rPr>
          <w:rFonts w:ascii="宋体" w:hAnsi="宋体" w:eastAsia="宋体" w:cs="宋体"/>
          <w:b/>
          <w:bCs/>
          <w:sz w:val="18"/>
          <w:szCs w:val="18"/>
        </w:rPr>
      </w:pPr>
      <w:bookmarkStart w:id="377" w:name="_Toc989352"/>
      <w:r>
        <w:rPr>
          <w:rFonts w:ascii="宋体" w:hAnsi="宋体" w:eastAsia="宋体" w:cs="宋体"/>
          <w:b/>
          <w:bCs/>
          <w:sz w:val="18"/>
          <w:szCs w:val="18"/>
        </w:rPr>
        <w:t>（1） 应收利息</w:t>
      </w:r>
      <w:bookmarkEnd w:id="377"/>
    </w:p>
    <w:p>
      <w:pPr>
        <w:keepNext/>
        <w:keepLines/>
        <w:spacing w:before="300" w:after="300" w:line="280" w:lineRule="exact"/>
        <w:jc w:val="left"/>
        <w:outlineLvl w:val="4"/>
        <w:rPr>
          <w:rFonts w:ascii="宋体" w:hAnsi="宋体" w:eastAsia="宋体" w:cs="宋体"/>
          <w:b/>
          <w:bCs/>
          <w:sz w:val="18"/>
          <w:szCs w:val="18"/>
        </w:rPr>
      </w:pPr>
      <w:bookmarkStart w:id="378" w:name="_Toc989353"/>
      <w:r>
        <w:rPr>
          <w:rFonts w:ascii="宋体" w:hAnsi="宋体" w:eastAsia="宋体" w:cs="宋体"/>
          <w:b/>
          <w:bCs/>
          <w:sz w:val="18"/>
          <w:szCs w:val="18"/>
        </w:rPr>
        <w:t>1） 应收利息分类</w:t>
      </w:r>
      <w:bookmarkEnd w:id="37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4"/>
        <w:rPr>
          <w:rFonts w:ascii="宋体" w:hAnsi="宋体" w:eastAsia="宋体" w:cs="宋体"/>
          <w:b/>
          <w:bCs/>
          <w:sz w:val="18"/>
          <w:szCs w:val="18"/>
        </w:rPr>
      </w:pPr>
      <w:bookmarkStart w:id="379" w:name="_Toc989354"/>
      <w:r>
        <w:rPr>
          <w:rFonts w:ascii="宋体" w:hAnsi="宋体" w:eastAsia="宋体" w:cs="宋体"/>
          <w:b/>
          <w:bCs/>
          <w:sz w:val="18"/>
          <w:szCs w:val="18"/>
        </w:rPr>
        <w:t>2） 重要逾期利息</w:t>
      </w:r>
      <w:bookmarkEnd w:id="37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4"/>
        <w:rPr>
          <w:rFonts w:ascii="宋体" w:hAnsi="宋体" w:eastAsia="宋体" w:cs="宋体"/>
          <w:b/>
          <w:bCs/>
          <w:sz w:val="18"/>
          <w:szCs w:val="18"/>
        </w:rPr>
      </w:pPr>
      <w:bookmarkStart w:id="380" w:name="_Toc989355"/>
      <w:r>
        <w:rPr>
          <w:rFonts w:ascii="宋体" w:hAnsi="宋体" w:eastAsia="宋体" w:cs="宋体"/>
          <w:b/>
          <w:bCs/>
          <w:sz w:val="18"/>
          <w:szCs w:val="18"/>
        </w:rPr>
        <w:t>3） 坏账准备计提情况</w:t>
      </w:r>
      <w:bookmarkEnd w:id="38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381" w:name="_Toc989356"/>
      <w:r>
        <w:rPr>
          <w:rFonts w:ascii="宋体" w:hAnsi="宋体" w:eastAsia="宋体" w:cs="宋体"/>
          <w:b/>
          <w:bCs/>
          <w:sz w:val="18"/>
          <w:szCs w:val="18"/>
        </w:rPr>
        <w:t>（2） 应收股利</w:t>
      </w:r>
      <w:bookmarkEnd w:id="381"/>
    </w:p>
    <w:p>
      <w:pPr>
        <w:keepNext/>
        <w:keepLines/>
        <w:spacing w:before="300" w:after="300" w:line="280" w:lineRule="exact"/>
        <w:jc w:val="left"/>
        <w:outlineLvl w:val="4"/>
        <w:rPr>
          <w:rFonts w:ascii="宋体" w:hAnsi="宋体" w:eastAsia="宋体" w:cs="宋体"/>
          <w:b/>
          <w:bCs/>
          <w:sz w:val="18"/>
          <w:szCs w:val="18"/>
        </w:rPr>
      </w:pPr>
      <w:bookmarkStart w:id="382" w:name="_Toc989357"/>
      <w:r>
        <w:rPr>
          <w:rFonts w:ascii="宋体" w:hAnsi="宋体" w:eastAsia="宋体" w:cs="宋体"/>
          <w:b/>
          <w:bCs/>
          <w:sz w:val="18"/>
          <w:szCs w:val="18"/>
        </w:rPr>
        <w:t>1） 应收股利分类</w:t>
      </w:r>
      <w:bookmarkEnd w:id="38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4"/>
        <w:rPr>
          <w:rFonts w:ascii="宋体" w:hAnsi="宋体" w:eastAsia="宋体" w:cs="宋体"/>
          <w:b/>
          <w:bCs/>
          <w:sz w:val="18"/>
          <w:szCs w:val="18"/>
        </w:rPr>
      </w:pPr>
      <w:bookmarkStart w:id="383" w:name="_Toc989358"/>
      <w:r>
        <w:rPr>
          <w:rFonts w:ascii="宋体" w:hAnsi="宋体" w:eastAsia="宋体" w:cs="宋体"/>
          <w:b/>
          <w:bCs/>
          <w:sz w:val="18"/>
          <w:szCs w:val="18"/>
        </w:rPr>
        <w:t>2） 重要的账龄超过1年的应收股利</w:t>
      </w:r>
      <w:bookmarkEnd w:id="38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bl>
    <w:p>
      <w:pPr>
        <w:keepNext/>
        <w:keepLines/>
        <w:spacing w:before="300" w:after="300" w:line="280" w:lineRule="exact"/>
        <w:jc w:val="left"/>
        <w:outlineLvl w:val="4"/>
        <w:rPr>
          <w:rFonts w:ascii="宋体" w:hAnsi="宋体" w:eastAsia="宋体" w:cs="宋体"/>
          <w:b/>
          <w:bCs/>
          <w:sz w:val="18"/>
          <w:szCs w:val="18"/>
        </w:rPr>
      </w:pPr>
      <w:bookmarkStart w:id="384" w:name="_Toc989359"/>
      <w:r>
        <w:rPr>
          <w:rFonts w:ascii="宋体" w:hAnsi="宋体" w:eastAsia="宋体" w:cs="宋体"/>
          <w:b/>
          <w:bCs/>
          <w:sz w:val="18"/>
          <w:szCs w:val="18"/>
        </w:rPr>
        <w:t>3） 坏账准备计提情况</w:t>
      </w:r>
      <w:bookmarkEnd w:id="384"/>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85" w:name="_Toc989360"/>
      <w:r>
        <w:rPr>
          <w:rFonts w:ascii="宋体" w:hAnsi="宋体" w:eastAsia="宋体" w:cs="宋体"/>
          <w:b/>
          <w:bCs/>
          <w:sz w:val="18"/>
          <w:szCs w:val="18"/>
        </w:rPr>
        <w:t>（3） 其他应收款</w:t>
      </w:r>
      <w:bookmarkEnd w:id="385"/>
    </w:p>
    <w:p>
      <w:pPr>
        <w:keepNext/>
        <w:keepLines/>
        <w:spacing w:before="300" w:after="300" w:line="280" w:lineRule="exact"/>
        <w:jc w:val="left"/>
        <w:outlineLvl w:val="4"/>
        <w:rPr>
          <w:rFonts w:ascii="宋体" w:hAnsi="宋体" w:eastAsia="宋体" w:cs="宋体"/>
          <w:b/>
          <w:bCs/>
          <w:sz w:val="18"/>
          <w:szCs w:val="18"/>
        </w:rPr>
      </w:pPr>
      <w:bookmarkStart w:id="386" w:name="_Toc989361"/>
      <w:r>
        <w:rPr>
          <w:rFonts w:ascii="宋体" w:hAnsi="宋体" w:eastAsia="宋体" w:cs="宋体"/>
          <w:b/>
          <w:bCs/>
          <w:sz w:val="18"/>
          <w:szCs w:val="18"/>
        </w:rPr>
        <w:t>1） 其他应收款按款项性质分类情况</w:t>
      </w:r>
      <w:bookmarkEnd w:id="38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出口退税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3,086,568.05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4,276,202.06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320,267.91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单位往来款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16,651,279.95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16,683,553.24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19,947,848.00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21,280,023.21</w:t>
            </w:r>
          </w:p>
        </w:tc>
      </w:tr>
    </w:tbl>
    <w:p>
      <w:pPr>
        <w:keepNext/>
        <w:keepLines/>
        <w:spacing w:before="300" w:after="300" w:line="280" w:lineRule="exact"/>
        <w:jc w:val="left"/>
        <w:outlineLvl w:val="4"/>
        <w:rPr>
          <w:rFonts w:ascii="宋体" w:hAnsi="宋体" w:eastAsia="宋体" w:cs="宋体"/>
          <w:b/>
          <w:bCs/>
          <w:sz w:val="18"/>
          <w:szCs w:val="18"/>
        </w:rPr>
      </w:pPr>
      <w:bookmarkStart w:id="387" w:name="_Toc989362"/>
      <w:r>
        <w:rPr>
          <w:rFonts w:ascii="宋体" w:hAnsi="宋体" w:eastAsia="宋体" w:cs="宋体"/>
          <w:b/>
          <w:bCs/>
          <w:sz w:val="18"/>
          <w:szCs w:val="18"/>
        </w:rPr>
        <w:t>2） 坏账准备计提情况</w:t>
      </w:r>
      <w:bookmarkEnd w:id="38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1,519,192.78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1,519,192.78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本期转回</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246,212.03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246,212.03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2022年6月30日余额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1,272,980.75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1,272,980.75</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4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15,197,055.12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4,731,279.95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19,978,335.07</w:t>
            </w:r>
          </w:p>
        </w:tc>
      </w:tr>
    </w:tbl>
    <w:p>
      <w:pPr>
        <w:keepNext/>
        <w:keepLines/>
        <w:spacing w:before="300" w:after="300" w:line="280" w:lineRule="exact"/>
        <w:jc w:val="left"/>
        <w:outlineLvl w:val="4"/>
        <w:rPr>
          <w:rFonts w:ascii="宋体" w:hAnsi="宋体" w:eastAsia="宋体" w:cs="宋体"/>
          <w:b/>
          <w:bCs/>
          <w:sz w:val="18"/>
          <w:szCs w:val="18"/>
        </w:rPr>
      </w:pPr>
      <w:bookmarkStart w:id="388" w:name="_Toc989363"/>
      <w:r>
        <w:rPr>
          <w:rFonts w:ascii="宋体" w:hAnsi="宋体" w:eastAsia="宋体" w:cs="宋体"/>
          <w:b/>
          <w:bCs/>
          <w:sz w:val="18"/>
          <w:szCs w:val="18"/>
        </w:rPr>
        <w:t>3） 本期计提、收回或转回的坏账准备情况</w:t>
      </w:r>
      <w:bookmarkEnd w:id="388"/>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1,519,192.78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246,212.03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1,272,980.75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1,519,192.78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246,212.03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1,272,980.75</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其中本期坏账准备转回或收回金额重要的：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转回或收回金额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keepNext/>
        <w:keepLines/>
        <w:spacing w:before="300" w:after="300" w:line="280" w:lineRule="exact"/>
        <w:jc w:val="left"/>
        <w:outlineLvl w:val="4"/>
        <w:rPr>
          <w:rFonts w:ascii="宋体" w:hAnsi="宋体" w:eastAsia="宋体" w:cs="宋体"/>
          <w:b/>
          <w:bCs/>
          <w:sz w:val="18"/>
          <w:szCs w:val="18"/>
        </w:rPr>
      </w:pPr>
      <w:bookmarkStart w:id="389" w:name="_Toc989364"/>
      <w:r>
        <w:rPr>
          <w:rFonts w:ascii="宋体" w:hAnsi="宋体" w:eastAsia="宋体" w:cs="宋体"/>
          <w:b/>
          <w:bCs/>
          <w:sz w:val="18"/>
          <w:szCs w:val="18"/>
        </w:rPr>
        <w:t>4） 本期实际核销的其他应收款情况</w:t>
      </w:r>
      <w:bookmarkEnd w:id="38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其中重要的其他应收款核销情况：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其他应收款核销说明：</w:t>
      </w:r>
    </w:p>
    <w:p>
      <w:pPr>
        <w:keepNext/>
        <w:keepLines/>
        <w:spacing w:before="300" w:after="300" w:line="280" w:lineRule="exact"/>
        <w:jc w:val="left"/>
        <w:outlineLvl w:val="4"/>
        <w:rPr>
          <w:rFonts w:ascii="宋体" w:hAnsi="宋体" w:eastAsia="宋体" w:cs="宋体"/>
          <w:b/>
          <w:bCs/>
          <w:sz w:val="18"/>
          <w:szCs w:val="18"/>
        </w:rPr>
      </w:pPr>
      <w:bookmarkStart w:id="390" w:name="_Toc989365"/>
      <w:r>
        <w:rPr>
          <w:rFonts w:ascii="宋体" w:hAnsi="宋体" w:eastAsia="宋体" w:cs="宋体"/>
          <w:b/>
          <w:bCs/>
          <w:sz w:val="18"/>
          <w:szCs w:val="18"/>
        </w:rPr>
        <w:t>5） 按欠款方归集的期末余额前五名的其他应收款情况</w:t>
      </w:r>
      <w:bookmarkEnd w:id="39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客户一</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关联方往来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16,651,279.95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1年以内、1-2年</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1,226,096.14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应收出口退税款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出口退税款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3,086,568.05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154,328.40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客户二</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投标保证金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客户三</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投标保证金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客户四</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投标保证金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19,897,848.00</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1,388,424.54</w:t>
            </w:r>
          </w:p>
        </w:tc>
      </w:tr>
    </w:tbl>
    <w:p>
      <w:pPr>
        <w:keepNext/>
        <w:keepLines/>
        <w:spacing w:before="300" w:after="300" w:line="280" w:lineRule="exact"/>
        <w:jc w:val="left"/>
        <w:outlineLvl w:val="4"/>
        <w:rPr>
          <w:rFonts w:ascii="宋体" w:hAnsi="宋体" w:eastAsia="宋体" w:cs="宋体"/>
          <w:b/>
          <w:bCs/>
          <w:sz w:val="18"/>
          <w:szCs w:val="18"/>
        </w:rPr>
      </w:pPr>
      <w:bookmarkStart w:id="391" w:name="_Toc989366"/>
      <w:r>
        <w:rPr>
          <w:rFonts w:ascii="宋体" w:hAnsi="宋体" w:eastAsia="宋体" w:cs="宋体"/>
          <w:b/>
          <w:bCs/>
          <w:sz w:val="18"/>
          <w:szCs w:val="18"/>
        </w:rPr>
        <w:t>6） 涉及政府补助的应收款项</w:t>
      </w:r>
      <w:bookmarkEnd w:id="39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政府补助项目名称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预计收取的时间、金额及依据</w:t>
            </w:r>
          </w:p>
        </w:tc>
      </w:tr>
    </w:tbl>
    <w:p>
      <w:pPr>
        <w:keepNext/>
        <w:keepLines/>
        <w:spacing w:before="300" w:after="300" w:line="280" w:lineRule="exact"/>
        <w:jc w:val="left"/>
        <w:outlineLvl w:val="4"/>
        <w:rPr>
          <w:rFonts w:ascii="宋体" w:hAnsi="宋体" w:eastAsia="宋体" w:cs="宋体"/>
          <w:b/>
          <w:bCs/>
          <w:sz w:val="18"/>
          <w:szCs w:val="18"/>
        </w:rPr>
      </w:pPr>
      <w:bookmarkStart w:id="392" w:name="_Toc989367"/>
      <w:r>
        <w:rPr>
          <w:rFonts w:ascii="宋体" w:hAnsi="宋体" w:eastAsia="宋体" w:cs="宋体"/>
          <w:b/>
          <w:bCs/>
          <w:sz w:val="18"/>
          <w:szCs w:val="18"/>
        </w:rPr>
        <w:t>7） 因金融资产转移而终止确认的其他应收款</w:t>
      </w:r>
      <w:bookmarkEnd w:id="392"/>
    </w:p>
    <w:p>
      <w:pPr>
        <w:keepNext/>
        <w:keepLines/>
        <w:spacing w:before="300" w:after="300" w:line="280" w:lineRule="exact"/>
        <w:jc w:val="left"/>
        <w:outlineLvl w:val="4"/>
        <w:rPr>
          <w:rFonts w:ascii="宋体" w:hAnsi="宋体" w:eastAsia="宋体" w:cs="宋体"/>
          <w:b/>
          <w:bCs/>
          <w:sz w:val="18"/>
          <w:szCs w:val="18"/>
        </w:rPr>
      </w:pPr>
      <w:bookmarkStart w:id="393" w:name="_Toc989368"/>
      <w:r>
        <w:rPr>
          <w:rFonts w:ascii="宋体" w:hAnsi="宋体" w:eastAsia="宋体" w:cs="宋体"/>
          <w:b/>
          <w:bCs/>
          <w:sz w:val="18"/>
          <w:szCs w:val="18"/>
        </w:rPr>
        <w:t>8） 转移其他应收款且继续涉入形成的资产、负债金额</w:t>
      </w:r>
      <w:bookmarkEnd w:id="393"/>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94" w:name="_Toc989369"/>
      <w:r>
        <w:rPr>
          <w:rFonts w:ascii="宋体" w:hAnsi="宋体" w:eastAsia="宋体" w:cs="宋体"/>
          <w:b/>
          <w:bCs/>
          <w:sz w:val="21"/>
          <w:szCs w:val="21"/>
        </w:rPr>
        <w:t>3、长期股权投资</w:t>
      </w:r>
      <w:bookmarkEnd w:id="39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对子公司投资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r>
    </w:tbl>
    <w:p>
      <w:pPr>
        <w:keepNext/>
        <w:keepLines/>
        <w:spacing w:before="300" w:after="300" w:line="280" w:lineRule="exact"/>
        <w:jc w:val="left"/>
        <w:outlineLvl w:val="3"/>
        <w:rPr>
          <w:rFonts w:ascii="宋体" w:hAnsi="宋体" w:eastAsia="宋体" w:cs="宋体"/>
          <w:b/>
          <w:bCs/>
          <w:sz w:val="21"/>
          <w:szCs w:val="21"/>
        </w:rPr>
      </w:pPr>
      <w:bookmarkStart w:id="395" w:name="_Toc989370"/>
      <w:r>
        <w:rPr>
          <w:rFonts w:ascii="宋体" w:hAnsi="宋体" w:eastAsia="宋体" w:cs="宋体"/>
          <w:b/>
          <w:bCs/>
          <w:sz w:val="21"/>
          <w:szCs w:val="21"/>
        </w:rPr>
        <w:t>（1） 对子公司投资</w:t>
      </w:r>
      <w:bookmarkEnd w:id="39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4820"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青岛伟隆五金机械有限公司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青岛伟隆流体设备有限公司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莱州伟隆阀门有限公司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167,988,288.38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167,988,288.38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青岛卓信检测技术有限责任公司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偉隆（香港）實業有限公司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318,465.00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318,465.00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8,247,836.87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8,247,836.87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 Valve Company  Limited（英国公司）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 Valve LLC（美国公司）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308,136.00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308,136.00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8,247,836.87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396" w:name="_Toc989371"/>
      <w:r>
        <w:rPr>
          <w:rFonts w:ascii="宋体" w:hAnsi="宋体" w:eastAsia="宋体" w:cs="宋体"/>
          <w:b/>
          <w:bCs/>
          <w:sz w:val="21"/>
          <w:szCs w:val="21"/>
        </w:rPr>
        <w:t>（2） 对联营、合营企业投资</w:t>
      </w:r>
      <w:bookmarkEnd w:id="39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投资单位</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6426"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bl>
    <w:p>
      <w:pPr>
        <w:keepNext/>
        <w:keepLines/>
        <w:spacing w:before="300" w:after="300" w:line="280" w:lineRule="exact"/>
        <w:jc w:val="left"/>
        <w:outlineLvl w:val="3"/>
        <w:rPr>
          <w:rFonts w:ascii="宋体" w:hAnsi="宋体" w:eastAsia="宋体" w:cs="宋体"/>
          <w:b/>
          <w:bCs/>
          <w:sz w:val="21"/>
          <w:szCs w:val="21"/>
        </w:rPr>
      </w:pPr>
      <w:bookmarkStart w:id="397" w:name="_Toc989372"/>
      <w:r>
        <w:rPr>
          <w:rFonts w:ascii="宋体" w:hAnsi="宋体" w:eastAsia="宋体" w:cs="宋体"/>
          <w:b/>
          <w:bCs/>
          <w:sz w:val="21"/>
          <w:szCs w:val="21"/>
        </w:rPr>
        <w:t>（3） 其他说明</w:t>
      </w:r>
      <w:bookmarkEnd w:id="397"/>
    </w:p>
    <w:p>
      <w:pPr>
        <w:keepNext/>
        <w:keepLines/>
        <w:spacing w:before="300" w:after="300" w:line="280" w:lineRule="exact"/>
        <w:jc w:val="left"/>
        <w:outlineLvl w:val="2"/>
        <w:rPr>
          <w:rFonts w:ascii="宋体" w:hAnsi="宋体" w:eastAsia="宋体" w:cs="宋体"/>
          <w:b/>
          <w:bCs/>
          <w:sz w:val="21"/>
          <w:szCs w:val="21"/>
        </w:rPr>
      </w:pPr>
      <w:bookmarkStart w:id="398" w:name="_Toc989373"/>
      <w:r>
        <w:rPr>
          <w:rFonts w:ascii="宋体" w:hAnsi="宋体" w:eastAsia="宋体" w:cs="宋体"/>
          <w:b/>
          <w:bCs/>
          <w:sz w:val="21"/>
          <w:szCs w:val="21"/>
        </w:rPr>
        <w:t>4、营业收入和营业成本</w:t>
      </w:r>
      <w:bookmarkEnd w:id="39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222,991,988.84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148,831,025.00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153,374,710.71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103,789,837.17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2,430,987.02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1,860,023.35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360,923.96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185,336.68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225,422,975.86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150,691,048.35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153,735,634.67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103,975,173.85</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收入相关信息：</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2022年1-6月</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商品类型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225,422,975.86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225,422,975.86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189,104,339.08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189,104,339.08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过滤器销售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12,644,473.25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12,644,473.25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阀门零件及管件销售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21,243,176.51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21,243,176.51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汽车配件</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2,430,987.02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2,430,987.02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内销收入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35,189,632.75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35,189,632.75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190,233,343.11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190,233,343.11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225,422,975.86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225,422,975.86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与履约义务相关的信息：</w:t>
      </w:r>
    </w:p>
    <w:p>
      <w:pPr>
        <w:pStyle w:val="2"/>
        <w:keepNext w:val="0"/>
        <w:keepLines w:val="0"/>
        <w:widowControl/>
        <w:suppressLineNumbers w:val="0"/>
      </w:pPr>
      <w:r>
        <w:rPr>
          <w:rFonts w:hint="eastAsia" w:ascii="宋体" w:hAnsi="宋体" w:eastAsia="宋体" w:cs="宋体"/>
          <w:sz w:val="18"/>
          <w:szCs w:val="18"/>
        </w:rPr>
        <w:t>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201,656,594.30元，其中，201,466,420.06元预计将于2022年度确认收入，190,174.24元预计将于2023年度确认收入，元预计将于年度确认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99" w:name="_Toc989374"/>
      <w:r>
        <w:rPr>
          <w:rFonts w:ascii="宋体" w:hAnsi="宋体" w:eastAsia="宋体" w:cs="宋体"/>
          <w:b/>
          <w:bCs/>
          <w:sz w:val="21"/>
          <w:szCs w:val="21"/>
        </w:rPr>
        <w:t>5、投资收益</w:t>
      </w:r>
      <w:bookmarkEnd w:id="39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理财产品收益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3,769,324.97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9,959,135.40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外汇期权收益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55,250.00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处置子公司产生的投资收益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41,752,163.13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远期结售汇损失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大额存单利息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1,083,525.55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46,605,013.65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10,014,385.40</w:t>
            </w:r>
          </w:p>
        </w:tc>
      </w:tr>
    </w:tbl>
    <w:p>
      <w:pPr>
        <w:keepNext/>
        <w:keepLines/>
        <w:spacing w:before="300" w:after="300" w:line="280" w:lineRule="exact"/>
        <w:jc w:val="left"/>
        <w:outlineLvl w:val="2"/>
        <w:rPr>
          <w:rFonts w:ascii="宋体" w:hAnsi="宋体" w:eastAsia="宋体" w:cs="宋体"/>
          <w:b/>
          <w:bCs/>
          <w:sz w:val="21"/>
          <w:szCs w:val="21"/>
        </w:rPr>
      </w:pPr>
      <w:bookmarkStart w:id="400" w:name="_Toc989375"/>
      <w:r>
        <w:rPr>
          <w:rFonts w:ascii="宋体" w:hAnsi="宋体" w:eastAsia="宋体" w:cs="宋体"/>
          <w:b/>
          <w:bCs/>
          <w:sz w:val="21"/>
          <w:szCs w:val="21"/>
        </w:rPr>
        <w:t>6、其他</w:t>
      </w:r>
      <w:bookmarkEnd w:id="400"/>
    </w:p>
    <w:p>
      <w:pPr>
        <w:keepNext/>
        <w:keepLines/>
        <w:spacing w:before="300" w:after="300" w:line="320" w:lineRule="exact"/>
        <w:jc w:val="left"/>
        <w:outlineLvl w:val="1"/>
        <w:rPr>
          <w:rFonts w:ascii="宋体" w:hAnsi="宋体" w:eastAsia="宋体" w:cs="宋体"/>
          <w:b/>
          <w:bCs/>
          <w:sz w:val="24"/>
          <w:szCs w:val="24"/>
        </w:rPr>
      </w:pPr>
      <w:bookmarkStart w:id="401" w:name="_Toc989376"/>
      <w:r>
        <w:rPr>
          <w:rFonts w:ascii="宋体" w:hAnsi="宋体" w:eastAsia="宋体" w:cs="宋体"/>
          <w:b/>
          <w:bCs/>
          <w:sz w:val="24"/>
          <w:szCs w:val="24"/>
        </w:rPr>
        <w:t>十八、补充资料</w:t>
      </w:r>
      <w:bookmarkEnd w:id="401"/>
    </w:p>
    <w:p>
      <w:pPr>
        <w:keepNext/>
        <w:keepLines/>
        <w:spacing w:before="300" w:after="300" w:line="280" w:lineRule="exact"/>
        <w:jc w:val="left"/>
        <w:outlineLvl w:val="2"/>
        <w:rPr>
          <w:rFonts w:ascii="宋体" w:hAnsi="宋体" w:eastAsia="宋体" w:cs="宋体"/>
          <w:b/>
          <w:bCs/>
          <w:sz w:val="21"/>
          <w:szCs w:val="21"/>
        </w:rPr>
      </w:pPr>
      <w:bookmarkStart w:id="402" w:name="_Toc989377"/>
      <w:r>
        <w:rPr>
          <w:rFonts w:ascii="宋体" w:hAnsi="宋体" w:eastAsia="宋体" w:cs="宋体"/>
          <w:b/>
          <w:bCs/>
          <w:sz w:val="21"/>
          <w:szCs w:val="21"/>
        </w:rPr>
        <w:t>1、当期非经常性损益明细表</w:t>
      </w:r>
      <w:bookmarkEnd w:id="402"/>
    </w:p>
    <w:p>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非流动资产处置损益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15,007.55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计入当期损益的政府补助（与公司正常经营业务密切相关，符合国家政策规定、按照一定标准定额或定量持续享受的政府补助除外）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1,866,501.19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委托他人投资或管理资产的损益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4,852,850.52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2,228,885.52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-258,040.13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处置子公司资产收益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41,641,161.86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主要系处置子公司股权所致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7,461,480.37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42,884,886.14</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403" w:name="_Toc989378"/>
      <w:r>
        <w:rPr>
          <w:rFonts w:ascii="宋体" w:hAnsi="宋体" w:eastAsia="宋体" w:cs="宋体"/>
          <w:b/>
          <w:bCs/>
          <w:sz w:val="21"/>
          <w:szCs w:val="21"/>
        </w:rPr>
        <w:t>2、净资产收益率及每股收益</w:t>
      </w:r>
      <w:bookmarkEnd w:id="403"/>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报告期利润</w:t>
            </w:r>
          </w:p>
        </w:tc>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加权平均净资产收益率</w:t>
            </w:r>
          </w:p>
        </w:tc>
        <w:tc>
          <w:tcPr>
            <w:tcW w:w="48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每股收益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稀释每股收益（元/股）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扣除非经常性损益后归属于公司普通股股东的净利润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0.21</w:t>
            </w:r>
          </w:p>
        </w:tc>
      </w:tr>
    </w:tbl>
    <w:p>
      <w:pPr>
        <w:keepNext/>
        <w:keepLines/>
        <w:spacing w:before="300" w:after="300" w:line="280" w:lineRule="exact"/>
        <w:jc w:val="left"/>
        <w:outlineLvl w:val="2"/>
        <w:rPr>
          <w:rFonts w:ascii="宋体" w:hAnsi="宋体" w:eastAsia="宋体" w:cs="宋体"/>
          <w:b/>
          <w:bCs/>
          <w:sz w:val="21"/>
          <w:szCs w:val="21"/>
        </w:rPr>
      </w:pPr>
      <w:bookmarkStart w:id="404" w:name="_Toc989379"/>
      <w:r>
        <w:rPr>
          <w:rFonts w:ascii="宋体" w:hAnsi="宋体" w:eastAsia="宋体" w:cs="宋体"/>
          <w:b/>
          <w:bCs/>
          <w:sz w:val="21"/>
          <w:szCs w:val="21"/>
        </w:rPr>
        <w:t>3、境内外会计准则下会计数据差异</w:t>
      </w:r>
      <w:bookmarkEnd w:id="404"/>
    </w:p>
    <w:p>
      <w:pPr>
        <w:keepNext/>
        <w:keepLines/>
        <w:spacing w:before="300" w:after="300" w:line="280" w:lineRule="exact"/>
        <w:jc w:val="left"/>
        <w:outlineLvl w:val="3"/>
        <w:rPr>
          <w:rFonts w:ascii="宋体" w:hAnsi="宋体" w:eastAsia="宋体" w:cs="宋体"/>
          <w:b/>
          <w:bCs/>
          <w:sz w:val="21"/>
          <w:szCs w:val="21"/>
        </w:rPr>
      </w:pPr>
      <w:bookmarkStart w:id="405" w:name="_Toc989380"/>
      <w:r>
        <w:rPr>
          <w:rFonts w:ascii="宋体" w:hAnsi="宋体" w:eastAsia="宋体" w:cs="宋体"/>
          <w:b/>
          <w:bCs/>
          <w:sz w:val="21"/>
          <w:szCs w:val="21"/>
        </w:rPr>
        <w:t>（1） 同时按照国际会计准则与按中国会计准则披露的财务报告中净利润和净资产差异情况</w:t>
      </w:r>
      <w:bookmarkEnd w:id="405"/>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406" w:name="_Toc989381"/>
      <w:r>
        <w:rPr>
          <w:rFonts w:ascii="宋体" w:hAnsi="宋体" w:eastAsia="宋体" w:cs="宋体"/>
          <w:b/>
          <w:bCs/>
          <w:sz w:val="21"/>
          <w:szCs w:val="21"/>
        </w:rPr>
        <w:t>（2） 同时按照境外会计准则与按中国会计准则披露的财务报告中净利润和净资产差异情况</w:t>
      </w:r>
      <w:bookmarkEnd w:id="406"/>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407" w:name="_Toc989382"/>
      <w:r>
        <w:rPr>
          <w:rFonts w:ascii="宋体" w:hAnsi="宋体" w:eastAsia="宋体" w:cs="宋体"/>
          <w:b/>
          <w:bCs/>
          <w:sz w:val="21"/>
          <w:szCs w:val="21"/>
        </w:rPr>
        <w:t>（3） 境内外会计准则下会计数据差异原因说明，对已经境外审计机构审计的数据进行差异调节的，应注明该境外机构的名称</w:t>
      </w:r>
      <w:bookmarkEnd w:id="407"/>
    </w:p>
    <w:p>
      <w:pPr>
        <w:keepNext/>
        <w:keepLines/>
        <w:spacing w:before="300" w:after="300" w:line="280" w:lineRule="exact"/>
        <w:jc w:val="left"/>
        <w:outlineLvl w:val="2"/>
        <w:rPr>
          <w:rFonts w:ascii="宋体" w:hAnsi="宋体" w:eastAsia="宋体" w:cs="宋体"/>
          <w:b/>
          <w:bCs/>
          <w:sz w:val="21"/>
          <w:szCs w:val="21"/>
        </w:rPr>
      </w:pPr>
      <w:bookmarkStart w:id="408" w:name="_Toc989383"/>
      <w:r>
        <w:rPr>
          <w:rFonts w:ascii="宋体" w:hAnsi="宋体" w:eastAsia="宋体" w:cs="宋体"/>
          <w:b/>
          <w:bCs/>
          <w:sz w:val="21"/>
          <w:szCs w:val="21"/>
        </w:rPr>
        <w:t>4、其他</w:t>
      </w:r>
      <w:bookmarkEnd w:id="408"/>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auto"/>
    <w:pitch w:val="default"/>
    <w:sig w:usb0="E0002AFF" w:usb1="C0007843" w:usb2="00000009" w:usb3="00000000" w:csb0="400001FF" w:csb1="FFFF0000"/>
  </w:font>
  <w:font w:name="幼圆">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docVars>
    <w:docVar w:name="commondata" w:val="eyJoZGlkIjoiOTRiYWIwNzkzYTg0MzhhYmIxYTgwNmNhNDYxODQzNjMifQ=="/>
  </w:docVars>
  <w:rsids>
    <w:rsidRoot w:val="00000000"/>
    <w:rsid w:val="01372B4F"/>
    <w:rsid w:val="2F2724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132</Pages>
  <Words>73020</Words>
  <Characters>93122</Characters>
  <TotalTime>0</TotalTime>
  <ScaleCrop>false</ScaleCrop>
  <LinksUpToDate>false</LinksUpToDate>
  <CharactersWithSpaces>93666</CharactersWithSpaces>
  <Application>WPS Office_11.1.0.12302_F1E327BC-269C-435d-A152-05C5408002CA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2022-08-24T03:57:28Z</dcterms:created>
  <dc:creator>Administrator.WINMICR-GFJCHI7</dc:creator>
  <cp:lastModifiedBy>Mr.翔</cp:lastModifiedBy>
  <dcterms:modified xsi:type="dcterms:W3CDTF">2022-08-24T05:03:52Z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1FB370FEF80143A88FC50687F901B8FE</vt:lpwstr>
  </property>
</Properties>
</file>