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0" w:after="1000" w:line="560" w:lineRule="exact"/>
        <w:jc w:val="center"/>
        <w:rPr>
          <w:rFonts w:ascii="宋体" w:hAnsi="宋体" w:eastAsia="宋体" w:cs="宋体"/>
          <w:sz w:val="18"/>
          <w:szCs w:val="18"/>
        </w:rPr>
      </w:pPr>
      <w:r>
        <w:rPr>
          <w:rFonts w:ascii="宋体" w:hAnsi="宋体" w:eastAsia="宋体" w:cs="宋体"/>
          <w:sz w:val="18"/>
          <w:szCs w:val="18"/>
        </w:rPr>
        <w:t xml:space="preserve">证券代码：002871  </w:t>
      </w:r>
      <w:r>
        <w:rPr>
          <w:rFonts w:hint="default" w:ascii="宋体" w:hAnsi="宋体" w:eastAsia="宋体" w:cs="宋体"/>
          <w:sz w:val="18"/>
          <w:szCs w:val="18"/>
          <w:lang w:val="en-US"/>
        </w:rPr>
        <w:t xml:space="preserve">  </w:t>
      </w:r>
      <w:r>
        <w:rPr>
          <w:rFonts w:ascii="宋体" w:hAnsi="宋体" w:eastAsia="宋体" w:cs="宋体"/>
          <w:sz w:val="18"/>
          <w:szCs w:val="18"/>
        </w:rPr>
        <w:t xml:space="preserve"> </w:t>
      </w:r>
      <w:r>
        <w:rPr>
          <w:rFonts w:hint="default" w:ascii="宋体" w:hAnsi="宋体" w:eastAsia="宋体" w:cs="宋体"/>
          <w:sz w:val="18"/>
          <w:szCs w:val="18"/>
          <w:lang w:val="en-US"/>
        </w:rPr>
        <w:t xml:space="preserve">  </w:t>
      </w:r>
      <w:r>
        <w:rPr>
          <w:rFonts w:ascii="宋体" w:hAnsi="宋体" w:eastAsia="宋体" w:cs="宋体"/>
          <w:sz w:val="18"/>
          <w:szCs w:val="18"/>
        </w:rPr>
        <w:t xml:space="preserve">      </w:t>
      </w:r>
      <w:r>
        <w:rPr>
          <w:rFonts w:hint="default" w:ascii="宋体" w:hAnsi="宋体" w:eastAsia="宋体" w:cs="宋体"/>
          <w:sz w:val="18"/>
          <w:szCs w:val="18"/>
          <w:lang w:val="en-US"/>
        </w:rPr>
        <w:t xml:space="preserve">  </w:t>
      </w:r>
      <w:r>
        <w:rPr>
          <w:rFonts w:ascii="宋体" w:hAnsi="宋体" w:eastAsia="宋体" w:cs="宋体"/>
          <w:sz w:val="18"/>
          <w:szCs w:val="18"/>
        </w:rPr>
        <w:t xml:space="preserve">       证券简称：伟隆股份          </w:t>
      </w:r>
      <w:r>
        <w:rPr>
          <w:rFonts w:hint="default" w:ascii="宋体" w:hAnsi="宋体" w:eastAsia="宋体" w:cs="宋体"/>
          <w:sz w:val="18"/>
          <w:szCs w:val="18"/>
          <w:lang w:val="en-US"/>
        </w:rPr>
        <w:t xml:space="preserve">      </w:t>
      </w:r>
      <w:r>
        <w:rPr>
          <w:rFonts w:ascii="宋体" w:hAnsi="宋体" w:eastAsia="宋体" w:cs="宋体"/>
          <w:sz w:val="18"/>
          <w:szCs w:val="18"/>
        </w:rPr>
        <w:t xml:space="preserve">      公告编号：2022-059</w:t>
      </w:r>
    </w:p>
    <w:p>
      <w:pPr>
        <w:spacing w:before="0" w:after="1000" w:line="400" w:lineRule="exact"/>
        <w:jc w:val="center"/>
        <w:rPr>
          <w:rFonts w:ascii="宋体" w:hAnsi="宋体" w:eastAsia="宋体" w:cs="宋体"/>
          <w:b/>
          <w:bCs/>
          <w:sz w:val="36"/>
          <w:szCs w:val="36"/>
        </w:rPr>
      </w:pPr>
      <w:r>
        <w:rPr>
          <w:rFonts w:ascii="宋体" w:hAnsi="宋体" w:eastAsia="宋体" w:cs="宋体"/>
          <w:b/>
          <w:bCs/>
          <w:sz w:val="36"/>
          <w:szCs w:val="36"/>
        </w:rPr>
        <w:t>青岛伟隆阀门股份有限公司2022年半年度报告摘要</w:t>
      </w:r>
    </w:p>
    <w:p>
      <w:pPr>
        <w:keepNext/>
        <w:keepLines/>
        <w:spacing w:before="300" w:after="300" w:line="320" w:lineRule="exact"/>
        <w:jc w:val="left"/>
        <w:outlineLvl w:val="1"/>
        <w:rPr>
          <w:rFonts w:ascii="宋体" w:hAnsi="宋体" w:eastAsia="宋体" w:cs="宋体"/>
          <w:b/>
          <w:bCs/>
          <w:sz w:val="24"/>
          <w:szCs w:val="24"/>
        </w:rPr>
      </w:pPr>
      <w:bookmarkStart w:id="0" w:name="_Toc988889"/>
      <w:r>
        <w:rPr>
          <w:rFonts w:ascii="宋体" w:hAnsi="宋体" w:eastAsia="宋体" w:cs="宋体"/>
          <w:b/>
          <w:bCs/>
          <w:sz w:val="24"/>
          <w:szCs w:val="24"/>
        </w:rPr>
        <w:t>一、重要提示</w:t>
      </w:r>
      <w:bookmarkEnd w:id="0"/>
    </w:p>
    <w:p>
      <w:pPr>
        <w:spacing w:before="40" w:after="40" w:line="240" w:lineRule="exact"/>
        <w:jc w:val="left"/>
        <w:rPr>
          <w:rFonts w:ascii="宋体" w:hAnsi="宋体" w:eastAsia="宋体" w:cs="宋体"/>
          <w:sz w:val="18"/>
          <w:szCs w:val="18"/>
        </w:rPr>
      </w:pPr>
      <w:r>
        <w:rPr>
          <w:rFonts w:ascii="宋体" w:hAnsi="宋体" w:eastAsia="宋体" w:cs="宋体"/>
          <w:sz w:val="18"/>
          <w:szCs w:val="18"/>
        </w:rPr>
        <w:t>本半年度报告摘要来自半年度报告全文，为全面了解本公司的经营成果、财务状况及未来发展规划，投资者应当到证监会指定媒体仔细阅读半年度报告全文。</w:t>
      </w:r>
    </w:p>
    <w:p>
      <w:pPr>
        <w:spacing w:before="0" w:after="0" w:line="240" w:lineRule="exact"/>
        <w:jc w:val="left"/>
        <w:rPr>
          <w:rFonts w:ascii="宋体" w:hAnsi="宋体" w:eastAsia="宋体" w:cs="宋体"/>
          <w:sz w:val="18"/>
          <w:szCs w:val="18"/>
        </w:rPr>
      </w:pPr>
      <w:r>
        <w:rPr>
          <w:rFonts w:ascii="宋体" w:hAnsi="宋体" w:eastAsia="宋体" w:cs="宋体"/>
          <w:sz w:val="18"/>
          <w:szCs w:val="18"/>
        </w:rPr>
        <w:t>所有董事均已出席了审议本报告的董事会会议。</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非标准审计意见提示</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100" w:after="40" w:line="240" w:lineRule="exact"/>
        <w:jc w:val="left"/>
        <w:rPr>
          <w:rFonts w:ascii="宋体" w:hAnsi="宋体" w:eastAsia="宋体" w:cs="宋体"/>
          <w:sz w:val="18"/>
          <w:szCs w:val="18"/>
        </w:rPr>
      </w:pPr>
      <w:r>
        <w:rPr>
          <w:rFonts w:ascii="宋体" w:hAnsi="宋体" w:eastAsia="宋体" w:cs="宋体"/>
          <w:sz w:val="18"/>
          <w:szCs w:val="18"/>
        </w:rPr>
        <w:t>董事会审议的报告期普通股利润分配预案或公积金转增股本预案</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公司计划不派发现金红利，不送红股，不以公积金转增股本。</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董事会决议通过的本报告期优先股利润分配预案</w:t>
      </w:r>
    </w:p>
    <w:p>
      <w:pPr>
        <w:spacing w:before="0" w:after="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1" w:name="_Toc988890"/>
      <w:r>
        <w:rPr>
          <w:rFonts w:ascii="宋体" w:hAnsi="宋体" w:eastAsia="宋体" w:cs="宋体"/>
          <w:b/>
          <w:bCs/>
          <w:sz w:val="24"/>
          <w:szCs w:val="24"/>
        </w:rPr>
        <w:t>二、公司基本情况</w:t>
      </w:r>
      <w:bookmarkEnd w:id="1"/>
    </w:p>
    <w:p>
      <w:pPr>
        <w:keepNext/>
        <w:keepLines/>
        <w:spacing w:before="300" w:after="300" w:line="280" w:lineRule="exact"/>
        <w:jc w:val="left"/>
        <w:outlineLvl w:val="2"/>
        <w:rPr>
          <w:rFonts w:ascii="宋体" w:hAnsi="宋体" w:eastAsia="宋体" w:cs="宋体"/>
          <w:b/>
          <w:bCs/>
          <w:sz w:val="21"/>
          <w:szCs w:val="21"/>
        </w:rPr>
      </w:pPr>
      <w:bookmarkStart w:id="2" w:name="_Toc988891"/>
      <w:r>
        <w:rPr>
          <w:rFonts w:ascii="宋体" w:hAnsi="宋体" w:eastAsia="宋体" w:cs="宋体"/>
          <w:b/>
          <w:bCs/>
          <w:sz w:val="21"/>
          <w:szCs w:val="21"/>
        </w:rPr>
        <w:t>1、公司简介</w:t>
      </w:r>
      <w:bookmarkEnd w:id="2"/>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213"/>
        <w:gridCol w:w="2142"/>
        <w:gridCol w:w="1071"/>
        <w:gridCol w:w="1071"/>
        <w:gridCol w:w="21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股票简称</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伟隆股份</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股票代码</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002871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股票上市交易所</w:t>
            </w:r>
          </w:p>
        </w:tc>
        <w:tc>
          <w:tcPr>
            <w:tcW w:w="6426" w:type="dxa"/>
            <w:gridSpan w:val="4"/>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深圳证券交易所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联系人和联系方式</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董事会秘书</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证券事务代表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姓名</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迟娜娜</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赵翔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办公地址</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青岛市高新区春阳路789号伟隆股份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电话</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0532-87901466</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213"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电子信箱</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FD@weflovalve.com</w:t>
            </w:r>
          </w:p>
        </w:tc>
        <w:tc>
          <w:tcPr>
            <w:tcW w:w="3213"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Zhao.xiang@weflovalve.com</w:t>
            </w:r>
          </w:p>
        </w:tc>
      </w:tr>
    </w:tbl>
    <w:p>
      <w:pPr>
        <w:keepNext/>
        <w:keepLines/>
        <w:spacing w:before="300" w:after="300" w:line="280" w:lineRule="exact"/>
        <w:jc w:val="left"/>
        <w:outlineLvl w:val="2"/>
        <w:rPr>
          <w:rFonts w:ascii="宋体" w:hAnsi="宋体" w:eastAsia="宋体" w:cs="宋体"/>
          <w:b/>
          <w:bCs/>
          <w:sz w:val="21"/>
          <w:szCs w:val="21"/>
        </w:rPr>
      </w:pPr>
      <w:bookmarkStart w:id="3" w:name="_Toc988892"/>
      <w:r>
        <w:rPr>
          <w:rFonts w:ascii="宋体" w:hAnsi="宋体" w:eastAsia="宋体" w:cs="宋体"/>
          <w:b/>
          <w:bCs/>
          <w:sz w:val="21"/>
          <w:szCs w:val="21"/>
        </w:rPr>
        <w:t>2、主要财务数据和财务指标</w:t>
      </w:r>
      <w:bookmarkEnd w:id="3"/>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公司是否需追溯调整或重述以前年度会计数据</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□是 </w:t>
      </w:r>
      <w:r>
        <w:rPr>
          <w:rFonts w:ascii="宋体" w:hAnsi="宋体" w:eastAsia="宋体" w:cs="宋体"/>
          <w:sz w:val="18"/>
          <w:szCs w:val="18"/>
        </w:rPr>
        <w:sym w:font="Wingdings 2" w:char="F052"/>
      </w:r>
      <w:r>
        <w:rPr>
          <w:rFonts w:ascii="宋体" w:hAnsi="宋体" w:eastAsia="宋体" w:cs="宋体"/>
          <w:sz w:val="18"/>
          <w:szCs w:val="18"/>
        </w:rPr>
        <w:t>否</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856"/>
        <w:gridCol w:w="1928"/>
        <w:gridCol w:w="1928"/>
        <w:gridCol w:w="192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上年同期</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本报告期比上年同期增减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营业收入（元）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234,058,539.11</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180,223,675.26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29.87%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79,146,764.83</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23,289,650.85</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239.84%</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归属于上市公司股东的扣除非经常性损益的净利润（元）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36,261,878.69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16,025,674.19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126.27%</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经营活动产生的现金流量净额（元）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43,831,152.90</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-17,094,358.49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356.41%</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基本每股收益（元/股）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稀释每股收益（元/股）</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0.47</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0.09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422.22%</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加权平均净资产收益率</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11.69%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3.49%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8.20%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上年度末</w:t>
            </w:r>
          </w:p>
        </w:tc>
        <w:tc>
          <w:tcPr>
            <w:tcW w:w="1928"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本报告期末比上年度末增减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总资产（元）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950,698,146.64</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889,880,540.36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6.83%</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3856"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归属于上市公司股东的净资产（元）</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669,208,746.69</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645,978,604.56</w:t>
            </w:r>
          </w:p>
        </w:tc>
        <w:tc>
          <w:tcPr>
            <w:tcW w:w="1928"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3.60%</w:t>
            </w:r>
          </w:p>
        </w:tc>
      </w:tr>
    </w:tbl>
    <w:p>
      <w:pPr>
        <w:keepNext/>
        <w:keepLines/>
        <w:spacing w:before="300" w:after="300" w:line="280" w:lineRule="exact"/>
        <w:jc w:val="left"/>
        <w:outlineLvl w:val="2"/>
        <w:rPr>
          <w:rFonts w:ascii="宋体" w:hAnsi="宋体" w:eastAsia="宋体" w:cs="宋体"/>
          <w:b/>
          <w:bCs/>
          <w:sz w:val="21"/>
          <w:szCs w:val="21"/>
        </w:rPr>
      </w:pPr>
      <w:bookmarkStart w:id="4" w:name="_Toc988893"/>
      <w:r>
        <w:rPr>
          <w:rFonts w:ascii="宋体" w:hAnsi="宋体" w:eastAsia="宋体" w:cs="宋体"/>
          <w:b/>
          <w:bCs/>
          <w:sz w:val="21"/>
          <w:szCs w:val="21"/>
        </w:rPr>
        <w:t>3、公司股东数量及持股情况</w:t>
      </w:r>
      <w:bookmarkEnd w:id="4"/>
    </w:p>
    <w:p>
      <w:pPr>
        <w:spacing w:before="120" w:after="120" w:line="240" w:lineRule="exact"/>
        <w:jc w:val="right"/>
        <w:rPr>
          <w:rFonts w:ascii="宋体" w:hAnsi="宋体" w:eastAsia="宋体" w:cs="宋体"/>
          <w:sz w:val="18"/>
          <w:szCs w:val="18"/>
        </w:rPr>
      </w:pPr>
      <w:r>
        <w:rPr>
          <w:rFonts w:ascii="宋体" w:hAnsi="宋体" w:eastAsia="宋体" w:cs="宋体"/>
          <w:sz w:val="18"/>
          <w:szCs w:val="18"/>
        </w:rPr>
        <w:t>单位：股</w:t>
      </w:r>
    </w:p>
    <w:tbl>
      <w:tblPr>
        <w:tblStyle w:val="3"/>
        <w:tblW w:w="963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71"/>
        <w:gridCol w:w="1071"/>
        <w:gridCol w:w="1071"/>
        <w:gridCol w:w="1071"/>
        <w:gridCol w:w="1071"/>
        <w:gridCol w:w="2142"/>
        <w:gridCol w:w="1071"/>
        <w:gridCol w:w="107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报告期末普通股股东总数</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9,217</w:t>
            </w:r>
          </w:p>
        </w:tc>
        <w:tc>
          <w:tcPr>
            <w:tcW w:w="3213"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报告期末表决权恢复的优先股股东总数（如有）</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9639" w:type="dxa"/>
            <w:gridSpan w:val="8"/>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前10名股东持股情况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股东名称</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股东性质</w:t>
            </w:r>
          </w:p>
        </w:tc>
        <w:tc>
          <w:tcPr>
            <w:tcW w:w="1071"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持股比例</w:t>
            </w:r>
          </w:p>
        </w:tc>
        <w:tc>
          <w:tcPr>
            <w:tcW w:w="2142" w:type="dxa"/>
            <w:gridSpan w:val="2"/>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持股数量</w:t>
            </w:r>
          </w:p>
        </w:tc>
        <w:tc>
          <w:tcPr>
            <w:tcW w:w="2142" w:type="dxa"/>
            <w:vMerge w:val="restart"/>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持有有限售条件的股份数量</w:t>
            </w:r>
          </w:p>
        </w:tc>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质押、标记或冻结情况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142" w:type="dxa"/>
            <w:gridSpan w:val="2"/>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2142" w:type="dxa"/>
            <w:vMerge w:val="continue"/>
            <w:tcBorders>
              <w:top w:val="single" w:color="auto" w:sz="2" w:space="0"/>
              <w:left w:val="single" w:color="auto" w:sz="2" w:space="0"/>
              <w:bottom w:val="single" w:color="auto" w:sz="2" w:space="0"/>
              <w:right w:val="single" w:color="auto" w:sz="2" w:space="0"/>
            </w:tcBorders>
            <w:shd w:val="clear" w:color="auto" w:fill="D3D3D3"/>
            <w:vAlign w:val="center"/>
          </w:tcP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股份状态</w:t>
            </w:r>
          </w:p>
        </w:tc>
        <w:tc>
          <w:tcPr>
            <w:tcW w:w="1071" w:type="dxa"/>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center"/>
              <w:rPr>
                <w:rFonts w:ascii="宋体" w:hAnsi="宋体" w:eastAsia="宋体" w:cs="宋体"/>
                <w:sz w:val="18"/>
                <w:szCs w:val="18"/>
              </w:rPr>
            </w:pPr>
            <w:r>
              <w:rPr>
                <w:rFonts w:ascii="宋体" w:hAnsi="宋体" w:eastAsia="宋体" w:cs="宋体"/>
                <w:sz w:val="18"/>
                <w:szCs w:val="18"/>
              </w:rPr>
              <w:t>数量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范庆伟</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55.73%</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94,200,000.00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72,926,516.00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江西惠隆企业管理有限公司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5.28%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8,920,000.00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范玉隆</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3.72%</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6,285,750.00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4,714,312.00</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青岛森泰股权投资基金管理有限责任公司</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境内非国有法人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2.68%</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4,529,455.00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杨学良</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1.54%</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2,609,900.00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德邦基金－益安地风2号私募证券投资基金－德邦基金北京益安一号单一资产管理计划</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其他</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1.41%</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2,380,000.00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周学枚</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0.60%</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1,014,800.00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谢莉</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0.45%</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752,766.00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徐青威</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境内自然人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0.44%</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752,015.00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UBS   AG</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境外法人</w:t>
            </w: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0.35%</w:t>
            </w:r>
          </w:p>
        </w:tc>
        <w:tc>
          <w:tcPr>
            <w:tcW w:w="2142" w:type="dxa"/>
            <w:gridSpan w:val="2"/>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r>
              <w:rPr>
                <w:rFonts w:ascii="宋体" w:hAnsi="宋体" w:eastAsia="宋体" w:cs="宋体"/>
                <w:sz w:val="18"/>
                <w:szCs w:val="18"/>
              </w:rPr>
              <w:t>593,579.00</w:t>
            </w:r>
          </w:p>
        </w:tc>
        <w:tc>
          <w:tcPr>
            <w:tcW w:w="2142"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p>
        </w:tc>
        <w:tc>
          <w:tcPr>
            <w:tcW w:w="1071" w:type="dxa"/>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right"/>
              <w:rPr>
                <w:rFonts w:ascii="宋体" w:hAnsi="宋体" w:eastAsia="宋体" w:cs="宋体"/>
                <w:sz w:val="18"/>
                <w:szCs w:val="18"/>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上述股东关联关系或一致行动的说明</w:t>
            </w:r>
          </w:p>
        </w:tc>
        <w:tc>
          <w:tcPr>
            <w:tcW w:w="7497"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公司第一大股东范庆伟、第三大股东范玉隆为本公司的实际控制人，范庆伟与范玉隆为父子关系。除上述情况外，上述公司股东间有关联关系的情况为公司股东范庆伟持有公司的法人股东江西惠隆企业管理有限公司的股权。</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40" w:hRule="atLeast"/>
        </w:trPr>
        <w:tc>
          <w:tcPr>
            <w:tcW w:w="2142" w:type="dxa"/>
            <w:gridSpan w:val="2"/>
            <w:tcBorders>
              <w:top w:val="single" w:color="auto" w:sz="2" w:space="0"/>
              <w:left w:val="single" w:color="auto" w:sz="2" w:space="0"/>
              <w:bottom w:val="single" w:color="auto" w:sz="2" w:space="0"/>
              <w:right w:val="single" w:color="auto" w:sz="2" w:space="0"/>
            </w:tcBorders>
            <w:shd w:val="clear" w:color="auto" w:fill="D3D3D3"/>
            <w:vAlign w:val="center"/>
          </w:tcPr>
          <w:p>
            <w:pPr>
              <w:spacing w:before="40" w:after="40" w:line="240" w:lineRule="exact"/>
              <w:jc w:val="left"/>
              <w:rPr>
                <w:rFonts w:ascii="宋体" w:hAnsi="宋体" w:eastAsia="宋体" w:cs="宋体"/>
                <w:sz w:val="18"/>
                <w:szCs w:val="18"/>
              </w:rPr>
            </w:pPr>
            <w:r>
              <w:rPr>
                <w:rFonts w:ascii="宋体" w:hAnsi="宋体" w:eastAsia="宋体" w:cs="宋体"/>
                <w:sz w:val="18"/>
                <w:szCs w:val="18"/>
              </w:rPr>
              <w:t>参与融资融券业务股东情况说明（如有）</w:t>
            </w:r>
          </w:p>
        </w:tc>
        <w:tc>
          <w:tcPr>
            <w:tcW w:w="7497" w:type="dxa"/>
            <w:gridSpan w:val="6"/>
            <w:tcBorders>
              <w:top w:val="single" w:color="auto" w:sz="2" w:space="0"/>
              <w:left w:val="single" w:color="auto" w:sz="2" w:space="0"/>
              <w:bottom w:val="single" w:color="auto" w:sz="2" w:space="0"/>
              <w:right w:val="single" w:color="auto" w:sz="2" w:space="0"/>
            </w:tcBorders>
            <w:vAlign w:val="center"/>
          </w:tcPr>
          <w:p>
            <w:pPr>
              <w:spacing w:before="0" w:after="0" w:line="240" w:lineRule="exact"/>
              <w:jc w:val="left"/>
              <w:rPr>
                <w:rFonts w:ascii="宋体" w:hAnsi="宋体" w:eastAsia="宋体" w:cs="宋体"/>
                <w:sz w:val="18"/>
                <w:szCs w:val="18"/>
              </w:rPr>
            </w:pPr>
            <w:r>
              <w:rPr>
                <w:rFonts w:ascii="宋体" w:hAnsi="宋体" w:eastAsia="宋体" w:cs="宋体"/>
                <w:sz w:val="18"/>
                <w:szCs w:val="18"/>
              </w:rPr>
              <w:t>无</w:t>
            </w:r>
          </w:p>
        </w:tc>
      </w:tr>
    </w:tbl>
    <w:p>
      <w:pPr>
        <w:keepNext/>
        <w:keepLines/>
        <w:spacing w:before="300" w:after="300" w:line="280" w:lineRule="exact"/>
        <w:jc w:val="left"/>
        <w:outlineLvl w:val="2"/>
        <w:rPr>
          <w:rFonts w:ascii="宋体" w:hAnsi="宋体" w:eastAsia="宋体" w:cs="宋体"/>
          <w:b/>
          <w:bCs/>
          <w:sz w:val="21"/>
          <w:szCs w:val="21"/>
        </w:rPr>
      </w:pPr>
      <w:bookmarkStart w:id="5" w:name="_Toc988894"/>
      <w:r>
        <w:rPr>
          <w:rFonts w:ascii="宋体" w:hAnsi="宋体" w:eastAsia="宋体" w:cs="宋体"/>
          <w:b/>
          <w:bCs/>
          <w:sz w:val="21"/>
          <w:szCs w:val="21"/>
        </w:rPr>
        <w:t>4、控股股东或实际控制人变更情况</w:t>
      </w:r>
      <w:bookmarkEnd w:id="5"/>
    </w:p>
    <w:p>
      <w:pPr>
        <w:spacing w:before="40" w:after="40" w:line="240" w:lineRule="exact"/>
        <w:jc w:val="left"/>
        <w:rPr>
          <w:rFonts w:ascii="宋体" w:hAnsi="宋体" w:eastAsia="宋体" w:cs="宋体"/>
          <w:sz w:val="18"/>
          <w:szCs w:val="18"/>
        </w:rPr>
      </w:pPr>
      <w:r>
        <w:rPr>
          <w:rFonts w:ascii="宋体" w:hAnsi="宋体" w:eastAsia="宋体" w:cs="宋体"/>
          <w:sz w:val="18"/>
          <w:szCs w:val="18"/>
        </w:rPr>
        <w:t>控股股东报告期内变更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公司报告期控股股东未发生变更。</w:t>
      </w:r>
    </w:p>
    <w:p>
      <w:pPr>
        <w:spacing w:before="100" w:after="100" w:line="240" w:lineRule="exact"/>
        <w:jc w:val="left"/>
        <w:rPr>
          <w:rFonts w:ascii="宋体" w:hAnsi="宋体" w:eastAsia="宋体" w:cs="宋体"/>
          <w:sz w:val="18"/>
          <w:szCs w:val="18"/>
        </w:rPr>
      </w:pPr>
      <w:r>
        <w:rPr>
          <w:rFonts w:ascii="宋体" w:hAnsi="宋体" w:eastAsia="宋体" w:cs="宋体"/>
          <w:sz w:val="18"/>
          <w:szCs w:val="18"/>
        </w:rPr>
        <w:t>实际控制人报告期内变更</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spacing w:before="40" w:after="40" w:line="240" w:lineRule="exact"/>
        <w:jc w:val="left"/>
        <w:rPr>
          <w:rFonts w:ascii="宋体" w:hAnsi="宋体" w:eastAsia="宋体" w:cs="宋体"/>
          <w:sz w:val="18"/>
          <w:szCs w:val="18"/>
        </w:rPr>
      </w:pPr>
      <w:r>
        <w:rPr>
          <w:rFonts w:ascii="宋体" w:hAnsi="宋体" w:eastAsia="宋体" w:cs="宋体"/>
          <w:sz w:val="18"/>
          <w:szCs w:val="18"/>
        </w:rPr>
        <w:t>公司报告期实际控制人未发生变更。</w:t>
      </w:r>
    </w:p>
    <w:p>
      <w:pPr>
        <w:keepNext/>
        <w:keepLines/>
        <w:spacing w:before="300" w:after="300" w:line="280" w:lineRule="exact"/>
        <w:jc w:val="left"/>
        <w:outlineLvl w:val="2"/>
        <w:rPr>
          <w:rFonts w:ascii="宋体" w:hAnsi="宋体" w:eastAsia="宋体" w:cs="宋体"/>
          <w:b/>
          <w:bCs/>
          <w:sz w:val="21"/>
          <w:szCs w:val="21"/>
        </w:rPr>
      </w:pPr>
      <w:bookmarkStart w:id="6" w:name="_Toc988895"/>
      <w:r>
        <w:rPr>
          <w:rFonts w:ascii="宋体" w:hAnsi="宋体" w:eastAsia="宋体" w:cs="宋体"/>
          <w:b/>
          <w:bCs/>
          <w:sz w:val="21"/>
          <w:szCs w:val="21"/>
        </w:rPr>
        <w:t>5、公司优先股股东总数及前10名优先股股东持股情况表</w:t>
      </w:r>
      <w:bookmarkEnd w:id="6"/>
    </w:p>
    <w:p>
      <w:pPr>
        <w:spacing w:before="40" w:after="40" w:line="0" w:lineRule="exact"/>
        <w:jc w:val="left"/>
      </w:pPr>
    </w:p>
    <w:p>
      <w:pPr>
        <w:spacing w:before="0" w:after="0" w:line="240" w:lineRule="exact"/>
        <w:jc w:val="left"/>
        <w:rPr>
          <w:rFonts w:ascii="宋体" w:hAnsi="宋体" w:eastAsia="宋体" w:cs="宋体"/>
          <w:sz w:val="18"/>
          <w:szCs w:val="18"/>
        </w:rPr>
      </w:pPr>
      <w:r>
        <w:rPr>
          <w:rFonts w:ascii="宋体" w:hAnsi="宋体" w:eastAsia="宋体" w:cs="宋体"/>
          <w:sz w:val="18"/>
          <w:szCs w:val="18"/>
        </w:rPr>
        <w:t>公司报告期无优先股股东持股情况。</w:t>
      </w:r>
    </w:p>
    <w:p>
      <w:pPr>
        <w:keepNext/>
        <w:keepLines/>
        <w:spacing w:before="300" w:after="300" w:line="280" w:lineRule="exact"/>
        <w:jc w:val="left"/>
        <w:outlineLvl w:val="2"/>
        <w:rPr>
          <w:rFonts w:ascii="宋体" w:hAnsi="宋体" w:eastAsia="宋体" w:cs="宋体"/>
          <w:b/>
          <w:bCs/>
          <w:sz w:val="21"/>
          <w:szCs w:val="21"/>
        </w:rPr>
      </w:pPr>
      <w:bookmarkStart w:id="7" w:name="_Toc988896"/>
      <w:r>
        <w:rPr>
          <w:rFonts w:ascii="宋体" w:hAnsi="宋体" w:eastAsia="宋体" w:cs="宋体"/>
          <w:b/>
          <w:bCs/>
          <w:sz w:val="21"/>
          <w:szCs w:val="21"/>
        </w:rPr>
        <w:t>6、在半年度报告批准报出日存续的债券情况</w:t>
      </w:r>
      <w:bookmarkEnd w:id="7"/>
    </w:p>
    <w:p>
      <w:pPr>
        <w:spacing w:before="40" w:after="40" w:line="240" w:lineRule="exact"/>
        <w:jc w:val="left"/>
        <w:rPr>
          <w:rFonts w:ascii="宋体" w:hAnsi="宋体" w:eastAsia="宋体" w:cs="宋体"/>
          <w:sz w:val="18"/>
          <w:szCs w:val="18"/>
        </w:rPr>
      </w:pPr>
      <w:r>
        <w:rPr>
          <w:rFonts w:ascii="宋体" w:hAnsi="宋体" w:eastAsia="宋体" w:cs="宋体"/>
          <w:sz w:val="18"/>
          <w:szCs w:val="18"/>
        </w:rPr>
        <w:t xml:space="preserve">□适用 </w:t>
      </w:r>
      <w:r>
        <w:rPr>
          <w:rFonts w:ascii="宋体" w:hAnsi="宋体" w:eastAsia="宋体" w:cs="宋体"/>
          <w:sz w:val="18"/>
          <w:szCs w:val="18"/>
        </w:rPr>
        <w:sym w:font="Wingdings 2" w:char="F052"/>
      </w:r>
      <w:r>
        <w:rPr>
          <w:rFonts w:ascii="宋体" w:hAnsi="宋体" w:eastAsia="宋体" w:cs="宋体"/>
          <w:sz w:val="18"/>
          <w:szCs w:val="18"/>
        </w:rPr>
        <w:t>不适用</w:t>
      </w:r>
    </w:p>
    <w:p>
      <w:pPr>
        <w:keepNext/>
        <w:keepLines/>
        <w:spacing w:before="300" w:after="300" w:line="320" w:lineRule="exact"/>
        <w:jc w:val="left"/>
        <w:outlineLvl w:val="1"/>
        <w:rPr>
          <w:rFonts w:ascii="宋体" w:hAnsi="宋体" w:eastAsia="宋体" w:cs="宋体"/>
          <w:b/>
          <w:bCs/>
          <w:sz w:val="24"/>
          <w:szCs w:val="24"/>
        </w:rPr>
      </w:pPr>
      <w:bookmarkStart w:id="8" w:name="_Toc988897"/>
      <w:r>
        <w:rPr>
          <w:rFonts w:ascii="宋体" w:hAnsi="宋体" w:eastAsia="宋体" w:cs="宋体"/>
          <w:b/>
          <w:bCs/>
          <w:sz w:val="24"/>
          <w:szCs w:val="24"/>
        </w:rPr>
        <w:t>三、重要事项</w:t>
      </w:r>
      <w:bookmarkEnd w:id="8"/>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（一）主要业务、主要产品及用途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是专业从事给排水阀门产品的设计研发、生产制造和销售服务的高新技术企业，为城镇给排水系统、消防给水系统、空调暖通系统以及污水处理系统等下游应用领域提供产品及解决方案。公司具有提供以闸阀、蝶阀、截止阀、调节阀、旋塞阀、止回阀、减压阀、报警阀、雨淋阀等为主的多个系列、共2,000多个规格产品的能力，能够满足客户一站式采购需求。 同时，全资子公司莱州伟隆募投项目建设的两条铸造自动生产线投产，已为汽车、农机企业承接铸造高质量铸件加工产品。2016年12月，公司取得中央军委装备发展部核发的《装备承制单位注册证书》，成为第三类装备承制单位，为部分海军舰艇装备、军事基地、造船厂等单位提供生产装备、生活设施配套所需的阀门产品。</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2020年9月成立的全资子公司“青岛卓信检测技术有限公司”，已于2021年6月获得了CMA检测资质认证证书，2022年3月获得中国合格评定国家认可委员会CNAS实验室认可证书，承接对外阀门检测技术业务。</w:t>
      </w:r>
    </w:p>
    <w:p>
      <w:pPr>
        <w:pStyle w:val="2"/>
        <w:keepNext w:val="0"/>
        <w:keepLines w:val="0"/>
        <w:widowControl/>
        <w:suppressLineNumbers w:val="0"/>
        <w:spacing w:before="0" w:beforeAutospacing="0" w:after="0" w:afterAutospacing="0" w:line="360" w:lineRule="auto"/>
        <w:ind w:left="0" w:right="0" w:firstLine="320"/>
        <w:jc w:val="both"/>
        <w:rPr>
          <w:rFonts w:hint="default" w:ascii="Times New Roman" w:hAnsi="Times New Roman" w:cs="Times New Roman"/>
          <w:sz w:val="24"/>
          <w:szCs w:val="24"/>
        </w:rPr>
      </w:pPr>
      <w:r>
        <w:rPr>
          <w:rFonts w:hint="eastAsia" w:ascii="宋体" w:hAnsi="宋体" w:eastAsia="宋体" w:cs="宋体"/>
          <w:sz w:val="18"/>
          <w:szCs w:val="18"/>
        </w:rPr>
        <w:t>2022年1月成立了“海南伟隆投资有限公司”合资企业，通过同专业投资机构合作以自有资金参与资本市场，以投资认购私募基金的方式分别参与实施了“000852-石化机械，002353-杰瑞股份，002838-道恩股份”的再融资定增新能源、新材料等股权投资项目。</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（二）经营模式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公司凭借二十多年的经营管理经验，结合产品特点和业务发展要求，采取的销售、研发、采购、生产、服务模式符合行业特点，满足公司业务发展需要。报告期内，公司经营模式未发生重大变化。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1、市场销售模式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公司在充分发挥现有客户资源和营销网络优势的基础上，进一步贴近终端客户，扩大自主品牌的销售力度，提高服务水平。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1）国内市场销售：采取由营销中心自有销售团队设立的合伙人销售平台和代理商销售相结合的业务模式。根据国内给排水系统及水利工程对阀门产品的需求，不断优化自主品牌“WEFLO”的产品结构，完善产品销售激励政策，调动销售人员的积极性，积极参与重点工程项目的招投标工作，取得了较好的销售业绩，提高了公司产品在国内的市场占有率和品牌影响力，已跻身于国内给排水阀门招投标项目主要参与竞争企业行列之中。</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国际市场销售：采取自有境内外销售团队和区域经销商代理销售相结合的业务模式。今年以来国际销售市场产品需求复苏，客户采购订单签订量和待交付量处于充裕状态，公司在巩固和扩大北美和欧洲市场原有客户和销售区域的基础上，充分发挥英国、美国、香港子公司的国际销售平台和销售团队能力，在做好客户OEM产品销售的同时，推进自主品牌“WEFLO”的市场开拓，争创国际知名品牌，获得了沙特阿美公司在国内阀门业给排水、消防产品首家供应商资质，并签订了首个百万美元级订单开始交付供货；已跻身于国际市场阀门产品的知名供应商企业行列之中。</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2、研发设计模式</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阀门行业在国际市场上不同国家和区域客户需求的多样化导致非标准化产品较多，因此产品研发设计的快速应对能力对缩短交货期、提高客户满意度具有非常重要的意义。公司通过引入“产品创新能力提升”咨询指导项目，实施了产品归一化、标准化整合优化方案，建立了一整套新产品研发设计流程和方案：对客户产品的设计要求进行总体可行性分析评估后，制定产品设计开发输入书，包括研发方案、研发目标、设计方案图等，并根据设计输入书及图样的输出内容进行模具的制作，过程中引入优化设计方法，使得在设计过程中既能够不断选择设计参数并评选出最优设计方案，又可以加快设计速度，缩短设计周期，从而保证新产品的按期投产交付满足客户的需求。</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研发团队多年来积累了丰富的自主研发设计能力和经验，客户需求的产品从研发设计到模具开发、模具加工、铸件铸造、技术工艺、生产试制、产品验证等过程均由有关部门和生产车间实施完成，公司是国内给排水阀门行业少数具有自主研发设计、生产试制、产品验证、认证能力实现一体化的规模企业之一。</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3、采购供应模式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制定了严格的《采购管理程序》、《供应商产品质量考核办法》及《产品外协加工业务管理规范》等管理制度、流程。采购管理部负责编制采购计划并引入SRM供应商管理系统实施采购，工程技术部负责采购及外协用技术资料的发放、回收、控制，品质管理部负责外购、外协产品的进厂检验，仓储物流部负责外购产品检验合格后的入库、仓储、发运工作。</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所用的主要铸铁铸件由全资子公司莱州伟隆供应，募投项目新投产的两条铸造自动生产线以铸造生产批量阀门铸件为主，同时辅以生产汽车、农机配件等铸件产品，大幅提升了铸件供应保障能力；公司建有先进的橡胶制品配件自动化生产硫化车间，实现了主要橡胶配件的质量、数量自给自足能力。其它各类辅助配件如铜件、不锈钢件、标准件等，公司与周边各类配件供应商建立了长期稳定的合作关系，形成了垂直供应及高效的配件供应体系，从而在产品采购供应质量和履约能力方面形成了公司独特的优势。</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4、生产制造模式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公司阀门产品主要采取“以销定产”的生产制造模式。根据客户订单绝大多数是以单件、多品种、小批量为主的特点，运营管理部按订单产品的规格、标准要求，落实了客户订单统一生产计划管理措施，通过MES生产系统制定铸件采购计划和生产计划，实施了</w:t>
      </w:r>
      <w:r>
        <w:rPr>
          <w:rFonts w:hint="eastAsia" w:ascii="宋体" w:hAnsi="宋体" w:eastAsia="宋体" w:cs="宋体"/>
          <w:sz w:val="18"/>
          <w:szCs w:val="18"/>
          <w:shd w:val="clear" w:fill="FFFFFF"/>
        </w:rPr>
        <w:t>“产品订单滚动计划方案”。</w:t>
      </w:r>
      <w:r>
        <w:rPr>
          <w:rFonts w:hint="eastAsia" w:ascii="宋体" w:hAnsi="宋体" w:eastAsia="宋体" w:cs="宋体"/>
          <w:sz w:val="18"/>
          <w:szCs w:val="18"/>
        </w:rPr>
        <w:t xml:space="preserve">其中对于非标准化产品和批量大、交货时间短的订单，由工程技术部和生产管理部根据订单图纸和技术参数进行技术、原材料等分析评审后确认销售订单。对于部分简单的机加工工序，采取外协方合作加工方式解决，为加强对外协方的管理和产品质量控制，制定了《产品外协加工业务管理规范》，用于公司外协方的选择确认、定价、发货、验收、入库、结算等过程的管理。公司不断推进车间班组U型生产单元和柔性化装配单元及拉动式生产模式，通过开发实施MES制造执行系统加快数据信息处理传递，加强各部门的协同能力，提高工作效率、降低生产成本，优化生产制造管理模式，强化过程管理和控制，提升精益化生产管理水平。 </w:t>
      </w:r>
    </w:p>
    <w:p>
      <w:pPr>
        <w:pStyle w:val="2"/>
        <w:keepNext w:val="0"/>
        <w:keepLines w:val="0"/>
        <w:widowControl/>
        <w:suppressLineNumbers w:val="0"/>
        <w:spacing w:before="40" w:beforeAutospacing="0" w:after="40" w:afterAutospacing="0"/>
        <w:ind w:left="0" w:right="0" w:firstLine="450"/>
        <w:jc w:val="left"/>
        <w:rPr>
          <w:rFonts w:hint="default" w:ascii="Times New Roman" w:hAnsi="Times New Roman" w:cs="Times New Roman"/>
          <w:sz w:val="24"/>
          <w:szCs w:val="24"/>
        </w:rPr>
      </w:pPr>
      <w:r>
        <w:rPr>
          <w:rFonts w:hint="eastAsia" w:ascii="宋体" w:hAnsi="宋体" w:eastAsia="宋体" w:cs="宋体"/>
          <w:sz w:val="18"/>
          <w:szCs w:val="18"/>
        </w:rPr>
        <w:t xml:space="preserve">5、客户服务模式 </w:t>
      </w:r>
    </w:p>
    <w:p>
      <w:pPr>
        <w:pStyle w:val="2"/>
        <w:keepNext w:val="0"/>
        <w:keepLines w:val="0"/>
        <w:widowControl/>
        <w:suppressLineNumbers w:val="0"/>
        <w:spacing w:before="40" w:beforeAutospacing="0" w:after="40" w:afterAutospacing="0"/>
        <w:ind w:left="0" w:right="0" w:firstLine="450"/>
        <w:jc w:val="left"/>
        <w:rPr>
          <w:rFonts w:hint="eastAsia" w:ascii="宋体" w:hAnsi="宋体" w:eastAsia="宋体" w:cs="宋体"/>
          <w:sz w:val="18"/>
          <w:szCs w:val="18"/>
        </w:rPr>
      </w:pPr>
      <w:r>
        <w:rPr>
          <w:rFonts w:hint="eastAsia" w:ascii="宋体" w:hAnsi="宋体" w:eastAsia="宋体" w:cs="宋体"/>
          <w:sz w:val="18"/>
          <w:szCs w:val="18"/>
        </w:rPr>
        <w:t xml:space="preserve">公司建立了客户服务管理组织架构及主责部门和专兼职人员，为客户提供高品质的产品和热情周到的服务。公司致力于同客户建立长期稳定的合作关系，通过技术交流、互访考察、合作研发等方式，与客户保持了互利互惠的良好合作关系。为了满足各类客户的个性化需求，公司通过市场调研，摸清顾客的潜在需求愿望；除通过官方网站、电话、电子邮件、传真等方式与客户保持经常沟通外，公司还组织营销业务员、售后服务人员和技术人员定期拜访客户，现场给予客户技术交流支持，提供优质的售前、售中及售后服务，提高客户满意度，塑造良好的品牌形象。 </w:t>
      </w:r>
    </w:p>
    <w:p>
      <w:pPr>
        <w:keepNext/>
        <w:keepLines/>
        <w:spacing w:before="300" w:after="300" w:line="280" w:lineRule="exact"/>
        <w:jc w:val="left"/>
        <w:outlineLvl w:val="2"/>
        <w:rPr>
          <w:rFonts w:ascii="宋体" w:hAnsi="宋体" w:eastAsia="宋体" w:cs="宋体"/>
          <w:b/>
          <w:bCs/>
          <w:sz w:val="21"/>
          <w:szCs w:val="21"/>
        </w:rPr>
      </w:pPr>
    </w:p>
    <w:p>
      <w:pPr>
        <w:autoSpaceDE w:val="0"/>
        <w:autoSpaceDN w:val="0"/>
        <w:adjustRightInd w:val="0"/>
        <w:spacing w:before="0" w:after="0"/>
        <w:jc w:val="right"/>
        <w:rPr>
          <w:rFonts w:hint="eastAsia" w:ascii="宋体"/>
          <w:sz w:val="18"/>
          <w:szCs w:val="24"/>
          <w:lang w:val="zh-CN"/>
        </w:rPr>
      </w:pPr>
      <w:r>
        <w:rPr>
          <w:rFonts w:hint="eastAsia" w:ascii="宋体"/>
          <w:sz w:val="18"/>
          <w:szCs w:val="24"/>
          <w:lang w:val="zh-CN"/>
        </w:rPr>
        <w:t>青岛伟隆阀门股份有限公司</w:t>
      </w:r>
    </w:p>
    <w:p>
      <w:pPr>
        <w:wordWrap w:val="0"/>
        <w:autoSpaceDE w:val="0"/>
        <w:autoSpaceDN w:val="0"/>
        <w:adjustRightInd w:val="0"/>
        <w:spacing w:before="0" w:after="0"/>
        <w:jc w:val="right"/>
        <w:rPr>
          <w:rFonts w:hint="eastAsia" w:ascii="宋体"/>
          <w:sz w:val="18"/>
          <w:szCs w:val="24"/>
        </w:rPr>
      </w:pPr>
      <w:r>
        <w:rPr>
          <w:rFonts w:hint="eastAsia" w:ascii="宋体"/>
          <w:sz w:val="18"/>
          <w:szCs w:val="24"/>
          <w:lang w:val="zh-CN"/>
        </w:rPr>
        <w:t>董事长：范庆伟</w:t>
      </w:r>
      <w:r>
        <w:rPr>
          <w:rFonts w:hint="eastAsia" w:ascii="宋体"/>
          <w:sz w:val="18"/>
          <w:szCs w:val="24"/>
        </w:rPr>
        <w:t xml:space="preserve">    </w:t>
      </w: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p>
    <w:p>
      <w:pPr>
        <w:wordWrap w:val="0"/>
        <w:autoSpaceDE w:val="0"/>
        <w:autoSpaceDN w:val="0"/>
        <w:adjustRightInd w:val="0"/>
        <w:spacing w:before="0" w:after="0"/>
        <w:jc w:val="right"/>
        <w:rPr>
          <w:rFonts w:hint="eastAsia" w:ascii="宋体"/>
          <w:sz w:val="18"/>
          <w:szCs w:val="24"/>
        </w:rPr>
      </w:pPr>
      <w:r>
        <w:rPr>
          <w:rFonts w:hint="eastAsia" w:ascii="宋体"/>
          <w:sz w:val="18"/>
          <w:szCs w:val="24"/>
        </w:rPr>
        <w:t xml:space="preserve"> </w:t>
      </w:r>
      <w:r>
        <w:rPr>
          <w:rFonts w:hint="eastAsia" w:ascii="宋体"/>
          <w:sz w:val="18"/>
          <w:szCs w:val="24"/>
          <w:u w:val="single"/>
        </w:rPr>
        <w:t xml:space="preserve">                       </w:t>
      </w:r>
    </w:p>
    <w:p>
      <w:pPr>
        <w:wordWrap w:val="0"/>
        <w:autoSpaceDE w:val="0"/>
        <w:autoSpaceDN w:val="0"/>
        <w:adjustRightInd w:val="0"/>
        <w:spacing w:before="0" w:after="0"/>
        <w:jc w:val="right"/>
        <w:rPr>
          <w:rFonts w:hint="eastAsia" w:ascii="宋体"/>
          <w:sz w:val="18"/>
          <w:szCs w:val="24"/>
        </w:rPr>
      </w:pPr>
      <w:r>
        <w:rPr>
          <w:rFonts w:hint="eastAsia" w:ascii="宋体"/>
          <w:sz w:val="18"/>
          <w:szCs w:val="24"/>
        </w:rPr>
        <w:t>202</w:t>
      </w:r>
      <w:r>
        <w:rPr>
          <w:rFonts w:hint="default" w:ascii="宋体"/>
          <w:sz w:val="18"/>
          <w:szCs w:val="24"/>
          <w:lang w:val="en-US"/>
        </w:rPr>
        <w:t>2</w:t>
      </w:r>
      <w:r>
        <w:rPr>
          <w:rFonts w:hint="eastAsia" w:ascii="宋体"/>
          <w:sz w:val="18"/>
          <w:szCs w:val="24"/>
        </w:rPr>
        <w:t>年8月</w:t>
      </w:r>
      <w:r>
        <w:rPr>
          <w:rFonts w:hint="default" w:ascii="宋体"/>
          <w:sz w:val="18"/>
          <w:szCs w:val="24"/>
          <w:lang w:val="en-US"/>
        </w:rPr>
        <w:t>30</w:t>
      </w:r>
      <w:r>
        <w:rPr>
          <w:rFonts w:hint="eastAsia" w:ascii="宋体"/>
          <w:sz w:val="18"/>
          <w:szCs w:val="24"/>
        </w:rPr>
        <w:t xml:space="preserve">日     </w:t>
      </w:r>
    </w:p>
    <w:p>
      <w:pPr>
        <w:keepNext/>
        <w:keepLines/>
        <w:spacing w:before="300" w:after="300" w:line="280" w:lineRule="exact"/>
        <w:jc w:val="left"/>
        <w:outlineLvl w:val="2"/>
        <w:rPr>
          <w:rFonts w:ascii="宋体" w:hAnsi="宋体" w:eastAsia="宋体" w:cs="宋体"/>
          <w:b/>
          <w:bCs/>
          <w:sz w:val="21"/>
          <w:szCs w:val="21"/>
        </w:rPr>
      </w:pPr>
    </w:p>
    <w:p>
      <w:pPr>
        <w:pStyle w:val="2"/>
        <w:keepNext w:val="0"/>
        <w:keepLines w:val="0"/>
        <w:widowControl/>
        <w:suppressLineNumbers w:val="0"/>
        <w:spacing w:before="40" w:beforeAutospacing="0" w:after="40" w:afterAutospacing="0"/>
        <w:ind w:left="0" w:right="0" w:firstLine="450"/>
        <w:jc w:val="left"/>
        <w:rPr>
          <w:rFonts w:hint="default" w:ascii="宋体" w:hAnsi="宋体" w:eastAsia="宋体" w:cs="宋体"/>
          <w:sz w:val="18"/>
          <w:szCs w:val="18"/>
        </w:rPr>
      </w:pPr>
      <w:bookmarkStart w:id="9" w:name="_GoBack"/>
      <w:bookmarkEnd w:id="9"/>
    </w:p>
    <w:sectPr>
      <w:headerReference r:id="rId3" w:type="default"/>
      <w:footerReference r:id="rId4" w:type="default"/>
      <w:pgSz w:w="11905" w:h="16840"/>
      <w:pgMar w:top="1440" w:right="1134" w:bottom="1440" w:left="1134" w:header="850"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altName w:val="Wingding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rPr>
        <w:rFonts w:ascii="宋体" w:eastAsia="宋体"/>
        <w:sz w:val="18"/>
        <w:szCs w:val="18"/>
      </w:rPr>
      <w:fldChar w:fldCharType="begin"/>
    </w:r>
    <w:r>
      <w:rPr>
        <w:rFonts w:ascii="宋体" w:eastAsia="宋体"/>
        <w:sz w:val="18"/>
        <w:szCs w:val="18"/>
      </w:rPr>
      <w:instrText xml:space="preserve">PAGE   \* MERGEFORMAT</w:instrText>
    </w:r>
    <w:r>
      <w:rPr>
        <w:rFonts w:ascii="宋体" w:eastAsia="宋体"/>
        <w:sz w:val="18"/>
        <w:szCs w:val="18"/>
      </w:rPr>
      <w:fldChar w:fldCharType="separate"/>
    </w:r>
    <w:r>
      <w:rPr>
        <w:rFonts w:ascii="宋体" w:eastAsia="宋体"/>
        <w:sz w:val="18"/>
        <w:szCs w:val="18"/>
      </w:rPr>
      <w:t>1</w:t>
    </w:r>
    <w:r>
      <w:rPr>
        <w:rFonts w:ascii="宋体" w:eastAsia="宋体"/>
        <w:sz w:val="18"/>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jc w:val="right"/>
    </w:pPr>
    <w:r>
      <w:rPr>
        <w:rFonts w:ascii="宋体" w:eastAsia="宋体"/>
        <w:sz w:val="18"/>
        <w:szCs w:val="18"/>
      </w:rPr>
      <w:t>青岛伟隆阀门股份有限公司2022年半年度报告摘要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compat>
    <w:doNotExpandShiftReturn/>
    <w:useFELayout/>
    <w:compatSetting w:name="compatibilityMode" w:uri="http://schemas.microsoft.com/office/word" w:val="14"/>
  </w:compat>
  <w:docVars>
    <w:docVar w:name="commondata" w:val="eyJoZGlkIjoiOTRiYWIwNzkzYTg0MzhhYmIxYTgwNmNhNDYxODQzNjMifQ=="/>
  </w:docVars>
  <w:rsids>
    <w:rsidRoot w:val="00000000"/>
    <w:rsid w:val="06A12390"/>
    <w:rsid w:val="2EC62D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3743</Words>
  <Characters>4287</Characters>
  <TotalTime>0</TotalTime>
  <ScaleCrop>false</ScaleCrop>
  <LinksUpToDate>false</LinksUpToDate>
  <CharactersWithSpaces>4352</CharactersWithSpaces>
  <Application>WPS Office_11.1.0.12302_F1E327BC-269C-435d-A152-05C5408002CA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2022-08-26T01:12:17Z</dcterms:created>
  <dc:creator>Administrator.WINMICR-GFJCHI7</dc:creator>
  <cp:lastModifiedBy>Mr.翔</cp:lastModifiedBy>
  <dcterms:modified xsi:type="dcterms:W3CDTF">2022-08-26T01:15:53Z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5DF7E43A144C47F398D531CD3F6E07ED</vt:lpwstr>
  </property>
</Properties>
</file>